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18D0F" w14:textId="77777777" w:rsidR="00EE66BA" w:rsidRPr="009874D0" w:rsidRDefault="00264ACF" w:rsidP="00264ACF">
      <w:pPr>
        <w:rPr>
          <w:lang w:val="en-CA"/>
        </w:rPr>
      </w:pPr>
      <w:r w:rsidRPr="00120E9E">
        <w:rPr>
          <w:noProof/>
          <w:lang w:val="en-CA" w:eastAsia="en-CA"/>
        </w:rPr>
        <w:drawing>
          <wp:anchor distT="0" distB="0" distL="114300" distR="114300" simplePos="0" relativeHeight="251658240" behindDoc="1" locked="0" layoutInCell="1" allowOverlap="1" wp14:anchorId="424A83CF" wp14:editId="3FAF822D">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p>
    <w:p w14:paraId="135D47CD" w14:textId="77777777" w:rsidR="00D0546C" w:rsidRPr="009874D0" w:rsidRDefault="00D0546C" w:rsidP="00D0546C">
      <w:pPr>
        <w:tabs>
          <w:tab w:val="left" w:pos="1410"/>
        </w:tabs>
        <w:rPr>
          <w:lang w:val="en-CA"/>
        </w:rPr>
      </w:pPr>
    </w:p>
    <w:p w14:paraId="7C9844A8" w14:textId="77777777" w:rsidR="00D0546C" w:rsidRPr="009874D0" w:rsidRDefault="00D0546C" w:rsidP="003919B9">
      <w:pPr>
        <w:ind w:left="5040"/>
        <w:rPr>
          <w:lang w:val="en-CA"/>
        </w:rPr>
      </w:pPr>
    </w:p>
    <w:p w14:paraId="788EE248" w14:textId="3EA9AE58" w:rsidR="003919B9" w:rsidRPr="009874D0" w:rsidRDefault="005A4390" w:rsidP="003919B9">
      <w:pPr>
        <w:ind w:left="5040"/>
        <w:rPr>
          <w:lang w:val="en-CA"/>
        </w:rPr>
      </w:pPr>
      <w:r w:rsidRPr="009874D0">
        <w:rPr>
          <w:lang w:val="en-CA"/>
        </w:rPr>
        <w:t xml:space="preserve"> </w:t>
      </w:r>
      <w:r w:rsidRPr="009874D0">
        <w:rPr>
          <w:lang w:val="en-CA"/>
        </w:rPr>
        <w:br/>
      </w:r>
      <w:r w:rsidR="00246469">
        <w:rPr>
          <w:lang w:val="en-CA"/>
        </w:rPr>
        <w:t xml:space="preserve"> </w:t>
      </w:r>
      <w:r w:rsidRPr="009874D0">
        <w:rPr>
          <w:lang w:val="en-CA"/>
        </w:rPr>
        <w:t xml:space="preserve"> </w:t>
      </w:r>
      <w:r w:rsidR="00D0546C" w:rsidRPr="009874D0">
        <w:rPr>
          <w:lang w:val="en-CA"/>
        </w:rPr>
        <w:br/>
      </w:r>
      <w:r w:rsidR="00D0546C" w:rsidRPr="009874D0">
        <w:rPr>
          <w:lang w:val="en-CA"/>
        </w:rPr>
        <w:br/>
      </w:r>
      <w:r w:rsidR="00D0546C" w:rsidRPr="009874D0">
        <w:rPr>
          <w:lang w:val="en-CA"/>
        </w:rPr>
        <w:br/>
      </w:r>
      <w:r w:rsidR="00246469">
        <w:rPr>
          <w:lang w:val="en-CA"/>
        </w:rPr>
        <w:t xml:space="preserve"> </w:t>
      </w:r>
      <w:r w:rsidR="00264ACF" w:rsidRPr="009874D0">
        <w:rPr>
          <w:lang w:val="en-CA"/>
        </w:rPr>
        <w:t xml:space="preserve"> </w:t>
      </w:r>
      <w:r w:rsidR="003919B9" w:rsidRPr="009874D0">
        <w:rPr>
          <w:lang w:val="en-CA"/>
        </w:rPr>
        <w:fldChar w:fldCharType="begin"/>
      </w:r>
      <w:r w:rsidR="003919B9" w:rsidRPr="009874D0">
        <w:rPr>
          <w:lang w:val="en-CA"/>
        </w:rPr>
        <w:instrText xml:space="preserve"> DOCPROPERTY "Document number"  \* MERGEFORMAT </w:instrText>
      </w:r>
      <w:r w:rsidR="003919B9" w:rsidRPr="009874D0">
        <w:rPr>
          <w:lang w:val="en-CA"/>
        </w:rPr>
        <w:fldChar w:fldCharType="separate"/>
      </w:r>
      <w:r w:rsidR="00AA1E26">
        <w:rPr>
          <w:lang w:val="en-CA"/>
        </w:rPr>
        <w:t>UNEP/</w:t>
      </w:r>
      <w:proofErr w:type="spellStart"/>
      <w:r w:rsidR="00AA1E26">
        <w:rPr>
          <w:lang w:val="en-CA"/>
        </w:rPr>
        <w:t>OzL.Pro</w:t>
      </w:r>
      <w:proofErr w:type="spellEnd"/>
      <w:r w:rsidR="00AA1E26">
        <w:rPr>
          <w:lang w:val="en-CA"/>
        </w:rPr>
        <w:t>/</w:t>
      </w:r>
      <w:proofErr w:type="spellStart"/>
      <w:r w:rsidR="00AA1E26">
        <w:rPr>
          <w:lang w:val="en-CA"/>
        </w:rPr>
        <w:t>ExCom</w:t>
      </w:r>
      <w:proofErr w:type="spellEnd"/>
      <w:r w:rsidR="00AA1E26">
        <w:rPr>
          <w:lang w:val="en-CA"/>
        </w:rPr>
        <w:t>/84/65</w:t>
      </w:r>
      <w:r w:rsidR="003919B9" w:rsidRPr="009874D0">
        <w:rPr>
          <w:lang w:val="en-CA"/>
        </w:rPr>
        <w:fldChar w:fldCharType="end"/>
      </w:r>
      <w:r w:rsidR="003919B9" w:rsidRPr="009874D0">
        <w:rPr>
          <w:lang w:val="en-CA"/>
        </w:rPr>
        <w:br/>
      </w:r>
      <w:r w:rsidR="00246469">
        <w:rPr>
          <w:lang w:val="en-CA"/>
        </w:rPr>
        <w:t xml:space="preserve"> </w:t>
      </w:r>
      <w:r w:rsidR="003919B9" w:rsidRPr="009874D0">
        <w:rPr>
          <w:lang w:val="en-CA"/>
        </w:rPr>
        <w:t xml:space="preserve"> </w:t>
      </w:r>
      <w:r w:rsidR="003919B9" w:rsidRPr="009874D0">
        <w:rPr>
          <w:lang w:val="en-CA"/>
        </w:rPr>
        <w:fldChar w:fldCharType="begin"/>
      </w:r>
      <w:r w:rsidR="003919B9" w:rsidRPr="009874D0">
        <w:rPr>
          <w:lang w:val="en-CA"/>
        </w:rPr>
        <w:instrText xml:space="preserve"> DOCPROPERTY "Revision date" \@ "d MMMM YYYY"  \* MERGEFORMAT </w:instrText>
      </w:r>
      <w:r w:rsidR="003919B9" w:rsidRPr="009874D0">
        <w:rPr>
          <w:lang w:val="en-CA"/>
        </w:rPr>
        <w:fldChar w:fldCharType="separate"/>
      </w:r>
      <w:r w:rsidR="001277B2">
        <w:rPr>
          <w:lang w:val="en-CA"/>
        </w:rPr>
        <w:t>19 November 2019</w:t>
      </w:r>
      <w:r w:rsidR="003919B9" w:rsidRPr="009874D0">
        <w:rPr>
          <w:lang w:val="en-CA"/>
        </w:rPr>
        <w:fldChar w:fldCharType="end"/>
      </w:r>
    </w:p>
    <w:p w14:paraId="1C8BCABC" w14:textId="77777777" w:rsidR="003919B9" w:rsidRPr="009874D0" w:rsidRDefault="003919B9" w:rsidP="003919B9">
      <w:pPr>
        <w:rPr>
          <w:lang w:val="en-CA"/>
        </w:rPr>
      </w:pPr>
    </w:p>
    <w:p w14:paraId="39ED5B66" w14:textId="77777777" w:rsidR="00EE66BA" w:rsidRPr="009874D0" w:rsidRDefault="00EE66BA" w:rsidP="001C3C80">
      <w:pPr>
        <w:tabs>
          <w:tab w:val="left" w:pos="8280"/>
        </w:tabs>
        <w:rPr>
          <w:lang w:val="en-CA"/>
        </w:rPr>
      </w:pPr>
    </w:p>
    <w:p w14:paraId="61D82E5F" w14:textId="77777777" w:rsidR="003919B9" w:rsidRPr="009874D0" w:rsidRDefault="003919B9" w:rsidP="001C3C80">
      <w:pPr>
        <w:tabs>
          <w:tab w:val="left" w:pos="8280"/>
        </w:tabs>
        <w:rPr>
          <w:lang w:val="en-CA"/>
        </w:rPr>
      </w:pPr>
    </w:p>
    <w:p w14:paraId="3D77D5F1" w14:textId="77777777" w:rsidR="003919B9" w:rsidRPr="009874D0" w:rsidRDefault="00D66982" w:rsidP="00D66982">
      <w:pPr>
        <w:tabs>
          <w:tab w:val="left" w:pos="3940"/>
        </w:tabs>
        <w:rPr>
          <w:lang w:val="en-CA"/>
        </w:rPr>
      </w:pPr>
      <w:r w:rsidRPr="009874D0">
        <w:rPr>
          <w:lang w:val="en-CA"/>
        </w:rPr>
        <w:tab/>
      </w:r>
    </w:p>
    <w:p w14:paraId="395759D0" w14:textId="77777777" w:rsidR="003919B9" w:rsidRPr="009874D0" w:rsidRDefault="003919B9" w:rsidP="001C3C80">
      <w:pPr>
        <w:tabs>
          <w:tab w:val="left" w:pos="8280"/>
        </w:tabs>
        <w:rPr>
          <w:lang w:val="en-CA"/>
        </w:rPr>
      </w:pPr>
    </w:p>
    <w:p w14:paraId="671D638A" w14:textId="77777777" w:rsidR="003919B9" w:rsidRPr="009874D0" w:rsidRDefault="003919B9" w:rsidP="001C3C80">
      <w:pPr>
        <w:tabs>
          <w:tab w:val="left" w:pos="8280"/>
        </w:tabs>
        <w:rPr>
          <w:lang w:val="en-CA"/>
        </w:rPr>
      </w:pPr>
    </w:p>
    <w:p w14:paraId="6D80A34F" w14:textId="77777777" w:rsidR="003919B9" w:rsidRPr="009874D0" w:rsidRDefault="003919B9" w:rsidP="001C3C80">
      <w:pPr>
        <w:tabs>
          <w:tab w:val="left" w:pos="8280"/>
        </w:tabs>
        <w:rPr>
          <w:lang w:val="en-CA"/>
        </w:rPr>
      </w:pPr>
    </w:p>
    <w:p w14:paraId="7B060967" w14:textId="77777777" w:rsidR="003919B9" w:rsidRPr="009874D0" w:rsidRDefault="003919B9" w:rsidP="001C3C80">
      <w:pPr>
        <w:tabs>
          <w:tab w:val="left" w:pos="8280"/>
        </w:tabs>
        <w:rPr>
          <w:lang w:val="en-CA"/>
        </w:rPr>
      </w:pPr>
    </w:p>
    <w:p w14:paraId="31A3B06D" w14:textId="77777777" w:rsidR="003919B9" w:rsidRPr="009874D0" w:rsidRDefault="003919B9" w:rsidP="001C3C80">
      <w:pPr>
        <w:tabs>
          <w:tab w:val="left" w:pos="8280"/>
        </w:tabs>
        <w:rPr>
          <w:lang w:val="en-CA"/>
        </w:rPr>
      </w:pPr>
    </w:p>
    <w:p w14:paraId="6FB410C0" w14:textId="77777777" w:rsidR="003919B9" w:rsidRPr="009874D0" w:rsidRDefault="003919B9" w:rsidP="001C3C80">
      <w:pPr>
        <w:tabs>
          <w:tab w:val="left" w:pos="8280"/>
        </w:tabs>
        <w:rPr>
          <w:lang w:val="en-CA"/>
        </w:rPr>
      </w:pPr>
    </w:p>
    <w:p w14:paraId="69F376B4" w14:textId="77777777" w:rsidR="000E59CB" w:rsidRPr="009874D0" w:rsidRDefault="000E59CB" w:rsidP="001C3C80">
      <w:pPr>
        <w:tabs>
          <w:tab w:val="left" w:pos="8280"/>
        </w:tabs>
        <w:rPr>
          <w:lang w:val="en-CA"/>
        </w:rPr>
      </w:pPr>
    </w:p>
    <w:p w14:paraId="46C9795A" w14:textId="77777777" w:rsidR="00502FEE" w:rsidRPr="009874D0" w:rsidRDefault="00502FEE" w:rsidP="00502FEE">
      <w:pPr>
        <w:tabs>
          <w:tab w:val="left" w:pos="8280"/>
        </w:tabs>
        <w:rPr>
          <w:lang w:val="en-CA"/>
        </w:rPr>
      </w:pPr>
    </w:p>
    <w:p w14:paraId="3A415606" w14:textId="5354AAA0" w:rsidR="00502FEE" w:rsidRDefault="00502FEE" w:rsidP="00502FEE">
      <w:pPr>
        <w:jc w:val="center"/>
        <w:rPr>
          <w:b/>
        </w:rPr>
      </w:pPr>
      <w:r>
        <w:rPr>
          <w:b/>
        </w:rPr>
        <w:t>ANALYSIS OF THE IMPLICATIONS OF PARALLEL OR INTEGRATED IMPLEMENTATION OF HCFC PHASE-OUT AND HFC PHASE-DOWN ACTIVITIES</w:t>
      </w:r>
      <w:r w:rsidR="00CB7DE8">
        <w:rPr>
          <w:b/>
        </w:rPr>
        <w:t xml:space="preserve"> (D</w:t>
      </w:r>
      <w:r w:rsidR="00CB7DE8" w:rsidRPr="00CB7DE8">
        <w:rPr>
          <w:b/>
        </w:rPr>
        <w:t>ECISION</w:t>
      </w:r>
      <w:r w:rsidR="00CB7DE8">
        <w:rPr>
          <w:b/>
        </w:rPr>
        <w:t xml:space="preserve"> 81/69)</w:t>
      </w:r>
    </w:p>
    <w:p w14:paraId="778E0655" w14:textId="77777777" w:rsidR="00502FEE" w:rsidRDefault="00502FEE" w:rsidP="00502FEE">
      <w:pPr>
        <w:pStyle w:val="Heading1"/>
        <w:numPr>
          <w:ilvl w:val="0"/>
          <w:numId w:val="0"/>
        </w:numPr>
        <w:tabs>
          <w:tab w:val="left" w:pos="720"/>
        </w:tabs>
        <w:rPr>
          <w:b/>
        </w:rPr>
      </w:pPr>
    </w:p>
    <w:p w14:paraId="1E95E923" w14:textId="77777777" w:rsidR="00502FEE" w:rsidRDefault="00502FEE" w:rsidP="00502FEE">
      <w:pPr>
        <w:pStyle w:val="Heading1"/>
        <w:numPr>
          <w:ilvl w:val="0"/>
          <w:numId w:val="0"/>
        </w:numPr>
        <w:tabs>
          <w:tab w:val="left" w:pos="720"/>
        </w:tabs>
        <w:rPr>
          <w:b/>
        </w:rPr>
      </w:pPr>
      <w:r>
        <w:rPr>
          <w:b/>
        </w:rPr>
        <w:t>BACKGROUND</w:t>
      </w:r>
    </w:p>
    <w:p w14:paraId="781D99BC" w14:textId="32CDCFF3" w:rsidR="00502FEE" w:rsidRDefault="00502FEE" w:rsidP="00502FEE">
      <w:pPr>
        <w:pStyle w:val="Heading1"/>
      </w:pPr>
      <w:r>
        <w:t>At its 80</w:t>
      </w:r>
      <w:r>
        <w:rPr>
          <w:vertAlign w:val="superscript"/>
        </w:rPr>
        <w:t>th</w:t>
      </w:r>
      <w:r>
        <w:t xml:space="preserve"> meeting, the Executive Committee considered the document on the consolidated business plan of the Multilateral Fund for 2018-2020.</w:t>
      </w:r>
      <w:r>
        <w:rPr>
          <w:rStyle w:val="FootnoteReference"/>
        </w:rPr>
        <w:footnoteReference w:id="1"/>
      </w:r>
      <w:r>
        <w:t xml:space="preserve"> The document included a section on the capacity of the Multilateral Fund to address HFC phase-down, noting that the implementation of the Kigali Amendment could expand the scope and complexity of the work of the Executive Committee, the implementing agencies, the Secretariat and the Treasurer. </w:t>
      </w:r>
      <w:r>
        <w:rPr>
          <w:lang w:val="en-CA"/>
        </w:rPr>
        <w:t>Subsequent to a discussion, where some members pointed out that responsibilities under the Kigali Amendment and in other areas would entail additional work in the future for the Fund's institutions, the Executive Committee requested</w:t>
      </w:r>
      <w:r>
        <w:t xml:space="preserve"> the Secretariat to submit to the 81</w:t>
      </w:r>
      <w:r>
        <w:rPr>
          <w:vertAlign w:val="superscript"/>
        </w:rPr>
        <w:t>st </w:t>
      </w:r>
      <w:r>
        <w:t>meeting a document on the implications for Multilateral Fund institutions in terms of expected workload in the coming years, including in relation to the Kigali Amendment for the phase-down of HFCs (decision</w:t>
      </w:r>
      <w:r w:rsidR="00AA1E26">
        <w:t> </w:t>
      </w:r>
      <w:r>
        <w:t>80/34(f)).</w:t>
      </w:r>
    </w:p>
    <w:p w14:paraId="229FC014" w14:textId="77777777" w:rsidR="00502FEE" w:rsidRPr="00F84680" w:rsidRDefault="00502FEE" w:rsidP="00502FEE">
      <w:pPr>
        <w:pStyle w:val="Heading1"/>
      </w:pPr>
      <w:r>
        <w:t xml:space="preserve">In </w:t>
      </w:r>
      <w:r w:rsidRPr="00F84680">
        <w:t>line with decision 80/34(f), at its 81</w:t>
      </w:r>
      <w:r w:rsidRPr="00F84680">
        <w:rPr>
          <w:vertAlign w:val="superscript"/>
        </w:rPr>
        <w:t>st</w:t>
      </w:r>
      <w:r w:rsidRPr="00F84680">
        <w:t xml:space="preserve"> meeting the Executive Committee considered the document on Implications for Multilateral Fund institutions in terms of expected workload in the coming years, including in relation to the Kigali Amendment for the phase-down of HFCs.</w:t>
      </w:r>
      <w:r w:rsidRPr="00F84680">
        <w:rPr>
          <w:rStyle w:val="FootnoteReference"/>
        </w:rPr>
        <w:footnoteReference w:id="2"/>
      </w:r>
      <w:r w:rsidRPr="00F84680">
        <w:t xml:space="preserve"> During the discussion, it was acknowledged that certain aspects needed further consideration, including whether HCFC phase-out and HFC phase-down activities were to be carried out in parallel or in an integrated manner, the implications of that balance for replenishment levels and resource availability, cost-effectiveness, implementation and reporting, and the capacities of Fund institutions and Article 5 countries to carry out such work. Other aspects that merited further discussion, included partnerships and co-financing to generate co-benefits in areas such as climate change and energy efficiency.</w:t>
      </w:r>
    </w:p>
    <w:p w14:paraId="65987FA1" w14:textId="1FCEA1FC" w:rsidR="00502FEE" w:rsidRPr="00F84680" w:rsidRDefault="00502FEE" w:rsidP="00CB7DE8">
      <w:pPr>
        <w:pStyle w:val="Heading1"/>
        <w:keepNext/>
      </w:pPr>
      <w:r>
        <w:lastRenderedPageBreak/>
        <w:t xml:space="preserve">Accordingly, the Executive </w:t>
      </w:r>
      <w:r w:rsidRPr="00F84680">
        <w:t xml:space="preserve">Committee </w:t>
      </w:r>
      <w:r w:rsidR="00AA1E26">
        <w:rPr>
          <w:i/>
        </w:rPr>
        <w:t xml:space="preserve">inter </w:t>
      </w:r>
      <w:r w:rsidRPr="00F84680">
        <w:rPr>
          <w:i/>
        </w:rPr>
        <w:t xml:space="preserve">alia </w:t>
      </w:r>
      <w:r w:rsidRPr="00F84680">
        <w:t>requested the Secretariat:</w:t>
      </w:r>
    </w:p>
    <w:p w14:paraId="26651E74" w14:textId="1A51C791" w:rsidR="00502FEE" w:rsidRPr="004923E6" w:rsidRDefault="00502FEE" w:rsidP="00CB7DE8">
      <w:pPr>
        <w:pStyle w:val="Heading2"/>
        <w:widowControl/>
        <w:numPr>
          <w:ilvl w:val="1"/>
          <w:numId w:val="1"/>
        </w:numPr>
      </w:pPr>
      <w:r w:rsidRPr="00F84680">
        <w:t>To submit to the 84</w:t>
      </w:r>
      <w:r w:rsidRPr="00F84680">
        <w:rPr>
          <w:vertAlign w:val="superscript"/>
        </w:rPr>
        <w:t>th</w:t>
      </w:r>
      <w:r w:rsidRPr="00F84680">
        <w:t xml:space="preserve"> meeting an analysis, conducted in consultation with the bilateral and implementing agencies, of the implications of parallel or integrated implementation of </w:t>
      </w:r>
      <w:r w:rsidRPr="004923E6">
        <w:t xml:space="preserve">HCFC phase-out and HFC phase-down activities, taking into account, </w:t>
      </w:r>
      <w:r w:rsidRPr="004923E6">
        <w:rPr>
          <w:i/>
        </w:rPr>
        <w:t>inter alia</w:t>
      </w:r>
      <w:r w:rsidRPr="004923E6">
        <w:t xml:space="preserve">, resource availability and cost-effectiveness and the capacity of Fund institutions and Article 5 countries, especially national ozone units </w:t>
      </w:r>
      <w:r w:rsidR="00AA1E26">
        <w:t xml:space="preserve">(NOUs) </w:t>
      </w:r>
      <w:r w:rsidRPr="004923E6">
        <w:t>and programme management units</w:t>
      </w:r>
      <w:r w:rsidR="00AA1E26">
        <w:t xml:space="preserve"> (PMUs)</w:t>
      </w:r>
      <w:r w:rsidRPr="004923E6">
        <w:t xml:space="preserve">; and </w:t>
      </w:r>
    </w:p>
    <w:p w14:paraId="104E0F40" w14:textId="77777777" w:rsidR="00502FEE" w:rsidRPr="004923E6" w:rsidRDefault="00502FEE" w:rsidP="00502FEE">
      <w:pPr>
        <w:pStyle w:val="Heading2"/>
        <w:numPr>
          <w:ilvl w:val="1"/>
          <w:numId w:val="1"/>
        </w:numPr>
      </w:pPr>
      <w:r w:rsidRPr="004923E6">
        <w:t>To take into account in the analysis relevant partnerships and the engagement of Fund institutions with other institutions, particularly in HFC phase</w:t>
      </w:r>
      <w:r w:rsidRPr="004923E6">
        <w:noBreakHyphen/>
        <w:t>down activities, supported by the Multilateral Fund, in line with the Kigali Amendment (decision 81/69).</w:t>
      </w:r>
    </w:p>
    <w:p w14:paraId="1DABCC30" w14:textId="77777777" w:rsidR="00502FEE" w:rsidRPr="0011001E" w:rsidRDefault="00502FEE" w:rsidP="00502FEE">
      <w:pPr>
        <w:pStyle w:val="StyleHeader4Para4Left0Firstline0"/>
        <w:numPr>
          <w:ilvl w:val="0"/>
          <w:numId w:val="0"/>
        </w:numPr>
        <w:rPr>
          <w:b/>
          <w:sz w:val="22"/>
        </w:rPr>
      </w:pPr>
      <w:r w:rsidRPr="004923E6">
        <w:rPr>
          <w:b/>
          <w:sz w:val="22"/>
        </w:rPr>
        <w:t>Scope and structure of the document</w:t>
      </w:r>
    </w:p>
    <w:p w14:paraId="62C52148" w14:textId="77777777" w:rsidR="00502FEE" w:rsidRPr="004923E6" w:rsidRDefault="00502FEE" w:rsidP="00502FEE">
      <w:pPr>
        <w:pStyle w:val="Heading1"/>
      </w:pPr>
      <w:r w:rsidRPr="004923E6">
        <w:t>The Secretariat has prepared this preliminary document in response to decision 81/69.</w:t>
      </w:r>
    </w:p>
    <w:p w14:paraId="3F9AAAD0" w14:textId="77777777" w:rsidR="00502FEE" w:rsidRDefault="00502FEE" w:rsidP="00502FEE">
      <w:pPr>
        <w:pStyle w:val="Heading1"/>
      </w:pPr>
      <w:r w:rsidRPr="00E758FD">
        <w:t xml:space="preserve">In the context of the Multilateral Fund, the terms “parallel” implementation and “integrated” implementation have not been defined </w:t>
      </w:r>
      <w:r w:rsidRPr="00F84680">
        <w:rPr>
          <w:i/>
        </w:rPr>
        <w:t>per se</w:t>
      </w:r>
      <w:r w:rsidRPr="00E758FD">
        <w:t>. However, throughout the history of the Fund,</w:t>
      </w:r>
      <w:r>
        <w:t xml:space="preserve"> </w:t>
      </w:r>
      <w:r w:rsidRPr="00E758FD">
        <w:t xml:space="preserve">phase-out activities have been implemented in a “parallel” </w:t>
      </w:r>
      <w:r>
        <w:t>and/</w:t>
      </w:r>
      <w:r w:rsidRPr="00E758FD">
        <w:t>or “integrated” manner</w:t>
      </w:r>
      <w:r>
        <w:t>, as illustrated below</w:t>
      </w:r>
      <w:r w:rsidRPr="00E758FD">
        <w:t>.</w:t>
      </w:r>
      <w:r>
        <w:t xml:space="preserve"> </w:t>
      </w:r>
    </w:p>
    <w:p w14:paraId="2B97B75E" w14:textId="77777777" w:rsidR="00502FEE" w:rsidRDefault="00502FEE" w:rsidP="00502FEE">
      <w:pPr>
        <w:pStyle w:val="Heading1"/>
      </w:pPr>
      <w:r>
        <w:t xml:space="preserve">Since </w:t>
      </w:r>
      <w:r w:rsidRPr="00E758FD">
        <w:t xml:space="preserve">the establishment of the Fund and </w:t>
      </w:r>
      <w:r>
        <w:t xml:space="preserve">up to </w:t>
      </w:r>
      <w:r w:rsidRPr="00E758FD">
        <w:t>2015, Article 5 countries were able to completely phase out their consumption and production of Annex A Group I (CFCs), Annex A Group II (halons) and Annex B Group II (CTC) substances prior to 1 January 2010; and Annex B Group III (TCA) and Annex E (MB) substances prior to 1 January 2015.</w:t>
      </w:r>
      <w:r w:rsidRPr="00E758FD">
        <w:rPr>
          <w:rStyle w:val="FootnoteReference"/>
        </w:rPr>
        <w:footnoteReference w:id="3"/>
      </w:r>
      <w:r w:rsidRPr="00E758FD">
        <w:t xml:space="preserve"> During this process, the majority of the phase-out of controlled substances was achieved through stand-alone investment projects and/or technical assistance programmes that were implemented concurrently, i.e., “parallel” implementation. </w:t>
      </w:r>
    </w:p>
    <w:p w14:paraId="766267C3" w14:textId="4A3F4EB1" w:rsidR="00502FEE" w:rsidRPr="00E758FD" w:rsidRDefault="00502FEE" w:rsidP="00502FEE">
      <w:pPr>
        <w:pStyle w:val="Heading1"/>
      </w:pPr>
      <w:r w:rsidRPr="00E758FD">
        <w:t xml:space="preserve">Towards the end of the 2010 compliance target for CFCs and halons, several Article 5 countries developed national phase-out plans </w:t>
      </w:r>
      <w:r w:rsidR="00AA1E26">
        <w:t xml:space="preserve">(NPPs) </w:t>
      </w:r>
      <w:r w:rsidRPr="00E758FD">
        <w:t xml:space="preserve">that involved “integrated” implementation of activities in the manufacturing sector (conversion of enterprises using different Annexes/Groups of controlled substances) and the refrigeration servicing sector. </w:t>
      </w:r>
    </w:p>
    <w:p w14:paraId="3833A325" w14:textId="2CEAEBD2" w:rsidR="00502FEE" w:rsidRDefault="00502FEE" w:rsidP="00502FEE">
      <w:pPr>
        <w:pStyle w:val="Heading1"/>
      </w:pPr>
      <w:r>
        <w:t xml:space="preserve">With the acceleration of the HCFC phase-out targets, emerging HCFC stand-alone investment projects were implemented in parallel to the remaining activities in the </w:t>
      </w:r>
      <w:r w:rsidR="00AA1E26">
        <w:t>NPPs</w:t>
      </w:r>
      <w:r>
        <w:t xml:space="preserve"> and terminal ODS phase</w:t>
      </w:r>
      <w:r w:rsidR="00AA1E26">
        <w:noBreakHyphen/>
      </w:r>
      <w:r>
        <w:t>out</w:t>
      </w:r>
      <w:r w:rsidR="00AA1E26">
        <w:t xml:space="preserve"> management plans (</w:t>
      </w:r>
      <w:r>
        <w:t>TPMPs). Subsequently, many Article 5 countries took into consideration the partnerships and structure already created by the NPPs and TPMPs when preparing their HCFC phase</w:t>
      </w:r>
      <w:r w:rsidR="00AA1E26">
        <w:noBreakHyphen/>
      </w:r>
      <w:r>
        <w:t>out management plans (HPMPs)</w:t>
      </w:r>
      <w:r w:rsidR="00736694">
        <w:t>.</w:t>
      </w:r>
      <w:r>
        <w:t xml:space="preserve"> Eventually, in a few countries outstanding activities in the refrigeration servicing sector from the NPPs and TPMPs were integrated in their HPMPs.</w:t>
      </w:r>
      <w:r w:rsidRPr="00E758FD">
        <w:t xml:space="preserve"> </w:t>
      </w:r>
    </w:p>
    <w:p w14:paraId="30068D4C" w14:textId="77777777" w:rsidR="00502FEE" w:rsidRDefault="00502FEE" w:rsidP="00502FEE">
      <w:pPr>
        <w:pStyle w:val="Heading1"/>
      </w:pPr>
      <w:r>
        <w:t>In line with the implementation modalities under the Multilateral Fund, f</w:t>
      </w:r>
      <w:r w:rsidRPr="00BA56CC">
        <w:t>or the purpose</w:t>
      </w:r>
      <w:r>
        <w:t>s</w:t>
      </w:r>
      <w:r w:rsidRPr="00BA56CC">
        <w:t xml:space="preserve"> of this document</w:t>
      </w:r>
      <w:r>
        <w:t>,</w:t>
      </w:r>
      <w:r w:rsidRPr="00BA56CC">
        <w:t xml:space="preserve"> </w:t>
      </w:r>
      <w:r>
        <w:t>“p</w:t>
      </w:r>
      <w:r w:rsidRPr="00BA56CC">
        <w:t>arallel</w:t>
      </w:r>
      <w:r>
        <w:t>”</w:t>
      </w:r>
      <w:r w:rsidRPr="00BA56CC">
        <w:t xml:space="preserve"> implementation </w:t>
      </w:r>
      <w:r>
        <w:t xml:space="preserve">refers to </w:t>
      </w:r>
      <w:r w:rsidRPr="00BA56CC">
        <w:t>HFC phase</w:t>
      </w:r>
      <w:r>
        <w:t>-</w:t>
      </w:r>
      <w:r w:rsidRPr="00BA56CC">
        <w:t xml:space="preserve">down </w:t>
      </w:r>
      <w:r>
        <w:t xml:space="preserve">activities that will have to be implemented simultaneously with ongoing HCFC phase-out activities </w:t>
      </w:r>
      <w:r w:rsidRPr="00BA56CC">
        <w:t xml:space="preserve">with separate actions </w:t>
      </w:r>
      <w:r>
        <w:t>and sometimes with different stakeholders. On the other hand, “</w:t>
      </w:r>
      <w:r w:rsidRPr="00BA56CC">
        <w:t>integrated</w:t>
      </w:r>
      <w:r>
        <w:t>”</w:t>
      </w:r>
      <w:r w:rsidRPr="00BA56CC">
        <w:t xml:space="preserve"> implementation</w:t>
      </w:r>
      <w:r>
        <w:t xml:space="preserve"> refers to the HFC phase-down activities that can be incorporated into </w:t>
      </w:r>
      <w:r w:rsidRPr="00BA56CC">
        <w:t xml:space="preserve">ongoing </w:t>
      </w:r>
      <w:r>
        <w:t xml:space="preserve">or planned </w:t>
      </w:r>
      <w:r w:rsidRPr="00BA56CC">
        <w:t>HCFC phase</w:t>
      </w:r>
      <w:r>
        <w:t>-</w:t>
      </w:r>
      <w:r w:rsidRPr="00BA56CC">
        <w:t>out activities</w:t>
      </w:r>
      <w:r>
        <w:t>, sharing specific actions and with common stakeholders</w:t>
      </w:r>
      <w:r w:rsidRPr="00BA56CC">
        <w:t>.</w:t>
      </w:r>
    </w:p>
    <w:p w14:paraId="066761B2" w14:textId="066845AC" w:rsidR="00502FEE" w:rsidRDefault="00502FEE" w:rsidP="00CB7DE8">
      <w:pPr>
        <w:pStyle w:val="Heading1"/>
        <w:keepNext/>
      </w:pPr>
      <w:r>
        <w:lastRenderedPageBreak/>
        <w:t>T</w:t>
      </w:r>
      <w:r w:rsidRPr="002742AD">
        <w:t xml:space="preserve">he </w:t>
      </w:r>
      <w:r>
        <w:t xml:space="preserve">present </w:t>
      </w:r>
      <w:r w:rsidRPr="002742AD">
        <w:t xml:space="preserve">document has been structured in </w:t>
      </w:r>
      <w:r>
        <w:t>the following three</w:t>
      </w:r>
      <w:r w:rsidRPr="002742AD">
        <w:t xml:space="preserve"> </w:t>
      </w:r>
      <w:r w:rsidR="00AA1E26">
        <w:t>part</w:t>
      </w:r>
      <w:r w:rsidRPr="002742AD">
        <w:t xml:space="preserve">s </w:t>
      </w:r>
      <w:r>
        <w:t xml:space="preserve">and </w:t>
      </w:r>
      <w:r w:rsidRPr="002742AD">
        <w:t>a recommendation</w:t>
      </w:r>
      <w:r>
        <w:t>:</w:t>
      </w:r>
      <w:r w:rsidRPr="002742AD">
        <w:t xml:space="preserve"> </w:t>
      </w:r>
    </w:p>
    <w:p w14:paraId="471BAF46" w14:textId="77777777" w:rsidR="00502FEE" w:rsidRPr="000E3956" w:rsidRDefault="00502FEE" w:rsidP="00502FEE">
      <w:pPr>
        <w:ind w:firstLine="720"/>
      </w:pPr>
      <w:r w:rsidRPr="006D6CDC">
        <w:t>I</w:t>
      </w:r>
      <w:r w:rsidRPr="006D6CDC">
        <w:tab/>
      </w:r>
      <w:proofErr w:type="gramStart"/>
      <w:r w:rsidRPr="00745993">
        <w:rPr>
          <w:u w:val="single"/>
        </w:rPr>
        <w:t>An</w:t>
      </w:r>
      <w:proofErr w:type="gramEnd"/>
      <w:r w:rsidRPr="00745993">
        <w:rPr>
          <w:u w:val="single"/>
        </w:rPr>
        <w:t xml:space="preserve"> o</w:t>
      </w:r>
      <w:r w:rsidRPr="000E3956">
        <w:rPr>
          <w:u w:val="single"/>
        </w:rPr>
        <w:t>verview of HCFC and HFC consumption and needed reductions:</w:t>
      </w:r>
    </w:p>
    <w:p w14:paraId="0C1FE075" w14:textId="77777777" w:rsidR="00502FEE" w:rsidRPr="000E3956" w:rsidRDefault="00502FEE" w:rsidP="00502FEE">
      <w:pPr>
        <w:ind w:left="1440"/>
      </w:pPr>
    </w:p>
    <w:p w14:paraId="3DF29BAE" w14:textId="4EF1D7A0" w:rsidR="00502FEE" w:rsidRDefault="00502FEE" w:rsidP="00502FEE">
      <w:pPr>
        <w:ind w:left="1440"/>
      </w:pPr>
      <w:r w:rsidRPr="000E3956">
        <w:t xml:space="preserve">In order to determine the magnitude of the additional challenge </w:t>
      </w:r>
      <w:r>
        <w:t>of commencing</w:t>
      </w:r>
      <w:r w:rsidRPr="000E3956">
        <w:t xml:space="preserve"> HFC phase</w:t>
      </w:r>
      <w:r>
        <w:t>-</w:t>
      </w:r>
      <w:r w:rsidRPr="000E3956">
        <w:t>down while HCFC</w:t>
      </w:r>
      <w:r>
        <w:t>s</w:t>
      </w:r>
      <w:r w:rsidRPr="000E3956">
        <w:t xml:space="preserve"> are still being phased out, it is </w:t>
      </w:r>
      <w:r>
        <w:t>important to understand the current levels of production and consumption of these substances, and</w:t>
      </w:r>
      <w:r w:rsidRPr="000E3956">
        <w:t xml:space="preserve"> to forecast the amounts that will need to be reduced during the 2020-2030 period. Accordingly, this </w:t>
      </w:r>
      <w:r>
        <w:t xml:space="preserve">section </w:t>
      </w:r>
      <w:r w:rsidRPr="000E3956">
        <w:t>describes the compliance phase</w:t>
      </w:r>
      <w:r w:rsidRPr="00880379">
        <w:t xml:space="preserve">-out targets for HCFCs and </w:t>
      </w:r>
      <w:r>
        <w:t>phase-</w:t>
      </w:r>
      <w:r w:rsidRPr="00AA1E26">
        <w:t>down</w:t>
      </w:r>
      <w:r w:rsidR="00736694" w:rsidRPr="00AA1E26">
        <w:t xml:space="preserve"> targets</w:t>
      </w:r>
      <w:r w:rsidRPr="00AA1E26">
        <w:t xml:space="preserve"> for</w:t>
      </w:r>
      <w:r>
        <w:t xml:space="preserve"> </w:t>
      </w:r>
      <w:r w:rsidRPr="00880379">
        <w:t>HFCs</w:t>
      </w:r>
      <w:r>
        <w:t xml:space="preserve"> for Article 5 countries; f</w:t>
      </w:r>
      <w:r w:rsidRPr="00880379">
        <w:t>orecast</w:t>
      </w:r>
      <w:r>
        <w:t>s</w:t>
      </w:r>
      <w:r w:rsidRPr="00880379">
        <w:t xml:space="preserve"> </w:t>
      </w:r>
      <w:r>
        <w:t>the 2020-2030 consumption of HCFCs and HFCs; and estimates the d</w:t>
      </w:r>
      <w:r w:rsidRPr="00880379">
        <w:t xml:space="preserve">istribution of HCFCs and HFCs </w:t>
      </w:r>
      <w:r>
        <w:t xml:space="preserve">among </w:t>
      </w:r>
      <w:r w:rsidRPr="00880379">
        <w:t xml:space="preserve">the manufacturing and refrigeration </w:t>
      </w:r>
      <w:r>
        <w:t>s</w:t>
      </w:r>
      <w:r w:rsidRPr="00880379">
        <w:t>ervicing sectors</w:t>
      </w:r>
      <w:r>
        <w:t xml:space="preserve">. </w:t>
      </w:r>
    </w:p>
    <w:p w14:paraId="1F4B3E60" w14:textId="77777777" w:rsidR="00502FEE" w:rsidRDefault="00502FEE" w:rsidP="00502FEE"/>
    <w:p w14:paraId="24A4AC63" w14:textId="77777777" w:rsidR="00502FEE" w:rsidRDefault="00502FEE" w:rsidP="00502FEE">
      <w:pPr>
        <w:ind w:left="1440" w:hanging="720"/>
      </w:pPr>
      <w:r w:rsidRPr="00880379">
        <w:t>II</w:t>
      </w:r>
      <w:r w:rsidRPr="00880379">
        <w:tab/>
      </w:r>
      <w:r w:rsidRPr="00745993">
        <w:rPr>
          <w:u w:val="single"/>
        </w:rPr>
        <w:t>Parallel or integrated implementation of HCFC phase-out and HFC phase-down activities:</w:t>
      </w:r>
    </w:p>
    <w:p w14:paraId="5C761EB1" w14:textId="77777777" w:rsidR="00502FEE" w:rsidRDefault="00502FEE" w:rsidP="00502FEE"/>
    <w:p w14:paraId="3A844624" w14:textId="77777777" w:rsidR="00502FEE" w:rsidRPr="002F7974" w:rsidRDefault="00502FEE" w:rsidP="00502FEE">
      <w:pPr>
        <w:ind w:left="1440"/>
      </w:pPr>
      <w:r w:rsidRPr="002F7974">
        <w:t xml:space="preserve">This section reviews the variables that have an influence on whether activities </w:t>
      </w:r>
      <w:r>
        <w:t>could</w:t>
      </w:r>
      <w:r w:rsidRPr="002F7974">
        <w:t xml:space="preserve"> be implemented in an integrated manner</w:t>
      </w:r>
      <w:r>
        <w:t xml:space="preserve"> or in </w:t>
      </w:r>
      <w:r w:rsidRPr="002F7974">
        <w:t xml:space="preserve">parallel; and presents an analysis of the extent to which HCFC phase-out and HFC phase-down activities are expected to be </w:t>
      </w:r>
      <w:r>
        <w:t xml:space="preserve">implemented in an </w:t>
      </w:r>
      <w:r w:rsidRPr="002F7974">
        <w:t>integrated</w:t>
      </w:r>
      <w:r>
        <w:t xml:space="preserve"> or </w:t>
      </w:r>
      <w:r w:rsidRPr="002F7974">
        <w:t>parallel</w:t>
      </w:r>
      <w:r>
        <w:t xml:space="preserve"> manner </w:t>
      </w:r>
      <w:r w:rsidRPr="002F7974">
        <w:t>in the production, consumption manufacturing and refrigeration servicing sectors during the 2020-2030 period. For each of these sectors, the analysis covers matters related to resource availability and cost-effectiveness; the capacity o</w:t>
      </w:r>
      <w:r>
        <w:t>f Fund institutions and Article </w:t>
      </w:r>
      <w:r w:rsidRPr="002F7974">
        <w:t>5</w:t>
      </w:r>
      <w:r>
        <w:t> </w:t>
      </w:r>
      <w:r w:rsidRPr="002F7974">
        <w:t xml:space="preserve">countries; and areas requiring policies to be formulated by the Executive Committee. </w:t>
      </w:r>
    </w:p>
    <w:p w14:paraId="7F83A4BF" w14:textId="77777777" w:rsidR="00502FEE" w:rsidRPr="002F7974" w:rsidRDefault="00502FEE" w:rsidP="00502FEE"/>
    <w:p w14:paraId="78543323" w14:textId="77777777" w:rsidR="00502FEE" w:rsidRPr="002F7974" w:rsidRDefault="00502FEE" w:rsidP="00502FEE">
      <w:pPr>
        <w:ind w:firstLine="720"/>
        <w:rPr>
          <w:u w:val="single"/>
        </w:rPr>
      </w:pPr>
      <w:r w:rsidRPr="002F7974">
        <w:t>III</w:t>
      </w:r>
      <w:r w:rsidRPr="002F7974">
        <w:tab/>
      </w:r>
      <w:r w:rsidRPr="002F7974">
        <w:rPr>
          <w:u w:val="single"/>
        </w:rPr>
        <w:t>Observations:</w:t>
      </w:r>
    </w:p>
    <w:p w14:paraId="513ABA61" w14:textId="77777777" w:rsidR="00502FEE" w:rsidRPr="002F7974" w:rsidRDefault="00502FEE" w:rsidP="00502FEE">
      <w:pPr>
        <w:ind w:firstLine="720"/>
      </w:pPr>
      <w:r w:rsidRPr="002F7974">
        <w:tab/>
      </w:r>
    </w:p>
    <w:p w14:paraId="550CEE08" w14:textId="77777777" w:rsidR="00502FEE" w:rsidRDefault="00502FEE" w:rsidP="00502FEE">
      <w:pPr>
        <w:ind w:left="1440" w:hanging="720"/>
      </w:pPr>
      <w:r w:rsidRPr="002F7974">
        <w:tab/>
        <w:t>This part presents a set of observations by the Secretariat based on the analysis contained in the document</w:t>
      </w:r>
      <w:r>
        <w:t>, the last of which contains a recommendation</w:t>
      </w:r>
      <w:r w:rsidRPr="002F7974">
        <w:t>.</w:t>
      </w:r>
    </w:p>
    <w:p w14:paraId="6C149E17" w14:textId="77777777" w:rsidR="00502FEE" w:rsidRDefault="00502FEE" w:rsidP="00502FEE">
      <w:pPr>
        <w:rPr>
          <w:u w:val="single"/>
        </w:rPr>
      </w:pPr>
    </w:p>
    <w:p w14:paraId="6E01DBDA" w14:textId="77777777" w:rsidR="00502FEE" w:rsidRPr="00BE7FCA" w:rsidRDefault="00502FEE" w:rsidP="00502FEE">
      <w:pPr>
        <w:pStyle w:val="Heading1"/>
      </w:pPr>
      <w:r w:rsidRPr="00BE7FCA">
        <w:t>In preparing this document, the Secretariat reviewed several policy documents and associated decisions adopted by the Executive Committee that shed light on different elements of decision 81/69(a).</w:t>
      </w:r>
    </w:p>
    <w:p w14:paraId="585C3201" w14:textId="77777777" w:rsidR="00502FEE" w:rsidRDefault="00502FEE" w:rsidP="00502FEE">
      <w:pPr>
        <w:rPr>
          <w:u w:val="single"/>
        </w:rPr>
      </w:pPr>
      <w:r w:rsidRPr="00D67C3F">
        <w:rPr>
          <w:u w:val="single"/>
        </w:rPr>
        <w:t>Discussion</w:t>
      </w:r>
      <w:r>
        <w:rPr>
          <w:u w:val="single"/>
        </w:rPr>
        <w:t>s</w:t>
      </w:r>
      <w:r w:rsidRPr="00D67C3F">
        <w:rPr>
          <w:u w:val="single"/>
        </w:rPr>
        <w:t xml:space="preserve"> at the Inter-</w:t>
      </w:r>
      <w:proofErr w:type="gramStart"/>
      <w:r w:rsidRPr="00D67C3F">
        <w:rPr>
          <w:u w:val="single"/>
        </w:rPr>
        <w:t>agency</w:t>
      </w:r>
      <w:proofErr w:type="gramEnd"/>
      <w:r w:rsidRPr="00D67C3F">
        <w:rPr>
          <w:u w:val="single"/>
        </w:rPr>
        <w:t xml:space="preserve"> Coordination Meeting</w:t>
      </w:r>
    </w:p>
    <w:p w14:paraId="63F73B49" w14:textId="77777777" w:rsidR="00502FEE" w:rsidRPr="00D67C3F" w:rsidRDefault="00502FEE" w:rsidP="00502FEE">
      <w:pPr>
        <w:rPr>
          <w:u w:val="single"/>
        </w:rPr>
      </w:pPr>
    </w:p>
    <w:p w14:paraId="1EAA4114" w14:textId="018DE1CA" w:rsidR="00502FEE" w:rsidRPr="00432A75" w:rsidRDefault="00502FEE" w:rsidP="00502FEE">
      <w:pPr>
        <w:pStyle w:val="Heading1"/>
      </w:pPr>
      <w:r>
        <w:t>During the Inter-agency Coordination Meeting hosted by the Secretariat,</w:t>
      </w:r>
      <w:r>
        <w:rPr>
          <w:rStyle w:val="FootnoteReference"/>
        </w:rPr>
        <w:footnoteReference w:id="4"/>
      </w:r>
      <w:r>
        <w:t xml:space="preserve"> </w:t>
      </w:r>
      <w:r w:rsidR="00AA1E26">
        <w:t xml:space="preserve">the Secretariat presented the structure of the analysis requested by the Committee under decision 81/69, and outlined the elements (e.g., resources available, cost-effectiveness and capacity of Fund institutions and Article 5 countries) to be considered for a parallel or integrated implementation of HCFC phase-out and HFC phase-down activities. During the discussions, </w:t>
      </w:r>
      <w:r>
        <w:t>b</w:t>
      </w:r>
      <w:r w:rsidRPr="00B775F0">
        <w:t>ilateral and implementing agencies provide</w:t>
      </w:r>
      <w:r w:rsidR="00F41D79">
        <w:t>d</w:t>
      </w:r>
      <w:r w:rsidRPr="00B775F0">
        <w:t xml:space="preserve"> comments and share</w:t>
      </w:r>
      <w:r w:rsidR="00F41D79">
        <w:t>d</w:t>
      </w:r>
      <w:r w:rsidRPr="00B775F0">
        <w:t xml:space="preserve"> </w:t>
      </w:r>
      <w:r w:rsidRPr="001277B2">
        <w:t>experience</w:t>
      </w:r>
      <w:r w:rsidR="00F41D79" w:rsidRPr="001277B2">
        <w:t>s</w:t>
      </w:r>
      <w:r w:rsidRPr="001277B2">
        <w:t xml:space="preserve"> in </w:t>
      </w:r>
      <w:r w:rsidR="00E92776" w:rsidRPr="001277B2">
        <w:t xml:space="preserve">assisting Article 5 countries to initiate activities related to </w:t>
      </w:r>
      <w:r w:rsidRPr="001277B2">
        <w:t>HFC phase</w:t>
      </w:r>
      <w:r w:rsidR="00F41D79" w:rsidRPr="001277B2">
        <w:noBreakHyphen/>
      </w:r>
      <w:r w:rsidRPr="001277B2">
        <w:t>down</w:t>
      </w:r>
      <w:r w:rsidR="00D31299" w:rsidRPr="001277B2">
        <w:t>, which were reflected in the document</w:t>
      </w:r>
      <w:r w:rsidRPr="001277B2">
        <w:t>. Prior to finalizing the present document, the Secretariat sent it to bilateral and implementing</w:t>
      </w:r>
      <w:r w:rsidRPr="00F41D79">
        <w:t xml:space="preserve"> agencies for their comments.</w:t>
      </w:r>
      <w:r w:rsidR="006C289F" w:rsidRPr="00F41D79">
        <w:t xml:space="preserve"> One bilateral agency provided comments to the document.</w:t>
      </w:r>
      <w:r w:rsidR="006C289F">
        <w:t xml:space="preserve"> </w:t>
      </w:r>
      <w:r w:rsidRPr="00432A75">
        <w:t>The Secretariat highly appreciates the insights</w:t>
      </w:r>
      <w:r>
        <w:t>,</w:t>
      </w:r>
      <w:r w:rsidRPr="00432A75">
        <w:t xml:space="preserve"> information </w:t>
      </w:r>
      <w:r>
        <w:t xml:space="preserve">and comments </w:t>
      </w:r>
      <w:r w:rsidRPr="00432A75">
        <w:t>provided by the bilateral and implementing agencies.</w:t>
      </w:r>
    </w:p>
    <w:p w14:paraId="048F62C7" w14:textId="2C392F81" w:rsidR="00502FEE" w:rsidRDefault="00502FEE" w:rsidP="00502FEE">
      <w:pPr>
        <w:rPr>
          <w:b/>
        </w:rPr>
      </w:pPr>
      <w:r>
        <w:rPr>
          <w:b/>
        </w:rPr>
        <w:t>PART I</w:t>
      </w:r>
      <w:r>
        <w:rPr>
          <w:b/>
        </w:rPr>
        <w:tab/>
        <w:t>AN OVERVIEW OF CONSUMPTION OF HCFC</w:t>
      </w:r>
      <w:r w:rsidR="00395D8E">
        <w:rPr>
          <w:b/>
        </w:rPr>
        <w:t>s</w:t>
      </w:r>
      <w:r>
        <w:rPr>
          <w:b/>
        </w:rPr>
        <w:t xml:space="preserve"> AND HFC</w:t>
      </w:r>
      <w:r w:rsidR="00395D8E">
        <w:rPr>
          <w:b/>
        </w:rPr>
        <w:t>s</w:t>
      </w:r>
    </w:p>
    <w:p w14:paraId="0BCD1CDA" w14:textId="77777777" w:rsidR="00502FEE" w:rsidRDefault="00502FEE" w:rsidP="00502FEE"/>
    <w:p w14:paraId="56D87F48" w14:textId="5DC8B243" w:rsidR="00502FEE" w:rsidRDefault="00502FEE" w:rsidP="00502FEE">
      <w:pPr>
        <w:pStyle w:val="Heading1"/>
      </w:pPr>
      <w:r w:rsidRPr="000E3956">
        <w:t xml:space="preserve">In order to determine the magnitude of the additional challenge </w:t>
      </w:r>
      <w:r>
        <w:t>of starting</w:t>
      </w:r>
      <w:r w:rsidRPr="000E3956">
        <w:t xml:space="preserve"> HFC phase</w:t>
      </w:r>
      <w:r w:rsidR="00F41D79">
        <w:noBreakHyphen/>
      </w:r>
      <w:r w:rsidRPr="000E3956">
        <w:t>down while HCFC</w:t>
      </w:r>
      <w:r>
        <w:t>s</w:t>
      </w:r>
      <w:r w:rsidRPr="000E3956">
        <w:t xml:space="preserve"> are still being phased out, it is necessary to forecast the levels of consumption of these controlled substances and </w:t>
      </w:r>
      <w:r>
        <w:t xml:space="preserve">the </w:t>
      </w:r>
      <w:r w:rsidRPr="000E3956">
        <w:t xml:space="preserve">amounts </w:t>
      </w:r>
      <w:r>
        <w:t xml:space="preserve">that </w:t>
      </w:r>
      <w:r w:rsidRPr="000E3956">
        <w:t>will need to be reduced during the 2020</w:t>
      </w:r>
      <w:r>
        <w:t>-2030 period.</w:t>
      </w:r>
    </w:p>
    <w:p w14:paraId="4A97CDD0" w14:textId="77777777" w:rsidR="00502FEE" w:rsidRPr="00F614FE" w:rsidRDefault="00502FEE" w:rsidP="00502FEE">
      <w:pPr>
        <w:rPr>
          <w:b/>
        </w:rPr>
      </w:pPr>
      <w:r w:rsidRPr="00F614FE">
        <w:rPr>
          <w:b/>
        </w:rPr>
        <w:lastRenderedPageBreak/>
        <w:t xml:space="preserve">Compliance phase-out targets for HCFCs and HFCs </w:t>
      </w:r>
    </w:p>
    <w:p w14:paraId="3CBF8A8A" w14:textId="77777777" w:rsidR="00502FEE" w:rsidRDefault="00502FEE" w:rsidP="00502FEE"/>
    <w:p w14:paraId="1B32B224" w14:textId="6A0C52DC" w:rsidR="00502FEE" w:rsidRDefault="00502FEE" w:rsidP="001277B2">
      <w:pPr>
        <w:pStyle w:val="Heading1"/>
      </w:pPr>
      <w:r>
        <w:t>Currently, Article 5 countries are required to reduce their consumption and production of Annex</w:t>
      </w:r>
      <w:r w:rsidR="00F41D79">
        <w:t> </w:t>
      </w:r>
      <w:r>
        <w:t>C Group I substances (HCFCs) and, for those Article 5 countries that have ratified the Kigali Amendment,</w:t>
      </w:r>
      <w:r>
        <w:rPr>
          <w:rStyle w:val="FootnoteReference"/>
        </w:rPr>
        <w:footnoteReference w:id="5"/>
      </w:r>
      <w:r>
        <w:t xml:space="preserve"> their consumption and production of Annex F substances (HFCs), according to the schedules agreed under the Protocol, as shown in Table 1.</w:t>
      </w:r>
    </w:p>
    <w:p w14:paraId="02E8D909" w14:textId="77777777" w:rsidR="00502FEE" w:rsidRDefault="00502FEE" w:rsidP="00502FEE">
      <w:pPr>
        <w:keepNext/>
        <w:rPr>
          <w:b/>
          <w:lang w:val="en-CA"/>
        </w:rPr>
      </w:pPr>
      <w:r>
        <w:rPr>
          <w:b/>
          <w:lang w:val="en-CA"/>
        </w:rPr>
        <w:t>Table 1. Compliance phase-out for HCFCs and phase-down for HFCs for Article 5 countries</w:t>
      </w:r>
    </w:p>
    <w:tbl>
      <w:tblPr>
        <w:tblStyle w:val="TableGrid"/>
        <w:tblW w:w="9355" w:type="dxa"/>
        <w:tblLook w:val="04A0" w:firstRow="1" w:lastRow="0" w:firstColumn="1" w:lastColumn="0" w:noHBand="0" w:noVBand="1"/>
      </w:tblPr>
      <w:tblGrid>
        <w:gridCol w:w="2155"/>
        <w:gridCol w:w="3600"/>
        <w:gridCol w:w="3600"/>
      </w:tblGrid>
      <w:tr w:rsidR="00502FEE" w14:paraId="5751219F" w14:textId="77777777" w:rsidTr="000E7A06">
        <w:trPr>
          <w:tblHeader/>
        </w:trPr>
        <w:tc>
          <w:tcPr>
            <w:tcW w:w="2155" w:type="dxa"/>
            <w:tcBorders>
              <w:top w:val="single" w:sz="4" w:space="0" w:color="auto"/>
              <w:left w:val="single" w:sz="4" w:space="0" w:color="auto"/>
              <w:bottom w:val="single" w:sz="4" w:space="0" w:color="auto"/>
              <w:right w:val="single" w:sz="4" w:space="0" w:color="auto"/>
            </w:tcBorders>
            <w:tcMar>
              <w:top w:w="58" w:type="dxa"/>
              <w:left w:w="58" w:type="dxa"/>
              <w:bottom w:w="58" w:type="dxa"/>
              <w:right w:w="115" w:type="dxa"/>
            </w:tcMar>
            <w:hideMark/>
          </w:tcPr>
          <w:p w14:paraId="39DAEC76" w14:textId="77777777" w:rsidR="00502FEE" w:rsidRDefault="00502FEE" w:rsidP="000E7A06">
            <w:pPr>
              <w:rPr>
                <w:b/>
                <w:sz w:val="20"/>
                <w:szCs w:val="20"/>
                <w:lang w:val="en-CA"/>
              </w:rPr>
            </w:pPr>
            <w:r>
              <w:rPr>
                <w:b/>
                <w:sz w:val="20"/>
                <w:szCs w:val="20"/>
                <w:lang w:val="en-CA"/>
              </w:rPr>
              <w:t>Description</w:t>
            </w:r>
          </w:p>
        </w:tc>
        <w:tc>
          <w:tcPr>
            <w:tcW w:w="3600" w:type="dxa"/>
            <w:tcBorders>
              <w:top w:val="single" w:sz="4" w:space="0" w:color="auto"/>
              <w:left w:val="single" w:sz="4" w:space="0" w:color="auto"/>
              <w:bottom w:val="single" w:sz="4" w:space="0" w:color="auto"/>
              <w:right w:val="single" w:sz="4" w:space="0" w:color="auto"/>
            </w:tcBorders>
            <w:tcMar>
              <w:top w:w="58" w:type="dxa"/>
              <w:left w:w="108" w:type="dxa"/>
              <w:bottom w:w="58" w:type="dxa"/>
              <w:right w:w="108" w:type="dxa"/>
            </w:tcMar>
            <w:hideMark/>
          </w:tcPr>
          <w:p w14:paraId="1EAE3B92" w14:textId="77777777" w:rsidR="00502FEE" w:rsidRDefault="00502FEE" w:rsidP="000E7A06">
            <w:pPr>
              <w:jc w:val="center"/>
              <w:rPr>
                <w:b/>
                <w:sz w:val="20"/>
                <w:szCs w:val="20"/>
                <w:lang w:val="en-CA"/>
              </w:rPr>
            </w:pPr>
            <w:r>
              <w:rPr>
                <w:b/>
                <w:sz w:val="20"/>
                <w:szCs w:val="20"/>
                <w:lang w:val="en-CA"/>
              </w:rPr>
              <w:t>HCFC</w:t>
            </w:r>
          </w:p>
        </w:tc>
        <w:tc>
          <w:tcPr>
            <w:tcW w:w="3600" w:type="dxa"/>
            <w:tcBorders>
              <w:top w:val="single" w:sz="4" w:space="0" w:color="auto"/>
              <w:left w:val="single" w:sz="4" w:space="0" w:color="auto"/>
              <w:bottom w:val="single" w:sz="4" w:space="0" w:color="auto"/>
              <w:right w:val="single" w:sz="4" w:space="0" w:color="auto"/>
            </w:tcBorders>
            <w:tcMar>
              <w:top w:w="58" w:type="dxa"/>
              <w:left w:w="108" w:type="dxa"/>
              <w:bottom w:w="58" w:type="dxa"/>
              <w:right w:w="108" w:type="dxa"/>
            </w:tcMar>
            <w:hideMark/>
          </w:tcPr>
          <w:p w14:paraId="1D300C35" w14:textId="77777777" w:rsidR="00502FEE" w:rsidRDefault="00502FEE" w:rsidP="000E7A06">
            <w:pPr>
              <w:jc w:val="center"/>
              <w:rPr>
                <w:b/>
                <w:sz w:val="20"/>
                <w:szCs w:val="20"/>
                <w:lang w:val="en-CA"/>
              </w:rPr>
            </w:pPr>
            <w:r>
              <w:rPr>
                <w:b/>
                <w:sz w:val="20"/>
                <w:szCs w:val="20"/>
                <w:lang w:val="en-CA"/>
              </w:rPr>
              <w:t>HFC</w:t>
            </w:r>
          </w:p>
        </w:tc>
      </w:tr>
      <w:tr w:rsidR="00502FEE" w14:paraId="5B72776E" w14:textId="77777777" w:rsidTr="000E7A06">
        <w:tc>
          <w:tcPr>
            <w:tcW w:w="2155"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5E83BED4" w14:textId="77777777" w:rsidR="00502FEE" w:rsidRDefault="00502FEE" w:rsidP="000E7A06">
            <w:pPr>
              <w:jc w:val="left"/>
              <w:rPr>
                <w:sz w:val="20"/>
                <w:szCs w:val="20"/>
                <w:lang w:val="en-CA"/>
              </w:rPr>
            </w:pPr>
            <w:r>
              <w:rPr>
                <w:sz w:val="20"/>
                <w:szCs w:val="20"/>
                <w:lang w:val="en-CA"/>
              </w:rPr>
              <w:t>Baseline</w:t>
            </w:r>
          </w:p>
        </w:tc>
        <w:tc>
          <w:tcPr>
            <w:tcW w:w="3600"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7F3CC4B2" w14:textId="77777777" w:rsidR="00502FEE" w:rsidRDefault="00502FEE" w:rsidP="000E7A06">
            <w:pPr>
              <w:jc w:val="left"/>
              <w:rPr>
                <w:sz w:val="20"/>
                <w:szCs w:val="20"/>
                <w:lang w:val="en-CA"/>
              </w:rPr>
            </w:pPr>
            <w:r>
              <w:rPr>
                <w:sz w:val="20"/>
                <w:szCs w:val="20"/>
                <w:lang w:val="en-CA"/>
              </w:rPr>
              <w:t>Annex C Group I (HCFC)</w:t>
            </w:r>
          </w:p>
        </w:tc>
        <w:tc>
          <w:tcPr>
            <w:tcW w:w="3600"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5952E044" w14:textId="77777777" w:rsidR="00502FEE" w:rsidRDefault="00502FEE" w:rsidP="000E7A06">
            <w:pPr>
              <w:jc w:val="left"/>
              <w:rPr>
                <w:sz w:val="20"/>
                <w:szCs w:val="20"/>
                <w:lang w:val="en-CA"/>
              </w:rPr>
            </w:pPr>
            <w:r>
              <w:rPr>
                <w:sz w:val="20"/>
                <w:szCs w:val="20"/>
                <w:lang w:val="en-CA"/>
              </w:rPr>
              <w:t>Annex F (HFC) and 65% of baseline of Annex C Group I</w:t>
            </w:r>
          </w:p>
        </w:tc>
      </w:tr>
      <w:tr w:rsidR="00502FEE" w14:paraId="66B59F98" w14:textId="77777777" w:rsidTr="000E7A06">
        <w:tc>
          <w:tcPr>
            <w:tcW w:w="2155"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515C91EC" w14:textId="77777777" w:rsidR="00502FEE" w:rsidRDefault="00502FEE" w:rsidP="000E7A06">
            <w:pPr>
              <w:jc w:val="left"/>
              <w:rPr>
                <w:sz w:val="20"/>
                <w:szCs w:val="20"/>
                <w:lang w:val="en-CA"/>
              </w:rPr>
            </w:pPr>
            <w:r>
              <w:rPr>
                <w:sz w:val="20"/>
                <w:szCs w:val="20"/>
                <w:lang w:val="en-CA"/>
              </w:rPr>
              <w:t>Base years</w:t>
            </w:r>
          </w:p>
        </w:tc>
        <w:tc>
          <w:tcPr>
            <w:tcW w:w="3600"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6756F834" w14:textId="77777777" w:rsidR="00502FEE" w:rsidRDefault="00502FEE" w:rsidP="000E7A06">
            <w:pPr>
              <w:jc w:val="left"/>
              <w:rPr>
                <w:sz w:val="20"/>
                <w:szCs w:val="20"/>
                <w:lang w:val="en-CA"/>
              </w:rPr>
            </w:pPr>
            <w:r>
              <w:rPr>
                <w:sz w:val="20"/>
                <w:szCs w:val="20"/>
                <w:lang w:val="en-CA"/>
              </w:rPr>
              <w:t>2009 and 2010</w:t>
            </w:r>
          </w:p>
        </w:tc>
        <w:tc>
          <w:tcPr>
            <w:tcW w:w="3600"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0E7CCB32" w14:textId="77777777" w:rsidR="00502FEE" w:rsidRDefault="00502FEE" w:rsidP="000E7A06">
            <w:pPr>
              <w:jc w:val="left"/>
              <w:rPr>
                <w:sz w:val="20"/>
                <w:szCs w:val="20"/>
                <w:lang w:val="en-CA"/>
              </w:rPr>
            </w:pPr>
            <w:r>
              <w:rPr>
                <w:sz w:val="20"/>
                <w:szCs w:val="20"/>
                <w:lang w:val="en-CA"/>
              </w:rPr>
              <w:t>2020, 2021, 2022 for group 1 countries</w:t>
            </w:r>
            <w:r>
              <w:rPr>
                <w:rStyle w:val="FootnoteReference"/>
                <w:sz w:val="20"/>
                <w:szCs w:val="20"/>
                <w:lang w:val="en-CA"/>
              </w:rPr>
              <w:footnoteReference w:id="6"/>
            </w:r>
          </w:p>
          <w:p w14:paraId="648BEAA5" w14:textId="77777777" w:rsidR="00502FEE" w:rsidRDefault="00502FEE" w:rsidP="000E7A06">
            <w:pPr>
              <w:jc w:val="left"/>
              <w:rPr>
                <w:sz w:val="20"/>
                <w:szCs w:val="20"/>
                <w:lang w:val="en-CA"/>
              </w:rPr>
            </w:pPr>
            <w:r>
              <w:rPr>
                <w:sz w:val="20"/>
                <w:szCs w:val="20"/>
                <w:lang w:val="en-CA"/>
              </w:rPr>
              <w:t>2024, 2025, 2026 for group 2 countries</w:t>
            </w:r>
            <w:r>
              <w:rPr>
                <w:rStyle w:val="FootnoteReference"/>
                <w:sz w:val="20"/>
                <w:szCs w:val="20"/>
                <w:lang w:val="en-CA"/>
              </w:rPr>
              <w:footnoteReference w:id="7"/>
            </w:r>
          </w:p>
        </w:tc>
      </w:tr>
      <w:tr w:rsidR="00502FEE" w14:paraId="71CCAD46" w14:textId="77777777" w:rsidTr="000E7A06">
        <w:tc>
          <w:tcPr>
            <w:tcW w:w="2155"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60B87A62" w14:textId="77777777" w:rsidR="00502FEE" w:rsidRDefault="00502FEE" w:rsidP="000E7A06">
            <w:pPr>
              <w:jc w:val="left"/>
              <w:rPr>
                <w:sz w:val="20"/>
                <w:szCs w:val="20"/>
                <w:lang w:val="en-CA"/>
              </w:rPr>
            </w:pPr>
            <w:r>
              <w:rPr>
                <w:sz w:val="20"/>
                <w:szCs w:val="20"/>
                <w:lang w:val="en-CA"/>
              </w:rPr>
              <w:t>Compliance schedule</w:t>
            </w:r>
          </w:p>
        </w:tc>
        <w:tc>
          <w:tcPr>
            <w:tcW w:w="3600"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203BFE96" w14:textId="77777777" w:rsidR="00502FEE" w:rsidRPr="00481D21" w:rsidRDefault="00502FEE" w:rsidP="000E7A06">
            <w:pPr>
              <w:jc w:val="left"/>
              <w:rPr>
                <w:sz w:val="20"/>
                <w:szCs w:val="20"/>
                <w:lang w:val="en-CA"/>
              </w:rPr>
            </w:pPr>
            <w:r>
              <w:rPr>
                <w:sz w:val="20"/>
                <w:szCs w:val="20"/>
                <w:lang w:val="en-CA"/>
              </w:rPr>
              <w:t>Reduction steps:</w:t>
            </w:r>
          </w:p>
          <w:p w14:paraId="38A27312" w14:textId="0D405C46" w:rsidR="00502FEE" w:rsidRDefault="00502FEE" w:rsidP="000E7A06">
            <w:pPr>
              <w:pStyle w:val="ListParagraph"/>
              <w:numPr>
                <w:ilvl w:val="0"/>
                <w:numId w:val="23"/>
              </w:numPr>
              <w:ind w:left="144" w:hanging="144"/>
              <w:jc w:val="left"/>
              <w:rPr>
                <w:sz w:val="20"/>
                <w:szCs w:val="20"/>
                <w:lang w:val="en-CA"/>
              </w:rPr>
            </w:pPr>
            <w:r>
              <w:rPr>
                <w:sz w:val="20"/>
                <w:szCs w:val="20"/>
                <w:lang w:val="en-CA"/>
              </w:rPr>
              <w:t>2013–2014: 0% of baseline</w:t>
            </w:r>
          </w:p>
          <w:p w14:paraId="4B254451" w14:textId="77777777" w:rsidR="00502FEE" w:rsidRDefault="00502FEE" w:rsidP="000E7A06">
            <w:pPr>
              <w:pStyle w:val="ListParagraph"/>
              <w:numPr>
                <w:ilvl w:val="0"/>
                <w:numId w:val="23"/>
              </w:numPr>
              <w:ind w:left="144" w:hanging="144"/>
              <w:jc w:val="left"/>
              <w:rPr>
                <w:sz w:val="20"/>
                <w:szCs w:val="20"/>
                <w:lang w:val="en-CA"/>
              </w:rPr>
            </w:pPr>
            <w:r>
              <w:rPr>
                <w:sz w:val="20"/>
                <w:szCs w:val="20"/>
                <w:lang w:val="en-CA"/>
              </w:rPr>
              <w:t>2015–2019: 10% of baseline</w:t>
            </w:r>
          </w:p>
          <w:p w14:paraId="6FBABBE7" w14:textId="77777777" w:rsidR="00502FEE" w:rsidRDefault="00502FEE" w:rsidP="000E7A06">
            <w:pPr>
              <w:pStyle w:val="ListParagraph"/>
              <w:numPr>
                <w:ilvl w:val="0"/>
                <w:numId w:val="23"/>
              </w:numPr>
              <w:ind w:left="144" w:hanging="144"/>
              <w:jc w:val="left"/>
              <w:rPr>
                <w:sz w:val="20"/>
                <w:szCs w:val="20"/>
                <w:lang w:val="en-CA"/>
              </w:rPr>
            </w:pPr>
            <w:r>
              <w:rPr>
                <w:sz w:val="20"/>
                <w:szCs w:val="20"/>
                <w:lang w:val="en-CA"/>
              </w:rPr>
              <w:t>2020–2024: 35% of baseline</w:t>
            </w:r>
          </w:p>
          <w:p w14:paraId="69C77D02" w14:textId="77777777" w:rsidR="00502FEE" w:rsidRDefault="00502FEE" w:rsidP="000E7A06">
            <w:pPr>
              <w:pStyle w:val="ListParagraph"/>
              <w:numPr>
                <w:ilvl w:val="0"/>
                <w:numId w:val="23"/>
              </w:numPr>
              <w:ind w:left="144" w:hanging="144"/>
              <w:jc w:val="left"/>
              <w:rPr>
                <w:sz w:val="20"/>
                <w:szCs w:val="20"/>
                <w:lang w:val="en-CA"/>
              </w:rPr>
            </w:pPr>
            <w:r>
              <w:rPr>
                <w:sz w:val="20"/>
                <w:szCs w:val="20"/>
                <w:lang w:val="en-CA"/>
              </w:rPr>
              <w:t>2025–2029: 67.5% of baseline</w:t>
            </w:r>
          </w:p>
          <w:p w14:paraId="2513ABBE" w14:textId="77777777" w:rsidR="00502FEE" w:rsidRDefault="00502FEE" w:rsidP="000E7A06">
            <w:pPr>
              <w:pStyle w:val="ListParagraph"/>
              <w:numPr>
                <w:ilvl w:val="0"/>
                <w:numId w:val="23"/>
              </w:numPr>
              <w:ind w:left="144" w:hanging="144"/>
              <w:jc w:val="left"/>
              <w:rPr>
                <w:sz w:val="20"/>
                <w:szCs w:val="20"/>
                <w:lang w:val="en-CA"/>
              </w:rPr>
            </w:pPr>
            <w:r>
              <w:rPr>
                <w:sz w:val="20"/>
                <w:szCs w:val="20"/>
                <w:lang w:val="en-CA"/>
              </w:rPr>
              <w:t>2030-2039: 97.5% of baseline</w:t>
            </w:r>
          </w:p>
          <w:p w14:paraId="7EB04EB8" w14:textId="714875C4" w:rsidR="00502FEE" w:rsidRDefault="00502FEE" w:rsidP="000E7A06">
            <w:pPr>
              <w:pStyle w:val="ListParagraph"/>
              <w:numPr>
                <w:ilvl w:val="0"/>
                <w:numId w:val="23"/>
              </w:numPr>
              <w:ind w:left="144" w:hanging="144"/>
              <w:jc w:val="left"/>
              <w:rPr>
                <w:sz w:val="20"/>
                <w:szCs w:val="20"/>
                <w:lang w:val="en-CA"/>
              </w:rPr>
            </w:pPr>
            <w:r>
              <w:rPr>
                <w:sz w:val="20"/>
                <w:szCs w:val="20"/>
                <w:lang w:val="en-CA"/>
              </w:rPr>
              <w:t xml:space="preserve">2040 and thereafter: </w:t>
            </w:r>
            <w:r w:rsidR="00AB3A66">
              <w:rPr>
                <w:sz w:val="20"/>
                <w:szCs w:val="20"/>
                <w:lang w:val="en-CA"/>
              </w:rPr>
              <w:t>10</w:t>
            </w:r>
            <w:r>
              <w:rPr>
                <w:sz w:val="20"/>
                <w:szCs w:val="20"/>
                <w:lang w:val="en-CA"/>
              </w:rPr>
              <w:t>0% of baseline</w:t>
            </w:r>
          </w:p>
        </w:tc>
        <w:tc>
          <w:tcPr>
            <w:tcW w:w="3600"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4CC8D99C" w14:textId="77777777" w:rsidR="00502FEE" w:rsidRDefault="00502FEE" w:rsidP="000E7A06">
            <w:pPr>
              <w:jc w:val="left"/>
              <w:rPr>
                <w:sz w:val="20"/>
                <w:szCs w:val="20"/>
                <w:lang w:val="en-CA"/>
              </w:rPr>
            </w:pPr>
            <w:r w:rsidRPr="006553D4">
              <w:rPr>
                <w:sz w:val="20"/>
                <w:szCs w:val="20"/>
                <w:lang w:val="en-CA"/>
              </w:rPr>
              <w:t>Reduction steps:</w:t>
            </w:r>
          </w:p>
          <w:p w14:paraId="50511DBF" w14:textId="77777777" w:rsidR="00502FEE" w:rsidRDefault="00502FEE" w:rsidP="000E7A06">
            <w:pPr>
              <w:jc w:val="left"/>
              <w:rPr>
                <w:sz w:val="20"/>
                <w:szCs w:val="20"/>
                <w:lang w:val="en-CA"/>
              </w:rPr>
            </w:pPr>
            <w:r>
              <w:rPr>
                <w:sz w:val="20"/>
                <w:szCs w:val="20"/>
                <w:lang w:val="en-CA"/>
              </w:rPr>
              <w:t>Group 1 countries:</w:t>
            </w:r>
          </w:p>
          <w:p w14:paraId="52EF0DB0" w14:textId="0582F88F" w:rsidR="00502FEE" w:rsidRDefault="00502FEE" w:rsidP="000E7A06">
            <w:pPr>
              <w:pStyle w:val="ListParagraph"/>
              <w:numPr>
                <w:ilvl w:val="0"/>
                <w:numId w:val="23"/>
              </w:numPr>
              <w:ind w:left="144" w:hanging="144"/>
              <w:jc w:val="left"/>
              <w:rPr>
                <w:sz w:val="20"/>
                <w:szCs w:val="20"/>
                <w:lang w:val="en-CA"/>
              </w:rPr>
            </w:pPr>
            <w:r>
              <w:rPr>
                <w:sz w:val="20"/>
                <w:szCs w:val="20"/>
                <w:lang w:val="en-CA"/>
              </w:rPr>
              <w:t>2024–2028: 0% of baseline</w:t>
            </w:r>
          </w:p>
          <w:p w14:paraId="37ED08F5" w14:textId="77777777" w:rsidR="00502FEE" w:rsidRDefault="00502FEE" w:rsidP="000E7A06">
            <w:pPr>
              <w:pStyle w:val="ListParagraph"/>
              <w:numPr>
                <w:ilvl w:val="0"/>
                <w:numId w:val="23"/>
              </w:numPr>
              <w:ind w:left="144" w:hanging="144"/>
              <w:jc w:val="left"/>
              <w:rPr>
                <w:sz w:val="20"/>
                <w:szCs w:val="20"/>
                <w:lang w:val="en-CA"/>
              </w:rPr>
            </w:pPr>
            <w:r>
              <w:rPr>
                <w:sz w:val="20"/>
                <w:szCs w:val="20"/>
                <w:lang w:val="en-CA"/>
              </w:rPr>
              <w:t>2029–2034: 10% of baseline</w:t>
            </w:r>
          </w:p>
          <w:p w14:paraId="1B7D67B0" w14:textId="77777777" w:rsidR="00502FEE" w:rsidRDefault="00502FEE" w:rsidP="000E7A06">
            <w:pPr>
              <w:pStyle w:val="ListParagraph"/>
              <w:numPr>
                <w:ilvl w:val="0"/>
                <w:numId w:val="23"/>
              </w:numPr>
              <w:ind w:left="144" w:hanging="144"/>
              <w:jc w:val="left"/>
              <w:rPr>
                <w:sz w:val="20"/>
                <w:szCs w:val="20"/>
                <w:lang w:val="en-CA"/>
              </w:rPr>
            </w:pPr>
            <w:r>
              <w:rPr>
                <w:sz w:val="20"/>
                <w:szCs w:val="20"/>
                <w:lang w:val="en-CA"/>
              </w:rPr>
              <w:t>2035–2039: 30% of baseline</w:t>
            </w:r>
          </w:p>
          <w:p w14:paraId="34FF85C2" w14:textId="77777777" w:rsidR="00502FEE" w:rsidRDefault="00502FEE" w:rsidP="000E7A06">
            <w:pPr>
              <w:pStyle w:val="ListParagraph"/>
              <w:numPr>
                <w:ilvl w:val="0"/>
                <w:numId w:val="23"/>
              </w:numPr>
              <w:ind w:left="144" w:hanging="144"/>
              <w:jc w:val="left"/>
              <w:rPr>
                <w:sz w:val="20"/>
                <w:szCs w:val="20"/>
                <w:lang w:val="en-CA"/>
              </w:rPr>
            </w:pPr>
            <w:r>
              <w:rPr>
                <w:sz w:val="20"/>
                <w:szCs w:val="20"/>
                <w:lang w:val="en-CA"/>
              </w:rPr>
              <w:t>2040–2044: 50% of baseline</w:t>
            </w:r>
          </w:p>
          <w:p w14:paraId="49BB2D81" w14:textId="77777777" w:rsidR="00502FEE" w:rsidRDefault="00502FEE" w:rsidP="000E7A06">
            <w:pPr>
              <w:pStyle w:val="ListParagraph"/>
              <w:numPr>
                <w:ilvl w:val="0"/>
                <w:numId w:val="23"/>
              </w:numPr>
              <w:ind w:left="144" w:hanging="144"/>
              <w:jc w:val="left"/>
              <w:rPr>
                <w:sz w:val="20"/>
                <w:szCs w:val="20"/>
                <w:lang w:val="en-CA"/>
              </w:rPr>
            </w:pPr>
            <w:r>
              <w:rPr>
                <w:sz w:val="20"/>
                <w:szCs w:val="20"/>
                <w:lang w:val="en-CA"/>
              </w:rPr>
              <w:t xml:space="preserve">2045 and thereafter: 80% of baseline </w:t>
            </w:r>
          </w:p>
          <w:p w14:paraId="2CCD9963" w14:textId="77777777" w:rsidR="00502FEE" w:rsidRDefault="00502FEE" w:rsidP="000E7A06">
            <w:pPr>
              <w:jc w:val="left"/>
              <w:rPr>
                <w:sz w:val="20"/>
                <w:szCs w:val="20"/>
                <w:lang w:val="en-CA"/>
              </w:rPr>
            </w:pPr>
            <w:r>
              <w:rPr>
                <w:sz w:val="20"/>
                <w:szCs w:val="20"/>
                <w:lang w:val="en-CA"/>
              </w:rPr>
              <w:t xml:space="preserve">Group 2 countries: </w:t>
            </w:r>
          </w:p>
          <w:p w14:paraId="6682378A" w14:textId="3C063A14" w:rsidR="00502FEE" w:rsidRDefault="00502FEE" w:rsidP="000E7A06">
            <w:pPr>
              <w:pStyle w:val="ListParagraph"/>
              <w:numPr>
                <w:ilvl w:val="0"/>
                <w:numId w:val="23"/>
              </w:numPr>
              <w:ind w:left="144" w:hanging="144"/>
              <w:jc w:val="left"/>
              <w:rPr>
                <w:sz w:val="20"/>
                <w:szCs w:val="20"/>
                <w:lang w:val="en-CA"/>
              </w:rPr>
            </w:pPr>
            <w:r>
              <w:rPr>
                <w:sz w:val="20"/>
                <w:szCs w:val="20"/>
                <w:lang w:val="en-CA"/>
              </w:rPr>
              <w:t>2028–2031: 0% of baseline</w:t>
            </w:r>
          </w:p>
          <w:p w14:paraId="2C999B66" w14:textId="77777777" w:rsidR="00502FEE" w:rsidRDefault="00502FEE" w:rsidP="000E7A06">
            <w:pPr>
              <w:pStyle w:val="ListParagraph"/>
              <w:numPr>
                <w:ilvl w:val="0"/>
                <w:numId w:val="23"/>
              </w:numPr>
              <w:ind w:left="144" w:hanging="144"/>
              <w:jc w:val="left"/>
              <w:rPr>
                <w:sz w:val="20"/>
                <w:szCs w:val="20"/>
                <w:lang w:val="en-CA"/>
              </w:rPr>
            </w:pPr>
            <w:r>
              <w:rPr>
                <w:sz w:val="20"/>
                <w:szCs w:val="20"/>
                <w:lang w:val="en-CA"/>
              </w:rPr>
              <w:t>2032–2036: 10% of baseline</w:t>
            </w:r>
          </w:p>
          <w:p w14:paraId="1BEB71F9" w14:textId="77777777" w:rsidR="00502FEE" w:rsidRDefault="00502FEE" w:rsidP="000E7A06">
            <w:pPr>
              <w:pStyle w:val="ListParagraph"/>
              <w:numPr>
                <w:ilvl w:val="0"/>
                <w:numId w:val="23"/>
              </w:numPr>
              <w:ind w:left="144" w:hanging="144"/>
              <w:jc w:val="left"/>
              <w:rPr>
                <w:sz w:val="20"/>
                <w:szCs w:val="20"/>
                <w:lang w:val="en-CA"/>
              </w:rPr>
            </w:pPr>
            <w:r>
              <w:rPr>
                <w:sz w:val="20"/>
                <w:szCs w:val="20"/>
                <w:lang w:val="en-CA"/>
              </w:rPr>
              <w:t>2037–2041: 20% of baseline</w:t>
            </w:r>
          </w:p>
          <w:p w14:paraId="32800FBC" w14:textId="357E5711" w:rsidR="00502FEE" w:rsidRDefault="00502FEE" w:rsidP="000E7A06">
            <w:pPr>
              <w:pStyle w:val="ListParagraph"/>
              <w:numPr>
                <w:ilvl w:val="0"/>
                <w:numId w:val="23"/>
              </w:numPr>
              <w:ind w:left="144" w:hanging="144"/>
              <w:jc w:val="left"/>
              <w:rPr>
                <w:sz w:val="20"/>
                <w:szCs w:val="20"/>
                <w:lang w:val="en-CA"/>
              </w:rPr>
            </w:pPr>
            <w:r>
              <w:rPr>
                <w:sz w:val="20"/>
                <w:szCs w:val="20"/>
                <w:lang w:val="en-CA"/>
              </w:rPr>
              <w:t>2042</w:t>
            </w:r>
            <w:r w:rsidR="00F41D79">
              <w:rPr>
                <w:sz w:val="20"/>
                <w:szCs w:val="20"/>
                <w:lang w:val="en-CA"/>
              </w:rPr>
              <w:noBreakHyphen/>
            </w:r>
            <w:r>
              <w:rPr>
                <w:sz w:val="20"/>
                <w:szCs w:val="20"/>
                <w:lang w:val="en-CA"/>
              </w:rPr>
              <w:t>2046: 30% of baseline</w:t>
            </w:r>
          </w:p>
          <w:p w14:paraId="75E87490" w14:textId="77777777" w:rsidR="00502FEE" w:rsidRDefault="00502FEE" w:rsidP="000E7A06">
            <w:pPr>
              <w:pStyle w:val="ListParagraph"/>
              <w:numPr>
                <w:ilvl w:val="0"/>
                <w:numId w:val="23"/>
              </w:numPr>
              <w:ind w:left="144" w:hanging="144"/>
              <w:jc w:val="left"/>
              <w:rPr>
                <w:sz w:val="20"/>
                <w:szCs w:val="20"/>
                <w:lang w:val="en-CA"/>
              </w:rPr>
            </w:pPr>
            <w:r>
              <w:rPr>
                <w:sz w:val="20"/>
                <w:szCs w:val="20"/>
                <w:lang w:val="en-CA"/>
              </w:rPr>
              <w:t>2047 and thereafter: 85% of baseline</w:t>
            </w:r>
          </w:p>
        </w:tc>
      </w:tr>
      <w:tr w:rsidR="00502FEE" w14:paraId="5C2ED03E" w14:textId="77777777" w:rsidTr="000E7A06">
        <w:tc>
          <w:tcPr>
            <w:tcW w:w="2155"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54204519" w14:textId="77777777" w:rsidR="00502FEE" w:rsidRDefault="00502FEE" w:rsidP="000E7A06">
            <w:pPr>
              <w:widowControl w:val="0"/>
              <w:jc w:val="left"/>
              <w:rPr>
                <w:sz w:val="20"/>
                <w:szCs w:val="20"/>
                <w:lang w:val="en-CA"/>
              </w:rPr>
            </w:pPr>
            <w:r>
              <w:rPr>
                <w:sz w:val="20"/>
                <w:szCs w:val="20"/>
                <w:lang w:val="en-CA"/>
              </w:rPr>
              <w:t xml:space="preserve">Number of controlled substances </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14" w:type="dxa"/>
            </w:tcMar>
            <w:hideMark/>
          </w:tcPr>
          <w:p w14:paraId="7507B4DC" w14:textId="77777777" w:rsidR="00502FEE" w:rsidRPr="007A36CC" w:rsidRDefault="00502FEE" w:rsidP="000E7A06">
            <w:pPr>
              <w:keepNext/>
              <w:jc w:val="left"/>
              <w:rPr>
                <w:sz w:val="20"/>
                <w:szCs w:val="20"/>
                <w:lang w:val="en-CA"/>
              </w:rPr>
            </w:pPr>
            <w:r w:rsidRPr="007A36CC">
              <w:rPr>
                <w:sz w:val="20"/>
                <w:szCs w:val="20"/>
                <w:lang w:val="en-CA"/>
              </w:rPr>
              <w:t xml:space="preserve">40, of which only 10 are consumed by Article 5 countries. </w:t>
            </w:r>
          </w:p>
          <w:p w14:paraId="43B24186" w14:textId="15561A28" w:rsidR="00502FEE" w:rsidRPr="007A36CC" w:rsidRDefault="00502FEE" w:rsidP="00F41D79">
            <w:pPr>
              <w:keepNext/>
              <w:jc w:val="left"/>
              <w:rPr>
                <w:sz w:val="20"/>
                <w:szCs w:val="20"/>
                <w:lang w:val="en-CA"/>
              </w:rPr>
            </w:pPr>
            <w:r w:rsidRPr="007A36CC">
              <w:rPr>
                <w:sz w:val="20"/>
                <w:szCs w:val="20"/>
                <w:lang w:val="en-CA"/>
              </w:rPr>
              <w:t>Over 99.0% of the aggregated HCFC baseline consists of three substances: HCFC</w:t>
            </w:r>
            <w:r w:rsidR="00F41D79">
              <w:rPr>
                <w:sz w:val="20"/>
                <w:szCs w:val="20"/>
                <w:lang w:val="en-CA"/>
              </w:rPr>
              <w:noBreakHyphen/>
            </w:r>
            <w:r w:rsidRPr="007A36CC">
              <w:rPr>
                <w:sz w:val="20"/>
                <w:szCs w:val="20"/>
                <w:lang w:val="en-CA"/>
              </w:rPr>
              <w:t>22 (60.6%), HCFC</w:t>
            </w:r>
            <w:r w:rsidR="00F41D79">
              <w:rPr>
                <w:sz w:val="20"/>
                <w:szCs w:val="20"/>
                <w:lang w:val="en-CA"/>
              </w:rPr>
              <w:noBreakHyphen/>
            </w:r>
            <w:r w:rsidRPr="007A36CC">
              <w:rPr>
                <w:sz w:val="20"/>
                <w:szCs w:val="20"/>
                <w:lang w:val="en-CA"/>
              </w:rPr>
              <w:t>141b (33.1%) and HCFC</w:t>
            </w:r>
            <w:r w:rsidR="00F41D79">
              <w:rPr>
                <w:sz w:val="20"/>
                <w:szCs w:val="20"/>
                <w:lang w:val="en-CA"/>
              </w:rPr>
              <w:noBreakHyphen/>
            </w:r>
            <w:r w:rsidRPr="007A36CC">
              <w:rPr>
                <w:sz w:val="20"/>
                <w:szCs w:val="20"/>
                <w:lang w:val="en-CA"/>
              </w:rPr>
              <w:t>142b (6.0%)</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14" w:type="dxa"/>
            </w:tcMar>
            <w:hideMark/>
          </w:tcPr>
          <w:p w14:paraId="28889736" w14:textId="3D0D2197" w:rsidR="00502FEE" w:rsidRPr="007A36CC" w:rsidRDefault="00502FEE" w:rsidP="000E7A06">
            <w:pPr>
              <w:keepNext/>
              <w:jc w:val="left"/>
              <w:rPr>
                <w:sz w:val="20"/>
                <w:szCs w:val="20"/>
                <w:lang w:val="en-CA"/>
              </w:rPr>
            </w:pPr>
            <w:r w:rsidRPr="007A36CC">
              <w:rPr>
                <w:sz w:val="20"/>
                <w:szCs w:val="20"/>
                <w:lang w:val="en-CA"/>
              </w:rPr>
              <w:t>1</w:t>
            </w:r>
            <w:r w:rsidR="00F41D79">
              <w:rPr>
                <w:sz w:val="20"/>
                <w:szCs w:val="20"/>
                <w:lang w:val="en-CA"/>
              </w:rPr>
              <w:t>7</w:t>
            </w:r>
            <w:r w:rsidRPr="007A36CC">
              <w:rPr>
                <w:sz w:val="20"/>
                <w:szCs w:val="20"/>
                <w:lang w:val="en-CA"/>
              </w:rPr>
              <w:t xml:space="preserve"> in Annex F Group I and 1 in Group II (i.e., HFC-23</w:t>
            </w:r>
            <w:r w:rsidRPr="007A36CC">
              <w:rPr>
                <w:rStyle w:val="FootnoteReference"/>
                <w:sz w:val="20"/>
                <w:szCs w:val="20"/>
                <w:lang w:val="en-CA"/>
              </w:rPr>
              <w:footnoteReference w:id="8"/>
            </w:r>
            <w:r w:rsidRPr="007A36CC">
              <w:rPr>
                <w:sz w:val="20"/>
                <w:szCs w:val="20"/>
                <w:lang w:val="en-CA"/>
              </w:rPr>
              <w:t>).</w:t>
            </w:r>
          </w:p>
          <w:p w14:paraId="1B1DAAD1" w14:textId="6EE6DF4F" w:rsidR="00502FEE" w:rsidRPr="007A36CC" w:rsidRDefault="00502FEE" w:rsidP="00F41D79">
            <w:pPr>
              <w:keepNext/>
              <w:jc w:val="left"/>
              <w:rPr>
                <w:sz w:val="20"/>
                <w:szCs w:val="20"/>
                <w:lang w:val="en-CA"/>
              </w:rPr>
            </w:pPr>
            <w:r w:rsidRPr="007A36CC">
              <w:rPr>
                <w:sz w:val="20"/>
                <w:szCs w:val="20"/>
                <w:lang w:val="en-CA"/>
              </w:rPr>
              <w:t>Over 98.5% of the aggregated HFC baseline consists of two pure substances and four blends: HFC-134a (21.6%), R</w:t>
            </w:r>
            <w:r w:rsidR="00F41D79">
              <w:rPr>
                <w:sz w:val="20"/>
                <w:szCs w:val="20"/>
                <w:lang w:val="en-CA"/>
              </w:rPr>
              <w:noBreakHyphen/>
            </w:r>
            <w:r w:rsidRPr="007A36CC">
              <w:rPr>
                <w:sz w:val="20"/>
                <w:szCs w:val="20"/>
                <w:lang w:val="en-CA"/>
              </w:rPr>
              <w:t>410A (40.1%), R</w:t>
            </w:r>
            <w:r w:rsidR="00F41D79">
              <w:rPr>
                <w:sz w:val="20"/>
                <w:szCs w:val="20"/>
                <w:lang w:val="en-CA"/>
              </w:rPr>
              <w:noBreakHyphen/>
            </w:r>
            <w:r w:rsidRPr="007A36CC">
              <w:rPr>
                <w:sz w:val="20"/>
                <w:szCs w:val="20"/>
                <w:lang w:val="en-CA"/>
              </w:rPr>
              <w:t>407C (21.8%), R</w:t>
            </w:r>
            <w:r w:rsidR="00F41D79">
              <w:rPr>
                <w:sz w:val="20"/>
                <w:szCs w:val="20"/>
                <w:lang w:val="en-CA"/>
              </w:rPr>
              <w:noBreakHyphen/>
            </w:r>
            <w:r w:rsidRPr="007A36CC">
              <w:rPr>
                <w:sz w:val="20"/>
                <w:szCs w:val="20"/>
                <w:lang w:val="en-CA"/>
              </w:rPr>
              <w:t>404A (6.9%), R</w:t>
            </w:r>
            <w:r w:rsidR="00F41D79">
              <w:rPr>
                <w:sz w:val="20"/>
                <w:szCs w:val="20"/>
                <w:lang w:val="en-CA"/>
              </w:rPr>
              <w:noBreakHyphen/>
            </w:r>
            <w:r w:rsidRPr="007A36CC">
              <w:rPr>
                <w:sz w:val="20"/>
                <w:szCs w:val="20"/>
                <w:lang w:val="en-CA"/>
              </w:rPr>
              <w:t>507A (6.9%), HFC</w:t>
            </w:r>
            <w:r w:rsidR="00F41D79">
              <w:rPr>
                <w:sz w:val="20"/>
                <w:szCs w:val="20"/>
                <w:lang w:val="en-CA"/>
              </w:rPr>
              <w:noBreakHyphen/>
            </w:r>
            <w:r w:rsidRPr="007A36CC">
              <w:rPr>
                <w:sz w:val="20"/>
                <w:szCs w:val="20"/>
                <w:lang w:val="en-CA"/>
              </w:rPr>
              <w:t>152a (1.3%)</w:t>
            </w:r>
          </w:p>
        </w:tc>
      </w:tr>
      <w:tr w:rsidR="00502FEE" w14:paraId="0B42D055" w14:textId="77777777" w:rsidTr="000E7A06">
        <w:tc>
          <w:tcPr>
            <w:tcW w:w="2155"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0AF7BCD5" w14:textId="77777777" w:rsidR="00502FEE" w:rsidRDefault="00502FEE" w:rsidP="000E7A06">
            <w:pPr>
              <w:widowControl w:val="0"/>
              <w:jc w:val="left"/>
              <w:rPr>
                <w:sz w:val="20"/>
                <w:szCs w:val="20"/>
                <w:lang w:val="en-CA"/>
              </w:rPr>
            </w:pPr>
            <w:r>
              <w:rPr>
                <w:sz w:val="20"/>
                <w:szCs w:val="20"/>
                <w:lang w:val="en-CA"/>
              </w:rPr>
              <w:t>Data reporting under Article 7 of the Protocol</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14" w:type="dxa"/>
            </w:tcMar>
            <w:hideMark/>
          </w:tcPr>
          <w:p w14:paraId="5D13F6D7" w14:textId="77777777" w:rsidR="00502FEE" w:rsidRPr="007A36CC" w:rsidRDefault="00502FEE" w:rsidP="000E7A06">
            <w:pPr>
              <w:keepNext/>
              <w:jc w:val="left"/>
              <w:rPr>
                <w:sz w:val="20"/>
                <w:szCs w:val="20"/>
                <w:lang w:val="en-CA"/>
              </w:rPr>
            </w:pPr>
            <w:r w:rsidRPr="007A36CC">
              <w:rPr>
                <w:sz w:val="20"/>
                <w:szCs w:val="20"/>
                <w:lang w:val="en-CA"/>
              </w:rPr>
              <w:t>Mandatory once a country ratifies the Montreal Protocol</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14" w:type="dxa"/>
            </w:tcMar>
            <w:hideMark/>
          </w:tcPr>
          <w:p w14:paraId="61F19089" w14:textId="61BCA7DC" w:rsidR="00502FEE" w:rsidRPr="007A36CC" w:rsidRDefault="00502FEE" w:rsidP="000E7A06">
            <w:pPr>
              <w:keepNext/>
              <w:jc w:val="left"/>
              <w:rPr>
                <w:sz w:val="20"/>
                <w:szCs w:val="20"/>
                <w:lang w:val="en-CA"/>
              </w:rPr>
            </w:pPr>
            <w:r w:rsidRPr="007A36CC">
              <w:rPr>
                <w:sz w:val="20"/>
                <w:szCs w:val="20"/>
                <w:lang w:val="en-CA"/>
              </w:rPr>
              <w:t xml:space="preserve">Mandatory once a country ratifies the Kigali Amendment (the earliest report would be </w:t>
            </w:r>
            <w:r w:rsidR="000E7A06">
              <w:rPr>
                <w:sz w:val="20"/>
                <w:szCs w:val="20"/>
                <w:lang w:val="en-CA"/>
              </w:rPr>
              <w:t>due</w:t>
            </w:r>
            <w:r w:rsidRPr="007A36CC">
              <w:rPr>
                <w:sz w:val="20"/>
                <w:szCs w:val="20"/>
                <w:lang w:val="en-CA"/>
              </w:rPr>
              <w:t xml:space="preserve"> on </w:t>
            </w:r>
            <w:r w:rsidR="00F41D79">
              <w:rPr>
                <w:sz w:val="20"/>
                <w:szCs w:val="20"/>
                <w:lang w:val="en-CA"/>
              </w:rPr>
              <w:t xml:space="preserve">30 </w:t>
            </w:r>
            <w:r w:rsidRPr="007A36CC">
              <w:rPr>
                <w:sz w:val="20"/>
                <w:szCs w:val="20"/>
                <w:lang w:val="en-CA"/>
              </w:rPr>
              <w:t>September 2020</w:t>
            </w:r>
            <w:r w:rsidR="000E7A06">
              <w:rPr>
                <w:sz w:val="20"/>
                <w:szCs w:val="20"/>
                <w:lang w:val="en-CA"/>
              </w:rPr>
              <w:t xml:space="preserve">, </w:t>
            </w:r>
            <w:r w:rsidR="00F41D79" w:rsidRPr="00F41D79">
              <w:rPr>
                <w:sz w:val="20"/>
                <w:szCs w:val="20"/>
                <w:lang w:val="en-CA"/>
              </w:rPr>
              <w:t>several</w:t>
            </w:r>
            <w:r w:rsidR="000E7A06" w:rsidRPr="00F41D79">
              <w:rPr>
                <w:sz w:val="20"/>
                <w:szCs w:val="20"/>
                <w:lang w:val="en-CA"/>
              </w:rPr>
              <w:t xml:space="preserve"> Article 5 countries already reported 2018 consumption</w:t>
            </w:r>
            <w:r w:rsidRPr="00F41D79">
              <w:rPr>
                <w:sz w:val="20"/>
                <w:szCs w:val="20"/>
                <w:lang w:val="en-CA"/>
              </w:rPr>
              <w:t>)</w:t>
            </w:r>
          </w:p>
        </w:tc>
      </w:tr>
      <w:tr w:rsidR="00502FEE" w14:paraId="66560058" w14:textId="77777777" w:rsidTr="000E7A06">
        <w:tc>
          <w:tcPr>
            <w:tcW w:w="2155"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tcPr>
          <w:p w14:paraId="1D3F0A53" w14:textId="77777777" w:rsidR="00502FEE" w:rsidRPr="003F0F5E" w:rsidRDefault="00502FEE" w:rsidP="000E7A06">
            <w:pPr>
              <w:widowControl w:val="0"/>
              <w:jc w:val="left"/>
              <w:rPr>
                <w:sz w:val="20"/>
                <w:szCs w:val="20"/>
                <w:lang w:val="en-CA"/>
              </w:rPr>
            </w:pPr>
            <w:r w:rsidRPr="003F0F5E">
              <w:rPr>
                <w:sz w:val="20"/>
                <w:szCs w:val="20"/>
                <w:lang w:val="en-CA"/>
              </w:rPr>
              <w:t>Data reporting under the CP implementation report</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14" w:type="dxa"/>
            </w:tcMar>
          </w:tcPr>
          <w:p w14:paraId="167BC388" w14:textId="77777777" w:rsidR="00502FEE" w:rsidRPr="003F0F5E" w:rsidRDefault="00502FEE" w:rsidP="000E7A06">
            <w:pPr>
              <w:keepNext/>
              <w:jc w:val="left"/>
              <w:rPr>
                <w:sz w:val="20"/>
                <w:szCs w:val="20"/>
                <w:lang w:val="en-CA"/>
              </w:rPr>
            </w:pPr>
            <w:r w:rsidRPr="003F0F5E">
              <w:rPr>
                <w:sz w:val="20"/>
                <w:szCs w:val="20"/>
                <w:lang w:val="en-CA"/>
              </w:rPr>
              <w:t>Required to access Multilateral Fund assistance</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14" w:type="dxa"/>
            </w:tcMar>
          </w:tcPr>
          <w:p w14:paraId="250906C9" w14:textId="068C0091" w:rsidR="00502FEE" w:rsidRPr="003F0F5E" w:rsidRDefault="00502FEE" w:rsidP="00A762EA">
            <w:pPr>
              <w:keepNext/>
              <w:jc w:val="left"/>
              <w:rPr>
                <w:sz w:val="20"/>
                <w:szCs w:val="20"/>
                <w:lang w:val="en-CA"/>
              </w:rPr>
            </w:pPr>
            <w:r w:rsidRPr="003F0F5E">
              <w:rPr>
                <w:sz w:val="20"/>
                <w:szCs w:val="20"/>
                <w:lang w:val="en-CA"/>
              </w:rPr>
              <w:t>Required to access Multilateral Fund assistance (the earlie</w:t>
            </w:r>
            <w:r>
              <w:rPr>
                <w:sz w:val="20"/>
                <w:szCs w:val="20"/>
                <w:lang w:val="en-CA"/>
              </w:rPr>
              <w:t>st report would be on 1</w:t>
            </w:r>
            <w:r w:rsidR="00A762EA">
              <w:rPr>
                <w:sz w:val="20"/>
                <w:szCs w:val="20"/>
                <w:lang w:val="en-CA"/>
              </w:rPr>
              <w:t> </w:t>
            </w:r>
            <w:r>
              <w:rPr>
                <w:sz w:val="20"/>
                <w:szCs w:val="20"/>
                <w:lang w:val="en-CA"/>
              </w:rPr>
              <w:t>May 2020</w:t>
            </w:r>
            <w:r w:rsidRPr="003F0F5E">
              <w:rPr>
                <w:sz w:val="20"/>
                <w:szCs w:val="20"/>
                <w:lang w:val="en-CA"/>
              </w:rPr>
              <w:t>)</w:t>
            </w:r>
          </w:p>
        </w:tc>
      </w:tr>
      <w:tr w:rsidR="00502FEE" w14:paraId="70DC20A4" w14:textId="77777777" w:rsidTr="000E7A06">
        <w:tc>
          <w:tcPr>
            <w:tcW w:w="2155"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0C581A12" w14:textId="77777777" w:rsidR="00502FEE" w:rsidRDefault="00502FEE" w:rsidP="000E7A06">
            <w:pPr>
              <w:widowControl w:val="0"/>
              <w:jc w:val="left"/>
              <w:rPr>
                <w:sz w:val="20"/>
                <w:szCs w:val="20"/>
                <w:lang w:val="en-CA"/>
              </w:rPr>
            </w:pPr>
            <w:r>
              <w:rPr>
                <w:sz w:val="20"/>
                <w:szCs w:val="20"/>
                <w:lang w:val="en-CA"/>
              </w:rPr>
              <w:t>Measurement</w:t>
            </w:r>
          </w:p>
        </w:tc>
        <w:tc>
          <w:tcPr>
            <w:tcW w:w="3600"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2AECDFCF" w14:textId="139BCA85" w:rsidR="00502FEE" w:rsidRPr="007A36CC" w:rsidRDefault="00A762EA" w:rsidP="000E7A06">
            <w:pPr>
              <w:jc w:val="left"/>
              <w:rPr>
                <w:sz w:val="20"/>
                <w:szCs w:val="20"/>
              </w:rPr>
            </w:pPr>
            <w:r>
              <w:rPr>
                <w:sz w:val="20"/>
                <w:szCs w:val="20"/>
              </w:rPr>
              <w:t xml:space="preserve">ODP </w:t>
            </w:r>
            <w:r w:rsidRPr="001277B2">
              <w:rPr>
                <w:sz w:val="20"/>
                <w:szCs w:val="20"/>
              </w:rPr>
              <w:t>tonnes (consumption and production in metric tonnes (</w:t>
            </w:r>
            <w:proofErr w:type="spellStart"/>
            <w:r w:rsidRPr="001277B2">
              <w:rPr>
                <w:sz w:val="20"/>
                <w:szCs w:val="20"/>
              </w:rPr>
              <w:t>mt</w:t>
            </w:r>
            <w:proofErr w:type="spellEnd"/>
            <w:r w:rsidRPr="001277B2">
              <w:rPr>
                <w:sz w:val="20"/>
                <w:szCs w:val="20"/>
              </w:rPr>
              <w:t xml:space="preserve">) multiplied by the ozone depleting potential (ODP) of each </w:t>
            </w:r>
            <w:r w:rsidRPr="001277B2">
              <w:rPr>
                <w:sz w:val="20"/>
                <w:szCs w:val="20"/>
              </w:rPr>
              <w:lastRenderedPageBreak/>
              <w:t>substance:</w:t>
            </w:r>
            <w:r w:rsidR="00502FEE" w:rsidRPr="001277B2">
              <w:rPr>
                <w:sz w:val="20"/>
                <w:szCs w:val="20"/>
              </w:rPr>
              <w:t xml:space="preserve"> 0.055 for HCFC</w:t>
            </w:r>
            <w:r w:rsidR="00502FEE" w:rsidRPr="001277B2">
              <w:rPr>
                <w:sz w:val="20"/>
                <w:szCs w:val="20"/>
              </w:rPr>
              <w:noBreakHyphen/>
              <w:t>22; 0.11 for HCFC</w:t>
            </w:r>
            <w:r w:rsidR="00502FEE" w:rsidRPr="001277B2">
              <w:rPr>
                <w:sz w:val="20"/>
                <w:szCs w:val="20"/>
              </w:rPr>
              <w:noBreakHyphen/>
              <w:t>141b; 0.065 for HCFC-142b</w:t>
            </w:r>
            <w:r w:rsidRPr="001277B2">
              <w:rPr>
                <w:sz w:val="20"/>
                <w:szCs w:val="20"/>
              </w:rPr>
              <w:t>)</w:t>
            </w:r>
          </w:p>
        </w:tc>
        <w:tc>
          <w:tcPr>
            <w:tcW w:w="3600"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hideMark/>
          </w:tcPr>
          <w:p w14:paraId="5C52D5AC" w14:textId="21EB38EA" w:rsidR="00502FEE" w:rsidRPr="007A36CC" w:rsidRDefault="00502FEE" w:rsidP="00F41D79">
            <w:pPr>
              <w:jc w:val="left"/>
              <w:rPr>
                <w:sz w:val="20"/>
                <w:szCs w:val="20"/>
              </w:rPr>
            </w:pPr>
            <w:r w:rsidRPr="007A36CC">
              <w:rPr>
                <w:sz w:val="20"/>
                <w:szCs w:val="20"/>
              </w:rPr>
              <w:lastRenderedPageBreak/>
              <w:t>CO</w:t>
            </w:r>
            <w:r w:rsidRPr="007A36CC">
              <w:rPr>
                <w:sz w:val="20"/>
                <w:szCs w:val="20"/>
                <w:vertAlign w:val="subscript"/>
              </w:rPr>
              <w:t>2</w:t>
            </w:r>
            <w:r w:rsidRPr="007A36CC">
              <w:rPr>
                <w:sz w:val="20"/>
                <w:szCs w:val="20"/>
              </w:rPr>
              <w:t xml:space="preserve"> equivalent (consumption</w:t>
            </w:r>
            <w:r w:rsidR="00F41D79">
              <w:rPr>
                <w:sz w:val="20"/>
                <w:szCs w:val="20"/>
              </w:rPr>
              <w:t xml:space="preserve"> and production</w:t>
            </w:r>
            <w:r w:rsidRPr="007A36CC">
              <w:rPr>
                <w:sz w:val="20"/>
                <w:szCs w:val="20"/>
              </w:rPr>
              <w:t xml:space="preserve"> in</w:t>
            </w:r>
            <w:r w:rsidR="00F41D79">
              <w:rPr>
                <w:sz w:val="20"/>
                <w:szCs w:val="20"/>
              </w:rPr>
              <w:t xml:space="preserve"> </w:t>
            </w:r>
            <w:r>
              <w:rPr>
                <w:sz w:val="20"/>
                <w:szCs w:val="20"/>
              </w:rPr>
              <w:t>metric tonnes (</w:t>
            </w:r>
            <w:proofErr w:type="spellStart"/>
            <w:r w:rsidRPr="007A36CC">
              <w:rPr>
                <w:sz w:val="20"/>
                <w:szCs w:val="20"/>
              </w:rPr>
              <w:t>mt</w:t>
            </w:r>
            <w:proofErr w:type="spellEnd"/>
            <w:r>
              <w:rPr>
                <w:sz w:val="20"/>
                <w:szCs w:val="20"/>
              </w:rPr>
              <w:t>)</w:t>
            </w:r>
            <w:r w:rsidRPr="007A36CC">
              <w:rPr>
                <w:sz w:val="20"/>
                <w:szCs w:val="20"/>
              </w:rPr>
              <w:t xml:space="preserve"> multiplied by the global</w:t>
            </w:r>
            <w:r w:rsidR="00F41D79">
              <w:rPr>
                <w:sz w:val="20"/>
                <w:szCs w:val="20"/>
              </w:rPr>
              <w:noBreakHyphen/>
            </w:r>
            <w:r>
              <w:rPr>
                <w:sz w:val="20"/>
                <w:szCs w:val="20"/>
              </w:rPr>
              <w:t>w</w:t>
            </w:r>
            <w:r w:rsidRPr="007A36CC">
              <w:rPr>
                <w:sz w:val="20"/>
                <w:szCs w:val="20"/>
              </w:rPr>
              <w:t>arming</w:t>
            </w:r>
            <w:r>
              <w:rPr>
                <w:sz w:val="20"/>
                <w:szCs w:val="20"/>
              </w:rPr>
              <w:t xml:space="preserve"> </w:t>
            </w:r>
            <w:r w:rsidRPr="007A36CC">
              <w:rPr>
                <w:sz w:val="20"/>
                <w:szCs w:val="20"/>
              </w:rPr>
              <w:t xml:space="preserve">potential (GWP) of </w:t>
            </w:r>
            <w:r w:rsidRPr="007A36CC">
              <w:rPr>
                <w:sz w:val="20"/>
                <w:szCs w:val="20"/>
              </w:rPr>
              <w:lastRenderedPageBreak/>
              <w:t>the substance, which ranges from 124 for HFC-152a to 14,800 for HFC-23</w:t>
            </w:r>
            <w:r>
              <w:rPr>
                <w:sz w:val="20"/>
                <w:szCs w:val="20"/>
              </w:rPr>
              <w:t>)</w:t>
            </w:r>
          </w:p>
        </w:tc>
      </w:tr>
      <w:tr w:rsidR="00502FEE" w14:paraId="57E7157D" w14:textId="77777777" w:rsidTr="000E7A06">
        <w:tc>
          <w:tcPr>
            <w:tcW w:w="21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14" w:type="dxa"/>
            </w:tcMar>
          </w:tcPr>
          <w:p w14:paraId="47DD28C4" w14:textId="777459D1" w:rsidR="00502FEE" w:rsidRPr="001C3CDD" w:rsidRDefault="001277B2" w:rsidP="000E7A06">
            <w:pPr>
              <w:widowControl w:val="0"/>
              <w:jc w:val="left"/>
              <w:rPr>
                <w:sz w:val="20"/>
                <w:szCs w:val="20"/>
                <w:highlight w:val="yellow"/>
                <w:lang w:val="en-CA"/>
              </w:rPr>
            </w:pPr>
            <w:r>
              <w:rPr>
                <w:sz w:val="20"/>
                <w:szCs w:val="20"/>
                <w:lang w:val="en-CA"/>
              </w:rPr>
              <w:lastRenderedPageBreak/>
              <w:t>Consuming sectors</w:t>
            </w:r>
            <w:r w:rsidR="00502FEE" w:rsidRPr="002F7974">
              <w:rPr>
                <w:sz w:val="20"/>
                <w:szCs w:val="20"/>
                <w:lang w:val="en-CA"/>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14" w:type="dxa"/>
            </w:tcMar>
          </w:tcPr>
          <w:p w14:paraId="0A71C458" w14:textId="204B20B2" w:rsidR="00502FEE" w:rsidRPr="007A36CC" w:rsidRDefault="00502FEE" w:rsidP="000E7A06">
            <w:pPr>
              <w:pStyle w:val="ListParagraph"/>
              <w:numPr>
                <w:ilvl w:val="0"/>
                <w:numId w:val="36"/>
              </w:numPr>
              <w:ind w:left="144" w:hanging="144"/>
              <w:jc w:val="left"/>
              <w:rPr>
                <w:sz w:val="20"/>
                <w:szCs w:val="20"/>
              </w:rPr>
            </w:pPr>
            <w:r w:rsidRPr="007A36CC">
              <w:rPr>
                <w:sz w:val="20"/>
                <w:szCs w:val="20"/>
              </w:rPr>
              <w:t>Manufacturing of rigid polyurethane</w:t>
            </w:r>
            <w:r w:rsidR="00F41D79">
              <w:rPr>
                <w:sz w:val="20"/>
                <w:szCs w:val="20"/>
              </w:rPr>
              <w:t xml:space="preserve"> (PU)</w:t>
            </w:r>
            <w:r w:rsidRPr="007A36CC">
              <w:rPr>
                <w:sz w:val="20"/>
                <w:szCs w:val="20"/>
              </w:rPr>
              <w:t xml:space="preserve"> and extruded polystyrene </w:t>
            </w:r>
            <w:r w:rsidR="00F41D79">
              <w:rPr>
                <w:sz w:val="20"/>
                <w:szCs w:val="20"/>
              </w:rPr>
              <w:t xml:space="preserve">(XPS) </w:t>
            </w:r>
            <w:r w:rsidRPr="007A36CC">
              <w:rPr>
                <w:sz w:val="20"/>
                <w:szCs w:val="20"/>
              </w:rPr>
              <w:t>foams</w:t>
            </w:r>
          </w:p>
          <w:p w14:paraId="49860EFA" w14:textId="06E2E8AD" w:rsidR="00502FEE" w:rsidRPr="007A36CC" w:rsidRDefault="00641A6D" w:rsidP="000E7A06">
            <w:pPr>
              <w:pStyle w:val="ListParagraph"/>
              <w:numPr>
                <w:ilvl w:val="0"/>
                <w:numId w:val="36"/>
              </w:numPr>
              <w:ind w:left="144" w:hanging="144"/>
              <w:jc w:val="left"/>
              <w:rPr>
                <w:sz w:val="20"/>
                <w:szCs w:val="20"/>
              </w:rPr>
            </w:pPr>
            <w:r>
              <w:rPr>
                <w:sz w:val="20"/>
                <w:szCs w:val="20"/>
              </w:rPr>
              <w:t xml:space="preserve">Manufacturing of air </w:t>
            </w:r>
            <w:r w:rsidR="00502FEE" w:rsidRPr="007A36CC">
              <w:rPr>
                <w:sz w:val="20"/>
                <w:szCs w:val="20"/>
              </w:rPr>
              <w:t xml:space="preserve">conditioners and commercial refrigerators </w:t>
            </w:r>
          </w:p>
          <w:p w14:paraId="36F970B3" w14:textId="77777777" w:rsidR="00502FEE" w:rsidRPr="007A36CC" w:rsidRDefault="00502FEE" w:rsidP="000E7A06">
            <w:pPr>
              <w:pStyle w:val="ListParagraph"/>
              <w:numPr>
                <w:ilvl w:val="0"/>
                <w:numId w:val="36"/>
              </w:numPr>
              <w:ind w:left="144" w:hanging="144"/>
              <w:jc w:val="left"/>
              <w:rPr>
                <w:sz w:val="20"/>
                <w:szCs w:val="20"/>
              </w:rPr>
            </w:pPr>
            <w:r w:rsidRPr="007A36CC">
              <w:rPr>
                <w:sz w:val="20"/>
                <w:szCs w:val="20"/>
              </w:rPr>
              <w:t>Solvent applications</w:t>
            </w:r>
          </w:p>
          <w:p w14:paraId="1A6561BD" w14:textId="77777777" w:rsidR="00502FEE" w:rsidRPr="007A36CC" w:rsidRDefault="00502FEE" w:rsidP="000E7A06">
            <w:pPr>
              <w:pStyle w:val="ListParagraph"/>
              <w:numPr>
                <w:ilvl w:val="0"/>
                <w:numId w:val="36"/>
              </w:numPr>
              <w:ind w:left="144" w:hanging="144"/>
              <w:jc w:val="left"/>
              <w:rPr>
                <w:sz w:val="20"/>
                <w:szCs w:val="20"/>
              </w:rPr>
            </w:pPr>
            <w:r w:rsidRPr="007A36CC">
              <w:rPr>
                <w:sz w:val="20"/>
                <w:szCs w:val="20"/>
              </w:rPr>
              <w:t>Aerosol applications</w:t>
            </w:r>
          </w:p>
          <w:p w14:paraId="3E6359EA" w14:textId="77777777" w:rsidR="00502FEE" w:rsidRPr="007A36CC" w:rsidRDefault="00502FEE" w:rsidP="000E7A06">
            <w:pPr>
              <w:pStyle w:val="ListParagraph"/>
              <w:numPr>
                <w:ilvl w:val="0"/>
                <w:numId w:val="36"/>
              </w:numPr>
              <w:ind w:left="144" w:hanging="144"/>
              <w:jc w:val="left"/>
              <w:rPr>
                <w:sz w:val="20"/>
                <w:szCs w:val="20"/>
              </w:rPr>
            </w:pPr>
            <w:r w:rsidRPr="007A36CC">
              <w:rPr>
                <w:sz w:val="20"/>
                <w:szCs w:val="20"/>
              </w:rPr>
              <w:t>Refrigeration servicing sector</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14" w:type="dxa"/>
            </w:tcMar>
          </w:tcPr>
          <w:p w14:paraId="047D4013" w14:textId="77777777" w:rsidR="00502FEE" w:rsidRPr="000E7A06" w:rsidRDefault="00502FEE" w:rsidP="000E7A06">
            <w:pPr>
              <w:jc w:val="left"/>
              <w:rPr>
                <w:sz w:val="20"/>
                <w:szCs w:val="20"/>
              </w:rPr>
            </w:pPr>
            <w:r w:rsidRPr="000E7A06">
              <w:rPr>
                <w:sz w:val="20"/>
                <w:szCs w:val="20"/>
              </w:rPr>
              <w:t>Same manufacturing and servicing sectors as for HCFCs plus:</w:t>
            </w:r>
          </w:p>
          <w:p w14:paraId="540FD91D" w14:textId="77777777" w:rsidR="00502FEE" w:rsidRPr="007A36CC" w:rsidRDefault="00502FEE" w:rsidP="000E7A06">
            <w:pPr>
              <w:pStyle w:val="ListParagraph"/>
              <w:numPr>
                <w:ilvl w:val="0"/>
                <w:numId w:val="36"/>
              </w:numPr>
              <w:ind w:left="144" w:hanging="144"/>
              <w:jc w:val="left"/>
              <w:rPr>
                <w:sz w:val="20"/>
                <w:szCs w:val="20"/>
              </w:rPr>
            </w:pPr>
            <w:r w:rsidRPr="007A36CC">
              <w:rPr>
                <w:sz w:val="20"/>
                <w:szCs w:val="20"/>
              </w:rPr>
              <w:t>Manufacturing of domestic refrigerators</w:t>
            </w:r>
          </w:p>
          <w:p w14:paraId="7F0920EC" w14:textId="77777777" w:rsidR="00502FEE" w:rsidRPr="007A36CC" w:rsidRDefault="00502FEE" w:rsidP="000E7A06">
            <w:pPr>
              <w:pStyle w:val="ListParagraph"/>
              <w:numPr>
                <w:ilvl w:val="0"/>
                <w:numId w:val="36"/>
              </w:numPr>
              <w:ind w:left="144" w:hanging="144"/>
              <w:jc w:val="left"/>
              <w:rPr>
                <w:sz w:val="20"/>
                <w:szCs w:val="20"/>
              </w:rPr>
            </w:pPr>
            <w:r w:rsidRPr="007A36CC">
              <w:rPr>
                <w:sz w:val="20"/>
                <w:szCs w:val="20"/>
              </w:rPr>
              <w:t>Manufacturing of other commercial refrigerators (e.g., based on R-404A)</w:t>
            </w:r>
          </w:p>
          <w:p w14:paraId="1C40F373" w14:textId="5B1FCD46" w:rsidR="00502FEE" w:rsidRPr="007A36CC" w:rsidRDefault="00502FEE" w:rsidP="000E7A06">
            <w:pPr>
              <w:pStyle w:val="ListParagraph"/>
              <w:numPr>
                <w:ilvl w:val="0"/>
                <w:numId w:val="36"/>
              </w:numPr>
              <w:ind w:left="144" w:hanging="144"/>
              <w:jc w:val="left"/>
              <w:rPr>
                <w:sz w:val="20"/>
                <w:szCs w:val="20"/>
              </w:rPr>
            </w:pPr>
            <w:r w:rsidRPr="007A36CC">
              <w:rPr>
                <w:sz w:val="20"/>
                <w:szCs w:val="20"/>
              </w:rPr>
              <w:t>Manufacturing and servicing mobile air</w:t>
            </w:r>
            <w:r w:rsidR="00F41D79">
              <w:rPr>
                <w:sz w:val="20"/>
                <w:szCs w:val="20"/>
              </w:rPr>
              <w:noBreakHyphen/>
            </w:r>
            <w:r w:rsidRPr="007A36CC">
              <w:rPr>
                <w:sz w:val="20"/>
                <w:szCs w:val="20"/>
              </w:rPr>
              <w:t>conditioning systems</w:t>
            </w:r>
          </w:p>
          <w:p w14:paraId="02C8440B" w14:textId="77777777" w:rsidR="00502FEE" w:rsidRPr="007A36CC" w:rsidRDefault="00502FEE" w:rsidP="000E7A06">
            <w:pPr>
              <w:pStyle w:val="ListParagraph"/>
              <w:numPr>
                <w:ilvl w:val="0"/>
                <w:numId w:val="36"/>
              </w:numPr>
              <w:ind w:left="144" w:hanging="144"/>
              <w:jc w:val="left"/>
              <w:rPr>
                <w:sz w:val="20"/>
                <w:szCs w:val="20"/>
              </w:rPr>
            </w:pPr>
            <w:r w:rsidRPr="007A36CC">
              <w:rPr>
                <w:sz w:val="20"/>
                <w:szCs w:val="20"/>
              </w:rPr>
              <w:t>Manufacturing of metered</w:t>
            </w:r>
            <w:r>
              <w:rPr>
                <w:sz w:val="20"/>
                <w:szCs w:val="20"/>
              </w:rPr>
              <w:t>-</w:t>
            </w:r>
            <w:r w:rsidRPr="007A36CC">
              <w:rPr>
                <w:sz w:val="20"/>
                <w:szCs w:val="20"/>
              </w:rPr>
              <w:t>dose</w:t>
            </w:r>
            <w:r>
              <w:rPr>
                <w:sz w:val="20"/>
                <w:szCs w:val="20"/>
              </w:rPr>
              <w:t xml:space="preserve"> </w:t>
            </w:r>
            <w:r w:rsidRPr="007A36CC">
              <w:rPr>
                <w:sz w:val="20"/>
                <w:szCs w:val="20"/>
              </w:rPr>
              <w:t>inhalers</w:t>
            </w:r>
          </w:p>
        </w:tc>
      </w:tr>
      <w:tr w:rsidR="00502FEE" w14:paraId="7B5A1CD4" w14:textId="77777777" w:rsidTr="000E7A06">
        <w:tc>
          <w:tcPr>
            <w:tcW w:w="2155"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tcPr>
          <w:p w14:paraId="57303ECB" w14:textId="36941CB5" w:rsidR="00502FEE" w:rsidRPr="001A412A" w:rsidRDefault="00502FEE" w:rsidP="000E7A06">
            <w:pPr>
              <w:widowControl w:val="0"/>
              <w:jc w:val="left"/>
              <w:rPr>
                <w:sz w:val="20"/>
                <w:szCs w:val="20"/>
                <w:lang w:val="en-CA"/>
              </w:rPr>
            </w:pPr>
            <w:r w:rsidRPr="001A412A">
              <w:rPr>
                <w:sz w:val="20"/>
                <w:szCs w:val="20"/>
                <w:lang w:val="en-CA"/>
              </w:rPr>
              <w:t xml:space="preserve">Available reference </w:t>
            </w:r>
            <w:r>
              <w:rPr>
                <w:sz w:val="20"/>
                <w:szCs w:val="20"/>
                <w:lang w:val="en-CA"/>
              </w:rPr>
              <w:t>production</w:t>
            </w:r>
            <w:r w:rsidRPr="001A412A">
              <w:rPr>
                <w:sz w:val="20"/>
                <w:szCs w:val="20"/>
                <w:lang w:val="en-CA"/>
              </w:rPr>
              <w:t xml:space="preserve"> </w:t>
            </w:r>
            <w:r>
              <w:rPr>
                <w:sz w:val="20"/>
                <w:szCs w:val="20"/>
                <w:lang w:val="en-CA"/>
              </w:rPr>
              <w:t>and co</w:t>
            </w:r>
            <w:r w:rsidRPr="001A412A">
              <w:rPr>
                <w:sz w:val="20"/>
                <w:szCs w:val="20"/>
                <w:lang w:val="en-CA"/>
              </w:rPr>
              <w:t>nsumption</w:t>
            </w:r>
            <w:r w:rsidR="00F41D79">
              <w:rPr>
                <w:rStyle w:val="FootnoteReference"/>
                <w:sz w:val="20"/>
                <w:lang w:val="en-CA"/>
              </w:rPr>
              <w:footnoteReference w:id="9"/>
            </w:r>
          </w:p>
        </w:tc>
        <w:tc>
          <w:tcPr>
            <w:tcW w:w="3600"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tcPr>
          <w:p w14:paraId="0BFA39DA" w14:textId="1C81E6F6" w:rsidR="000E7A06" w:rsidRPr="00F41D79" w:rsidRDefault="000E7A06" w:rsidP="000E7A06">
            <w:pPr>
              <w:jc w:val="left"/>
              <w:rPr>
                <w:sz w:val="20"/>
                <w:szCs w:val="20"/>
              </w:rPr>
            </w:pPr>
            <w:r w:rsidRPr="00F41D79">
              <w:rPr>
                <w:sz w:val="20"/>
                <w:szCs w:val="20"/>
              </w:rPr>
              <w:t>Production</w:t>
            </w:r>
            <w:r w:rsidR="00F41D79" w:rsidRPr="00F41D79">
              <w:rPr>
                <w:sz w:val="20"/>
                <w:szCs w:val="20"/>
              </w:rPr>
              <w:t xml:space="preserve"> (</w:t>
            </w:r>
            <w:proofErr w:type="spellStart"/>
            <w:r w:rsidR="00F41D79" w:rsidRPr="00F41D79">
              <w:rPr>
                <w:sz w:val="20"/>
                <w:szCs w:val="20"/>
              </w:rPr>
              <w:t>mt</w:t>
            </w:r>
            <w:proofErr w:type="spellEnd"/>
            <w:r w:rsidR="00F41D79" w:rsidRPr="00F41D79">
              <w:rPr>
                <w:sz w:val="20"/>
                <w:szCs w:val="20"/>
              </w:rPr>
              <w:t>)</w:t>
            </w:r>
            <w:r w:rsidRPr="00F41D79">
              <w:rPr>
                <w:sz w:val="20"/>
                <w:szCs w:val="20"/>
              </w:rPr>
              <w:t xml:space="preserve"> </w:t>
            </w:r>
          </w:p>
          <w:p w14:paraId="2B6CCB55" w14:textId="3EBF574E" w:rsidR="000E7A06" w:rsidRPr="00F41D79" w:rsidRDefault="000E7A06" w:rsidP="000E7A06">
            <w:pPr>
              <w:jc w:val="left"/>
              <w:rPr>
                <w:sz w:val="20"/>
                <w:szCs w:val="20"/>
              </w:rPr>
            </w:pPr>
            <w:r w:rsidRPr="00F41D79">
              <w:rPr>
                <w:sz w:val="20"/>
                <w:szCs w:val="20"/>
              </w:rPr>
              <w:t xml:space="preserve"> Average 2009-2010:     </w:t>
            </w:r>
            <w:r w:rsidR="00CD3C15" w:rsidRPr="00F41D79">
              <w:rPr>
                <w:sz w:val="20"/>
                <w:szCs w:val="20"/>
              </w:rPr>
              <w:t xml:space="preserve"> </w:t>
            </w:r>
            <w:r w:rsidRPr="00F41D79">
              <w:rPr>
                <w:sz w:val="20"/>
                <w:szCs w:val="20"/>
              </w:rPr>
              <w:t xml:space="preserve">   501,265 </w:t>
            </w:r>
          </w:p>
          <w:p w14:paraId="5953AFD6" w14:textId="476C894F" w:rsidR="00CD3C15" w:rsidRPr="00F41D79" w:rsidRDefault="000E7A06" w:rsidP="000E7A06">
            <w:pPr>
              <w:jc w:val="left"/>
              <w:rPr>
                <w:sz w:val="20"/>
                <w:szCs w:val="20"/>
              </w:rPr>
            </w:pPr>
            <w:r w:rsidRPr="00F41D79">
              <w:rPr>
                <w:sz w:val="20"/>
                <w:szCs w:val="20"/>
              </w:rPr>
              <w:t xml:space="preserve"> </w:t>
            </w:r>
            <w:r w:rsidR="00CD3C15" w:rsidRPr="00F41D79">
              <w:rPr>
                <w:sz w:val="20"/>
                <w:szCs w:val="20"/>
              </w:rPr>
              <w:t xml:space="preserve">Actual </w:t>
            </w:r>
            <w:r w:rsidR="00502FEE" w:rsidRPr="00F41D79">
              <w:rPr>
                <w:sz w:val="20"/>
                <w:szCs w:val="20"/>
              </w:rPr>
              <w:t>2015:</w:t>
            </w:r>
            <w:r w:rsidR="00502FEE" w:rsidRPr="00F41D79">
              <w:rPr>
                <w:sz w:val="20"/>
                <w:szCs w:val="20"/>
              </w:rPr>
              <w:tab/>
            </w:r>
            <w:r w:rsidRPr="00F41D79">
              <w:rPr>
                <w:sz w:val="20"/>
                <w:szCs w:val="20"/>
              </w:rPr>
              <w:t xml:space="preserve">              </w:t>
            </w:r>
            <w:r w:rsidR="00502FEE" w:rsidRPr="00F41D79">
              <w:rPr>
                <w:sz w:val="20"/>
                <w:szCs w:val="20"/>
              </w:rPr>
              <w:t xml:space="preserve">374,313 </w:t>
            </w:r>
          </w:p>
          <w:p w14:paraId="372300C6" w14:textId="71A70FDC" w:rsidR="000E7A06" w:rsidRPr="00F41D79" w:rsidRDefault="000E7A06" w:rsidP="000E7A06">
            <w:pPr>
              <w:jc w:val="left"/>
              <w:rPr>
                <w:sz w:val="20"/>
                <w:szCs w:val="20"/>
              </w:rPr>
            </w:pPr>
            <w:r w:rsidRPr="00F41D79">
              <w:rPr>
                <w:sz w:val="20"/>
                <w:szCs w:val="20"/>
              </w:rPr>
              <w:t xml:space="preserve"> Target 2020:</w:t>
            </w:r>
            <w:r w:rsidRPr="00F41D79">
              <w:rPr>
                <w:sz w:val="20"/>
                <w:szCs w:val="20"/>
              </w:rPr>
              <w:tab/>
              <w:t xml:space="preserve">              346,752 </w:t>
            </w:r>
          </w:p>
          <w:p w14:paraId="15B1E77B" w14:textId="440BCFE1" w:rsidR="00CD3C15" w:rsidRPr="00F41D79" w:rsidRDefault="00CD3C15" w:rsidP="000E7A06">
            <w:pPr>
              <w:jc w:val="left"/>
              <w:rPr>
                <w:sz w:val="20"/>
                <w:szCs w:val="20"/>
              </w:rPr>
            </w:pPr>
            <w:r w:rsidRPr="00F41D79">
              <w:rPr>
                <w:sz w:val="20"/>
                <w:szCs w:val="20"/>
              </w:rPr>
              <w:t xml:space="preserve"> Target 2030:                       13,33</w:t>
            </w:r>
            <w:r w:rsidR="00F41D79" w:rsidRPr="00F41D79">
              <w:rPr>
                <w:sz w:val="20"/>
                <w:szCs w:val="20"/>
              </w:rPr>
              <w:t>7</w:t>
            </w:r>
            <w:r w:rsidRPr="00F41D79">
              <w:rPr>
                <w:sz w:val="20"/>
                <w:szCs w:val="20"/>
              </w:rPr>
              <w:t xml:space="preserve"> </w:t>
            </w:r>
          </w:p>
          <w:p w14:paraId="693E6B6B" w14:textId="4F1F6F02" w:rsidR="000E7A06" w:rsidRPr="00F41D79" w:rsidRDefault="000E7A06" w:rsidP="000E7A06">
            <w:pPr>
              <w:jc w:val="left"/>
              <w:rPr>
                <w:sz w:val="20"/>
                <w:szCs w:val="20"/>
              </w:rPr>
            </w:pPr>
            <w:r w:rsidRPr="00F41D79">
              <w:rPr>
                <w:sz w:val="20"/>
                <w:szCs w:val="20"/>
              </w:rPr>
              <w:t>Consumption</w:t>
            </w:r>
            <w:r w:rsidR="00F41D79" w:rsidRPr="00F41D79">
              <w:rPr>
                <w:sz w:val="20"/>
                <w:szCs w:val="20"/>
              </w:rPr>
              <w:t xml:space="preserve"> (</w:t>
            </w:r>
            <w:proofErr w:type="spellStart"/>
            <w:r w:rsidR="00F41D79" w:rsidRPr="00F41D79">
              <w:rPr>
                <w:sz w:val="20"/>
                <w:szCs w:val="20"/>
              </w:rPr>
              <w:t>mt</w:t>
            </w:r>
            <w:proofErr w:type="spellEnd"/>
            <w:r w:rsidR="00F41D79" w:rsidRPr="00F41D79">
              <w:rPr>
                <w:sz w:val="20"/>
                <w:szCs w:val="20"/>
              </w:rPr>
              <w:t>)</w:t>
            </w:r>
          </w:p>
          <w:p w14:paraId="36F43E96" w14:textId="3003C333" w:rsidR="000E7A06" w:rsidRPr="00F41D79" w:rsidRDefault="000E7A06" w:rsidP="000E7A06">
            <w:pPr>
              <w:jc w:val="left"/>
              <w:rPr>
                <w:sz w:val="20"/>
                <w:szCs w:val="20"/>
              </w:rPr>
            </w:pPr>
            <w:r w:rsidRPr="00F41D79">
              <w:rPr>
                <w:sz w:val="20"/>
                <w:szCs w:val="20"/>
              </w:rPr>
              <w:t xml:space="preserve"> Average 2009-2010:        535,722 </w:t>
            </w:r>
          </w:p>
          <w:p w14:paraId="3B4A04F5" w14:textId="095694DF" w:rsidR="00502FEE" w:rsidRPr="00F41D79" w:rsidRDefault="000E7A06" w:rsidP="000E7A06">
            <w:pPr>
              <w:jc w:val="left"/>
              <w:rPr>
                <w:sz w:val="20"/>
                <w:szCs w:val="20"/>
              </w:rPr>
            </w:pPr>
            <w:r w:rsidRPr="00F41D79">
              <w:rPr>
                <w:sz w:val="20"/>
                <w:szCs w:val="20"/>
              </w:rPr>
              <w:t xml:space="preserve"> </w:t>
            </w:r>
            <w:r w:rsidR="00CD3C15" w:rsidRPr="00F41D79">
              <w:rPr>
                <w:sz w:val="20"/>
                <w:szCs w:val="20"/>
              </w:rPr>
              <w:t xml:space="preserve">Actual </w:t>
            </w:r>
            <w:r w:rsidR="00502FEE" w:rsidRPr="00F41D79">
              <w:rPr>
                <w:sz w:val="20"/>
                <w:szCs w:val="20"/>
              </w:rPr>
              <w:t>2015:</w:t>
            </w:r>
            <w:r w:rsidR="00502FEE" w:rsidRPr="00F41D79">
              <w:rPr>
                <w:sz w:val="20"/>
                <w:szCs w:val="20"/>
              </w:rPr>
              <w:tab/>
            </w:r>
            <w:r w:rsidRPr="00F41D79">
              <w:rPr>
                <w:sz w:val="20"/>
                <w:szCs w:val="20"/>
              </w:rPr>
              <w:t xml:space="preserve">             </w:t>
            </w:r>
            <w:r w:rsidR="00502FEE" w:rsidRPr="00F41D79">
              <w:rPr>
                <w:sz w:val="20"/>
                <w:szCs w:val="20"/>
              </w:rPr>
              <w:t xml:space="preserve">389,360 </w:t>
            </w:r>
          </w:p>
          <w:p w14:paraId="59C97DE3" w14:textId="3FCAB2BE" w:rsidR="00502FEE" w:rsidRPr="00F41D79" w:rsidRDefault="000E7A06" w:rsidP="000E7A06">
            <w:pPr>
              <w:jc w:val="left"/>
              <w:rPr>
                <w:sz w:val="20"/>
                <w:szCs w:val="20"/>
              </w:rPr>
            </w:pPr>
            <w:r w:rsidRPr="00F41D79">
              <w:rPr>
                <w:sz w:val="20"/>
                <w:szCs w:val="20"/>
              </w:rPr>
              <w:t xml:space="preserve"> Target </w:t>
            </w:r>
            <w:r w:rsidR="00502FEE" w:rsidRPr="00F41D79">
              <w:rPr>
                <w:sz w:val="20"/>
                <w:szCs w:val="20"/>
              </w:rPr>
              <w:t>2020:</w:t>
            </w:r>
            <w:r w:rsidR="00502FEE" w:rsidRPr="00F41D79">
              <w:rPr>
                <w:sz w:val="20"/>
                <w:szCs w:val="20"/>
              </w:rPr>
              <w:tab/>
            </w:r>
            <w:r w:rsidRPr="00F41D79">
              <w:rPr>
                <w:sz w:val="20"/>
                <w:szCs w:val="20"/>
              </w:rPr>
              <w:t xml:space="preserve">             </w:t>
            </w:r>
            <w:r w:rsidR="00502FEE" w:rsidRPr="00F41D79">
              <w:rPr>
                <w:sz w:val="20"/>
                <w:szCs w:val="20"/>
              </w:rPr>
              <w:t xml:space="preserve">348,219 </w:t>
            </w:r>
          </w:p>
          <w:p w14:paraId="04AE2F02" w14:textId="3970976F" w:rsidR="00CD3C15" w:rsidRPr="00F41D79" w:rsidRDefault="00CD3C15" w:rsidP="00F41D79">
            <w:pPr>
              <w:jc w:val="left"/>
              <w:rPr>
                <w:sz w:val="20"/>
                <w:szCs w:val="20"/>
              </w:rPr>
            </w:pPr>
            <w:r w:rsidRPr="00F41D79">
              <w:rPr>
                <w:sz w:val="20"/>
                <w:szCs w:val="20"/>
              </w:rPr>
              <w:t xml:space="preserve"> Target 2030:                      13,393 </w:t>
            </w:r>
          </w:p>
        </w:tc>
        <w:tc>
          <w:tcPr>
            <w:tcW w:w="3600" w:type="dxa"/>
            <w:tcBorders>
              <w:top w:val="single" w:sz="4" w:space="0" w:color="auto"/>
              <w:left w:val="single" w:sz="4" w:space="0" w:color="auto"/>
              <w:bottom w:val="single" w:sz="4" w:space="0" w:color="auto"/>
              <w:right w:val="single" w:sz="4" w:space="0" w:color="auto"/>
            </w:tcBorders>
            <w:tcMar>
              <w:top w:w="58" w:type="dxa"/>
              <w:left w:w="58" w:type="dxa"/>
              <w:bottom w:w="58" w:type="dxa"/>
              <w:right w:w="14" w:type="dxa"/>
            </w:tcMar>
          </w:tcPr>
          <w:p w14:paraId="6DEFA143" w14:textId="3567752D" w:rsidR="000E7A06" w:rsidRPr="00F41D79" w:rsidRDefault="00502FEE" w:rsidP="000E7A06">
            <w:pPr>
              <w:jc w:val="left"/>
              <w:rPr>
                <w:sz w:val="20"/>
                <w:szCs w:val="20"/>
              </w:rPr>
            </w:pPr>
            <w:r w:rsidRPr="00F41D79">
              <w:rPr>
                <w:sz w:val="20"/>
                <w:szCs w:val="20"/>
              </w:rPr>
              <w:t>P</w:t>
            </w:r>
            <w:r w:rsidR="000E7A06" w:rsidRPr="00F41D79">
              <w:rPr>
                <w:sz w:val="20"/>
                <w:szCs w:val="20"/>
              </w:rPr>
              <w:t>roduction</w:t>
            </w:r>
            <w:r w:rsidR="00F41D79" w:rsidRPr="00F41D79">
              <w:rPr>
                <w:sz w:val="20"/>
                <w:szCs w:val="20"/>
              </w:rPr>
              <w:t xml:space="preserve"> (</w:t>
            </w:r>
            <w:proofErr w:type="spellStart"/>
            <w:r w:rsidR="00F41D79" w:rsidRPr="00F41D79">
              <w:rPr>
                <w:sz w:val="20"/>
                <w:szCs w:val="20"/>
              </w:rPr>
              <w:t>mt</w:t>
            </w:r>
            <w:proofErr w:type="spellEnd"/>
            <w:r w:rsidR="00F41D79" w:rsidRPr="00F41D79">
              <w:rPr>
                <w:sz w:val="20"/>
                <w:szCs w:val="20"/>
              </w:rPr>
              <w:t>)</w:t>
            </w:r>
          </w:p>
          <w:p w14:paraId="696944C9" w14:textId="1298CC19" w:rsidR="000E7A06" w:rsidRPr="00F41D79" w:rsidRDefault="000E7A06" w:rsidP="000E7A06">
            <w:pPr>
              <w:jc w:val="left"/>
              <w:rPr>
                <w:sz w:val="20"/>
                <w:szCs w:val="20"/>
              </w:rPr>
            </w:pPr>
            <w:r w:rsidRPr="00F41D79">
              <w:rPr>
                <w:sz w:val="20"/>
                <w:szCs w:val="20"/>
              </w:rPr>
              <w:t xml:space="preserve"> Average 2009-2010:          </w:t>
            </w:r>
            <w:r w:rsidR="00CD3C15" w:rsidRPr="00F41D79">
              <w:rPr>
                <w:sz w:val="20"/>
                <w:szCs w:val="20"/>
              </w:rPr>
              <w:t xml:space="preserve">  </w:t>
            </w:r>
            <w:r w:rsidRPr="00F41D79">
              <w:rPr>
                <w:sz w:val="20"/>
                <w:szCs w:val="20"/>
              </w:rPr>
              <w:t>n/a</w:t>
            </w:r>
          </w:p>
          <w:p w14:paraId="2D1169AA" w14:textId="4F8AEAE6" w:rsidR="000E7A06" w:rsidRPr="00F41D79" w:rsidRDefault="000E7A06" w:rsidP="000E7A06">
            <w:pPr>
              <w:jc w:val="left"/>
              <w:rPr>
                <w:sz w:val="20"/>
                <w:szCs w:val="20"/>
              </w:rPr>
            </w:pPr>
            <w:r w:rsidRPr="00F41D79">
              <w:rPr>
                <w:sz w:val="20"/>
                <w:szCs w:val="20"/>
              </w:rPr>
              <w:t xml:space="preserve"> </w:t>
            </w:r>
            <w:r w:rsidR="00CD3C15" w:rsidRPr="00F41D79">
              <w:rPr>
                <w:sz w:val="20"/>
                <w:szCs w:val="20"/>
              </w:rPr>
              <w:t xml:space="preserve">Estimated </w:t>
            </w:r>
            <w:r w:rsidR="00502FEE" w:rsidRPr="00F41D79">
              <w:rPr>
                <w:sz w:val="20"/>
                <w:szCs w:val="20"/>
              </w:rPr>
              <w:t>2015:</w:t>
            </w:r>
            <w:r w:rsidR="00502FEE" w:rsidRPr="00F41D79">
              <w:rPr>
                <w:sz w:val="20"/>
                <w:szCs w:val="20"/>
              </w:rPr>
              <w:tab/>
            </w:r>
            <w:r w:rsidRPr="00F41D79">
              <w:rPr>
                <w:sz w:val="20"/>
                <w:szCs w:val="20"/>
              </w:rPr>
              <w:t xml:space="preserve">               </w:t>
            </w:r>
            <w:r w:rsidR="00CD3C15" w:rsidRPr="00F41D79">
              <w:rPr>
                <w:sz w:val="20"/>
                <w:szCs w:val="20"/>
              </w:rPr>
              <w:t xml:space="preserve">  </w:t>
            </w:r>
            <w:r w:rsidR="00502FEE" w:rsidRPr="00F41D79">
              <w:rPr>
                <w:sz w:val="20"/>
                <w:szCs w:val="20"/>
              </w:rPr>
              <w:t xml:space="preserve">312,515 </w:t>
            </w:r>
          </w:p>
          <w:p w14:paraId="3354C2CA" w14:textId="3CE81E49" w:rsidR="00502FEE" w:rsidRPr="00F41D79" w:rsidRDefault="000E7A06" w:rsidP="000E7A06">
            <w:pPr>
              <w:jc w:val="left"/>
              <w:rPr>
                <w:sz w:val="20"/>
                <w:szCs w:val="20"/>
              </w:rPr>
            </w:pPr>
            <w:r w:rsidRPr="00F41D79">
              <w:rPr>
                <w:sz w:val="20"/>
                <w:szCs w:val="20"/>
              </w:rPr>
              <w:t xml:space="preserve"> Estimated 2</w:t>
            </w:r>
            <w:r w:rsidR="00502FEE" w:rsidRPr="00F41D79">
              <w:rPr>
                <w:sz w:val="20"/>
                <w:szCs w:val="20"/>
              </w:rPr>
              <w:t>020:</w:t>
            </w:r>
            <w:r w:rsidR="00502FEE" w:rsidRPr="00F41D79">
              <w:rPr>
                <w:sz w:val="20"/>
                <w:szCs w:val="20"/>
              </w:rPr>
              <w:tab/>
            </w:r>
            <w:r w:rsidRPr="00F41D79">
              <w:rPr>
                <w:sz w:val="20"/>
                <w:szCs w:val="20"/>
              </w:rPr>
              <w:t xml:space="preserve">               </w:t>
            </w:r>
            <w:r w:rsidR="00CD3C15" w:rsidRPr="00F41D79">
              <w:rPr>
                <w:sz w:val="20"/>
                <w:szCs w:val="20"/>
              </w:rPr>
              <w:t xml:space="preserve">  </w:t>
            </w:r>
            <w:r w:rsidR="00502FEE" w:rsidRPr="00F41D79">
              <w:rPr>
                <w:sz w:val="20"/>
                <w:szCs w:val="20"/>
              </w:rPr>
              <w:t>n/a</w:t>
            </w:r>
          </w:p>
          <w:p w14:paraId="42822B2F" w14:textId="538679E7" w:rsidR="00CD3C15" w:rsidRPr="00F41D79" w:rsidRDefault="00CD3C15" w:rsidP="000E7A06">
            <w:pPr>
              <w:jc w:val="left"/>
              <w:rPr>
                <w:sz w:val="20"/>
                <w:szCs w:val="20"/>
              </w:rPr>
            </w:pPr>
            <w:r w:rsidRPr="00F41D79">
              <w:rPr>
                <w:sz w:val="20"/>
                <w:szCs w:val="20"/>
              </w:rPr>
              <w:t xml:space="preserve"> Estimated 2030:                   n/a</w:t>
            </w:r>
          </w:p>
          <w:p w14:paraId="4C6361F5" w14:textId="7BC7B1AB" w:rsidR="000E7A06" w:rsidRPr="00F41D79" w:rsidRDefault="000E7A06" w:rsidP="000E7A06">
            <w:pPr>
              <w:jc w:val="left"/>
              <w:rPr>
                <w:sz w:val="20"/>
                <w:szCs w:val="20"/>
              </w:rPr>
            </w:pPr>
            <w:r w:rsidRPr="00F41D79">
              <w:rPr>
                <w:sz w:val="20"/>
                <w:szCs w:val="20"/>
              </w:rPr>
              <w:t>Consumption</w:t>
            </w:r>
            <w:r w:rsidR="00F41D79" w:rsidRPr="00F41D79">
              <w:rPr>
                <w:sz w:val="20"/>
                <w:szCs w:val="20"/>
              </w:rPr>
              <w:t xml:space="preserve"> (</w:t>
            </w:r>
            <w:proofErr w:type="spellStart"/>
            <w:r w:rsidR="00F41D79" w:rsidRPr="00F41D79">
              <w:rPr>
                <w:sz w:val="20"/>
                <w:szCs w:val="20"/>
              </w:rPr>
              <w:t>mt</w:t>
            </w:r>
            <w:proofErr w:type="spellEnd"/>
            <w:r w:rsidR="00F41D79" w:rsidRPr="00F41D79">
              <w:rPr>
                <w:sz w:val="20"/>
                <w:szCs w:val="20"/>
              </w:rPr>
              <w:t>)</w:t>
            </w:r>
          </w:p>
          <w:p w14:paraId="435DD6EB" w14:textId="34901CE4" w:rsidR="000E7A06" w:rsidRPr="00F41D79" w:rsidRDefault="000E7A06" w:rsidP="000E7A06">
            <w:pPr>
              <w:jc w:val="left"/>
              <w:rPr>
                <w:sz w:val="20"/>
                <w:szCs w:val="20"/>
              </w:rPr>
            </w:pPr>
            <w:r w:rsidRPr="00F41D79">
              <w:rPr>
                <w:sz w:val="20"/>
                <w:szCs w:val="20"/>
              </w:rPr>
              <w:t xml:space="preserve">Average 2009-2010:         </w:t>
            </w:r>
            <w:r w:rsidR="00CD3C15" w:rsidRPr="00F41D79">
              <w:rPr>
                <w:sz w:val="20"/>
                <w:szCs w:val="20"/>
              </w:rPr>
              <w:t xml:space="preserve">    </w:t>
            </w:r>
            <w:r w:rsidRPr="00F41D79">
              <w:rPr>
                <w:sz w:val="20"/>
                <w:szCs w:val="20"/>
              </w:rPr>
              <w:t>n/a</w:t>
            </w:r>
          </w:p>
          <w:p w14:paraId="062BFD79" w14:textId="201E4F11" w:rsidR="000E7A06" w:rsidRPr="00F41D79" w:rsidRDefault="00CD3C15" w:rsidP="000E7A06">
            <w:pPr>
              <w:jc w:val="left"/>
              <w:rPr>
                <w:sz w:val="20"/>
                <w:szCs w:val="20"/>
              </w:rPr>
            </w:pPr>
            <w:r w:rsidRPr="00F41D79">
              <w:rPr>
                <w:sz w:val="20"/>
                <w:szCs w:val="20"/>
              </w:rPr>
              <w:t xml:space="preserve"> </w:t>
            </w:r>
            <w:r w:rsidR="000E7A06" w:rsidRPr="00F41D79">
              <w:rPr>
                <w:sz w:val="20"/>
                <w:szCs w:val="20"/>
              </w:rPr>
              <w:t>Estimated 2015:</w:t>
            </w:r>
            <w:r w:rsidR="000E7A06" w:rsidRPr="00F41D79">
              <w:rPr>
                <w:sz w:val="20"/>
                <w:szCs w:val="20"/>
              </w:rPr>
              <w:tab/>
              <w:t xml:space="preserve">           </w:t>
            </w:r>
            <w:r w:rsidRPr="00F41D79">
              <w:rPr>
                <w:sz w:val="20"/>
                <w:szCs w:val="20"/>
              </w:rPr>
              <w:t xml:space="preserve"> </w:t>
            </w:r>
            <w:r w:rsidR="000E7A06" w:rsidRPr="00F41D79">
              <w:rPr>
                <w:sz w:val="20"/>
                <w:szCs w:val="20"/>
              </w:rPr>
              <w:t xml:space="preserve">  </w:t>
            </w:r>
            <w:r w:rsidRPr="00F41D79">
              <w:rPr>
                <w:sz w:val="20"/>
                <w:szCs w:val="20"/>
              </w:rPr>
              <w:t xml:space="preserve">   </w:t>
            </w:r>
            <w:r w:rsidR="000E7A06" w:rsidRPr="00F41D79">
              <w:rPr>
                <w:sz w:val="20"/>
                <w:szCs w:val="20"/>
              </w:rPr>
              <w:t xml:space="preserve">284,325 </w:t>
            </w:r>
          </w:p>
          <w:p w14:paraId="51C71501" w14:textId="4E6868B0" w:rsidR="00502FEE" w:rsidRPr="00F41D79" w:rsidRDefault="00CD3C15" w:rsidP="000E7A06">
            <w:pPr>
              <w:jc w:val="left"/>
              <w:rPr>
                <w:sz w:val="20"/>
                <w:szCs w:val="20"/>
              </w:rPr>
            </w:pPr>
            <w:r w:rsidRPr="00F41D79">
              <w:rPr>
                <w:sz w:val="20"/>
                <w:szCs w:val="20"/>
              </w:rPr>
              <w:t xml:space="preserve"> </w:t>
            </w:r>
            <w:r w:rsidR="000E7A06" w:rsidRPr="00F41D79">
              <w:rPr>
                <w:sz w:val="20"/>
                <w:szCs w:val="20"/>
              </w:rPr>
              <w:t xml:space="preserve">Estimated </w:t>
            </w:r>
            <w:r w:rsidR="00502FEE" w:rsidRPr="00F41D79">
              <w:rPr>
                <w:sz w:val="20"/>
                <w:szCs w:val="20"/>
              </w:rPr>
              <w:t>2020:</w:t>
            </w:r>
            <w:r w:rsidR="00502FEE" w:rsidRPr="00F41D79">
              <w:rPr>
                <w:sz w:val="20"/>
                <w:szCs w:val="20"/>
              </w:rPr>
              <w:tab/>
            </w:r>
            <w:r w:rsidR="000E7A06" w:rsidRPr="00F41D79">
              <w:rPr>
                <w:sz w:val="20"/>
                <w:szCs w:val="20"/>
              </w:rPr>
              <w:t xml:space="preserve">            </w:t>
            </w:r>
            <w:r w:rsidRPr="00F41D79">
              <w:rPr>
                <w:sz w:val="20"/>
                <w:szCs w:val="20"/>
              </w:rPr>
              <w:t xml:space="preserve">     </w:t>
            </w:r>
            <w:r w:rsidR="00502FEE" w:rsidRPr="00F41D79">
              <w:rPr>
                <w:sz w:val="20"/>
                <w:szCs w:val="20"/>
              </w:rPr>
              <w:t xml:space="preserve">477,618 </w:t>
            </w:r>
          </w:p>
          <w:p w14:paraId="55C1800C" w14:textId="20DD7332" w:rsidR="00CD3C15" w:rsidRPr="00F41D79" w:rsidRDefault="00CD3C15" w:rsidP="00F41D79">
            <w:pPr>
              <w:jc w:val="left"/>
              <w:rPr>
                <w:sz w:val="20"/>
                <w:szCs w:val="20"/>
              </w:rPr>
            </w:pPr>
            <w:r w:rsidRPr="00F41D79">
              <w:rPr>
                <w:sz w:val="20"/>
                <w:szCs w:val="20"/>
              </w:rPr>
              <w:t xml:space="preserve"> Estimated 2030:                1,021,216 </w:t>
            </w:r>
          </w:p>
        </w:tc>
      </w:tr>
    </w:tbl>
    <w:p w14:paraId="4B10F45D" w14:textId="77777777" w:rsidR="00502FEE" w:rsidRDefault="00502FEE" w:rsidP="00502FEE">
      <w:pPr>
        <w:rPr>
          <w:b/>
        </w:rPr>
      </w:pPr>
    </w:p>
    <w:p w14:paraId="647B7DA8" w14:textId="77777777" w:rsidR="00502FEE" w:rsidRPr="00F614FE" w:rsidRDefault="00502FEE" w:rsidP="00502FEE">
      <w:pPr>
        <w:rPr>
          <w:b/>
        </w:rPr>
      </w:pPr>
      <w:r w:rsidRPr="00F614FE">
        <w:rPr>
          <w:b/>
        </w:rPr>
        <w:t>Forecast of HCFC and HFC consumption in the 2020-2030 period</w:t>
      </w:r>
    </w:p>
    <w:p w14:paraId="7090891E" w14:textId="77777777" w:rsidR="00502FEE" w:rsidRDefault="00502FEE" w:rsidP="00502FEE"/>
    <w:p w14:paraId="73E94419" w14:textId="7C49129A" w:rsidR="00502FEE" w:rsidRPr="00F41D79" w:rsidRDefault="00502FEE" w:rsidP="00F41D79">
      <w:pPr>
        <w:pStyle w:val="Heading1"/>
      </w:pPr>
      <w:r w:rsidRPr="00F41D79">
        <w:t>The levels of consumption and production of HCFCs have been reported under Article 7 of the Montreal Protocol from the time countries ratified the Montreal Protocol. For Article 5 countries, HCFC baselines for compliance were established once they submitted their 2010 data reports.</w:t>
      </w:r>
      <w:r w:rsidRPr="00F41D79">
        <w:rPr>
          <w:rStyle w:val="FootnoteReference"/>
        </w:rPr>
        <w:footnoteReference w:id="10"/>
      </w:r>
      <w:r w:rsidRPr="00F41D79">
        <w:t xml:space="preserve"> However, information on the levels of consumption and production of HFCs is not yet available under the Protocol, as reporting only becomes mandatory once a country ratifies the Kigali Amendment. As at</w:t>
      </w:r>
      <w:r w:rsidR="003D6261" w:rsidRPr="00F41D79">
        <w:t xml:space="preserve"> 3 November 2019</w:t>
      </w:r>
      <w:r w:rsidRPr="00F41D79">
        <w:t xml:space="preserve">, </w:t>
      </w:r>
      <w:r w:rsidR="003D6261" w:rsidRPr="00F41D79">
        <w:t>57</w:t>
      </w:r>
      <w:r w:rsidRPr="00F41D79">
        <w:t xml:space="preserve"> Article 5 countries have ratified</w:t>
      </w:r>
      <w:r w:rsidR="00F41D79" w:rsidRPr="00F41D79">
        <w:t xml:space="preserve"> the Kigali Amendment, and</w:t>
      </w:r>
      <w:r w:rsidRPr="00F41D79">
        <w:t xml:space="preserve"> will report </w:t>
      </w:r>
      <w:r w:rsidR="00F41D79" w:rsidRPr="00F41D79">
        <w:t xml:space="preserve">the levels of HFC consumption and production in 2019 under </w:t>
      </w:r>
      <w:r w:rsidRPr="00F41D79">
        <w:t xml:space="preserve">Article 7 </w:t>
      </w:r>
      <w:r w:rsidR="00F41D79" w:rsidRPr="00F41D79">
        <w:t>of the Montreal Protocol in</w:t>
      </w:r>
      <w:r w:rsidRPr="00F41D79">
        <w:t xml:space="preserve"> 2020. </w:t>
      </w:r>
      <w:r w:rsidR="002919A7" w:rsidRPr="00F41D79">
        <w:t xml:space="preserve">So far, only a limited number of Article 5 countries have submitted HFC consumption </w:t>
      </w:r>
      <w:r w:rsidR="00F41D79" w:rsidRPr="00F41D79">
        <w:t xml:space="preserve">or production data </w:t>
      </w:r>
      <w:r w:rsidR="00A9759F">
        <w:t>for the year </w:t>
      </w:r>
      <w:r w:rsidR="002919A7" w:rsidRPr="00F41D79">
        <w:t>2018.</w:t>
      </w:r>
    </w:p>
    <w:p w14:paraId="56E66B31" w14:textId="085CEC19" w:rsidR="00502FEE" w:rsidRDefault="00502FEE" w:rsidP="00502FEE">
      <w:pPr>
        <w:pStyle w:val="Heading1"/>
      </w:pPr>
      <w:r w:rsidRPr="00C74B92">
        <w:rPr>
          <w:lang w:val="en-CA"/>
        </w:rPr>
        <w:t xml:space="preserve">Information on the levels of consumption and production of HFCs in Article 5 countries is limited to </w:t>
      </w:r>
      <w:r>
        <w:t>reports prepared by the TEAP Task Force under decisions XXV/5 and XXVI/9</w:t>
      </w:r>
      <w:r w:rsidR="001277B2">
        <w:t>,</w:t>
      </w:r>
      <w:r>
        <w:rPr>
          <w:rStyle w:val="FootnoteReference"/>
        </w:rPr>
        <w:footnoteReference w:id="11"/>
      </w:r>
      <w:r>
        <w:t xml:space="preserve"> and a scientific journal article published in Atmospheric Science.</w:t>
      </w:r>
      <w:r>
        <w:rPr>
          <w:rStyle w:val="FootnoteReference"/>
        </w:rPr>
        <w:footnoteReference w:id="12"/>
      </w:r>
      <w:r>
        <w:t xml:space="preserve"> </w:t>
      </w:r>
    </w:p>
    <w:p w14:paraId="60AB173B" w14:textId="77777777" w:rsidR="00502FEE" w:rsidRPr="00C74B92" w:rsidRDefault="00502FEE" w:rsidP="00502FEE">
      <w:pPr>
        <w:rPr>
          <w:u w:val="single"/>
        </w:rPr>
      </w:pPr>
      <w:r w:rsidRPr="00C74B92">
        <w:rPr>
          <w:u w:val="single"/>
        </w:rPr>
        <w:t>Production sector</w:t>
      </w:r>
    </w:p>
    <w:p w14:paraId="1EA729DF" w14:textId="77777777" w:rsidR="00502FEE" w:rsidRPr="00931200" w:rsidRDefault="00502FEE" w:rsidP="00502FEE"/>
    <w:p w14:paraId="0DFE1805" w14:textId="772DEC9A" w:rsidR="00502FEE" w:rsidRDefault="00502FEE" w:rsidP="00502FEE">
      <w:pPr>
        <w:pStyle w:val="Heading1"/>
        <w:rPr>
          <w:lang w:val="en-CA"/>
        </w:rPr>
      </w:pPr>
      <w:r>
        <w:t xml:space="preserve">Based on the information in the reports by the TEAP Task Force, </w:t>
      </w:r>
      <w:r w:rsidRPr="00C3666E">
        <w:rPr>
          <w:lang w:val="en-CA"/>
        </w:rPr>
        <w:t>aggregate production of HFCs in Article</w:t>
      </w:r>
      <w:r w:rsidR="00634E2F">
        <w:rPr>
          <w:lang w:val="en-CA"/>
        </w:rPr>
        <w:t> </w:t>
      </w:r>
      <w:r w:rsidRPr="00C3666E">
        <w:rPr>
          <w:lang w:val="en-CA"/>
        </w:rPr>
        <w:t>5 countries was estimated at 312,515</w:t>
      </w:r>
      <w:r w:rsidR="00634E2F">
        <w:rPr>
          <w:lang w:val="en-CA"/>
        </w:rPr>
        <w:t> </w:t>
      </w:r>
      <w:proofErr w:type="spellStart"/>
      <w:r w:rsidRPr="00C3666E">
        <w:rPr>
          <w:lang w:val="en-CA"/>
        </w:rPr>
        <w:t>mt</w:t>
      </w:r>
      <w:proofErr w:type="spellEnd"/>
      <w:r w:rsidRPr="00C3666E">
        <w:rPr>
          <w:lang w:val="en-CA"/>
        </w:rPr>
        <w:t xml:space="preserve"> in 2015,</w:t>
      </w:r>
      <w:r w:rsidRPr="0062383B">
        <w:rPr>
          <w:vertAlign w:val="superscript"/>
          <w:lang w:val="en-CA"/>
        </w:rPr>
        <w:footnoteReference w:id="13"/>
      </w:r>
      <w:r w:rsidRPr="00C3666E">
        <w:rPr>
          <w:lang w:val="en-CA"/>
        </w:rPr>
        <w:t xml:space="preserve"> consisting of: 71,000 </w:t>
      </w:r>
      <w:proofErr w:type="spellStart"/>
      <w:r w:rsidRPr="00C3666E">
        <w:rPr>
          <w:lang w:val="en-CA"/>
        </w:rPr>
        <w:t>mt</w:t>
      </w:r>
      <w:proofErr w:type="spellEnd"/>
      <w:r w:rsidRPr="00C3666E">
        <w:rPr>
          <w:lang w:val="en-CA"/>
        </w:rPr>
        <w:t xml:space="preserve"> of HFC</w:t>
      </w:r>
      <w:r w:rsidR="00634E2F">
        <w:rPr>
          <w:lang w:val="en-CA"/>
        </w:rPr>
        <w:noBreakHyphen/>
      </w:r>
      <w:r w:rsidRPr="00C3666E">
        <w:rPr>
          <w:lang w:val="en-CA"/>
        </w:rPr>
        <w:t>32;</w:t>
      </w:r>
      <w:r>
        <w:rPr>
          <w:lang w:val="en-CA"/>
        </w:rPr>
        <w:t xml:space="preserve"> </w:t>
      </w:r>
      <w:r w:rsidRPr="00C3666E">
        <w:rPr>
          <w:lang w:val="en-CA"/>
        </w:rPr>
        <w:t>98,500 </w:t>
      </w:r>
      <w:proofErr w:type="spellStart"/>
      <w:r w:rsidRPr="00C3666E">
        <w:rPr>
          <w:lang w:val="en-CA"/>
        </w:rPr>
        <w:t>mt</w:t>
      </w:r>
      <w:proofErr w:type="spellEnd"/>
      <w:r w:rsidRPr="00C3666E">
        <w:rPr>
          <w:lang w:val="en-CA"/>
        </w:rPr>
        <w:t xml:space="preserve"> of HFC</w:t>
      </w:r>
      <w:r w:rsidR="00634E2F">
        <w:rPr>
          <w:lang w:val="en-CA"/>
        </w:rPr>
        <w:noBreakHyphen/>
      </w:r>
      <w:r w:rsidRPr="00C3666E">
        <w:rPr>
          <w:lang w:val="en-CA"/>
        </w:rPr>
        <w:t>125</w:t>
      </w:r>
      <w:r>
        <w:rPr>
          <w:lang w:val="en-CA"/>
        </w:rPr>
        <w:t xml:space="preserve">; </w:t>
      </w:r>
      <w:r w:rsidRPr="00C3666E">
        <w:rPr>
          <w:lang w:val="en-CA"/>
        </w:rPr>
        <w:t>126,000 </w:t>
      </w:r>
      <w:proofErr w:type="spellStart"/>
      <w:r w:rsidRPr="00C3666E">
        <w:rPr>
          <w:lang w:val="en-CA"/>
        </w:rPr>
        <w:t>mt</w:t>
      </w:r>
      <w:proofErr w:type="spellEnd"/>
      <w:r w:rsidRPr="00C3666E">
        <w:rPr>
          <w:lang w:val="en-CA"/>
        </w:rPr>
        <w:t xml:space="preserve"> of HFC</w:t>
      </w:r>
      <w:r w:rsidR="00634E2F">
        <w:rPr>
          <w:lang w:val="en-CA"/>
        </w:rPr>
        <w:noBreakHyphen/>
      </w:r>
      <w:r w:rsidRPr="00C3666E">
        <w:rPr>
          <w:lang w:val="en-CA"/>
        </w:rPr>
        <w:t>134a</w:t>
      </w:r>
      <w:r>
        <w:rPr>
          <w:lang w:val="en-CA"/>
        </w:rPr>
        <w:t xml:space="preserve"> and</w:t>
      </w:r>
      <w:r w:rsidRPr="00C3666E">
        <w:rPr>
          <w:lang w:val="en-CA"/>
        </w:rPr>
        <w:t xml:space="preserve"> 17,000 </w:t>
      </w:r>
      <w:proofErr w:type="spellStart"/>
      <w:r w:rsidRPr="00C3666E">
        <w:rPr>
          <w:lang w:val="en-CA"/>
        </w:rPr>
        <w:t>mt</w:t>
      </w:r>
      <w:proofErr w:type="spellEnd"/>
      <w:r w:rsidRPr="00C3666E">
        <w:rPr>
          <w:lang w:val="en-CA"/>
        </w:rPr>
        <w:t xml:space="preserve"> of HFC</w:t>
      </w:r>
      <w:r w:rsidRPr="00C3666E">
        <w:rPr>
          <w:lang w:val="en-CA"/>
        </w:rPr>
        <w:noBreakHyphen/>
        <w:t>143a</w:t>
      </w:r>
      <w:r w:rsidRPr="003F0F5E">
        <w:rPr>
          <w:lang w:val="en-CA"/>
        </w:rPr>
        <w:t>. A substantial proportion of HFC</w:t>
      </w:r>
      <w:r w:rsidR="00634E2F">
        <w:rPr>
          <w:lang w:val="en-CA"/>
        </w:rPr>
        <w:noBreakHyphen/>
      </w:r>
      <w:r w:rsidRPr="003F0F5E">
        <w:rPr>
          <w:lang w:val="en-CA"/>
        </w:rPr>
        <w:t xml:space="preserve">32, </w:t>
      </w:r>
      <w:r w:rsidRPr="003F0F5E">
        <w:rPr>
          <w:lang w:val="en-CA"/>
        </w:rPr>
        <w:lastRenderedPageBreak/>
        <w:t>HFC</w:t>
      </w:r>
      <w:r w:rsidR="00634E2F">
        <w:rPr>
          <w:lang w:val="en-CA"/>
        </w:rPr>
        <w:noBreakHyphen/>
      </w:r>
      <w:r w:rsidRPr="003F0F5E">
        <w:rPr>
          <w:lang w:val="en-CA"/>
        </w:rPr>
        <w:t>125, HFC</w:t>
      </w:r>
      <w:r w:rsidR="00634E2F">
        <w:rPr>
          <w:lang w:val="en-CA"/>
        </w:rPr>
        <w:noBreakHyphen/>
      </w:r>
      <w:r w:rsidRPr="003F0F5E">
        <w:rPr>
          <w:lang w:val="en-CA"/>
        </w:rPr>
        <w:t>134a and HFC</w:t>
      </w:r>
      <w:r w:rsidR="00634E2F">
        <w:rPr>
          <w:lang w:val="en-CA"/>
        </w:rPr>
        <w:noBreakHyphen/>
      </w:r>
      <w:r w:rsidRPr="003F0F5E">
        <w:rPr>
          <w:lang w:val="en-CA"/>
        </w:rPr>
        <w:t>143a was used for the production of HFC blends (i.e., R</w:t>
      </w:r>
      <w:r w:rsidR="00634E2F">
        <w:rPr>
          <w:lang w:val="en-CA"/>
        </w:rPr>
        <w:noBreakHyphen/>
      </w:r>
      <w:r w:rsidRPr="003F0F5E">
        <w:rPr>
          <w:lang w:val="en-CA"/>
        </w:rPr>
        <w:t>410A</w:t>
      </w:r>
      <w:r w:rsidRPr="00C3666E">
        <w:rPr>
          <w:lang w:val="en-CA"/>
        </w:rPr>
        <w:t>, R</w:t>
      </w:r>
      <w:r w:rsidR="00634E2F">
        <w:rPr>
          <w:lang w:val="en-CA"/>
        </w:rPr>
        <w:noBreakHyphen/>
      </w:r>
      <w:r w:rsidRPr="00C3666E">
        <w:rPr>
          <w:lang w:val="en-CA"/>
        </w:rPr>
        <w:t>407C, R</w:t>
      </w:r>
      <w:r>
        <w:rPr>
          <w:lang w:val="en-CA"/>
        </w:rPr>
        <w:noBreakHyphen/>
      </w:r>
      <w:r w:rsidRPr="00C3666E">
        <w:rPr>
          <w:lang w:val="en-CA"/>
        </w:rPr>
        <w:t>404A, R</w:t>
      </w:r>
      <w:r w:rsidR="00634E2F">
        <w:rPr>
          <w:lang w:val="en-CA"/>
        </w:rPr>
        <w:noBreakHyphen/>
      </w:r>
      <w:r w:rsidRPr="00C3666E">
        <w:rPr>
          <w:lang w:val="en-CA"/>
        </w:rPr>
        <w:t>407F and R</w:t>
      </w:r>
      <w:r w:rsidR="00634E2F">
        <w:rPr>
          <w:lang w:val="en-CA"/>
        </w:rPr>
        <w:noBreakHyphen/>
      </w:r>
      <w:r w:rsidRPr="00C3666E">
        <w:rPr>
          <w:lang w:val="en-CA"/>
        </w:rPr>
        <w:t>507A</w:t>
      </w:r>
      <w:r>
        <w:rPr>
          <w:lang w:val="en-CA"/>
        </w:rPr>
        <w:t>)</w:t>
      </w:r>
      <w:r w:rsidRPr="00C3666E">
        <w:rPr>
          <w:lang w:val="en-CA"/>
        </w:rPr>
        <w:t>.</w:t>
      </w:r>
      <w:r>
        <w:rPr>
          <w:lang w:val="en-CA"/>
        </w:rPr>
        <w:t xml:space="preserve"> It appears that China and India are the only</w:t>
      </w:r>
      <w:r w:rsidR="007C7512">
        <w:rPr>
          <w:lang w:val="en-CA"/>
        </w:rPr>
        <w:t xml:space="preserve"> producers of HFCs in Article 5 </w:t>
      </w:r>
      <w:r>
        <w:rPr>
          <w:lang w:val="en-CA"/>
        </w:rPr>
        <w:t xml:space="preserve">countries. </w:t>
      </w:r>
    </w:p>
    <w:p w14:paraId="67EC40A5" w14:textId="501408A4" w:rsidR="00502FEE" w:rsidRPr="0054333D" w:rsidRDefault="00502FEE" w:rsidP="00DA4013">
      <w:pPr>
        <w:pStyle w:val="Heading1"/>
        <w:widowControl w:val="0"/>
        <w:rPr>
          <w:lang w:val="en-CA"/>
        </w:rPr>
      </w:pPr>
      <w:r>
        <w:rPr>
          <w:lang w:val="en-CA"/>
        </w:rPr>
        <w:t>HCFCs are being produced in s</w:t>
      </w:r>
      <w:r w:rsidRPr="0054333D">
        <w:rPr>
          <w:lang w:val="en-CA"/>
        </w:rPr>
        <w:t>even A</w:t>
      </w:r>
      <w:r>
        <w:rPr>
          <w:lang w:val="en-CA"/>
        </w:rPr>
        <w:t xml:space="preserve">rticle </w:t>
      </w:r>
      <w:r w:rsidRPr="0054333D">
        <w:rPr>
          <w:lang w:val="en-CA"/>
        </w:rPr>
        <w:t>5 countries</w:t>
      </w:r>
      <w:r>
        <w:rPr>
          <w:lang w:val="en-CA"/>
        </w:rPr>
        <w:t>, with an aggregate production baseline of 501,265.6</w:t>
      </w:r>
      <w:r w:rsidR="00634E2F">
        <w:rPr>
          <w:lang w:val="en-CA"/>
        </w:rPr>
        <w:t> </w:t>
      </w:r>
      <w:proofErr w:type="spellStart"/>
      <w:r>
        <w:rPr>
          <w:lang w:val="en-CA"/>
        </w:rPr>
        <w:t>mt</w:t>
      </w:r>
      <w:proofErr w:type="spellEnd"/>
      <w:r>
        <w:rPr>
          <w:lang w:val="en-CA"/>
        </w:rPr>
        <w:t xml:space="preserve"> (</w:t>
      </w:r>
      <w:r w:rsidRPr="00931200">
        <w:rPr>
          <w:lang w:val="en-CA"/>
        </w:rPr>
        <w:t>32,988.9</w:t>
      </w:r>
      <w:r w:rsidR="00634E2F">
        <w:rPr>
          <w:lang w:val="en-CA"/>
        </w:rPr>
        <w:t> </w:t>
      </w:r>
      <w:r>
        <w:rPr>
          <w:lang w:val="en-CA"/>
        </w:rPr>
        <w:t>ODP</w:t>
      </w:r>
      <w:r w:rsidR="00634E2F">
        <w:rPr>
          <w:lang w:val="en-CA"/>
        </w:rPr>
        <w:t> </w:t>
      </w:r>
      <w:r>
        <w:rPr>
          <w:lang w:val="en-CA"/>
        </w:rPr>
        <w:t xml:space="preserve">tonnes). Following the compliance schedule of the Montreal Protocol, the aggregate production of HCFCs should decrease from a maximum </w:t>
      </w:r>
      <w:r w:rsidRPr="00634E2F">
        <w:rPr>
          <w:lang w:val="en-CA"/>
        </w:rPr>
        <w:t xml:space="preserve">of up to </w:t>
      </w:r>
      <w:r w:rsidR="00DB0C98" w:rsidRPr="00634E2F">
        <w:rPr>
          <w:lang w:val="en-CA"/>
        </w:rPr>
        <w:t>346,752</w:t>
      </w:r>
      <w:r w:rsidR="007C7512" w:rsidRPr="00634E2F">
        <w:rPr>
          <w:lang w:val="en-CA"/>
        </w:rPr>
        <w:t> </w:t>
      </w:r>
      <w:proofErr w:type="spellStart"/>
      <w:r w:rsidRPr="00634E2F">
        <w:rPr>
          <w:lang w:val="en-CA"/>
        </w:rPr>
        <w:t>mt</w:t>
      </w:r>
      <w:proofErr w:type="spellEnd"/>
      <w:r w:rsidRPr="00634E2F">
        <w:rPr>
          <w:lang w:val="en-CA"/>
        </w:rPr>
        <w:t xml:space="preserve"> (21,44</w:t>
      </w:r>
      <w:r w:rsidR="009974A9" w:rsidRPr="00634E2F">
        <w:rPr>
          <w:lang w:val="en-CA"/>
        </w:rPr>
        <w:t>3</w:t>
      </w:r>
      <w:r w:rsidRPr="00634E2F">
        <w:rPr>
          <w:lang w:val="en-CA"/>
        </w:rPr>
        <w:t> ODP tonnes) in 2020 to 13,33</w:t>
      </w:r>
      <w:r w:rsidR="009974A9" w:rsidRPr="00634E2F">
        <w:rPr>
          <w:lang w:val="en-CA"/>
        </w:rPr>
        <w:t>7</w:t>
      </w:r>
      <w:r w:rsidRPr="00634E2F">
        <w:rPr>
          <w:lang w:val="en-CA"/>
        </w:rPr>
        <w:t xml:space="preserve"> </w:t>
      </w:r>
      <w:proofErr w:type="spellStart"/>
      <w:r w:rsidRPr="00634E2F">
        <w:rPr>
          <w:lang w:val="en-CA"/>
        </w:rPr>
        <w:t>mt</w:t>
      </w:r>
      <w:proofErr w:type="spellEnd"/>
      <w:r w:rsidRPr="00634E2F">
        <w:rPr>
          <w:lang w:val="en-CA"/>
        </w:rPr>
        <w:t xml:space="preserve"> (82</w:t>
      </w:r>
      <w:r w:rsidR="009974A9" w:rsidRPr="00634E2F">
        <w:rPr>
          <w:lang w:val="en-CA"/>
        </w:rPr>
        <w:t>5</w:t>
      </w:r>
      <w:r w:rsidRPr="00634E2F">
        <w:rPr>
          <w:lang w:val="en-CA"/>
        </w:rPr>
        <w:t xml:space="preserve"> ODP tonnes) in 2030</w:t>
      </w:r>
      <w:r w:rsidR="00DB0C98" w:rsidRPr="00634E2F">
        <w:rPr>
          <w:lang w:val="en-CA"/>
        </w:rPr>
        <w:t xml:space="preserve"> (a reduction of 333</w:t>
      </w:r>
      <w:r w:rsidR="007C7512" w:rsidRPr="00634E2F">
        <w:rPr>
          <w:lang w:val="en-CA"/>
        </w:rPr>
        <w:t>,</w:t>
      </w:r>
      <w:r w:rsidR="00DB0C98" w:rsidRPr="00634E2F">
        <w:rPr>
          <w:lang w:val="en-CA"/>
        </w:rPr>
        <w:t xml:space="preserve">415 </w:t>
      </w:r>
      <w:proofErr w:type="spellStart"/>
      <w:r w:rsidR="00DB0C98" w:rsidRPr="00634E2F">
        <w:rPr>
          <w:lang w:val="en-CA"/>
        </w:rPr>
        <w:t>mt</w:t>
      </w:r>
      <w:proofErr w:type="spellEnd"/>
      <w:r w:rsidR="00DB0C98" w:rsidRPr="00634E2F">
        <w:rPr>
          <w:lang w:val="en-CA"/>
        </w:rPr>
        <w:t>)</w:t>
      </w:r>
      <w:r w:rsidRPr="00634E2F">
        <w:rPr>
          <w:lang w:val="en-CA"/>
        </w:rPr>
        <w:t>, as shown</w:t>
      </w:r>
      <w:r>
        <w:rPr>
          <w:lang w:val="en-CA"/>
        </w:rPr>
        <w:t xml:space="preserve"> in Table 2. </w:t>
      </w:r>
    </w:p>
    <w:p w14:paraId="6D78E90F" w14:textId="20C8E95A" w:rsidR="00502FEE" w:rsidRPr="00480B01" w:rsidRDefault="00502FEE" w:rsidP="00502FEE">
      <w:pPr>
        <w:rPr>
          <w:b/>
          <w:bCs/>
          <w:lang w:val="en-CA"/>
        </w:rPr>
      </w:pPr>
      <w:r w:rsidRPr="00480B01">
        <w:rPr>
          <w:b/>
          <w:lang w:val="en-CA"/>
        </w:rPr>
        <w:t xml:space="preserve">Table 2. </w:t>
      </w:r>
      <w:r w:rsidRPr="00480B01">
        <w:rPr>
          <w:b/>
          <w:bCs/>
          <w:lang w:val="en-CA"/>
        </w:rPr>
        <w:t>HCFC production for controlled uses in Article 5 countries (</w:t>
      </w:r>
      <w:proofErr w:type="spellStart"/>
      <w:r w:rsidR="00480B01">
        <w:rPr>
          <w:b/>
          <w:bCs/>
          <w:lang w:val="en-CA"/>
        </w:rPr>
        <w:t>mt</w:t>
      </w:r>
      <w:proofErr w:type="spellEnd"/>
      <w:r w:rsidR="00480B01">
        <w:rPr>
          <w:b/>
          <w:bCs/>
          <w:lang w:val="en-CA"/>
        </w:rPr>
        <w:t xml:space="preserve"> and </w:t>
      </w:r>
      <w:r w:rsidR="00634E2F" w:rsidRPr="00480B01">
        <w:rPr>
          <w:b/>
          <w:bCs/>
          <w:lang w:val="en-CA"/>
        </w:rPr>
        <w:t>ODP tonnes</w:t>
      </w:r>
      <w:r w:rsidRPr="00480B01">
        <w:rPr>
          <w:b/>
          <w:bCs/>
          <w:lang w:val="en-CA"/>
        </w:rPr>
        <w:t>)</w:t>
      </w:r>
    </w:p>
    <w:tbl>
      <w:tblPr>
        <w:tblW w:w="5000" w:type="pct"/>
        <w:tblLayout w:type="fixed"/>
        <w:tblLook w:val="04A0" w:firstRow="1" w:lastRow="0" w:firstColumn="1" w:lastColumn="0" w:noHBand="0" w:noVBand="1"/>
      </w:tblPr>
      <w:tblGrid>
        <w:gridCol w:w="2729"/>
        <w:gridCol w:w="947"/>
        <w:gridCol w:w="946"/>
        <w:gridCol w:w="946"/>
        <w:gridCol w:w="946"/>
        <w:gridCol w:w="946"/>
        <w:gridCol w:w="946"/>
        <w:gridCol w:w="944"/>
      </w:tblGrid>
      <w:tr w:rsidR="00502FEE" w:rsidRPr="00480B01" w14:paraId="3E7CA4D6" w14:textId="77777777" w:rsidTr="001277B2">
        <w:tc>
          <w:tcPr>
            <w:tcW w:w="1459" w:type="pct"/>
            <w:tcBorders>
              <w:top w:val="single" w:sz="4" w:space="0" w:color="auto"/>
              <w:left w:val="single" w:sz="4" w:space="0" w:color="auto"/>
              <w:bottom w:val="single" w:sz="4" w:space="0" w:color="auto"/>
              <w:right w:val="single" w:sz="4" w:space="0" w:color="auto"/>
            </w:tcBorders>
            <w:shd w:val="clear" w:color="auto" w:fill="auto"/>
            <w:noWrap/>
            <w:tcMar>
              <w:left w:w="43" w:type="dxa"/>
              <w:right w:w="29" w:type="dxa"/>
            </w:tcMar>
            <w:vAlign w:val="center"/>
            <w:hideMark/>
          </w:tcPr>
          <w:p w14:paraId="5291CC99" w14:textId="17178C06" w:rsidR="00502FEE" w:rsidRPr="00641A6D" w:rsidRDefault="00502FEE" w:rsidP="000E7A06">
            <w:pPr>
              <w:jc w:val="left"/>
              <w:rPr>
                <w:b/>
                <w:color w:val="000000"/>
                <w:sz w:val="18"/>
                <w:szCs w:val="18"/>
                <w:lang w:val="en-CA" w:eastAsia="en-CA"/>
              </w:rPr>
            </w:pPr>
            <w:r w:rsidRPr="00641A6D">
              <w:rPr>
                <w:b/>
                <w:color w:val="000000"/>
                <w:sz w:val="18"/>
                <w:szCs w:val="18"/>
                <w:lang w:val="en-CA" w:eastAsia="en-CA"/>
              </w:rPr>
              <w:t>Party*</w:t>
            </w:r>
            <w:r w:rsidR="000D07A0" w:rsidRPr="00641A6D">
              <w:rPr>
                <w:b/>
                <w:color w:val="000000"/>
                <w:sz w:val="18"/>
                <w:szCs w:val="18"/>
                <w:lang w:val="en-CA" w:eastAsia="en-CA"/>
              </w:rPr>
              <w:t xml:space="preserve"> (</w:t>
            </w:r>
            <w:proofErr w:type="spellStart"/>
            <w:r w:rsidR="000D07A0" w:rsidRPr="00641A6D">
              <w:rPr>
                <w:b/>
                <w:color w:val="000000"/>
                <w:sz w:val="18"/>
                <w:szCs w:val="18"/>
                <w:lang w:val="en-CA" w:eastAsia="en-CA"/>
              </w:rPr>
              <w:t>mt</w:t>
            </w:r>
            <w:proofErr w:type="spellEnd"/>
            <w:r w:rsidR="000D07A0" w:rsidRPr="00641A6D">
              <w:rPr>
                <w:b/>
                <w:color w:val="000000"/>
                <w:sz w:val="18"/>
                <w:szCs w:val="18"/>
                <w:lang w:val="en-CA" w:eastAsia="en-CA"/>
              </w:rPr>
              <w:t>)</w:t>
            </w:r>
          </w:p>
        </w:tc>
        <w:tc>
          <w:tcPr>
            <w:tcW w:w="50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3E62F601" w14:textId="77777777" w:rsidR="00502FEE" w:rsidRPr="00641A6D" w:rsidRDefault="00502FEE" w:rsidP="000E7A06">
            <w:pPr>
              <w:jc w:val="center"/>
              <w:rPr>
                <w:b/>
                <w:color w:val="000000"/>
                <w:sz w:val="18"/>
                <w:szCs w:val="18"/>
                <w:lang w:val="en-CA" w:eastAsia="en-CA"/>
              </w:rPr>
            </w:pPr>
            <w:r w:rsidRPr="00641A6D">
              <w:rPr>
                <w:b/>
                <w:color w:val="000000"/>
                <w:sz w:val="18"/>
                <w:szCs w:val="18"/>
                <w:lang w:val="en-CA" w:eastAsia="en-CA"/>
              </w:rPr>
              <w:t>Baseline</w:t>
            </w:r>
          </w:p>
        </w:tc>
        <w:tc>
          <w:tcPr>
            <w:tcW w:w="506" w:type="pct"/>
            <w:tcBorders>
              <w:top w:val="single" w:sz="4" w:space="0" w:color="auto"/>
              <w:left w:val="nil"/>
              <w:bottom w:val="single" w:sz="4" w:space="0" w:color="auto"/>
              <w:right w:val="single" w:sz="4" w:space="0" w:color="auto"/>
            </w:tcBorders>
            <w:vAlign w:val="center"/>
          </w:tcPr>
          <w:p w14:paraId="758457D5" w14:textId="77777777" w:rsidR="00502FEE" w:rsidRPr="00641A6D" w:rsidRDefault="00502FEE" w:rsidP="000E7A06">
            <w:pPr>
              <w:jc w:val="center"/>
              <w:rPr>
                <w:b/>
                <w:color w:val="000000"/>
                <w:sz w:val="18"/>
                <w:szCs w:val="18"/>
                <w:lang w:val="en-CA" w:eastAsia="en-CA"/>
              </w:rPr>
            </w:pPr>
            <w:r w:rsidRPr="00641A6D">
              <w:rPr>
                <w:b/>
                <w:color w:val="000000"/>
                <w:sz w:val="18"/>
                <w:szCs w:val="18"/>
                <w:lang w:val="en-CA" w:eastAsia="en-CA"/>
              </w:rPr>
              <w:t>2015</w:t>
            </w:r>
          </w:p>
        </w:tc>
        <w:tc>
          <w:tcPr>
            <w:tcW w:w="50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12A6D8D" w14:textId="77777777" w:rsidR="00502FEE" w:rsidRPr="00641A6D" w:rsidRDefault="00502FEE" w:rsidP="000E7A06">
            <w:pPr>
              <w:jc w:val="center"/>
              <w:rPr>
                <w:b/>
                <w:color w:val="000000"/>
                <w:sz w:val="18"/>
                <w:szCs w:val="18"/>
                <w:lang w:val="en-CA" w:eastAsia="en-CA"/>
              </w:rPr>
            </w:pPr>
            <w:r w:rsidRPr="00641A6D">
              <w:rPr>
                <w:b/>
                <w:color w:val="000000"/>
                <w:sz w:val="18"/>
                <w:szCs w:val="18"/>
                <w:lang w:val="en-CA" w:eastAsia="en-CA"/>
              </w:rPr>
              <w:t>2018</w:t>
            </w:r>
          </w:p>
        </w:tc>
        <w:tc>
          <w:tcPr>
            <w:tcW w:w="50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3B9BF13" w14:textId="77777777" w:rsidR="00502FEE" w:rsidRPr="00641A6D" w:rsidRDefault="00502FEE" w:rsidP="000E7A06">
            <w:pPr>
              <w:jc w:val="center"/>
              <w:rPr>
                <w:b/>
                <w:color w:val="000000"/>
                <w:sz w:val="18"/>
                <w:szCs w:val="18"/>
                <w:lang w:val="en-CA" w:eastAsia="en-CA"/>
              </w:rPr>
            </w:pPr>
            <w:r w:rsidRPr="00641A6D">
              <w:rPr>
                <w:b/>
                <w:color w:val="000000"/>
                <w:sz w:val="18"/>
                <w:szCs w:val="18"/>
                <w:lang w:val="en-CA" w:eastAsia="en-CA"/>
              </w:rPr>
              <w:t>% (2018 / baseline)</w:t>
            </w:r>
          </w:p>
        </w:tc>
        <w:tc>
          <w:tcPr>
            <w:tcW w:w="50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7E3F154" w14:textId="77777777" w:rsidR="00502FEE" w:rsidRPr="00641A6D" w:rsidRDefault="00502FEE" w:rsidP="000E7A06">
            <w:pPr>
              <w:jc w:val="center"/>
              <w:rPr>
                <w:b/>
                <w:color w:val="000000"/>
                <w:sz w:val="18"/>
                <w:szCs w:val="18"/>
                <w:lang w:val="en-CA" w:eastAsia="en-CA"/>
              </w:rPr>
            </w:pPr>
            <w:r w:rsidRPr="00641A6D">
              <w:rPr>
                <w:b/>
                <w:color w:val="000000"/>
                <w:sz w:val="18"/>
                <w:szCs w:val="18"/>
                <w:lang w:val="en-CA" w:eastAsia="en-CA"/>
              </w:rPr>
              <w:t xml:space="preserve">Target </w:t>
            </w:r>
          </w:p>
          <w:p w14:paraId="4EADEA8C" w14:textId="77777777" w:rsidR="00502FEE" w:rsidRPr="00641A6D" w:rsidRDefault="00502FEE" w:rsidP="000E7A06">
            <w:pPr>
              <w:jc w:val="center"/>
              <w:rPr>
                <w:b/>
                <w:color w:val="000000"/>
                <w:sz w:val="18"/>
                <w:szCs w:val="18"/>
                <w:lang w:val="en-CA" w:eastAsia="en-CA"/>
              </w:rPr>
            </w:pPr>
            <w:r w:rsidRPr="00641A6D">
              <w:rPr>
                <w:b/>
                <w:color w:val="000000"/>
                <w:sz w:val="18"/>
                <w:szCs w:val="18"/>
                <w:lang w:val="en-CA" w:eastAsia="en-CA"/>
              </w:rPr>
              <w:t>2020**</w:t>
            </w:r>
          </w:p>
        </w:tc>
        <w:tc>
          <w:tcPr>
            <w:tcW w:w="50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10BDE32" w14:textId="77777777" w:rsidR="00502FEE" w:rsidRPr="00641A6D" w:rsidRDefault="00502FEE" w:rsidP="000E7A06">
            <w:pPr>
              <w:jc w:val="center"/>
              <w:rPr>
                <w:b/>
                <w:color w:val="000000"/>
                <w:sz w:val="18"/>
                <w:szCs w:val="18"/>
                <w:lang w:val="en-CA" w:eastAsia="en-CA"/>
              </w:rPr>
            </w:pPr>
            <w:r w:rsidRPr="00641A6D">
              <w:rPr>
                <w:b/>
                <w:color w:val="000000"/>
                <w:sz w:val="18"/>
                <w:szCs w:val="18"/>
                <w:lang w:val="en-CA" w:eastAsia="en-CA"/>
              </w:rPr>
              <w:t xml:space="preserve">Target </w:t>
            </w:r>
          </w:p>
          <w:p w14:paraId="3F57D5C4" w14:textId="77777777" w:rsidR="00502FEE" w:rsidRPr="00641A6D" w:rsidRDefault="00502FEE" w:rsidP="000E7A06">
            <w:pPr>
              <w:jc w:val="center"/>
              <w:rPr>
                <w:b/>
                <w:color w:val="000000"/>
                <w:sz w:val="18"/>
                <w:szCs w:val="18"/>
                <w:lang w:val="en-CA" w:eastAsia="en-CA"/>
              </w:rPr>
            </w:pPr>
            <w:r w:rsidRPr="00641A6D">
              <w:rPr>
                <w:b/>
                <w:color w:val="000000"/>
                <w:sz w:val="18"/>
                <w:szCs w:val="18"/>
                <w:lang w:val="en-CA" w:eastAsia="en-CA"/>
              </w:rPr>
              <w:t>2025**</w:t>
            </w:r>
          </w:p>
        </w:tc>
        <w:tc>
          <w:tcPr>
            <w:tcW w:w="50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27B0A37C" w14:textId="77777777" w:rsidR="00502FEE" w:rsidRPr="00641A6D" w:rsidRDefault="00502FEE" w:rsidP="000E7A06">
            <w:pPr>
              <w:jc w:val="center"/>
              <w:rPr>
                <w:b/>
                <w:color w:val="000000"/>
                <w:sz w:val="18"/>
                <w:szCs w:val="18"/>
                <w:lang w:val="en-CA" w:eastAsia="en-CA"/>
              </w:rPr>
            </w:pPr>
            <w:r w:rsidRPr="00641A6D">
              <w:rPr>
                <w:b/>
                <w:color w:val="000000"/>
                <w:sz w:val="18"/>
                <w:szCs w:val="18"/>
                <w:lang w:val="en-CA" w:eastAsia="en-CA"/>
              </w:rPr>
              <w:t>Target 2030**</w:t>
            </w:r>
          </w:p>
        </w:tc>
      </w:tr>
      <w:tr w:rsidR="00502FEE" w:rsidRPr="00480B01" w14:paraId="5375EDDC"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4ECC88F2" w14:textId="77777777" w:rsidR="00502FEE" w:rsidRPr="00641A6D" w:rsidRDefault="00502FEE" w:rsidP="000E7A06">
            <w:pPr>
              <w:jc w:val="left"/>
              <w:rPr>
                <w:color w:val="000000"/>
                <w:sz w:val="18"/>
                <w:szCs w:val="18"/>
                <w:lang w:val="en-CA" w:eastAsia="en-CA"/>
              </w:rPr>
            </w:pPr>
            <w:r w:rsidRPr="00641A6D">
              <w:rPr>
                <w:color w:val="000000"/>
                <w:sz w:val="18"/>
                <w:szCs w:val="18"/>
                <w:lang w:val="en-CA" w:eastAsia="en-CA"/>
              </w:rPr>
              <w:t>Argentina</w:t>
            </w:r>
          </w:p>
        </w:tc>
        <w:tc>
          <w:tcPr>
            <w:tcW w:w="506" w:type="pct"/>
            <w:tcBorders>
              <w:top w:val="nil"/>
              <w:left w:val="nil"/>
              <w:bottom w:val="single" w:sz="4" w:space="0" w:color="auto"/>
              <w:right w:val="single" w:sz="4" w:space="0" w:color="auto"/>
            </w:tcBorders>
            <w:shd w:val="clear" w:color="auto" w:fill="auto"/>
            <w:noWrap/>
            <w:hideMark/>
          </w:tcPr>
          <w:p w14:paraId="17AE98A3" w14:textId="77777777" w:rsidR="00502FEE" w:rsidRPr="00641A6D" w:rsidRDefault="00502FEE" w:rsidP="000E7A06">
            <w:pPr>
              <w:jc w:val="right"/>
              <w:rPr>
                <w:color w:val="000000"/>
                <w:sz w:val="18"/>
                <w:szCs w:val="18"/>
                <w:lang w:val="en-CA" w:eastAsia="en-CA"/>
              </w:rPr>
            </w:pPr>
            <w:r w:rsidRPr="00641A6D">
              <w:rPr>
                <w:sz w:val="18"/>
                <w:szCs w:val="18"/>
              </w:rPr>
              <w:t>4,082.6</w:t>
            </w:r>
          </w:p>
        </w:tc>
        <w:tc>
          <w:tcPr>
            <w:tcW w:w="506" w:type="pct"/>
            <w:tcBorders>
              <w:top w:val="single" w:sz="4" w:space="0" w:color="auto"/>
              <w:left w:val="nil"/>
              <w:bottom w:val="single" w:sz="4" w:space="0" w:color="auto"/>
              <w:right w:val="single" w:sz="4" w:space="0" w:color="auto"/>
            </w:tcBorders>
          </w:tcPr>
          <w:p w14:paraId="20226E33" w14:textId="77777777" w:rsidR="00502FEE" w:rsidRPr="00641A6D" w:rsidRDefault="00502FEE" w:rsidP="000E7A06">
            <w:pPr>
              <w:jc w:val="right"/>
              <w:rPr>
                <w:sz w:val="18"/>
                <w:szCs w:val="18"/>
              </w:rPr>
            </w:pPr>
            <w:r w:rsidRPr="00641A6D">
              <w:rPr>
                <w:sz w:val="18"/>
                <w:szCs w:val="18"/>
              </w:rPr>
              <w:t>2,446.0</w:t>
            </w:r>
          </w:p>
        </w:tc>
        <w:tc>
          <w:tcPr>
            <w:tcW w:w="506" w:type="pct"/>
            <w:tcBorders>
              <w:top w:val="nil"/>
              <w:left w:val="single" w:sz="4" w:space="0" w:color="auto"/>
              <w:bottom w:val="single" w:sz="4" w:space="0" w:color="auto"/>
              <w:right w:val="single" w:sz="4" w:space="0" w:color="auto"/>
            </w:tcBorders>
            <w:shd w:val="clear" w:color="auto" w:fill="auto"/>
            <w:noWrap/>
            <w:hideMark/>
          </w:tcPr>
          <w:p w14:paraId="63EA4ADB" w14:textId="77777777" w:rsidR="00502FEE" w:rsidRPr="00641A6D" w:rsidRDefault="00502FEE" w:rsidP="000E7A06">
            <w:pPr>
              <w:jc w:val="right"/>
              <w:rPr>
                <w:color w:val="000000"/>
                <w:sz w:val="18"/>
                <w:szCs w:val="18"/>
                <w:lang w:val="en-CA" w:eastAsia="en-CA"/>
              </w:rPr>
            </w:pPr>
            <w:r w:rsidRPr="00641A6D">
              <w:rPr>
                <w:sz w:val="18"/>
                <w:szCs w:val="18"/>
              </w:rPr>
              <w:t>1,192.2</w:t>
            </w:r>
          </w:p>
        </w:tc>
        <w:tc>
          <w:tcPr>
            <w:tcW w:w="506" w:type="pct"/>
            <w:tcBorders>
              <w:top w:val="nil"/>
              <w:left w:val="nil"/>
              <w:bottom w:val="single" w:sz="4" w:space="0" w:color="auto"/>
              <w:right w:val="single" w:sz="4" w:space="0" w:color="auto"/>
            </w:tcBorders>
            <w:shd w:val="clear" w:color="auto" w:fill="auto"/>
            <w:noWrap/>
            <w:hideMark/>
          </w:tcPr>
          <w:p w14:paraId="2E469378" w14:textId="77777777" w:rsidR="00502FEE" w:rsidRPr="00641A6D" w:rsidRDefault="00502FEE" w:rsidP="000E7A06">
            <w:pPr>
              <w:jc w:val="right"/>
              <w:rPr>
                <w:color w:val="000000"/>
                <w:sz w:val="18"/>
                <w:szCs w:val="18"/>
                <w:lang w:val="en-CA" w:eastAsia="en-CA"/>
              </w:rPr>
            </w:pPr>
            <w:r w:rsidRPr="00641A6D">
              <w:rPr>
                <w:sz w:val="18"/>
                <w:szCs w:val="18"/>
              </w:rPr>
              <w:t>29.2</w:t>
            </w:r>
          </w:p>
        </w:tc>
        <w:tc>
          <w:tcPr>
            <w:tcW w:w="506" w:type="pct"/>
            <w:tcBorders>
              <w:top w:val="nil"/>
              <w:left w:val="nil"/>
              <w:bottom w:val="single" w:sz="4" w:space="0" w:color="auto"/>
              <w:right w:val="single" w:sz="4" w:space="0" w:color="auto"/>
            </w:tcBorders>
            <w:shd w:val="clear" w:color="auto" w:fill="auto"/>
            <w:noWrap/>
            <w:hideMark/>
          </w:tcPr>
          <w:p w14:paraId="64942940" w14:textId="77777777" w:rsidR="00502FEE" w:rsidRPr="00641A6D" w:rsidRDefault="00502FEE" w:rsidP="000E7A06">
            <w:pPr>
              <w:jc w:val="right"/>
              <w:rPr>
                <w:color w:val="000000"/>
                <w:sz w:val="18"/>
                <w:szCs w:val="18"/>
                <w:lang w:val="en-CA" w:eastAsia="en-CA"/>
              </w:rPr>
            </w:pPr>
            <w:r w:rsidRPr="00641A6D">
              <w:rPr>
                <w:sz w:val="18"/>
                <w:szCs w:val="18"/>
              </w:rPr>
              <w:t>2,653.7</w:t>
            </w:r>
          </w:p>
        </w:tc>
        <w:tc>
          <w:tcPr>
            <w:tcW w:w="506" w:type="pct"/>
            <w:tcBorders>
              <w:top w:val="nil"/>
              <w:left w:val="nil"/>
              <w:bottom w:val="single" w:sz="4" w:space="0" w:color="auto"/>
              <w:right w:val="single" w:sz="4" w:space="0" w:color="auto"/>
            </w:tcBorders>
            <w:shd w:val="clear" w:color="auto" w:fill="auto"/>
            <w:noWrap/>
            <w:hideMark/>
          </w:tcPr>
          <w:p w14:paraId="22FF611B" w14:textId="77777777" w:rsidR="00502FEE" w:rsidRPr="00641A6D" w:rsidRDefault="00502FEE" w:rsidP="000E7A06">
            <w:pPr>
              <w:jc w:val="right"/>
              <w:rPr>
                <w:color w:val="000000"/>
                <w:sz w:val="18"/>
                <w:szCs w:val="18"/>
                <w:lang w:val="en-CA" w:eastAsia="en-CA"/>
              </w:rPr>
            </w:pPr>
            <w:r w:rsidRPr="00641A6D">
              <w:rPr>
                <w:sz w:val="18"/>
                <w:szCs w:val="18"/>
              </w:rPr>
              <w:t>1,326.8</w:t>
            </w:r>
          </w:p>
        </w:tc>
        <w:tc>
          <w:tcPr>
            <w:tcW w:w="506" w:type="pct"/>
            <w:tcBorders>
              <w:top w:val="nil"/>
              <w:left w:val="nil"/>
              <w:bottom w:val="single" w:sz="4" w:space="0" w:color="auto"/>
              <w:right w:val="single" w:sz="4" w:space="0" w:color="auto"/>
            </w:tcBorders>
            <w:shd w:val="clear" w:color="auto" w:fill="auto"/>
            <w:noWrap/>
            <w:hideMark/>
          </w:tcPr>
          <w:p w14:paraId="3A3D0F04" w14:textId="77777777" w:rsidR="00502FEE" w:rsidRPr="00641A6D" w:rsidRDefault="00502FEE" w:rsidP="000E7A06">
            <w:pPr>
              <w:jc w:val="right"/>
              <w:rPr>
                <w:color w:val="000000"/>
                <w:sz w:val="18"/>
                <w:szCs w:val="18"/>
                <w:lang w:val="en-CA" w:eastAsia="en-CA"/>
              </w:rPr>
            </w:pPr>
            <w:r w:rsidRPr="00641A6D">
              <w:rPr>
                <w:sz w:val="18"/>
                <w:szCs w:val="18"/>
              </w:rPr>
              <w:t>102.1</w:t>
            </w:r>
          </w:p>
        </w:tc>
      </w:tr>
      <w:tr w:rsidR="00502FEE" w:rsidRPr="00480B01" w14:paraId="5BC67B9F"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6E32EFDB" w14:textId="77777777" w:rsidR="00502FEE" w:rsidRPr="00641A6D" w:rsidRDefault="00502FEE" w:rsidP="000E7A06">
            <w:pPr>
              <w:jc w:val="left"/>
              <w:rPr>
                <w:color w:val="000000"/>
                <w:sz w:val="18"/>
                <w:szCs w:val="18"/>
                <w:lang w:val="en-CA" w:eastAsia="en-CA"/>
              </w:rPr>
            </w:pPr>
            <w:r w:rsidRPr="00641A6D">
              <w:rPr>
                <w:color w:val="000000"/>
                <w:sz w:val="18"/>
                <w:szCs w:val="18"/>
                <w:lang w:val="en-CA" w:eastAsia="en-CA"/>
              </w:rPr>
              <w:t>China</w:t>
            </w:r>
          </w:p>
        </w:tc>
        <w:tc>
          <w:tcPr>
            <w:tcW w:w="506" w:type="pct"/>
            <w:tcBorders>
              <w:top w:val="nil"/>
              <w:left w:val="nil"/>
              <w:bottom w:val="single" w:sz="4" w:space="0" w:color="auto"/>
              <w:right w:val="single" w:sz="4" w:space="0" w:color="auto"/>
            </w:tcBorders>
            <w:shd w:val="clear" w:color="auto" w:fill="auto"/>
            <w:noWrap/>
            <w:hideMark/>
          </w:tcPr>
          <w:p w14:paraId="332883B8" w14:textId="77777777" w:rsidR="00502FEE" w:rsidRPr="00641A6D" w:rsidRDefault="00502FEE" w:rsidP="000E7A06">
            <w:pPr>
              <w:jc w:val="right"/>
              <w:rPr>
                <w:color w:val="000000"/>
                <w:sz w:val="18"/>
                <w:szCs w:val="18"/>
                <w:lang w:val="en-CA" w:eastAsia="en-CA"/>
              </w:rPr>
            </w:pPr>
            <w:r w:rsidRPr="00641A6D">
              <w:rPr>
                <w:sz w:val="18"/>
                <w:szCs w:val="18"/>
              </w:rPr>
              <w:t>430,962.1</w:t>
            </w:r>
          </w:p>
        </w:tc>
        <w:tc>
          <w:tcPr>
            <w:tcW w:w="506" w:type="pct"/>
            <w:tcBorders>
              <w:top w:val="single" w:sz="4" w:space="0" w:color="auto"/>
              <w:left w:val="nil"/>
              <w:bottom w:val="single" w:sz="4" w:space="0" w:color="auto"/>
              <w:right w:val="single" w:sz="4" w:space="0" w:color="auto"/>
            </w:tcBorders>
          </w:tcPr>
          <w:p w14:paraId="3451F7B2" w14:textId="77777777" w:rsidR="00502FEE" w:rsidRPr="00641A6D" w:rsidRDefault="00502FEE" w:rsidP="000E7A06">
            <w:pPr>
              <w:jc w:val="right"/>
              <w:rPr>
                <w:sz w:val="18"/>
                <w:szCs w:val="18"/>
              </w:rPr>
            </w:pPr>
            <w:r w:rsidRPr="00641A6D">
              <w:rPr>
                <w:sz w:val="18"/>
                <w:szCs w:val="18"/>
              </w:rPr>
              <w:t>330,011.1</w:t>
            </w:r>
          </w:p>
        </w:tc>
        <w:tc>
          <w:tcPr>
            <w:tcW w:w="506" w:type="pct"/>
            <w:tcBorders>
              <w:top w:val="nil"/>
              <w:left w:val="single" w:sz="4" w:space="0" w:color="auto"/>
              <w:bottom w:val="single" w:sz="4" w:space="0" w:color="auto"/>
              <w:right w:val="single" w:sz="4" w:space="0" w:color="auto"/>
            </w:tcBorders>
            <w:shd w:val="clear" w:color="auto" w:fill="auto"/>
            <w:noWrap/>
            <w:hideMark/>
          </w:tcPr>
          <w:p w14:paraId="479836F0" w14:textId="77777777" w:rsidR="00502FEE" w:rsidRPr="00641A6D" w:rsidRDefault="00502FEE" w:rsidP="000E7A06">
            <w:pPr>
              <w:jc w:val="right"/>
              <w:rPr>
                <w:color w:val="000000"/>
                <w:sz w:val="18"/>
                <w:szCs w:val="18"/>
                <w:lang w:val="en-CA" w:eastAsia="en-CA"/>
              </w:rPr>
            </w:pPr>
            <w:r w:rsidRPr="00641A6D">
              <w:rPr>
                <w:sz w:val="18"/>
                <w:szCs w:val="18"/>
              </w:rPr>
              <w:t>319,039.9</w:t>
            </w:r>
          </w:p>
        </w:tc>
        <w:tc>
          <w:tcPr>
            <w:tcW w:w="506" w:type="pct"/>
            <w:tcBorders>
              <w:top w:val="nil"/>
              <w:left w:val="nil"/>
              <w:bottom w:val="single" w:sz="4" w:space="0" w:color="auto"/>
              <w:right w:val="single" w:sz="4" w:space="0" w:color="auto"/>
            </w:tcBorders>
            <w:shd w:val="clear" w:color="auto" w:fill="auto"/>
            <w:noWrap/>
            <w:hideMark/>
          </w:tcPr>
          <w:p w14:paraId="358075C5" w14:textId="77777777" w:rsidR="00502FEE" w:rsidRPr="00641A6D" w:rsidRDefault="00502FEE" w:rsidP="000E7A06">
            <w:pPr>
              <w:jc w:val="right"/>
              <w:rPr>
                <w:color w:val="000000"/>
                <w:sz w:val="18"/>
                <w:szCs w:val="18"/>
                <w:lang w:val="en-CA" w:eastAsia="en-CA"/>
              </w:rPr>
            </w:pPr>
            <w:r w:rsidRPr="00641A6D">
              <w:rPr>
                <w:sz w:val="18"/>
                <w:szCs w:val="18"/>
              </w:rPr>
              <w:t>74.0</w:t>
            </w:r>
          </w:p>
        </w:tc>
        <w:tc>
          <w:tcPr>
            <w:tcW w:w="506" w:type="pct"/>
            <w:tcBorders>
              <w:top w:val="nil"/>
              <w:left w:val="nil"/>
              <w:bottom w:val="single" w:sz="4" w:space="0" w:color="auto"/>
              <w:right w:val="single" w:sz="4" w:space="0" w:color="auto"/>
            </w:tcBorders>
            <w:shd w:val="clear" w:color="auto" w:fill="auto"/>
            <w:noWrap/>
            <w:hideMark/>
          </w:tcPr>
          <w:p w14:paraId="1C32E594" w14:textId="77777777" w:rsidR="00502FEE" w:rsidRPr="00641A6D" w:rsidRDefault="00502FEE" w:rsidP="000E7A06">
            <w:pPr>
              <w:jc w:val="right"/>
              <w:rPr>
                <w:color w:val="000000"/>
                <w:sz w:val="18"/>
                <w:szCs w:val="18"/>
                <w:lang w:val="en-CA" w:eastAsia="en-CA"/>
              </w:rPr>
            </w:pPr>
            <w:r w:rsidRPr="00641A6D">
              <w:rPr>
                <w:sz w:val="18"/>
                <w:szCs w:val="18"/>
              </w:rPr>
              <w:t>280,125.4</w:t>
            </w:r>
          </w:p>
        </w:tc>
        <w:tc>
          <w:tcPr>
            <w:tcW w:w="506" w:type="pct"/>
            <w:tcBorders>
              <w:top w:val="nil"/>
              <w:left w:val="nil"/>
              <w:bottom w:val="single" w:sz="4" w:space="0" w:color="auto"/>
              <w:right w:val="single" w:sz="4" w:space="0" w:color="auto"/>
            </w:tcBorders>
            <w:shd w:val="clear" w:color="auto" w:fill="auto"/>
            <w:noWrap/>
            <w:hideMark/>
          </w:tcPr>
          <w:p w14:paraId="679E1E87" w14:textId="77777777" w:rsidR="00502FEE" w:rsidRPr="00641A6D" w:rsidRDefault="00502FEE" w:rsidP="000E7A06">
            <w:pPr>
              <w:jc w:val="right"/>
              <w:rPr>
                <w:color w:val="000000"/>
                <w:sz w:val="18"/>
                <w:szCs w:val="18"/>
                <w:lang w:val="en-CA" w:eastAsia="en-CA"/>
              </w:rPr>
            </w:pPr>
            <w:r w:rsidRPr="00641A6D">
              <w:rPr>
                <w:sz w:val="18"/>
                <w:szCs w:val="18"/>
              </w:rPr>
              <w:t>140,062.7</w:t>
            </w:r>
          </w:p>
        </w:tc>
        <w:tc>
          <w:tcPr>
            <w:tcW w:w="506" w:type="pct"/>
            <w:tcBorders>
              <w:top w:val="nil"/>
              <w:left w:val="nil"/>
              <w:bottom w:val="single" w:sz="4" w:space="0" w:color="auto"/>
              <w:right w:val="single" w:sz="4" w:space="0" w:color="auto"/>
            </w:tcBorders>
            <w:shd w:val="clear" w:color="auto" w:fill="auto"/>
            <w:noWrap/>
            <w:hideMark/>
          </w:tcPr>
          <w:p w14:paraId="380610FD" w14:textId="77777777" w:rsidR="00502FEE" w:rsidRPr="00641A6D" w:rsidRDefault="00502FEE" w:rsidP="000E7A06">
            <w:pPr>
              <w:jc w:val="right"/>
              <w:rPr>
                <w:color w:val="000000"/>
                <w:sz w:val="18"/>
                <w:szCs w:val="18"/>
                <w:lang w:val="en-CA" w:eastAsia="en-CA"/>
              </w:rPr>
            </w:pPr>
            <w:r w:rsidRPr="00641A6D">
              <w:rPr>
                <w:sz w:val="18"/>
                <w:szCs w:val="18"/>
              </w:rPr>
              <w:t>10,774.1</w:t>
            </w:r>
          </w:p>
        </w:tc>
      </w:tr>
      <w:tr w:rsidR="00502FEE" w:rsidRPr="001277B2" w14:paraId="349D0816"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68816810" w14:textId="77777777" w:rsidR="00502FEE" w:rsidRPr="001277B2" w:rsidRDefault="00502FEE" w:rsidP="000E7A06">
            <w:pPr>
              <w:jc w:val="left"/>
              <w:rPr>
                <w:color w:val="000000"/>
                <w:sz w:val="18"/>
                <w:szCs w:val="18"/>
                <w:lang w:val="en-CA" w:eastAsia="en-CA"/>
              </w:rPr>
            </w:pPr>
            <w:r w:rsidRPr="001277B2">
              <w:rPr>
                <w:color w:val="000000"/>
                <w:sz w:val="18"/>
                <w:szCs w:val="18"/>
                <w:lang w:val="en-CA" w:eastAsia="en-CA"/>
              </w:rPr>
              <w:t>Democratic People's Republic of Korea</w:t>
            </w:r>
          </w:p>
        </w:tc>
        <w:tc>
          <w:tcPr>
            <w:tcW w:w="506" w:type="pct"/>
            <w:tcBorders>
              <w:top w:val="nil"/>
              <w:left w:val="nil"/>
              <w:bottom w:val="single" w:sz="4" w:space="0" w:color="auto"/>
              <w:right w:val="single" w:sz="4" w:space="0" w:color="auto"/>
            </w:tcBorders>
            <w:shd w:val="clear" w:color="auto" w:fill="auto"/>
            <w:noWrap/>
            <w:hideMark/>
          </w:tcPr>
          <w:p w14:paraId="47821DD5" w14:textId="77777777" w:rsidR="00502FEE" w:rsidRPr="001277B2" w:rsidRDefault="00502FEE" w:rsidP="000E7A06">
            <w:pPr>
              <w:jc w:val="right"/>
              <w:rPr>
                <w:color w:val="000000"/>
                <w:sz w:val="18"/>
                <w:szCs w:val="18"/>
                <w:lang w:val="en-CA" w:eastAsia="en-CA"/>
              </w:rPr>
            </w:pPr>
            <w:r w:rsidRPr="001277B2">
              <w:rPr>
                <w:sz w:val="18"/>
                <w:szCs w:val="18"/>
              </w:rPr>
              <w:t>501.0</w:t>
            </w:r>
          </w:p>
        </w:tc>
        <w:tc>
          <w:tcPr>
            <w:tcW w:w="506" w:type="pct"/>
            <w:tcBorders>
              <w:top w:val="single" w:sz="4" w:space="0" w:color="auto"/>
              <w:left w:val="nil"/>
              <w:bottom w:val="single" w:sz="4" w:space="0" w:color="auto"/>
              <w:right w:val="single" w:sz="4" w:space="0" w:color="auto"/>
            </w:tcBorders>
          </w:tcPr>
          <w:p w14:paraId="65BF3D0F" w14:textId="77777777" w:rsidR="00502FEE" w:rsidRPr="001277B2" w:rsidRDefault="00502FEE" w:rsidP="000E7A06">
            <w:pPr>
              <w:jc w:val="right"/>
              <w:rPr>
                <w:sz w:val="18"/>
                <w:szCs w:val="18"/>
              </w:rPr>
            </w:pPr>
            <w:r w:rsidRPr="001277B2">
              <w:rPr>
                <w:sz w:val="18"/>
                <w:szCs w:val="18"/>
              </w:rPr>
              <w:t>498.0</w:t>
            </w:r>
          </w:p>
        </w:tc>
        <w:tc>
          <w:tcPr>
            <w:tcW w:w="506" w:type="pct"/>
            <w:tcBorders>
              <w:top w:val="nil"/>
              <w:left w:val="single" w:sz="4" w:space="0" w:color="auto"/>
              <w:bottom w:val="single" w:sz="4" w:space="0" w:color="auto"/>
              <w:right w:val="single" w:sz="4" w:space="0" w:color="auto"/>
            </w:tcBorders>
            <w:shd w:val="clear" w:color="auto" w:fill="auto"/>
            <w:noWrap/>
            <w:hideMark/>
          </w:tcPr>
          <w:p w14:paraId="749649A1" w14:textId="77777777" w:rsidR="00502FEE" w:rsidRPr="001277B2" w:rsidRDefault="00502FEE" w:rsidP="000E7A06">
            <w:pPr>
              <w:jc w:val="right"/>
              <w:rPr>
                <w:color w:val="000000"/>
                <w:sz w:val="18"/>
                <w:szCs w:val="18"/>
                <w:lang w:val="en-CA" w:eastAsia="en-CA"/>
              </w:rPr>
            </w:pPr>
            <w:r w:rsidRPr="001277B2">
              <w:rPr>
                <w:sz w:val="18"/>
                <w:szCs w:val="18"/>
              </w:rPr>
              <w:t>-</w:t>
            </w:r>
          </w:p>
        </w:tc>
        <w:tc>
          <w:tcPr>
            <w:tcW w:w="506" w:type="pct"/>
            <w:tcBorders>
              <w:top w:val="nil"/>
              <w:left w:val="nil"/>
              <w:bottom w:val="single" w:sz="4" w:space="0" w:color="auto"/>
              <w:right w:val="single" w:sz="4" w:space="0" w:color="auto"/>
            </w:tcBorders>
            <w:shd w:val="clear" w:color="auto" w:fill="auto"/>
            <w:noWrap/>
            <w:hideMark/>
          </w:tcPr>
          <w:p w14:paraId="449395E1" w14:textId="77777777" w:rsidR="00502FEE" w:rsidRPr="001277B2" w:rsidRDefault="00502FEE" w:rsidP="000E7A06">
            <w:pPr>
              <w:jc w:val="right"/>
              <w:rPr>
                <w:color w:val="000000"/>
                <w:sz w:val="18"/>
                <w:szCs w:val="18"/>
                <w:lang w:val="en-CA" w:eastAsia="en-CA"/>
              </w:rPr>
            </w:pPr>
            <w:r w:rsidRPr="001277B2">
              <w:rPr>
                <w:sz w:val="18"/>
                <w:szCs w:val="18"/>
              </w:rPr>
              <w:t>-</w:t>
            </w:r>
          </w:p>
        </w:tc>
        <w:tc>
          <w:tcPr>
            <w:tcW w:w="506" w:type="pct"/>
            <w:tcBorders>
              <w:top w:val="nil"/>
              <w:left w:val="nil"/>
              <w:bottom w:val="single" w:sz="4" w:space="0" w:color="auto"/>
              <w:right w:val="single" w:sz="4" w:space="0" w:color="auto"/>
            </w:tcBorders>
            <w:shd w:val="clear" w:color="auto" w:fill="auto"/>
            <w:noWrap/>
            <w:hideMark/>
          </w:tcPr>
          <w:p w14:paraId="6CE9C442" w14:textId="7CCFD623" w:rsidR="00502FEE" w:rsidRPr="001277B2" w:rsidRDefault="00480B01" w:rsidP="000E7A06">
            <w:pPr>
              <w:jc w:val="right"/>
              <w:rPr>
                <w:color w:val="000000"/>
                <w:sz w:val="18"/>
                <w:szCs w:val="18"/>
                <w:lang w:val="en-CA" w:eastAsia="en-CA"/>
              </w:rPr>
            </w:pPr>
            <w:r w:rsidRPr="001277B2">
              <w:rPr>
                <w:sz w:val="18"/>
                <w:szCs w:val="18"/>
              </w:rPr>
              <w:t>325.7</w:t>
            </w:r>
          </w:p>
        </w:tc>
        <w:tc>
          <w:tcPr>
            <w:tcW w:w="506" w:type="pct"/>
            <w:tcBorders>
              <w:top w:val="nil"/>
              <w:left w:val="nil"/>
              <w:bottom w:val="single" w:sz="4" w:space="0" w:color="auto"/>
              <w:right w:val="single" w:sz="4" w:space="0" w:color="auto"/>
            </w:tcBorders>
            <w:shd w:val="clear" w:color="auto" w:fill="auto"/>
            <w:noWrap/>
            <w:hideMark/>
          </w:tcPr>
          <w:p w14:paraId="5F1B0AEA" w14:textId="50389327" w:rsidR="00502FEE" w:rsidRPr="001277B2" w:rsidRDefault="00480B01" w:rsidP="000E7A06">
            <w:pPr>
              <w:jc w:val="right"/>
              <w:rPr>
                <w:color w:val="000000"/>
                <w:sz w:val="18"/>
                <w:szCs w:val="18"/>
                <w:lang w:val="en-CA" w:eastAsia="en-CA"/>
              </w:rPr>
            </w:pPr>
            <w:r w:rsidRPr="001277B2">
              <w:rPr>
                <w:sz w:val="18"/>
                <w:szCs w:val="18"/>
              </w:rPr>
              <w:t>162.8</w:t>
            </w:r>
          </w:p>
        </w:tc>
        <w:tc>
          <w:tcPr>
            <w:tcW w:w="506" w:type="pct"/>
            <w:tcBorders>
              <w:top w:val="nil"/>
              <w:left w:val="nil"/>
              <w:bottom w:val="single" w:sz="4" w:space="0" w:color="auto"/>
              <w:right w:val="single" w:sz="4" w:space="0" w:color="auto"/>
            </w:tcBorders>
            <w:shd w:val="clear" w:color="auto" w:fill="auto"/>
            <w:noWrap/>
            <w:hideMark/>
          </w:tcPr>
          <w:p w14:paraId="67DC1C1D" w14:textId="77777777" w:rsidR="00502FEE" w:rsidRPr="001277B2" w:rsidRDefault="00480B01" w:rsidP="000E7A06">
            <w:pPr>
              <w:jc w:val="right"/>
              <w:rPr>
                <w:sz w:val="18"/>
                <w:szCs w:val="18"/>
              </w:rPr>
            </w:pPr>
            <w:r w:rsidRPr="001277B2">
              <w:rPr>
                <w:sz w:val="18"/>
                <w:szCs w:val="18"/>
              </w:rPr>
              <w:t>12.5</w:t>
            </w:r>
          </w:p>
          <w:p w14:paraId="2B7EA56D" w14:textId="7A92ABF7" w:rsidR="00480B01" w:rsidRPr="001277B2" w:rsidRDefault="00480B01" w:rsidP="000E7A06">
            <w:pPr>
              <w:jc w:val="right"/>
              <w:rPr>
                <w:color w:val="000000"/>
                <w:sz w:val="18"/>
                <w:szCs w:val="18"/>
                <w:lang w:val="en-CA" w:eastAsia="en-CA"/>
              </w:rPr>
            </w:pPr>
          </w:p>
        </w:tc>
      </w:tr>
      <w:tr w:rsidR="00502FEE" w:rsidRPr="001277B2" w14:paraId="5A20C397"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074C0465" w14:textId="77777777" w:rsidR="00502FEE" w:rsidRPr="001277B2" w:rsidRDefault="00502FEE" w:rsidP="000E7A06">
            <w:pPr>
              <w:jc w:val="left"/>
              <w:rPr>
                <w:color w:val="000000"/>
                <w:sz w:val="18"/>
                <w:szCs w:val="18"/>
                <w:lang w:val="en-CA" w:eastAsia="en-CA"/>
              </w:rPr>
            </w:pPr>
            <w:r w:rsidRPr="001277B2">
              <w:rPr>
                <w:color w:val="000000"/>
                <w:sz w:val="18"/>
                <w:szCs w:val="18"/>
                <w:lang w:val="en-CA" w:eastAsia="en-CA"/>
              </w:rPr>
              <w:t>India</w:t>
            </w:r>
          </w:p>
        </w:tc>
        <w:tc>
          <w:tcPr>
            <w:tcW w:w="506" w:type="pct"/>
            <w:tcBorders>
              <w:top w:val="nil"/>
              <w:left w:val="nil"/>
              <w:bottom w:val="single" w:sz="4" w:space="0" w:color="auto"/>
              <w:right w:val="single" w:sz="4" w:space="0" w:color="auto"/>
            </w:tcBorders>
            <w:shd w:val="clear" w:color="auto" w:fill="auto"/>
            <w:noWrap/>
            <w:hideMark/>
          </w:tcPr>
          <w:p w14:paraId="0A514659" w14:textId="77777777" w:rsidR="00502FEE" w:rsidRPr="001277B2" w:rsidRDefault="00502FEE" w:rsidP="000E7A06">
            <w:pPr>
              <w:jc w:val="right"/>
              <w:rPr>
                <w:color w:val="000000"/>
                <w:sz w:val="18"/>
                <w:szCs w:val="18"/>
                <w:lang w:val="en-CA" w:eastAsia="en-CA"/>
              </w:rPr>
            </w:pPr>
            <w:r w:rsidRPr="001277B2">
              <w:rPr>
                <w:sz w:val="18"/>
                <w:szCs w:val="18"/>
              </w:rPr>
              <w:t>43,626.7</w:t>
            </w:r>
          </w:p>
        </w:tc>
        <w:tc>
          <w:tcPr>
            <w:tcW w:w="506" w:type="pct"/>
            <w:tcBorders>
              <w:top w:val="single" w:sz="4" w:space="0" w:color="auto"/>
              <w:left w:val="nil"/>
              <w:bottom w:val="single" w:sz="4" w:space="0" w:color="auto"/>
              <w:right w:val="single" w:sz="4" w:space="0" w:color="auto"/>
            </w:tcBorders>
          </w:tcPr>
          <w:p w14:paraId="6B048BE3" w14:textId="77777777" w:rsidR="00502FEE" w:rsidRPr="001277B2" w:rsidRDefault="00502FEE" w:rsidP="000E7A06">
            <w:pPr>
              <w:jc w:val="right"/>
              <w:rPr>
                <w:sz w:val="18"/>
                <w:szCs w:val="18"/>
              </w:rPr>
            </w:pPr>
            <w:r w:rsidRPr="001277B2">
              <w:rPr>
                <w:sz w:val="18"/>
                <w:szCs w:val="18"/>
              </w:rPr>
              <w:t>31,411.3</w:t>
            </w:r>
          </w:p>
        </w:tc>
        <w:tc>
          <w:tcPr>
            <w:tcW w:w="506" w:type="pct"/>
            <w:tcBorders>
              <w:top w:val="nil"/>
              <w:left w:val="single" w:sz="4" w:space="0" w:color="auto"/>
              <w:bottom w:val="single" w:sz="4" w:space="0" w:color="auto"/>
              <w:right w:val="single" w:sz="4" w:space="0" w:color="auto"/>
            </w:tcBorders>
            <w:shd w:val="clear" w:color="auto" w:fill="auto"/>
            <w:noWrap/>
            <w:hideMark/>
          </w:tcPr>
          <w:p w14:paraId="28776F37" w14:textId="77777777" w:rsidR="00502FEE" w:rsidRPr="001277B2" w:rsidRDefault="00502FEE" w:rsidP="000E7A06">
            <w:pPr>
              <w:jc w:val="right"/>
              <w:rPr>
                <w:color w:val="000000"/>
                <w:sz w:val="18"/>
                <w:szCs w:val="18"/>
                <w:lang w:val="en-CA" w:eastAsia="en-CA"/>
              </w:rPr>
            </w:pPr>
            <w:r w:rsidRPr="001277B2">
              <w:rPr>
                <w:sz w:val="18"/>
                <w:szCs w:val="18"/>
              </w:rPr>
              <w:t>34,079.7</w:t>
            </w:r>
          </w:p>
        </w:tc>
        <w:tc>
          <w:tcPr>
            <w:tcW w:w="506" w:type="pct"/>
            <w:tcBorders>
              <w:top w:val="nil"/>
              <w:left w:val="nil"/>
              <w:bottom w:val="single" w:sz="4" w:space="0" w:color="auto"/>
              <w:right w:val="single" w:sz="4" w:space="0" w:color="auto"/>
            </w:tcBorders>
            <w:shd w:val="clear" w:color="auto" w:fill="auto"/>
            <w:noWrap/>
            <w:hideMark/>
          </w:tcPr>
          <w:p w14:paraId="08F24C41" w14:textId="77777777" w:rsidR="00502FEE" w:rsidRPr="001277B2" w:rsidRDefault="00502FEE" w:rsidP="000E7A06">
            <w:pPr>
              <w:jc w:val="right"/>
              <w:rPr>
                <w:color w:val="000000"/>
                <w:sz w:val="18"/>
                <w:szCs w:val="18"/>
                <w:lang w:val="en-CA" w:eastAsia="en-CA"/>
              </w:rPr>
            </w:pPr>
            <w:r w:rsidRPr="001277B2">
              <w:rPr>
                <w:sz w:val="18"/>
                <w:szCs w:val="18"/>
              </w:rPr>
              <w:t>78.1</w:t>
            </w:r>
          </w:p>
        </w:tc>
        <w:tc>
          <w:tcPr>
            <w:tcW w:w="506" w:type="pct"/>
            <w:tcBorders>
              <w:top w:val="nil"/>
              <w:left w:val="nil"/>
              <w:bottom w:val="single" w:sz="4" w:space="0" w:color="auto"/>
              <w:right w:val="single" w:sz="4" w:space="0" w:color="auto"/>
            </w:tcBorders>
            <w:shd w:val="clear" w:color="auto" w:fill="auto"/>
            <w:noWrap/>
            <w:hideMark/>
          </w:tcPr>
          <w:p w14:paraId="526400BA" w14:textId="77777777" w:rsidR="00502FEE" w:rsidRPr="001277B2" w:rsidRDefault="00502FEE" w:rsidP="000E7A06">
            <w:pPr>
              <w:jc w:val="right"/>
              <w:rPr>
                <w:color w:val="000000"/>
                <w:sz w:val="18"/>
                <w:szCs w:val="18"/>
                <w:lang w:val="en-CA" w:eastAsia="en-CA"/>
              </w:rPr>
            </w:pPr>
            <w:r w:rsidRPr="001277B2">
              <w:rPr>
                <w:sz w:val="18"/>
                <w:szCs w:val="18"/>
              </w:rPr>
              <w:t>28,357.4</w:t>
            </w:r>
          </w:p>
        </w:tc>
        <w:tc>
          <w:tcPr>
            <w:tcW w:w="506" w:type="pct"/>
            <w:tcBorders>
              <w:top w:val="nil"/>
              <w:left w:val="nil"/>
              <w:bottom w:val="single" w:sz="4" w:space="0" w:color="auto"/>
              <w:right w:val="single" w:sz="4" w:space="0" w:color="auto"/>
            </w:tcBorders>
            <w:shd w:val="clear" w:color="auto" w:fill="auto"/>
            <w:noWrap/>
            <w:hideMark/>
          </w:tcPr>
          <w:p w14:paraId="617CB25D" w14:textId="77777777" w:rsidR="00502FEE" w:rsidRPr="001277B2" w:rsidRDefault="00502FEE" w:rsidP="000E7A06">
            <w:pPr>
              <w:jc w:val="right"/>
              <w:rPr>
                <w:color w:val="000000"/>
                <w:sz w:val="18"/>
                <w:szCs w:val="18"/>
                <w:lang w:val="en-CA" w:eastAsia="en-CA"/>
              </w:rPr>
            </w:pPr>
            <w:r w:rsidRPr="001277B2">
              <w:rPr>
                <w:sz w:val="18"/>
                <w:szCs w:val="18"/>
              </w:rPr>
              <w:t>14,178.7</w:t>
            </w:r>
          </w:p>
        </w:tc>
        <w:tc>
          <w:tcPr>
            <w:tcW w:w="506" w:type="pct"/>
            <w:tcBorders>
              <w:top w:val="nil"/>
              <w:left w:val="nil"/>
              <w:bottom w:val="single" w:sz="4" w:space="0" w:color="auto"/>
              <w:right w:val="single" w:sz="4" w:space="0" w:color="auto"/>
            </w:tcBorders>
            <w:shd w:val="clear" w:color="auto" w:fill="auto"/>
            <w:noWrap/>
            <w:hideMark/>
          </w:tcPr>
          <w:p w14:paraId="07D38EFA" w14:textId="77777777" w:rsidR="00502FEE" w:rsidRPr="001277B2" w:rsidRDefault="00502FEE" w:rsidP="000E7A06">
            <w:pPr>
              <w:jc w:val="right"/>
              <w:rPr>
                <w:color w:val="000000"/>
                <w:sz w:val="18"/>
                <w:szCs w:val="18"/>
                <w:lang w:val="en-CA" w:eastAsia="en-CA"/>
              </w:rPr>
            </w:pPr>
            <w:r w:rsidRPr="001277B2">
              <w:rPr>
                <w:sz w:val="18"/>
                <w:szCs w:val="18"/>
              </w:rPr>
              <w:t>1,090.7</w:t>
            </w:r>
          </w:p>
        </w:tc>
      </w:tr>
      <w:tr w:rsidR="00502FEE" w:rsidRPr="001277B2" w14:paraId="34547EB4"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35FC6F98" w14:textId="77777777" w:rsidR="00502FEE" w:rsidRPr="001277B2" w:rsidRDefault="00502FEE" w:rsidP="000E7A06">
            <w:pPr>
              <w:jc w:val="left"/>
              <w:rPr>
                <w:color w:val="000000"/>
                <w:sz w:val="18"/>
                <w:szCs w:val="18"/>
                <w:lang w:val="en-CA" w:eastAsia="en-CA"/>
              </w:rPr>
            </w:pPr>
            <w:r w:rsidRPr="001277B2">
              <w:rPr>
                <w:color w:val="000000"/>
                <w:sz w:val="18"/>
                <w:szCs w:val="18"/>
                <w:lang w:val="en-CA" w:eastAsia="en-CA"/>
              </w:rPr>
              <w:t>Mexico</w:t>
            </w:r>
          </w:p>
        </w:tc>
        <w:tc>
          <w:tcPr>
            <w:tcW w:w="506" w:type="pct"/>
            <w:tcBorders>
              <w:top w:val="nil"/>
              <w:left w:val="nil"/>
              <w:bottom w:val="single" w:sz="4" w:space="0" w:color="auto"/>
              <w:right w:val="single" w:sz="4" w:space="0" w:color="auto"/>
            </w:tcBorders>
            <w:shd w:val="clear" w:color="auto" w:fill="auto"/>
            <w:noWrap/>
            <w:hideMark/>
          </w:tcPr>
          <w:p w14:paraId="3051D7BC" w14:textId="77777777" w:rsidR="00502FEE" w:rsidRPr="001277B2" w:rsidRDefault="00502FEE" w:rsidP="000E7A06">
            <w:pPr>
              <w:jc w:val="right"/>
              <w:rPr>
                <w:color w:val="000000"/>
                <w:sz w:val="18"/>
                <w:szCs w:val="18"/>
                <w:lang w:val="en-CA" w:eastAsia="en-CA"/>
              </w:rPr>
            </w:pPr>
            <w:r w:rsidRPr="001277B2">
              <w:rPr>
                <w:sz w:val="18"/>
                <w:szCs w:val="18"/>
              </w:rPr>
              <w:t>12,671.9</w:t>
            </w:r>
          </w:p>
        </w:tc>
        <w:tc>
          <w:tcPr>
            <w:tcW w:w="506" w:type="pct"/>
            <w:tcBorders>
              <w:top w:val="single" w:sz="4" w:space="0" w:color="auto"/>
              <w:left w:val="nil"/>
              <w:bottom w:val="single" w:sz="4" w:space="0" w:color="auto"/>
              <w:right w:val="single" w:sz="4" w:space="0" w:color="auto"/>
            </w:tcBorders>
          </w:tcPr>
          <w:p w14:paraId="4ECE2601" w14:textId="77777777" w:rsidR="00502FEE" w:rsidRPr="001277B2" w:rsidRDefault="00502FEE" w:rsidP="000E7A06">
            <w:pPr>
              <w:jc w:val="right"/>
              <w:rPr>
                <w:sz w:val="18"/>
                <w:szCs w:val="18"/>
              </w:rPr>
            </w:pPr>
            <w:r w:rsidRPr="001277B2">
              <w:rPr>
                <w:sz w:val="18"/>
                <w:szCs w:val="18"/>
              </w:rPr>
              <w:t>2,926.1</w:t>
            </w:r>
          </w:p>
        </w:tc>
        <w:tc>
          <w:tcPr>
            <w:tcW w:w="506" w:type="pct"/>
            <w:tcBorders>
              <w:top w:val="nil"/>
              <w:left w:val="single" w:sz="4" w:space="0" w:color="auto"/>
              <w:bottom w:val="single" w:sz="4" w:space="0" w:color="auto"/>
              <w:right w:val="single" w:sz="4" w:space="0" w:color="auto"/>
            </w:tcBorders>
            <w:shd w:val="clear" w:color="auto" w:fill="auto"/>
            <w:noWrap/>
            <w:hideMark/>
          </w:tcPr>
          <w:p w14:paraId="5594E4FB" w14:textId="77777777" w:rsidR="00502FEE" w:rsidRPr="001277B2" w:rsidRDefault="00502FEE" w:rsidP="000E7A06">
            <w:pPr>
              <w:jc w:val="right"/>
              <w:rPr>
                <w:color w:val="000000"/>
                <w:sz w:val="18"/>
                <w:szCs w:val="18"/>
                <w:lang w:val="en-CA" w:eastAsia="en-CA"/>
              </w:rPr>
            </w:pPr>
            <w:r w:rsidRPr="001277B2">
              <w:rPr>
                <w:sz w:val="18"/>
                <w:szCs w:val="18"/>
              </w:rPr>
              <w:t>3,341.7</w:t>
            </w:r>
          </w:p>
        </w:tc>
        <w:tc>
          <w:tcPr>
            <w:tcW w:w="506" w:type="pct"/>
            <w:tcBorders>
              <w:top w:val="nil"/>
              <w:left w:val="nil"/>
              <w:bottom w:val="single" w:sz="4" w:space="0" w:color="auto"/>
              <w:right w:val="single" w:sz="4" w:space="0" w:color="auto"/>
            </w:tcBorders>
            <w:shd w:val="clear" w:color="auto" w:fill="auto"/>
            <w:noWrap/>
            <w:hideMark/>
          </w:tcPr>
          <w:p w14:paraId="4C214B3F" w14:textId="77777777" w:rsidR="00502FEE" w:rsidRPr="001277B2" w:rsidRDefault="00502FEE" w:rsidP="000E7A06">
            <w:pPr>
              <w:jc w:val="right"/>
              <w:rPr>
                <w:color w:val="000000"/>
                <w:sz w:val="18"/>
                <w:szCs w:val="18"/>
                <w:lang w:val="en-CA" w:eastAsia="en-CA"/>
              </w:rPr>
            </w:pPr>
            <w:r w:rsidRPr="001277B2">
              <w:rPr>
                <w:sz w:val="18"/>
                <w:szCs w:val="18"/>
              </w:rPr>
              <w:t>26.4</w:t>
            </w:r>
          </w:p>
        </w:tc>
        <w:tc>
          <w:tcPr>
            <w:tcW w:w="506" w:type="pct"/>
            <w:tcBorders>
              <w:top w:val="nil"/>
              <w:left w:val="nil"/>
              <w:bottom w:val="single" w:sz="4" w:space="0" w:color="auto"/>
              <w:right w:val="single" w:sz="4" w:space="0" w:color="auto"/>
            </w:tcBorders>
            <w:shd w:val="clear" w:color="auto" w:fill="auto"/>
            <w:noWrap/>
            <w:hideMark/>
          </w:tcPr>
          <w:p w14:paraId="34509677" w14:textId="77777777" w:rsidR="00502FEE" w:rsidRPr="001277B2" w:rsidRDefault="00502FEE" w:rsidP="000E7A06">
            <w:pPr>
              <w:jc w:val="right"/>
              <w:rPr>
                <w:color w:val="000000"/>
                <w:sz w:val="18"/>
                <w:szCs w:val="18"/>
                <w:lang w:val="en-CA" w:eastAsia="en-CA"/>
              </w:rPr>
            </w:pPr>
            <w:r w:rsidRPr="001277B2">
              <w:rPr>
                <w:sz w:val="18"/>
                <w:szCs w:val="18"/>
              </w:rPr>
              <w:t>8,236.7</w:t>
            </w:r>
          </w:p>
        </w:tc>
        <w:tc>
          <w:tcPr>
            <w:tcW w:w="506" w:type="pct"/>
            <w:tcBorders>
              <w:top w:val="nil"/>
              <w:left w:val="nil"/>
              <w:bottom w:val="single" w:sz="4" w:space="0" w:color="auto"/>
              <w:right w:val="single" w:sz="4" w:space="0" w:color="auto"/>
            </w:tcBorders>
            <w:shd w:val="clear" w:color="auto" w:fill="auto"/>
            <w:noWrap/>
            <w:hideMark/>
          </w:tcPr>
          <w:p w14:paraId="12A92043" w14:textId="77777777" w:rsidR="00502FEE" w:rsidRPr="001277B2" w:rsidRDefault="00502FEE" w:rsidP="000E7A06">
            <w:pPr>
              <w:jc w:val="right"/>
              <w:rPr>
                <w:color w:val="000000"/>
                <w:sz w:val="18"/>
                <w:szCs w:val="18"/>
                <w:lang w:val="en-CA" w:eastAsia="en-CA"/>
              </w:rPr>
            </w:pPr>
            <w:r w:rsidRPr="001277B2">
              <w:rPr>
                <w:sz w:val="18"/>
                <w:szCs w:val="18"/>
              </w:rPr>
              <w:t>4,118.4</w:t>
            </w:r>
          </w:p>
        </w:tc>
        <w:tc>
          <w:tcPr>
            <w:tcW w:w="506" w:type="pct"/>
            <w:tcBorders>
              <w:top w:val="nil"/>
              <w:left w:val="nil"/>
              <w:bottom w:val="single" w:sz="4" w:space="0" w:color="auto"/>
              <w:right w:val="single" w:sz="4" w:space="0" w:color="auto"/>
            </w:tcBorders>
            <w:shd w:val="clear" w:color="auto" w:fill="auto"/>
            <w:noWrap/>
            <w:hideMark/>
          </w:tcPr>
          <w:p w14:paraId="7D475352" w14:textId="77777777" w:rsidR="00502FEE" w:rsidRPr="001277B2" w:rsidRDefault="00502FEE" w:rsidP="000E7A06">
            <w:pPr>
              <w:jc w:val="right"/>
              <w:rPr>
                <w:color w:val="000000"/>
                <w:sz w:val="18"/>
                <w:szCs w:val="18"/>
                <w:lang w:val="en-CA" w:eastAsia="en-CA"/>
              </w:rPr>
            </w:pPr>
            <w:r w:rsidRPr="001277B2">
              <w:rPr>
                <w:sz w:val="18"/>
                <w:szCs w:val="18"/>
              </w:rPr>
              <w:t>316.8</w:t>
            </w:r>
          </w:p>
        </w:tc>
      </w:tr>
      <w:tr w:rsidR="00502FEE" w:rsidRPr="001277B2" w14:paraId="35401B3A"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288D9A6E" w14:textId="77777777" w:rsidR="00502FEE" w:rsidRPr="001277B2" w:rsidRDefault="00502FEE" w:rsidP="000E7A06">
            <w:pPr>
              <w:jc w:val="left"/>
              <w:rPr>
                <w:color w:val="000000"/>
                <w:sz w:val="18"/>
                <w:szCs w:val="18"/>
                <w:lang w:val="en-CA" w:eastAsia="en-CA"/>
              </w:rPr>
            </w:pPr>
            <w:r w:rsidRPr="001277B2">
              <w:rPr>
                <w:color w:val="000000"/>
                <w:sz w:val="18"/>
                <w:szCs w:val="18"/>
                <w:lang w:val="en-CA" w:eastAsia="en-CA"/>
              </w:rPr>
              <w:t>Republic of Korea***</w:t>
            </w:r>
          </w:p>
        </w:tc>
        <w:tc>
          <w:tcPr>
            <w:tcW w:w="506" w:type="pct"/>
            <w:tcBorders>
              <w:top w:val="nil"/>
              <w:left w:val="nil"/>
              <w:bottom w:val="single" w:sz="4" w:space="0" w:color="auto"/>
              <w:right w:val="single" w:sz="4" w:space="0" w:color="auto"/>
            </w:tcBorders>
            <w:shd w:val="clear" w:color="auto" w:fill="auto"/>
            <w:noWrap/>
            <w:hideMark/>
          </w:tcPr>
          <w:p w14:paraId="5B6A3C09" w14:textId="77777777" w:rsidR="00502FEE" w:rsidRPr="001277B2" w:rsidRDefault="00502FEE" w:rsidP="000E7A06">
            <w:pPr>
              <w:jc w:val="right"/>
              <w:rPr>
                <w:color w:val="000000"/>
                <w:sz w:val="18"/>
                <w:szCs w:val="18"/>
                <w:lang w:val="en-CA" w:eastAsia="en-CA"/>
              </w:rPr>
            </w:pPr>
            <w:r w:rsidRPr="001277B2">
              <w:rPr>
                <w:sz w:val="18"/>
                <w:szCs w:val="18"/>
              </w:rPr>
              <w:t>7,184.3</w:t>
            </w:r>
          </w:p>
        </w:tc>
        <w:tc>
          <w:tcPr>
            <w:tcW w:w="506" w:type="pct"/>
            <w:tcBorders>
              <w:top w:val="single" w:sz="4" w:space="0" w:color="auto"/>
              <w:left w:val="nil"/>
              <w:bottom w:val="single" w:sz="4" w:space="0" w:color="auto"/>
              <w:right w:val="single" w:sz="4" w:space="0" w:color="auto"/>
            </w:tcBorders>
          </w:tcPr>
          <w:p w14:paraId="158E0974" w14:textId="77777777" w:rsidR="00502FEE" w:rsidRPr="001277B2" w:rsidRDefault="00502FEE" w:rsidP="000E7A06">
            <w:pPr>
              <w:jc w:val="right"/>
              <w:rPr>
                <w:sz w:val="18"/>
                <w:szCs w:val="18"/>
              </w:rPr>
            </w:pPr>
            <w:r w:rsidRPr="001277B2">
              <w:rPr>
                <w:sz w:val="18"/>
                <w:szCs w:val="18"/>
              </w:rPr>
              <w:t>6,344.4</w:t>
            </w:r>
          </w:p>
        </w:tc>
        <w:tc>
          <w:tcPr>
            <w:tcW w:w="506" w:type="pct"/>
            <w:tcBorders>
              <w:top w:val="nil"/>
              <w:left w:val="single" w:sz="4" w:space="0" w:color="auto"/>
              <w:bottom w:val="single" w:sz="4" w:space="0" w:color="auto"/>
              <w:right w:val="single" w:sz="4" w:space="0" w:color="auto"/>
            </w:tcBorders>
            <w:shd w:val="clear" w:color="auto" w:fill="auto"/>
            <w:noWrap/>
            <w:hideMark/>
          </w:tcPr>
          <w:p w14:paraId="050D5500" w14:textId="77777777" w:rsidR="00502FEE" w:rsidRPr="001277B2" w:rsidRDefault="00502FEE" w:rsidP="000E7A06">
            <w:pPr>
              <w:jc w:val="right"/>
              <w:rPr>
                <w:color w:val="000000"/>
                <w:sz w:val="18"/>
                <w:szCs w:val="18"/>
                <w:lang w:val="en-CA" w:eastAsia="en-CA"/>
              </w:rPr>
            </w:pPr>
            <w:r w:rsidRPr="001277B2">
              <w:rPr>
                <w:sz w:val="18"/>
                <w:szCs w:val="18"/>
              </w:rPr>
              <w:t>5,270.6</w:t>
            </w:r>
          </w:p>
        </w:tc>
        <w:tc>
          <w:tcPr>
            <w:tcW w:w="506" w:type="pct"/>
            <w:tcBorders>
              <w:top w:val="nil"/>
              <w:left w:val="nil"/>
              <w:bottom w:val="single" w:sz="4" w:space="0" w:color="auto"/>
              <w:right w:val="single" w:sz="4" w:space="0" w:color="auto"/>
            </w:tcBorders>
            <w:shd w:val="clear" w:color="auto" w:fill="auto"/>
            <w:noWrap/>
            <w:hideMark/>
          </w:tcPr>
          <w:p w14:paraId="6B829AC4" w14:textId="77777777" w:rsidR="00502FEE" w:rsidRPr="001277B2" w:rsidRDefault="00502FEE" w:rsidP="000E7A06">
            <w:pPr>
              <w:jc w:val="right"/>
              <w:rPr>
                <w:color w:val="000000"/>
                <w:sz w:val="18"/>
                <w:szCs w:val="18"/>
                <w:lang w:val="en-CA" w:eastAsia="en-CA"/>
              </w:rPr>
            </w:pPr>
            <w:r w:rsidRPr="001277B2">
              <w:rPr>
                <w:sz w:val="18"/>
                <w:szCs w:val="18"/>
              </w:rPr>
              <w:t>73.4</w:t>
            </w:r>
          </w:p>
        </w:tc>
        <w:tc>
          <w:tcPr>
            <w:tcW w:w="506" w:type="pct"/>
            <w:tcBorders>
              <w:top w:val="nil"/>
              <w:left w:val="nil"/>
              <w:bottom w:val="single" w:sz="4" w:space="0" w:color="auto"/>
              <w:right w:val="single" w:sz="4" w:space="0" w:color="auto"/>
            </w:tcBorders>
            <w:shd w:val="clear" w:color="auto" w:fill="auto"/>
            <w:noWrap/>
            <w:hideMark/>
          </w:tcPr>
          <w:p w14:paraId="0C785322" w14:textId="77777777" w:rsidR="00502FEE" w:rsidRPr="001277B2" w:rsidRDefault="00502FEE" w:rsidP="000E7A06">
            <w:pPr>
              <w:jc w:val="right"/>
              <w:rPr>
                <w:color w:val="000000"/>
                <w:sz w:val="18"/>
                <w:szCs w:val="18"/>
                <w:lang w:val="en-CA" w:eastAsia="en-CA"/>
              </w:rPr>
            </w:pPr>
            <w:r w:rsidRPr="001277B2">
              <w:rPr>
                <w:sz w:val="18"/>
                <w:szCs w:val="18"/>
              </w:rPr>
              <w:t>4,669.8</w:t>
            </w:r>
          </w:p>
        </w:tc>
        <w:tc>
          <w:tcPr>
            <w:tcW w:w="506" w:type="pct"/>
            <w:tcBorders>
              <w:top w:val="nil"/>
              <w:left w:val="nil"/>
              <w:bottom w:val="single" w:sz="4" w:space="0" w:color="auto"/>
              <w:right w:val="single" w:sz="4" w:space="0" w:color="auto"/>
            </w:tcBorders>
            <w:shd w:val="clear" w:color="auto" w:fill="auto"/>
            <w:noWrap/>
            <w:hideMark/>
          </w:tcPr>
          <w:p w14:paraId="7F19F1A0" w14:textId="77777777" w:rsidR="00502FEE" w:rsidRPr="001277B2" w:rsidRDefault="00502FEE" w:rsidP="000E7A06">
            <w:pPr>
              <w:jc w:val="right"/>
              <w:rPr>
                <w:color w:val="000000"/>
                <w:sz w:val="18"/>
                <w:szCs w:val="18"/>
                <w:lang w:val="en-CA" w:eastAsia="en-CA"/>
              </w:rPr>
            </w:pPr>
            <w:r w:rsidRPr="001277B2">
              <w:rPr>
                <w:sz w:val="18"/>
                <w:szCs w:val="18"/>
              </w:rPr>
              <w:t>2,334.9</w:t>
            </w:r>
          </w:p>
        </w:tc>
        <w:tc>
          <w:tcPr>
            <w:tcW w:w="506" w:type="pct"/>
            <w:tcBorders>
              <w:top w:val="nil"/>
              <w:left w:val="nil"/>
              <w:bottom w:val="single" w:sz="4" w:space="0" w:color="auto"/>
              <w:right w:val="single" w:sz="4" w:space="0" w:color="auto"/>
            </w:tcBorders>
            <w:shd w:val="clear" w:color="auto" w:fill="auto"/>
            <w:noWrap/>
            <w:hideMark/>
          </w:tcPr>
          <w:p w14:paraId="215782C2" w14:textId="77777777" w:rsidR="00502FEE" w:rsidRPr="001277B2" w:rsidRDefault="00502FEE" w:rsidP="000E7A06">
            <w:pPr>
              <w:jc w:val="right"/>
              <w:rPr>
                <w:color w:val="000000"/>
                <w:sz w:val="18"/>
                <w:szCs w:val="18"/>
                <w:lang w:val="en-CA" w:eastAsia="en-CA"/>
              </w:rPr>
            </w:pPr>
            <w:r w:rsidRPr="001277B2">
              <w:rPr>
                <w:sz w:val="18"/>
                <w:szCs w:val="18"/>
              </w:rPr>
              <w:t>179.6</w:t>
            </w:r>
          </w:p>
        </w:tc>
      </w:tr>
      <w:tr w:rsidR="00502FEE" w:rsidRPr="001277B2" w14:paraId="3F75C64C"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7761563C" w14:textId="77777777" w:rsidR="00502FEE" w:rsidRPr="001277B2" w:rsidRDefault="00502FEE" w:rsidP="000E7A06">
            <w:pPr>
              <w:jc w:val="left"/>
              <w:rPr>
                <w:color w:val="000000"/>
                <w:sz w:val="18"/>
                <w:szCs w:val="18"/>
                <w:lang w:val="en-CA" w:eastAsia="en-CA"/>
              </w:rPr>
            </w:pPr>
            <w:r w:rsidRPr="001277B2">
              <w:rPr>
                <w:color w:val="000000"/>
                <w:sz w:val="18"/>
                <w:szCs w:val="18"/>
                <w:lang w:val="en-CA" w:eastAsia="en-CA"/>
              </w:rPr>
              <w:t>Venezuela (Bolivarian Republic of)</w:t>
            </w:r>
          </w:p>
        </w:tc>
        <w:tc>
          <w:tcPr>
            <w:tcW w:w="506" w:type="pct"/>
            <w:tcBorders>
              <w:top w:val="nil"/>
              <w:left w:val="nil"/>
              <w:bottom w:val="single" w:sz="4" w:space="0" w:color="auto"/>
              <w:right w:val="single" w:sz="4" w:space="0" w:color="auto"/>
            </w:tcBorders>
            <w:shd w:val="clear" w:color="auto" w:fill="auto"/>
            <w:noWrap/>
            <w:hideMark/>
          </w:tcPr>
          <w:p w14:paraId="6C3637A7" w14:textId="77777777" w:rsidR="00502FEE" w:rsidRPr="001277B2" w:rsidRDefault="00502FEE" w:rsidP="000E7A06">
            <w:pPr>
              <w:jc w:val="right"/>
              <w:rPr>
                <w:color w:val="000000"/>
                <w:sz w:val="18"/>
                <w:szCs w:val="18"/>
                <w:lang w:val="en-CA" w:eastAsia="en-CA"/>
              </w:rPr>
            </w:pPr>
            <w:r w:rsidRPr="001277B2">
              <w:rPr>
                <w:sz w:val="18"/>
                <w:szCs w:val="18"/>
              </w:rPr>
              <w:t>2,236.9</w:t>
            </w:r>
          </w:p>
        </w:tc>
        <w:tc>
          <w:tcPr>
            <w:tcW w:w="506" w:type="pct"/>
            <w:tcBorders>
              <w:top w:val="single" w:sz="4" w:space="0" w:color="auto"/>
              <w:left w:val="nil"/>
              <w:bottom w:val="single" w:sz="4" w:space="0" w:color="auto"/>
              <w:right w:val="single" w:sz="4" w:space="0" w:color="auto"/>
            </w:tcBorders>
          </w:tcPr>
          <w:p w14:paraId="7701E53F" w14:textId="77777777" w:rsidR="00502FEE" w:rsidRPr="001277B2" w:rsidRDefault="00502FEE" w:rsidP="000E7A06">
            <w:pPr>
              <w:jc w:val="right"/>
              <w:rPr>
                <w:sz w:val="18"/>
                <w:szCs w:val="18"/>
              </w:rPr>
            </w:pPr>
            <w:r w:rsidRPr="001277B2">
              <w:rPr>
                <w:sz w:val="18"/>
                <w:szCs w:val="18"/>
              </w:rPr>
              <w:t>676.5</w:t>
            </w:r>
          </w:p>
        </w:tc>
        <w:tc>
          <w:tcPr>
            <w:tcW w:w="506" w:type="pct"/>
            <w:tcBorders>
              <w:top w:val="nil"/>
              <w:left w:val="single" w:sz="4" w:space="0" w:color="auto"/>
              <w:bottom w:val="single" w:sz="4" w:space="0" w:color="auto"/>
              <w:right w:val="single" w:sz="4" w:space="0" w:color="auto"/>
            </w:tcBorders>
            <w:shd w:val="clear" w:color="auto" w:fill="auto"/>
            <w:noWrap/>
            <w:hideMark/>
          </w:tcPr>
          <w:p w14:paraId="1EC48B2A" w14:textId="77777777" w:rsidR="00502FEE" w:rsidRPr="001277B2" w:rsidRDefault="00502FEE" w:rsidP="000E7A06">
            <w:pPr>
              <w:jc w:val="right"/>
              <w:rPr>
                <w:color w:val="000000"/>
                <w:sz w:val="18"/>
                <w:szCs w:val="18"/>
                <w:lang w:val="en-CA" w:eastAsia="en-CA"/>
              </w:rPr>
            </w:pPr>
            <w:r w:rsidRPr="001277B2">
              <w:rPr>
                <w:sz w:val="18"/>
                <w:szCs w:val="18"/>
              </w:rPr>
              <w:t>34.1</w:t>
            </w:r>
          </w:p>
        </w:tc>
        <w:tc>
          <w:tcPr>
            <w:tcW w:w="506" w:type="pct"/>
            <w:tcBorders>
              <w:top w:val="nil"/>
              <w:left w:val="nil"/>
              <w:bottom w:val="single" w:sz="4" w:space="0" w:color="auto"/>
              <w:right w:val="single" w:sz="4" w:space="0" w:color="auto"/>
            </w:tcBorders>
            <w:shd w:val="clear" w:color="auto" w:fill="auto"/>
            <w:noWrap/>
            <w:hideMark/>
          </w:tcPr>
          <w:p w14:paraId="751B85AC" w14:textId="77777777" w:rsidR="00502FEE" w:rsidRPr="001277B2" w:rsidRDefault="00502FEE" w:rsidP="000E7A06">
            <w:pPr>
              <w:jc w:val="right"/>
              <w:rPr>
                <w:color w:val="000000"/>
                <w:sz w:val="18"/>
                <w:szCs w:val="18"/>
                <w:lang w:val="en-CA" w:eastAsia="en-CA"/>
              </w:rPr>
            </w:pPr>
            <w:r w:rsidRPr="001277B2">
              <w:rPr>
                <w:sz w:val="18"/>
                <w:szCs w:val="18"/>
              </w:rPr>
              <w:t>1.5</w:t>
            </w:r>
          </w:p>
        </w:tc>
        <w:tc>
          <w:tcPr>
            <w:tcW w:w="506" w:type="pct"/>
            <w:tcBorders>
              <w:top w:val="nil"/>
              <w:left w:val="nil"/>
              <w:bottom w:val="single" w:sz="4" w:space="0" w:color="auto"/>
              <w:right w:val="single" w:sz="4" w:space="0" w:color="auto"/>
            </w:tcBorders>
            <w:shd w:val="clear" w:color="auto" w:fill="auto"/>
            <w:noWrap/>
            <w:hideMark/>
          </w:tcPr>
          <w:p w14:paraId="3BE41943" w14:textId="77777777" w:rsidR="00502FEE" w:rsidRPr="001277B2" w:rsidRDefault="00502FEE" w:rsidP="000E7A06">
            <w:pPr>
              <w:jc w:val="right"/>
              <w:rPr>
                <w:color w:val="000000"/>
                <w:sz w:val="18"/>
                <w:szCs w:val="18"/>
                <w:lang w:val="en-CA" w:eastAsia="en-CA"/>
              </w:rPr>
            </w:pPr>
            <w:r w:rsidRPr="001277B2">
              <w:rPr>
                <w:sz w:val="18"/>
                <w:szCs w:val="18"/>
              </w:rPr>
              <w:t>1,454.0</w:t>
            </w:r>
          </w:p>
        </w:tc>
        <w:tc>
          <w:tcPr>
            <w:tcW w:w="506" w:type="pct"/>
            <w:tcBorders>
              <w:top w:val="nil"/>
              <w:left w:val="nil"/>
              <w:bottom w:val="single" w:sz="4" w:space="0" w:color="auto"/>
              <w:right w:val="single" w:sz="4" w:space="0" w:color="auto"/>
            </w:tcBorders>
            <w:shd w:val="clear" w:color="auto" w:fill="auto"/>
            <w:noWrap/>
            <w:hideMark/>
          </w:tcPr>
          <w:p w14:paraId="38A9E9E5" w14:textId="77777777" w:rsidR="00502FEE" w:rsidRPr="001277B2" w:rsidRDefault="00502FEE" w:rsidP="000E7A06">
            <w:pPr>
              <w:jc w:val="right"/>
              <w:rPr>
                <w:color w:val="000000"/>
                <w:sz w:val="18"/>
                <w:szCs w:val="18"/>
                <w:lang w:val="en-CA" w:eastAsia="en-CA"/>
              </w:rPr>
            </w:pPr>
            <w:r w:rsidRPr="001277B2">
              <w:rPr>
                <w:sz w:val="18"/>
                <w:szCs w:val="18"/>
              </w:rPr>
              <w:t>727.0</w:t>
            </w:r>
          </w:p>
        </w:tc>
        <w:tc>
          <w:tcPr>
            <w:tcW w:w="506" w:type="pct"/>
            <w:tcBorders>
              <w:top w:val="nil"/>
              <w:left w:val="nil"/>
              <w:bottom w:val="single" w:sz="4" w:space="0" w:color="auto"/>
              <w:right w:val="single" w:sz="4" w:space="0" w:color="auto"/>
            </w:tcBorders>
            <w:shd w:val="clear" w:color="auto" w:fill="auto"/>
            <w:noWrap/>
            <w:hideMark/>
          </w:tcPr>
          <w:p w14:paraId="697EC5C3" w14:textId="77777777" w:rsidR="00502FEE" w:rsidRPr="001277B2" w:rsidRDefault="00502FEE" w:rsidP="000E7A06">
            <w:pPr>
              <w:jc w:val="right"/>
              <w:rPr>
                <w:color w:val="000000"/>
                <w:sz w:val="18"/>
                <w:szCs w:val="18"/>
                <w:lang w:val="en-CA" w:eastAsia="en-CA"/>
              </w:rPr>
            </w:pPr>
            <w:r w:rsidRPr="001277B2">
              <w:rPr>
                <w:sz w:val="18"/>
                <w:szCs w:val="18"/>
              </w:rPr>
              <w:t>55.9</w:t>
            </w:r>
          </w:p>
        </w:tc>
      </w:tr>
      <w:tr w:rsidR="00502FEE" w:rsidRPr="001277B2" w14:paraId="4A046BCC"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24452023" w14:textId="77777777" w:rsidR="00502FEE" w:rsidRPr="001277B2" w:rsidRDefault="00502FEE" w:rsidP="000E7A06">
            <w:pPr>
              <w:jc w:val="left"/>
              <w:rPr>
                <w:b/>
                <w:color w:val="000000"/>
                <w:sz w:val="18"/>
                <w:szCs w:val="18"/>
                <w:lang w:val="en-CA" w:eastAsia="en-CA"/>
              </w:rPr>
            </w:pPr>
            <w:r w:rsidRPr="001277B2">
              <w:rPr>
                <w:b/>
                <w:color w:val="000000"/>
                <w:sz w:val="18"/>
                <w:szCs w:val="18"/>
                <w:lang w:val="en-CA" w:eastAsia="en-CA"/>
              </w:rPr>
              <w:t>Total</w:t>
            </w:r>
          </w:p>
        </w:tc>
        <w:tc>
          <w:tcPr>
            <w:tcW w:w="506" w:type="pct"/>
            <w:tcBorders>
              <w:top w:val="nil"/>
              <w:left w:val="nil"/>
              <w:bottom w:val="single" w:sz="4" w:space="0" w:color="auto"/>
              <w:right w:val="single" w:sz="4" w:space="0" w:color="auto"/>
            </w:tcBorders>
            <w:shd w:val="clear" w:color="auto" w:fill="auto"/>
            <w:noWrap/>
            <w:hideMark/>
          </w:tcPr>
          <w:p w14:paraId="0AEE9FFB" w14:textId="77777777" w:rsidR="00502FEE" w:rsidRPr="001277B2" w:rsidRDefault="00502FEE" w:rsidP="000E7A06">
            <w:pPr>
              <w:jc w:val="right"/>
              <w:rPr>
                <w:b/>
                <w:color w:val="000000"/>
                <w:sz w:val="18"/>
                <w:szCs w:val="18"/>
                <w:lang w:val="en-CA" w:eastAsia="en-CA"/>
              </w:rPr>
            </w:pPr>
            <w:r w:rsidRPr="001277B2">
              <w:rPr>
                <w:b/>
                <w:sz w:val="18"/>
                <w:szCs w:val="18"/>
              </w:rPr>
              <w:t>501,265.6</w:t>
            </w:r>
          </w:p>
        </w:tc>
        <w:tc>
          <w:tcPr>
            <w:tcW w:w="506" w:type="pct"/>
            <w:tcBorders>
              <w:top w:val="single" w:sz="4" w:space="0" w:color="auto"/>
              <w:left w:val="nil"/>
              <w:bottom w:val="single" w:sz="4" w:space="0" w:color="auto"/>
              <w:right w:val="single" w:sz="4" w:space="0" w:color="auto"/>
            </w:tcBorders>
          </w:tcPr>
          <w:p w14:paraId="7F7C1BAC" w14:textId="77777777" w:rsidR="00502FEE" w:rsidRPr="001277B2" w:rsidRDefault="00502FEE" w:rsidP="000E7A06">
            <w:pPr>
              <w:jc w:val="right"/>
              <w:rPr>
                <w:b/>
                <w:sz w:val="18"/>
                <w:szCs w:val="18"/>
              </w:rPr>
            </w:pPr>
            <w:r w:rsidRPr="001277B2">
              <w:rPr>
                <w:b/>
                <w:sz w:val="18"/>
                <w:szCs w:val="18"/>
              </w:rPr>
              <w:t>374,313.3</w:t>
            </w:r>
          </w:p>
        </w:tc>
        <w:tc>
          <w:tcPr>
            <w:tcW w:w="506" w:type="pct"/>
            <w:tcBorders>
              <w:top w:val="nil"/>
              <w:left w:val="single" w:sz="4" w:space="0" w:color="auto"/>
              <w:bottom w:val="single" w:sz="4" w:space="0" w:color="auto"/>
              <w:right w:val="single" w:sz="4" w:space="0" w:color="auto"/>
            </w:tcBorders>
            <w:shd w:val="clear" w:color="auto" w:fill="auto"/>
            <w:noWrap/>
            <w:hideMark/>
          </w:tcPr>
          <w:p w14:paraId="573E9E3A" w14:textId="77777777" w:rsidR="00502FEE" w:rsidRPr="001277B2" w:rsidRDefault="00502FEE" w:rsidP="000E7A06">
            <w:pPr>
              <w:jc w:val="right"/>
              <w:rPr>
                <w:b/>
                <w:color w:val="000000"/>
                <w:sz w:val="18"/>
                <w:szCs w:val="18"/>
                <w:lang w:val="en-CA" w:eastAsia="en-CA"/>
              </w:rPr>
            </w:pPr>
            <w:r w:rsidRPr="001277B2">
              <w:rPr>
                <w:b/>
                <w:sz w:val="18"/>
                <w:szCs w:val="18"/>
              </w:rPr>
              <w:t>362,958.1</w:t>
            </w:r>
          </w:p>
        </w:tc>
        <w:tc>
          <w:tcPr>
            <w:tcW w:w="506" w:type="pct"/>
            <w:tcBorders>
              <w:top w:val="nil"/>
              <w:left w:val="nil"/>
              <w:bottom w:val="single" w:sz="4" w:space="0" w:color="auto"/>
              <w:right w:val="single" w:sz="4" w:space="0" w:color="auto"/>
            </w:tcBorders>
            <w:shd w:val="clear" w:color="auto" w:fill="auto"/>
            <w:noWrap/>
            <w:hideMark/>
          </w:tcPr>
          <w:p w14:paraId="184903F2" w14:textId="77777777" w:rsidR="00502FEE" w:rsidRPr="001277B2" w:rsidRDefault="00502FEE" w:rsidP="000E7A06">
            <w:pPr>
              <w:jc w:val="right"/>
              <w:rPr>
                <w:b/>
                <w:color w:val="000000"/>
                <w:sz w:val="18"/>
                <w:szCs w:val="18"/>
                <w:lang w:val="en-CA" w:eastAsia="en-CA"/>
              </w:rPr>
            </w:pPr>
            <w:r w:rsidRPr="001277B2">
              <w:rPr>
                <w:b/>
                <w:sz w:val="18"/>
                <w:szCs w:val="18"/>
              </w:rPr>
              <w:t>72.4</w:t>
            </w:r>
          </w:p>
        </w:tc>
        <w:tc>
          <w:tcPr>
            <w:tcW w:w="506" w:type="pct"/>
            <w:tcBorders>
              <w:top w:val="nil"/>
              <w:left w:val="nil"/>
              <w:bottom w:val="single" w:sz="4" w:space="0" w:color="auto"/>
              <w:right w:val="single" w:sz="4" w:space="0" w:color="auto"/>
            </w:tcBorders>
            <w:shd w:val="clear" w:color="auto" w:fill="auto"/>
            <w:noWrap/>
            <w:hideMark/>
          </w:tcPr>
          <w:p w14:paraId="44290B78" w14:textId="4B77038B" w:rsidR="00502FEE" w:rsidRPr="001277B2" w:rsidRDefault="00480B01" w:rsidP="00480B01">
            <w:pPr>
              <w:jc w:val="right"/>
              <w:rPr>
                <w:b/>
                <w:color w:val="000000"/>
                <w:sz w:val="18"/>
                <w:szCs w:val="18"/>
                <w:lang w:val="en-CA" w:eastAsia="en-CA"/>
              </w:rPr>
            </w:pPr>
            <w:r w:rsidRPr="001277B2">
              <w:rPr>
                <w:b/>
                <w:sz w:val="18"/>
                <w:szCs w:val="18"/>
              </w:rPr>
              <w:t>325,882</w:t>
            </w:r>
            <w:r w:rsidR="00502FEE" w:rsidRPr="001277B2">
              <w:rPr>
                <w:b/>
                <w:sz w:val="18"/>
                <w:szCs w:val="18"/>
              </w:rPr>
              <w:t>.</w:t>
            </w:r>
            <w:r w:rsidRPr="001277B2">
              <w:rPr>
                <w:b/>
                <w:sz w:val="18"/>
                <w:szCs w:val="18"/>
              </w:rPr>
              <w:t>6</w:t>
            </w:r>
          </w:p>
        </w:tc>
        <w:tc>
          <w:tcPr>
            <w:tcW w:w="506" w:type="pct"/>
            <w:tcBorders>
              <w:top w:val="nil"/>
              <w:left w:val="nil"/>
              <w:bottom w:val="single" w:sz="4" w:space="0" w:color="auto"/>
              <w:right w:val="single" w:sz="4" w:space="0" w:color="auto"/>
            </w:tcBorders>
            <w:shd w:val="clear" w:color="auto" w:fill="auto"/>
            <w:noWrap/>
            <w:hideMark/>
          </w:tcPr>
          <w:p w14:paraId="75A9C90A" w14:textId="3209AE46" w:rsidR="00502FEE" w:rsidRPr="001277B2" w:rsidRDefault="00480B01" w:rsidP="000E7A06">
            <w:pPr>
              <w:jc w:val="right"/>
              <w:rPr>
                <w:b/>
                <w:color w:val="000000"/>
                <w:sz w:val="18"/>
                <w:szCs w:val="18"/>
                <w:lang w:val="en-CA" w:eastAsia="en-CA"/>
              </w:rPr>
            </w:pPr>
            <w:r w:rsidRPr="001277B2">
              <w:rPr>
                <w:b/>
                <w:sz w:val="18"/>
                <w:szCs w:val="18"/>
              </w:rPr>
              <w:t>162,911.3</w:t>
            </w:r>
          </w:p>
        </w:tc>
        <w:tc>
          <w:tcPr>
            <w:tcW w:w="506" w:type="pct"/>
            <w:tcBorders>
              <w:top w:val="nil"/>
              <w:left w:val="nil"/>
              <w:bottom w:val="single" w:sz="4" w:space="0" w:color="auto"/>
              <w:right w:val="single" w:sz="4" w:space="0" w:color="auto"/>
            </w:tcBorders>
            <w:shd w:val="clear" w:color="auto" w:fill="auto"/>
            <w:noWrap/>
            <w:hideMark/>
          </w:tcPr>
          <w:p w14:paraId="0D928BA8" w14:textId="1571B9D4" w:rsidR="00502FEE" w:rsidRPr="001277B2" w:rsidRDefault="00480B01" w:rsidP="00480B01">
            <w:pPr>
              <w:jc w:val="right"/>
              <w:rPr>
                <w:b/>
                <w:color w:val="000000"/>
                <w:sz w:val="18"/>
                <w:szCs w:val="18"/>
                <w:lang w:val="en-CA" w:eastAsia="en-CA"/>
              </w:rPr>
            </w:pPr>
            <w:r w:rsidRPr="001277B2">
              <w:rPr>
                <w:b/>
                <w:sz w:val="18"/>
                <w:szCs w:val="18"/>
              </w:rPr>
              <w:t>12</w:t>
            </w:r>
            <w:r w:rsidR="00502FEE" w:rsidRPr="001277B2">
              <w:rPr>
                <w:b/>
                <w:sz w:val="18"/>
                <w:szCs w:val="18"/>
              </w:rPr>
              <w:t>,</w:t>
            </w:r>
            <w:r w:rsidRPr="001277B2">
              <w:rPr>
                <w:b/>
                <w:sz w:val="18"/>
                <w:szCs w:val="18"/>
              </w:rPr>
              <w:t>531.6</w:t>
            </w:r>
          </w:p>
        </w:tc>
      </w:tr>
      <w:tr w:rsidR="00480B01" w:rsidRPr="001277B2" w14:paraId="0792C635" w14:textId="77777777" w:rsidTr="001277B2">
        <w:tc>
          <w:tcPr>
            <w:tcW w:w="1459" w:type="pct"/>
            <w:tcBorders>
              <w:top w:val="single" w:sz="4" w:space="0" w:color="auto"/>
              <w:left w:val="single" w:sz="4" w:space="0" w:color="auto"/>
              <w:bottom w:val="single" w:sz="4" w:space="0" w:color="auto"/>
              <w:right w:val="single" w:sz="4" w:space="0" w:color="auto"/>
            </w:tcBorders>
            <w:shd w:val="clear" w:color="auto" w:fill="auto"/>
            <w:noWrap/>
            <w:tcMar>
              <w:left w:w="43" w:type="dxa"/>
              <w:right w:w="29" w:type="dxa"/>
            </w:tcMar>
            <w:vAlign w:val="center"/>
            <w:hideMark/>
          </w:tcPr>
          <w:p w14:paraId="5EA21280" w14:textId="48C06771" w:rsidR="00480B01" w:rsidRPr="001277B2" w:rsidRDefault="00480B01" w:rsidP="00395D8E">
            <w:pPr>
              <w:jc w:val="left"/>
              <w:rPr>
                <w:b/>
                <w:color w:val="000000"/>
                <w:sz w:val="18"/>
                <w:szCs w:val="18"/>
                <w:lang w:val="en-CA" w:eastAsia="en-CA"/>
              </w:rPr>
            </w:pPr>
            <w:r w:rsidRPr="001277B2">
              <w:rPr>
                <w:b/>
                <w:color w:val="000000"/>
                <w:sz w:val="18"/>
                <w:szCs w:val="18"/>
                <w:lang w:val="en-CA" w:eastAsia="en-CA"/>
              </w:rPr>
              <w:t>Party*</w:t>
            </w:r>
            <w:r w:rsidR="000D07A0" w:rsidRPr="001277B2">
              <w:rPr>
                <w:b/>
                <w:color w:val="000000"/>
                <w:sz w:val="18"/>
                <w:szCs w:val="18"/>
                <w:lang w:val="en-CA" w:eastAsia="en-CA"/>
              </w:rPr>
              <w:t xml:space="preserve"> (ODP tonnes)</w:t>
            </w:r>
          </w:p>
        </w:tc>
        <w:tc>
          <w:tcPr>
            <w:tcW w:w="50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AAC950B" w14:textId="77777777" w:rsidR="00480B01" w:rsidRPr="001277B2" w:rsidRDefault="00480B01" w:rsidP="00395D8E">
            <w:pPr>
              <w:jc w:val="center"/>
              <w:rPr>
                <w:b/>
                <w:color w:val="000000"/>
                <w:sz w:val="18"/>
                <w:szCs w:val="18"/>
                <w:lang w:val="en-CA" w:eastAsia="en-CA"/>
              </w:rPr>
            </w:pPr>
            <w:r w:rsidRPr="001277B2">
              <w:rPr>
                <w:b/>
                <w:color w:val="000000"/>
                <w:sz w:val="18"/>
                <w:szCs w:val="18"/>
                <w:lang w:val="en-CA" w:eastAsia="en-CA"/>
              </w:rPr>
              <w:t>Baseline</w:t>
            </w:r>
          </w:p>
        </w:tc>
        <w:tc>
          <w:tcPr>
            <w:tcW w:w="506" w:type="pct"/>
            <w:tcBorders>
              <w:top w:val="single" w:sz="4" w:space="0" w:color="auto"/>
              <w:left w:val="nil"/>
              <w:bottom w:val="single" w:sz="4" w:space="0" w:color="auto"/>
              <w:right w:val="single" w:sz="4" w:space="0" w:color="auto"/>
            </w:tcBorders>
            <w:shd w:val="clear" w:color="auto" w:fill="auto"/>
            <w:vAlign w:val="center"/>
          </w:tcPr>
          <w:p w14:paraId="19DE77A1" w14:textId="77777777" w:rsidR="00480B01" w:rsidRPr="001277B2" w:rsidRDefault="00480B01" w:rsidP="00395D8E">
            <w:pPr>
              <w:jc w:val="center"/>
              <w:rPr>
                <w:b/>
                <w:color w:val="000000"/>
                <w:sz w:val="18"/>
                <w:szCs w:val="18"/>
                <w:lang w:val="en-CA" w:eastAsia="en-CA"/>
              </w:rPr>
            </w:pPr>
            <w:r w:rsidRPr="001277B2">
              <w:rPr>
                <w:b/>
                <w:color w:val="000000"/>
                <w:sz w:val="18"/>
                <w:szCs w:val="18"/>
                <w:lang w:val="en-CA" w:eastAsia="en-CA"/>
              </w:rPr>
              <w:t>2015</w:t>
            </w:r>
          </w:p>
        </w:tc>
        <w:tc>
          <w:tcPr>
            <w:tcW w:w="50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6A00A8C" w14:textId="77777777" w:rsidR="00480B01" w:rsidRPr="001277B2" w:rsidRDefault="00480B01" w:rsidP="00395D8E">
            <w:pPr>
              <w:jc w:val="center"/>
              <w:rPr>
                <w:b/>
                <w:color w:val="000000"/>
                <w:sz w:val="18"/>
                <w:szCs w:val="18"/>
                <w:lang w:val="en-CA" w:eastAsia="en-CA"/>
              </w:rPr>
            </w:pPr>
            <w:r w:rsidRPr="001277B2">
              <w:rPr>
                <w:b/>
                <w:color w:val="000000"/>
                <w:sz w:val="18"/>
                <w:szCs w:val="18"/>
                <w:lang w:val="en-CA" w:eastAsia="en-CA"/>
              </w:rPr>
              <w:t>2018</w:t>
            </w:r>
          </w:p>
        </w:tc>
        <w:tc>
          <w:tcPr>
            <w:tcW w:w="50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4C15308" w14:textId="77777777" w:rsidR="00480B01" w:rsidRPr="001277B2" w:rsidRDefault="00480B01" w:rsidP="00395D8E">
            <w:pPr>
              <w:jc w:val="center"/>
              <w:rPr>
                <w:b/>
                <w:color w:val="000000"/>
                <w:sz w:val="18"/>
                <w:szCs w:val="18"/>
                <w:lang w:val="en-CA" w:eastAsia="en-CA"/>
              </w:rPr>
            </w:pPr>
            <w:r w:rsidRPr="001277B2">
              <w:rPr>
                <w:b/>
                <w:color w:val="000000"/>
                <w:sz w:val="18"/>
                <w:szCs w:val="18"/>
                <w:lang w:val="en-CA" w:eastAsia="en-CA"/>
              </w:rPr>
              <w:t>% (2018 / baseline)</w:t>
            </w:r>
          </w:p>
        </w:tc>
        <w:tc>
          <w:tcPr>
            <w:tcW w:w="50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79B4042" w14:textId="77777777" w:rsidR="00480B01" w:rsidRPr="001277B2" w:rsidRDefault="00480B01" w:rsidP="00395D8E">
            <w:pPr>
              <w:jc w:val="center"/>
              <w:rPr>
                <w:b/>
                <w:color w:val="000000"/>
                <w:sz w:val="18"/>
                <w:szCs w:val="18"/>
                <w:lang w:val="en-CA" w:eastAsia="en-CA"/>
              </w:rPr>
            </w:pPr>
            <w:r w:rsidRPr="001277B2">
              <w:rPr>
                <w:b/>
                <w:color w:val="000000"/>
                <w:sz w:val="18"/>
                <w:szCs w:val="18"/>
                <w:lang w:val="en-CA" w:eastAsia="en-CA"/>
              </w:rPr>
              <w:t xml:space="preserve">Target </w:t>
            </w:r>
          </w:p>
          <w:p w14:paraId="29FD0276" w14:textId="77777777" w:rsidR="00480B01" w:rsidRPr="001277B2" w:rsidRDefault="00480B01" w:rsidP="00395D8E">
            <w:pPr>
              <w:jc w:val="center"/>
              <w:rPr>
                <w:b/>
                <w:color w:val="000000"/>
                <w:sz w:val="18"/>
                <w:szCs w:val="18"/>
                <w:lang w:val="en-CA" w:eastAsia="en-CA"/>
              </w:rPr>
            </w:pPr>
            <w:r w:rsidRPr="001277B2">
              <w:rPr>
                <w:b/>
                <w:color w:val="000000"/>
                <w:sz w:val="18"/>
                <w:szCs w:val="18"/>
                <w:lang w:val="en-CA" w:eastAsia="en-CA"/>
              </w:rPr>
              <w:t>2020**</w:t>
            </w:r>
          </w:p>
        </w:tc>
        <w:tc>
          <w:tcPr>
            <w:tcW w:w="50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6A544494" w14:textId="77777777" w:rsidR="00480B01" w:rsidRPr="001277B2" w:rsidRDefault="00480B01" w:rsidP="00395D8E">
            <w:pPr>
              <w:jc w:val="center"/>
              <w:rPr>
                <w:b/>
                <w:color w:val="000000"/>
                <w:sz w:val="18"/>
                <w:szCs w:val="18"/>
                <w:lang w:val="en-CA" w:eastAsia="en-CA"/>
              </w:rPr>
            </w:pPr>
            <w:r w:rsidRPr="001277B2">
              <w:rPr>
                <w:b/>
                <w:color w:val="000000"/>
                <w:sz w:val="18"/>
                <w:szCs w:val="18"/>
                <w:lang w:val="en-CA" w:eastAsia="en-CA"/>
              </w:rPr>
              <w:t xml:space="preserve">Target </w:t>
            </w:r>
          </w:p>
          <w:p w14:paraId="3DD7C831" w14:textId="77777777" w:rsidR="00480B01" w:rsidRPr="001277B2" w:rsidRDefault="00480B01" w:rsidP="00395D8E">
            <w:pPr>
              <w:jc w:val="center"/>
              <w:rPr>
                <w:b/>
                <w:color w:val="000000"/>
                <w:sz w:val="18"/>
                <w:szCs w:val="18"/>
                <w:lang w:val="en-CA" w:eastAsia="en-CA"/>
              </w:rPr>
            </w:pPr>
            <w:r w:rsidRPr="001277B2">
              <w:rPr>
                <w:b/>
                <w:color w:val="000000"/>
                <w:sz w:val="18"/>
                <w:szCs w:val="18"/>
                <w:lang w:val="en-CA" w:eastAsia="en-CA"/>
              </w:rPr>
              <w:t>2025**</w:t>
            </w:r>
          </w:p>
        </w:tc>
        <w:tc>
          <w:tcPr>
            <w:tcW w:w="50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A27E542" w14:textId="77777777" w:rsidR="00480B01" w:rsidRPr="001277B2" w:rsidRDefault="00480B01" w:rsidP="00395D8E">
            <w:pPr>
              <w:jc w:val="center"/>
              <w:rPr>
                <w:b/>
                <w:color w:val="000000"/>
                <w:sz w:val="18"/>
                <w:szCs w:val="18"/>
                <w:lang w:val="en-CA" w:eastAsia="en-CA"/>
              </w:rPr>
            </w:pPr>
            <w:r w:rsidRPr="001277B2">
              <w:rPr>
                <w:b/>
                <w:color w:val="000000"/>
                <w:sz w:val="18"/>
                <w:szCs w:val="18"/>
                <w:lang w:val="en-CA" w:eastAsia="en-CA"/>
              </w:rPr>
              <w:t>Target 2030**</w:t>
            </w:r>
          </w:p>
        </w:tc>
      </w:tr>
      <w:tr w:rsidR="00AA474F" w:rsidRPr="001277B2" w14:paraId="22A9F66D"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24CA9FB2" w14:textId="77777777" w:rsidR="00AA474F" w:rsidRPr="001277B2" w:rsidRDefault="00AA474F" w:rsidP="00AA474F">
            <w:pPr>
              <w:jc w:val="left"/>
              <w:rPr>
                <w:color w:val="000000"/>
                <w:sz w:val="18"/>
                <w:szCs w:val="18"/>
                <w:lang w:val="en-CA" w:eastAsia="en-CA"/>
              </w:rPr>
            </w:pPr>
            <w:r w:rsidRPr="001277B2">
              <w:rPr>
                <w:color w:val="000000"/>
                <w:sz w:val="18"/>
                <w:szCs w:val="18"/>
                <w:lang w:val="en-CA" w:eastAsia="en-CA"/>
              </w:rPr>
              <w:t>Argentina</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D2B3C" w14:textId="79E076DB" w:rsidR="00AA474F" w:rsidRPr="001277B2" w:rsidRDefault="00AA474F" w:rsidP="00AA474F">
            <w:pPr>
              <w:jc w:val="right"/>
              <w:rPr>
                <w:color w:val="000000"/>
                <w:sz w:val="18"/>
                <w:szCs w:val="18"/>
                <w:lang w:val="en-CA" w:eastAsia="en-CA"/>
              </w:rPr>
            </w:pPr>
            <w:r w:rsidRPr="001277B2">
              <w:rPr>
                <w:color w:val="000000"/>
                <w:sz w:val="18"/>
                <w:szCs w:val="18"/>
              </w:rPr>
              <w:t>224.5</w:t>
            </w:r>
          </w:p>
        </w:tc>
        <w:tc>
          <w:tcPr>
            <w:tcW w:w="506" w:type="pct"/>
            <w:tcBorders>
              <w:top w:val="single" w:sz="4" w:space="0" w:color="auto"/>
              <w:left w:val="nil"/>
              <w:bottom w:val="single" w:sz="4" w:space="0" w:color="auto"/>
              <w:right w:val="single" w:sz="4" w:space="0" w:color="auto"/>
            </w:tcBorders>
            <w:shd w:val="clear" w:color="auto" w:fill="auto"/>
            <w:vAlign w:val="bottom"/>
          </w:tcPr>
          <w:p w14:paraId="6D505FC8" w14:textId="393588C4" w:rsidR="00AA474F" w:rsidRPr="001277B2" w:rsidRDefault="00AA474F" w:rsidP="00AA474F">
            <w:pPr>
              <w:jc w:val="right"/>
              <w:rPr>
                <w:sz w:val="18"/>
                <w:szCs w:val="18"/>
              </w:rPr>
            </w:pPr>
            <w:r w:rsidRPr="001277B2">
              <w:rPr>
                <w:color w:val="000000"/>
                <w:sz w:val="18"/>
                <w:szCs w:val="18"/>
              </w:rPr>
              <w:t>134.5</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3F776455" w14:textId="2276C0C5" w:rsidR="00AA474F" w:rsidRPr="001277B2" w:rsidRDefault="00AA474F" w:rsidP="00AA474F">
            <w:pPr>
              <w:jc w:val="right"/>
              <w:rPr>
                <w:color w:val="000000"/>
                <w:sz w:val="18"/>
                <w:szCs w:val="18"/>
                <w:lang w:val="en-CA" w:eastAsia="en-CA"/>
              </w:rPr>
            </w:pPr>
            <w:r w:rsidRPr="001277B2">
              <w:rPr>
                <w:color w:val="000000"/>
                <w:sz w:val="18"/>
                <w:szCs w:val="18"/>
              </w:rPr>
              <w:t>65.6</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6250E146" w14:textId="74DA823A" w:rsidR="00AA474F" w:rsidRPr="001277B2" w:rsidRDefault="00AA474F" w:rsidP="00AA474F">
            <w:pPr>
              <w:jc w:val="right"/>
              <w:rPr>
                <w:color w:val="000000"/>
                <w:sz w:val="18"/>
                <w:szCs w:val="18"/>
                <w:lang w:val="en-CA" w:eastAsia="en-CA"/>
              </w:rPr>
            </w:pPr>
            <w:r w:rsidRPr="001277B2">
              <w:rPr>
                <w:color w:val="000000"/>
                <w:sz w:val="18"/>
                <w:szCs w:val="18"/>
              </w:rPr>
              <w:t>29.2%</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53DF36CF" w14:textId="3C6723AC" w:rsidR="00AA474F" w:rsidRPr="001277B2" w:rsidRDefault="00AA474F" w:rsidP="00AA474F">
            <w:pPr>
              <w:jc w:val="right"/>
              <w:rPr>
                <w:color w:val="000000"/>
                <w:sz w:val="18"/>
                <w:szCs w:val="18"/>
                <w:lang w:val="en-CA" w:eastAsia="en-CA"/>
              </w:rPr>
            </w:pPr>
            <w:r w:rsidRPr="001277B2">
              <w:rPr>
                <w:color w:val="000000"/>
                <w:sz w:val="18"/>
                <w:szCs w:val="18"/>
              </w:rPr>
              <w:t>146.0</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3546911F" w14:textId="62540117" w:rsidR="00AA474F" w:rsidRPr="001277B2" w:rsidRDefault="00AA474F" w:rsidP="00AA474F">
            <w:pPr>
              <w:jc w:val="right"/>
              <w:rPr>
                <w:color w:val="000000"/>
                <w:sz w:val="18"/>
                <w:szCs w:val="18"/>
                <w:lang w:val="en-CA" w:eastAsia="en-CA"/>
              </w:rPr>
            </w:pPr>
            <w:r w:rsidRPr="001277B2">
              <w:rPr>
                <w:color w:val="000000"/>
                <w:sz w:val="18"/>
                <w:szCs w:val="18"/>
              </w:rPr>
              <w:t>73.0</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6F3A17A5" w14:textId="560A7187" w:rsidR="00AA474F" w:rsidRPr="001277B2" w:rsidRDefault="00AA474F" w:rsidP="00AA474F">
            <w:pPr>
              <w:jc w:val="right"/>
              <w:rPr>
                <w:color w:val="000000"/>
                <w:sz w:val="18"/>
                <w:szCs w:val="18"/>
                <w:lang w:val="en-CA" w:eastAsia="en-CA"/>
              </w:rPr>
            </w:pPr>
            <w:r w:rsidRPr="001277B2">
              <w:rPr>
                <w:color w:val="000000"/>
                <w:sz w:val="18"/>
                <w:szCs w:val="18"/>
              </w:rPr>
              <w:t>5.6</w:t>
            </w:r>
          </w:p>
        </w:tc>
      </w:tr>
      <w:tr w:rsidR="00AA474F" w:rsidRPr="001277B2" w14:paraId="364950E8"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6D5F7336" w14:textId="77777777" w:rsidR="00AA474F" w:rsidRPr="001277B2" w:rsidRDefault="00AA474F" w:rsidP="00AA474F">
            <w:pPr>
              <w:jc w:val="left"/>
              <w:rPr>
                <w:color w:val="000000"/>
                <w:sz w:val="18"/>
                <w:szCs w:val="18"/>
                <w:lang w:val="en-CA" w:eastAsia="en-CA"/>
              </w:rPr>
            </w:pPr>
            <w:r w:rsidRPr="001277B2">
              <w:rPr>
                <w:color w:val="000000"/>
                <w:sz w:val="18"/>
                <w:szCs w:val="18"/>
                <w:lang w:val="en-CA" w:eastAsia="en-CA"/>
              </w:rPr>
              <w:t>China</w:t>
            </w:r>
          </w:p>
        </w:tc>
        <w:tc>
          <w:tcPr>
            <w:tcW w:w="506" w:type="pct"/>
            <w:tcBorders>
              <w:top w:val="nil"/>
              <w:left w:val="single" w:sz="4" w:space="0" w:color="auto"/>
              <w:bottom w:val="single" w:sz="4" w:space="0" w:color="auto"/>
              <w:right w:val="single" w:sz="4" w:space="0" w:color="auto"/>
            </w:tcBorders>
            <w:shd w:val="clear" w:color="auto" w:fill="auto"/>
            <w:noWrap/>
            <w:vAlign w:val="bottom"/>
          </w:tcPr>
          <w:p w14:paraId="01D3C0A1" w14:textId="759920EE" w:rsidR="00AA474F" w:rsidRPr="001277B2" w:rsidRDefault="00AA474F" w:rsidP="00AA474F">
            <w:pPr>
              <w:jc w:val="right"/>
              <w:rPr>
                <w:color w:val="000000"/>
                <w:sz w:val="18"/>
                <w:szCs w:val="18"/>
                <w:lang w:val="en-CA" w:eastAsia="en-CA"/>
              </w:rPr>
            </w:pPr>
            <w:r w:rsidRPr="001277B2">
              <w:rPr>
                <w:color w:val="000000"/>
                <w:sz w:val="18"/>
                <w:szCs w:val="18"/>
              </w:rPr>
              <w:t>29,121.9</w:t>
            </w:r>
          </w:p>
        </w:tc>
        <w:tc>
          <w:tcPr>
            <w:tcW w:w="506" w:type="pct"/>
            <w:tcBorders>
              <w:top w:val="nil"/>
              <w:left w:val="nil"/>
              <w:bottom w:val="single" w:sz="4" w:space="0" w:color="auto"/>
              <w:right w:val="single" w:sz="4" w:space="0" w:color="auto"/>
            </w:tcBorders>
            <w:shd w:val="clear" w:color="auto" w:fill="auto"/>
            <w:vAlign w:val="bottom"/>
          </w:tcPr>
          <w:p w14:paraId="33918415" w14:textId="7474A9C0" w:rsidR="00AA474F" w:rsidRPr="001277B2" w:rsidRDefault="00AA474F" w:rsidP="00AA474F">
            <w:pPr>
              <w:jc w:val="right"/>
              <w:rPr>
                <w:sz w:val="18"/>
                <w:szCs w:val="18"/>
              </w:rPr>
            </w:pPr>
            <w:r w:rsidRPr="001277B2">
              <w:rPr>
                <w:color w:val="000000"/>
                <w:sz w:val="18"/>
                <w:szCs w:val="18"/>
              </w:rPr>
              <w:t>21,898.4</w:t>
            </w:r>
          </w:p>
        </w:tc>
        <w:tc>
          <w:tcPr>
            <w:tcW w:w="506" w:type="pct"/>
            <w:tcBorders>
              <w:top w:val="nil"/>
              <w:left w:val="nil"/>
              <w:bottom w:val="single" w:sz="4" w:space="0" w:color="auto"/>
              <w:right w:val="single" w:sz="4" w:space="0" w:color="auto"/>
            </w:tcBorders>
            <w:shd w:val="clear" w:color="auto" w:fill="auto"/>
            <w:noWrap/>
            <w:vAlign w:val="bottom"/>
          </w:tcPr>
          <w:p w14:paraId="7084D7D2" w14:textId="512DE4AA" w:rsidR="00AA474F" w:rsidRPr="001277B2" w:rsidRDefault="00AA474F" w:rsidP="00AA474F">
            <w:pPr>
              <w:jc w:val="right"/>
              <w:rPr>
                <w:color w:val="000000"/>
                <w:sz w:val="18"/>
                <w:szCs w:val="18"/>
                <w:lang w:val="en-CA" w:eastAsia="en-CA"/>
              </w:rPr>
            </w:pPr>
            <w:r w:rsidRPr="001277B2">
              <w:rPr>
                <w:color w:val="000000"/>
                <w:sz w:val="18"/>
                <w:szCs w:val="18"/>
              </w:rPr>
              <w:t>20,754.0</w:t>
            </w:r>
          </w:p>
        </w:tc>
        <w:tc>
          <w:tcPr>
            <w:tcW w:w="506" w:type="pct"/>
            <w:tcBorders>
              <w:top w:val="nil"/>
              <w:left w:val="nil"/>
              <w:bottom w:val="single" w:sz="4" w:space="0" w:color="auto"/>
              <w:right w:val="single" w:sz="4" w:space="0" w:color="auto"/>
            </w:tcBorders>
            <w:shd w:val="clear" w:color="auto" w:fill="auto"/>
            <w:noWrap/>
            <w:vAlign w:val="bottom"/>
          </w:tcPr>
          <w:p w14:paraId="33587AFE" w14:textId="7028C177" w:rsidR="00AA474F" w:rsidRPr="001277B2" w:rsidRDefault="00AA474F" w:rsidP="00AA474F">
            <w:pPr>
              <w:jc w:val="right"/>
              <w:rPr>
                <w:color w:val="000000"/>
                <w:sz w:val="18"/>
                <w:szCs w:val="18"/>
                <w:lang w:val="en-CA" w:eastAsia="en-CA"/>
              </w:rPr>
            </w:pPr>
            <w:r w:rsidRPr="001277B2">
              <w:rPr>
                <w:color w:val="000000"/>
                <w:sz w:val="18"/>
                <w:szCs w:val="18"/>
              </w:rPr>
              <w:t>71.3%</w:t>
            </w:r>
          </w:p>
        </w:tc>
        <w:tc>
          <w:tcPr>
            <w:tcW w:w="506" w:type="pct"/>
            <w:tcBorders>
              <w:top w:val="nil"/>
              <w:left w:val="nil"/>
              <w:bottom w:val="single" w:sz="4" w:space="0" w:color="auto"/>
              <w:right w:val="single" w:sz="4" w:space="0" w:color="auto"/>
            </w:tcBorders>
            <w:shd w:val="clear" w:color="auto" w:fill="auto"/>
            <w:noWrap/>
            <w:vAlign w:val="bottom"/>
          </w:tcPr>
          <w:p w14:paraId="647324BC" w14:textId="635083A8" w:rsidR="00AA474F" w:rsidRPr="001277B2" w:rsidRDefault="00AA474F" w:rsidP="00AA474F">
            <w:pPr>
              <w:jc w:val="right"/>
              <w:rPr>
                <w:color w:val="000000"/>
                <w:sz w:val="18"/>
                <w:szCs w:val="18"/>
                <w:lang w:val="en-CA" w:eastAsia="en-CA"/>
              </w:rPr>
            </w:pPr>
            <w:r w:rsidRPr="001277B2">
              <w:rPr>
                <w:color w:val="000000"/>
                <w:sz w:val="18"/>
                <w:szCs w:val="18"/>
              </w:rPr>
              <w:t>18,929.3</w:t>
            </w:r>
          </w:p>
        </w:tc>
        <w:tc>
          <w:tcPr>
            <w:tcW w:w="506" w:type="pct"/>
            <w:tcBorders>
              <w:top w:val="nil"/>
              <w:left w:val="nil"/>
              <w:bottom w:val="single" w:sz="4" w:space="0" w:color="auto"/>
              <w:right w:val="single" w:sz="4" w:space="0" w:color="auto"/>
            </w:tcBorders>
            <w:shd w:val="clear" w:color="auto" w:fill="auto"/>
            <w:noWrap/>
            <w:vAlign w:val="bottom"/>
          </w:tcPr>
          <w:p w14:paraId="30551E8F" w14:textId="47BE83EE" w:rsidR="00AA474F" w:rsidRPr="001277B2" w:rsidRDefault="00AA474F" w:rsidP="00AA474F">
            <w:pPr>
              <w:jc w:val="right"/>
              <w:rPr>
                <w:color w:val="000000"/>
                <w:sz w:val="18"/>
                <w:szCs w:val="18"/>
                <w:lang w:val="en-CA" w:eastAsia="en-CA"/>
              </w:rPr>
            </w:pPr>
            <w:r w:rsidRPr="001277B2">
              <w:rPr>
                <w:color w:val="000000"/>
                <w:sz w:val="18"/>
                <w:szCs w:val="18"/>
              </w:rPr>
              <w:t>9,464.6</w:t>
            </w:r>
          </w:p>
        </w:tc>
        <w:tc>
          <w:tcPr>
            <w:tcW w:w="506" w:type="pct"/>
            <w:tcBorders>
              <w:top w:val="nil"/>
              <w:left w:val="nil"/>
              <w:bottom w:val="single" w:sz="4" w:space="0" w:color="auto"/>
              <w:right w:val="single" w:sz="4" w:space="0" w:color="auto"/>
            </w:tcBorders>
            <w:shd w:val="clear" w:color="auto" w:fill="auto"/>
            <w:noWrap/>
            <w:vAlign w:val="bottom"/>
          </w:tcPr>
          <w:p w14:paraId="4C821AC2" w14:textId="67544DE0" w:rsidR="00AA474F" w:rsidRPr="001277B2" w:rsidRDefault="00AA474F" w:rsidP="00AA474F">
            <w:pPr>
              <w:jc w:val="right"/>
              <w:rPr>
                <w:color w:val="000000"/>
                <w:sz w:val="18"/>
                <w:szCs w:val="18"/>
                <w:lang w:val="en-CA" w:eastAsia="en-CA"/>
              </w:rPr>
            </w:pPr>
            <w:r w:rsidRPr="001277B2">
              <w:rPr>
                <w:color w:val="000000"/>
                <w:sz w:val="18"/>
                <w:szCs w:val="18"/>
              </w:rPr>
              <w:t>728.0</w:t>
            </w:r>
          </w:p>
        </w:tc>
      </w:tr>
      <w:tr w:rsidR="00AA474F" w:rsidRPr="001277B2" w14:paraId="08A6E02C"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35B1923F" w14:textId="77777777" w:rsidR="00AA474F" w:rsidRPr="001277B2" w:rsidRDefault="00AA474F" w:rsidP="00AA474F">
            <w:pPr>
              <w:jc w:val="left"/>
              <w:rPr>
                <w:color w:val="000000"/>
                <w:sz w:val="18"/>
                <w:szCs w:val="18"/>
                <w:lang w:val="en-CA" w:eastAsia="en-CA"/>
              </w:rPr>
            </w:pPr>
            <w:r w:rsidRPr="001277B2">
              <w:rPr>
                <w:color w:val="000000"/>
                <w:sz w:val="18"/>
                <w:szCs w:val="18"/>
                <w:lang w:val="en-CA" w:eastAsia="en-CA"/>
              </w:rPr>
              <w:t>Democratic People's Republic of Korea</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445D0A" w14:textId="22EACBDB" w:rsidR="00AA474F" w:rsidRPr="001277B2" w:rsidRDefault="00AA474F" w:rsidP="00AA474F">
            <w:pPr>
              <w:jc w:val="right"/>
              <w:rPr>
                <w:color w:val="000000"/>
                <w:sz w:val="18"/>
                <w:szCs w:val="18"/>
                <w:lang w:val="en-CA" w:eastAsia="en-CA"/>
              </w:rPr>
            </w:pPr>
            <w:r w:rsidRPr="001277B2">
              <w:rPr>
                <w:color w:val="000000"/>
                <w:sz w:val="18"/>
                <w:szCs w:val="18"/>
              </w:rPr>
              <w:t>27.6</w:t>
            </w:r>
          </w:p>
        </w:tc>
        <w:tc>
          <w:tcPr>
            <w:tcW w:w="506" w:type="pct"/>
            <w:tcBorders>
              <w:top w:val="single" w:sz="4" w:space="0" w:color="auto"/>
              <w:left w:val="nil"/>
              <w:bottom w:val="single" w:sz="4" w:space="0" w:color="auto"/>
              <w:right w:val="single" w:sz="4" w:space="0" w:color="auto"/>
            </w:tcBorders>
            <w:shd w:val="clear" w:color="auto" w:fill="auto"/>
            <w:vAlign w:val="bottom"/>
          </w:tcPr>
          <w:p w14:paraId="71B246E2" w14:textId="74A4B265" w:rsidR="00AA474F" w:rsidRPr="001277B2" w:rsidRDefault="00AA474F" w:rsidP="00AA474F">
            <w:pPr>
              <w:jc w:val="right"/>
              <w:rPr>
                <w:sz w:val="18"/>
                <w:szCs w:val="18"/>
              </w:rPr>
            </w:pPr>
            <w:r w:rsidRPr="001277B2">
              <w:rPr>
                <w:color w:val="000000"/>
                <w:sz w:val="18"/>
                <w:szCs w:val="18"/>
              </w:rPr>
              <w:t>27.4</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5F564EDA" w14:textId="19B1FB99" w:rsidR="00AA474F" w:rsidRPr="001277B2" w:rsidRDefault="00AA474F" w:rsidP="00AA474F">
            <w:pPr>
              <w:jc w:val="right"/>
              <w:rPr>
                <w:color w:val="000000"/>
                <w:sz w:val="18"/>
                <w:szCs w:val="18"/>
                <w:lang w:val="en-CA" w:eastAsia="en-CA"/>
              </w:rPr>
            </w:pPr>
            <w:r w:rsidRPr="001277B2">
              <w:rPr>
                <w:color w:val="000000"/>
                <w:sz w:val="18"/>
                <w:szCs w:val="18"/>
              </w:rPr>
              <w:t>-</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0D1BD9B0" w14:textId="321522C1" w:rsidR="00AA474F" w:rsidRPr="001277B2" w:rsidRDefault="00AA474F" w:rsidP="00AA474F">
            <w:pPr>
              <w:jc w:val="right"/>
              <w:rPr>
                <w:color w:val="000000"/>
                <w:sz w:val="18"/>
                <w:szCs w:val="18"/>
                <w:lang w:val="en-CA" w:eastAsia="en-CA"/>
              </w:rPr>
            </w:pPr>
            <w:r w:rsidRPr="001277B2">
              <w:rPr>
                <w:color w:val="000000"/>
                <w:sz w:val="18"/>
                <w:szCs w:val="18"/>
              </w:rPr>
              <w:t>0.0%</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007AFC46" w14:textId="197D9AEB" w:rsidR="00AA474F" w:rsidRPr="001277B2" w:rsidRDefault="00AA474F" w:rsidP="00AA474F">
            <w:pPr>
              <w:jc w:val="right"/>
              <w:rPr>
                <w:color w:val="000000"/>
                <w:sz w:val="18"/>
                <w:szCs w:val="18"/>
                <w:lang w:val="en-CA" w:eastAsia="en-CA"/>
              </w:rPr>
            </w:pPr>
            <w:r w:rsidRPr="001277B2">
              <w:rPr>
                <w:color w:val="000000"/>
                <w:sz w:val="18"/>
                <w:szCs w:val="18"/>
              </w:rPr>
              <w:t>17.9</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092CB9E9" w14:textId="3BAA0DA0" w:rsidR="00AA474F" w:rsidRPr="001277B2" w:rsidRDefault="00AA474F" w:rsidP="00AA474F">
            <w:pPr>
              <w:jc w:val="right"/>
              <w:rPr>
                <w:color w:val="000000"/>
                <w:sz w:val="18"/>
                <w:szCs w:val="18"/>
                <w:lang w:val="en-CA" w:eastAsia="en-CA"/>
              </w:rPr>
            </w:pPr>
            <w:r w:rsidRPr="001277B2">
              <w:rPr>
                <w:color w:val="000000"/>
                <w:sz w:val="18"/>
                <w:szCs w:val="18"/>
              </w:rPr>
              <w:t>9.0</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4F83A6E8" w14:textId="074F3968" w:rsidR="00AA474F" w:rsidRPr="001277B2" w:rsidRDefault="00AA474F" w:rsidP="00AA474F">
            <w:pPr>
              <w:jc w:val="right"/>
              <w:rPr>
                <w:color w:val="000000"/>
                <w:sz w:val="18"/>
                <w:szCs w:val="18"/>
                <w:lang w:val="en-CA" w:eastAsia="en-CA"/>
              </w:rPr>
            </w:pPr>
            <w:r w:rsidRPr="001277B2">
              <w:rPr>
                <w:color w:val="000000"/>
                <w:sz w:val="18"/>
                <w:szCs w:val="18"/>
              </w:rPr>
              <w:t>0.7</w:t>
            </w:r>
          </w:p>
        </w:tc>
      </w:tr>
      <w:tr w:rsidR="00AA474F" w:rsidRPr="001277B2" w14:paraId="1E805C79"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04F2B787" w14:textId="77777777" w:rsidR="00AA474F" w:rsidRPr="001277B2" w:rsidRDefault="00AA474F" w:rsidP="00AA474F">
            <w:pPr>
              <w:jc w:val="left"/>
              <w:rPr>
                <w:color w:val="000000"/>
                <w:sz w:val="18"/>
                <w:szCs w:val="18"/>
                <w:lang w:val="en-CA" w:eastAsia="en-CA"/>
              </w:rPr>
            </w:pPr>
            <w:r w:rsidRPr="001277B2">
              <w:rPr>
                <w:color w:val="000000"/>
                <w:sz w:val="18"/>
                <w:szCs w:val="18"/>
                <w:lang w:val="en-CA" w:eastAsia="en-CA"/>
              </w:rPr>
              <w:t>India</w:t>
            </w:r>
          </w:p>
        </w:tc>
        <w:tc>
          <w:tcPr>
            <w:tcW w:w="506" w:type="pct"/>
            <w:tcBorders>
              <w:top w:val="nil"/>
              <w:left w:val="single" w:sz="4" w:space="0" w:color="auto"/>
              <w:bottom w:val="single" w:sz="4" w:space="0" w:color="auto"/>
              <w:right w:val="single" w:sz="4" w:space="0" w:color="auto"/>
            </w:tcBorders>
            <w:shd w:val="clear" w:color="auto" w:fill="auto"/>
            <w:noWrap/>
            <w:vAlign w:val="bottom"/>
          </w:tcPr>
          <w:p w14:paraId="6E776AB7" w14:textId="6A284860" w:rsidR="00AA474F" w:rsidRPr="001277B2" w:rsidRDefault="00AA474F" w:rsidP="00AA474F">
            <w:pPr>
              <w:jc w:val="right"/>
              <w:rPr>
                <w:color w:val="000000"/>
                <w:sz w:val="18"/>
                <w:szCs w:val="18"/>
                <w:lang w:val="en-CA" w:eastAsia="en-CA"/>
              </w:rPr>
            </w:pPr>
            <w:r w:rsidRPr="001277B2">
              <w:rPr>
                <w:color w:val="000000"/>
                <w:sz w:val="18"/>
                <w:szCs w:val="18"/>
              </w:rPr>
              <w:t>2,399.5</w:t>
            </w:r>
          </w:p>
        </w:tc>
        <w:tc>
          <w:tcPr>
            <w:tcW w:w="506" w:type="pct"/>
            <w:tcBorders>
              <w:top w:val="nil"/>
              <w:left w:val="nil"/>
              <w:bottom w:val="single" w:sz="4" w:space="0" w:color="auto"/>
              <w:right w:val="single" w:sz="4" w:space="0" w:color="auto"/>
            </w:tcBorders>
            <w:shd w:val="clear" w:color="auto" w:fill="auto"/>
            <w:vAlign w:val="bottom"/>
          </w:tcPr>
          <w:p w14:paraId="7645E2EB" w14:textId="5363711A" w:rsidR="00AA474F" w:rsidRPr="001277B2" w:rsidRDefault="00AA474F" w:rsidP="00AA474F">
            <w:pPr>
              <w:jc w:val="right"/>
              <w:rPr>
                <w:sz w:val="18"/>
                <w:szCs w:val="18"/>
              </w:rPr>
            </w:pPr>
            <w:r w:rsidRPr="001277B2">
              <w:rPr>
                <w:color w:val="000000"/>
                <w:sz w:val="18"/>
                <w:szCs w:val="18"/>
              </w:rPr>
              <w:t>1,727.6</w:t>
            </w:r>
          </w:p>
        </w:tc>
        <w:tc>
          <w:tcPr>
            <w:tcW w:w="506" w:type="pct"/>
            <w:tcBorders>
              <w:top w:val="nil"/>
              <w:left w:val="nil"/>
              <w:bottom w:val="single" w:sz="4" w:space="0" w:color="auto"/>
              <w:right w:val="single" w:sz="4" w:space="0" w:color="auto"/>
            </w:tcBorders>
            <w:shd w:val="clear" w:color="auto" w:fill="auto"/>
            <w:noWrap/>
            <w:vAlign w:val="bottom"/>
          </w:tcPr>
          <w:p w14:paraId="721F35B3" w14:textId="1EC5C12B" w:rsidR="00AA474F" w:rsidRPr="001277B2" w:rsidRDefault="00AA474F" w:rsidP="00AA474F">
            <w:pPr>
              <w:jc w:val="right"/>
              <w:rPr>
                <w:color w:val="000000"/>
                <w:sz w:val="18"/>
                <w:szCs w:val="18"/>
                <w:lang w:val="en-CA" w:eastAsia="en-CA"/>
              </w:rPr>
            </w:pPr>
            <w:r w:rsidRPr="001277B2">
              <w:rPr>
                <w:color w:val="000000"/>
                <w:sz w:val="18"/>
                <w:szCs w:val="18"/>
              </w:rPr>
              <w:t>1,874.4</w:t>
            </w:r>
          </w:p>
        </w:tc>
        <w:tc>
          <w:tcPr>
            <w:tcW w:w="506" w:type="pct"/>
            <w:tcBorders>
              <w:top w:val="nil"/>
              <w:left w:val="nil"/>
              <w:bottom w:val="single" w:sz="4" w:space="0" w:color="auto"/>
              <w:right w:val="single" w:sz="4" w:space="0" w:color="auto"/>
            </w:tcBorders>
            <w:shd w:val="clear" w:color="auto" w:fill="auto"/>
            <w:noWrap/>
            <w:vAlign w:val="bottom"/>
          </w:tcPr>
          <w:p w14:paraId="325BF642" w14:textId="3A652251" w:rsidR="00AA474F" w:rsidRPr="001277B2" w:rsidRDefault="00AA474F" w:rsidP="00AA474F">
            <w:pPr>
              <w:jc w:val="right"/>
              <w:rPr>
                <w:color w:val="000000"/>
                <w:sz w:val="18"/>
                <w:szCs w:val="18"/>
                <w:lang w:val="en-CA" w:eastAsia="en-CA"/>
              </w:rPr>
            </w:pPr>
            <w:r w:rsidRPr="001277B2">
              <w:rPr>
                <w:color w:val="000000"/>
                <w:sz w:val="18"/>
                <w:szCs w:val="18"/>
              </w:rPr>
              <w:t>78.1%</w:t>
            </w:r>
          </w:p>
        </w:tc>
        <w:tc>
          <w:tcPr>
            <w:tcW w:w="506" w:type="pct"/>
            <w:tcBorders>
              <w:top w:val="nil"/>
              <w:left w:val="nil"/>
              <w:bottom w:val="single" w:sz="4" w:space="0" w:color="auto"/>
              <w:right w:val="single" w:sz="4" w:space="0" w:color="auto"/>
            </w:tcBorders>
            <w:shd w:val="clear" w:color="auto" w:fill="auto"/>
            <w:noWrap/>
            <w:vAlign w:val="bottom"/>
          </w:tcPr>
          <w:p w14:paraId="0D0320EA" w14:textId="72E80C5C" w:rsidR="00AA474F" w:rsidRPr="001277B2" w:rsidRDefault="00AA474F" w:rsidP="00AA474F">
            <w:pPr>
              <w:jc w:val="right"/>
              <w:rPr>
                <w:color w:val="000000"/>
                <w:sz w:val="18"/>
                <w:szCs w:val="18"/>
                <w:lang w:val="en-CA" w:eastAsia="en-CA"/>
              </w:rPr>
            </w:pPr>
            <w:r w:rsidRPr="001277B2">
              <w:rPr>
                <w:color w:val="000000"/>
                <w:sz w:val="18"/>
                <w:szCs w:val="18"/>
              </w:rPr>
              <w:t>1,559.7</w:t>
            </w:r>
          </w:p>
        </w:tc>
        <w:tc>
          <w:tcPr>
            <w:tcW w:w="506" w:type="pct"/>
            <w:tcBorders>
              <w:top w:val="nil"/>
              <w:left w:val="nil"/>
              <w:bottom w:val="single" w:sz="4" w:space="0" w:color="auto"/>
              <w:right w:val="single" w:sz="4" w:space="0" w:color="auto"/>
            </w:tcBorders>
            <w:shd w:val="clear" w:color="auto" w:fill="auto"/>
            <w:noWrap/>
            <w:vAlign w:val="bottom"/>
          </w:tcPr>
          <w:p w14:paraId="4C1269CE" w14:textId="694AADBD" w:rsidR="00AA474F" w:rsidRPr="001277B2" w:rsidRDefault="00AA474F" w:rsidP="00AA474F">
            <w:pPr>
              <w:jc w:val="right"/>
              <w:rPr>
                <w:color w:val="000000"/>
                <w:sz w:val="18"/>
                <w:szCs w:val="18"/>
                <w:lang w:val="en-CA" w:eastAsia="en-CA"/>
              </w:rPr>
            </w:pPr>
            <w:r w:rsidRPr="001277B2">
              <w:rPr>
                <w:color w:val="000000"/>
                <w:sz w:val="18"/>
                <w:szCs w:val="18"/>
              </w:rPr>
              <w:t>779.8</w:t>
            </w:r>
          </w:p>
        </w:tc>
        <w:tc>
          <w:tcPr>
            <w:tcW w:w="506" w:type="pct"/>
            <w:tcBorders>
              <w:top w:val="nil"/>
              <w:left w:val="nil"/>
              <w:bottom w:val="single" w:sz="4" w:space="0" w:color="auto"/>
              <w:right w:val="single" w:sz="4" w:space="0" w:color="auto"/>
            </w:tcBorders>
            <w:shd w:val="clear" w:color="auto" w:fill="auto"/>
            <w:noWrap/>
            <w:vAlign w:val="bottom"/>
          </w:tcPr>
          <w:p w14:paraId="7971D189" w14:textId="7650ED29" w:rsidR="00AA474F" w:rsidRPr="001277B2" w:rsidRDefault="00AA474F" w:rsidP="00AA474F">
            <w:pPr>
              <w:jc w:val="right"/>
              <w:rPr>
                <w:color w:val="000000"/>
                <w:sz w:val="18"/>
                <w:szCs w:val="18"/>
                <w:lang w:val="en-CA" w:eastAsia="en-CA"/>
              </w:rPr>
            </w:pPr>
            <w:r w:rsidRPr="001277B2">
              <w:rPr>
                <w:color w:val="000000"/>
                <w:sz w:val="18"/>
                <w:szCs w:val="18"/>
              </w:rPr>
              <w:t>60.0</w:t>
            </w:r>
          </w:p>
        </w:tc>
      </w:tr>
      <w:tr w:rsidR="00AA474F" w:rsidRPr="001277B2" w14:paraId="3CFEFABF"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3D68506B" w14:textId="77777777" w:rsidR="00AA474F" w:rsidRPr="001277B2" w:rsidRDefault="00AA474F" w:rsidP="00AA474F">
            <w:pPr>
              <w:jc w:val="left"/>
              <w:rPr>
                <w:color w:val="000000"/>
                <w:sz w:val="18"/>
                <w:szCs w:val="18"/>
                <w:lang w:val="en-CA" w:eastAsia="en-CA"/>
              </w:rPr>
            </w:pPr>
            <w:r w:rsidRPr="001277B2">
              <w:rPr>
                <w:color w:val="000000"/>
                <w:sz w:val="18"/>
                <w:szCs w:val="18"/>
                <w:lang w:val="en-CA" w:eastAsia="en-CA"/>
              </w:rPr>
              <w:t>Mexico</w:t>
            </w:r>
          </w:p>
        </w:tc>
        <w:tc>
          <w:tcPr>
            <w:tcW w:w="506" w:type="pct"/>
            <w:tcBorders>
              <w:top w:val="nil"/>
              <w:left w:val="single" w:sz="4" w:space="0" w:color="auto"/>
              <w:bottom w:val="single" w:sz="4" w:space="0" w:color="auto"/>
              <w:right w:val="single" w:sz="4" w:space="0" w:color="auto"/>
            </w:tcBorders>
            <w:shd w:val="clear" w:color="auto" w:fill="auto"/>
            <w:noWrap/>
            <w:vAlign w:val="bottom"/>
          </w:tcPr>
          <w:p w14:paraId="65E1F721" w14:textId="3E11ED55" w:rsidR="00AA474F" w:rsidRPr="001277B2" w:rsidRDefault="00AA474F" w:rsidP="00AA474F">
            <w:pPr>
              <w:jc w:val="right"/>
              <w:rPr>
                <w:color w:val="000000"/>
                <w:sz w:val="18"/>
                <w:szCs w:val="18"/>
                <w:lang w:val="en-CA" w:eastAsia="en-CA"/>
              </w:rPr>
            </w:pPr>
            <w:r w:rsidRPr="001277B2">
              <w:rPr>
                <w:color w:val="000000"/>
                <w:sz w:val="18"/>
                <w:szCs w:val="18"/>
              </w:rPr>
              <w:t>697.0</w:t>
            </w:r>
          </w:p>
        </w:tc>
        <w:tc>
          <w:tcPr>
            <w:tcW w:w="506" w:type="pct"/>
            <w:tcBorders>
              <w:top w:val="nil"/>
              <w:left w:val="nil"/>
              <w:bottom w:val="single" w:sz="4" w:space="0" w:color="auto"/>
              <w:right w:val="single" w:sz="4" w:space="0" w:color="auto"/>
            </w:tcBorders>
            <w:shd w:val="clear" w:color="auto" w:fill="auto"/>
            <w:vAlign w:val="bottom"/>
          </w:tcPr>
          <w:p w14:paraId="28D29A29" w14:textId="09F7E0B4" w:rsidR="00AA474F" w:rsidRPr="001277B2" w:rsidRDefault="00AA474F" w:rsidP="00AA474F">
            <w:pPr>
              <w:jc w:val="right"/>
              <w:rPr>
                <w:sz w:val="18"/>
                <w:szCs w:val="18"/>
              </w:rPr>
            </w:pPr>
            <w:r w:rsidRPr="001277B2">
              <w:rPr>
                <w:color w:val="000000"/>
                <w:sz w:val="18"/>
                <w:szCs w:val="18"/>
              </w:rPr>
              <w:t>160.9</w:t>
            </w:r>
          </w:p>
        </w:tc>
        <w:tc>
          <w:tcPr>
            <w:tcW w:w="506" w:type="pct"/>
            <w:tcBorders>
              <w:top w:val="nil"/>
              <w:left w:val="nil"/>
              <w:bottom w:val="single" w:sz="4" w:space="0" w:color="auto"/>
              <w:right w:val="single" w:sz="4" w:space="0" w:color="auto"/>
            </w:tcBorders>
            <w:shd w:val="clear" w:color="auto" w:fill="auto"/>
            <w:noWrap/>
            <w:vAlign w:val="bottom"/>
          </w:tcPr>
          <w:p w14:paraId="3270E353" w14:textId="4DE82BCC" w:rsidR="00AA474F" w:rsidRPr="001277B2" w:rsidRDefault="00AA474F" w:rsidP="00AA474F">
            <w:pPr>
              <w:jc w:val="right"/>
              <w:rPr>
                <w:color w:val="000000"/>
                <w:sz w:val="18"/>
                <w:szCs w:val="18"/>
                <w:lang w:val="en-CA" w:eastAsia="en-CA"/>
              </w:rPr>
            </w:pPr>
            <w:r w:rsidRPr="001277B2">
              <w:rPr>
                <w:color w:val="000000"/>
                <w:sz w:val="18"/>
                <w:szCs w:val="18"/>
              </w:rPr>
              <w:t>183.8</w:t>
            </w:r>
          </w:p>
        </w:tc>
        <w:tc>
          <w:tcPr>
            <w:tcW w:w="506" w:type="pct"/>
            <w:tcBorders>
              <w:top w:val="nil"/>
              <w:left w:val="nil"/>
              <w:bottom w:val="single" w:sz="4" w:space="0" w:color="auto"/>
              <w:right w:val="single" w:sz="4" w:space="0" w:color="auto"/>
            </w:tcBorders>
            <w:shd w:val="clear" w:color="auto" w:fill="auto"/>
            <w:noWrap/>
            <w:vAlign w:val="bottom"/>
          </w:tcPr>
          <w:p w14:paraId="2FCDA51F" w14:textId="4589CACC" w:rsidR="00AA474F" w:rsidRPr="001277B2" w:rsidRDefault="00AA474F" w:rsidP="00AA474F">
            <w:pPr>
              <w:jc w:val="right"/>
              <w:rPr>
                <w:color w:val="000000"/>
                <w:sz w:val="18"/>
                <w:szCs w:val="18"/>
                <w:lang w:val="en-CA" w:eastAsia="en-CA"/>
              </w:rPr>
            </w:pPr>
            <w:r w:rsidRPr="001277B2">
              <w:rPr>
                <w:color w:val="000000"/>
                <w:sz w:val="18"/>
                <w:szCs w:val="18"/>
              </w:rPr>
              <w:t>26.4%</w:t>
            </w:r>
          </w:p>
        </w:tc>
        <w:tc>
          <w:tcPr>
            <w:tcW w:w="506" w:type="pct"/>
            <w:tcBorders>
              <w:top w:val="nil"/>
              <w:left w:val="nil"/>
              <w:bottom w:val="single" w:sz="4" w:space="0" w:color="auto"/>
              <w:right w:val="single" w:sz="4" w:space="0" w:color="auto"/>
            </w:tcBorders>
            <w:shd w:val="clear" w:color="auto" w:fill="auto"/>
            <w:noWrap/>
            <w:vAlign w:val="bottom"/>
          </w:tcPr>
          <w:p w14:paraId="7F44520D" w14:textId="14BF33FE" w:rsidR="00AA474F" w:rsidRPr="001277B2" w:rsidRDefault="00AA474F" w:rsidP="00AA474F">
            <w:pPr>
              <w:jc w:val="right"/>
              <w:rPr>
                <w:color w:val="000000"/>
                <w:sz w:val="18"/>
                <w:szCs w:val="18"/>
                <w:lang w:val="en-CA" w:eastAsia="en-CA"/>
              </w:rPr>
            </w:pPr>
            <w:r w:rsidRPr="001277B2">
              <w:rPr>
                <w:color w:val="000000"/>
                <w:sz w:val="18"/>
                <w:szCs w:val="18"/>
              </w:rPr>
              <w:t>453.0</w:t>
            </w:r>
          </w:p>
        </w:tc>
        <w:tc>
          <w:tcPr>
            <w:tcW w:w="506" w:type="pct"/>
            <w:tcBorders>
              <w:top w:val="nil"/>
              <w:left w:val="nil"/>
              <w:bottom w:val="single" w:sz="4" w:space="0" w:color="auto"/>
              <w:right w:val="single" w:sz="4" w:space="0" w:color="auto"/>
            </w:tcBorders>
            <w:shd w:val="clear" w:color="auto" w:fill="auto"/>
            <w:noWrap/>
            <w:vAlign w:val="bottom"/>
          </w:tcPr>
          <w:p w14:paraId="7B0CBAF9" w14:textId="097169F7" w:rsidR="00AA474F" w:rsidRPr="001277B2" w:rsidRDefault="00AA474F" w:rsidP="00AA474F">
            <w:pPr>
              <w:jc w:val="right"/>
              <w:rPr>
                <w:color w:val="000000"/>
                <w:sz w:val="18"/>
                <w:szCs w:val="18"/>
                <w:lang w:val="en-CA" w:eastAsia="en-CA"/>
              </w:rPr>
            </w:pPr>
            <w:r w:rsidRPr="001277B2">
              <w:rPr>
                <w:color w:val="000000"/>
                <w:sz w:val="18"/>
                <w:szCs w:val="18"/>
              </w:rPr>
              <w:t>226.5</w:t>
            </w:r>
          </w:p>
        </w:tc>
        <w:tc>
          <w:tcPr>
            <w:tcW w:w="506" w:type="pct"/>
            <w:tcBorders>
              <w:top w:val="nil"/>
              <w:left w:val="nil"/>
              <w:bottom w:val="single" w:sz="4" w:space="0" w:color="auto"/>
              <w:right w:val="single" w:sz="4" w:space="0" w:color="auto"/>
            </w:tcBorders>
            <w:shd w:val="clear" w:color="auto" w:fill="auto"/>
            <w:noWrap/>
            <w:vAlign w:val="bottom"/>
          </w:tcPr>
          <w:p w14:paraId="326DE535" w14:textId="565DABC4" w:rsidR="00AA474F" w:rsidRPr="001277B2" w:rsidRDefault="00AA474F" w:rsidP="00AA474F">
            <w:pPr>
              <w:jc w:val="right"/>
              <w:rPr>
                <w:color w:val="000000"/>
                <w:sz w:val="18"/>
                <w:szCs w:val="18"/>
                <w:lang w:val="en-CA" w:eastAsia="en-CA"/>
              </w:rPr>
            </w:pPr>
            <w:r w:rsidRPr="001277B2">
              <w:rPr>
                <w:color w:val="000000"/>
                <w:sz w:val="18"/>
                <w:szCs w:val="18"/>
              </w:rPr>
              <w:t>17.4</w:t>
            </w:r>
          </w:p>
        </w:tc>
      </w:tr>
      <w:tr w:rsidR="00AA474F" w:rsidRPr="001277B2" w14:paraId="0427B5BB"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1CE638B9" w14:textId="77777777" w:rsidR="00AA474F" w:rsidRPr="001277B2" w:rsidRDefault="00AA474F" w:rsidP="00AA474F">
            <w:pPr>
              <w:jc w:val="left"/>
              <w:rPr>
                <w:color w:val="000000"/>
                <w:sz w:val="18"/>
                <w:szCs w:val="18"/>
                <w:lang w:val="en-CA" w:eastAsia="en-CA"/>
              </w:rPr>
            </w:pPr>
            <w:r w:rsidRPr="001277B2">
              <w:rPr>
                <w:color w:val="000000"/>
                <w:sz w:val="18"/>
                <w:szCs w:val="18"/>
                <w:lang w:val="en-CA" w:eastAsia="en-CA"/>
              </w:rPr>
              <w:t>Republic of Korea***</w:t>
            </w:r>
          </w:p>
        </w:tc>
        <w:tc>
          <w:tcPr>
            <w:tcW w:w="506" w:type="pct"/>
            <w:tcBorders>
              <w:top w:val="nil"/>
              <w:left w:val="single" w:sz="4" w:space="0" w:color="auto"/>
              <w:bottom w:val="single" w:sz="4" w:space="0" w:color="auto"/>
              <w:right w:val="single" w:sz="4" w:space="0" w:color="auto"/>
            </w:tcBorders>
            <w:shd w:val="clear" w:color="auto" w:fill="auto"/>
            <w:noWrap/>
            <w:vAlign w:val="bottom"/>
          </w:tcPr>
          <w:p w14:paraId="471AC1AF" w14:textId="4952136B" w:rsidR="00AA474F" w:rsidRPr="001277B2" w:rsidRDefault="00AA474F" w:rsidP="00AA474F">
            <w:pPr>
              <w:jc w:val="right"/>
              <w:rPr>
                <w:color w:val="000000"/>
                <w:sz w:val="18"/>
                <w:szCs w:val="18"/>
                <w:lang w:val="en-CA" w:eastAsia="en-CA"/>
              </w:rPr>
            </w:pPr>
            <w:r w:rsidRPr="001277B2">
              <w:rPr>
                <w:color w:val="000000"/>
                <w:sz w:val="18"/>
                <w:szCs w:val="18"/>
              </w:rPr>
              <w:t>395.1</w:t>
            </w:r>
          </w:p>
        </w:tc>
        <w:tc>
          <w:tcPr>
            <w:tcW w:w="506" w:type="pct"/>
            <w:tcBorders>
              <w:top w:val="nil"/>
              <w:left w:val="nil"/>
              <w:bottom w:val="single" w:sz="4" w:space="0" w:color="auto"/>
              <w:right w:val="single" w:sz="4" w:space="0" w:color="auto"/>
            </w:tcBorders>
            <w:shd w:val="clear" w:color="auto" w:fill="auto"/>
            <w:vAlign w:val="bottom"/>
          </w:tcPr>
          <w:p w14:paraId="6885446B" w14:textId="154275F0" w:rsidR="00AA474F" w:rsidRPr="001277B2" w:rsidRDefault="00AA474F" w:rsidP="00AA474F">
            <w:pPr>
              <w:jc w:val="right"/>
              <w:rPr>
                <w:sz w:val="18"/>
                <w:szCs w:val="18"/>
              </w:rPr>
            </w:pPr>
            <w:r w:rsidRPr="001277B2">
              <w:rPr>
                <w:color w:val="000000"/>
                <w:sz w:val="18"/>
                <w:szCs w:val="18"/>
              </w:rPr>
              <w:t>348.9</w:t>
            </w:r>
          </w:p>
        </w:tc>
        <w:tc>
          <w:tcPr>
            <w:tcW w:w="506" w:type="pct"/>
            <w:tcBorders>
              <w:top w:val="nil"/>
              <w:left w:val="nil"/>
              <w:bottom w:val="single" w:sz="4" w:space="0" w:color="auto"/>
              <w:right w:val="single" w:sz="4" w:space="0" w:color="auto"/>
            </w:tcBorders>
            <w:shd w:val="clear" w:color="auto" w:fill="auto"/>
            <w:noWrap/>
            <w:vAlign w:val="bottom"/>
          </w:tcPr>
          <w:p w14:paraId="5B9EA1A6" w14:textId="4353D6C6" w:rsidR="00AA474F" w:rsidRPr="001277B2" w:rsidRDefault="00AA474F" w:rsidP="00AA474F">
            <w:pPr>
              <w:jc w:val="right"/>
              <w:rPr>
                <w:color w:val="000000"/>
                <w:sz w:val="18"/>
                <w:szCs w:val="18"/>
                <w:lang w:val="en-CA" w:eastAsia="en-CA"/>
              </w:rPr>
            </w:pPr>
            <w:r w:rsidRPr="001277B2">
              <w:rPr>
                <w:color w:val="000000"/>
                <w:sz w:val="18"/>
                <w:szCs w:val="18"/>
              </w:rPr>
              <w:t>289.9</w:t>
            </w:r>
          </w:p>
        </w:tc>
        <w:tc>
          <w:tcPr>
            <w:tcW w:w="506" w:type="pct"/>
            <w:tcBorders>
              <w:top w:val="nil"/>
              <w:left w:val="nil"/>
              <w:bottom w:val="single" w:sz="4" w:space="0" w:color="auto"/>
              <w:right w:val="single" w:sz="4" w:space="0" w:color="auto"/>
            </w:tcBorders>
            <w:shd w:val="clear" w:color="auto" w:fill="auto"/>
            <w:noWrap/>
            <w:vAlign w:val="bottom"/>
          </w:tcPr>
          <w:p w14:paraId="6FAC42E8" w14:textId="2CF4F8B4" w:rsidR="00AA474F" w:rsidRPr="001277B2" w:rsidRDefault="00AA474F" w:rsidP="00AA474F">
            <w:pPr>
              <w:jc w:val="right"/>
              <w:rPr>
                <w:color w:val="000000"/>
                <w:sz w:val="18"/>
                <w:szCs w:val="18"/>
                <w:lang w:val="en-CA" w:eastAsia="en-CA"/>
              </w:rPr>
            </w:pPr>
            <w:r w:rsidRPr="001277B2">
              <w:rPr>
                <w:color w:val="000000"/>
                <w:sz w:val="18"/>
                <w:szCs w:val="18"/>
              </w:rPr>
              <w:t>73.4%</w:t>
            </w:r>
          </w:p>
        </w:tc>
        <w:tc>
          <w:tcPr>
            <w:tcW w:w="506" w:type="pct"/>
            <w:tcBorders>
              <w:top w:val="nil"/>
              <w:left w:val="nil"/>
              <w:bottom w:val="single" w:sz="4" w:space="0" w:color="auto"/>
              <w:right w:val="single" w:sz="4" w:space="0" w:color="auto"/>
            </w:tcBorders>
            <w:shd w:val="clear" w:color="auto" w:fill="auto"/>
            <w:noWrap/>
            <w:vAlign w:val="bottom"/>
          </w:tcPr>
          <w:p w14:paraId="3E8FA3CF" w14:textId="333784BE" w:rsidR="00AA474F" w:rsidRPr="001277B2" w:rsidRDefault="00AA474F" w:rsidP="00AA474F">
            <w:pPr>
              <w:jc w:val="right"/>
              <w:rPr>
                <w:color w:val="000000"/>
                <w:sz w:val="18"/>
                <w:szCs w:val="18"/>
                <w:lang w:val="en-CA" w:eastAsia="en-CA"/>
              </w:rPr>
            </w:pPr>
            <w:r w:rsidRPr="001277B2">
              <w:rPr>
                <w:color w:val="000000"/>
                <w:sz w:val="18"/>
                <w:szCs w:val="18"/>
              </w:rPr>
              <w:t>256.8</w:t>
            </w:r>
          </w:p>
        </w:tc>
        <w:tc>
          <w:tcPr>
            <w:tcW w:w="506" w:type="pct"/>
            <w:tcBorders>
              <w:top w:val="nil"/>
              <w:left w:val="nil"/>
              <w:bottom w:val="single" w:sz="4" w:space="0" w:color="auto"/>
              <w:right w:val="single" w:sz="4" w:space="0" w:color="auto"/>
            </w:tcBorders>
            <w:shd w:val="clear" w:color="auto" w:fill="auto"/>
            <w:noWrap/>
            <w:vAlign w:val="bottom"/>
          </w:tcPr>
          <w:p w14:paraId="278C1AD6" w14:textId="48900A2B" w:rsidR="00AA474F" w:rsidRPr="001277B2" w:rsidRDefault="00AA474F" w:rsidP="00AA474F">
            <w:pPr>
              <w:jc w:val="right"/>
              <w:rPr>
                <w:color w:val="000000"/>
                <w:sz w:val="18"/>
                <w:szCs w:val="18"/>
                <w:lang w:val="en-CA" w:eastAsia="en-CA"/>
              </w:rPr>
            </w:pPr>
            <w:r w:rsidRPr="001277B2">
              <w:rPr>
                <w:color w:val="000000"/>
                <w:sz w:val="18"/>
                <w:szCs w:val="18"/>
              </w:rPr>
              <w:t>128.4</w:t>
            </w:r>
          </w:p>
        </w:tc>
        <w:tc>
          <w:tcPr>
            <w:tcW w:w="506" w:type="pct"/>
            <w:tcBorders>
              <w:top w:val="nil"/>
              <w:left w:val="nil"/>
              <w:bottom w:val="single" w:sz="4" w:space="0" w:color="auto"/>
              <w:right w:val="single" w:sz="4" w:space="0" w:color="auto"/>
            </w:tcBorders>
            <w:shd w:val="clear" w:color="auto" w:fill="auto"/>
            <w:noWrap/>
            <w:vAlign w:val="bottom"/>
          </w:tcPr>
          <w:p w14:paraId="44EE4707" w14:textId="16DEC0F8" w:rsidR="00AA474F" w:rsidRPr="001277B2" w:rsidRDefault="00AA474F" w:rsidP="00AA474F">
            <w:pPr>
              <w:jc w:val="right"/>
              <w:rPr>
                <w:color w:val="000000"/>
                <w:sz w:val="18"/>
                <w:szCs w:val="18"/>
                <w:lang w:val="en-CA" w:eastAsia="en-CA"/>
              </w:rPr>
            </w:pPr>
            <w:r w:rsidRPr="001277B2">
              <w:rPr>
                <w:color w:val="000000"/>
                <w:sz w:val="18"/>
                <w:szCs w:val="18"/>
              </w:rPr>
              <w:t>9.9</w:t>
            </w:r>
          </w:p>
        </w:tc>
      </w:tr>
      <w:tr w:rsidR="00AA474F" w:rsidRPr="001277B2" w14:paraId="33F6B161"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027386C7" w14:textId="77777777" w:rsidR="00AA474F" w:rsidRPr="001277B2" w:rsidRDefault="00AA474F" w:rsidP="00AA474F">
            <w:pPr>
              <w:jc w:val="left"/>
              <w:rPr>
                <w:color w:val="000000"/>
                <w:sz w:val="18"/>
                <w:szCs w:val="18"/>
                <w:lang w:val="en-CA" w:eastAsia="en-CA"/>
              </w:rPr>
            </w:pPr>
            <w:r w:rsidRPr="001277B2">
              <w:rPr>
                <w:color w:val="000000"/>
                <w:sz w:val="18"/>
                <w:szCs w:val="18"/>
                <w:lang w:val="en-CA" w:eastAsia="en-CA"/>
              </w:rPr>
              <w:t>Venezuela (Bolivarian Republic of)</w:t>
            </w:r>
          </w:p>
        </w:tc>
        <w:tc>
          <w:tcPr>
            <w:tcW w:w="506" w:type="pct"/>
            <w:tcBorders>
              <w:top w:val="nil"/>
              <w:left w:val="single" w:sz="4" w:space="0" w:color="auto"/>
              <w:bottom w:val="single" w:sz="4" w:space="0" w:color="auto"/>
              <w:right w:val="single" w:sz="4" w:space="0" w:color="auto"/>
            </w:tcBorders>
            <w:shd w:val="clear" w:color="auto" w:fill="auto"/>
            <w:noWrap/>
            <w:vAlign w:val="bottom"/>
          </w:tcPr>
          <w:p w14:paraId="25062A7B" w14:textId="0F05956F" w:rsidR="00AA474F" w:rsidRPr="001277B2" w:rsidRDefault="00AA474F" w:rsidP="00AA474F">
            <w:pPr>
              <w:jc w:val="right"/>
              <w:rPr>
                <w:color w:val="000000"/>
                <w:sz w:val="18"/>
                <w:szCs w:val="18"/>
                <w:lang w:val="en-CA" w:eastAsia="en-CA"/>
              </w:rPr>
            </w:pPr>
            <w:r w:rsidRPr="001277B2">
              <w:rPr>
                <w:color w:val="000000"/>
                <w:sz w:val="18"/>
                <w:szCs w:val="18"/>
              </w:rPr>
              <w:t>123.0</w:t>
            </w:r>
          </w:p>
        </w:tc>
        <w:tc>
          <w:tcPr>
            <w:tcW w:w="506" w:type="pct"/>
            <w:tcBorders>
              <w:top w:val="nil"/>
              <w:left w:val="nil"/>
              <w:bottom w:val="single" w:sz="4" w:space="0" w:color="auto"/>
              <w:right w:val="single" w:sz="4" w:space="0" w:color="auto"/>
            </w:tcBorders>
            <w:shd w:val="clear" w:color="auto" w:fill="auto"/>
            <w:vAlign w:val="bottom"/>
          </w:tcPr>
          <w:p w14:paraId="78986E46" w14:textId="65F3DB36" w:rsidR="00AA474F" w:rsidRPr="001277B2" w:rsidRDefault="00AA474F" w:rsidP="00AA474F">
            <w:pPr>
              <w:jc w:val="right"/>
              <w:rPr>
                <w:sz w:val="18"/>
                <w:szCs w:val="18"/>
              </w:rPr>
            </w:pPr>
            <w:r w:rsidRPr="001277B2">
              <w:rPr>
                <w:color w:val="000000"/>
                <w:sz w:val="18"/>
                <w:szCs w:val="18"/>
              </w:rPr>
              <w:t>37.2</w:t>
            </w:r>
          </w:p>
        </w:tc>
        <w:tc>
          <w:tcPr>
            <w:tcW w:w="506" w:type="pct"/>
            <w:tcBorders>
              <w:top w:val="nil"/>
              <w:left w:val="nil"/>
              <w:bottom w:val="single" w:sz="4" w:space="0" w:color="auto"/>
              <w:right w:val="single" w:sz="4" w:space="0" w:color="auto"/>
            </w:tcBorders>
            <w:shd w:val="clear" w:color="auto" w:fill="auto"/>
            <w:noWrap/>
            <w:vAlign w:val="bottom"/>
          </w:tcPr>
          <w:p w14:paraId="0ACB701D" w14:textId="091009E2" w:rsidR="00AA474F" w:rsidRPr="001277B2" w:rsidRDefault="00AA474F" w:rsidP="00AA474F">
            <w:pPr>
              <w:jc w:val="right"/>
              <w:rPr>
                <w:color w:val="000000"/>
                <w:sz w:val="18"/>
                <w:szCs w:val="18"/>
                <w:lang w:val="en-CA" w:eastAsia="en-CA"/>
              </w:rPr>
            </w:pPr>
            <w:r w:rsidRPr="001277B2">
              <w:rPr>
                <w:color w:val="000000"/>
                <w:sz w:val="18"/>
                <w:szCs w:val="18"/>
              </w:rPr>
              <w:t>1.9</w:t>
            </w:r>
          </w:p>
        </w:tc>
        <w:tc>
          <w:tcPr>
            <w:tcW w:w="506" w:type="pct"/>
            <w:tcBorders>
              <w:top w:val="nil"/>
              <w:left w:val="nil"/>
              <w:bottom w:val="single" w:sz="4" w:space="0" w:color="auto"/>
              <w:right w:val="single" w:sz="4" w:space="0" w:color="auto"/>
            </w:tcBorders>
            <w:shd w:val="clear" w:color="auto" w:fill="auto"/>
            <w:noWrap/>
            <w:vAlign w:val="bottom"/>
          </w:tcPr>
          <w:p w14:paraId="3998C59A" w14:textId="5E5E1367" w:rsidR="00AA474F" w:rsidRPr="001277B2" w:rsidRDefault="00AA474F" w:rsidP="00AA474F">
            <w:pPr>
              <w:jc w:val="right"/>
              <w:rPr>
                <w:color w:val="000000"/>
                <w:sz w:val="18"/>
                <w:szCs w:val="18"/>
                <w:lang w:val="en-CA" w:eastAsia="en-CA"/>
              </w:rPr>
            </w:pPr>
            <w:r w:rsidRPr="001277B2">
              <w:rPr>
                <w:color w:val="000000"/>
                <w:sz w:val="18"/>
                <w:szCs w:val="18"/>
              </w:rPr>
              <w:t>1.5%</w:t>
            </w:r>
          </w:p>
        </w:tc>
        <w:tc>
          <w:tcPr>
            <w:tcW w:w="506" w:type="pct"/>
            <w:tcBorders>
              <w:top w:val="nil"/>
              <w:left w:val="nil"/>
              <w:bottom w:val="single" w:sz="4" w:space="0" w:color="auto"/>
              <w:right w:val="single" w:sz="4" w:space="0" w:color="auto"/>
            </w:tcBorders>
            <w:shd w:val="clear" w:color="auto" w:fill="auto"/>
            <w:noWrap/>
            <w:vAlign w:val="bottom"/>
          </w:tcPr>
          <w:p w14:paraId="34E18035" w14:textId="126A9F70" w:rsidR="00AA474F" w:rsidRPr="001277B2" w:rsidRDefault="00AA474F" w:rsidP="00AA474F">
            <w:pPr>
              <w:jc w:val="right"/>
              <w:rPr>
                <w:color w:val="000000"/>
                <w:sz w:val="18"/>
                <w:szCs w:val="18"/>
                <w:lang w:val="en-CA" w:eastAsia="en-CA"/>
              </w:rPr>
            </w:pPr>
            <w:r w:rsidRPr="001277B2">
              <w:rPr>
                <w:color w:val="000000"/>
                <w:sz w:val="18"/>
                <w:szCs w:val="18"/>
              </w:rPr>
              <w:t>80.0</w:t>
            </w:r>
          </w:p>
        </w:tc>
        <w:tc>
          <w:tcPr>
            <w:tcW w:w="506" w:type="pct"/>
            <w:tcBorders>
              <w:top w:val="nil"/>
              <w:left w:val="nil"/>
              <w:bottom w:val="single" w:sz="4" w:space="0" w:color="auto"/>
              <w:right w:val="single" w:sz="4" w:space="0" w:color="auto"/>
            </w:tcBorders>
            <w:shd w:val="clear" w:color="auto" w:fill="auto"/>
            <w:noWrap/>
            <w:vAlign w:val="bottom"/>
          </w:tcPr>
          <w:p w14:paraId="4A00543C" w14:textId="23ACBB89" w:rsidR="00AA474F" w:rsidRPr="001277B2" w:rsidRDefault="00AA474F" w:rsidP="00AA474F">
            <w:pPr>
              <w:jc w:val="right"/>
              <w:rPr>
                <w:color w:val="000000"/>
                <w:sz w:val="18"/>
                <w:szCs w:val="18"/>
                <w:lang w:val="en-CA" w:eastAsia="en-CA"/>
              </w:rPr>
            </w:pPr>
            <w:r w:rsidRPr="001277B2">
              <w:rPr>
                <w:color w:val="000000"/>
                <w:sz w:val="18"/>
                <w:szCs w:val="18"/>
              </w:rPr>
              <w:t>40.0</w:t>
            </w:r>
          </w:p>
        </w:tc>
        <w:tc>
          <w:tcPr>
            <w:tcW w:w="506" w:type="pct"/>
            <w:tcBorders>
              <w:top w:val="nil"/>
              <w:left w:val="nil"/>
              <w:bottom w:val="single" w:sz="4" w:space="0" w:color="auto"/>
              <w:right w:val="single" w:sz="4" w:space="0" w:color="auto"/>
            </w:tcBorders>
            <w:shd w:val="clear" w:color="auto" w:fill="auto"/>
            <w:noWrap/>
            <w:vAlign w:val="bottom"/>
          </w:tcPr>
          <w:p w14:paraId="09AC599E" w14:textId="7486EE50" w:rsidR="00AA474F" w:rsidRPr="001277B2" w:rsidRDefault="00AA474F" w:rsidP="00AA474F">
            <w:pPr>
              <w:jc w:val="right"/>
              <w:rPr>
                <w:color w:val="000000"/>
                <w:sz w:val="18"/>
                <w:szCs w:val="18"/>
                <w:lang w:val="en-CA" w:eastAsia="en-CA"/>
              </w:rPr>
            </w:pPr>
            <w:r w:rsidRPr="001277B2">
              <w:rPr>
                <w:color w:val="000000"/>
                <w:sz w:val="18"/>
                <w:szCs w:val="18"/>
              </w:rPr>
              <w:t>3.1</w:t>
            </w:r>
          </w:p>
        </w:tc>
      </w:tr>
      <w:tr w:rsidR="00AA474F" w:rsidRPr="001277B2" w14:paraId="341B3E30" w14:textId="77777777" w:rsidTr="001277B2">
        <w:tc>
          <w:tcPr>
            <w:tcW w:w="1459" w:type="pct"/>
            <w:tcBorders>
              <w:top w:val="nil"/>
              <w:left w:val="single" w:sz="4" w:space="0" w:color="auto"/>
              <w:bottom w:val="single" w:sz="4" w:space="0" w:color="auto"/>
              <w:right w:val="single" w:sz="4" w:space="0" w:color="auto"/>
            </w:tcBorders>
            <w:shd w:val="clear" w:color="auto" w:fill="auto"/>
            <w:noWrap/>
            <w:tcMar>
              <w:left w:w="43" w:type="dxa"/>
              <w:right w:w="29" w:type="dxa"/>
            </w:tcMar>
            <w:vAlign w:val="bottom"/>
            <w:hideMark/>
          </w:tcPr>
          <w:p w14:paraId="19FFABCF" w14:textId="77777777" w:rsidR="00AA474F" w:rsidRPr="001277B2" w:rsidRDefault="00AA474F" w:rsidP="00AA474F">
            <w:pPr>
              <w:jc w:val="left"/>
              <w:rPr>
                <w:b/>
                <w:color w:val="000000"/>
                <w:sz w:val="18"/>
                <w:szCs w:val="18"/>
                <w:lang w:val="en-CA" w:eastAsia="en-CA"/>
              </w:rPr>
            </w:pPr>
            <w:r w:rsidRPr="001277B2">
              <w:rPr>
                <w:b/>
                <w:color w:val="000000"/>
                <w:sz w:val="18"/>
                <w:szCs w:val="18"/>
                <w:lang w:val="en-CA" w:eastAsia="en-CA"/>
              </w:rPr>
              <w:t>Total</w:t>
            </w:r>
          </w:p>
        </w:tc>
        <w:tc>
          <w:tcPr>
            <w:tcW w:w="506" w:type="pct"/>
            <w:tcBorders>
              <w:top w:val="nil"/>
              <w:left w:val="single" w:sz="4" w:space="0" w:color="auto"/>
              <w:bottom w:val="single" w:sz="4" w:space="0" w:color="auto"/>
              <w:right w:val="single" w:sz="4" w:space="0" w:color="auto"/>
            </w:tcBorders>
            <w:shd w:val="clear" w:color="auto" w:fill="auto"/>
            <w:noWrap/>
            <w:vAlign w:val="bottom"/>
          </w:tcPr>
          <w:p w14:paraId="006EE850" w14:textId="539129C8" w:rsidR="00AA474F" w:rsidRPr="001277B2" w:rsidRDefault="00AA474F" w:rsidP="00AA474F">
            <w:pPr>
              <w:jc w:val="right"/>
              <w:rPr>
                <w:b/>
                <w:color w:val="000000"/>
                <w:sz w:val="18"/>
                <w:szCs w:val="18"/>
                <w:lang w:val="en-CA" w:eastAsia="en-CA"/>
              </w:rPr>
            </w:pPr>
            <w:r w:rsidRPr="001277B2">
              <w:rPr>
                <w:b/>
                <w:color w:val="000000"/>
                <w:sz w:val="18"/>
                <w:szCs w:val="18"/>
              </w:rPr>
              <w:t>32,988.6</w:t>
            </w:r>
          </w:p>
        </w:tc>
        <w:tc>
          <w:tcPr>
            <w:tcW w:w="506" w:type="pct"/>
            <w:tcBorders>
              <w:top w:val="nil"/>
              <w:left w:val="nil"/>
              <w:bottom w:val="single" w:sz="4" w:space="0" w:color="auto"/>
              <w:right w:val="single" w:sz="4" w:space="0" w:color="auto"/>
            </w:tcBorders>
            <w:shd w:val="clear" w:color="auto" w:fill="auto"/>
            <w:vAlign w:val="bottom"/>
          </w:tcPr>
          <w:p w14:paraId="39D2FCCF" w14:textId="34409300" w:rsidR="00AA474F" w:rsidRPr="001277B2" w:rsidRDefault="00AA474F" w:rsidP="00AA474F">
            <w:pPr>
              <w:jc w:val="right"/>
              <w:rPr>
                <w:b/>
                <w:sz w:val="18"/>
                <w:szCs w:val="18"/>
              </w:rPr>
            </w:pPr>
            <w:r w:rsidRPr="001277B2">
              <w:rPr>
                <w:b/>
                <w:color w:val="000000"/>
                <w:sz w:val="18"/>
                <w:szCs w:val="18"/>
              </w:rPr>
              <w:t>24,335.0</w:t>
            </w:r>
          </w:p>
        </w:tc>
        <w:tc>
          <w:tcPr>
            <w:tcW w:w="506" w:type="pct"/>
            <w:tcBorders>
              <w:top w:val="nil"/>
              <w:left w:val="nil"/>
              <w:bottom w:val="single" w:sz="4" w:space="0" w:color="auto"/>
              <w:right w:val="single" w:sz="4" w:space="0" w:color="auto"/>
            </w:tcBorders>
            <w:shd w:val="clear" w:color="auto" w:fill="auto"/>
            <w:noWrap/>
            <w:vAlign w:val="bottom"/>
          </w:tcPr>
          <w:p w14:paraId="6E39706F" w14:textId="345182EC" w:rsidR="00AA474F" w:rsidRPr="001277B2" w:rsidRDefault="00AA474F" w:rsidP="00AA474F">
            <w:pPr>
              <w:jc w:val="right"/>
              <w:rPr>
                <w:b/>
                <w:color w:val="000000"/>
                <w:sz w:val="18"/>
                <w:szCs w:val="18"/>
                <w:lang w:val="en-CA" w:eastAsia="en-CA"/>
              </w:rPr>
            </w:pPr>
            <w:r w:rsidRPr="001277B2">
              <w:rPr>
                <w:b/>
                <w:color w:val="000000"/>
                <w:sz w:val="18"/>
                <w:szCs w:val="18"/>
              </w:rPr>
              <w:t>23,169.5</w:t>
            </w:r>
          </w:p>
        </w:tc>
        <w:tc>
          <w:tcPr>
            <w:tcW w:w="506" w:type="pct"/>
            <w:tcBorders>
              <w:top w:val="nil"/>
              <w:left w:val="nil"/>
              <w:bottom w:val="single" w:sz="4" w:space="0" w:color="auto"/>
              <w:right w:val="single" w:sz="4" w:space="0" w:color="auto"/>
            </w:tcBorders>
            <w:shd w:val="clear" w:color="auto" w:fill="auto"/>
            <w:noWrap/>
            <w:vAlign w:val="bottom"/>
          </w:tcPr>
          <w:p w14:paraId="2C9B3275" w14:textId="7FCF80AB" w:rsidR="00AA474F" w:rsidRPr="001277B2" w:rsidRDefault="00AA474F" w:rsidP="00AA474F">
            <w:pPr>
              <w:jc w:val="right"/>
              <w:rPr>
                <w:b/>
                <w:color w:val="000000"/>
                <w:sz w:val="18"/>
                <w:szCs w:val="18"/>
                <w:lang w:val="en-CA" w:eastAsia="en-CA"/>
              </w:rPr>
            </w:pPr>
            <w:r w:rsidRPr="001277B2">
              <w:rPr>
                <w:b/>
                <w:color w:val="000000"/>
                <w:sz w:val="18"/>
                <w:szCs w:val="18"/>
              </w:rPr>
              <w:t>70.2%</w:t>
            </w:r>
          </w:p>
        </w:tc>
        <w:tc>
          <w:tcPr>
            <w:tcW w:w="506" w:type="pct"/>
            <w:tcBorders>
              <w:top w:val="nil"/>
              <w:left w:val="nil"/>
              <w:bottom w:val="single" w:sz="4" w:space="0" w:color="auto"/>
              <w:right w:val="single" w:sz="4" w:space="0" w:color="auto"/>
            </w:tcBorders>
            <w:shd w:val="clear" w:color="auto" w:fill="auto"/>
            <w:noWrap/>
            <w:vAlign w:val="bottom"/>
          </w:tcPr>
          <w:p w14:paraId="58EB8E24" w14:textId="636DBEB3" w:rsidR="00AA474F" w:rsidRPr="001277B2" w:rsidRDefault="00AA474F" w:rsidP="00AA474F">
            <w:pPr>
              <w:jc w:val="right"/>
              <w:rPr>
                <w:b/>
                <w:color w:val="000000"/>
                <w:sz w:val="18"/>
                <w:szCs w:val="18"/>
                <w:lang w:val="en-CA" w:eastAsia="en-CA"/>
              </w:rPr>
            </w:pPr>
            <w:r w:rsidRPr="001277B2">
              <w:rPr>
                <w:b/>
                <w:color w:val="000000"/>
                <w:sz w:val="18"/>
                <w:szCs w:val="18"/>
              </w:rPr>
              <w:t>21,442.6</w:t>
            </w:r>
          </w:p>
        </w:tc>
        <w:tc>
          <w:tcPr>
            <w:tcW w:w="506" w:type="pct"/>
            <w:tcBorders>
              <w:top w:val="nil"/>
              <w:left w:val="nil"/>
              <w:bottom w:val="single" w:sz="4" w:space="0" w:color="auto"/>
              <w:right w:val="single" w:sz="4" w:space="0" w:color="auto"/>
            </w:tcBorders>
            <w:shd w:val="clear" w:color="auto" w:fill="auto"/>
            <w:noWrap/>
            <w:vAlign w:val="bottom"/>
          </w:tcPr>
          <w:p w14:paraId="5FB8DA89" w14:textId="39892708" w:rsidR="00AA474F" w:rsidRPr="001277B2" w:rsidRDefault="00AA474F" w:rsidP="00AA474F">
            <w:pPr>
              <w:jc w:val="right"/>
              <w:rPr>
                <w:b/>
                <w:color w:val="000000"/>
                <w:sz w:val="18"/>
                <w:szCs w:val="18"/>
                <w:lang w:val="en-CA" w:eastAsia="en-CA"/>
              </w:rPr>
            </w:pPr>
            <w:r w:rsidRPr="001277B2">
              <w:rPr>
                <w:b/>
                <w:color w:val="000000"/>
                <w:sz w:val="18"/>
                <w:szCs w:val="18"/>
              </w:rPr>
              <w:t>10,721.3</w:t>
            </w:r>
          </w:p>
        </w:tc>
        <w:tc>
          <w:tcPr>
            <w:tcW w:w="506" w:type="pct"/>
            <w:tcBorders>
              <w:top w:val="nil"/>
              <w:left w:val="nil"/>
              <w:bottom w:val="single" w:sz="4" w:space="0" w:color="auto"/>
              <w:right w:val="single" w:sz="4" w:space="0" w:color="auto"/>
            </w:tcBorders>
            <w:shd w:val="clear" w:color="auto" w:fill="auto"/>
            <w:noWrap/>
            <w:vAlign w:val="bottom"/>
          </w:tcPr>
          <w:p w14:paraId="51A4A358" w14:textId="0913F3C4" w:rsidR="00AA474F" w:rsidRPr="001277B2" w:rsidRDefault="00AA474F" w:rsidP="00AA474F">
            <w:pPr>
              <w:jc w:val="right"/>
              <w:rPr>
                <w:b/>
                <w:color w:val="000000"/>
                <w:sz w:val="18"/>
                <w:szCs w:val="18"/>
                <w:lang w:val="en-CA" w:eastAsia="en-CA"/>
              </w:rPr>
            </w:pPr>
            <w:r w:rsidRPr="001277B2">
              <w:rPr>
                <w:b/>
                <w:color w:val="000000"/>
                <w:sz w:val="18"/>
                <w:szCs w:val="18"/>
              </w:rPr>
              <w:t>824.7</w:t>
            </w:r>
          </w:p>
        </w:tc>
      </w:tr>
    </w:tbl>
    <w:p w14:paraId="26A83AB1" w14:textId="5EE034E5" w:rsidR="00502FEE" w:rsidRPr="00480B01" w:rsidRDefault="00502FEE" w:rsidP="00502FEE">
      <w:pPr>
        <w:rPr>
          <w:bCs/>
          <w:sz w:val="19"/>
          <w:szCs w:val="19"/>
          <w:lang w:val="en-CA"/>
        </w:rPr>
      </w:pPr>
      <w:r w:rsidRPr="001277B2">
        <w:rPr>
          <w:bCs/>
          <w:sz w:val="19"/>
          <w:szCs w:val="19"/>
          <w:lang w:val="en-CA"/>
        </w:rPr>
        <w:t>(*) Except for China, all other Article 5 countries are only producing HCFC-22.</w:t>
      </w:r>
    </w:p>
    <w:p w14:paraId="1EE05A04" w14:textId="77777777" w:rsidR="00502FEE" w:rsidRPr="00480B01" w:rsidRDefault="00502FEE" w:rsidP="00502FEE">
      <w:pPr>
        <w:rPr>
          <w:bCs/>
          <w:sz w:val="19"/>
          <w:szCs w:val="19"/>
          <w:lang w:val="en-CA"/>
        </w:rPr>
      </w:pPr>
      <w:r w:rsidRPr="00480B01">
        <w:rPr>
          <w:bCs/>
          <w:sz w:val="19"/>
          <w:szCs w:val="19"/>
          <w:lang w:val="en-CA"/>
        </w:rPr>
        <w:t>(**) Based on Montreal Protocol targets for production of HCFCs.</w:t>
      </w:r>
    </w:p>
    <w:p w14:paraId="1FEA0A65" w14:textId="4C2F4ACC" w:rsidR="00502FEE" w:rsidRPr="00BD68A1" w:rsidRDefault="00502FEE" w:rsidP="00502FEE">
      <w:pPr>
        <w:rPr>
          <w:bCs/>
          <w:sz w:val="19"/>
          <w:szCs w:val="19"/>
          <w:lang w:val="en-CA"/>
        </w:rPr>
      </w:pPr>
      <w:r w:rsidRPr="00480B01">
        <w:rPr>
          <w:bCs/>
          <w:sz w:val="19"/>
          <w:szCs w:val="19"/>
          <w:lang w:val="en-CA"/>
        </w:rPr>
        <w:t>(***) The Party is not receiving assistance from the Multilateral Fund.</w:t>
      </w:r>
    </w:p>
    <w:p w14:paraId="709D8E58" w14:textId="77777777" w:rsidR="00502FEE" w:rsidRPr="0054333D" w:rsidRDefault="00502FEE" w:rsidP="00502FEE">
      <w:pPr>
        <w:rPr>
          <w:bCs/>
          <w:lang w:val="en-CA"/>
        </w:rPr>
      </w:pPr>
    </w:p>
    <w:p w14:paraId="676AB503" w14:textId="3DB227A3" w:rsidR="00502FEE" w:rsidRPr="00BD68A1" w:rsidRDefault="00502FEE" w:rsidP="00502FEE">
      <w:pPr>
        <w:pStyle w:val="Heading1"/>
        <w:rPr>
          <w:lang w:val="en-CA"/>
        </w:rPr>
      </w:pPr>
      <w:r>
        <w:t xml:space="preserve">As a result of accelerating the phase-out of HCFCs agreed in decision XIX/6, the Executive Committee has approved </w:t>
      </w:r>
      <w:r w:rsidRPr="001277B2">
        <w:t xml:space="preserve">funding for the HCFC production phase-out management plan (HPPMP) for China, representing approximately </w:t>
      </w:r>
      <w:r w:rsidR="00B026B0" w:rsidRPr="001277B2">
        <w:t xml:space="preserve">86 </w:t>
      </w:r>
      <w:r w:rsidRPr="001277B2">
        <w:t>per cent of the aggregate production level in Article 5 countries. So far, implementation of the approved HPPMP</w:t>
      </w:r>
      <w:r>
        <w:t>, together with other factors external to the Multilateral Fund (e.g., economic sit</w:t>
      </w:r>
      <w:r w:rsidRPr="00F06300">
        <w:t>u</w:t>
      </w:r>
      <w:r>
        <w:t>ation prevailing in HCFC-producing countries),</w:t>
      </w:r>
      <w:r w:rsidRPr="008856E7">
        <w:t xml:space="preserve"> ha</w:t>
      </w:r>
      <w:r>
        <w:t>ve</w:t>
      </w:r>
      <w:r w:rsidRPr="008856E7">
        <w:t xml:space="preserve"> resulted in </w:t>
      </w:r>
      <w:r>
        <w:t xml:space="preserve">the </w:t>
      </w:r>
      <w:r w:rsidRPr="008856E7">
        <w:t xml:space="preserve">reduction of HCFC </w:t>
      </w:r>
      <w:r>
        <w:t xml:space="preserve">production for controlled uses </w:t>
      </w:r>
      <w:r w:rsidRPr="008856E7">
        <w:t xml:space="preserve">in advance of the allowable levels under the Protocol. For example, the aggregate </w:t>
      </w:r>
      <w:r>
        <w:t xml:space="preserve">production </w:t>
      </w:r>
      <w:r w:rsidRPr="008856E7">
        <w:t xml:space="preserve">of HCFC </w:t>
      </w:r>
      <w:r>
        <w:t xml:space="preserve">for controlled uses </w:t>
      </w:r>
      <w:r w:rsidRPr="008856E7">
        <w:t xml:space="preserve">in </w:t>
      </w:r>
      <w:r w:rsidRPr="00692ACF">
        <w:t xml:space="preserve">2018 (362,958.1 </w:t>
      </w:r>
      <w:proofErr w:type="spellStart"/>
      <w:r w:rsidRPr="00692ACF">
        <w:t>mt</w:t>
      </w:r>
      <w:proofErr w:type="spellEnd"/>
      <w:r w:rsidRPr="00692ACF">
        <w:t>) represented 72.4 per cent of</w:t>
      </w:r>
      <w:r w:rsidRPr="008856E7">
        <w:t xml:space="preserve"> the aggregate HCFC </w:t>
      </w:r>
      <w:r>
        <w:t xml:space="preserve">production </w:t>
      </w:r>
      <w:r w:rsidRPr="008856E7">
        <w:t>baseline</w:t>
      </w:r>
      <w:r>
        <w:t>.</w:t>
      </w:r>
    </w:p>
    <w:p w14:paraId="03AF156D" w14:textId="77777777" w:rsidR="00502FEE" w:rsidRPr="00931200" w:rsidRDefault="00502FEE" w:rsidP="00502FEE">
      <w:pPr>
        <w:rPr>
          <w:u w:val="single"/>
          <w:lang w:val="en-CA"/>
        </w:rPr>
      </w:pPr>
      <w:r w:rsidRPr="00931200">
        <w:rPr>
          <w:u w:val="single"/>
          <w:lang w:val="en-CA"/>
        </w:rPr>
        <w:t>Consumption sector</w:t>
      </w:r>
    </w:p>
    <w:p w14:paraId="6ED5A833" w14:textId="77777777" w:rsidR="00502FEE" w:rsidRDefault="00502FEE" w:rsidP="00502FEE">
      <w:pPr>
        <w:rPr>
          <w:lang w:val="en-CA"/>
        </w:rPr>
      </w:pPr>
    </w:p>
    <w:p w14:paraId="15A28FCF" w14:textId="577AC897" w:rsidR="00502FEE" w:rsidRPr="00C3666E" w:rsidRDefault="00502FEE" w:rsidP="00502FEE">
      <w:pPr>
        <w:pStyle w:val="Heading1"/>
        <w:rPr>
          <w:lang w:val="en-CA"/>
        </w:rPr>
      </w:pPr>
      <w:r w:rsidRPr="00C3666E">
        <w:rPr>
          <w:lang w:val="en-CA"/>
        </w:rPr>
        <w:t xml:space="preserve">The aggregate level of HFC consumption in Article 5 countries amounted to 284,325 </w:t>
      </w:r>
      <w:proofErr w:type="spellStart"/>
      <w:r w:rsidRPr="00C3666E">
        <w:rPr>
          <w:lang w:val="en-CA"/>
        </w:rPr>
        <w:t>mt</w:t>
      </w:r>
      <w:proofErr w:type="spellEnd"/>
      <w:r w:rsidRPr="00C3666E">
        <w:rPr>
          <w:lang w:val="en-CA"/>
        </w:rPr>
        <w:t xml:space="preserve"> in 2015</w:t>
      </w:r>
      <w:r>
        <w:rPr>
          <w:lang w:val="en-CA"/>
        </w:rPr>
        <w:t xml:space="preserve"> and, </w:t>
      </w:r>
      <w:r w:rsidRPr="00C3666E">
        <w:rPr>
          <w:lang w:val="en-CA"/>
        </w:rPr>
        <w:t>in the absence of the Kigali Amendment</w:t>
      </w:r>
      <w:r>
        <w:rPr>
          <w:lang w:val="en-CA"/>
        </w:rPr>
        <w:t xml:space="preserve"> (i.e., </w:t>
      </w:r>
      <w:r w:rsidRPr="00C3666E">
        <w:rPr>
          <w:lang w:val="en-CA"/>
        </w:rPr>
        <w:t>business-as-usual scenario</w:t>
      </w:r>
      <w:r>
        <w:rPr>
          <w:lang w:val="en-CA"/>
        </w:rPr>
        <w:t xml:space="preserve">) consumption is expected </w:t>
      </w:r>
      <w:r w:rsidRPr="00C3666E">
        <w:rPr>
          <w:lang w:val="en-CA"/>
        </w:rPr>
        <w:t xml:space="preserve">to increase to 1,021,216 </w:t>
      </w:r>
      <w:proofErr w:type="spellStart"/>
      <w:r w:rsidRPr="00C3666E">
        <w:rPr>
          <w:lang w:val="en-CA"/>
        </w:rPr>
        <w:t>mt</w:t>
      </w:r>
      <w:proofErr w:type="spellEnd"/>
      <w:r w:rsidRPr="00C3666E">
        <w:rPr>
          <w:lang w:val="en-CA"/>
        </w:rPr>
        <w:t xml:space="preserve"> </w:t>
      </w:r>
      <w:r>
        <w:rPr>
          <w:lang w:val="en-CA"/>
        </w:rPr>
        <w:t>by</w:t>
      </w:r>
      <w:r w:rsidRPr="00C3666E">
        <w:rPr>
          <w:lang w:val="en-CA"/>
        </w:rPr>
        <w:t xml:space="preserve"> 2030, as shown in Table 3.</w:t>
      </w:r>
      <w:r>
        <w:rPr>
          <w:rStyle w:val="FootnoteReference"/>
          <w:lang w:val="en-CA"/>
        </w:rPr>
        <w:footnoteReference w:id="14"/>
      </w:r>
    </w:p>
    <w:p w14:paraId="1873C59A" w14:textId="77777777" w:rsidR="00502FEE" w:rsidRDefault="00502FEE" w:rsidP="00502FEE">
      <w:pPr>
        <w:keepNext/>
        <w:outlineLvl w:val="0"/>
        <w:rPr>
          <w:b/>
          <w:lang w:val="en-CA"/>
        </w:rPr>
      </w:pPr>
      <w:r>
        <w:rPr>
          <w:b/>
          <w:lang w:val="en-CA"/>
        </w:rPr>
        <w:lastRenderedPageBreak/>
        <w:t>Table 3. HFC consumption in Article 5 countries reported by the TEAP Task Force</w:t>
      </w:r>
    </w:p>
    <w:tbl>
      <w:tblPr>
        <w:tblW w:w="9360" w:type="dxa"/>
        <w:tblLayout w:type="fixed"/>
        <w:tblLook w:val="04A0" w:firstRow="1" w:lastRow="0" w:firstColumn="1" w:lastColumn="0" w:noHBand="0" w:noVBand="1"/>
      </w:tblPr>
      <w:tblGrid>
        <w:gridCol w:w="2610"/>
        <w:gridCol w:w="1350"/>
        <w:gridCol w:w="1350"/>
        <w:gridCol w:w="1350"/>
        <w:gridCol w:w="1350"/>
        <w:gridCol w:w="1350"/>
      </w:tblGrid>
      <w:tr w:rsidR="00502FEE" w:rsidRPr="000E7FEA" w14:paraId="1A5927C3" w14:textId="77777777" w:rsidTr="000E7A06">
        <w:trPr>
          <w:tblHeader/>
        </w:trPr>
        <w:tc>
          <w:tcPr>
            <w:tcW w:w="2610" w:type="dxa"/>
            <w:vMerge w:val="restart"/>
            <w:tcBorders>
              <w:top w:val="single" w:sz="4" w:space="0" w:color="auto"/>
              <w:left w:val="single" w:sz="4" w:space="0" w:color="auto"/>
              <w:bottom w:val="single" w:sz="4" w:space="0" w:color="auto"/>
              <w:right w:val="single" w:sz="4" w:space="0" w:color="auto"/>
            </w:tcBorders>
            <w:noWrap/>
            <w:vAlign w:val="center"/>
            <w:hideMark/>
          </w:tcPr>
          <w:p w14:paraId="2C7070C6" w14:textId="77777777" w:rsidR="00502FEE" w:rsidRPr="000E7FEA" w:rsidRDefault="00502FEE" w:rsidP="000E7A06">
            <w:pPr>
              <w:jc w:val="left"/>
              <w:rPr>
                <w:b/>
                <w:bCs/>
                <w:color w:val="000000"/>
                <w:sz w:val="21"/>
                <w:szCs w:val="21"/>
                <w:lang w:val="en-CA" w:eastAsia="en-CA"/>
              </w:rPr>
            </w:pPr>
            <w:r w:rsidRPr="000E7FEA">
              <w:rPr>
                <w:b/>
                <w:bCs/>
                <w:color w:val="000000"/>
                <w:sz w:val="21"/>
                <w:szCs w:val="21"/>
                <w:lang w:val="en-CA" w:eastAsia="en-CA"/>
              </w:rPr>
              <w:t>HFC</w:t>
            </w:r>
          </w:p>
        </w:tc>
        <w:tc>
          <w:tcPr>
            <w:tcW w:w="5400" w:type="dxa"/>
            <w:gridSpan w:val="4"/>
            <w:tcBorders>
              <w:top w:val="single" w:sz="4" w:space="0" w:color="auto"/>
              <w:left w:val="nil"/>
              <w:bottom w:val="single" w:sz="4" w:space="0" w:color="auto"/>
              <w:right w:val="single" w:sz="4" w:space="0" w:color="auto"/>
            </w:tcBorders>
            <w:noWrap/>
            <w:vAlign w:val="bottom"/>
            <w:hideMark/>
          </w:tcPr>
          <w:p w14:paraId="70A32EDF" w14:textId="77777777" w:rsidR="00502FEE" w:rsidRPr="000E7FEA" w:rsidRDefault="00502FEE" w:rsidP="000E7A06">
            <w:pPr>
              <w:jc w:val="center"/>
              <w:rPr>
                <w:b/>
                <w:bCs/>
                <w:color w:val="000000"/>
                <w:sz w:val="21"/>
                <w:szCs w:val="21"/>
                <w:lang w:val="en-CA" w:eastAsia="en-CA"/>
              </w:rPr>
            </w:pPr>
            <w:r w:rsidRPr="000E7FEA">
              <w:rPr>
                <w:b/>
                <w:bCs/>
                <w:color w:val="000000"/>
                <w:sz w:val="21"/>
                <w:szCs w:val="21"/>
                <w:lang w:val="en-CA" w:eastAsia="en-CA"/>
              </w:rPr>
              <w:t>Consumption (</w:t>
            </w:r>
            <w:proofErr w:type="spellStart"/>
            <w:r w:rsidRPr="000E7FEA">
              <w:rPr>
                <w:b/>
                <w:bCs/>
                <w:color w:val="000000"/>
                <w:sz w:val="21"/>
                <w:szCs w:val="21"/>
                <w:lang w:val="en-CA" w:eastAsia="en-CA"/>
              </w:rPr>
              <w:t>mt</w:t>
            </w:r>
            <w:proofErr w:type="spellEnd"/>
            <w:r w:rsidRPr="000E7FEA">
              <w:rPr>
                <w:b/>
                <w:bCs/>
                <w:color w:val="000000"/>
                <w:sz w:val="21"/>
                <w:szCs w:val="21"/>
                <w:lang w:val="en-CA" w:eastAsia="en-CA"/>
              </w:rPr>
              <w:t>)</w:t>
            </w:r>
          </w:p>
        </w:tc>
        <w:tc>
          <w:tcPr>
            <w:tcW w:w="1350" w:type="dxa"/>
            <w:vMerge w:val="restart"/>
            <w:tcBorders>
              <w:top w:val="single" w:sz="4" w:space="0" w:color="auto"/>
              <w:left w:val="nil"/>
              <w:bottom w:val="single" w:sz="4" w:space="0" w:color="auto"/>
              <w:right w:val="single" w:sz="4" w:space="0" w:color="auto"/>
            </w:tcBorders>
            <w:noWrap/>
            <w:vAlign w:val="center"/>
            <w:hideMark/>
          </w:tcPr>
          <w:p w14:paraId="3F4A2423" w14:textId="77777777" w:rsidR="00502FEE" w:rsidRPr="000E7FEA" w:rsidRDefault="00502FEE" w:rsidP="000E7A06">
            <w:pPr>
              <w:jc w:val="center"/>
              <w:rPr>
                <w:b/>
                <w:color w:val="000000"/>
                <w:sz w:val="21"/>
                <w:szCs w:val="21"/>
                <w:lang w:val="en-CA" w:eastAsia="en-CA"/>
              </w:rPr>
            </w:pPr>
            <w:r w:rsidRPr="000E7FEA">
              <w:rPr>
                <w:b/>
                <w:color w:val="000000"/>
                <w:sz w:val="21"/>
                <w:szCs w:val="21"/>
                <w:lang w:val="en-CA" w:eastAsia="en-CA"/>
              </w:rPr>
              <w:t>Growth rate (%)*</w:t>
            </w:r>
          </w:p>
        </w:tc>
      </w:tr>
      <w:tr w:rsidR="00502FEE" w:rsidRPr="000E7FEA" w14:paraId="49156C0D" w14:textId="77777777" w:rsidTr="000E7A06">
        <w:trPr>
          <w:tblHeader/>
        </w:trPr>
        <w:tc>
          <w:tcPr>
            <w:tcW w:w="2610" w:type="dxa"/>
            <w:vMerge/>
            <w:tcBorders>
              <w:top w:val="single" w:sz="4" w:space="0" w:color="auto"/>
              <w:left w:val="single" w:sz="4" w:space="0" w:color="auto"/>
              <w:bottom w:val="single" w:sz="4" w:space="0" w:color="auto"/>
              <w:right w:val="single" w:sz="4" w:space="0" w:color="auto"/>
            </w:tcBorders>
            <w:vAlign w:val="center"/>
            <w:hideMark/>
          </w:tcPr>
          <w:p w14:paraId="69571D88" w14:textId="77777777" w:rsidR="00502FEE" w:rsidRPr="000E7FEA" w:rsidRDefault="00502FEE" w:rsidP="000E7A06">
            <w:pPr>
              <w:jc w:val="left"/>
              <w:rPr>
                <w:b/>
                <w:bCs/>
                <w:color w:val="000000"/>
                <w:sz w:val="21"/>
                <w:szCs w:val="21"/>
                <w:lang w:val="en-CA" w:eastAsia="en-CA"/>
              </w:rPr>
            </w:pPr>
          </w:p>
        </w:tc>
        <w:tc>
          <w:tcPr>
            <w:tcW w:w="1350" w:type="dxa"/>
            <w:tcBorders>
              <w:top w:val="single" w:sz="4" w:space="0" w:color="auto"/>
              <w:left w:val="nil"/>
              <w:bottom w:val="single" w:sz="4" w:space="0" w:color="auto"/>
              <w:right w:val="single" w:sz="4" w:space="0" w:color="auto"/>
            </w:tcBorders>
            <w:noWrap/>
            <w:vAlign w:val="bottom"/>
            <w:hideMark/>
          </w:tcPr>
          <w:p w14:paraId="4E14E55D" w14:textId="77777777" w:rsidR="00502FEE" w:rsidRPr="000E7FEA" w:rsidRDefault="00502FEE" w:rsidP="000E7A06">
            <w:pPr>
              <w:jc w:val="center"/>
              <w:rPr>
                <w:b/>
                <w:bCs/>
                <w:color w:val="000000"/>
                <w:sz w:val="21"/>
                <w:szCs w:val="21"/>
                <w:lang w:val="en-CA" w:eastAsia="en-CA"/>
              </w:rPr>
            </w:pPr>
            <w:r w:rsidRPr="000E7FEA">
              <w:rPr>
                <w:b/>
                <w:bCs/>
                <w:color w:val="000000"/>
                <w:sz w:val="21"/>
                <w:szCs w:val="21"/>
                <w:lang w:val="en-CA" w:eastAsia="en-CA"/>
              </w:rPr>
              <w:t>2015</w:t>
            </w:r>
          </w:p>
        </w:tc>
        <w:tc>
          <w:tcPr>
            <w:tcW w:w="1350" w:type="dxa"/>
            <w:tcBorders>
              <w:top w:val="single" w:sz="4" w:space="0" w:color="auto"/>
              <w:left w:val="nil"/>
              <w:bottom w:val="single" w:sz="4" w:space="0" w:color="auto"/>
              <w:right w:val="single" w:sz="4" w:space="0" w:color="auto"/>
            </w:tcBorders>
            <w:noWrap/>
            <w:vAlign w:val="bottom"/>
            <w:hideMark/>
          </w:tcPr>
          <w:p w14:paraId="12AFFD66" w14:textId="77777777" w:rsidR="00502FEE" w:rsidRPr="000E7FEA" w:rsidRDefault="00502FEE" w:rsidP="000E7A06">
            <w:pPr>
              <w:jc w:val="center"/>
              <w:rPr>
                <w:b/>
                <w:bCs/>
                <w:color w:val="000000"/>
                <w:sz w:val="21"/>
                <w:szCs w:val="21"/>
                <w:lang w:val="en-CA" w:eastAsia="en-CA"/>
              </w:rPr>
            </w:pPr>
            <w:r w:rsidRPr="000E7FEA">
              <w:rPr>
                <w:b/>
                <w:bCs/>
                <w:color w:val="000000"/>
                <w:sz w:val="21"/>
                <w:szCs w:val="21"/>
                <w:lang w:val="en-CA" w:eastAsia="en-CA"/>
              </w:rPr>
              <w:t>2020</w:t>
            </w:r>
          </w:p>
        </w:tc>
        <w:tc>
          <w:tcPr>
            <w:tcW w:w="1350" w:type="dxa"/>
            <w:tcBorders>
              <w:top w:val="single" w:sz="4" w:space="0" w:color="auto"/>
              <w:left w:val="nil"/>
              <w:bottom w:val="single" w:sz="4" w:space="0" w:color="auto"/>
              <w:right w:val="single" w:sz="4" w:space="0" w:color="auto"/>
            </w:tcBorders>
            <w:noWrap/>
            <w:vAlign w:val="bottom"/>
            <w:hideMark/>
          </w:tcPr>
          <w:p w14:paraId="0498F904" w14:textId="77777777" w:rsidR="00502FEE" w:rsidRPr="000E7FEA" w:rsidRDefault="00502FEE" w:rsidP="000E7A06">
            <w:pPr>
              <w:jc w:val="center"/>
              <w:rPr>
                <w:b/>
                <w:bCs/>
                <w:color w:val="000000"/>
                <w:sz w:val="21"/>
                <w:szCs w:val="21"/>
                <w:lang w:val="en-CA" w:eastAsia="en-CA"/>
              </w:rPr>
            </w:pPr>
            <w:r w:rsidRPr="000E7FEA">
              <w:rPr>
                <w:b/>
                <w:bCs/>
                <w:color w:val="000000"/>
                <w:sz w:val="21"/>
                <w:szCs w:val="21"/>
                <w:lang w:val="en-CA" w:eastAsia="en-CA"/>
              </w:rPr>
              <w:t>2025</w:t>
            </w:r>
          </w:p>
        </w:tc>
        <w:tc>
          <w:tcPr>
            <w:tcW w:w="1350" w:type="dxa"/>
            <w:tcBorders>
              <w:top w:val="single" w:sz="4" w:space="0" w:color="auto"/>
              <w:left w:val="nil"/>
              <w:bottom w:val="single" w:sz="4" w:space="0" w:color="auto"/>
              <w:right w:val="single" w:sz="4" w:space="0" w:color="auto"/>
            </w:tcBorders>
            <w:noWrap/>
            <w:vAlign w:val="bottom"/>
            <w:hideMark/>
          </w:tcPr>
          <w:p w14:paraId="7B95C273" w14:textId="77777777" w:rsidR="00502FEE" w:rsidRPr="000E7FEA" w:rsidRDefault="00502FEE" w:rsidP="000E7A06">
            <w:pPr>
              <w:jc w:val="center"/>
              <w:rPr>
                <w:b/>
                <w:bCs/>
                <w:color w:val="000000"/>
                <w:sz w:val="21"/>
                <w:szCs w:val="21"/>
                <w:lang w:val="en-CA" w:eastAsia="en-CA"/>
              </w:rPr>
            </w:pPr>
            <w:r w:rsidRPr="000E7FEA">
              <w:rPr>
                <w:b/>
                <w:bCs/>
                <w:color w:val="000000"/>
                <w:sz w:val="21"/>
                <w:szCs w:val="21"/>
                <w:lang w:val="en-CA" w:eastAsia="en-CA"/>
              </w:rPr>
              <w:t>2030</w:t>
            </w:r>
          </w:p>
        </w:tc>
        <w:tc>
          <w:tcPr>
            <w:tcW w:w="1350" w:type="dxa"/>
            <w:vMerge/>
            <w:tcBorders>
              <w:top w:val="single" w:sz="4" w:space="0" w:color="auto"/>
              <w:left w:val="nil"/>
              <w:bottom w:val="single" w:sz="4" w:space="0" w:color="auto"/>
              <w:right w:val="single" w:sz="4" w:space="0" w:color="auto"/>
            </w:tcBorders>
            <w:vAlign w:val="center"/>
            <w:hideMark/>
          </w:tcPr>
          <w:p w14:paraId="3B51B83A" w14:textId="77777777" w:rsidR="00502FEE" w:rsidRPr="000E7FEA" w:rsidRDefault="00502FEE" w:rsidP="000E7A06">
            <w:pPr>
              <w:jc w:val="left"/>
              <w:rPr>
                <w:b/>
                <w:color w:val="000000"/>
                <w:sz w:val="21"/>
                <w:szCs w:val="21"/>
                <w:lang w:val="en-CA" w:eastAsia="en-CA"/>
              </w:rPr>
            </w:pPr>
          </w:p>
        </w:tc>
      </w:tr>
      <w:tr w:rsidR="00502FEE" w:rsidRPr="000E7FEA" w14:paraId="6B760407" w14:textId="77777777" w:rsidTr="000E7A06">
        <w:tc>
          <w:tcPr>
            <w:tcW w:w="2610" w:type="dxa"/>
            <w:tcBorders>
              <w:top w:val="nil"/>
              <w:left w:val="single" w:sz="4" w:space="0" w:color="auto"/>
              <w:bottom w:val="single" w:sz="4" w:space="0" w:color="auto"/>
              <w:right w:val="single" w:sz="4" w:space="0" w:color="auto"/>
            </w:tcBorders>
            <w:noWrap/>
            <w:vAlign w:val="bottom"/>
            <w:hideMark/>
          </w:tcPr>
          <w:p w14:paraId="55DF068A" w14:textId="77777777" w:rsidR="00502FEE" w:rsidRPr="000E7FEA" w:rsidRDefault="00502FEE" w:rsidP="000E7A06">
            <w:pPr>
              <w:jc w:val="left"/>
              <w:rPr>
                <w:color w:val="000000"/>
                <w:sz w:val="21"/>
                <w:szCs w:val="21"/>
                <w:lang w:val="en-CA" w:eastAsia="en-CA"/>
              </w:rPr>
            </w:pPr>
            <w:r w:rsidRPr="000E7FEA">
              <w:rPr>
                <w:color w:val="000000"/>
                <w:sz w:val="21"/>
                <w:szCs w:val="21"/>
                <w:lang w:val="en-CA" w:eastAsia="en-CA"/>
              </w:rPr>
              <w:t>R-410A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80AB179"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106,661</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D476AE3"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192,770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7DC70F0"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284,682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1EE58560"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364,845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663A73B6" w14:textId="77777777" w:rsidR="00502FEE" w:rsidRPr="000E7FEA" w:rsidRDefault="00502FEE" w:rsidP="000E7A06">
            <w:pPr>
              <w:jc w:val="right"/>
              <w:rPr>
                <w:sz w:val="21"/>
                <w:szCs w:val="21"/>
                <w:lang w:val="en-CA"/>
              </w:rPr>
            </w:pPr>
            <w:r w:rsidRPr="000E7FEA">
              <w:rPr>
                <w:sz w:val="21"/>
                <w:szCs w:val="21"/>
              </w:rPr>
              <w:t>8.5</w:t>
            </w:r>
          </w:p>
        </w:tc>
      </w:tr>
      <w:tr w:rsidR="00502FEE" w:rsidRPr="000E7FEA" w14:paraId="1F88F6E3" w14:textId="77777777" w:rsidTr="000E7A06">
        <w:tc>
          <w:tcPr>
            <w:tcW w:w="2610" w:type="dxa"/>
            <w:tcBorders>
              <w:top w:val="nil"/>
              <w:left w:val="single" w:sz="4" w:space="0" w:color="auto"/>
              <w:bottom w:val="single" w:sz="4" w:space="0" w:color="auto"/>
              <w:right w:val="single" w:sz="4" w:space="0" w:color="auto"/>
            </w:tcBorders>
            <w:noWrap/>
            <w:vAlign w:val="bottom"/>
            <w:hideMark/>
          </w:tcPr>
          <w:p w14:paraId="29856480" w14:textId="77777777" w:rsidR="00502FEE" w:rsidRPr="000E7FEA" w:rsidRDefault="00502FEE" w:rsidP="000E7A06">
            <w:pPr>
              <w:jc w:val="left"/>
              <w:rPr>
                <w:color w:val="000000"/>
                <w:sz w:val="21"/>
                <w:szCs w:val="21"/>
                <w:lang w:val="en-CA" w:eastAsia="en-CA"/>
              </w:rPr>
            </w:pPr>
            <w:r w:rsidRPr="000E7FEA">
              <w:rPr>
                <w:color w:val="000000"/>
                <w:sz w:val="21"/>
                <w:szCs w:val="21"/>
                <w:lang w:val="en-CA" w:eastAsia="en-CA"/>
              </w:rPr>
              <w:t>HFC-134a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D6D41F6"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78,688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38874CC"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106,731</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4F5AED3"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139,547</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04079AA"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177,432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2488649F" w14:textId="77777777" w:rsidR="00502FEE" w:rsidRPr="000E7FEA" w:rsidRDefault="00502FEE" w:rsidP="000E7A06">
            <w:pPr>
              <w:jc w:val="right"/>
              <w:rPr>
                <w:sz w:val="21"/>
                <w:szCs w:val="21"/>
                <w:lang w:val="en-CA"/>
              </w:rPr>
            </w:pPr>
            <w:r w:rsidRPr="000E7FEA">
              <w:rPr>
                <w:sz w:val="21"/>
                <w:szCs w:val="21"/>
              </w:rPr>
              <w:t>5.6</w:t>
            </w:r>
          </w:p>
        </w:tc>
      </w:tr>
      <w:tr w:rsidR="00502FEE" w:rsidRPr="000E7FEA" w14:paraId="40EA3D2F" w14:textId="77777777" w:rsidTr="000E7A06">
        <w:tc>
          <w:tcPr>
            <w:tcW w:w="2610" w:type="dxa"/>
            <w:tcBorders>
              <w:top w:val="nil"/>
              <w:left w:val="single" w:sz="4" w:space="0" w:color="auto"/>
              <w:bottom w:val="single" w:sz="4" w:space="0" w:color="auto"/>
              <w:right w:val="single" w:sz="4" w:space="0" w:color="auto"/>
            </w:tcBorders>
            <w:noWrap/>
            <w:vAlign w:val="bottom"/>
            <w:hideMark/>
          </w:tcPr>
          <w:p w14:paraId="6474351C" w14:textId="77777777" w:rsidR="00502FEE" w:rsidRPr="000E7FEA" w:rsidRDefault="00502FEE" w:rsidP="000E7A06">
            <w:pPr>
              <w:jc w:val="left"/>
              <w:rPr>
                <w:color w:val="000000"/>
                <w:sz w:val="21"/>
                <w:szCs w:val="21"/>
                <w:lang w:val="en-CA" w:eastAsia="en-CA"/>
              </w:rPr>
            </w:pPr>
            <w:r w:rsidRPr="000E7FEA">
              <w:rPr>
                <w:color w:val="000000"/>
                <w:sz w:val="21"/>
                <w:szCs w:val="21"/>
                <w:lang w:val="en-CA" w:eastAsia="en-CA"/>
              </w:rPr>
              <w:t>R-407C</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9265A6C"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55,278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F67C69D"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101,216</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B3B45A9"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174,433</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BEC28F4"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285,500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5DEBFA32" w14:textId="77777777" w:rsidR="00502FEE" w:rsidRPr="000E7FEA" w:rsidRDefault="00502FEE" w:rsidP="000E7A06">
            <w:pPr>
              <w:jc w:val="right"/>
              <w:rPr>
                <w:sz w:val="21"/>
                <w:szCs w:val="21"/>
                <w:lang w:val="en-CA"/>
              </w:rPr>
            </w:pPr>
            <w:r w:rsidRPr="000E7FEA">
              <w:rPr>
                <w:sz w:val="21"/>
                <w:szCs w:val="21"/>
              </w:rPr>
              <w:t>11.6</w:t>
            </w:r>
          </w:p>
        </w:tc>
      </w:tr>
      <w:tr w:rsidR="00502FEE" w:rsidRPr="000E7FEA" w14:paraId="335C2A78" w14:textId="77777777" w:rsidTr="000E7A06">
        <w:tc>
          <w:tcPr>
            <w:tcW w:w="2610" w:type="dxa"/>
            <w:tcBorders>
              <w:top w:val="nil"/>
              <w:left w:val="single" w:sz="4" w:space="0" w:color="auto"/>
              <w:bottom w:val="single" w:sz="4" w:space="0" w:color="auto"/>
              <w:right w:val="single" w:sz="4" w:space="0" w:color="auto"/>
            </w:tcBorders>
            <w:noWrap/>
            <w:vAlign w:val="bottom"/>
            <w:hideMark/>
          </w:tcPr>
          <w:p w14:paraId="753A18ED" w14:textId="77777777" w:rsidR="00502FEE" w:rsidRPr="000E7FEA" w:rsidRDefault="00502FEE" w:rsidP="000E7A06">
            <w:pPr>
              <w:jc w:val="left"/>
              <w:rPr>
                <w:color w:val="000000"/>
                <w:sz w:val="21"/>
                <w:szCs w:val="21"/>
                <w:lang w:val="en-CA" w:eastAsia="en-CA"/>
              </w:rPr>
            </w:pPr>
            <w:r w:rsidRPr="000E7FEA">
              <w:rPr>
                <w:color w:val="000000"/>
                <w:sz w:val="21"/>
                <w:szCs w:val="21"/>
                <w:lang w:val="en-CA" w:eastAsia="en-CA"/>
              </w:rPr>
              <w:t>R-404A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0DB28AB"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18,202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2B4099B"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31,982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4FE13ED9"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55,964</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F34E5E0"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83,845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7B638116" w14:textId="77777777" w:rsidR="00502FEE" w:rsidRPr="000E7FEA" w:rsidRDefault="00502FEE" w:rsidP="000E7A06">
            <w:pPr>
              <w:jc w:val="right"/>
              <w:rPr>
                <w:sz w:val="21"/>
                <w:szCs w:val="21"/>
                <w:lang w:val="en-CA"/>
              </w:rPr>
            </w:pPr>
            <w:r w:rsidRPr="000E7FEA">
              <w:rPr>
                <w:sz w:val="21"/>
                <w:szCs w:val="21"/>
              </w:rPr>
              <w:t>10.7</w:t>
            </w:r>
          </w:p>
        </w:tc>
      </w:tr>
      <w:tr w:rsidR="00502FEE" w:rsidRPr="000E7FEA" w14:paraId="25823E05" w14:textId="77777777" w:rsidTr="000E7A06">
        <w:tc>
          <w:tcPr>
            <w:tcW w:w="2610" w:type="dxa"/>
            <w:tcBorders>
              <w:top w:val="nil"/>
              <w:left w:val="single" w:sz="4" w:space="0" w:color="auto"/>
              <w:bottom w:val="single" w:sz="4" w:space="0" w:color="auto"/>
              <w:right w:val="single" w:sz="4" w:space="0" w:color="auto"/>
            </w:tcBorders>
            <w:noWrap/>
            <w:vAlign w:val="bottom"/>
            <w:hideMark/>
          </w:tcPr>
          <w:p w14:paraId="71D612A2" w14:textId="77777777" w:rsidR="00502FEE" w:rsidRPr="000E7FEA" w:rsidRDefault="00502FEE" w:rsidP="000E7A06">
            <w:pPr>
              <w:jc w:val="left"/>
              <w:rPr>
                <w:color w:val="000000"/>
                <w:sz w:val="21"/>
                <w:szCs w:val="21"/>
                <w:lang w:val="en-CA" w:eastAsia="en-CA"/>
              </w:rPr>
            </w:pPr>
            <w:r w:rsidRPr="000E7FEA">
              <w:rPr>
                <w:color w:val="000000"/>
                <w:sz w:val="21"/>
                <w:szCs w:val="21"/>
                <w:lang w:val="en-CA" w:eastAsia="en-CA"/>
              </w:rPr>
              <w:t>R-507A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C95D746"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18,202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B706D2C"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31,982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3191B89"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55,964</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542157B"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83,845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033F112B" w14:textId="77777777" w:rsidR="00502FEE" w:rsidRPr="000E7FEA" w:rsidRDefault="00502FEE" w:rsidP="000E7A06">
            <w:pPr>
              <w:jc w:val="right"/>
              <w:rPr>
                <w:sz w:val="21"/>
                <w:szCs w:val="21"/>
                <w:lang w:val="en-CA"/>
              </w:rPr>
            </w:pPr>
            <w:r w:rsidRPr="000E7FEA">
              <w:rPr>
                <w:sz w:val="21"/>
                <w:szCs w:val="21"/>
              </w:rPr>
              <w:t>10.7</w:t>
            </w:r>
          </w:p>
        </w:tc>
      </w:tr>
      <w:tr w:rsidR="00502FEE" w:rsidRPr="000E7FEA" w14:paraId="70AFD557" w14:textId="77777777" w:rsidTr="000E7A06">
        <w:tc>
          <w:tcPr>
            <w:tcW w:w="2610" w:type="dxa"/>
            <w:tcBorders>
              <w:top w:val="nil"/>
              <w:left w:val="single" w:sz="4" w:space="0" w:color="auto"/>
              <w:bottom w:val="single" w:sz="4" w:space="0" w:color="auto"/>
              <w:right w:val="single" w:sz="4" w:space="0" w:color="auto"/>
            </w:tcBorders>
            <w:noWrap/>
            <w:vAlign w:val="bottom"/>
            <w:hideMark/>
          </w:tcPr>
          <w:p w14:paraId="1091FD6B" w14:textId="77777777" w:rsidR="00502FEE" w:rsidRPr="000E7FEA" w:rsidRDefault="00502FEE" w:rsidP="000E7A06">
            <w:pPr>
              <w:jc w:val="left"/>
              <w:rPr>
                <w:color w:val="000000"/>
                <w:sz w:val="21"/>
                <w:szCs w:val="21"/>
                <w:lang w:val="en-CA" w:eastAsia="en-CA"/>
              </w:rPr>
            </w:pPr>
            <w:r w:rsidRPr="000E7FEA">
              <w:rPr>
                <w:color w:val="000000"/>
                <w:sz w:val="21"/>
                <w:szCs w:val="21"/>
                <w:lang w:val="en-CA" w:eastAsia="en-CA"/>
              </w:rPr>
              <w:t>HFC-152a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4BB3B3CF"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3,364</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4805E00B"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5,669</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470E9A7"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11,280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1AC0757A"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15,225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64677992" w14:textId="77777777" w:rsidR="00502FEE" w:rsidRPr="000E7FEA" w:rsidRDefault="00502FEE" w:rsidP="000E7A06">
            <w:pPr>
              <w:jc w:val="right"/>
              <w:rPr>
                <w:sz w:val="21"/>
                <w:szCs w:val="21"/>
                <w:lang w:val="en-CA"/>
              </w:rPr>
            </w:pPr>
            <w:r w:rsidRPr="000E7FEA">
              <w:rPr>
                <w:sz w:val="21"/>
                <w:szCs w:val="21"/>
              </w:rPr>
              <w:t>10.6</w:t>
            </w:r>
          </w:p>
        </w:tc>
      </w:tr>
      <w:tr w:rsidR="00502FEE" w:rsidRPr="000E7FEA" w14:paraId="748A4D39" w14:textId="77777777" w:rsidTr="000E7A06">
        <w:tc>
          <w:tcPr>
            <w:tcW w:w="2610" w:type="dxa"/>
            <w:tcBorders>
              <w:top w:val="nil"/>
              <w:left w:val="single" w:sz="4" w:space="0" w:color="auto"/>
              <w:bottom w:val="single" w:sz="4" w:space="0" w:color="auto"/>
              <w:right w:val="single" w:sz="4" w:space="0" w:color="auto"/>
            </w:tcBorders>
            <w:noWrap/>
            <w:vAlign w:val="bottom"/>
            <w:hideMark/>
          </w:tcPr>
          <w:p w14:paraId="24985BC0" w14:textId="77777777" w:rsidR="00502FEE" w:rsidRPr="000E7FEA" w:rsidRDefault="00502FEE" w:rsidP="000E7A06">
            <w:pPr>
              <w:jc w:val="left"/>
              <w:rPr>
                <w:color w:val="000000"/>
                <w:sz w:val="21"/>
                <w:szCs w:val="21"/>
                <w:lang w:val="en-CA" w:eastAsia="en-CA"/>
              </w:rPr>
            </w:pPr>
            <w:r w:rsidRPr="000E7FEA">
              <w:rPr>
                <w:color w:val="000000"/>
                <w:sz w:val="21"/>
                <w:szCs w:val="21"/>
                <w:lang w:val="en-CA" w:eastAsia="en-CA"/>
              </w:rPr>
              <w:t>HFC-245fa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4049305"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2,172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E88D81F"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3,840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2D7E4AC"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4,986</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4F6C51EE"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5,504</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09900130" w14:textId="77777777" w:rsidR="00502FEE" w:rsidRPr="000E7FEA" w:rsidRDefault="00502FEE" w:rsidP="000E7A06">
            <w:pPr>
              <w:jc w:val="right"/>
              <w:rPr>
                <w:sz w:val="21"/>
                <w:szCs w:val="21"/>
                <w:lang w:val="en-CA"/>
              </w:rPr>
            </w:pPr>
            <w:r w:rsidRPr="000E7FEA">
              <w:rPr>
                <w:sz w:val="21"/>
                <w:szCs w:val="21"/>
              </w:rPr>
              <w:t>6.4</w:t>
            </w:r>
          </w:p>
        </w:tc>
      </w:tr>
      <w:tr w:rsidR="00502FEE" w:rsidRPr="000E7FEA" w14:paraId="17E4E545" w14:textId="77777777" w:rsidTr="000E7A06">
        <w:tc>
          <w:tcPr>
            <w:tcW w:w="2610" w:type="dxa"/>
            <w:tcBorders>
              <w:top w:val="nil"/>
              <w:left w:val="single" w:sz="4" w:space="0" w:color="auto"/>
              <w:bottom w:val="single" w:sz="4" w:space="0" w:color="auto"/>
              <w:right w:val="single" w:sz="4" w:space="0" w:color="auto"/>
            </w:tcBorders>
            <w:noWrap/>
            <w:vAlign w:val="bottom"/>
            <w:hideMark/>
          </w:tcPr>
          <w:p w14:paraId="78C18C26" w14:textId="77777777" w:rsidR="00502FEE" w:rsidRPr="000E7FEA" w:rsidRDefault="00502FEE" w:rsidP="000E7A06">
            <w:pPr>
              <w:jc w:val="left"/>
              <w:rPr>
                <w:color w:val="000000"/>
                <w:sz w:val="21"/>
                <w:szCs w:val="21"/>
                <w:lang w:val="en-CA" w:eastAsia="en-CA"/>
              </w:rPr>
            </w:pPr>
            <w:r w:rsidRPr="000E7FEA">
              <w:rPr>
                <w:color w:val="000000"/>
                <w:sz w:val="21"/>
                <w:szCs w:val="21"/>
                <w:lang w:val="en-CA" w:eastAsia="en-CA"/>
              </w:rPr>
              <w:t>HFC-365mfc/HFC-227ea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42A852B"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1,758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E4383BB"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3,428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F219737"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4,546</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6B3039B"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5,020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3C9E16FE" w14:textId="77777777" w:rsidR="00502FEE" w:rsidRPr="000E7FEA" w:rsidRDefault="00502FEE" w:rsidP="000E7A06">
            <w:pPr>
              <w:jc w:val="right"/>
              <w:rPr>
                <w:sz w:val="21"/>
                <w:szCs w:val="21"/>
                <w:lang w:val="en-CA"/>
              </w:rPr>
            </w:pPr>
            <w:r w:rsidRPr="000E7FEA">
              <w:rPr>
                <w:sz w:val="21"/>
                <w:szCs w:val="21"/>
              </w:rPr>
              <w:t>7.2</w:t>
            </w:r>
          </w:p>
        </w:tc>
      </w:tr>
      <w:tr w:rsidR="00502FEE" w:rsidRPr="000E7FEA" w14:paraId="091D2031" w14:textId="77777777" w:rsidTr="000E7A06">
        <w:tc>
          <w:tcPr>
            <w:tcW w:w="2610" w:type="dxa"/>
            <w:tcBorders>
              <w:top w:val="nil"/>
              <w:left w:val="single" w:sz="4" w:space="0" w:color="auto"/>
              <w:bottom w:val="single" w:sz="4" w:space="0" w:color="auto"/>
              <w:right w:val="single" w:sz="4" w:space="0" w:color="auto"/>
            </w:tcBorders>
            <w:noWrap/>
            <w:vAlign w:val="bottom"/>
            <w:hideMark/>
          </w:tcPr>
          <w:p w14:paraId="433C371F" w14:textId="77777777" w:rsidR="00502FEE" w:rsidRPr="000E7FEA" w:rsidRDefault="00502FEE" w:rsidP="000E7A06">
            <w:pPr>
              <w:jc w:val="left"/>
              <w:rPr>
                <w:color w:val="000000"/>
                <w:sz w:val="21"/>
                <w:szCs w:val="21"/>
                <w:lang w:val="en-CA" w:eastAsia="en-CA"/>
              </w:rPr>
            </w:pPr>
            <w:r w:rsidRPr="000E7FEA">
              <w:rPr>
                <w:color w:val="000000"/>
                <w:sz w:val="21"/>
                <w:szCs w:val="21"/>
                <w:lang w:val="en-CA" w:eastAsia="en-CA"/>
              </w:rPr>
              <w:t>Total</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81B7CCC"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284,325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18F8476"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477,618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9D98181"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731,402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849F525" w14:textId="77777777" w:rsidR="00502FEE" w:rsidRPr="000E7FEA" w:rsidRDefault="00502FEE" w:rsidP="000E7A06">
            <w:pPr>
              <w:jc w:val="right"/>
              <w:rPr>
                <w:color w:val="000000"/>
                <w:sz w:val="21"/>
                <w:szCs w:val="21"/>
                <w:lang w:val="en-CA" w:eastAsia="en-CA"/>
              </w:rPr>
            </w:pPr>
            <w:r w:rsidRPr="000E7FEA">
              <w:rPr>
                <w:color w:val="000000"/>
                <w:sz w:val="21"/>
                <w:szCs w:val="21"/>
                <w:lang w:val="en-CA" w:eastAsia="en-CA"/>
              </w:rPr>
              <w:t>1,021,216</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hideMark/>
          </w:tcPr>
          <w:p w14:paraId="484E90FD" w14:textId="77777777" w:rsidR="00502FEE" w:rsidRPr="000E7FEA" w:rsidRDefault="00502FEE" w:rsidP="000E7A06">
            <w:pPr>
              <w:jc w:val="right"/>
              <w:rPr>
                <w:sz w:val="21"/>
                <w:szCs w:val="21"/>
                <w:lang w:val="en-CA"/>
              </w:rPr>
            </w:pPr>
            <w:r w:rsidRPr="000E7FEA">
              <w:rPr>
                <w:sz w:val="21"/>
                <w:szCs w:val="21"/>
              </w:rPr>
              <w:t>8.9</w:t>
            </w:r>
          </w:p>
        </w:tc>
      </w:tr>
    </w:tbl>
    <w:p w14:paraId="3D68A8F4" w14:textId="77777777" w:rsidR="00502FEE" w:rsidRDefault="00502FEE" w:rsidP="00502FEE">
      <w:pPr>
        <w:ind w:left="1440" w:hanging="1440"/>
        <w:outlineLvl w:val="0"/>
        <w:rPr>
          <w:sz w:val="20"/>
          <w:szCs w:val="20"/>
          <w:lang w:val="en-CA"/>
        </w:rPr>
      </w:pPr>
      <w:r>
        <w:rPr>
          <w:sz w:val="20"/>
          <w:szCs w:val="20"/>
          <w:lang w:val="en-CA"/>
        </w:rPr>
        <w:t>* Average growth rate between 2015 and 2030.</w:t>
      </w:r>
    </w:p>
    <w:p w14:paraId="73267879" w14:textId="77777777" w:rsidR="00502FEE" w:rsidRDefault="00502FEE" w:rsidP="00502FEE">
      <w:pPr>
        <w:ind w:left="1440" w:hanging="1440"/>
        <w:outlineLvl w:val="0"/>
        <w:rPr>
          <w:lang w:val="en-CA"/>
        </w:rPr>
      </w:pPr>
    </w:p>
    <w:p w14:paraId="25E8A003" w14:textId="79FF18BC" w:rsidR="00502FEE" w:rsidRPr="00634E2F" w:rsidRDefault="007C7512" w:rsidP="00AA1E26">
      <w:pPr>
        <w:pStyle w:val="Heading1"/>
      </w:pPr>
      <w:r w:rsidRPr="00634E2F">
        <w:t xml:space="preserve">Following the compliance schedule of the Montreal Protocol, the aggregate consumption of HCFCs should decrease from a maximum of up to 348,219 </w:t>
      </w:r>
      <w:proofErr w:type="spellStart"/>
      <w:r w:rsidRPr="00634E2F">
        <w:t>mt</w:t>
      </w:r>
      <w:proofErr w:type="spellEnd"/>
      <w:r w:rsidRPr="00634E2F">
        <w:t xml:space="preserve"> (</w:t>
      </w:r>
      <w:r w:rsidR="009974A9" w:rsidRPr="00634E2F">
        <w:t>23,225 </w:t>
      </w:r>
      <w:r w:rsidRPr="00634E2F">
        <w:t>ODP</w:t>
      </w:r>
      <w:r w:rsidR="009974A9" w:rsidRPr="00634E2F">
        <w:t> </w:t>
      </w:r>
      <w:r w:rsidRPr="00634E2F">
        <w:t>tonnes) in 2020 to 13,393</w:t>
      </w:r>
      <w:r w:rsidR="00634E2F">
        <w:t> </w:t>
      </w:r>
      <w:proofErr w:type="spellStart"/>
      <w:r w:rsidRPr="00634E2F">
        <w:t>mt</w:t>
      </w:r>
      <w:proofErr w:type="spellEnd"/>
      <w:r w:rsidRPr="00634E2F">
        <w:t xml:space="preserve"> (</w:t>
      </w:r>
      <w:r w:rsidR="009974A9" w:rsidRPr="00634E2F">
        <w:t>893 ODP tonnes) in 2030 (a </w:t>
      </w:r>
      <w:r w:rsidRPr="00634E2F">
        <w:t>reduction of 33</w:t>
      </w:r>
      <w:r w:rsidR="009974A9" w:rsidRPr="00634E2F">
        <w:t>4,826 </w:t>
      </w:r>
      <w:proofErr w:type="spellStart"/>
      <w:r w:rsidRPr="00634E2F">
        <w:t>mt</w:t>
      </w:r>
      <w:proofErr w:type="spellEnd"/>
      <w:r w:rsidRPr="00634E2F">
        <w:t xml:space="preserve">), as shown in Table </w:t>
      </w:r>
      <w:r w:rsidR="009974A9" w:rsidRPr="00634E2F">
        <w:t>4</w:t>
      </w:r>
      <w:r w:rsidRPr="00634E2F">
        <w:t xml:space="preserve">. </w:t>
      </w:r>
    </w:p>
    <w:p w14:paraId="684F55D9" w14:textId="77777777" w:rsidR="00502FEE" w:rsidRDefault="00502FEE" w:rsidP="00DA4013">
      <w:pPr>
        <w:keepNext/>
        <w:keepLines/>
        <w:rPr>
          <w:b/>
          <w:sz w:val="21"/>
          <w:szCs w:val="21"/>
        </w:rPr>
      </w:pPr>
      <w:r>
        <w:rPr>
          <w:b/>
          <w:sz w:val="21"/>
          <w:szCs w:val="21"/>
        </w:rPr>
        <w:t>Table 4. Maximum allowable levels of consumption of HCFCs during the 2020-2030 period</w:t>
      </w:r>
    </w:p>
    <w:tbl>
      <w:tblPr>
        <w:tblW w:w="9360" w:type="dxa"/>
        <w:tblInd w:w="-5" w:type="dxa"/>
        <w:tblLayout w:type="fixed"/>
        <w:tblLook w:val="04A0" w:firstRow="1" w:lastRow="0" w:firstColumn="1" w:lastColumn="0" w:noHBand="0" w:noVBand="1"/>
      </w:tblPr>
      <w:tblGrid>
        <w:gridCol w:w="3240"/>
        <w:gridCol w:w="1530"/>
        <w:gridCol w:w="1530"/>
        <w:gridCol w:w="1530"/>
        <w:gridCol w:w="1530"/>
      </w:tblGrid>
      <w:tr w:rsidR="00502FEE" w14:paraId="0EC4DBEB" w14:textId="77777777" w:rsidTr="000E7A06">
        <w:trPr>
          <w:tblHeader/>
        </w:trPr>
        <w:tc>
          <w:tcPr>
            <w:tcW w:w="3240" w:type="dxa"/>
            <w:tcBorders>
              <w:top w:val="single" w:sz="4" w:space="0" w:color="auto"/>
              <w:left w:val="single" w:sz="4" w:space="0" w:color="auto"/>
              <w:bottom w:val="single" w:sz="4" w:space="0" w:color="auto"/>
              <w:right w:val="single" w:sz="4" w:space="0" w:color="auto"/>
            </w:tcBorders>
            <w:noWrap/>
            <w:vAlign w:val="bottom"/>
            <w:hideMark/>
          </w:tcPr>
          <w:p w14:paraId="469D5FF7" w14:textId="77777777" w:rsidR="00502FEE" w:rsidRDefault="00502FEE" w:rsidP="00DA4013">
            <w:pPr>
              <w:keepNext/>
              <w:keepLines/>
              <w:jc w:val="left"/>
              <w:rPr>
                <w:b/>
                <w:bCs/>
                <w:color w:val="000000"/>
                <w:sz w:val="21"/>
                <w:szCs w:val="21"/>
                <w:lang w:val="en-CA" w:eastAsia="en-CA"/>
              </w:rPr>
            </w:pPr>
            <w:r>
              <w:rPr>
                <w:b/>
                <w:bCs/>
                <w:color w:val="000000"/>
                <w:sz w:val="21"/>
                <w:szCs w:val="21"/>
                <w:lang w:val="en-CA" w:eastAsia="en-CA"/>
              </w:rPr>
              <w:t>Controlled substance</w:t>
            </w:r>
          </w:p>
        </w:tc>
        <w:tc>
          <w:tcPr>
            <w:tcW w:w="1530" w:type="dxa"/>
            <w:tcBorders>
              <w:top w:val="single" w:sz="4" w:space="0" w:color="auto"/>
              <w:left w:val="nil"/>
              <w:bottom w:val="single" w:sz="4" w:space="0" w:color="auto"/>
              <w:right w:val="single" w:sz="4" w:space="0" w:color="auto"/>
            </w:tcBorders>
            <w:noWrap/>
            <w:vAlign w:val="center"/>
            <w:hideMark/>
          </w:tcPr>
          <w:p w14:paraId="1E77636B" w14:textId="77777777" w:rsidR="00502FEE" w:rsidRDefault="00502FEE" w:rsidP="00DA4013">
            <w:pPr>
              <w:keepNext/>
              <w:keepLines/>
              <w:jc w:val="center"/>
              <w:rPr>
                <w:b/>
                <w:bCs/>
                <w:color w:val="000000"/>
                <w:sz w:val="21"/>
                <w:szCs w:val="21"/>
                <w:lang w:val="en-CA" w:eastAsia="en-CA"/>
              </w:rPr>
            </w:pPr>
            <w:r>
              <w:rPr>
                <w:b/>
                <w:bCs/>
                <w:color w:val="000000"/>
                <w:sz w:val="21"/>
                <w:szCs w:val="21"/>
                <w:lang w:val="en-CA" w:eastAsia="en-CA"/>
              </w:rPr>
              <w:t>Baseline</w:t>
            </w:r>
          </w:p>
        </w:tc>
        <w:tc>
          <w:tcPr>
            <w:tcW w:w="1530" w:type="dxa"/>
            <w:tcBorders>
              <w:top w:val="single" w:sz="4" w:space="0" w:color="auto"/>
              <w:left w:val="nil"/>
              <w:bottom w:val="single" w:sz="4" w:space="0" w:color="auto"/>
              <w:right w:val="single" w:sz="4" w:space="0" w:color="auto"/>
            </w:tcBorders>
            <w:noWrap/>
            <w:vAlign w:val="center"/>
            <w:hideMark/>
          </w:tcPr>
          <w:p w14:paraId="652DCDCB" w14:textId="77777777" w:rsidR="00502FEE" w:rsidRDefault="00502FEE" w:rsidP="00DA4013">
            <w:pPr>
              <w:keepNext/>
              <w:keepLines/>
              <w:jc w:val="center"/>
              <w:rPr>
                <w:b/>
                <w:bCs/>
                <w:color w:val="000000"/>
                <w:sz w:val="21"/>
                <w:szCs w:val="21"/>
                <w:lang w:val="en-CA" w:eastAsia="en-CA"/>
              </w:rPr>
            </w:pPr>
            <w:r>
              <w:rPr>
                <w:b/>
                <w:bCs/>
                <w:color w:val="000000"/>
                <w:sz w:val="21"/>
                <w:szCs w:val="21"/>
                <w:lang w:val="en-CA" w:eastAsia="en-CA"/>
              </w:rPr>
              <w:t>2020</w:t>
            </w:r>
          </w:p>
        </w:tc>
        <w:tc>
          <w:tcPr>
            <w:tcW w:w="1530" w:type="dxa"/>
            <w:tcBorders>
              <w:top w:val="single" w:sz="4" w:space="0" w:color="auto"/>
              <w:left w:val="nil"/>
              <w:bottom w:val="single" w:sz="4" w:space="0" w:color="auto"/>
              <w:right w:val="single" w:sz="4" w:space="0" w:color="auto"/>
            </w:tcBorders>
            <w:noWrap/>
            <w:vAlign w:val="center"/>
            <w:hideMark/>
          </w:tcPr>
          <w:p w14:paraId="293CE15B" w14:textId="77777777" w:rsidR="00502FEE" w:rsidRDefault="00502FEE" w:rsidP="00DA4013">
            <w:pPr>
              <w:keepNext/>
              <w:keepLines/>
              <w:jc w:val="center"/>
              <w:rPr>
                <w:b/>
                <w:bCs/>
                <w:color w:val="000000"/>
                <w:sz w:val="21"/>
                <w:szCs w:val="21"/>
                <w:lang w:val="en-CA" w:eastAsia="en-CA"/>
              </w:rPr>
            </w:pPr>
            <w:r>
              <w:rPr>
                <w:b/>
                <w:bCs/>
                <w:color w:val="000000"/>
                <w:sz w:val="21"/>
                <w:szCs w:val="21"/>
                <w:lang w:val="en-CA" w:eastAsia="en-CA"/>
              </w:rPr>
              <w:t>2025</w:t>
            </w:r>
          </w:p>
        </w:tc>
        <w:tc>
          <w:tcPr>
            <w:tcW w:w="1530" w:type="dxa"/>
            <w:tcBorders>
              <w:top w:val="single" w:sz="4" w:space="0" w:color="auto"/>
              <w:left w:val="nil"/>
              <w:bottom w:val="single" w:sz="4" w:space="0" w:color="auto"/>
              <w:right w:val="single" w:sz="4" w:space="0" w:color="auto"/>
            </w:tcBorders>
            <w:noWrap/>
            <w:vAlign w:val="center"/>
            <w:hideMark/>
          </w:tcPr>
          <w:p w14:paraId="1F9E1629" w14:textId="77777777" w:rsidR="00502FEE" w:rsidRDefault="00502FEE" w:rsidP="00DA4013">
            <w:pPr>
              <w:keepNext/>
              <w:keepLines/>
              <w:jc w:val="center"/>
              <w:rPr>
                <w:b/>
                <w:bCs/>
                <w:color w:val="000000"/>
                <w:sz w:val="21"/>
                <w:szCs w:val="21"/>
                <w:lang w:val="en-CA" w:eastAsia="en-CA"/>
              </w:rPr>
            </w:pPr>
            <w:r>
              <w:rPr>
                <w:b/>
                <w:bCs/>
                <w:color w:val="000000"/>
                <w:sz w:val="21"/>
                <w:szCs w:val="21"/>
                <w:lang w:val="en-CA" w:eastAsia="en-CA"/>
              </w:rPr>
              <w:t>2030</w:t>
            </w:r>
          </w:p>
        </w:tc>
      </w:tr>
      <w:tr w:rsidR="00502FEE" w14:paraId="0F23669C" w14:textId="77777777" w:rsidTr="000E7A06">
        <w:tc>
          <w:tcPr>
            <w:tcW w:w="3240" w:type="dxa"/>
            <w:tcBorders>
              <w:top w:val="nil"/>
              <w:left w:val="single" w:sz="4" w:space="0" w:color="auto"/>
              <w:bottom w:val="single" w:sz="4" w:space="0" w:color="auto"/>
              <w:right w:val="single" w:sz="4" w:space="0" w:color="auto"/>
            </w:tcBorders>
            <w:noWrap/>
            <w:vAlign w:val="bottom"/>
            <w:hideMark/>
          </w:tcPr>
          <w:p w14:paraId="3135829D" w14:textId="77777777" w:rsidR="00502FEE" w:rsidRDefault="00502FEE" w:rsidP="000E7A06">
            <w:pPr>
              <w:jc w:val="left"/>
              <w:rPr>
                <w:b/>
                <w:bCs/>
                <w:color w:val="000000"/>
                <w:sz w:val="21"/>
                <w:szCs w:val="21"/>
                <w:lang w:val="en-CA" w:eastAsia="en-CA"/>
              </w:rPr>
            </w:pPr>
            <w:r>
              <w:rPr>
                <w:b/>
                <w:bCs/>
                <w:color w:val="000000"/>
                <w:sz w:val="21"/>
                <w:szCs w:val="21"/>
                <w:lang w:val="en-CA" w:eastAsia="en-CA"/>
              </w:rPr>
              <w:t>HCFC (</w:t>
            </w:r>
            <w:proofErr w:type="spellStart"/>
            <w:r>
              <w:rPr>
                <w:b/>
                <w:bCs/>
                <w:color w:val="000000"/>
                <w:sz w:val="21"/>
                <w:szCs w:val="21"/>
                <w:lang w:val="en-CA" w:eastAsia="en-CA"/>
              </w:rPr>
              <w:t>mt</w:t>
            </w:r>
            <w:proofErr w:type="spellEnd"/>
            <w:r>
              <w:rPr>
                <w:b/>
                <w:bCs/>
                <w:color w:val="000000"/>
                <w:sz w:val="21"/>
                <w:szCs w:val="21"/>
                <w:lang w:val="en-CA" w:eastAsia="en-CA"/>
              </w:rPr>
              <w:t>)*</w:t>
            </w:r>
          </w:p>
        </w:tc>
        <w:tc>
          <w:tcPr>
            <w:tcW w:w="1530" w:type="dxa"/>
            <w:tcBorders>
              <w:top w:val="nil"/>
              <w:left w:val="nil"/>
              <w:bottom w:val="single" w:sz="4" w:space="0" w:color="auto"/>
              <w:right w:val="single" w:sz="4" w:space="0" w:color="auto"/>
            </w:tcBorders>
            <w:noWrap/>
            <w:vAlign w:val="center"/>
            <w:hideMark/>
          </w:tcPr>
          <w:p w14:paraId="6CE09C5F" w14:textId="77777777" w:rsidR="00502FEE" w:rsidRDefault="00502FEE" w:rsidP="000E7A06">
            <w:pPr>
              <w:rPr>
                <w:b/>
                <w:bCs/>
                <w:color w:val="000000"/>
                <w:sz w:val="21"/>
                <w:szCs w:val="21"/>
                <w:lang w:val="en-CA" w:eastAsia="en-CA"/>
              </w:rPr>
            </w:pPr>
          </w:p>
        </w:tc>
        <w:tc>
          <w:tcPr>
            <w:tcW w:w="1530" w:type="dxa"/>
            <w:tcBorders>
              <w:top w:val="nil"/>
              <w:left w:val="nil"/>
              <w:bottom w:val="single" w:sz="4" w:space="0" w:color="auto"/>
              <w:right w:val="single" w:sz="4" w:space="0" w:color="auto"/>
            </w:tcBorders>
            <w:noWrap/>
            <w:vAlign w:val="center"/>
            <w:hideMark/>
          </w:tcPr>
          <w:p w14:paraId="7FDBD275" w14:textId="77777777" w:rsidR="00502FEE" w:rsidRDefault="00502FEE" w:rsidP="000E7A06">
            <w:pPr>
              <w:jc w:val="left"/>
              <w:rPr>
                <w:sz w:val="20"/>
                <w:szCs w:val="20"/>
                <w:lang w:val="en-CA" w:eastAsia="en-CA"/>
              </w:rPr>
            </w:pPr>
          </w:p>
        </w:tc>
        <w:tc>
          <w:tcPr>
            <w:tcW w:w="1530" w:type="dxa"/>
            <w:tcBorders>
              <w:top w:val="nil"/>
              <w:left w:val="nil"/>
              <w:bottom w:val="single" w:sz="4" w:space="0" w:color="auto"/>
              <w:right w:val="single" w:sz="4" w:space="0" w:color="auto"/>
            </w:tcBorders>
            <w:noWrap/>
            <w:vAlign w:val="center"/>
            <w:hideMark/>
          </w:tcPr>
          <w:p w14:paraId="2F25CCB7" w14:textId="77777777" w:rsidR="00502FEE" w:rsidRDefault="00502FEE" w:rsidP="000E7A06">
            <w:pPr>
              <w:jc w:val="left"/>
              <w:rPr>
                <w:sz w:val="20"/>
                <w:szCs w:val="20"/>
                <w:lang w:val="en-CA" w:eastAsia="en-CA"/>
              </w:rPr>
            </w:pPr>
          </w:p>
        </w:tc>
        <w:tc>
          <w:tcPr>
            <w:tcW w:w="1530" w:type="dxa"/>
            <w:tcBorders>
              <w:top w:val="nil"/>
              <w:left w:val="nil"/>
              <w:bottom w:val="single" w:sz="4" w:space="0" w:color="auto"/>
              <w:right w:val="single" w:sz="4" w:space="0" w:color="auto"/>
            </w:tcBorders>
            <w:noWrap/>
            <w:vAlign w:val="center"/>
            <w:hideMark/>
          </w:tcPr>
          <w:p w14:paraId="582B45D8" w14:textId="77777777" w:rsidR="00502FEE" w:rsidRDefault="00502FEE" w:rsidP="000E7A06">
            <w:pPr>
              <w:jc w:val="left"/>
              <w:rPr>
                <w:sz w:val="20"/>
                <w:szCs w:val="20"/>
                <w:lang w:val="en-CA" w:eastAsia="en-CA"/>
              </w:rPr>
            </w:pPr>
          </w:p>
        </w:tc>
      </w:tr>
      <w:tr w:rsidR="00502FEE" w14:paraId="46D8473E" w14:textId="77777777" w:rsidTr="000E7A06">
        <w:tc>
          <w:tcPr>
            <w:tcW w:w="3240" w:type="dxa"/>
            <w:tcBorders>
              <w:top w:val="nil"/>
              <w:left w:val="single" w:sz="4" w:space="0" w:color="auto"/>
              <w:bottom w:val="single" w:sz="4" w:space="0" w:color="auto"/>
              <w:right w:val="single" w:sz="4" w:space="0" w:color="auto"/>
            </w:tcBorders>
            <w:noWrap/>
            <w:vAlign w:val="bottom"/>
            <w:hideMark/>
          </w:tcPr>
          <w:p w14:paraId="5C241ACE" w14:textId="77777777" w:rsidR="00502FEE" w:rsidRDefault="00502FEE" w:rsidP="000E7A06">
            <w:pPr>
              <w:jc w:val="left"/>
              <w:rPr>
                <w:color w:val="000000"/>
                <w:sz w:val="21"/>
                <w:szCs w:val="21"/>
                <w:lang w:val="en-CA" w:eastAsia="en-CA"/>
              </w:rPr>
            </w:pPr>
            <w:r>
              <w:rPr>
                <w:color w:val="000000"/>
                <w:sz w:val="21"/>
                <w:szCs w:val="21"/>
                <w:lang w:val="en-CA" w:eastAsia="en-CA"/>
              </w:rPr>
              <w:t>HCFC-22</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70252A26" w14:textId="77777777" w:rsidR="00502FEE" w:rsidRDefault="00502FEE" w:rsidP="000E7A06">
            <w:pPr>
              <w:jc w:val="right"/>
              <w:rPr>
                <w:color w:val="000000"/>
                <w:sz w:val="21"/>
                <w:szCs w:val="21"/>
                <w:lang w:val="en-CA" w:eastAsia="en-CA"/>
              </w:rPr>
            </w:pPr>
            <w:r>
              <w:rPr>
                <w:color w:val="000000"/>
                <w:sz w:val="21"/>
                <w:szCs w:val="21"/>
                <w:lang w:val="en-CA" w:eastAsia="en-CA"/>
              </w:rPr>
              <w:t>394,655</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5CCEE16C" w14:textId="77777777" w:rsidR="00502FEE" w:rsidRDefault="00502FEE" w:rsidP="000E7A06">
            <w:pPr>
              <w:jc w:val="right"/>
              <w:rPr>
                <w:color w:val="000000"/>
                <w:sz w:val="21"/>
                <w:szCs w:val="21"/>
                <w:lang w:val="en-CA" w:eastAsia="en-CA"/>
              </w:rPr>
            </w:pPr>
            <w:r>
              <w:rPr>
                <w:color w:val="000000"/>
                <w:sz w:val="21"/>
                <w:szCs w:val="21"/>
                <w:lang w:val="en-CA" w:eastAsia="en-CA"/>
              </w:rPr>
              <w:t>256,525</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07AAE28D" w14:textId="77777777" w:rsidR="00502FEE" w:rsidRDefault="00502FEE" w:rsidP="000E7A06">
            <w:pPr>
              <w:jc w:val="right"/>
              <w:rPr>
                <w:color w:val="000000"/>
                <w:sz w:val="21"/>
                <w:szCs w:val="21"/>
                <w:lang w:val="en-CA" w:eastAsia="en-CA"/>
              </w:rPr>
            </w:pPr>
            <w:r>
              <w:rPr>
                <w:color w:val="000000"/>
                <w:sz w:val="21"/>
                <w:szCs w:val="21"/>
                <w:lang w:val="en-CA" w:eastAsia="en-CA"/>
              </w:rPr>
              <w:t>128,263</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41C1E76E" w14:textId="77777777" w:rsidR="00502FEE" w:rsidRDefault="00502FEE" w:rsidP="000E7A06">
            <w:pPr>
              <w:jc w:val="right"/>
              <w:rPr>
                <w:color w:val="000000"/>
                <w:sz w:val="21"/>
                <w:szCs w:val="21"/>
                <w:lang w:val="en-CA" w:eastAsia="en-CA"/>
              </w:rPr>
            </w:pPr>
            <w:r>
              <w:rPr>
                <w:color w:val="000000"/>
                <w:sz w:val="21"/>
                <w:szCs w:val="21"/>
                <w:lang w:val="en-CA" w:eastAsia="en-CA"/>
              </w:rPr>
              <w:t>9,866</w:t>
            </w:r>
          </w:p>
        </w:tc>
      </w:tr>
      <w:tr w:rsidR="00502FEE" w14:paraId="31D0420D" w14:textId="77777777" w:rsidTr="000E7A06">
        <w:tc>
          <w:tcPr>
            <w:tcW w:w="3240" w:type="dxa"/>
            <w:tcBorders>
              <w:top w:val="nil"/>
              <w:left w:val="single" w:sz="4" w:space="0" w:color="auto"/>
              <w:bottom w:val="single" w:sz="4" w:space="0" w:color="auto"/>
              <w:right w:val="single" w:sz="4" w:space="0" w:color="auto"/>
            </w:tcBorders>
            <w:noWrap/>
            <w:vAlign w:val="bottom"/>
            <w:hideMark/>
          </w:tcPr>
          <w:p w14:paraId="7231FF05" w14:textId="77777777" w:rsidR="00502FEE" w:rsidRDefault="00502FEE" w:rsidP="000E7A06">
            <w:pPr>
              <w:jc w:val="left"/>
              <w:rPr>
                <w:color w:val="000000"/>
                <w:sz w:val="21"/>
                <w:szCs w:val="21"/>
                <w:lang w:val="en-CA" w:eastAsia="en-CA"/>
              </w:rPr>
            </w:pPr>
            <w:r>
              <w:rPr>
                <w:color w:val="000000"/>
                <w:sz w:val="21"/>
                <w:szCs w:val="21"/>
                <w:lang w:val="en-CA" w:eastAsia="en-CA"/>
              </w:rPr>
              <w:t>HCFC-141b</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0311596F" w14:textId="77777777" w:rsidR="00502FEE" w:rsidRDefault="00502FEE" w:rsidP="000E7A06">
            <w:pPr>
              <w:jc w:val="right"/>
              <w:rPr>
                <w:color w:val="000000"/>
                <w:sz w:val="21"/>
                <w:szCs w:val="21"/>
                <w:lang w:val="en-CA" w:eastAsia="en-CA"/>
              </w:rPr>
            </w:pPr>
            <w:r>
              <w:rPr>
                <w:color w:val="000000"/>
                <w:sz w:val="21"/>
                <w:szCs w:val="21"/>
                <w:lang w:val="en-CA" w:eastAsia="en-CA"/>
              </w:rPr>
              <w:t>107,872</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4BA0991E" w14:textId="77777777" w:rsidR="00502FEE" w:rsidRDefault="00502FEE" w:rsidP="000E7A06">
            <w:pPr>
              <w:jc w:val="right"/>
              <w:rPr>
                <w:color w:val="000000"/>
                <w:sz w:val="21"/>
                <w:szCs w:val="21"/>
                <w:lang w:val="en-CA" w:eastAsia="en-CA"/>
              </w:rPr>
            </w:pPr>
            <w:r>
              <w:rPr>
                <w:color w:val="000000"/>
                <w:sz w:val="21"/>
                <w:szCs w:val="21"/>
                <w:lang w:val="en-CA" w:eastAsia="en-CA"/>
              </w:rPr>
              <w:t>70,117</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6B1EEAAA" w14:textId="77777777" w:rsidR="00502FEE" w:rsidRDefault="00502FEE" w:rsidP="000E7A06">
            <w:pPr>
              <w:jc w:val="right"/>
              <w:rPr>
                <w:color w:val="000000"/>
                <w:sz w:val="21"/>
                <w:szCs w:val="21"/>
                <w:lang w:val="en-CA" w:eastAsia="en-CA"/>
              </w:rPr>
            </w:pPr>
            <w:r>
              <w:rPr>
                <w:color w:val="000000"/>
                <w:sz w:val="21"/>
                <w:szCs w:val="21"/>
                <w:lang w:val="en-CA" w:eastAsia="en-CA"/>
              </w:rPr>
              <w:t>35,058</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1C1D79A4" w14:textId="77777777" w:rsidR="00502FEE" w:rsidRDefault="00502FEE" w:rsidP="000E7A06">
            <w:pPr>
              <w:jc w:val="right"/>
              <w:rPr>
                <w:color w:val="000000"/>
                <w:sz w:val="21"/>
                <w:szCs w:val="21"/>
                <w:lang w:val="en-CA" w:eastAsia="en-CA"/>
              </w:rPr>
            </w:pPr>
            <w:r>
              <w:rPr>
                <w:color w:val="000000"/>
                <w:sz w:val="21"/>
                <w:szCs w:val="21"/>
                <w:lang w:val="en-CA" w:eastAsia="en-CA"/>
              </w:rPr>
              <w:t>2,697</w:t>
            </w:r>
          </w:p>
        </w:tc>
      </w:tr>
      <w:tr w:rsidR="00502FEE" w14:paraId="0BB6521F" w14:textId="77777777" w:rsidTr="000E7A06">
        <w:tc>
          <w:tcPr>
            <w:tcW w:w="3240" w:type="dxa"/>
            <w:tcBorders>
              <w:top w:val="nil"/>
              <w:left w:val="single" w:sz="4" w:space="0" w:color="auto"/>
              <w:bottom w:val="single" w:sz="4" w:space="0" w:color="auto"/>
              <w:right w:val="single" w:sz="4" w:space="0" w:color="auto"/>
            </w:tcBorders>
            <w:noWrap/>
            <w:vAlign w:val="bottom"/>
            <w:hideMark/>
          </w:tcPr>
          <w:p w14:paraId="1D82AC6A" w14:textId="77777777" w:rsidR="00502FEE" w:rsidRDefault="00502FEE" w:rsidP="000E7A06">
            <w:pPr>
              <w:jc w:val="left"/>
              <w:rPr>
                <w:color w:val="000000"/>
                <w:sz w:val="21"/>
                <w:szCs w:val="21"/>
                <w:lang w:val="en-CA" w:eastAsia="en-CA"/>
              </w:rPr>
            </w:pPr>
            <w:r>
              <w:rPr>
                <w:color w:val="000000"/>
                <w:sz w:val="21"/>
                <w:szCs w:val="21"/>
                <w:lang w:val="en-CA" w:eastAsia="en-CA"/>
              </w:rPr>
              <w:t>HCFC-142b</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391D211F" w14:textId="77777777" w:rsidR="00502FEE" w:rsidRDefault="00502FEE" w:rsidP="000E7A06">
            <w:pPr>
              <w:jc w:val="right"/>
              <w:rPr>
                <w:color w:val="000000"/>
                <w:sz w:val="21"/>
                <w:szCs w:val="21"/>
                <w:lang w:val="en-CA" w:eastAsia="en-CA"/>
              </w:rPr>
            </w:pPr>
            <w:r>
              <w:rPr>
                <w:color w:val="000000"/>
                <w:sz w:val="21"/>
                <w:szCs w:val="21"/>
                <w:lang w:val="en-CA" w:eastAsia="en-CA"/>
              </w:rPr>
              <w:t>33,195</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2D8C6819" w14:textId="77777777" w:rsidR="00502FEE" w:rsidRDefault="00502FEE" w:rsidP="000E7A06">
            <w:pPr>
              <w:jc w:val="right"/>
              <w:rPr>
                <w:color w:val="000000"/>
                <w:sz w:val="21"/>
                <w:szCs w:val="21"/>
                <w:lang w:val="en-CA" w:eastAsia="en-CA"/>
              </w:rPr>
            </w:pPr>
            <w:r>
              <w:rPr>
                <w:color w:val="000000"/>
                <w:sz w:val="21"/>
                <w:szCs w:val="21"/>
                <w:lang w:val="en-CA" w:eastAsia="en-CA"/>
              </w:rPr>
              <w:t>21,577</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7E8245A5" w14:textId="77777777" w:rsidR="00502FEE" w:rsidRDefault="00502FEE" w:rsidP="000E7A06">
            <w:pPr>
              <w:jc w:val="right"/>
              <w:rPr>
                <w:color w:val="000000"/>
                <w:sz w:val="21"/>
                <w:szCs w:val="21"/>
                <w:lang w:val="en-CA" w:eastAsia="en-CA"/>
              </w:rPr>
            </w:pPr>
            <w:r>
              <w:rPr>
                <w:color w:val="000000"/>
                <w:sz w:val="21"/>
                <w:szCs w:val="21"/>
                <w:lang w:val="en-CA" w:eastAsia="en-CA"/>
              </w:rPr>
              <w:t>10,789</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66B6BE7B" w14:textId="77777777" w:rsidR="00502FEE" w:rsidRDefault="00502FEE" w:rsidP="000E7A06">
            <w:pPr>
              <w:jc w:val="right"/>
              <w:rPr>
                <w:color w:val="000000"/>
                <w:sz w:val="21"/>
                <w:szCs w:val="21"/>
                <w:lang w:val="en-CA" w:eastAsia="en-CA"/>
              </w:rPr>
            </w:pPr>
            <w:r>
              <w:rPr>
                <w:color w:val="000000"/>
                <w:sz w:val="21"/>
                <w:szCs w:val="21"/>
                <w:lang w:val="en-CA" w:eastAsia="en-CA"/>
              </w:rPr>
              <w:t>830</w:t>
            </w:r>
          </w:p>
        </w:tc>
      </w:tr>
      <w:tr w:rsidR="00502FEE" w14:paraId="1CF52736" w14:textId="77777777" w:rsidTr="000E7A06">
        <w:tc>
          <w:tcPr>
            <w:tcW w:w="3240" w:type="dxa"/>
            <w:tcBorders>
              <w:top w:val="nil"/>
              <w:left w:val="single" w:sz="4" w:space="0" w:color="auto"/>
              <w:bottom w:val="single" w:sz="4" w:space="0" w:color="auto"/>
              <w:right w:val="single" w:sz="4" w:space="0" w:color="auto"/>
            </w:tcBorders>
            <w:noWrap/>
            <w:vAlign w:val="bottom"/>
            <w:hideMark/>
          </w:tcPr>
          <w:p w14:paraId="6C793624" w14:textId="77777777" w:rsidR="00502FEE" w:rsidRDefault="00502FEE" w:rsidP="000E7A06">
            <w:pPr>
              <w:jc w:val="left"/>
              <w:rPr>
                <w:color w:val="000000"/>
                <w:sz w:val="21"/>
                <w:szCs w:val="21"/>
                <w:lang w:val="en-CA" w:eastAsia="en-CA"/>
              </w:rPr>
            </w:pPr>
            <w:r>
              <w:rPr>
                <w:color w:val="000000"/>
                <w:sz w:val="21"/>
                <w:szCs w:val="21"/>
                <w:lang w:val="en-CA" w:eastAsia="en-CA"/>
              </w:rPr>
              <w:t>Total HCFC</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011EFCD7" w14:textId="77777777" w:rsidR="00502FEE" w:rsidRDefault="00502FEE" w:rsidP="000E7A06">
            <w:pPr>
              <w:jc w:val="right"/>
              <w:rPr>
                <w:color w:val="000000"/>
                <w:sz w:val="21"/>
                <w:szCs w:val="21"/>
                <w:lang w:val="en-CA" w:eastAsia="en-CA"/>
              </w:rPr>
            </w:pPr>
            <w:r>
              <w:rPr>
                <w:color w:val="000000"/>
                <w:sz w:val="21"/>
                <w:szCs w:val="21"/>
                <w:lang w:val="en-CA" w:eastAsia="en-CA"/>
              </w:rPr>
              <w:t>535,722</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1CD67E07" w14:textId="77777777" w:rsidR="00502FEE" w:rsidRDefault="00502FEE" w:rsidP="000E7A06">
            <w:pPr>
              <w:jc w:val="right"/>
              <w:rPr>
                <w:color w:val="000000"/>
                <w:sz w:val="21"/>
                <w:szCs w:val="21"/>
                <w:lang w:val="en-CA" w:eastAsia="en-CA"/>
              </w:rPr>
            </w:pPr>
            <w:r>
              <w:rPr>
                <w:color w:val="000000"/>
                <w:sz w:val="21"/>
                <w:szCs w:val="21"/>
                <w:lang w:val="en-CA" w:eastAsia="en-CA"/>
              </w:rPr>
              <w:t>348,219</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6BAD95AD" w14:textId="77777777" w:rsidR="00502FEE" w:rsidRDefault="00502FEE" w:rsidP="000E7A06">
            <w:pPr>
              <w:jc w:val="right"/>
              <w:rPr>
                <w:color w:val="000000"/>
                <w:sz w:val="21"/>
                <w:szCs w:val="21"/>
                <w:lang w:val="en-CA" w:eastAsia="en-CA"/>
              </w:rPr>
            </w:pPr>
            <w:r>
              <w:rPr>
                <w:color w:val="000000"/>
                <w:sz w:val="21"/>
                <w:szCs w:val="21"/>
                <w:lang w:val="en-CA" w:eastAsia="en-CA"/>
              </w:rPr>
              <w:t>174,110</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hideMark/>
          </w:tcPr>
          <w:p w14:paraId="7D540FF5" w14:textId="77777777" w:rsidR="00502FEE" w:rsidRDefault="00502FEE" w:rsidP="000E7A06">
            <w:pPr>
              <w:jc w:val="right"/>
              <w:rPr>
                <w:color w:val="000000"/>
                <w:sz w:val="21"/>
                <w:szCs w:val="21"/>
                <w:lang w:val="en-CA" w:eastAsia="en-CA"/>
              </w:rPr>
            </w:pPr>
            <w:r>
              <w:rPr>
                <w:color w:val="000000"/>
                <w:sz w:val="21"/>
                <w:szCs w:val="21"/>
                <w:lang w:val="en-CA" w:eastAsia="en-CA"/>
              </w:rPr>
              <w:t>13,393</w:t>
            </w:r>
          </w:p>
        </w:tc>
      </w:tr>
    </w:tbl>
    <w:p w14:paraId="03EE0A2D" w14:textId="77777777" w:rsidR="00502FEE" w:rsidRDefault="00502FEE" w:rsidP="00502FEE">
      <w:pPr>
        <w:rPr>
          <w:sz w:val="20"/>
          <w:szCs w:val="20"/>
        </w:rPr>
      </w:pPr>
      <w:r>
        <w:rPr>
          <w:sz w:val="20"/>
          <w:szCs w:val="20"/>
        </w:rPr>
        <w:t>(*) Main HCFCs consumed representing over 99.0% of the aggregated baseline.</w:t>
      </w:r>
    </w:p>
    <w:p w14:paraId="5E0925BB" w14:textId="77777777" w:rsidR="00502FEE" w:rsidRDefault="00502FEE" w:rsidP="00502FEE">
      <w:pPr>
        <w:pStyle w:val="Heading1"/>
        <w:numPr>
          <w:ilvl w:val="0"/>
          <w:numId w:val="0"/>
        </w:numPr>
        <w:spacing w:after="0"/>
      </w:pPr>
    </w:p>
    <w:p w14:paraId="1FF9586B" w14:textId="11454AFF" w:rsidR="00502FEE" w:rsidRPr="00D649AA" w:rsidRDefault="00502FEE" w:rsidP="00502FEE">
      <w:pPr>
        <w:pStyle w:val="Heading1"/>
        <w:rPr>
          <w:lang w:val="en-CA"/>
        </w:rPr>
      </w:pPr>
      <w:r>
        <w:t xml:space="preserve">However, the actual levels of consumption of HCFCs and HFCs </w:t>
      </w:r>
      <w:r w:rsidRPr="00ED6A51">
        <w:t>in Tables 3 and 4</w:t>
      </w:r>
      <w:r>
        <w:t xml:space="preserve"> will depend on a number of factors, </w:t>
      </w:r>
      <w:r w:rsidRPr="00D649AA">
        <w:rPr>
          <w:i/>
        </w:rPr>
        <w:t>inter alia</w:t>
      </w:r>
      <w:r>
        <w:rPr>
          <w:i/>
        </w:rPr>
        <w:t>,</w:t>
      </w:r>
      <w:r w:rsidRPr="00D649AA">
        <w:rPr>
          <w:i/>
        </w:rPr>
        <w:t xml:space="preserve"> </w:t>
      </w:r>
      <w:r>
        <w:t xml:space="preserve">the speed </w:t>
      </w:r>
      <w:r w:rsidRPr="00A16DAC">
        <w:t>of completion of approved projects</w:t>
      </w:r>
      <w:r>
        <w:t xml:space="preserve"> </w:t>
      </w:r>
      <w:r w:rsidRPr="00A16DAC">
        <w:t>to phase</w:t>
      </w:r>
      <w:r w:rsidR="00634E2F">
        <w:t xml:space="preserve"> </w:t>
      </w:r>
      <w:r w:rsidRPr="00A16DAC">
        <w:t xml:space="preserve">out HCFCs, the </w:t>
      </w:r>
      <w:r>
        <w:t>expected growth in the use of</w:t>
      </w:r>
      <w:r w:rsidRPr="00A16DAC">
        <w:t xml:space="preserve"> refrigeration and air-conditioning (</w:t>
      </w:r>
      <w:r>
        <w:t>R</w:t>
      </w:r>
      <w:r w:rsidRPr="00A16DAC">
        <w:t>AC) equipment</w:t>
      </w:r>
      <w:r>
        <w:t xml:space="preserve"> in Article 5 countries</w:t>
      </w:r>
      <w:r w:rsidRPr="00A16DAC">
        <w:t>, the introduction of alternative refrigerants that could be used as drop-ins for certain applications (e.g.,</w:t>
      </w:r>
      <w:r w:rsidR="00634E2F">
        <w:t> </w:t>
      </w:r>
      <w:r w:rsidRPr="00A16DAC">
        <w:t>R</w:t>
      </w:r>
      <w:r w:rsidR="009974A9">
        <w:noBreakHyphen/>
      </w:r>
      <w:r w:rsidRPr="00A16DAC">
        <w:t>407A</w:t>
      </w:r>
      <w:r>
        <w:t xml:space="preserve"> or R-407F as replacement for R-404A), and the introduction of cost-effective alternative technologies in HCFC and HFC applications. </w:t>
      </w:r>
    </w:p>
    <w:p w14:paraId="3BC1C069" w14:textId="12AD938F" w:rsidR="00502FEE" w:rsidRDefault="00502FEE" w:rsidP="00502FEE">
      <w:pPr>
        <w:pStyle w:val="Heading1"/>
        <w:rPr>
          <w:lang w:val="en-CA"/>
        </w:rPr>
      </w:pPr>
      <w:r>
        <w:t>The Executive Committee has approved funding for the phase-out of HCFCs in 145 Article</w:t>
      </w:r>
      <w:r w:rsidR="00634E2F">
        <w:t> </w:t>
      </w:r>
      <w:r>
        <w:t>5 countries, mainly through HPMPs.</w:t>
      </w:r>
      <w:r>
        <w:rPr>
          <w:rStyle w:val="FootnoteReference"/>
        </w:rPr>
        <w:footnoteReference w:id="15"/>
      </w:r>
      <w:r>
        <w:t xml:space="preserve"> So far, </w:t>
      </w:r>
      <w:r>
        <w:rPr>
          <w:lang w:val="en-CA"/>
        </w:rPr>
        <w:t>implementation of the approved HPMPs has resulted in the reduction of HCFC consumption well in advance of the allowable levels under the Protocol. For example, the aggregate consumption of HCFCs in 2018 (365,131</w:t>
      </w:r>
      <w:r w:rsidR="00634E2F">
        <w:rPr>
          <w:lang w:val="en-CA"/>
        </w:rPr>
        <w:t> </w:t>
      </w:r>
      <w:proofErr w:type="spellStart"/>
      <w:r>
        <w:rPr>
          <w:lang w:val="en-CA"/>
        </w:rPr>
        <w:t>mt</w:t>
      </w:r>
      <w:proofErr w:type="spellEnd"/>
      <w:r>
        <w:rPr>
          <w:lang w:val="en-CA"/>
        </w:rPr>
        <w:t>) represented 68 per cent of the aggregate HCFC</w:t>
      </w:r>
      <w:r w:rsidR="001277B2">
        <w:rPr>
          <w:lang w:val="en-CA"/>
        </w:rPr>
        <w:t> </w:t>
      </w:r>
      <w:r>
        <w:rPr>
          <w:lang w:val="en-CA"/>
        </w:rPr>
        <w:t xml:space="preserve">baseline and was 117,019 </w:t>
      </w:r>
      <w:proofErr w:type="spellStart"/>
      <w:r>
        <w:rPr>
          <w:lang w:val="en-CA"/>
        </w:rPr>
        <w:t>mt</w:t>
      </w:r>
      <w:proofErr w:type="spellEnd"/>
      <w:r>
        <w:rPr>
          <w:lang w:val="en-CA"/>
        </w:rPr>
        <w:t xml:space="preserve"> lower than the allowable level of consumption for that year (482,150</w:t>
      </w:r>
      <w:r w:rsidR="001277B2">
        <w:rPr>
          <w:lang w:val="en-CA"/>
        </w:rPr>
        <w:t> </w:t>
      </w:r>
      <w:proofErr w:type="spellStart"/>
      <w:r>
        <w:rPr>
          <w:lang w:val="en-CA"/>
        </w:rPr>
        <w:t>mt</w:t>
      </w:r>
      <w:proofErr w:type="spellEnd"/>
      <w:r>
        <w:rPr>
          <w:lang w:val="en-CA"/>
        </w:rPr>
        <w:t>), as shown in Table 5.</w:t>
      </w:r>
    </w:p>
    <w:p w14:paraId="12FF572F" w14:textId="77777777" w:rsidR="00502FEE" w:rsidRDefault="00502FEE" w:rsidP="00502FEE">
      <w:pPr>
        <w:pStyle w:val="ListParagraph"/>
        <w:widowControl w:val="0"/>
        <w:ind w:left="0"/>
        <w:rPr>
          <w:b/>
          <w:bCs/>
          <w:szCs w:val="28"/>
          <w:lang w:val="en-CA"/>
        </w:rPr>
      </w:pPr>
      <w:r>
        <w:rPr>
          <w:b/>
          <w:bCs/>
          <w:szCs w:val="28"/>
          <w:lang w:val="en-CA"/>
        </w:rPr>
        <w:t>Table 5. HCFC consumption of the three main HCFCs (</w:t>
      </w:r>
      <w:proofErr w:type="spellStart"/>
      <w:r>
        <w:rPr>
          <w:b/>
          <w:bCs/>
          <w:szCs w:val="28"/>
          <w:lang w:val="en-CA"/>
        </w:rPr>
        <w:t>mt</w:t>
      </w:r>
      <w:proofErr w:type="spellEnd"/>
      <w:r>
        <w:rPr>
          <w:b/>
          <w:bCs/>
          <w:szCs w:val="28"/>
          <w:lang w:val="en-CA"/>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157"/>
        <w:gridCol w:w="1157"/>
        <w:gridCol w:w="1157"/>
        <w:gridCol w:w="1157"/>
        <w:gridCol w:w="1157"/>
        <w:gridCol w:w="1157"/>
        <w:gridCol w:w="978"/>
      </w:tblGrid>
      <w:tr w:rsidR="00502FEE" w:rsidRPr="00A47A8E" w14:paraId="1869B855" w14:textId="77777777" w:rsidTr="000E7A06">
        <w:trPr>
          <w:trHeight w:val="105"/>
          <w:tblHeader/>
        </w:trPr>
        <w:tc>
          <w:tcPr>
            <w:tcW w:w="144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center"/>
            <w:hideMark/>
          </w:tcPr>
          <w:p w14:paraId="68C07426" w14:textId="77777777" w:rsidR="00502FEE" w:rsidRPr="00A47A8E" w:rsidRDefault="00502FEE" w:rsidP="000E7A06">
            <w:pPr>
              <w:jc w:val="left"/>
              <w:rPr>
                <w:b/>
                <w:bCs/>
                <w:sz w:val="20"/>
                <w:szCs w:val="20"/>
                <w:lang w:val="en-CA" w:eastAsia="en-CA"/>
              </w:rPr>
            </w:pPr>
            <w:r>
              <w:rPr>
                <w:b/>
                <w:bCs/>
                <w:sz w:val="20"/>
                <w:szCs w:val="20"/>
                <w:lang w:val="en-CA" w:eastAsia="en-CA"/>
              </w:rPr>
              <w:t>Consumption</w:t>
            </w:r>
          </w:p>
        </w:tc>
        <w:tc>
          <w:tcPr>
            <w:tcW w:w="1157" w:type="dxa"/>
            <w:tcBorders>
              <w:top w:val="single" w:sz="4" w:space="0" w:color="auto"/>
              <w:left w:val="single" w:sz="4" w:space="0" w:color="auto"/>
              <w:bottom w:val="single" w:sz="4" w:space="0" w:color="auto"/>
              <w:right w:val="single" w:sz="4" w:space="0" w:color="auto"/>
            </w:tcBorders>
            <w:vAlign w:val="center"/>
            <w:hideMark/>
          </w:tcPr>
          <w:p w14:paraId="3A34B9FC" w14:textId="77777777" w:rsidR="00502FEE" w:rsidRPr="00A47A8E" w:rsidRDefault="00502FEE" w:rsidP="000E7A06">
            <w:pPr>
              <w:jc w:val="center"/>
              <w:rPr>
                <w:b/>
                <w:bCs/>
                <w:sz w:val="20"/>
                <w:szCs w:val="20"/>
                <w:lang w:val="en-CA" w:eastAsia="en-CA"/>
              </w:rPr>
            </w:pPr>
            <w:r w:rsidRPr="00A47A8E">
              <w:rPr>
                <w:b/>
                <w:bCs/>
                <w:sz w:val="20"/>
                <w:szCs w:val="20"/>
                <w:lang w:val="en-CA" w:eastAsia="en-CA"/>
              </w:rPr>
              <w:t>Baseline</w:t>
            </w: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13CFCCC5" w14:textId="77777777" w:rsidR="00502FEE" w:rsidRPr="00A47A8E" w:rsidRDefault="00502FEE" w:rsidP="000E7A06">
            <w:pPr>
              <w:jc w:val="center"/>
              <w:rPr>
                <w:b/>
                <w:bCs/>
                <w:sz w:val="20"/>
                <w:szCs w:val="20"/>
                <w:lang w:val="en-CA" w:eastAsia="en-CA"/>
              </w:rPr>
            </w:pPr>
            <w:r w:rsidRPr="00A47A8E">
              <w:rPr>
                <w:b/>
                <w:bCs/>
                <w:sz w:val="20"/>
                <w:szCs w:val="20"/>
                <w:lang w:val="en-CA" w:eastAsia="en-CA"/>
              </w:rPr>
              <w:t>2014</w:t>
            </w: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25EF5B57" w14:textId="77777777" w:rsidR="00502FEE" w:rsidRPr="00A47A8E" w:rsidRDefault="00502FEE" w:rsidP="000E7A06">
            <w:pPr>
              <w:jc w:val="center"/>
              <w:rPr>
                <w:b/>
                <w:bCs/>
                <w:sz w:val="20"/>
                <w:szCs w:val="20"/>
                <w:lang w:val="en-CA" w:eastAsia="en-CA"/>
              </w:rPr>
            </w:pPr>
            <w:r w:rsidRPr="00A47A8E">
              <w:rPr>
                <w:b/>
                <w:bCs/>
                <w:sz w:val="20"/>
                <w:szCs w:val="20"/>
                <w:lang w:val="en-CA" w:eastAsia="en-CA"/>
              </w:rPr>
              <w:t>2015</w:t>
            </w: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6A8FCDCD" w14:textId="77777777" w:rsidR="00502FEE" w:rsidRPr="00A47A8E" w:rsidRDefault="00502FEE" w:rsidP="000E7A06">
            <w:pPr>
              <w:jc w:val="center"/>
              <w:rPr>
                <w:b/>
                <w:bCs/>
                <w:sz w:val="20"/>
                <w:szCs w:val="20"/>
                <w:lang w:val="en-CA" w:eastAsia="en-CA"/>
              </w:rPr>
            </w:pPr>
            <w:r w:rsidRPr="00A47A8E">
              <w:rPr>
                <w:b/>
                <w:bCs/>
                <w:sz w:val="20"/>
                <w:szCs w:val="20"/>
                <w:lang w:val="en-CA" w:eastAsia="en-CA"/>
              </w:rPr>
              <w:t>2016</w:t>
            </w: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29D73054" w14:textId="77777777" w:rsidR="00502FEE" w:rsidRPr="00A47A8E" w:rsidRDefault="00502FEE" w:rsidP="000E7A06">
            <w:pPr>
              <w:jc w:val="center"/>
              <w:rPr>
                <w:b/>
                <w:bCs/>
                <w:sz w:val="20"/>
                <w:szCs w:val="20"/>
                <w:lang w:val="en-CA" w:eastAsia="en-CA"/>
              </w:rPr>
            </w:pPr>
            <w:r w:rsidRPr="00A47A8E">
              <w:rPr>
                <w:b/>
                <w:bCs/>
                <w:sz w:val="20"/>
                <w:szCs w:val="20"/>
                <w:lang w:val="en-CA" w:eastAsia="en-CA"/>
              </w:rPr>
              <w:t>2017</w:t>
            </w:r>
          </w:p>
        </w:tc>
        <w:tc>
          <w:tcPr>
            <w:tcW w:w="1157" w:type="dxa"/>
            <w:tcBorders>
              <w:top w:val="single" w:sz="4" w:space="0" w:color="auto"/>
              <w:left w:val="single" w:sz="4" w:space="0" w:color="auto"/>
              <w:bottom w:val="single" w:sz="4" w:space="0" w:color="auto"/>
              <w:right w:val="single" w:sz="4" w:space="0" w:color="auto"/>
            </w:tcBorders>
            <w:vAlign w:val="center"/>
            <w:hideMark/>
          </w:tcPr>
          <w:p w14:paraId="3F65CDD9" w14:textId="77777777" w:rsidR="00502FEE" w:rsidRPr="00A47A8E" w:rsidRDefault="00502FEE" w:rsidP="000E7A06">
            <w:pPr>
              <w:jc w:val="center"/>
              <w:rPr>
                <w:b/>
                <w:bCs/>
                <w:sz w:val="20"/>
                <w:szCs w:val="20"/>
                <w:lang w:val="en-CA" w:eastAsia="en-CA"/>
              </w:rPr>
            </w:pPr>
            <w:r w:rsidRPr="00A47A8E">
              <w:rPr>
                <w:b/>
                <w:bCs/>
                <w:sz w:val="20"/>
                <w:szCs w:val="20"/>
                <w:lang w:val="en-CA" w:eastAsia="en-CA"/>
              </w:rPr>
              <w:t>2018</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96D4AD" w14:textId="77777777" w:rsidR="00502FEE" w:rsidRPr="00A47A8E" w:rsidRDefault="00502FEE" w:rsidP="000E7A06">
            <w:pPr>
              <w:jc w:val="center"/>
              <w:rPr>
                <w:b/>
                <w:bCs/>
                <w:sz w:val="20"/>
                <w:szCs w:val="20"/>
                <w:lang w:val="en-CA" w:eastAsia="en-CA"/>
              </w:rPr>
            </w:pPr>
            <w:r w:rsidRPr="00A47A8E">
              <w:rPr>
                <w:b/>
                <w:bCs/>
                <w:sz w:val="20"/>
                <w:szCs w:val="20"/>
                <w:lang w:val="en-CA" w:eastAsia="en-CA"/>
              </w:rPr>
              <w:t>%2018 to baseline</w:t>
            </w:r>
          </w:p>
        </w:tc>
      </w:tr>
      <w:tr w:rsidR="00502FEE" w:rsidRPr="00A47A8E" w14:paraId="05A06C58" w14:textId="77777777" w:rsidTr="000E7A06">
        <w:trPr>
          <w:trHeight w:val="58"/>
        </w:trPr>
        <w:tc>
          <w:tcPr>
            <w:tcW w:w="144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center"/>
            <w:hideMark/>
          </w:tcPr>
          <w:p w14:paraId="2AD1534C" w14:textId="77777777" w:rsidR="00502FEE" w:rsidRPr="00A47A8E" w:rsidRDefault="00502FEE" w:rsidP="000E7A06">
            <w:pPr>
              <w:jc w:val="left"/>
              <w:rPr>
                <w:b/>
                <w:sz w:val="20"/>
                <w:szCs w:val="20"/>
                <w:lang w:val="en-CA" w:eastAsia="en-CA"/>
              </w:rPr>
            </w:pPr>
            <w:r w:rsidRPr="00A47A8E">
              <w:rPr>
                <w:b/>
                <w:sz w:val="20"/>
                <w:szCs w:val="20"/>
                <w:lang w:val="en-CA" w:eastAsia="en-CA"/>
              </w:rPr>
              <w:t>Reported</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173" w:type="dxa"/>
            </w:tcMar>
          </w:tcPr>
          <w:p w14:paraId="3B7549D9" w14:textId="77777777" w:rsidR="00502FEE" w:rsidRPr="00A47A8E" w:rsidRDefault="00502FEE" w:rsidP="000E7A06">
            <w:pPr>
              <w:jc w:val="right"/>
              <w:rPr>
                <w:sz w:val="20"/>
                <w:szCs w:val="20"/>
                <w:lang w:val="en-CA" w:eastAsia="en-CA"/>
              </w:rPr>
            </w:pP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73" w:type="dxa"/>
            </w:tcMar>
          </w:tcPr>
          <w:p w14:paraId="1D9EEF5D" w14:textId="77777777" w:rsidR="00502FEE" w:rsidRPr="00A47A8E" w:rsidRDefault="00502FEE" w:rsidP="000E7A06">
            <w:pPr>
              <w:jc w:val="right"/>
              <w:rPr>
                <w:sz w:val="20"/>
                <w:szCs w:val="20"/>
                <w:lang w:val="en-CA" w:eastAsia="en-CA"/>
              </w:rPr>
            </w:pP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73" w:type="dxa"/>
            </w:tcMar>
          </w:tcPr>
          <w:p w14:paraId="75517AFA" w14:textId="77777777" w:rsidR="00502FEE" w:rsidRPr="00A47A8E" w:rsidRDefault="00502FEE" w:rsidP="000E7A06">
            <w:pPr>
              <w:jc w:val="right"/>
              <w:rPr>
                <w:sz w:val="20"/>
                <w:szCs w:val="20"/>
                <w:lang w:val="en-CA" w:eastAsia="en-CA"/>
              </w:rPr>
            </w:pP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73" w:type="dxa"/>
            </w:tcMar>
          </w:tcPr>
          <w:p w14:paraId="51E7D1DD" w14:textId="77777777" w:rsidR="00502FEE" w:rsidRPr="00A47A8E" w:rsidRDefault="00502FEE" w:rsidP="000E7A06">
            <w:pPr>
              <w:jc w:val="right"/>
              <w:rPr>
                <w:sz w:val="20"/>
                <w:szCs w:val="20"/>
                <w:lang w:val="en-CA" w:eastAsia="en-CA"/>
              </w:rPr>
            </w:pP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73" w:type="dxa"/>
            </w:tcMar>
          </w:tcPr>
          <w:p w14:paraId="456AEDAA" w14:textId="77777777" w:rsidR="00502FEE" w:rsidRPr="00A47A8E" w:rsidRDefault="00502FEE" w:rsidP="000E7A06">
            <w:pPr>
              <w:jc w:val="right"/>
              <w:rPr>
                <w:sz w:val="20"/>
                <w:szCs w:val="20"/>
                <w:lang w:val="en-CA" w:eastAsia="en-CA"/>
              </w:rPr>
            </w:pP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173" w:type="dxa"/>
            </w:tcMar>
          </w:tcPr>
          <w:p w14:paraId="322C7F8E" w14:textId="77777777" w:rsidR="00502FEE" w:rsidRPr="00A47A8E" w:rsidRDefault="00502FEE" w:rsidP="000E7A06">
            <w:pPr>
              <w:jc w:val="right"/>
              <w:rPr>
                <w:sz w:val="20"/>
                <w:szCs w:val="20"/>
                <w:lang w:val="en-CA" w:eastAsia="en-CA"/>
              </w:rPr>
            </w:pP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173" w:type="dxa"/>
            </w:tcMar>
          </w:tcPr>
          <w:p w14:paraId="70263A88" w14:textId="77777777" w:rsidR="00502FEE" w:rsidRPr="00A47A8E" w:rsidRDefault="00502FEE" w:rsidP="000E7A06">
            <w:pPr>
              <w:jc w:val="right"/>
              <w:rPr>
                <w:sz w:val="20"/>
                <w:szCs w:val="20"/>
                <w:lang w:val="en-CA" w:eastAsia="en-CA"/>
              </w:rPr>
            </w:pPr>
          </w:p>
        </w:tc>
      </w:tr>
      <w:tr w:rsidR="00502FEE" w:rsidRPr="00A47A8E" w14:paraId="1FF427A1" w14:textId="77777777" w:rsidTr="000E7A06">
        <w:trPr>
          <w:trHeight w:val="58"/>
        </w:trPr>
        <w:tc>
          <w:tcPr>
            <w:tcW w:w="144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bottom"/>
            <w:hideMark/>
          </w:tcPr>
          <w:p w14:paraId="76692609" w14:textId="77777777" w:rsidR="00502FEE" w:rsidRPr="00A47A8E" w:rsidRDefault="00502FEE" w:rsidP="000E7A06">
            <w:pPr>
              <w:jc w:val="left"/>
              <w:rPr>
                <w:color w:val="000000"/>
                <w:sz w:val="20"/>
                <w:szCs w:val="20"/>
                <w:lang w:val="en-CA"/>
              </w:rPr>
            </w:pPr>
            <w:r w:rsidRPr="00A47A8E">
              <w:rPr>
                <w:color w:val="000000"/>
                <w:sz w:val="20"/>
                <w:szCs w:val="20"/>
              </w:rPr>
              <w:t>HCFC-22</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216" w:type="dxa"/>
            </w:tcMar>
            <w:hideMark/>
          </w:tcPr>
          <w:p w14:paraId="3AE51EB5" w14:textId="77777777" w:rsidR="00502FEE" w:rsidRPr="00A47A8E" w:rsidRDefault="00502FEE" w:rsidP="000E7A06">
            <w:pPr>
              <w:jc w:val="right"/>
              <w:rPr>
                <w:color w:val="000000"/>
                <w:sz w:val="20"/>
                <w:szCs w:val="20"/>
              </w:rPr>
            </w:pPr>
            <w:r w:rsidRPr="00A47A8E">
              <w:rPr>
                <w:sz w:val="20"/>
                <w:szCs w:val="20"/>
              </w:rPr>
              <w:t>394,655</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02D7CDEA" w14:textId="77777777" w:rsidR="00502FEE" w:rsidRPr="00A47A8E" w:rsidRDefault="00502FEE" w:rsidP="000E7A06">
            <w:pPr>
              <w:jc w:val="right"/>
              <w:rPr>
                <w:color w:val="000000"/>
                <w:sz w:val="20"/>
                <w:szCs w:val="20"/>
              </w:rPr>
            </w:pPr>
            <w:r w:rsidRPr="00A47A8E">
              <w:rPr>
                <w:sz w:val="20"/>
                <w:szCs w:val="20"/>
              </w:rPr>
              <w:t>341,207</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2C033A6A" w14:textId="77777777" w:rsidR="00502FEE" w:rsidRPr="00A47A8E" w:rsidRDefault="00502FEE" w:rsidP="000E7A06">
            <w:pPr>
              <w:jc w:val="right"/>
              <w:rPr>
                <w:color w:val="000000"/>
                <w:sz w:val="20"/>
                <w:szCs w:val="20"/>
              </w:rPr>
            </w:pPr>
            <w:r w:rsidRPr="00A47A8E">
              <w:rPr>
                <w:sz w:val="20"/>
                <w:szCs w:val="20"/>
              </w:rPr>
              <w:t>298,506</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12E4B507" w14:textId="77777777" w:rsidR="00502FEE" w:rsidRPr="00A47A8E" w:rsidRDefault="00502FEE" w:rsidP="000E7A06">
            <w:pPr>
              <w:jc w:val="right"/>
              <w:rPr>
                <w:color w:val="000000"/>
                <w:sz w:val="20"/>
                <w:szCs w:val="20"/>
              </w:rPr>
            </w:pPr>
            <w:r w:rsidRPr="00A47A8E">
              <w:rPr>
                <w:sz w:val="20"/>
                <w:szCs w:val="20"/>
              </w:rPr>
              <w:t>301,003</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6B0180B7" w14:textId="77777777" w:rsidR="00502FEE" w:rsidRPr="00A47A8E" w:rsidRDefault="00502FEE" w:rsidP="000E7A06">
            <w:pPr>
              <w:jc w:val="right"/>
              <w:rPr>
                <w:color w:val="000000"/>
                <w:sz w:val="20"/>
                <w:szCs w:val="20"/>
              </w:rPr>
            </w:pPr>
            <w:r w:rsidRPr="00A47A8E">
              <w:rPr>
                <w:sz w:val="20"/>
                <w:szCs w:val="20"/>
              </w:rPr>
              <w:t>296,258</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216" w:type="dxa"/>
            </w:tcMar>
            <w:hideMark/>
          </w:tcPr>
          <w:p w14:paraId="33B3EF02" w14:textId="77777777" w:rsidR="00502FEE" w:rsidRPr="00A47A8E" w:rsidRDefault="00502FEE" w:rsidP="000E7A06">
            <w:pPr>
              <w:jc w:val="right"/>
              <w:rPr>
                <w:color w:val="000000"/>
                <w:sz w:val="20"/>
                <w:szCs w:val="20"/>
                <w:lang w:val="en-CA"/>
              </w:rPr>
            </w:pPr>
            <w:r w:rsidRPr="00A47A8E">
              <w:rPr>
                <w:sz w:val="20"/>
                <w:szCs w:val="20"/>
              </w:rPr>
              <w:t>297,000</w:t>
            </w: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216" w:type="dxa"/>
            </w:tcMar>
            <w:hideMark/>
          </w:tcPr>
          <w:p w14:paraId="18E4E364" w14:textId="77777777" w:rsidR="00502FEE" w:rsidRPr="00A47A8E" w:rsidRDefault="00502FEE" w:rsidP="000E7A06">
            <w:pPr>
              <w:jc w:val="right"/>
              <w:rPr>
                <w:color w:val="000000"/>
                <w:sz w:val="20"/>
                <w:szCs w:val="20"/>
              </w:rPr>
            </w:pPr>
            <w:r w:rsidRPr="00A47A8E">
              <w:rPr>
                <w:sz w:val="20"/>
                <w:szCs w:val="20"/>
              </w:rPr>
              <w:t>75.3</w:t>
            </w:r>
          </w:p>
        </w:tc>
      </w:tr>
      <w:tr w:rsidR="00502FEE" w:rsidRPr="00A47A8E" w14:paraId="7A6D0F3A" w14:textId="77777777" w:rsidTr="000E7A06">
        <w:trPr>
          <w:trHeight w:val="58"/>
        </w:trPr>
        <w:tc>
          <w:tcPr>
            <w:tcW w:w="144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bottom"/>
            <w:hideMark/>
          </w:tcPr>
          <w:p w14:paraId="74A11D15" w14:textId="77777777" w:rsidR="00502FEE" w:rsidRPr="00A47A8E" w:rsidRDefault="00502FEE" w:rsidP="000E7A06">
            <w:pPr>
              <w:rPr>
                <w:color w:val="000000"/>
                <w:sz w:val="20"/>
                <w:szCs w:val="20"/>
              </w:rPr>
            </w:pPr>
            <w:r w:rsidRPr="00A47A8E">
              <w:rPr>
                <w:color w:val="000000"/>
                <w:sz w:val="20"/>
                <w:szCs w:val="20"/>
              </w:rPr>
              <w:t>HCFC-141b</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216" w:type="dxa"/>
            </w:tcMar>
            <w:hideMark/>
          </w:tcPr>
          <w:p w14:paraId="63E5A769" w14:textId="77777777" w:rsidR="00502FEE" w:rsidRPr="00A47A8E" w:rsidRDefault="00502FEE" w:rsidP="000E7A06">
            <w:pPr>
              <w:jc w:val="right"/>
              <w:rPr>
                <w:color w:val="000000"/>
                <w:sz w:val="20"/>
                <w:szCs w:val="20"/>
              </w:rPr>
            </w:pPr>
            <w:r w:rsidRPr="00A47A8E">
              <w:rPr>
                <w:sz w:val="20"/>
                <w:szCs w:val="20"/>
              </w:rPr>
              <w:t>107,872</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7C545FDA" w14:textId="77777777" w:rsidR="00502FEE" w:rsidRPr="00A47A8E" w:rsidRDefault="00502FEE" w:rsidP="000E7A06">
            <w:pPr>
              <w:jc w:val="right"/>
              <w:rPr>
                <w:color w:val="000000"/>
                <w:sz w:val="20"/>
                <w:szCs w:val="20"/>
              </w:rPr>
            </w:pPr>
            <w:r w:rsidRPr="00A47A8E">
              <w:rPr>
                <w:sz w:val="20"/>
                <w:szCs w:val="20"/>
              </w:rPr>
              <w:t>89,452</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4BEE1FF0" w14:textId="77777777" w:rsidR="00502FEE" w:rsidRPr="00A47A8E" w:rsidRDefault="00502FEE" w:rsidP="000E7A06">
            <w:pPr>
              <w:jc w:val="right"/>
              <w:rPr>
                <w:color w:val="000000"/>
                <w:sz w:val="20"/>
                <w:szCs w:val="20"/>
              </w:rPr>
            </w:pPr>
            <w:r w:rsidRPr="00A47A8E">
              <w:rPr>
                <w:sz w:val="20"/>
                <w:szCs w:val="20"/>
              </w:rPr>
              <w:t>69,091</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094C09D7" w14:textId="77777777" w:rsidR="00502FEE" w:rsidRPr="00A47A8E" w:rsidRDefault="00502FEE" w:rsidP="000E7A06">
            <w:pPr>
              <w:jc w:val="right"/>
              <w:rPr>
                <w:color w:val="000000"/>
                <w:sz w:val="20"/>
                <w:szCs w:val="20"/>
              </w:rPr>
            </w:pPr>
            <w:r w:rsidRPr="00A47A8E">
              <w:rPr>
                <w:sz w:val="20"/>
                <w:szCs w:val="20"/>
              </w:rPr>
              <w:t>65,103</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452233CE" w14:textId="77777777" w:rsidR="00502FEE" w:rsidRPr="00A47A8E" w:rsidRDefault="00502FEE" w:rsidP="000E7A06">
            <w:pPr>
              <w:jc w:val="right"/>
              <w:rPr>
                <w:color w:val="000000"/>
                <w:sz w:val="20"/>
                <w:szCs w:val="20"/>
              </w:rPr>
            </w:pPr>
            <w:r w:rsidRPr="00A47A8E">
              <w:rPr>
                <w:sz w:val="20"/>
                <w:szCs w:val="20"/>
              </w:rPr>
              <w:t>63,493</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216" w:type="dxa"/>
            </w:tcMar>
            <w:hideMark/>
          </w:tcPr>
          <w:p w14:paraId="4C2A303D" w14:textId="77777777" w:rsidR="00502FEE" w:rsidRPr="00A47A8E" w:rsidRDefault="00502FEE" w:rsidP="000E7A06">
            <w:pPr>
              <w:jc w:val="right"/>
              <w:rPr>
                <w:color w:val="000000"/>
                <w:sz w:val="20"/>
                <w:szCs w:val="20"/>
              </w:rPr>
            </w:pPr>
            <w:r w:rsidRPr="00A47A8E">
              <w:rPr>
                <w:sz w:val="20"/>
                <w:szCs w:val="20"/>
              </w:rPr>
              <w:t>56,990</w:t>
            </w: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216" w:type="dxa"/>
            </w:tcMar>
            <w:hideMark/>
          </w:tcPr>
          <w:p w14:paraId="09897C2A" w14:textId="77777777" w:rsidR="00502FEE" w:rsidRPr="00A47A8E" w:rsidRDefault="00502FEE" w:rsidP="000E7A06">
            <w:pPr>
              <w:jc w:val="right"/>
              <w:rPr>
                <w:color w:val="000000"/>
                <w:sz w:val="20"/>
                <w:szCs w:val="20"/>
              </w:rPr>
            </w:pPr>
            <w:r w:rsidRPr="00A47A8E">
              <w:rPr>
                <w:sz w:val="20"/>
                <w:szCs w:val="20"/>
              </w:rPr>
              <w:t>52.8</w:t>
            </w:r>
          </w:p>
        </w:tc>
      </w:tr>
      <w:tr w:rsidR="00502FEE" w:rsidRPr="00A47A8E" w14:paraId="213FFEA9" w14:textId="77777777" w:rsidTr="000E7A06">
        <w:trPr>
          <w:trHeight w:val="58"/>
        </w:trPr>
        <w:tc>
          <w:tcPr>
            <w:tcW w:w="144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bottom"/>
            <w:hideMark/>
          </w:tcPr>
          <w:p w14:paraId="44EE1836" w14:textId="77777777" w:rsidR="00502FEE" w:rsidRPr="00A47A8E" w:rsidRDefault="00502FEE" w:rsidP="000E7A06">
            <w:pPr>
              <w:rPr>
                <w:color w:val="000000"/>
                <w:sz w:val="20"/>
                <w:szCs w:val="20"/>
              </w:rPr>
            </w:pPr>
            <w:r w:rsidRPr="00A47A8E">
              <w:rPr>
                <w:color w:val="000000"/>
                <w:sz w:val="20"/>
                <w:szCs w:val="20"/>
              </w:rPr>
              <w:t>HCFC-142b</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216" w:type="dxa"/>
            </w:tcMar>
            <w:hideMark/>
          </w:tcPr>
          <w:p w14:paraId="7D239812" w14:textId="77777777" w:rsidR="00502FEE" w:rsidRPr="00A47A8E" w:rsidRDefault="00502FEE" w:rsidP="000E7A06">
            <w:pPr>
              <w:jc w:val="right"/>
              <w:rPr>
                <w:color w:val="000000"/>
                <w:sz w:val="20"/>
                <w:szCs w:val="20"/>
              </w:rPr>
            </w:pPr>
            <w:r w:rsidRPr="00A47A8E">
              <w:rPr>
                <w:sz w:val="20"/>
                <w:szCs w:val="20"/>
              </w:rPr>
              <w:t>33,195</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598DDD2E" w14:textId="77777777" w:rsidR="00502FEE" w:rsidRPr="00A47A8E" w:rsidRDefault="00502FEE" w:rsidP="000E7A06">
            <w:pPr>
              <w:jc w:val="right"/>
              <w:rPr>
                <w:color w:val="000000"/>
                <w:sz w:val="20"/>
                <w:szCs w:val="20"/>
              </w:rPr>
            </w:pPr>
            <w:r w:rsidRPr="00A47A8E">
              <w:rPr>
                <w:sz w:val="20"/>
                <w:szCs w:val="20"/>
              </w:rPr>
              <w:t>15,414</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326B0441" w14:textId="77777777" w:rsidR="00502FEE" w:rsidRPr="00A47A8E" w:rsidRDefault="00502FEE" w:rsidP="000E7A06">
            <w:pPr>
              <w:jc w:val="right"/>
              <w:rPr>
                <w:color w:val="000000"/>
                <w:sz w:val="20"/>
                <w:szCs w:val="20"/>
              </w:rPr>
            </w:pPr>
            <w:r w:rsidRPr="00A47A8E">
              <w:rPr>
                <w:sz w:val="20"/>
                <w:szCs w:val="20"/>
              </w:rPr>
              <w:t>18,243</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4E8F0396" w14:textId="77777777" w:rsidR="00502FEE" w:rsidRPr="00A47A8E" w:rsidRDefault="00502FEE" w:rsidP="000E7A06">
            <w:pPr>
              <w:jc w:val="right"/>
              <w:rPr>
                <w:color w:val="000000"/>
                <w:sz w:val="20"/>
                <w:szCs w:val="20"/>
              </w:rPr>
            </w:pPr>
            <w:r w:rsidRPr="00A47A8E">
              <w:rPr>
                <w:sz w:val="20"/>
                <w:szCs w:val="20"/>
              </w:rPr>
              <w:t>15,899</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5F896064" w14:textId="77777777" w:rsidR="00502FEE" w:rsidRPr="00A47A8E" w:rsidRDefault="00502FEE" w:rsidP="000E7A06">
            <w:pPr>
              <w:jc w:val="right"/>
              <w:rPr>
                <w:color w:val="000000"/>
                <w:sz w:val="20"/>
                <w:szCs w:val="20"/>
              </w:rPr>
            </w:pPr>
            <w:r w:rsidRPr="00A47A8E">
              <w:rPr>
                <w:sz w:val="20"/>
                <w:szCs w:val="20"/>
              </w:rPr>
              <w:t>16,628</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216" w:type="dxa"/>
            </w:tcMar>
            <w:hideMark/>
          </w:tcPr>
          <w:p w14:paraId="3443C06F" w14:textId="77777777" w:rsidR="00502FEE" w:rsidRPr="00A47A8E" w:rsidRDefault="00502FEE" w:rsidP="000E7A06">
            <w:pPr>
              <w:jc w:val="right"/>
              <w:rPr>
                <w:color w:val="000000"/>
                <w:sz w:val="20"/>
                <w:szCs w:val="20"/>
              </w:rPr>
            </w:pPr>
            <w:r w:rsidRPr="00A47A8E">
              <w:rPr>
                <w:sz w:val="20"/>
                <w:szCs w:val="20"/>
              </w:rPr>
              <w:t>11,140</w:t>
            </w: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216" w:type="dxa"/>
            </w:tcMar>
            <w:hideMark/>
          </w:tcPr>
          <w:p w14:paraId="263A2F94" w14:textId="77777777" w:rsidR="00502FEE" w:rsidRPr="00A47A8E" w:rsidRDefault="00502FEE" w:rsidP="000E7A06">
            <w:pPr>
              <w:jc w:val="right"/>
              <w:rPr>
                <w:color w:val="000000"/>
                <w:sz w:val="20"/>
                <w:szCs w:val="20"/>
              </w:rPr>
            </w:pPr>
            <w:r w:rsidRPr="00A47A8E">
              <w:rPr>
                <w:sz w:val="20"/>
                <w:szCs w:val="20"/>
              </w:rPr>
              <w:t>33.6</w:t>
            </w:r>
          </w:p>
        </w:tc>
      </w:tr>
      <w:tr w:rsidR="00502FEE" w:rsidRPr="00A47A8E" w14:paraId="25E9672E" w14:textId="77777777" w:rsidTr="000E7A06">
        <w:trPr>
          <w:trHeight w:val="58"/>
        </w:trPr>
        <w:tc>
          <w:tcPr>
            <w:tcW w:w="144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bottom"/>
            <w:hideMark/>
          </w:tcPr>
          <w:p w14:paraId="2F194E38" w14:textId="77777777" w:rsidR="00502FEE" w:rsidRPr="00A47A8E" w:rsidRDefault="00502FEE" w:rsidP="000E7A06">
            <w:pPr>
              <w:rPr>
                <w:b/>
                <w:color w:val="000000"/>
                <w:sz w:val="20"/>
                <w:szCs w:val="20"/>
              </w:rPr>
            </w:pPr>
            <w:r>
              <w:rPr>
                <w:b/>
                <w:color w:val="000000"/>
                <w:sz w:val="20"/>
                <w:szCs w:val="20"/>
              </w:rPr>
              <w:t>Actual</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216" w:type="dxa"/>
            </w:tcMar>
            <w:hideMark/>
          </w:tcPr>
          <w:p w14:paraId="78DA965A" w14:textId="77777777" w:rsidR="00502FEE" w:rsidRPr="00A47A8E" w:rsidRDefault="00502FEE" w:rsidP="000E7A06">
            <w:pPr>
              <w:jc w:val="right"/>
              <w:rPr>
                <w:color w:val="000000"/>
                <w:sz w:val="20"/>
                <w:szCs w:val="20"/>
              </w:rPr>
            </w:pPr>
            <w:r w:rsidRPr="00A47A8E">
              <w:rPr>
                <w:sz w:val="20"/>
                <w:szCs w:val="20"/>
              </w:rPr>
              <w:t>535,722</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74C6FCFE" w14:textId="77777777" w:rsidR="00502FEE" w:rsidRPr="00A47A8E" w:rsidRDefault="00502FEE" w:rsidP="000E7A06">
            <w:pPr>
              <w:jc w:val="right"/>
              <w:rPr>
                <w:color w:val="000000"/>
                <w:sz w:val="20"/>
                <w:szCs w:val="20"/>
              </w:rPr>
            </w:pPr>
            <w:r w:rsidRPr="00A47A8E">
              <w:rPr>
                <w:sz w:val="20"/>
                <w:szCs w:val="20"/>
              </w:rPr>
              <w:t>446,073</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10E497AF" w14:textId="77777777" w:rsidR="00502FEE" w:rsidRPr="00A47A8E" w:rsidRDefault="00502FEE" w:rsidP="000E7A06">
            <w:pPr>
              <w:jc w:val="right"/>
              <w:rPr>
                <w:color w:val="000000"/>
                <w:sz w:val="20"/>
                <w:szCs w:val="20"/>
              </w:rPr>
            </w:pPr>
            <w:r w:rsidRPr="00A47A8E">
              <w:rPr>
                <w:sz w:val="20"/>
                <w:szCs w:val="20"/>
              </w:rPr>
              <w:t>385,840</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2C9BCE58" w14:textId="77777777" w:rsidR="00502FEE" w:rsidRPr="00A47A8E" w:rsidRDefault="00502FEE" w:rsidP="000E7A06">
            <w:pPr>
              <w:jc w:val="right"/>
              <w:rPr>
                <w:color w:val="000000"/>
                <w:sz w:val="20"/>
                <w:szCs w:val="20"/>
              </w:rPr>
            </w:pPr>
            <w:r w:rsidRPr="00A47A8E">
              <w:rPr>
                <w:sz w:val="20"/>
                <w:szCs w:val="20"/>
              </w:rPr>
              <w:t>382,005</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216" w:type="dxa"/>
            </w:tcMar>
            <w:hideMark/>
          </w:tcPr>
          <w:p w14:paraId="7047E187" w14:textId="77777777" w:rsidR="00502FEE" w:rsidRPr="00A47A8E" w:rsidRDefault="00502FEE" w:rsidP="000E7A06">
            <w:pPr>
              <w:jc w:val="right"/>
              <w:rPr>
                <w:color w:val="000000"/>
                <w:sz w:val="20"/>
                <w:szCs w:val="20"/>
              </w:rPr>
            </w:pPr>
            <w:r w:rsidRPr="00A47A8E">
              <w:rPr>
                <w:sz w:val="20"/>
                <w:szCs w:val="20"/>
              </w:rPr>
              <w:t>376,380</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216" w:type="dxa"/>
            </w:tcMar>
            <w:hideMark/>
          </w:tcPr>
          <w:p w14:paraId="10A3F6E6" w14:textId="77777777" w:rsidR="00502FEE" w:rsidRPr="00A47A8E" w:rsidRDefault="00502FEE" w:rsidP="000E7A06">
            <w:pPr>
              <w:jc w:val="right"/>
              <w:rPr>
                <w:color w:val="000000"/>
                <w:sz w:val="20"/>
                <w:szCs w:val="20"/>
              </w:rPr>
            </w:pPr>
            <w:r w:rsidRPr="00A47A8E">
              <w:rPr>
                <w:sz w:val="20"/>
                <w:szCs w:val="20"/>
              </w:rPr>
              <w:t>365,131</w:t>
            </w: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216" w:type="dxa"/>
            </w:tcMar>
            <w:hideMark/>
          </w:tcPr>
          <w:p w14:paraId="7D439CF5" w14:textId="77777777" w:rsidR="00502FEE" w:rsidRPr="00A47A8E" w:rsidRDefault="00502FEE" w:rsidP="000E7A06">
            <w:pPr>
              <w:jc w:val="right"/>
              <w:rPr>
                <w:color w:val="000000"/>
                <w:sz w:val="20"/>
                <w:szCs w:val="20"/>
              </w:rPr>
            </w:pPr>
            <w:r w:rsidRPr="00A47A8E">
              <w:rPr>
                <w:sz w:val="20"/>
                <w:szCs w:val="20"/>
              </w:rPr>
              <w:t>68.2</w:t>
            </w:r>
          </w:p>
        </w:tc>
      </w:tr>
      <w:tr w:rsidR="00502FEE" w:rsidRPr="00A47A8E" w14:paraId="288392C1" w14:textId="77777777" w:rsidTr="000E7A06">
        <w:trPr>
          <w:trHeight w:val="58"/>
        </w:trPr>
        <w:tc>
          <w:tcPr>
            <w:tcW w:w="144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center"/>
            <w:hideMark/>
          </w:tcPr>
          <w:p w14:paraId="06281313" w14:textId="77777777" w:rsidR="00502FEE" w:rsidRPr="00A47A8E" w:rsidRDefault="00502FEE" w:rsidP="000E7A06">
            <w:pPr>
              <w:jc w:val="left"/>
              <w:rPr>
                <w:b/>
                <w:sz w:val="20"/>
                <w:szCs w:val="20"/>
                <w:lang w:val="en-CA" w:eastAsia="en-CA"/>
              </w:rPr>
            </w:pPr>
            <w:r w:rsidRPr="00A47A8E">
              <w:rPr>
                <w:b/>
                <w:sz w:val="20"/>
                <w:szCs w:val="20"/>
                <w:lang w:val="en-CA" w:eastAsia="en-CA"/>
              </w:rPr>
              <w:lastRenderedPageBreak/>
              <w:t>Allow</w:t>
            </w:r>
            <w:r>
              <w:rPr>
                <w:b/>
                <w:sz w:val="20"/>
                <w:szCs w:val="20"/>
                <w:lang w:val="en-CA" w:eastAsia="en-CA"/>
              </w:rPr>
              <w:t>able</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173" w:type="dxa"/>
            </w:tcMar>
          </w:tcPr>
          <w:p w14:paraId="4A707EB1" w14:textId="77777777" w:rsidR="00502FEE" w:rsidRPr="00A47A8E" w:rsidRDefault="00502FEE" w:rsidP="000E7A06">
            <w:pPr>
              <w:jc w:val="right"/>
              <w:rPr>
                <w:sz w:val="20"/>
                <w:szCs w:val="20"/>
                <w:lang w:val="en-CA" w:eastAsia="en-CA"/>
              </w:rPr>
            </w:pPr>
            <w:r w:rsidRPr="00A47A8E">
              <w:rPr>
                <w:sz w:val="20"/>
                <w:szCs w:val="20"/>
              </w:rPr>
              <w:t>535,722</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73" w:type="dxa"/>
            </w:tcMar>
            <w:hideMark/>
          </w:tcPr>
          <w:p w14:paraId="58B92E61" w14:textId="77777777" w:rsidR="00502FEE" w:rsidRPr="00A47A8E" w:rsidRDefault="00502FEE" w:rsidP="000E7A06">
            <w:pPr>
              <w:jc w:val="right"/>
              <w:rPr>
                <w:color w:val="000000"/>
                <w:sz w:val="20"/>
                <w:szCs w:val="20"/>
                <w:lang w:val="en-CA"/>
              </w:rPr>
            </w:pPr>
            <w:r w:rsidRPr="00A47A8E">
              <w:rPr>
                <w:sz w:val="20"/>
                <w:szCs w:val="20"/>
              </w:rPr>
              <w:t>535,722</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73" w:type="dxa"/>
            </w:tcMar>
            <w:hideMark/>
          </w:tcPr>
          <w:p w14:paraId="53353686" w14:textId="77777777" w:rsidR="00502FEE" w:rsidRPr="00A47A8E" w:rsidRDefault="00502FEE" w:rsidP="000E7A06">
            <w:pPr>
              <w:jc w:val="right"/>
              <w:rPr>
                <w:color w:val="000000"/>
                <w:sz w:val="20"/>
                <w:szCs w:val="20"/>
              </w:rPr>
            </w:pPr>
            <w:r w:rsidRPr="00A47A8E">
              <w:rPr>
                <w:sz w:val="20"/>
                <w:szCs w:val="20"/>
              </w:rPr>
              <w:t>482,150</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73" w:type="dxa"/>
            </w:tcMar>
            <w:hideMark/>
          </w:tcPr>
          <w:p w14:paraId="3B79931D" w14:textId="77777777" w:rsidR="00502FEE" w:rsidRPr="00A47A8E" w:rsidRDefault="00502FEE" w:rsidP="000E7A06">
            <w:pPr>
              <w:jc w:val="right"/>
              <w:rPr>
                <w:color w:val="000000"/>
                <w:sz w:val="20"/>
                <w:szCs w:val="20"/>
              </w:rPr>
            </w:pPr>
            <w:r w:rsidRPr="00A47A8E">
              <w:rPr>
                <w:sz w:val="20"/>
                <w:szCs w:val="20"/>
              </w:rPr>
              <w:t>482,150</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73" w:type="dxa"/>
            </w:tcMar>
            <w:hideMark/>
          </w:tcPr>
          <w:p w14:paraId="420D909C" w14:textId="77777777" w:rsidR="00502FEE" w:rsidRPr="00A47A8E" w:rsidRDefault="00502FEE" w:rsidP="000E7A06">
            <w:pPr>
              <w:jc w:val="right"/>
              <w:rPr>
                <w:color w:val="000000"/>
                <w:sz w:val="20"/>
                <w:szCs w:val="20"/>
              </w:rPr>
            </w:pPr>
            <w:r w:rsidRPr="00A47A8E">
              <w:rPr>
                <w:sz w:val="20"/>
                <w:szCs w:val="20"/>
              </w:rPr>
              <w:t>482,150</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173" w:type="dxa"/>
            </w:tcMar>
            <w:hideMark/>
          </w:tcPr>
          <w:p w14:paraId="1D7178AE" w14:textId="77777777" w:rsidR="00502FEE" w:rsidRPr="00A47A8E" w:rsidRDefault="00502FEE" w:rsidP="000E7A06">
            <w:pPr>
              <w:jc w:val="right"/>
              <w:rPr>
                <w:color w:val="000000"/>
                <w:sz w:val="20"/>
                <w:szCs w:val="20"/>
              </w:rPr>
            </w:pPr>
            <w:r w:rsidRPr="00A47A8E">
              <w:rPr>
                <w:sz w:val="20"/>
                <w:szCs w:val="20"/>
              </w:rPr>
              <w:t>482,150</w:t>
            </w: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173" w:type="dxa"/>
            </w:tcMar>
          </w:tcPr>
          <w:p w14:paraId="252F740B" w14:textId="77777777" w:rsidR="00502FEE" w:rsidRPr="00A47A8E" w:rsidRDefault="00502FEE" w:rsidP="000E7A06">
            <w:pPr>
              <w:jc w:val="right"/>
              <w:rPr>
                <w:sz w:val="20"/>
                <w:szCs w:val="20"/>
                <w:lang w:val="en-CA" w:eastAsia="en-CA"/>
              </w:rPr>
            </w:pPr>
            <w:r w:rsidRPr="00A47A8E">
              <w:rPr>
                <w:sz w:val="20"/>
                <w:szCs w:val="20"/>
              </w:rPr>
              <w:t xml:space="preserve"> </w:t>
            </w:r>
          </w:p>
        </w:tc>
      </w:tr>
      <w:tr w:rsidR="00502FEE" w:rsidRPr="00A47A8E" w14:paraId="409C47C6" w14:textId="77777777" w:rsidTr="000E7A06">
        <w:trPr>
          <w:trHeight w:val="58"/>
        </w:trPr>
        <w:tc>
          <w:tcPr>
            <w:tcW w:w="1440"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0" w:type="dxa"/>
            </w:tcMar>
            <w:vAlign w:val="center"/>
            <w:hideMark/>
          </w:tcPr>
          <w:p w14:paraId="5AA1B7E6" w14:textId="77777777" w:rsidR="00502FEE" w:rsidRPr="00A47A8E" w:rsidRDefault="00502FEE" w:rsidP="000E7A06">
            <w:pPr>
              <w:jc w:val="left"/>
              <w:rPr>
                <w:sz w:val="20"/>
                <w:szCs w:val="20"/>
                <w:lang w:val="en-CA" w:eastAsia="en-CA"/>
              </w:rPr>
            </w:pPr>
            <w:r w:rsidRPr="00A47A8E">
              <w:rPr>
                <w:sz w:val="20"/>
                <w:szCs w:val="20"/>
                <w:lang w:val="en-CA" w:eastAsia="en-CA"/>
              </w:rPr>
              <w:t>Difference</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173" w:type="dxa"/>
            </w:tcMar>
          </w:tcPr>
          <w:p w14:paraId="0918DED4" w14:textId="77777777" w:rsidR="00502FEE" w:rsidRPr="00A47A8E" w:rsidRDefault="00502FEE" w:rsidP="000E7A06">
            <w:pPr>
              <w:jc w:val="right"/>
              <w:rPr>
                <w:sz w:val="20"/>
                <w:szCs w:val="20"/>
                <w:lang w:val="en-CA" w:eastAsia="en-CA"/>
              </w:rPr>
            </w:pPr>
            <w:r w:rsidRPr="00A47A8E">
              <w:rPr>
                <w:sz w:val="20"/>
                <w:szCs w:val="20"/>
              </w:rPr>
              <w:t xml:space="preserve"> </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73" w:type="dxa"/>
            </w:tcMar>
            <w:hideMark/>
          </w:tcPr>
          <w:p w14:paraId="1A29308D" w14:textId="77777777" w:rsidR="00502FEE" w:rsidRPr="00A47A8E" w:rsidRDefault="00502FEE" w:rsidP="000E7A06">
            <w:pPr>
              <w:jc w:val="right"/>
              <w:rPr>
                <w:color w:val="000000"/>
                <w:sz w:val="20"/>
                <w:szCs w:val="20"/>
              </w:rPr>
            </w:pPr>
            <w:r>
              <w:rPr>
                <w:sz w:val="20"/>
                <w:szCs w:val="20"/>
              </w:rPr>
              <w:t>(</w:t>
            </w:r>
            <w:r w:rsidRPr="00A47A8E">
              <w:rPr>
                <w:sz w:val="20"/>
                <w:szCs w:val="20"/>
              </w:rPr>
              <w:t>89,649</w:t>
            </w:r>
            <w:r>
              <w:rPr>
                <w:sz w:val="20"/>
                <w:szCs w:val="20"/>
              </w:rPr>
              <w:t>)</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73" w:type="dxa"/>
            </w:tcMar>
            <w:hideMark/>
          </w:tcPr>
          <w:p w14:paraId="39385A47" w14:textId="77777777" w:rsidR="00502FEE" w:rsidRPr="00A47A8E" w:rsidRDefault="00502FEE" w:rsidP="000E7A06">
            <w:pPr>
              <w:jc w:val="right"/>
              <w:rPr>
                <w:color w:val="000000"/>
                <w:sz w:val="20"/>
                <w:szCs w:val="20"/>
              </w:rPr>
            </w:pPr>
            <w:r>
              <w:rPr>
                <w:sz w:val="20"/>
                <w:szCs w:val="20"/>
              </w:rPr>
              <w:t>(</w:t>
            </w:r>
            <w:r w:rsidRPr="00A47A8E">
              <w:rPr>
                <w:sz w:val="20"/>
                <w:szCs w:val="20"/>
              </w:rPr>
              <w:t>96,310</w:t>
            </w:r>
            <w:r>
              <w:rPr>
                <w:sz w:val="20"/>
                <w:szCs w:val="20"/>
              </w:rPr>
              <w:t>)</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73" w:type="dxa"/>
            </w:tcMar>
            <w:hideMark/>
          </w:tcPr>
          <w:p w14:paraId="41EC3374" w14:textId="77777777" w:rsidR="00502FEE" w:rsidRPr="00A47A8E" w:rsidRDefault="00502FEE" w:rsidP="000E7A06">
            <w:pPr>
              <w:jc w:val="right"/>
              <w:rPr>
                <w:color w:val="000000"/>
                <w:sz w:val="20"/>
                <w:szCs w:val="20"/>
              </w:rPr>
            </w:pPr>
            <w:r>
              <w:rPr>
                <w:sz w:val="20"/>
                <w:szCs w:val="20"/>
              </w:rPr>
              <w:t>(</w:t>
            </w:r>
            <w:r w:rsidRPr="00A47A8E">
              <w:rPr>
                <w:sz w:val="20"/>
                <w:szCs w:val="20"/>
              </w:rPr>
              <w:t>100,145</w:t>
            </w:r>
            <w:r>
              <w:rPr>
                <w:sz w:val="20"/>
                <w:szCs w:val="20"/>
              </w:rPr>
              <w:t>)</w:t>
            </w:r>
          </w:p>
        </w:tc>
        <w:tc>
          <w:tcPr>
            <w:tcW w:w="1157"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73" w:type="dxa"/>
            </w:tcMar>
            <w:hideMark/>
          </w:tcPr>
          <w:p w14:paraId="1D7EC4EE" w14:textId="77777777" w:rsidR="00502FEE" w:rsidRPr="00A47A8E" w:rsidRDefault="00502FEE" w:rsidP="000E7A06">
            <w:pPr>
              <w:jc w:val="right"/>
              <w:rPr>
                <w:color w:val="000000"/>
                <w:sz w:val="20"/>
                <w:szCs w:val="20"/>
              </w:rPr>
            </w:pPr>
            <w:r>
              <w:rPr>
                <w:sz w:val="20"/>
                <w:szCs w:val="20"/>
              </w:rPr>
              <w:t>(</w:t>
            </w:r>
            <w:r w:rsidRPr="00A47A8E">
              <w:rPr>
                <w:sz w:val="20"/>
                <w:szCs w:val="20"/>
              </w:rPr>
              <w:t>105,770</w:t>
            </w:r>
            <w:r>
              <w:rPr>
                <w:sz w:val="20"/>
                <w:szCs w:val="20"/>
              </w:rPr>
              <w:t>)</w:t>
            </w:r>
          </w:p>
        </w:tc>
        <w:tc>
          <w:tcPr>
            <w:tcW w:w="1157" w:type="dxa"/>
            <w:tcBorders>
              <w:top w:val="single" w:sz="4" w:space="0" w:color="auto"/>
              <w:left w:val="single" w:sz="4" w:space="0" w:color="auto"/>
              <w:bottom w:val="single" w:sz="4" w:space="0" w:color="auto"/>
              <w:right w:val="single" w:sz="4" w:space="0" w:color="auto"/>
            </w:tcBorders>
            <w:tcMar>
              <w:top w:w="0" w:type="dxa"/>
              <w:left w:w="115" w:type="dxa"/>
              <w:bottom w:w="0" w:type="dxa"/>
              <w:right w:w="173" w:type="dxa"/>
            </w:tcMar>
            <w:hideMark/>
          </w:tcPr>
          <w:p w14:paraId="2355A57F" w14:textId="77777777" w:rsidR="00502FEE" w:rsidRPr="00A47A8E" w:rsidRDefault="00502FEE" w:rsidP="000E7A06">
            <w:pPr>
              <w:jc w:val="right"/>
              <w:rPr>
                <w:color w:val="000000"/>
                <w:sz w:val="20"/>
                <w:szCs w:val="20"/>
              </w:rPr>
            </w:pPr>
            <w:r>
              <w:rPr>
                <w:sz w:val="20"/>
                <w:szCs w:val="20"/>
              </w:rPr>
              <w:t>(</w:t>
            </w:r>
            <w:r w:rsidRPr="00A47A8E">
              <w:rPr>
                <w:sz w:val="20"/>
                <w:szCs w:val="20"/>
              </w:rPr>
              <w:t>117,019</w:t>
            </w:r>
            <w:r>
              <w:rPr>
                <w:sz w:val="20"/>
                <w:szCs w:val="20"/>
              </w:rPr>
              <w:t>)</w:t>
            </w:r>
          </w:p>
        </w:tc>
        <w:tc>
          <w:tcPr>
            <w:tcW w:w="978" w:type="dxa"/>
            <w:tcBorders>
              <w:top w:val="single" w:sz="4" w:space="0" w:color="auto"/>
              <w:left w:val="single" w:sz="4" w:space="0" w:color="auto"/>
              <w:bottom w:val="single" w:sz="4" w:space="0" w:color="auto"/>
              <w:right w:val="single" w:sz="4" w:space="0" w:color="auto"/>
            </w:tcBorders>
            <w:tcMar>
              <w:top w:w="0" w:type="dxa"/>
              <w:left w:w="115" w:type="dxa"/>
              <w:bottom w:w="0" w:type="dxa"/>
              <w:right w:w="173" w:type="dxa"/>
            </w:tcMar>
          </w:tcPr>
          <w:p w14:paraId="27BAB41B" w14:textId="77777777" w:rsidR="00502FEE" w:rsidRPr="00A47A8E" w:rsidRDefault="00502FEE" w:rsidP="000E7A06">
            <w:pPr>
              <w:jc w:val="right"/>
              <w:rPr>
                <w:sz w:val="20"/>
                <w:szCs w:val="20"/>
                <w:lang w:val="en-CA" w:eastAsia="en-CA"/>
              </w:rPr>
            </w:pPr>
            <w:r w:rsidRPr="00A47A8E">
              <w:rPr>
                <w:sz w:val="20"/>
                <w:szCs w:val="20"/>
              </w:rPr>
              <w:t xml:space="preserve"> </w:t>
            </w:r>
          </w:p>
        </w:tc>
      </w:tr>
    </w:tbl>
    <w:p w14:paraId="467A5A36" w14:textId="77777777" w:rsidR="00502FEE" w:rsidRDefault="00502FEE" w:rsidP="00502FEE"/>
    <w:p w14:paraId="5EE396F1" w14:textId="1C4E18A9" w:rsidR="00502FEE" w:rsidRDefault="00502FEE" w:rsidP="001277B2">
      <w:pPr>
        <w:pStyle w:val="Heading1"/>
      </w:pPr>
      <w:r>
        <w:t>Considering that the HPMPs approved so far will address the phase-out of approximately 60.6</w:t>
      </w:r>
      <w:r w:rsidR="00634E2F">
        <w:t> </w:t>
      </w:r>
      <w:r>
        <w:t>per</w:t>
      </w:r>
      <w:r w:rsidR="00634E2F">
        <w:t> </w:t>
      </w:r>
      <w:r>
        <w:t xml:space="preserve">cent of the HCFC baseline once completed, and that additional stages of HPMPs will be approved possibly prior to 2025, it is expected that the 2020-2030 levels of consumption of HCFCs will likely be lower than those indicated in Table 4. </w:t>
      </w:r>
    </w:p>
    <w:p w14:paraId="5C2286C6" w14:textId="77777777" w:rsidR="00502FEE" w:rsidRPr="00F614FE" w:rsidRDefault="00502FEE" w:rsidP="00502FEE">
      <w:pPr>
        <w:pStyle w:val="Heading1"/>
        <w:widowControl w:val="0"/>
        <w:numPr>
          <w:ilvl w:val="0"/>
          <w:numId w:val="0"/>
        </w:numPr>
        <w:tabs>
          <w:tab w:val="num" w:pos="720"/>
        </w:tabs>
        <w:rPr>
          <w:b/>
        </w:rPr>
      </w:pPr>
      <w:r w:rsidRPr="00F614FE">
        <w:rPr>
          <w:b/>
        </w:rPr>
        <w:t>Distribution of HCFCs and HFCs in the manufacturing and refrigeration servicing sectors</w:t>
      </w:r>
    </w:p>
    <w:p w14:paraId="339930FF" w14:textId="7C07E7B4" w:rsidR="00502FEE" w:rsidRDefault="00502FEE" w:rsidP="00502FEE">
      <w:pPr>
        <w:pStyle w:val="Heading1"/>
      </w:pPr>
      <w:r>
        <w:t xml:space="preserve">Information from approved HPMPs shows that in 95 countries (mostly categorized as </w:t>
      </w:r>
      <w:r>
        <w:rPr>
          <w:lang w:val="en-CA"/>
        </w:rPr>
        <w:t>low</w:t>
      </w:r>
      <w:r w:rsidR="00634E2F">
        <w:rPr>
          <w:lang w:val="en-CA"/>
        </w:rPr>
        <w:noBreakHyphen/>
      </w:r>
      <w:r>
        <w:rPr>
          <w:lang w:val="en-CA"/>
        </w:rPr>
        <w:t>volume</w:t>
      </w:r>
      <w:r w:rsidR="00634E2F">
        <w:rPr>
          <w:lang w:val="en-CA"/>
        </w:rPr>
        <w:noBreakHyphen/>
      </w:r>
      <w:r>
        <w:rPr>
          <w:lang w:val="en-CA"/>
        </w:rPr>
        <w:t xml:space="preserve">consuming (LVC) </w:t>
      </w:r>
      <w:r>
        <w:t>countries) HCFCs are solely used in the refrigeration servicing sector; for the remaining 50 countries, HCFCs are used both in the manufacturi</w:t>
      </w:r>
      <w:r w:rsidR="00634E2F">
        <w:t>ng sector (namely PU</w:t>
      </w:r>
      <w:r>
        <w:t xml:space="preserve"> and XPS foams, room AC, commercial refrigeration, aerosols and solvents), and in the refrigeration servicing sector. </w:t>
      </w:r>
    </w:p>
    <w:p w14:paraId="16F98307" w14:textId="77777777" w:rsidR="00502FEE" w:rsidRDefault="00502FEE" w:rsidP="00502FEE">
      <w:pPr>
        <w:pStyle w:val="Heading1"/>
      </w:pPr>
      <w:r>
        <w:rPr>
          <w:lang w:val="en-CA"/>
        </w:rPr>
        <w:t xml:space="preserve">Information in the reports prepared by the TEAP Task Force shows that over 95 per cent of the total HFC consumption in Article 5 countries is in the RAC sector, as shown in Table 6. </w:t>
      </w:r>
    </w:p>
    <w:p w14:paraId="7D245597" w14:textId="77777777" w:rsidR="00502FEE" w:rsidRDefault="00502FEE" w:rsidP="00502FEE">
      <w:pPr>
        <w:keepNext/>
        <w:keepLines/>
        <w:rPr>
          <w:b/>
          <w:lang w:val="en-CA"/>
        </w:rPr>
      </w:pPr>
      <w:r>
        <w:rPr>
          <w:b/>
          <w:lang w:val="en-CA"/>
        </w:rPr>
        <w:t xml:space="preserve">Table 6. Distribution of HFC consumption in Article 5 countries </w:t>
      </w:r>
    </w:p>
    <w:tbl>
      <w:tblPr>
        <w:tblW w:w="0" w:type="dxa"/>
        <w:tblLayout w:type="fixed"/>
        <w:tblLook w:val="04A0" w:firstRow="1" w:lastRow="0" w:firstColumn="1" w:lastColumn="0" w:noHBand="0" w:noVBand="1"/>
      </w:tblPr>
      <w:tblGrid>
        <w:gridCol w:w="3055"/>
        <w:gridCol w:w="1575"/>
        <w:gridCol w:w="1575"/>
        <w:gridCol w:w="1575"/>
        <w:gridCol w:w="1575"/>
      </w:tblGrid>
      <w:tr w:rsidR="00502FEE" w14:paraId="040F7C60" w14:textId="77777777" w:rsidTr="000E7A06">
        <w:trPr>
          <w:tblHead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75F48EF1" w14:textId="77777777" w:rsidR="00502FEE" w:rsidRPr="00641A6D" w:rsidRDefault="00502FEE" w:rsidP="000E7A06">
            <w:pPr>
              <w:jc w:val="left"/>
              <w:rPr>
                <w:b/>
                <w:color w:val="000000"/>
                <w:sz w:val="20"/>
                <w:szCs w:val="20"/>
                <w:lang w:val="en-CA" w:eastAsia="en-CA"/>
              </w:rPr>
            </w:pPr>
            <w:r w:rsidRPr="00641A6D">
              <w:rPr>
                <w:b/>
                <w:color w:val="000000"/>
                <w:sz w:val="20"/>
                <w:szCs w:val="20"/>
                <w:lang w:val="en-CA" w:eastAsia="en-CA"/>
              </w:rPr>
              <w:t>Sector</w:t>
            </w:r>
          </w:p>
        </w:tc>
        <w:tc>
          <w:tcPr>
            <w:tcW w:w="1575" w:type="dxa"/>
            <w:tcBorders>
              <w:top w:val="single" w:sz="4" w:space="0" w:color="auto"/>
              <w:left w:val="nil"/>
              <w:bottom w:val="single" w:sz="4" w:space="0" w:color="auto"/>
              <w:right w:val="single" w:sz="4" w:space="0" w:color="auto"/>
            </w:tcBorders>
            <w:noWrap/>
            <w:vAlign w:val="center"/>
            <w:hideMark/>
          </w:tcPr>
          <w:p w14:paraId="421CB4F4" w14:textId="77777777" w:rsidR="00502FEE" w:rsidRPr="00641A6D" w:rsidRDefault="00502FEE" w:rsidP="000E7A06">
            <w:pPr>
              <w:jc w:val="center"/>
              <w:rPr>
                <w:b/>
                <w:color w:val="000000"/>
                <w:sz w:val="20"/>
                <w:szCs w:val="20"/>
                <w:lang w:val="en-CA" w:eastAsia="en-CA"/>
              </w:rPr>
            </w:pPr>
            <w:r w:rsidRPr="00641A6D">
              <w:rPr>
                <w:b/>
                <w:color w:val="000000"/>
                <w:sz w:val="20"/>
                <w:szCs w:val="20"/>
                <w:lang w:val="en-CA" w:eastAsia="en-CA"/>
              </w:rPr>
              <w:t>2015</w:t>
            </w:r>
          </w:p>
        </w:tc>
        <w:tc>
          <w:tcPr>
            <w:tcW w:w="1575" w:type="dxa"/>
            <w:tcBorders>
              <w:top w:val="single" w:sz="4" w:space="0" w:color="auto"/>
              <w:left w:val="nil"/>
              <w:bottom w:val="single" w:sz="4" w:space="0" w:color="auto"/>
              <w:right w:val="single" w:sz="4" w:space="0" w:color="auto"/>
            </w:tcBorders>
            <w:noWrap/>
            <w:vAlign w:val="center"/>
            <w:hideMark/>
          </w:tcPr>
          <w:p w14:paraId="6256C2CA" w14:textId="77777777" w:rsidR="00502FEE" w:rsidRPr="00641A6D" w:rsidRDefault="00502FEE" w:rsidP="000E7A06">
            <w:pPr>
              <w:jc w:val="center"/>
              <w:rPr>
                <w:b/>
                <w:color w:val="000000"/>
                <w:sz w:val="20"/>
                <w:szCs w:val="20"/>
                <w:lang w:val="en-CA" w:eastAsia="en-CA"/>
              </w:rPr>
            </w:pPr>
            <w:r w:rsidRPr="00641A6D">
              <w:rPr>
                <w:b/>
                <w:color w:val="000000"/>
                <w:sz w:val="20"/>
                <w:szCs w:val="20"/>
                <w:lang w:val="en-CA" w:eastAsia="en-CA"/>
              </w:rPr>
              <w:t>2020</w:t>
            </w:r>
          </w:p>
        </w:tc>
        <w:tc>
          <w:tcPr>
            <w:tcW w:w="1575" w:type="dxa"/>
            <w:tcBorders>
              <w:top w:val="single" w:sz="4" w:space="0" w:color="auto"/>
              <w:left w:val="nil"/>
              <w:bottom w:val="single" w:sz="4" w:space="0" w:color="auto"/>
              <w:right w:val="single" w:sz="4" w:space="0" w:color="auto"/>
            </w:tcBorders>
            <w:noWrap/>
            <w:vAlign w:val="center"/>
            <w:hideMark/>
          </w:tcPr>
          <w:p w14:paraId="357BAA88" w14:textId="77777777" w:rsidR="00502FEE" w:rsidRPr="00641A6D" w:rsidRDefault="00502FEE" w:rsidP="000E7A06">
            <w:pPr>
              <w:jc w:val="center"/>
              <w:rPr>
                <w:b/>
                <w:color w:val="000000"/>
                <w:sz w:val="20"/>
                <w:szCs w:val="20"/>
                <w:lang w:val="en-CA" w:eastAsia="en-CA"/>
              </w:rPr>
            </w:pPr>
            <w:r w:rsidRPr="00641A6D">
              <w:rPr>
                <w:b/>
                <w:color w:val="000000"/>
                <w:sz w:val="20"/>
                <w:szCs w:val="20"/>
                <w:lang w:val="en-CA" w:eastAsia="en-CA"/>
              </w:rPr>
              <w:t>2025</w:t>
            </w:r>
          </w:p>
        </w:tc>
        <w:tc>
          <w:tcPr>
            <w:tcW w:w="1575" w:type="dxa"/>
            <w:tcBorders>
              <w:top w:val="single" w:sz="4" w:space="0" w:color="auto"/>
              <w:left w:val="nil"/>
              <w:bottom w:val="single" w:sz="4" w:space="0" w:color="auto"/>
              <w:right w:val="single" w:sz="4" w:space="0" w:color="auto"/>
            </w:tcBorders>
            <w:noWrap/>
            <w:vAlign w:val="center"/>
            <w:hideMark/>
          </w:tcPr>
          <w:p w14:paraId="6449F381" w14:textId="77777777" w:rsidR="00502FEE" w:rsidRPr="00641A6D" w:rsidRDefault="00502FEE" w:rsidP="000E7A06">
            <w:pPr>
              <w:jc w:val="center"/>
              <w:rPr>
                <w:b/>
                <w:color w:val="000000"/>
                <w:sz w:val="20"/>
                <w:szCs w:val="20"/>
                <w:lang w:val="en-CA" w:eastAsia="en-CA"/>
              </w:rPr>
            </w:pPr>
            <w:r w:rsidRPr="00641A6D">
              <w:rPr>
                <w:b/>
                <w:color w:val="000000"/>
                <w:sz w:val="20"/>
                <w:szCs w:val="20"/>
                <w:lang w:val="en-CA" w:eastAsia="en-CA"/>
              </w:rPr>
              <w:t>2030</w:t>
            </w:r>
          </w:p>
        </w:tc>
      </w:tr>
      <w:tr w:rsidR="00502FEE" w14:paraId="01B29493" w14:textId="77777777" w:rsidTr="000E7A06">
        <w:tc>
          <w:tcPr>
            <w:tcW w:w="3055" w:type="dxa"/>
            <w:tcBorders>
              <w:top w:val="nil"/>
              <w:left w:val="single" w:sz="4" w:space="0" w:color="auto"/>
              <w:bottom w:val="single" w:sz="4" w:space="0" w:color="auto"/>
              <w:right w:val="single" w:sz="4" w:space="0" w:color="auto"/>
            </w:tcBorders>
            <w:noWrap/>
            <w:vAlign w:val="bottom"/>
            <w:hideMark/>
          </w:tcPr>
          <w:p w14:paraId="6123208D" w14:textId="77777777" w:rsidR="00502FEE" w:rsidRPr="00641A6D" w:rsidRDefault="00502FEE" w:rsidP="000E7A06">
            <w:pPr>
              <w:jc w:val="left"/>
              <w:rPr>
                <w:b/>
                <w:color w:val="000000"/>
                <w:sz w:val="20"/>
                <w:szCs w:val="20"/>
                <w:lang w:val="en-CA" w:eastAsia="en-CA"/>
              </w:rPr>
            </w:pPr>
            <w:r w:rsidRPr="00641A6D">
              <w:rPr>
                <w:b/>
                <w:color w:val="000000"/>
                <w:sz w:val="20"/>
                <w:szCs w:val="20"/>
                <w:lang w:val="en-CA" w:eastAsia="en-CA"/>
              </w:rPr>
              <w:t>Metric tonnes</w:t>
            </w:r>
          </w:p>
        </w:tc>
        <w:tc>
          <w:tcPr>
            <w:tcW w:w="1575" w:type="dxa"/>
            <w:tcBorders>
              <w:top w:val="nil"/>
              <w:left w:val="nil"/>
              <w:bottom w:val="single" w:sz="4" w:space="0" w:color="auto"/>
              <w:right w:val="single" w:sz="4" w:space="0" w:color="auto"/>
            </w:tcBorders>
            <w:noWrap/>
            <w:vAlign w:val="bottom"/>
            <w:hideMark/>
          </w:tcPr>
          <w:p w14:paraId="1BA4AB79" w14:textId="77777777" w:rsidR="00502FEE" w:rsidRPr="00641A6D" w:rsidRDefault="00502FEE" w:rsidP="000E7A06">
            <w:pPr>
              <w:jc w:val="left"/>
              <w:rPr>
                <w:b/>
                <w:color w:val="000000"/>
                <w:sz w:val="20"/>
                <w:szCs w:val="20"/>
                <w:lang w:val="en-CA" w:eastAsia="en-CA"/>
              </w:rPr>
            </w:pPr>
            <w:r w:rsidRPr="00641A6D">
              <w:rPr>
                <w:b/>
                <w:color w:val="000000"/>
                <w:sz w:val="20"/>
                <w:szCs w:val="20"/>
                <w:lang w:val="en-CA" w:eastAsia="en-CA"/>
              </w:rPr>
              <w:t> </w:t>
            </w:r>
          </w:p>
        </w:tc>
        <w:tc>
          <w:tcPr>
            <w:tcW w:w="1575" w:type="dxa"/>
            <w:tcBorders>
              <w:top w:val="nil"/>
              <w:left w:val="nil"/>
              <w:bottom w:val="single" w:sz="4" w:space="0" w:color="auto"/>
              <w:right w:val="single" w:sz="4" w:space="0" w:color="auto"/>
            </w:tcBorders>
            <w:noWrap/>
            <w:vAlign w:val="bottom"/>
            <w:hideMark/>
          </w:tcPr>
          <w:p w14:paraId="17530A2A" w14:textId="77777777" w:rsidR="00502FEE" w:rsidRPr="00641A6D" w:rsidRDefault="00502FEE" w:rsidP="000E7A06">
            <w:pPr>
              <w:jc w:val="left"/>
              <w:rPr>
                <w:b/>
                <w:color w:val="000000"/>
                <w:sz w:val="20"/>
                <w:szCs w:val="20"/>
                <w:lang w:val="en-CA" w:eastAsia="en-CA"/>
              </w:rPr>
            </w:pPr>
            <w:r w:rsidRPr="00641A6D">
              <w:rPr>
                <w:b/>
                <w:color w:val="000000"/>
                <w:sz w:val="20"/>
                <w:szCs w:val="20"/>
                <w:lang w:val="en-CA" w:eastAsia="en-CA"/>
              </w:rPr>
              <w:t> </w:t>
            </w:r>
          </w:p>
        </w:tc>
        <w:tc>
          <w:tcPr>
            <w:tcW w:w="1575" w:type="dxa"/>
            <w:tcBorders>
              <w:top w:val="nil"/>
              <w:left w:val="nil"/>
              <w:bottom w:val="single" w:sz="4" w:space="0" w:color="auto"/>
              <w:right w:val="single" w:sz="4" w:space="0" w:color="auto"/>
            </w:tcBorders>
            <w:noWrap/>
            <w:vAlign w:val="bottom"/>
            <w:hideMark/>
          </w:tcPr>
          <w:p w14:paraId="67B9B27D" w14:textId="77777777" w:rsidR="00502FEE" w:rsidRPr="00641A6D" w:rsidRDefault="00502FEE" w:rsidP="000E7A06">
            <w:pPr>
              <w:jc w:val="left"/>
              <w:rPr>
                <w:b/>
                <w:color w:val="000000"/>
                <w:sz w:val="20"/>
                <w:szCs w:val="20"/>
                <w:lang w:val="en-CA" w:eastAsia="en-CA"/>
              </w:rPr>
            </w:pPr>
            <w:r w:rsidRPr="00641A6D">
              <w:rPr>
                <w:b/>
                <w:color w:val="000000"/>
                <w:sz w:val="20"/>
                <w:szCs w:val="20"/>
                <w:lang w:val="en-CA" w:eastAsia="en-CA"/>
              </w:rPr>
              <w:t> </w:t>
            </w:r>
          </w:p>
        </w:tc>
        <w:tc>
          <w:tcPr>
            <w:tcW w:w="1575" w:type="dxa"/>
            <w:tcBorders>
              <w:top w:val="nil"/>
              <w:left w:val="nil"/>
              <w:bottom w:val="single" w:sz="4" w:space="0" w:color="auto"/>
              <w:right w:val="single" w:sz="4" w:space="0" w:color="auto"/>
            </w:tcBorders>
            <w:noWrap/>
            <w:vAlign w:val="bottom"/>
            <w:hideMark/>
          </w:tcPr>
          <w:p w14:paraId="5A015F51" w14:textId="77777777" w:rsidR="00502FEE" w:rsidRPr="00641A6D" w:rsidRDefault="00502FEE" w:rsidP="000E7A06">
            <w:pPr>
              <w:jc w:val="left"/>
              <w:rPr>
                <w:b/>
                <w:color w:val="000000"/>
                <w:sz w:val="20"/>
                <w:szCs w:val="20"/>
                <w:lang w:val="en-CA" w:eastAsia="en-CA"/>
              </w:rPr>
            </w:pPr>
            <w:r w:rsidRPr="00641A6D">
              <w:rPr>
                <w:b/>
                <w:color w:val="000000"/>
                <w:sz w:val="20"/>
                <w:szCs w:val="20"/>
                <w:lang w:val="en-CA" w:eastAsia="en-CA"/>
              </w:rPr>
              <w:t> </w:t>
            </w:r>
          </w:p>
        </w:tc>
      </w:tr>
      <w:tr w:rsidR="00502FEE" w14:paraId="714866FE" w14:textId="77777777" w:rsidTr="000E7A06">
        <w:tc>
          <w:tcPr>
            <w:tcW w:w="3055" w:type="dxa"/>
            <w:tcBorders>
              <w:top w:val="nil"/>
              <w:left w:val="single" w:sz="4" w:space="0" w:color="auto"/>
              <w:bottom w:val="single" w:sz="4" w:space="0" w:color="auto"/>
              <w:right w:val="single" w:sz="4" w:space="0" w:color="auto"/>
            </w:tcBorders>
            <w:noWrap/>
            <w:vAlign w:val="bottom"/>
            <w:hideMark/>
          </w:tcPr>
          <w:p w14:paraId="3AFA7F54" w14:textId="77777777" w:rsidR="00502FEE" w:rsidRPr="00641A6D" w:rsidRDefault="00502FEE" w:rsidP="000E7A06">
            <w:pPr>
              <w:jc w:val="left"/>
              <w:rPr>
                <w:color w:val="000000"/>
                <w:sz w:val="20"/>
                <w:szCs w:val="20"/>
                <w:lang w:val="en-CA" w:eastAsia="en-CA"/>
              </w:rPr>
            </w:pPr>
            <w:r w:rsidRPr="00641A6D">
              <w:rPr>
                <w:color w:val="000000"/>
                <w:sz w:val="20"/>
                <w:szCs w:val="20"/>
                <w:lang w:val="en-CA" w:eastAsia="en-CA"/>
              </w:rPr>
              <w:t>RAC manufacturing</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6F38EA3"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185,838</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8B3DAE2"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281,619</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66E0D782"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392,390</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AB87409"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510,596</w:t>
            </w:r>
          </w:p>
        </w:tc>
      </w:tr>
      <w:tr w:rsidR="00502FEE" w14:paraId="2DE1079E" w14:textId="77777777" w:rsidTr="001277B2">
        <w:tc>
          <w:tcPr>
            <w:tcW w:w="3055" w:type="dxa"/>
            <w:tcBorders>
              <w:top w:val="nil"/>
              <w:left w:val="single" w:sz="4" w:space="0" w:color="auto"/>
              <w:bottom w:val="single" w:sz="4" w:space="0" w:color="auto"/>
              <w:right w:val="single" w:sz="4" w:space="0" w:color="auto"/>
            </w:tcBorders>
            <w:noWrap/>
            <w:vAlign w:val="bottom"/>
            <w:hideMark/>
          </w:tcPr>
          <w:p w14:paraId="01A4036E" w14:textId="77777777" w:rsidR="00502FEE" w:rsidRPr="00641A6D" w:rsidRDefault="00502FEE" w:rsidP="000E7A06">
            <w:pPr>
              <w:jc w:val="left"/>
              <w:rPr>
                <w:color w:val="000000"/>
                <w:sz w:val="20"/>
                <w:szCs w:val="20"/>
                <w:lang w:val="en-CA" w:eastAsia="en-CA"/>
              </w:rPr>
            </w:pPr>
            <w:r w:rsidRPr="00641A6D">
              <w:rPr>
                <w:color w:val="000000"/>
                <w:sz w:val="20"/>
                <w:szCs w:val="20"/>
                <w:lang w:val="en-CA" w:eastAsia="en-CA"/>
              </w:rPr>
              <w:t>RAC servicing</w:t>
            </w:r>
          </w:p>
        </w:tc>
        <w:tc>
          <w:tcPr>
            <w:tcW w:w="1575" w:type="dxa"/>
            <w:tcBorders>
              <w:top w:val="nil"/>
              <w:left w:val="nil"/>
              <w:bottom w:val="single" w:sz="4" w:space="0" w:color="auto"/>
              <w:right w:val="single" w:sz="4" w:space="0" w:color="auto"/>
            </w:tcBorders>
            <w:shd w:val="clear" w:color="auto" w:fill="auto"/>
            <w:noWrap/>
            <w:tcMar>
              <w:top w:w="0" w:type="dxa"/>
              <w:left w:w="115" w:type="dxa"/>
              <w:bottom w:w="0" w:type="dxa"/>
              <w:right w:w="288" w:type="dxa"/>
            </w:tcMar>
            <w:vAlign w:val="bottom"/>
            <w:hideMark/>
          </w:tcPr>
          <w:p w14:paraId="0C244ED5"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87,033</w:t>
            </w:r>
          </w:p>
        </w:tc>
        <w:tc>
          <w:tcPr>
            <w:tcW w:w="1575" w:type="dxa"/>
            <w:tcBorders>
              <w:top w:val="nil"/>
              <w:left w:val="nil"/>
              <w:bottom w:val="single" w:sz="4" w:space="0" w:color="auto"/>
              <w:right w:val="single" w:sz="4" w:space="0" w:color="auto"/>
            </w:tcBorders>
            <w:shd w:val="clear" w:color="auto" w:fill="auto"/>
            <w:noWrap/>
            <w:tcMar>
              <w:top w:w="0" w:type="dxa"/>
              <w:left w:w="115" w:type="dxa"/>
              <w:bottom w:w="0" w:type="dxa"/>
              <w:right w:w="288" w:type="dxa"/>
            </w:tcMar>
            <w:vAlign w:val="bottom"/>
            <w:hideMark/>
          </w:tcPr>
          <w:p w14:paraId="67F0F9E0"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176,493</w:t>
            </w:r>
          </w:p>
        </w:tc>
        <w:tc>
          <w:tcPr>
            <w:tcW w:w="1575" w:type="dxa"/>
            <w:tcBorders>
              <w:top w:val="nil"/>
              <w:left w:val="nil"/>
              <w:bottom w:val="single" w:sz="4" w:space="0" w:color="auto"/>
              <w:right w:val="single" w:sz="4" w:space="0" w:color="auto"/>
            </w:tcBorders>
            <w:shd w:val="clear" w:color="auto" w:fill="auto"/>
            <w:noWrap/>
            <w:tcMar>
              <w:top w:w="0" w:type="dxa"/>
              <w:left w:w="115" w:type="dxa"/>
              <w:bottom w:w="0" w:type="dxa"/>
              <w:right w:w="288" w:type="dxa"/>
            </w:tcMar>
            <w:vAlign w:val="bottom"/>
            <w:hideMark/>
          </w:tcPr>
          <w:p w14:paraId="22AEEA12"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305,922</w:t>
            </w:r>
          </w:p>
        </w:tc>
        <w:tc>
          <w:tcPr>
            <w:tcW w:w="1575" w:type="dxa"/>
            <w:tcBorders>
              <w:top w:val="nil"/>
              <w:left w:val="nil"/>
              <w:bottom w:val="single" w:sz="4" w:space="0" w:color="auto"/>
              <w:right w:val="single" w:sz="4" w:space="0" w:color="auto"/>
            </w:tcBorders>
            <w:shd w:val="clear" w:color="auto" w:fill="auto"/>
            <w:noWrap/>
            <w:tcMar>
              <w:top w:w="0" w:type="dxa"/>
              <w:left w:w="115" w:type="dxa"/>
              <w:bottom w:w="0" w:type="dxa"/>
              <w:right w:w="288" w:type="dxa"/>
            </w:tcMar>
            <w:vAlign w:val="bottom"/>
            <w:hideMark/>
          </w:tcPr>
          <w:p w14:paraId="2B566EAF"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468,550</w:t>
            </w:r>
          </w:p>
        </w:tc>
      </w:tr>
      <w:tr w:rsidR="00502FEE" w14:paraId="5095EFC3" w14:textId="77777777" w:rsidTr="001277B2">
        <w:tc>
          <w:tcPr>
            <w:tcW w:w="3055" w:type="dxa"/>
            <w:tcBorders>
              <w:top w:val="nil"/>
              <w:left w:val="single" w:sz="4" w:space="0" w:color="auto"/>
              <w:bottom w:val="single" w:sz="4" w:space="0" w:color="auto"/>
              <w:right w:val="single" w:sz="4" w:space="0" w:color="auto"/>
            </w:tcBorders>
            <w:noWrap/>
            <w:vAlign w:val="bottom"/>
            <w:hideMark/>
          </w:tcPr>
          <w:p w14:paraId="2CEDFC49" w14:textId="77777777" w:rsidR="00502FEE" w:rsidRPr="00641A6D" w:rsidRDefault="00502FEE" w:rsidP="000E7A06">
            <w:pPr>
              <w:jc w:val="left"/>
              <w:rPr>
                <w:color w:val="000000"/>
                <w:sz w:val="20"/>
                <w:szCs w:val="20"/>
                <w:lang w:val="en-CA" w:eastAsia="en-CA"/>
              </w:rPr>
            </w:pPr>
            <w:r w:rsidRPr="00641A6D">
              <w:rPr>
                <w:color w:val="000000"/>
                <w:sz w:val="20"/>
                <w:szCs w:val="20"/>
                <w:lang w:val="en-CA" w:eastAsia="en-CA"/>
              </w:rPr>
              <w:t>Other sectors</w:t>
            </w:r>
          </w:p>
        </w:tc>
        <w:tc>
          <w:tcPr>
            <w:tcW w:w="1575" w:type="dxa"/>
            <w:tcBorders>
              <w:top w:val="nil"/>
              <w:left w:val="nil"/>
              <w:bottom w:val="single" w:sz="4" w:space="0" w:color="auto"/>
              <w:right w:val="single" w:sz="4" w:space="0" w:color="auto"/>
            </w:tcBorders>
            <w:shd w:val="clear" w:color="auto" w:fill="auto"/>
            <w:noWrap/>
            <w:tcMar>
              <w:top w:w="0" w:type="dxa"/>
              <w:left w:w="115" w:type="dxa"/>
              <w:bottom w:w="0" w:type="dxa"/>
              <w:right w:w="288" w:type="dxa"/>
            </w:tcMar>
            <w:vAlign w:val="bottom"/>
            <w:hideMark/>
          </w:tcPr>
          <w:p w14:paraId="40F445BA" w14:textId="087B4994" w:rsidR="00502FEE" w:rsidRPr="00641A6D" w:rsidRDefault="00502FEE" w:rsidP="009E32F0">
            <w:pPr>
              <w:jc w:val="right"/>
              <w:rPr>
                <w:color w:val="000000"/>
                <w:sz w:val="20"/>
                <w:szCs w:val="20"/>
                <w:lang w:val="en-CA" w:eastAsia="en-CA"/>
              </w:rPr>
            </w:pPr>
            <w:r w:rsidRPr="00641A6D">
              <w:rPr>
                <w:color w:val="000000"/>
                <w:sz w:val="20"/>
                <w:szCs w:val="20"/>
                <w:lang w:val="en-CA" w:eastAsia="en-CA"/>
              </w:rPr>
              <w:t>11,45</w:t>
            </w:r>
            <w:r w:rsidR="009E32F0" w:rsidRPr="00641A6D">
              <w:rPr>
                <w:color w:val="000000"/>
                <w:sz w:val="20"/>
                <w:szCs w:val="20"/>
                <w:lang w:val="en-CA" w:eastAsia="en-CA"/>
              </w:rPr>
              <w:t>4</w:t>
            </w:r>
          </w:p>
        </w:tc>
        <w:tc>
          <w:tcPr>
            <w:tcW w:w="1575" w:type="dxa"/>
            <w:tcBorders>
              <w:top w:val="nil"/>
              <w:left w:val="nil"/>
              <w:bottom w:val="single" w:sz="4" w:space="0" w:color="auto"/>
              <w:right w:val="single" w:sz="4" w:space="0" w:color="auto"/>
            </w:tcBorders>
            <w:shd w:val="clear" w:color="auto" w:fill="auto"/>
            <w:noWrap/>
            <w:tcMar>
              <w:top w:w="0" w:type="dxa"/>
              <w:left w:w="115" w:type="dxa"/>
              <w:bottom w:w="0" w:type="dxa"/>
              <w:right w:w="288" w:type="dxa"/>
            </w:tcMar>
            <w:vAlign w:val="bottom"/>
            <w:hideMark/>
          </w:tcPr>
          <w:p w14:paraId="7623B5CD"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19,506</w:t>
            </w:r>
          </w:p>
        </w:tc>
        <w:tc>
          <w:tcPr>
            <w:tcW w:w="1575" w:type="dxa"/>
            <w:tcBorders>
              <w:top w:val="nil"/>
              <w:left w:val="nil"/>
              <w:bottom w:val="single" w:sz="4" w:space="0" w:color="auto"/>
              <w:right w:val="single" w:sz="4" w:space="0" w:color="auto"/>
            </w:tcBorders>
            <w:shd w:val="clear" w:color="auto" w:fill="auto"/>
            <w:noWrap/>
            <w:tcMar>
              <w:top w:w="0" w:type="dxa"/>
              <w:left w:w="115" w:type="dxa"/>
              <w:bottom w:w="0" w:type="dxa"/>
              <w:right w:w="288" w:type="dxa"/>
            </w:tcMar>
            <w:vAlign w:val="bottom"/>
            <w:hideMark/>
          </w:tcPr>
          <w:p w14:paraId="53027361" w14:textId="3358009F" w:rsidR="00502FEE" w:rsidRPr="00641A6D" w:rsidRDefault="00502FEE" w:rsidP="009E32F0">
            <w:pPr>
              <w:jc w:val="right"/>
              <w:rPr>
                <w:color w:val="000000"/>
                <w:sz w:val="20"/>
                <w:szCs w:val="20"/>
                <w:lang w:val="en-CA" w:eastAsia="en-CA"/>
              </w:rPr>
            </w:pPr>
            <w:r w:rsidRPr="00641A6D">
              <w:rPr>
                <w:color w:val="000000"/>
                <w:sz w:val="20"/>
                <w:szCs w:val="20"/>
                <w:lang w:val="en-CA" w:eastAsia="en-CA"/>
              </w:rPr>
              <w:t>33,09</w:t>
            </w:r>
            <w:r w:rsidR="009E32F0" w:rsidRPr="00641A6D">
              <w:rPr>
                <w:color w:val="000000"/>
                <w:sz w:val="20"/>
                <w:szCs w:val="20"/>
                <w:lang w:val="en-CA" w:eastAsia="en-CA"/>
              </w:rPr>
              <w:t>0</w:t>
            </w:r>
          </w:p>
        </w:tc>
        <w:tc>
          <w:tcPr>
            <w:tcW w:w="1575" w:type="dxa"/>
            <w:tcBorders>
              <w:top w:val="nil"/>
              <w:left w:val="nil"/>
              <w:bottom w:val="single" w:sz="4" w:space="0" w:color="auto"/>
              <w:right w:val="single" w:sz="4" w:space="0" w:color="auto"/>
            </w:tcBorders>
            <w:shd w:val="clear" w:color="auto" w:fill="auto"/>
            <w:noWrap/>
            <w:tcMar>
              <w:top w:w="0" w:type="dxa"/>
              <w:left w:w="115" w:type="dxa"/>
              <w:bottom w:w="0" w:type="dxa"/>
              <w:right w:w="288" w:type="dxa"/>
            </w:tcMar>
            <w:vAlign w:val="bottom"/>
            <w:hideMark/>
          </w:tcPr>
          <w:p w14:paraId="20113E76" w14:textId="0806C218" w:rsidR="00502FEE" w:rsidRPr="00641A6D" w:rsidRDefault="00502FEE" w:rsidP="003B2427">
            <w:pPr>
              <w:jc w:val="right"/>
              <w:rPr>
                <w:color w:val="000000"/>
                <w:sz w:val="20"/>
                <w:szCs w:val="20"/>
                <w:lang w:val="en-CA" w:eastAsia="en-CA"/>
              </w:rPr>
            </w:pPr>
            <w:r w:rsidRPr="00641A6D">
              <w:rPr>
                <w:color w:val="000000"/>
                <w:sz w:val="20"/>
                <w:szCs w:val="20"/>
                <w:lang w:val="en-CA" w:eastAsia="en-CA"/>
              </w:rPr>
              <w:t>42,07</w:t>
            </w:r>
            <w:r w:rsidR="003B2427" w:rsidRPr="00641A6D">
              <w:rPr>
                <w:color w:val="000000"/>
                <w:sz w:val="20"/>
                <w:szCs w:val="20"/>
                <w:lang w:val="en-CA" w:eastAsia="en-CA"/>
              </w:rPr>
              <w:t>0</w:t>
            </w:r>
          </w:p>
        </w:tc>
      </w:tr>
      <w:tr w:rsidR="00502FEE" w14:paraId="3445D1E5" w14:textId="77777777" w:rsidTr="001277B2">
        <w:tc>
          <w:tcPr>
            <w:tcW w:w="3055" w:type="dxa"/>
            <w:tcBorders>
              <w:top w:val="nil"/>
              <w:left w:val="single" w:sz="4" w:space="0" w:color="auto"/>
              <w:bottom w:val="single" w:sz="4" w:space="0" w:color="auto"/>
              <w:right w:val="single" w:sz="4" w:space="0" w:color="auto"/>
            </w:tcBorders>
            <w:noWrap/>
            <w:vAlign w:val="bottom"/>
            <w:hideMark/>
          </w:tcPr>
          <w:p w14:paraId="231BDCD7" w14:textId="77777777" w:rsidR="00502FEE" w:rsidRPr="00641A6D" w:rsidRDefault="00502FEE" w:rsidP="000E7A06">
            <w:pPr>
              <w:jc w:val="left"/>
              <w:rPr>
                <w:color w:val="000000"/>
                <w:sz w:val="20"/>
                <w:szCs w:val="20"/>
                <w:lang w:val="en-CA" w:eastAsia="en-CA"/>
              </w:rPr>
            </w:pPr>
            <w:r w:rsidRPr="00641A6D">
              <w:rPr>
                <w:color w:val="000000"/>
                <w:sz w:val="20"/>
                <w:szCs w:val="20"/>
                <w:lang w:val="en-CA" w:eastAsia="en-CA"/>
              </w:rPr>
              <w:t>Total (</w:t>
            </w:r>
            <w:proofErr w:type="spellStart"/>
            <w:r w:rsidRPr="00641A6D">
              <w:rPr>
                <w:color w:val="000000"/>
                <w:sz w:val="20"/>
                <w:szCs w:val="20"/>
                <w:lang w:val="en-CA" w:eastAsia="en-CA"/>
              </w:rPr>
              <w:t>mt</w:t>
            </w:r>
            <w:proofErr w:type="spellEnd"/>
            <w:r w:rsidRPr="00641A6D">
              <w:rPr>
                <w:color w:val="000000"/>
                <w:sz w:val="20"/>
                <w:szCs w:val="20"/>
                <w:lang w:val="en-CA" w:eastAsia="en-CA"/>
              </w:rPr>
              <w:t>)</w:t>
            </w:r>
          </w:p>
        </w:tc>
        <w:tc>
          <w:tcPr>
            <w:tcW w:w="1575" w:type="dxa"/>
            <w:tcBorders>
              <w:top w:val="nil"/>
              <w:left w:val="nil"/>
              <w:bottom w:val="single" w:sz="4" w:space="0" w:color="auto"/>
              <w:right w:val="single" w:sz="4" w:space="0" w:color="auto"/>
            </w:tcBorders>
            <w:shd w:val="clear" w:color="auto" w:fill="auto"/>
            <w:noWrap/>
            <w:tcMar>
              <w:top w:w="0" w:type="dxa"/>
              <w:left w:w="115" w:type="dxa"/>
              <w:bottom w:w="0" w:type="dxa"/>
              <w:right w:w="288" w:type="dxa"/>
            </w:tcMar>
            <w:vAlign w:val="bottom"/>
            <w:hideMark/>
          </w:tcPr>
          <w:p w14:paraId="7EF3E524" w14:textId="19115700" w:rsidR="00502FEE" w:rsidRPr="00641A6D" w:rsidRDefault="00502FEE" w:rsidP="009E32F0">
            <w:pPr>
              <w:jc w:val="right"/>
              <w:rPr>
                <w:color w:val="000000"/>
                <w:sz w:val="20"/>
                <w:szCs w:val="20"/>
                <w:lang w:val="en-CA" w:eastAsia="en-CA"/>
              </w:rPr>
            </w:pPr>
            <w:r w:rsidRPr="00641A6D">
              <w:rPr>
                <w:color w:val="000000"/>
                <w:sz w:val="20"/>
                <w:szCs w:val="20"/>
                <w:lang w:val="en-CA" w:eastAsia="en-CA"/>
              </w:rPr>
              <w:t>284,32</w:t>
            </w:r>
            <w:r w:rsidR="009E32F0" w:rsidRPr="00641A6D">
              <w:rPr>
                <w:color w:val="000000"/>
                <w:sz w:val="20"/>
                <w:szCs w:val="20"/>
                <w:lang w:val="en-CA" w:eastAsia="en-CA"/>
              </w:rPr>
              <w:t>5</w:t>
            </w:r>
          </w:p>
        </w:tc>
        <w:tc>
          <w:tcPr>
            <w:tcW w:w="1575" w:type="dxa"/>
            <w:tcBorders>
              <w:top w:val="nil"/>
              <w:left w:val="nil"/>
              <w:bottom w:val="single" w:sz="4" w:space="0" w:color="auto"/>
              <w:right w:val="single" w:sz="4" w:space="0" w:color="auto"/>
            </w:tcBorders>
            <w:shd w:val="clear" w:color="auto" w:fill="auto"/>
            <w:noWrap/>
            <w:tcMar>
              <w:top w:w="0" w:type="dxa"/>
              <w:left w:w="115" w:type="dxa"/>
              <w:bottom w:w="0" w:type="dxa"/>
              <w:right w:w="288" w:type="dxa"/>
            </w:tcMar>
            <w:vAlign w:val="bottom"/>
            <w:hideMark/>
          </w:tcPr>
          <w:p w14:paraId="6DAA8964"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477,618</w:t>
            </w:r>
          </w:p>
        </w:tc>
        <w:tc>
          <w:tcPr>
            <w:tcW w:w="1575" w:type="dxa"/>
            <w:tcBorders>
              <w:top w:val="nil"/>
              <w:left w:val="nil"/>
              <w:bottom w:val="single" w:sz="4" w:space="0" w:color="auto"/>
              <w:right w:val="single" w:sz="4" w:space="0" w:color="auto"/>
            </w:tcBorders>
            <w:shd w:val="clear" w:color="auto" w:fill="auto"/>
            <w:noWrap/>
            <w:tcMar>
              <w:top w:w="0" w:type="dxa"/>
              <w:left w:w="115" w:type="dxa"/>
              <w:bottom w:w="0" w:type="dxa"/>
              <w:right w:w="288" w:type="dxa"/>
            </w:tcMar>
            <w:vAlign w:val="bottom"/>
            <w:hideMark/>
          </w:tcPr>
          <w:p w14:paraId="4265B026" w14:textId="06F6AE09" w:rsidR="00502FEE" w:rsidRPr="00641A6D" w:rsidRDefault="00502FEE" w:rsidP="009E32F0">
            <w:pPr>
              <w:jc w:val="right"/>
              <w:rPr>
                <w:color w:val="000000"/>
                <w:sz w:val="20"/>
                <w:szCs w:val="20"/>
                <w:lang w:val="en-CA" w:eastAsia="en-CA"/>
              </w:rPr>
            </w:pPr>
            <w:r w:rsidRPr="00641A6D">
              <w:rPr>
                <w:color w:val="000000"/>
                <w:sz w:val="20"/>
                <w:szCs w:val="20"/>
                <w:lang w:val="en-CA" w:eastAsia="en-CA"/>
              </w:rPr>
              <w:t>731,40</w:t>
            </w:r>
            <w:r w:rsidR="009E32F0" w:rsidRPr="00641A6D">
              <w:rPr>
                <w:color w:val="000000"/>
                <w:sz w:val="20"/>
                <w:szCs w:val="20"/>
                <w:lang w:val="en-CA" w:eastAsia="en-CA"/>
              </w:rPr>
              <w:t>2</w:t>
            </w:r>
          </w:p>
        </w:tc>
        <w:tc>
          <w:tcPr>
            <w:tcW w:w="1575" w:type="dxa"/>
            <w:tcBorders>
              <w:top w:val="nil"/>
              <w:left w:val="nil"/>
              <w:bottom w:val="single" w:sz="4" w:space="0" w:color="auto"/>
              <w:right w:val="single" w:sz="4" w:space="0" w:color="auto"/>
            </w:tcBorders>
            <w:shd w:val="clear" w:color="auto" w:fill="auto"/>
            <w:noWrap/>
            <w:tcMar>
              <w:top w:w="0" w:type="dxa"/>
              <w:left w:w="115" w:type="dxa"/>
              <w:bottom w:w="0" w:type="dxa"/>
              <w:right w:w="288" w:type="dxa"/>
            </w:tcMar>
            <w:vAlign w:val="bottom"/>
            <w:hideMark/>
          </w:tcPr>
          <w:p w14:paraId="52236E28" w14:textId="6EB697EF" w:rsidR="00502FEE" w:rsidRPr="00641A6D" w:rsidRDefault="00502FEE" w:rsidP="003B2427">
            <w:pPr>
              <w:jc w:val="right"/>
              <w:rPr>
                <w:color w:val="000000"/>
                <w:sz w:val="20"/>
                <w:szCs w:val="20"/>
                <w:lang w:val="en-CA" w:eastAsia="en-CA"/>
              </w:rPr>
            </w:pPr>
            <w:r w:rsidRPr="00641A6D">
              <w:rPr>
                <w:color w:val="000000"/>
                <w:sz w:val="20"/>
                <w:szCs w:val="20"/>
                <w:lang w:val="en-CA" w:eastAsia="en-CA"/>
              </w:rPr>
              <w:t>1,021,2</w:t>
            </w:r>
            <w:r w:rsidR="003B2427" w:rsidRPr="00641A6D">
              <w:rPr>
                <w:color w:val="000000"/>
                <w:sz w:val="20"/>
                <w:szCs w:val="20"/>
                <w:lang w:val="en-CA" w:eastAsia="en-CA"/>
              </w:rPr>
              <w:t>16</w:t>
            </w:r>
          </w:p>
        </w:tc>
      </w:tr>
      <w:tr w:rsidR="00502FEE" w14:paraId="70C210D2" w14:textId="77777777" w:rsidTr="000E7A06">
        <w:tc>
          <w:tcPr>
            <w:tcW w:w="3055" w:type="dxa"/>
            <w:tcBorders>
              <w:top w:val="nil"/>
              <w:left w:val="single" w:sz="4" w:space="0" w:color="auto"/>
              <w:bottom w:val="single" w:sz="4" w:space="0" w:color="auto"/>
              <w:right w:val="single" w:sz="4" w:space="0" w:color="auto"/>
            </w:tcBorders>
            <w:noWrap/>
            <w:vAlign w:val="bottom"/>
            <w:hideMark/>
          </w:tcPr>
          <w:p w14:paraId="7591FE1A" w14:textId="77777777" w:rsidR="00502FEE" w:rsidRPr="00641A6D" w:rsidRDefault="00502FEE" w:rsidP="000E7A06">
            <w:pPr>
              <w:jc w:val="left"/>
              <w:rPr>
                <w:b/>
                <w:color w:val="000000"/>
                <w:sz w:val="20"/>
                <w:szCs w:val="20"/>
                <w:lang w:val="en-CA" w:eastAsia="en-CA"/>
              </w:rPr>
            </w:pPr>
            <w:r w:rsidRPr="00641A6D">
              <w:rPr>
                <w:b/>
                <w:color w:val="000000"/>
                <w:sz w:val="20"/>
                <w:szCs w:val="20"/>
                <w:lang w:val="en-CA" w:eastAsia="en-CA"/>
              </w:rPr>
              <w:t>Per cent (%)</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CCE2952" w14:textId="77777777" w:rsidR="00502FEE" w:rsidRPr="00641A6D" w:rsidRDefault="00502FEE" w:rsidP="000E7A06">
            <w:pPr>
              <w:jc w:val="left"/>
              <w:rPr>
                <w:color w:val="000000"/>
                <w:sz w:val="20"/>
                <w:szCs w:val="20"/>
                <w:lang w:val="en-CA" w:eastAsia="en-CA"/>
              </w:rPr>
            </w:pPr>
            <w:r w:rsidRPr="00641A6D">
              <w:rPr>
                <w:color w:val="000000"/>
                <w:sz w:val="20"/>
                <w:szCs w:val="20"/>
                <w:lang w:val="en-CA" w:eastAsia="en-CA"/>
              </w:rPr>
              <w:t> </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C1434FD" w14:textId="77777777" w:rsidR="00502FEE" w:rsidRPr="00641A6D" w:rsidRDefault="00502FEE" w:rsidP="000E7A06">
            <w:pPr>
              <w:jc w:val="left"/>
              <w:rPr>
                <w:color w:val="000000"/>
                <w:sz w:val="20"/>
                <w:szCs w:val="20"/>
                <w:lang w:val="en-CA" w:eastAsia="en-CA"/>
              </w:rPr>
            </w:pPr>
            <w:r w:rsidRPr="00641A6D">
              <w:rPr>
                <w:color w:val="000000"/>
                <w:sz w:val="20"/>
                <w:szCs w:val="20"/>
                <w:lang w:val="en-CA" w:eastAsia="en-CA"/>
              </w:rPr>
              <w:t> </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E418DAC" w14:textId="77777777" w:rsidR="00502FEE" w:rsidRPr="00641A6D" w:rsidRDefault="00502FEE" w:rsidP="000E7A06">
            <w:pPr>
              <w:jc w:val="left"/>
              <w:rPr>
                <w:color w:val="000000"/>
                <w:sz w:val="20"/>
                <w:szCs w:val="20"/>
                <w:lang w:val="en-CA" w:eastAsia="en-CA"/>
              </w:rPr>
            </w:pPr>
            <w:r w:rsidRPr="00641A6D">
              <w:rPr>
                <w:color w:val="000000"/>
                <w:sz w:val="20"/>
                <w:szCs w:val="20"/>
                <w:lang w:val="en-CA" w:eastAsia="en-CA"/>
              </w:rPr>
              <w:t> </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3E4EF6E" w14:textId="77777777" w:rsidR="00502FEE" w:rsidRPr="00641A6D" w:rsidRDefault="00502FEE" w:rsidP="000E7A06">
            <w:pPr>
              <w:jc w:val="left"/>
              <w:rPr>
                <w:color w:val="000000"/>
                <w:sz w:val="20"/>
                <w:szCs w:val="20"/>
                <w:lang w:val="en-CA" w:eastAsia="en-CA"/>
              </w:rPr>
            </w:pPr>
            <w:r w:rsidRPr="00641A6D">
              <w:rPr>
                <w:color w:val="000000"/>
                <w:sz w:val="20"/>
                <w:szCs w:val="20"/>
                <w:lang w:val="en-CA" w:eastAsia="en-CA"/>
              </w:rPr>
              <w:t> </w:t>
            </w:r>
          </w:p>
        </w:tc>
      </w:tr>
      <w:tr w:rsidR="00502FEE" w14:paraId="31C21194" w14:textId="77777777" w:rsidTr="000E7A06">
        <w:tc>
          <w:tcPr>
            <w:tcW w:w="3055" w:type="dxa"/>
            <w:tcBorders>
              <w:top w:val="nil"/>
              <w:left w:val="single" w:sz="4" w:space="0" w:color="auto"/>
              <w:bottom w:val="single" w:sz="4" w:space="0" w:color="auto"/>
              <w:right w:val="single" w:sz="4" w:space="0" w:color="auto"/>
            </w:tcBorders>
            <w:noWrap/>
            <w:vAlign w:val="bottom"/>
            <w:hideMark/>
          </w:tcPr>
          <w:p w14:paraId="600C3B87" w14:textId="77777777" w:rsidR="00502FEE" w:rsidRPr="00641A6D" w:rsidRDefault="00502FEE" w:rsidP="000E7A06">
            <w:pPr>
              <w:jc w:val="left"/>
              <w:rPr>
                <w:color w:val="000000"/>
                <w:sz w:val="20"/>
                <w:szCs w:val="20"/>
                <w:lang w:val="en-CA" w:eastAsia="en-CA"/>
              </w:rPr>
            </w:pPr>
            <w:r w:rsidRPr="00641A6D">
              <w:rPr>
                <w:color w:val="000000"/>
                <w:sz w:val="20"/>
                <w:szCs w:val="20"/>
                <w:lang w:val="en-CA" w:eastAsia="en-CA"/>
              </w:rPr>
              <w:t>RAC manufacturing</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05491F8"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65.4</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770AE76"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59.0</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18E1B6C4"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53.6</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62D4523"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50.0</w:t>
            </w:r>
          </w:p>
        </w:tc>
      </w:tr>
      <w:tr w:rsidR="00502FEE" w14:paraId="31AE95E4" w14:textId="77777777" w:rsidTr="000E7A06">
        <w:tc>
          <w:tcPr>
            <w:tcW w:w="3055" w:type="dxa"/>
            <w:tcBorders>
              <w:top w:val="nil"/>
              <w:left w:val="single" w:sz="4" w:space="0" w:color="auto"/>
              <w:bottom w:val="single" w:sz="4" w:space="0" w:color="auto"/>
              <w:right w:val="single" w:sz="4" w:space="0" w:color="auto"/>
            </w:tcBorders>
            <w:noWrap/>
            <w:vAlign w:val="bottom"/>
            <w:hideMark/>
          </w:tcPr>
          <w:p w14:paraId="7D2927A3" w14:textId="77777777" w:rsidR="00502FEE" w:rsidRPr="00641A6D" w:rsidRDefault="00502FEE" w:rsidP="000E7A06">
            <w:pPr>
              <w:jc w:val="left"/>
              <w:rPr>
                <w:color w:val="000000"/>
                <w:sz w:val="20"/>
                <w:szCs w:val="20"/>
                <w:lang w:val="en-CA" w:eastAsia="en-CA"/>
              </w:rPr>
            </w:pPr>
            <w:r w:rsidRPr="00641A6D">
              <w:rPr>
                <w:color w:val="000000"/>
                <w:sz w:val="20"/>
                <w:szCs w:val="20"/>
                <w:lang w:val="en-CA" w:eastAsia="en-CA"/>
              </w:rPr>
              <w:t>RAC servicing</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EE2A65B"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30.6</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4814BA90"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37.0</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E46076B"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41.8</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3F977D4C"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45.9</w:t>
            </w:r>
          </w:p>
        </w:tc>
      </w:tr>
      <w:tr w:rsidR="00502FEE" w14:paraId="49F99715" w14:textId="77777777" w:rsidTr="000E7A06">
        <w:tc>
          <w:tcPr>
            <w:tcW w:w="3055" w:type="dxa"/>
            <w:tcBorders>
              <w:top w:val="nil"/>
              <w:left w:val="single" w:sz="4" w:space="0" w:color="auto"/>
              <w:bottom w:val="single" w:sz="4" w:space="0" w:color="auto"/>
              <w:right w:val="single" w:sz="4" w:space="0" w:color="auto"/>
            </w:tcBorders>
            <w:noWrap/>
            <w:vAlign w:val="bottom"/>
            <w:hideMark/>
          </w:tcPr>
          <w:p w14:paraId="11B91809" w14:textId="77777777" w:rsidR="00502FEE" w:rsidRPr="00641A6D" w:rsidRDefault="00502FEE" w:rsidP="000E7A06">
            <w:pPr>
              <w:jc w:val="left"/>
              <w:rPr>
                <w:color w:val="000000"/>
                <w:sz w:val="20"/>
                <w:szCs w:val="20"/>
                <w:lang w:val="en-CA" w:eastAsia="en-CA"/>
              </w:rPr>
            </w:pPr>
            <w:r w:rsidRPr="00641A6D">
              <w:rPr>
                <w:color w:val="000000"/>
                <w:sz w:val="20"/>
                <w:szCs w:val="20"/>
                <w:lang w:val="en-CA" w:eastAsia="en-CA"/>
              </w:rPr>
              <w:t>Other sectors</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4DBBA56"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4.0</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C881708"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4.1</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0BE88B0A"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4.5</w:t>
            </w:r>
          </w:p>
        </w:tc>
        <w:tc>
          <w:tcPr>
            <w:tcW w:w="1575"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32ABF4B" w14:textId="77777777" w:rsidR="00502FEE" w:rsidRPr="00641A6D" w:rsidRDefault="00502FEE" w:rsidP="000E7A06">
            <w:pPr>
              <w:jc w:val="right"/>
              <w:rPr>
                <w:color w:val="000000"/>
                <w:sz w:val="20"/>
                <w:szCs w:val="20"/>
                <w:lang w:val="en-CA" w:eastAsia="en-CA"/>
              </w:rPr>
            </w:pPr>
            <w:r w:rsidRPr="00641A6D">
              <w:rPr>
                <w:color w:val="000000"/>
                <w:sz w:val="20"/>
                <w:szCs w:val="20"/>
                <w:lang w:val="en-CA" w:eastAsia="en-CA"/>
              </w:rPr>
              <w:t>4.1</w:t>
            </w:r>
          </w:p>
        </w:tc>
      </w:tr>
    </w:tbl>
    <w:p w14:paraId="0725DDC5" w14:textId="77777777" w:rsidR="00502FEE" w:rsidRDefault="00502FEE" w:rsidP="00502FEE">
      <w:pPr>
        <w:rPr>
          <w:lang w:val="en-CA"/>
        </w:rPr>
      </w:pPr>
    </w:p>
    <w:p w14:paraId="52B97993" w14:textId="79C59199" w:rsidR="00502FEE" w:rsidRDefault="00502FEE" w:rsidP="00502FEE">
      <w:pPr>
        <w:pStyle w:val="Heading1"/>
        <w:rPr>
          <w:lang w:val="en-CA"/>
        </w:rPr>
      </w:pPr>
      <w:r>
        <w:rPr>
          <w:lang w:val="en-CA"/>
        </w:rPr>
        <w:t>Similar to the sectoral distribution of HCFCs, it is assumed that in approximately 100 Article</w:t>
      </w:r>
      <w:r w:rsidR="00634E2F">
        <w:rPr>
          <w:lang w:val="en-CA"/>
        </w:rPr>
        <w:t> </w:t>
      </w:r>
      <w:r>
        <w:rPr>
          <w:lang w:val="en-CA"/>
        </w:rPr>
        <w:t xml:space="preserve">5 countries HFC is solely used in the refrigeration servicing sector. This assumption is supported by </w:t>
      </w:r>
      <w:r>
        <w:t>information available from surveys of ODS alternatives in 119 Article 5 countries,</w:t>
      </w:r>
      <w:r>
        <w:rPr>
          <w:rStyle w:val="FootnoteReference"/>
        </w:rPr>
        <w:footnoteReference w:id="16"/>
      </w:r>
      <w:r>
        <w:t xml:space="preserve"> which indicates that </w:t>
      </w:r>
      <w:r>
        <w:rPr>
          <w:lang w:val="en-CA"/>
        </w:rPr>
        <w:t>HFC consumption in the refrigeration servicing sector accounted for 97 per cent of total consumption for LVC countries and 76 per cent for non</w:t>
      </w:r>
      <w:r>
        <w:rPr>
          <w:lang w:val="en-CA"/>
        </w:rPr>
        <w:noBreakHyphen/>
        <w:t>LVC countries.</w:t>
      </w:r>
      <w:r>
        <w:rPr>
          <w:rStyle w:val="FootnoteReference"/>
        </w:rPr>
        <w:footnoteReference w:id="17"/>
      </w:r>
    </w:p>
    <w:p w14:paraId="3079E048" w14:textId="77777777" w:rsidR="00502FEE" w:rsidRPr="0092400D" w:rsidRDefault="00502FEE" w:rsidP="00502FEE">
      <w:pPr>
        <w:keepNext/>
        <w:ind w:left="1440" w:hanging="1440"/>
        <w:rPr>
          <w:b/>
        </w:rPr>
      </w:pPr>
      <w:r>
        <w:rPr>
          <w:b/>
        </w:rPr>
        <w:t>PART II</w:t>
      </w:r>
      <w:r>
        <w:rPr>
          <w:b/>
        </w:rPr>
        <w:tab/>
      </w:r>
      <w:r w:rsidRPr="00E3759A">
        <w:rPr>
          <w:b/>
        </w:rPr>
        <w:t>PARALLEL OR INTEGRATED IMPLEMENTATION OF HCFC PHASE-OUT AND HFC PHASE-DOWN ACTIVITIES</w:t>
      </w:r>
    </w:p>
    <w:p w14:paraId="4E9E08DD" w14:textId="77777777" w:rsidR="00502FEE" w:rsidRDefault="00502FEE" w:rsidP="00502FEE"/>
    <w:p w14:paraId="1FC6F6E8" w14:textId="1F391822" w:rsidR="00502FEE" w:rsidRPr="00481D21" w:rsidRDefault="00502FEE" w:rsidP="00502FEE">
      <w:pPr>
        <w:pStyle w:val="Heading1"/>
      </w:pPr>
      <w:r>
        <w:t xml:space="preserve">A parallel and/or an integrated </w:t>
      </w:r>
      <w:r w:rsidRPr="00481D21">
        <w:t xml:space="preserve">implementation of </w:t>
      </w:r>
      <w:r>
        <w:t xml:space="preserve">activities for </w:t>
      </w:r>
      <w:r w:rsidRPr="00481D21">
        <w:t>HCFC phase-out and HFC phase</w:t>
      </w:r>
      <w:r w:rsidR="00634E2F">
        <w:noBreakHyphen/>
      </w:r>
      <w:r w:rsidRPr="00481D21">
        <w:t>down will depend on</w:t>
      </w:r>
      <w:r>
        <w:t xml:space="preserve"> several factors, including the </w:t>
      </w:r>
      <w:r w:rsidRPr="00481D21">
        <w:t>sector</w:t>
      </w:r>
      <w:r>
        <w:t xml:space="preserve">al use of controlled substances </w:t>
      </w:r>
      <w:r w:rsidRPr="00481D21">
        <w:t>(</w:t>
      </w:r>
      <w:r>
        <w:t>i.e.,</w:t>
      </w:r>
      <w:r w:rsidR="00634E2F">
        <w:t> </w:t>
      </w:r>
      <w:r w:rsidRPr="00481D21">
        <w:t xml:space="preserve">manufacturing or refrigeration servicing) and </w:t>
      </w:r>
      <w:r>
        <w:t xml:space="preserve">implementation </w:t>
      </w:r>
      <w:r w:rsidRPr="00481D21">
        <w:t>timelines</w:t>
      </w:r>
      <w:r>
        <w:t xml:space="preserve">; the resources available to </w:t>
      </w:r>
      <w:r>
        <w:lastRenderedPageBreak/>
        <w:t xml:space="preserve">support these activities </w:t>
      </w:r>
      <w:r w:rsidRPr="00481D21">
        <w:t>and</w:t>
      </w:r>
      <w:r>
        <w:t xml:space="preserve"> potential</w:t>
      </w:r>
      <w:r w:rsidRPr="00481D21">
        <w:t xml:space="preserve"> cost efficienc</w:t>
      </w:r>
      <w:r>
        <w:t>ies</w:t>
      </w:r>
      <w:r w:rsidRPr="00481D21">
        <w:t xml:space="preserve">; </w:t>
      </w:r>
      <w:r>
        <w:t xml:space="preserve">the </w:t>
      </w:r>
      <w:r w:rsidRPr="00481D21">
        <w:t>capacity</w:t>
      </w:r>
      <w:r>
        <w:t xml:space="preserve"> of institutions related to the Multilateral Fund; and the </w:t>
      </w:r>
      <w:r w:rsidRPr="00481D21">
        <w:t xml:space="preserve">policies that the Executive Committee may wish to establish. </w:t>
      </w:r>
    </w:p>
    <w:p w14:paraId="2EFAD5FC" w14:textId="77777777" w:rsidR="00502FEE" w:rsidRPr="004F0443" w:rsidRDefault="00502FEE" w:rsidP="00502FEE">
      <w:pPr>
        <w:rPr>
          <w:b/>
        </w:rPr>
      </w:pPr>
      <w:r w:rsidRPr="00F614FE">
        <w:rPr>
          <w:b/>
        </w:rPr>
        <w:t xml:space="preserve">Considerations for the refrigeration </w:t>
      </w:r>
      <w:r w:rsidRPr="004F0443">
        <w:rPr>
          <w:b/>
        </w:rPr>
        <w:t>servicing sector</w:t>
      </w:r>
    </w:p>
    <w:p w14:paraId="67EFE4C2" w14:textId="77777777" w:rsidR="00502FEE" w:rsidRPr="004F0443" w:rsidRDefault="00502FEE" w:rsidP="00502FEE"/>
    <w:p w14:paraId="7927D9DD" w14:textId="77777777" w:rsidR="00502FEE" w:rsidRDefault="00502FEE" w:rsidP="00641A6D">
      <w:pPr>
        <w:pStyle w:val="Heading1"/>
        <w:widowControl w:val="0"/>
      </w:pPr>
      <w:r>
        <w:t>The vast majority</w:t>
      </w:r>
      <w:r w:rsidRPr="004F0443">
        <w:t xml:space="preserve"> of the activities being implemented in the refrigeration servicing sector </w:t>
      </w:r>
      <w:r>
        <w:t xml:space="preserve">could apply to </w:t>
      </w:r>
      <w:r w:rsidRPr="004F0443">
        <w:t>both HCFC phase</w:t>
      </w:r>
      <w:r>
        <w:t>-</w:t>
      </w:r>
      <w:r w:rsidRPr="004F0443">
        <w:t>out and HFC phase</w:t>
      </w:r>
      <w:r>
        <w:t>-</w:t>
      </w:r>
      <w:r w:rsidRPr="004F0443">
        <w:t>down</w:t>
      </w:r>
      <w:r>
        <w:t xml:space="preserve">. These activities relate to </w:t>
      </w:r>
      <w:r>
        <w:rPr>
          <w:i/>
        </w:rPr>
        <w:t>inter alia</w:t>
      </w:r>
      <w:r>
        <w:t xml:space="preserve"> </w:t>
      </w:r>
      <w:r w:rsidRPr="004F0443">
        <w:t xml:space="preserve">training and certification of technicians; </w:t>
      </w:r>
      <w:r>
        <w:t xml:space="preserve">strengthening technical/vocational schools and refrigeration associations; the </w:t>
      </w:r>
      <w:r w:rsidRPr="004F0443">
        <w:t>distribution of basic equipment and service tools including recovery/recycling units; refrigerant containment strategies</w:t>
      </w:r>
      <w:r>
        <w:t>;</w:t>
      </w:r>
      <w:r w:rsidRPr="004F0443">
        <w:t xml:space="preserve"> </w:t>
      </w:r>
      <w:r>
        <w:t xml:space="preserve">and the </w:t>
      </w:r>
      <w:r w:rsidRPr="004F0443">
        <w:t>adoption of standards and code</w:t>
      </w:r>
      <w:r>
        <w:t>s</w:t>
      </w:r>
      <w:r w:rsidRPr="004F0443">
        <w:t xml:space="preserve"> of practice to facilitate the safe adoption of flammable </w:t>
      </w:r>
      <w:r>
        <w:t xml:space="preserve">and/or toxic </w:t>
      </w:r>
      <w:r w:rsidRPr="004F0443">
        <w:t>low</w:t>
      </w:r>
      <w:r>
        <w:t>-</w:t>
      </w:r>
      <w:r w:rsidRPr="004F0443">
        <w:t>GWP refrigerants</w:t>
      </w:r>
      <w:r>
        <w:t xml:space="preserve">. </w:t>
      </w:r>
    </w:p>
    <w:p w14:paraId="08DDE900" w14:textId="2FA0B11D" w:rsidR="00502FEE" w:rsidRPr="004F0443" w:rsidRDefault="00502FEE" w:rsidP="00502FEE">
      <w:pPr>
        <w:pStyle w:val="Heading1"/>
      </w:pPr>
      <w:r>
        <w:t>Under these circumstances,</w:t>
      </w:r>
      <w:r w:rsidRPr="004F0443">
        <w:t xml:space="preserve"> the overlapping schedule of HCFC phase-out and HFC phase</w:t>
      </w:r>
      <w:r w:rsidR="00634E2F">
        <w:noBreakHyphen/>
      </w:r>
      <w:r w:rsidRPr="004F0443">
        <w:t xml:space="preserve">down could represent an opportunity to develop integrated cost-effective and long-term </w:t>
      </w:r>
      <w:r>
        <w:t xml:space="preserve">sustainable </w:t>
      </w:r>
      <w:r w:rsidRPr="004F0443">
        <w:t>strategies in Article</w:t>
      </w:r>
      <w:r w:rsidR="00634E2F">
        <w:t> </w:t>
      </w:r>
      <w:r w:rsidRPr="004F0443">
        <w:t>5 countries</w:t>
      </w:r>
      <w:r>
        <w:t xml:space="preserve">, which </w:t>
      </w:r>
      <w:r w:rsidRPr="004F0443">
        <w:t xml:space="preserve">would entail, </w:t>
      </w:r>
      <w:r w:rsidRPr="004F0443">
        <w:rPr>
          <w:i/>
        </w:rPr>
        <w:t>inter alia</w:t>
      </w:r>
      <w:r w:rsidRPr="00634E2F">
        <w:t>:</w:t>
      </w:r>
      <w:r w:rsidRPr="00634E2F">
        <w:rPr>
          <w:rStyle w:val="FootnoteReference"/>
        </w:rPr>
        <w:footnoteReference w:id="18"/>
      </w:r>
    </w:p>
    <w:p w14:paraId="44406643" w14:textId="764FF44E" w:rsidR="00502FEE" w:rsidRDefault="00502FEE" w:rsidP="00502FEE">
      <w:pPr>
        <w:pStyle w:val="Heading2"/>
        <w:numPr>
          <w:ilvl w:val="1"/>
          <w:numId w:val="1"/>
        </w:numPr>
      </w:pPr>
      <w:r>
        <w:t>Developing, revising or adopting standards, codes and norms that could facilitate the adoption, operation and servicing of refrigeration technologies based on low</w:t>
      </w:r>
      <w:r w:rsidR="00634E2F">
        <w:noBreakHyphen/>
      </w:r>
      <w:r>
        <w:t>GWP refrigerants;</w:t>
      </w:r>
    </w:p>
    <w:p w14:paraId="759FFA31" w14:textId="77777777" w:rsidR="00502FEE" w:rsidRDefault="00502FEE" w:rsidP="00502FEE">
      <w:pPr>
        <w:pStyle w:val="Heading2"/>
        <w:numPr>
          <w:ilvl w:val="1"/>
          <w:numId w:val="1"/>
        </w:numPr>
      </w:pPr>
      <w:r>
        <w:t xml:space="preserve">Strengthening regulatory frameworks for refrigerant management through </w:t>
      </w:r>
      <w:r>
        <w:rPr>
          <w:i/>
        </w:rPr>
        <w:t xml:space="preserve">inter alia </w:t>
      </w:r>
      <w:r>
        <w:t xml:space="preserve">certification of technicians; access to selling/buying refrigerants by trained/certified technicians, licensing of service enterprises/workshops; labelling of refrigerants, record keeping, monitoring and reporting; and capacity building for authorities and stakeholders; </w:t>
      </w:r>
    </w:p>
    <w:p w14:paraId="154E328C" w14:textId="77777777" w:rsidR="00502FEE" w:rsidRDefault="00502FEE" w:rsidP="00502FEE">
      <w:pPr>
        <w:pStyle w:val="Heading2"/>
        <w:numPr>
          <w:ilvl w:val="1"/>
          <w:numId w:val="1"/>
        </w:numPr>
      </w:pPr>
      <w:r>
        <w:t xml:space="preserve">Reviewing and periodically updating the curricula of the training programmes for customs and enforcement officers addressing the obligations under the Montreal Protocol including its Kigali Amendment; </w:t>
      </w:r>
    </w:p>
    <w:p w14:paraId="73F5EB5D" w14:textId="77777777" w:rsidR="00502FEE" w:rsidRDefault="00502FEE" w:rsidP="00502FEE">
      <w:pPr>
        <w:pStyle w:val="Heading2"/>
        <w:numPr>
          <w:ilvl w:val="1"/>
          <w:numId w:val="1"/>
        </w:numPr>
      </w:pPr>
      <w:r>
        <w:t xml:space="preserve">Strengthening the capacity of vocational training systems and certification bodies by periodically reviewing the curricula of the training programmes to address good servicing practices and safety issues related to flammability and/or toxicity of refrigerants being phased in; </w:t>
      </w:r>
    </w:p>
    <w:p w14:paraId="3C534C11" w14:textId="77777777" w:rsidR="00502FEE" w:rsidRDefault="00502FEE" w:rsidP="00502FEE">
      <w:pPr>
        <w:pStyle w:val="Heading2"/>
        <w:numPr>
          <w:ilvl w:val="1"/>
          <w:numId w:val="1"/>
        </w:numPr>
      </w:pPr>
      <w:r>
        <w:t xml:space="preserve">Developing or strengthening self-sustained refrigerant containment strategies to ensure that installed refrigeration equipment can continue operating until end-of-life; assessing </w:t>
      </w:r>
      <w:r w:rsidRPr="00B5592A">
        <w:t>the benefits and challenges of recovering, recycling and reclaiming refrigerants;</w:t>
      </w:r>
    </w:p>
    <w:p w14:paraId="6299F6A0" w14:textId="77777777" w:rsidR="00502FEE" w:rsidRDefault="00502FEE" w:rsidP="00502FEE">
      <w:pPr>
        <w:pStyle w:val="Heading2"/>
        <w:numPr>
          <w:ilvl w:val="1"/>
          <w:numId w:val="1"/>
        </w:numPr>
      </w:pPr>
      <w:r>
        <w:t xml:space="preserve">Strengthening technical support for the assembly, installation and initial-refrigerant-charge subsector as it could influence the introduction of technologies in local markets; </w:t>
      </w:r>
    </w:p>
    <w:p w14:paraId="479738C8" w14:textId="77777777" w:rsidR="00502FEE" w:rsidRDefault="00502FEE" w:rsidP="00502FEE">
      <w:pPr>
        <w:pStyle w:val="Heading2"/>
        <w:numPr>
          <w:ilvl w:val="1"/>
          <w:numId w:val="1"/>
        </w:numPr>
      </w:pPr>
      <w:r>
        <w:t xml:space="preserve">Assessing through business models the long-term sustainability of activities implemented in the refrigeration servicing sector, in particular </w:t>
      </w:r>
      <w:r w:rsidRPr="00B5592A">
        <w:t xml:space="preserve">recovering, recycling and reclaiming </w:t>
      </w:r>
      <w:r>
        <w:t>schemes and end-user incentive schemes;</w:t>
      </w:r>
    </w:p>
    <w:p w14:paraId="0F6A36A3" w14:textId="77777777" w:rsidR="00502FEE" w:rsidRPr="00843125" w:rsidRDefault="00502FEE" w:rsidP="00502FEE">
      <w:pPr>
        <w:pStyle w:val="Heading2"/>
        <w:numPr>
          <w:ilvl w:val="1"/>
          <w:numId w:val="1"/>
        </w:numPr>
      </w:pPr>
      <w:r>
        <w:t xml:space="preserve">Strengthening RAC associations, and </w:t>
      </w:r>
      <w:r w:rsidRPr="005B4D21">
        <w:t>ensur</w:t>
      </w:r>
      <w:r>
        <w:t xml:space="preserve">ing </w:t>
      </w:r>
      <w:r w:rsidRPr="005B4D21">
        <w:t xml:space="preserve">their </w:t>
      </w:r>
      <w:r w:rsidRPr="00843125">
        <w:t xml:space="preserve">engagement in the implementation of activities related to the sector. </w:t>
      </w:r>
    </w:p>
    <w:p w14:paraId="78BEC6DB" w14:textId="0DA5325A" w:rsidR="00502FEE" w:rsidRPr="00843125" w:rsidRDefault="00502FEE" w:rsidP="00502FEE">
      <w:pPr>
        <w:pStyle w:val="Heading1"/>
      </w:pPr>
      <w:r w:rsidRPr="00843125">
        <w:t>An integrated approach in the refrigeration servicing sector could be implemented with the existing institutions established with the assistance of the Multilateral Fund that are currently implementing the HCFC phase</w:t>
      </w:r>
      <w:r w:rsidR="001277B2">
        <w:noBreakHyphen/>
      </w:r>
      <w:r w:rsidRPr="00843125">
        <w:t>out activities. The components required to ensure this coordination at the national level would need to be assessed during the preparation of harmonized national strategies and phase</w:t>
      </w:r>
      <w:r w:rsidR="001277B2">
        <w:noBreakHyphen/>
      </w:r>
      <w:r w:rsidRPr="00843125">
        <w:t>out/phase</w:t>
      </w:r>
      <w:r w:rsidR="001277B2">
        <w:noBreakHyphen/>
      </w:r>
      <w:r w:rsidRPr="00843125">
        <w:t xml:space="preserve">down </w:t>
      </w:r>
      <w:r w:rsidRPr="00843125">
        <w:lastRenderedPageBreak/>
        <w:t xml:space="preserve">plans to ensure the sustained implementation of activities. </w:t>
      </w:r>
      <w:r>
        <w:t xml:space="preserve">While many elements of these strategies can be applied for both HCFC and HFC refrigerants, consideration would also need to be given to </w:t>
      </w:r>
      <w:r w:rsidRPr="00843125">
        <w:t xml:space="preserve">potential activities to address HFC applications that are not </w:t>
      </w:r>
      <w:r>
        <w:t xml:space="preserve">being </w:t>
      </w:r>
      <w:r w:rsidRPr="00843125">
        <w:t>addressed by HPMPs</w:t>
      </w:r>
      <w:r>
        <w:t xml:space="preserve"> </w:t>
      </w:r>
      <w:r w:rsidRPr="00843125">
        <w:t>(e.g., use of HFC</w:t>
      </w:r>
      <w:r w:rsidR="001277B2">
        <w:noBreakHyphen/>
      </w:r>
      <w:r w:rsidRPr="00843125">
        <w:t xml:space="preserve">134a in mobile air-conditioning </w:t>
      </w:r>
      <w:r>
        <w:t>and transport refrigeration).</w:t>
      </w:r>
    </w:p>
    <w:p w14:paraId="49DFAFE0" w14:textId="77777777" w:rsidR="00502FEE" w:rsidRPr="00F614FE" w:rsidRDefault="00502FEE" w:rsidP="001277B2">
      <w:pPr>
        <w:keepNext/>
        <w:keepLines/>
        <w:rPr>
          <w:b/>
        </w:rPr>
      </w:pPr>
      <w:r w:rsidRPr="00843125">
        <w:rPr>
          <w:b/>
        </w:rPr>
        <w:t>Considerations for the manufacturing</w:t>
      </w:r>
      <w:r w:rsidRPr="00195538">
        <w:rPr>
          <w:b/>
        </w:rPr>
        <w:t xml:space="preserve"> sector</w:t>
      </w:r>
    </w:p>
    <w:p w14:paraId="256B0901" w14:textId="77777777" w:rsidR="00502FEE" w:rsidRPr="00F614FE" w:rsidRDefault="00502FEE" w:rsidP="001277B2">
      <w:pPr>
        <w:keepNext/>
        <w:keepLines/>
      </w:pPr>
    </w:p>
    <w:p w14:paraId="16454308" w14:textId="6B9B7E6A" w:rsidR="00502FEE" w:rsidRDefault="00502FEE" w:rsidP="001277B2">
      <w:pPr>
        <w:pStyle w:val="Heading1"/>
        <w:keepNext/>
        <w:keepLines/>
      </w:pPr>
      <w:r>
        <w:t>For most of the 50 Article 5 countries with HCFC-based manufacturing enterprises, the use of HCFCs in the manufacturing sector has been or will be completely phased out once the approved conversion projects have been completed. For several countries, additional activities would be required to complete the phase</w:t>
      </w:r>
      <w:r w:rsidR="001277B2">
        <w:noBreakHyphen/>
      </w:r>
      <w:r>
        <w:t>out of HCFCs used in the manufacturing sector. An overview of the HCFC phase</w:t>
      </w:r>
      <w:r w:rsidR="001277B2">
        <w:noBreakHyphen/>
      </w:r>
      <w:r>
        <w:t>out activities potentially to be approved in the manufacturing sector is presented below:</w:t>
      </w:r>
    </w:p>
    <w:p w14:paraId="7A29514F" w14:textId="7706F479" w:rsidR="00502FEE" w:rsidRDefault="00502FEE" w:rsidP="00502FEE">
      <w:pPr>
        <w:pStyle w:val="Heading2"/>
        <w:numPr>
          <w:ilvl w:val="1"/>
          <w:numId w:val="1"/>
        </w:numPr>
      </w:pPr>
      <w:r>
        <w:t>Stage III of the room AC sector plan in China, to phase out 2,260 ODP tonnes of HCFC</w:t>
      </w:r>
      <w:r w:rsidR="0079075E">
        <w:noBreakHyphen/>
      </w:r>
      <w:r>
        <w:t>22, and stage III of the industrial and commercial refrigeration (ICR) sector plan in China, to phase out 1,610 ODP tonnes of HCFC-22; both expected to be submitted between 2020 and 2021;</w:t>
      </w:r>
    </w:p>
    <w:p w14:paraId="1E2147E0" w14:textId="75F11C6A" w:rsidR="00502FEE" w:rsidRDefault="00502FEE" w:rsidP="00502FEE">
      <w:pPr>
        <w:pStyle w:val="Heading2"/>
        <w:numPr>
          <w:ilvl w:val="1"/>
          <w:numId w:val="1"/>
        </w:numPr>
      </w:pPr>
      <w:r>
        <w:t>P</w:t>
      </w:r>
      <w:r w:rsidRPr="00311614">
        <w:t>rojects in the PU</w:t>
      </w:r>
      <w:r>
        <w:t xml:space="preserve"> and XPS </w:t>
      </w:r>
      <w:r w:rsidRPr="00311614">
        <w:t>foam</w:t>
      </w:r>
      <w:r>
        <w:t xml:space="preserve"> sector</w:t>
      </w:r>
      <w:r w:rsidR="004026AB">
        <w:t>s</w:t>
      </w:r>
      <w:r w:rsidRPr="00311614">
        <w:t>, commercial refrigeration</w:t>
      </w:r>
      <w:r>
        <w:t xml:space="preserve">, and AC </w:t>
      </w:r>
      <w:r w:rsidRPr="00311614">
        <w:t>sectors</w:t>
      </w:r>
      <w:r>
        <w:t xml:space="preserve"> in several </w:t>
      </w:r>
      <w:r w:rsidRPr="00311614">
        <w:t>countries (e.g.,</w:t>
      </w:r>
      <w:r>
        <w:t xml:space="preserve"> Algeria, Bahrain, Costa Rica, Egypt, Kuwait, Libya, Morocco, Pakistan, Somalia, South Africa</w:t>
      </w:r>
      <w:r w:rsidRPr="00311614">
        <w:t xml:space="preserve">), to phase out approximately </w:t>
      </w:r>
      <w:r>
        <w:t>50.54</w:t>
      </w:r>
      <w:r w:rsidRPr="00311614">
        <w:t xml:space="preserve"> ODP tonnes of HCFC</w:t>
      </w:r>
      <w:r w:rsidR="0079075E">
        <w:noBreakHyphen/>
      </w:r>
      <w:r w:rsidRPr="00311614">
        <w:t>141b</w:t>
      </w:r>
      <w:r>
        <w:t xml:space="preserve">, </w:t>
      </w:r>
      <w:r w:rsidR="003A5E91">
        <w:t>96.50</w:t>
      </w:r>
      <w:r>
        <w:t xml:space="preserve"> ODP tonnes of HCFC-22</w:t>
      </w:r>
      <w:r w:rsidRPr="00311614">
        <w:t xml:space="preserve">, </w:t>
      </w:r>
      <w:r>
        <w:t xml:space="preserve">and </w:t>
      </w:r>
      <w:r w:rsidR="003A5E91">
        <w:t>11.10</w:t>
      </w:r>
      <w:r>
        <w:t xml:space="preserve"> ODP tonnes of HCFC-142b;</w:t>
      </w:r>
      <w:r>
        <w:rPr>
          <w:rStyle w:val="FootnoteReference"/>
        </w:rPr>
        <w:footnoteReference w:id="19"/>
      </w:r>
      <w:r>
        <w:t xml:space="preserve"> and </w:t>
      </w:r>
    </w:p>
    <w:p w14:paraId="7DCF1FBB" w14:textId="2E3628DA" w:rsidR="00502FEE" w:rsidRPr="001277B2" w:rsidRDefault="00502FEE" w:rsidP="00502FEE">
      <w:pPr>
        <w:pStyle w:val="Heading2"/>
        <w:numPr>
          <w:ilvl w:val="1"/>
          <w:numId w:val="1"/>
        </w:numPr>
      </w:pPr>
      <w:r>
        <w:t xml:space="preserve">Additional phase-out activities mostly in the commercial refrigeration and </w:t>
      </w:r>
      <w:r w:rsidRPr="001277B2">
        <w:t>AC</w:t>
      </w:r>
      <w:r w:rsidR="001277B2" w:rsidRPr="001277B2">
        <w:t> </w:t>
      </w:r>
      <w:r w:rsidRPr="001277B2">
        <w:t xml:space="preserve">manufacturing sectors after 2022 as part of stage III of the HPMPs </w:t>
      </w:r>
      <w:r w:rsidR="0079075E" w:rsidRPr="001277B2">
        <w:t>for</w:t>
      </w:r>
      <w:r w:rsidRPr="001277B2">
        <w:t xml:space="preserve"> several Article</w:t>
      </w:r>
      <w:r w:rsidR="0079075E" w:rsidRPr="001277B2">
        <w:t> </w:t>
      </w:r>
      <w:r w:rsidRPr="001277B2">
        <w:t xml:space="preserve">5 countries. </w:t>
      </w:r>
    </w:p>
    <w:p w14:paraId="0E015474" w14:textId="0DB5627A" w:rsidR="00502FEE" w:rsidRPr="001277B2" w:rsidRDefault="00502FEE" w:rsidP="004026AB">
      <w:pPr>
        <w:pStyle w:val="Heading1"/>
      </w:pPr>
      <w:r w:rsidRPr="001277B2">
        <w:t xml:space="preserve">The extent </w:t>
      </w:r>
      <w:r w:rsidR="00435BB9" w:rsidRPr="001277B2">
        <w:t xml:space="preserve">and the timing </w:t>
      </w:r>
      <w:r w:rsidRPr="001277B2">
        <w:t xml:space="preserve">of implementation of HFC investment projects will depend on </w:t>
      </w:r>
      <w:r w:rsidRPr="001277B2">
        <w:rPr>
          <w:i/>
        </w:rPr>
        <w:t xml:space="preserve">inter alia </w:t>
      </w:r>
      <w:r w:rsidRPr="001277B2">
        <w:t xml:space="preserve">the </w:t>
      </w:r>
      <w:r w:rsidR="00435BB9" w:rsidRPr="001277B2">
        <w:t xml:space="preserve">need of these conversions to ensure compliance with the Montreal Protocol, the </w:t>
      </w:r>
      <w:r w:rsidRPr="001277B2">
        <w:t>availability of cost</w:t>
      </w:r>
      <w:r w:rsidR="0079075E" w:rsidRPr="001277B2">
        <w:noBreakHyphen/>
      </w:r>
      <w:r w:rsidRPr="001277B2">
        <w:t xml:space="preserve">effective alternative technologies in local markets; the availability of components (e.g., compressors, heat exchangers, controls) required for the conversion of the manufacturing lines; </w:t>
      </w:r>
      <w:r w:rsidR="004026AB" w:rsidRPr="001277B2">
        <w:t xml:space="preserve">discussions related to HFC investment projects by the Executive Committee; </w:t>
      </w:r>
      <w:r w:rsidRPr="001277B2">
        <w:t xml:space="preserve">and the availability of financial resources under the Multilateral Fund. </w:t>
      </w:r>
      <w:r w:rsidR="004026AB" w:rsidRPr="001277B2">
        <w:t>As some of the HCFC phase</w:t>
      </w:r>
      <w:r w:rsidR="00641A6D" w:rsidRPr="001277B2">
        <w:noBreakHyphen/>
      </w:r>
      <w:r w:rsidR="004026AB" w:rsidRPr="001277B2">
        <w:t>out investment projects are being completed, HFC phase</w:t>
      </w:r>
      <w:r w:rsidR="00641A6D" w:rsidRPr="001277B2">
        <w:noBreakHyphen/>
      </w:r>
      <w:r w:rsidR="004026AB" w:rsidRPr="001277B2">
        <w:t xml:space="preserve">down investment projects could be gradually initiated, maintaining </w:t>
      </w:r>
      <w:r w:rsidR="00D11FF2" w:rsidRPr="001277B2">
        <w:t>even</w:t>
      </w:r>
      <w:r w:rsidR="004026AB" w:rsidRPr="001277B2">
        <w:t xml:space="preserve"> workload </w:t>
      </w:r>
      <w:r w:rsidR="00D11FF2" w:rsidRPr="001277B2">
        <w:t xml:space="preserve">distribution </w:t>
      </w:r>
      <w:r w:rsidR="004026AB" w:rsidRPr="001277B2">
        <w:t>for the institutions.</w:t>
      </w:r>
    </w:p>
    <w:p w14:paraId="6411A202" w14:textId="3CB53577" w:rsidR="00502FEE" w:rsidRDefault="00502FEE" w:rsidP="00502FEE">
      <w:pPr>
        <w:pStyle w:val="Heading1"/>
      </w:pPr>
      <w:r>
        <w:t>Given the broader use of HFCs in the manufacturing sector as compared to HCFCs, it is expected that HFC investment projects would be implemented separately from HCFC investment projects. However, there could be opportunities of integrated implementation in enterprises that manufacture both HCFC</w:t>
      </w:r>
      <w:r w:rsidR="0079075E">
        <w:noBreakHyphen/>
      </w:r>
      <w:r>
        <w:t>based and HFC</w:t>
      </w:r>
      <w:r w:rsidR="0079075E">
        <w:noBreakHyphen/>
      </w:r>
      <w:r>
        <w:t xml:space="preserve">based equipment/products and wish to convert both technologies, as explained below: </w:t>
      </w:r>
    </w:p>
    <w:p w14:paraId="13810597" w14:textId="71D5FA95" w:rsidR="00502FEE" w:rsidRDefault="00502FEE" w:rsidP="00502FEE">
      <w:pPr>
        <w:pStyle w:val="Heading2"/>
        <w:numPr>
          <w:ilvl w:val="1"/>
          <w:numId w:val="1"/>
        </w:numPr>
      </w:pPr>
      <w:r w:rsidRPr="00E05B7A">
        <w:rPr>
          <w:lang w:val="en-CA"/>
        </w:rPr>
        <w:t>Enterprises manufacturing PU foam applications based on HCFC</w:t>
      </w:r>
      <w:r w:rsidR="0079075E">
        <w:rPr>
          <w:lang w:val="en-CA"/>
        </w:rPr>
        <w:noBreakHyphen/>
      </w:r>
      <w:r w:rsidRPr="00E05B7A">
        <w:rPr>
          <w:lang w:val="en-CA"/>
        </w:rPr>
        <w:t>141b, HFC</w:t>
      </w:r>
      <w:r w:rsidR="0079075E">
        <w:rPr>
          <w:lang w:val="en-CA"/>
        </w:rPr>
        <w:noBreakHyphen/>
      </w:r>
      <w:r w:rsidRPr="00E05B7A">
        <w:rPr>
          <w:lang w:val="en-CA"/>
        </w:rPr>
        <w:t>245fa</w:t>
      </w:r>
      <w:r>
        <w:rPr>
          <w:lang w:val="en-CA"/>
        </w:rPr>
        <w:t xml:space="preserve"> and/</w:t>
      </w:r>
      <w:r w:rsidRPr="00E05B7A">
        <w:rPr>
          <w:lang w:val="en-CA"/>
        </w:rPr>
        <w:t xml:space="preserve">or </w:t>
      </w:r>
      <w:r>
        <w:t>HFC</w:t>
      </w:r>
      <w:r w:rsidR="0079075E">
        <w:noBreakHyphen/>
      </w:r>
      <w:r>
        <w:t>365mfc/HFC</w:t>
      </w:r>
      <w:r w:rsidR="0079075E">
        <w:noBreakHyphen/>
      </w:r>
      <w:r>
        <w:t>227ea polyol systems. Low</w:t>
      </w:r>
      <w:r w:rsidR="0079075E">
        <w:noBreakHyphen/>
      </w:r>
      <w:r>
        <w:t>GWP polyol systems are currently available for all PU foam applications (although HFO</w:t>
      </w:r>
      <w:r w:rsidR="0079075E">
        <w:noBreakHyphen/>
      </w:r>
      <w:r>
        <w:t>based technologies have limited commercial availability in several markets). Only few Article 5 countries where the phase</w:t>
      </w:r>
      <w:r>
        <w:noBreakHyphen/>
        <w:t>out of HCFC</w:t>
      </w:r>
      <w:r w:rsidR="0079075E">
        <w:noBreakHyphen/>
      </w:r>
      <w:r>
        <w:t>141b used as a foam blowing agent has not been completed (including China, which will completely phase out HCFC</w:t>
      </w:r>
      <w:r w:rsidR="0079075E">
        <w:noBreakHyphen/>
      </w:r>
      <w:r>
        <w:t>141b by 2026) could consider potential benefits of integrated HCFC phase</w:t>
      </w:r>
      <w:r w:rsidR="0079075E">
        <w:noBreakHyphen/>
      </w:r>
      <w:r>
        <w:t>out and HFC phase</w:t>
      </w:r>
      <w:r w:rsidR="0079075E">
        <w:noBreakHyphen/>
      </w:r>
      <w:r>
        <w:t xml:space="preserve">down in this sector; </w:t>
      </w:r>
    </w:p>
    <w:p w14:paraId="57C023AF" w14:textId="71B9BF36" w:rsidR="00502FEE" w:rsidRDefault="00502FEE" w:rsidP="00327ADE">
      <w:pPr>
        <w:pStyle w:val="Heading2"/>
        <w:widowControl/>
        <w:numPr>
          <w:ilvl w:val="1"/>
          <w:numId w:val="1"/>
        </w:numPr>
      </w:pPr>
      <w:r w:rsidRPr="00E05B7A">
        <w:rPr>
          <w:lang w:val="en-CA"/>
        </w:rPr>
        <w:lastRenderedPageBreak/>
        <w:t xml:space="preserve">Enterprises manufacturing XPS foam applications based on </w:t>
      </w:r>
      <w:r>
        <w:t>HCFC</w:t>
      </w:r>
      <w:r w:rsidR="0079075E">
        <w:noBreakHyphen/>
      </w:r>
      <w:r>
        <w:t>22/HCFC</w:t>
      </w:r>
      <w:r w:rsidR="0079075E">
        <w:noBreakHyphen/>
      </w:r>
      <w:r>
        <w:t>142b and HFC</w:t>
      </w:r>
      <w:r w:rsidR="0079075E">
        <w:noBreakHyphen/>
      </w:r>
      <w:r>
        <w:t>134a/HFC</w:t>
      </w:r>
      <w:r w:rsidR="0079075E">
        <w:noBreakHyphen/>
      </w:r>
      <w:r>
        <w:t>152 blowing agents. Only few Article 5 countries where the phase</w:t>
      </w:r>
      <w:r w:rsidR="0079075E">
        <w:noBreakHyphen/>
      </w:r>
      <w:r>
        <w:t>out of HCFC</w:t>
      </w:r>
      <w:r w:rsidR="0079075E">
        <w:noBreakHyphen/>
      </w:r>
      <w:r>
        <w:t>22/HCFC</w:t>
      </w:r>
      <w:r w:rsidR="0079075E">
        <w:noBreakHyphen/>
      </w:r>
      <w:r>
        <w:t>142b has not been completed (including China, which will completely phase out HCFC</w:t>
      </w:r>
      <w:r w:rsidR="0079075E">
        <w:noBreakHyphen/>
      </w:r>
      <w:r>
        <w:t>22/HCFC</w:t>
      </w:r>
      <w:r w:rsidR="0079075E">
        <w:noBreakHyphen/>
      </w:r>
      <w:r>
        <w:t xml:space="preserve">142b used in XPS </w:t>
      </w:r>
      <w:r w:rsidR="004026AB">
        <w:t xml:space="preserve">foam </w:t>
      </w:r>
      <w:r>
        <w:t>applications in 2026) could consider potential benefits of integrated HCFC phase</w:t>
      </w:r>
      <w:r w:rsidR="0079075E">
        <w:noBreakHyphen/>
      </w:r>
      <w:r>
        <w:t>out and HFC phase</w:t>
      </w:r>
      <w:r w:rsidR="0079075E">
        <w:noBreakHyphen/>
      </w:r>
      <w:r>
        <w:t>down in this sector, considering that low</w:t>
      </w:r>
      <w:r w:rsidR="0079075E">
        <w:noBreakHyphen/>
      </w:r>
      <w:r>
        <w:t>GWP technologies are currently available;</w:t>
      </w:r>
    </w:p>
    <w:p w14:paraId="0125C266" w14:textId="09996965" w:rsidR="00502FEE" w:rsidRDefault="00502FEE" w:rsidP="00502FEE">
      <w:pPr>
        <w:pStyle w:val="Heading2"/>
        <w:numPr>
          <w:ilvl w:val="1"/>
          <w:numId w:val="1"/>
        </w:numPr>
      </w:pPr>
      <w:r>
        <w:t>Enterprises manufacturing room and/or commercial AC equipment with production lines based on HCFC</w:t>
      </w:r>
      <w:r w:rsidR="0079075E">
        <w:noBreakHyphen/>
      </w:r>
      <w:r>
        <w:t>22 and R</w:t>
      </w:r>
      <w:r w:rsidR="0079075E">
        <w:noBreakHyphen/>
      </w:r>
      <w:r>
        <w:t xml:space="preserve">410A refrigerants. The conversion of both production lines could be integrated, with the potential of reducing conversion costs associated with </w:t>
      </w:r>
      <w:r>
        <w:rPr>
          <w:i/>
        </w:rPr>
        <w:t xml:space="preserve">inter alia, </w:t>
      </w:r>
      <w:r>
        <w:t>project design; safety if the alternative selected is flammable; components (e.g.,</w:t>
      </w:r>
      <w:r w:rsidR="0079075E">
        <w:t> </w:t>
      </w:r>
      <w:r>
        <w:t>compressors and heat exchangers due to economies of scale), and training, certification, verification and commissioning;</w:t>
      </w:r>
    </w:p>
    <w:p w14:paraId="209F8405" w14:textId="232B21A8" w:rsidR="00502FEE" w:rsidRDefault="00502FEE" w:rsidP="00502FEE">
      <w:pPr>
        <w:pStyle w:val="Heading2"/>
        <w:numPr>
          <w:ilvl w:val="1"/>
          <w:numId w:val="1"/>
        </w:numPr>
      </w:pPr>
      <w:r>
        <w:t>Enterprises manufacturing commercial refrigeration with production lines based on different refrigerants (e.g., HCFC</w:t>
      </w:r>
      <w:r w:rsidR="0079075E">
        <w:noBreakHyphen/>
      </w:r>
      <w:r>
        <w:t>22, HFC</w:t>
      </w:r>
      <w:r w:rsidR="0079075E">
        <w:noBreakHyphen/>
      </w:r>
      <w:r>
        <w:t>134a and/or R</w:t>
      </w:r>
      <w:r w:rsidR="0079075E">
        <w:noBreakHyphen/>
      </w:r>
      <w:r>
        <w:t>404A). Conversions of HFC</w:t>
      </w:r>
      <w:r>
        <w:noBreakHyphen/>
        <w:t>based products could be integrated with the ongoing conversion of HCFC</w:t>
      </w:r>
      <w:r w:rsidR="0079075E">
        <w:noBreakHyphen/>
      </w:r>
      <w:r>
        <w:t>22</w:t>
      </w:r>
      <w:r w:rsidR="0079075E">
        <w:noBreakHyphen/>
      </w:r>
      <w:r>
        <w:t>based products (which in most cases are at an advanced stage of implementation), ensuring the phase</w:t>
      </w:r>
      <w:r w:rsidR="0079075E">
        <w:noBreakHyphen/>
      </w:r>
      <w:r>
        <w:t>out of both HCFC and HFC, with potential reductions in the overall conversion costs; and</w:t>
      </w:r>
    </w:p>
    <w:p w14:paraId="229879CD" w14:textId="62B58B7D" w:rsidR="00502FEE" w:rsidRPr="00A77B9D" w:rsidRDefault="00502FEE" w:rsidP="00502FEE">
      <w:pPr>
        <w:pStyle w:val="Heading2"/>
        <w:numPr>
          <w:ilvl w:val="1"/>
          <w:numId w:val="1"/>
        </w:numPr>
      </w:pPr>
      <w:r>
        <w:t>Enterprises manufacturing chillers or using controlled substances in aerosol, solvent and/or fire</w:t>
      </w:r>
      <w:r w:rsidR="0079075E">
        <w:noBreakHyphen/>
      </w:r>
      <w:r>
        <w:t>fighting applications. The amount of controlled substances used in these sectors is smaller as compared to the amount used in the foam and RAC sectors; therefore, conversions of these enterprises could be considered on a case-by-case basis.</w:t>
      </w:r>
    </w:p>
    <w:p w14:paraId="4E85857A" w14:textId="77777777" w:rsidR="00502FEE" w:rsidRPr="00935DDE" w:rsidRDefault="00502FEE" w:rsidP="00502FEE">
      <w:pPr>
        <w:pStyle w:val="Heading1"/>
      </w:pPr>
      <w:r>
        <w:t xml:space="preserve">Based on the above considerations, </w:t>
      </w:r>
      <w:r w:rsidRPr="00935DDE">
        <w:t xml:space="preserve">Table 7 </w:t>
      </w:r>
      <w:r>
        <w:t xml:space="preserve">presents </w:t>
      </w:r>
      <w:r w:rsidRPr="00935DDE">
        <w:t xml:space="preserve">a preliminary analysis of </w:t>
      </w:r>
      <w:r>
        <w:t xml:space="preserve">modalities </w:t>
      </w:r>
      <w:r w:rsidRPr="00935DDE">
        <w:t xml:space="preserve">of implementation of investment </w:t>
      </w:r>
      <w:r>
        <w:t xml:space="preserve">projects </w:t>
      </w:r>
      <w:r w:rsidRPr="00935DDE">
        <w:t>during the 2020-2030 period</w:t>
      </w:r>
      <w:r>
        <w:t>, based on information so far available. As more information on the consumption of HFC and availability of alternatives in different sectors become available, this analysis could variate</w:t>
      </w:r>
      <w:r w:rsidRPr="00935DDE">
        <w:t>.</w:t>
      </w:r>
    </w:p>
    <w:p w14:paraId="735E6CE6" w14:textId="77777777" w:rsidR="00502FEE" w:rsidRPr="0086511F" w:rsidRDefault="00502FEE" w:rsidP="00502FEE">
      <w:pPr>
        <w:rPr>
          <w:b/>
        </w:rPr>
      </w:pPr>
      <w:r w:rsidRPr="0086511F">
        <w:rPr>
          <w:b/>
        </w:rPr>
        <w:t xml:space="preserve">Table 7. Summary of modalities of implementation of investment projects </w:t>
      </w:r>
    </w:p>
    <w:tbl>
      <w:tblPr>
        <w:tblStyle w:val="TableGrid"/>
        <w:tblW w:w="9445" w:type="dxa"/>
        <w:tblLook w:val="04A0" w:firstRow="1" w:lastRow="0" w:firstColumn="1" w:lastColumn="0" w:noHBand="0" w:noVBand="1"/>
      </w:tblPr>
      <w:tblGrid>
        <w:gridCol w:w="1555"/>
        <w:gridCol w:w="1134"/>
        <w:gridCol w:w="1134"/>
        <w:gridCol w:w="2976"/>
        <w:gridCol w:w="2646"/>
      </w:tblGrid>
      <w:tr w:rsidR="00502FEE" w:rsidRPr="00FE2D7C" w14:paraId="6472C8E6" w14:textId="77777777" w:rsidTr="000E7A06">
        <w:trPr>
          <w:tblHeader/>
        </w:trPr>
        <w:tc>
          <w:tcPr>
            <w:tcW w:w="1555" w:type="dxa"/>
            <w:vAlign w:val="center"/>
          </w:tcPr>
          <w:p w14:paraId="0884B855" w14:textId="77777777" w:rsidR="00502FEE" w:rsidRPr="00FE2D7C" w:rsidRDefault="00502FEE" w:rsidP="000E7A06">
            <w:pPr>
              <w:jc w:val="left"/>
              <w:rPr>
                <w:b/>
                <w:sz w:val="19"/>
                <w:szCs w:val="19"/>
              </w:rPr>
            </w:pPr>
            <w:r w:rsidRPr="00FE2D7C">
              <w:rPr>
                <w:b/>
                <w:sz w:val="19"/>
                <w:szCs w:val="19"/>
              </w:rPr>
              <w:t>Sector</w:t>
            </w:r>
          </w:p>
        </w:tc>
        <w:tc>
          <w:tcPr>
            <w:tcW w:w="1134" w:type="dxa"/>
            <w:vAlign w:val="center"/>
          </w:tcPr>
          <w:p w14:paraId="66A04342" w14:textId="77777777" w:rsidR="00502FEE" w:rsidRPr="00FE2D7C" w:rsidRDefault="00502FEE" w:rsidP="000E7A06">
            <w:pPr>
              <w:jc w:val="center"/>
              <w:rPr>
                <w:b/>
                <w:sz w:val="19"/>
                <w:szCs w:val="19"/>
              </w:rPr>
            </w:pPr>
            <w:r w:rsidRPr="00FE2D7C">
              <w:rPr>
                <w:b/>
                <w:sz w:val="19"/>
                <w:szCs w:val="19"/>
              </w:rPr>
              <w:t xml:space="preserve">HCFC </w:t>
            </w:r>
          </w:p>
        </w:tc>
        <w:tc>
          <w:tcPr>
            <w:tcW w:w="1134" w:type="dxa"/>
            <w:vAlign w:val="center"/>
          </w:tcPr>
          <w:p w14:paraId="2D412587" w14:textId="77777777" w:rsidR="00502FEE" w:rsidRPr="00FE2D7C" w:rsidRDefault="00502FEE" w:rsidP="000E7A06">
            <w:pPr>
              <w:jc w:val="center"/>
              <w:rPr>
                <w:b/>
                <w:sz w:val="19"/>
                <w:szCs w:val="19"/>
              </w:rPr>
            </w:pPr>
            <w:r w:rsidRPr="00FE2D7C">
              <w:rPr>
                <w:b/>
                <w:sz w:val="19"/>
                <w:szCs w:val="19"/>
              </w:rPr>
              <w:t xml:space="preserve">HFC </w:t>
            </w:r>
          </w:p>
        </w:tc>
        <w:tc>
          <w:tcPr>
            <w:tcW w:w="2976" w:type="dxa"/>
            <w:vAlign w:val="center"/>
          </w:tcPr>
          <w:p w14:paraId="37496AC2" w14:textId="77777777" w:rsidR="00502FEE" w:rsidRPr="00FE2D7C" w:rsidRDefault="00502FEE" w:rsidP="000E7A06">
            <w:pPr>
              <w:jc w:val="center"/>
              <w:rPr>
                <w:b/>
                <w:sz w:val="19"/>
                <w:szCs w:val="19"/>
              </w:rPr>
            </w:pPr>
            <w:r w:rsidRPr="00FE2D7C">
              <w:rPr>
                <w:b/>
                <w:sz w:val="19"/>
                <w:szCs w:val="19"/>
              </w:rPr>
              <w:t>Type of implementation</w:t>
            </w:r>
          </w:p>
        </w:tc>
        <w:tc>
          <w:tcPr>
            <w:tcW w:w="2646" w:type="dxa"/>
            <w:vAlign w:val="center"/>
          </w:tcPr>
          <w:p w14:paraId="16916F98" w14:textId="77777777" w:rsidR="00502FEE" w:rsidRPr="00FE2D7C" w:rsidRDefault="00502FEE" w:rsidP="000E7A06">
            <w:pPr>
              <w:jc w:val="center"/>
              <w:rPr>
                <w:b/>
                <w:sz w:val="19"/>
                <w:szCs w:val="19"/>
              </w:rPr>
            </w:pPr>
            <w:r w:rsidRPr="00FE2D7C">
              <w:rPr>
                <w:b/>
                <w:sz w:val="19"/>
                <w:szCs w:val="19"/>
              </w:rPr>
              <w:t>Other considerations</w:t>
            </w:r>
          </w:p>
        </w:tc>
      </w:tr>
      <w:tr w:rsidR="00502FEE" w:rsidRPr="00FE2D7C" w14:paraId="7174DE4E" w14:textId="77777777" w:rsidTr="000E7A06">
        <w:tc>
          <w:tcPr>
            <w:tcW w:w="1555" w:type="dxa"/>
            <w:tcMar>
              <w:left w:w="72" w:type="dxa"/>
              <w:right w:w="43" w:type="dxa"/>
            </w:tcMar>
          </w:tcPr>
          <w:p w14:paraId="2291FF9D" w14:textId="77777777" w:rsidR="00502FEE" w:rsidRPr="00FE2D7C" w:rsidRDefault="00502FEE" w:rsidP="000E7A06">
            <w:pPr>
              <w:jc w:val="left"/>
              <w:rPr>
                <w:sz w:val="19"/>
                <w:szCs w:val="19"/>
              </w:rPr>
            </w:pPr>
            <w:r w:rsidRPr="00FE2D7C">
              <w:rPr>
                <w:sz w:val="19"/>
                <w:szCs w:val="19"/>
              </w:rPr>
              <w:t>PU foam</w:t>
            </w:r>
          </w:p>
        </w:tc>
        <w:tc>
          <w:tcPr>
            <w:tcW w:w="1134" w:type="dxa"/>
            <w:tcMar>
              <w:left w:w="72" w:type="dxa"/>
              <w:right w:w="43" w:type="dxa"/>
            </w:tcMar>
          </w:tcPr>
          <w:p w14:paraId="5607FEA1" w14:textId="77777777" w:rsidR="00502FEE" w:rsidRPr="00FE2D7C" w:rsidRDefault="00502FEE" w:rsidP="000E7A06">
            <w:pPr>
              <w:jc w:val="left"/>
              <w:rPr>
                <w:sz w:val="19"/>
                <w:szCs w:val="19"/>
              </w:rPr>
            </w:pPr>
            <w:r w:rsidRPr="00FE2D7C">
              <w:rPr>
                <w:sz w:val="19"/>
                <w:szCs w:val="19"/>
              </w:rPr>
              <w:t>HCFC-141b</w:t>
            </w:r>
          </w:p>
        </w:tc>
        <w:tc>
          <w:tcPr>
            <w:tcW w:w="1134" w:type="dxa"/>
            <w:tcMar>
              <w:left w:w="72" w:type="dxa"/>
              <w:right w:w="43" w:type="dxa"/>
            </w:tcMar>
          </w:tcPr>
          <w:p w14:paraId="0BC0431A" w14:textId="77777777" w:rsidR="00502FEE" w:rsidRPr="00FE2D7C" w:rsidRDefault="00502FEE" w:rsidP="000E7A06">
            <w:pPr>
              <w:jc w:val="left"/>
              <w:rPr>
                <w:sz w:val="19"/>
                <w:szCs w:val="19"/>
              </w:rPr>
            </w:pPr>
            <w:r w:rsidRPr="00FE2D7C">
              <w:rPr>
                <w:sz w:val="19"/>
                <w:szCs w:val="19"/>
              </w:rPr>
              <w:t>HFC-245fa</w:t>
            </w:r>
          </w:p>
          <w:p w14:paraId="69DB0366" w14:textId="77777777" w:rsidR="00502FEE" w:rsidRPr="00FE2D7C" w:rsidRDefault="00502FEE" w:rsidP="000E7A06">
            <w:pPr>
              <w:jc w:val="left"/>
              <w:rPr>
                <w:sz w:val="19"/>
                <w:szCs w:val="19"/>
              </w:rPr>
            </w:pPr>
            <w:r w:rsidRPr="00FE2D7C">
              <w:rPr>
                <w:sz w:val="19"/>
                <w:szCs w:val="19"/>
              </w:rPr>
              <w:t>HFC-365mfc / HFC-227ea</w:t>
            </w:r>
          </w:p>
        </w:tc>
        <w:tc>
          <w:tcPr>
            <w:tcW w:w="2976" w:type="dxa"/>
            <w:tcMar>
              <w:left w:w="72" w:type="dxa"/>
              <w:right w:w="43" w:type="dxa"/>
            </w:tcMar>
          </w:tcPr>
          <w:p w14:paraId="121E60C9" w14:textId="0CE6604C" w:rsidR="00502FEE" w:rsidRPr="00FE2D7C" w:rsidRDefault="00502FEE" w:rsidP="00F139D9">
            <w:pPr>
              <w:spacing w:after="60"/>
              <w:jc w:val="left"/>
              <w:rPr>
                <w:sz w:val="19"/>
                <w:szCs w:val="19"/>
              </w:rPr>
            </w:pPr>
            <w:r w:rsidRPr="00FE2D7C">
              <w:rPr>
                <w:sz w:val="19"/>
                <w:szCs w:val="19"/>
              </w:rPr>
              <w:t>PU foam sector plans are in advanced stages of implementation in most countries, where low-GWP alte</w:t>
            </w:r>
            <w:r w:rsidR="00F139D9">
              <w:rPr>
                <w:sz w:val="19"/>
                <w:szCs w:val="19"/>
              </w:rPr>
              <w:t>rnatives are being introduced. T</w:t>
            </w:r>
            <w:r w:rsidRPr="00FE2D7C">
              <w:rPr>
                <w:sz w:val="19"/>
                <w:szCs w:val="19"/>
              </w:rPr>
              <w:t>herefore, integrated implementation might be limited to cases where substantive HCFC phase-out work would be expected in the next years.</w:t>
            </w:r>
          </w:p>
        </w:tc>
        <w:tc>
          <w:tcPr>
            <w:tcW w:w="2646" w:type="dxa"/>
            <w:tcMar>
              <w:left w:w="72" w:type="dxa"/>
              <w:right w:w="43" w:type="dxa"/>
            </w:tcMar>
          </w:tcPr>
          <w:p w14:paraId="3273B4BF" w14:textId="6CF35F55" w:rsidR="00502FEE" w:rsidRPr="00FE2D7C" w:rsidRDefault="00502FEE" w:rsidP="000E7A06">
            <w:pPr>
              <w:spacing w:after="60"/>
              <w:jc w:val="left"/>
              <w:rPr>
                <w:sz w:val="19"/>
                <w:szCs w:val="19"/>
              </w:rPr>
            </w:pPr>
            <w:r w:rsidRPr="00FE2D7C">
              <w:rPr>
                <w:sz w:val="19"/>
                <w:szCs w:val="19"/>
              </w:rPr>
              <w:t>HFC phase-out in this sector could help ensure sustainability of adoption of low</w:t>
            </w:r>
            <w:r w:rsidR="00D11FF2">
              <w:rPr>
                <w:sz w:val="19"/>
                <w:szCs w:val="19"/>
              </w:rPr>
              <w:noBreakHyphen/>
            </w:r>
            <w:r w:rsidRPr="00FE2D7C">
              <w:rPr>
                <w:sz w:val="19"/>
                <w:szCs w:val="19"/>
              </w:rPr>
              <w:t>GWP alternatives by the HCFC phase</w:t>
            </w:r>
            <w:r w:rsidR="0079075E">
              <w:rPr>
                <w:sz w:val="19"/>
                <w:szCs w:val="19"/>
              </w:rPr>
              <w:noBreakHyphen/>
            </w:r>
            <w:r w:rsidRPr="00FE2D7C">
              <w:rPr>
                <w:sz w:val="19"/>
                <w:szCs w:val="19"/>
              </w:rPr>
              <w:t xml:space="preserve">out plans. </w:t>
            </w:r>
          </w:p>
          <w:p w14:paraId="1BE9BFEE" w14:textId="7382C6B7" w:rsidR="00502FEE" w:rsidRPr="00FE2D7C" w:rsidRDefault="00502FEE" w:rsidP="00D11FF2">
            <w:pPr>
              <w:spacing w:after="60"/>
              <w:jc w:val="left"/>
              <w:rPr>
                <w:sz w:val="19"/>
                <w:szCs w:val="19"/>
              </w:rPr>
            </w:pPr>
            <w:r w:rsidRPr="00FE2D7C">
              <w:rPr>
                <w:sz w:val="19"/>
                <w:szCs w:val="19"/>
              </w:rPr>
              <w:t>Market structure to promote HFC phase-down with low</w:t>
            </w:r>
            <w:r w:rsidR="0079075E">
              <w:rPr>
                <w:sz w:val="19"/>
                <w:szCs w:val="19"/>
              </w:rPr>
              <w:noBreakHyphen/>
            </w:r>
            <w:r w:rsidRPr="00FE2D7C">
              <w:rPr>
                <w:sz w:val="19"/>
                <w:szCs w:val="19"/>
              </w:rPr>
              <w:t>GWP blowing agents uptake increasing in the near future</w:t>
            </w:r>
            <w:r w:rsidR="0079075E">
              <w:rPr>
                <w:sz w:val="19"/>
                <w:szCs w:val="19"/>
              </w:rPr>
              <w:t>, i.e.</w:t>
            </w:r>
            <w:r w:rsidR="00936884">
              <w:rPr>
                <w:sz w:val="19"/>
                <w:szCs w:val="19"/>
              </w:rPr>
              <w:t>,</w:t>
            </w:r>
            <w:r w:rsidR="0079075E">
              <w:rPr>
                <w:sz w:val="19"/>
                <w:szCs w:val="19"/>
              </w:rPr>
              <w:t> </w:t>
            </w:r>
            <w:r w:rsidRPr="00FE2D7C">
              <w:rPr>
                <w:sz w:val="19"/>
                <w:szCs w:val="19"/>
              </w:rPr>
              <w:t>next 2</w:t>
            </w:r>
            <w:r w:rsidR="00D11FF2">
              <w:rPr>
                <w:sz w:val="19"/>
                <w:szCs w:val="19"/>
              </w:rPr>
              <w:noBreakHyphen/>
            </w:r>
            <w:r w:rsidRPr="00FE2D7C">
              <w:rPr>
                <w:sz w:val="19"/>
                <w:szCs w:val="19"/>
              </w:rPr>
              <w:t>3 years.</w:t>
            </w:r>
          </w:p>
        </w:tc>
      </w:tr>
      <w:tr w:rsidR="00502FEE" w:rsidRPr="00FE2D7C" w14:paraId="331BFC6C" w14:textId="77777777" w:rsidTr="000E7A06">
        <w:tc>
          <w:tcPr>
            <w:tcW w:w="1555" w:type="dxa"/>
            <w:tcMar>
              <w:left w:w="72" w:type="dxa"/>
              <w:right w:w="43" w:type="dxa"/>
            </w:tcMar>
          </w:tcPr>
          <w:p w14:paraId="2B81562A" w14:textId="77777777" w:rsidR="00502FEE" w:rsidRPr="00FE2D7C" w:rsidRDefault="00502FEE" w:rsidP="000E7A06">
            <w:pPr>
              <w:jc w:val="left"/>
              <w:rPr>
                <w:sz w:val="19"/>
                <w:szCs w:val="19"/>
              </w:rPr>
            </w:pPr>
            <w:r w:rsidRPr="00FE2D7C">
              <w:rPr>
                <w:sz w:val="19"/>
                <w:szCs w:val="19"/>
              </w:rPr>
              <w:t>XPS foam</w:t>
            </w:r>
          </w:p>
        </w:tc>
        <w:tc>
          <w:tcPr>
            <w:tcW w:w="1134" w:type="dxa"/>
            <w:tcMar>
              <w:left w:w="72" w:type="dxa"/>
              <w:right w:w="43" w:type="dxa"/>
            </w:tcMar>
          </w:tcPr>
          <w:p w14:paraId="1BD35E9B" w14:textId="77777777" w:rsidR="00502FEE" w:rsidRPr="00FE2D7C" w:rsidRDefault="00502FEE" w:rsidP="000E7A06">
            <w:pPr>
              <w:jc w:val="left"/>
              <w:rPr>
                <w:sz w:val="19"/>
                <w:szCs w:val="19"/>
              </w:rPr>
            </w:pPr>
            <w:r w:rsidRPr="00FE2D7C">
              <w:rPr>
                <w:sz w:val="19"/>
                <w:szCs w:val="19"/>
              </w:rPr>
              <w:t>HCFC-22/</w:t>
            </w:r>
          </w:p>
          <w:p w14:paraId="16E10F84" w14:textId="77777777" w:rsidR="00502FEE" w:rsidRPr="00FE2D7C" w:rsidRDefault="00502FEE" w:rsidP="000E7A06">
            <w:pPr>
              <w:jc w:val="left"/>
              <w:rPr>
                <w:sz w:val="19"/>
                <w:szCs w:val="19"/>
              </w:rPr>
            </w:pPr>
            <w:r w:rsidRPr="00FE2D7C">
              <w:rPr>
                <w:sz w:val="19"/>
                <w:szCs w:val="19"/>
              </w:rPr>
              <w:t>HCFC-142b</w:t>
            </w:r>
          </w:p>
        </w:tc>
        <w:tc>
          <w:tcPr>
            <w:tcW w:w="1134" w:type="dxa"/>
            <w:tcMar>
              <w:left w:w="72" w:type="dxa"/>
              <w:right w:w="43" w:type="dxa"/>
            </w:tcMar>
          </w:tcPr>
          <w:p w14:paraId="531CFF10" w14:textId="77777777" w:rsidR="00502FEE" w:rsidRPr="00FE2D7C" w:rsidRDefault="00502FEE" w:rsidP="000E7A06">
            <w:pPr>
              <w:jc w:val="left"/>
              <w:rPr>
                <w:sz w:val="19"/>
                <w:szCs w:val="19"/>
              </w:rPr>
            </w:pPr>
            <w:r w:rsidRPr="00FE2D7C">
              <w:rPr>
                <w:sz w:val="19"/>
                <w:szCs w:val="19"/>
              </w:rPr>
              <w:t>HFC-134a/</w:t>
            </w:r>
          </w:p>
          <w:p w14:paraId="1A71E6ED" w14:textId="77777777" w:rsidR="00502FEE" w:rsidRPr="00FE2D7C" w:rsidRDefault="00502FEE" w:rsidP="000E7A06">
            <w:pPr>
              <w:jc w:val="left"/>
              <w:rPr>
                <w:sz w:val="19"/>
                <w:szCs w:val="19"/>
              </w:rPr>
            </w:pPr>
            <w:r w:rsidRPr="00FE2D7C">
              <w:rPr>
                <w:sz w:val="19"/>
                <w:szCs w:val="19"/>
              </w:rPr>
              <w:t>HFC-152</w:t>
            </w:r>
          </w:p>
        </w:tc>
        <w:tc>
          <w:tcPr>
            <w:tcW w:w="2976" w:type="dxa"/>
            <w:tcMar>
              <w:left w:w="72" w:type="dxa"/>
              <w:right w:w="43" w:type="dxa"/>
            </w:tcMar>
          </w:tcPr>
          <w:p w14:paraId="1EB4CAF8" w14:textId="77777777" w:rsidR="00502FEE" w:rsidRPr="00FE2D7C" w:rsidRDefault="00502FEE" w:rsidP="000E7A06">
            <w:pPr>
              <w:spacing w:after="60"/>
              <w:jc w:val="left"/>
              <w:rPr>
                <w:sz w:val="19"/>
                <w:szCs w:val="19"/>
              </w:rPr>
            </w:pPr>
            <w:r w:rsidRPr="00FE2D7C">
              <w:rPr>
                <w:sz w:val="19"/>
                <w:szCs w:val="19"/>
              </w:rPr>
              <w:t xml:space="preserve">XPS foam sector plans are in advanced stages of implementation in most countries where low-GWP alternatives </w:t>
            </w:r>
            <w:r>
              <w:rPr>
                <w:sz w:val="19"/>
                <w:szCs w:val="19"/>
              </w:rPr>
              <w:t>are being introduced. T</w:t>
            </w:r>
            <w:r w:rsidRPr="00FE2D7C">
              <w:rPr>
                <w:sz w:val="19"/>
                <w:szCs w:val="19"/>
              </w:rPr>
              <w:t>herefore</w:t>
            </w:r>
            <w:r>
              <w:rPr>
                <w:sz w:val="19"/>
                <w:szCs w:val="19"/>
              </w:rPr>
              <w:t>,</w:t>
            </w:r>
            <w:r w:rsidRPr="00FE2D7C">
              <w:rPr>
                <w:sz w:val="19"/>
                <w:szCs w:val="19"/>
              </w:rPr>
              <w:t xml:space="preserve"> </w:t>
            </w:r>
            <w:r>
              <w:rPr>
                <w:sz w:val="19"/>
                <w:szCs w:val="19"/>
              </w:rPr>
              <w:t>i</w:t>
            </w:r>
            <w:r w:rsidRPr="00FE2D7C">
              <w:rPr>
                <w:sz w:val="19"/>
                <w:szCs w:val="19"/>
              </w:rPr>
              <w:t xml:space="preserve">ntegrated implementation </w:t>
            </w:r>
            <w:r>
              <w:rPr>
                <w:sz w:val="19"/>
                <w:szCs w:val="19"/>
              </w:rPr>
              <w:t xml:space="preserve">might be </w:t>
            </w:r>
            <w:r w:rsidRPr="00FE2D7C">
              <w:rPr>
                <w:sz w:val="19"/>
                <w:szCs w:val="19"/>
              </w:rPr>
              <w:t>limited to cases where substantive HCFC phase-out work is expected in the next years.</w:t>
            </w:r>
          </w:p>
        </w:tc>
        <w:tc>
          <w:tcPr>
            <w:tcW w:w="2646" w:type="dxa"/>
            <w:tcMar>
              <w:left w:w="72" w:type="dxa"/>
              <w:right w:w="43" w:type="dxa"/>
            </w:tcMar>
          </w:tcPr>
          <w:p w14:paraId="18DB60C4" w14:textId="6059DF7A" w:rsidR="00502FEE" w:rsidRPr="00FE2D7C" w:rsidRDefault="00F139D9" w:rsidP="00D11FF2">
            <w:pPr>
              <w:spacing w:after="60"/>
              <w:jc w:val="left"/>
              <w:rPr>
                <w:sz w:val="19"/>
                <w:szCs w:val="19"/>
              </w:rPr>
            </w:pPr>
            <w:r w:rsidRPr="0079075E">
              <w:rPr>
                <w:sz w:val="19"/>
                <w:szCs w:val="19"/>
              </w:rPr>
              <w:t>Low</w:t>
            </w:r>
            <w:r w:rsidR="00D11FF2">
              <w:rPr>
                <w:sz w:val="19"/>
                <w:szCs w:val="19"/>
              </w:rPr>
              <w:noBreakHyphen/>
            </w:r>
            <w:r w:rsidRPr="0079075E">
              <w:rPr>
                <w:sz w:val="19"/>
                <w:szCs w:val="19"/>
              </w:rPr>
              <w:t>GWP alternatives being introduced through HPMPs (i.e.,</w:t>
            </w:r>
            <w:r w:rsidR="0079075E" w:rsidRPr="0079075E">
              <w:rPr>
                <w:sz w:val="19"/>
                <w:szCs w:val="19"/>
              </w:rPr>
              <w:t> </w:t>
            </w:r>
            <w:r w:rsidRPr="0079075E">
              <w:rPr>
                <w:sz w:val="19"/>
                <w:szCs w:val="19"/>
              </w:rPr>
              <w:t>CO</w:t>
            </w:r>
            <w:r w:rsidRPr="0079075E">
              <w:rPr>
                <w:sz w:val="19"/>
                <w:szCs w:val="19"/>
                <w:vertAlign w:val="subscript"/>
              </w:rPr>
              <w:t>2</w:t>
            </w:r>
            <w:r w:rsidRPr="0079075E">
              <w:rPr>
                <w:sz w:val="19"/>
                <w:szCs w:val="19"/>
              </w:rPr>
              <w:t xml:space="preserve">, </w:t>
            </w:r>
            <w:proofErr w:type="spellStart"/>
            <w:r w:rsidRPr="0079075E">
              <w:rPr>
                <w:sz w:val="19"/>
                <w:szCs w:val="19"/>
              </w:rPr>
              <w:t>isobutane</w:t>
            </w:r>
            <w:proofErr w:type="spellEnd"/>
            <w:r w:rsidRPr="0079075E">
              <w:rPr>
                <w:sz w:val="19"/>
                <w:szCs w:val="19"/>
              </w:rPr>
              <w:t xml:space="preserve"> and HFO)</w:t>
            </w:r>
            <w:r w:rsidR="00502FEE" w:rsidRPr="0079075E">
              <w:rPr>
                <w:sz w:val="19"/>
                <w:szCs w:val="19"/>
              </w:rPr>
              <w:t>.</w:t>
            </w:r>
            <w:r w:rsidR="00502FEE">
              <w:rPr>
                <w:sz w:val="19"/>
                <w:szCs w:val="19"/>
              </w:rPr>
              <w:t xml:space="preserve"> </w:t>
            </w:r>
          </w:p>
        </w:tc>
      </w:tr>
      <w:tr w:rsidR="00502FEE" w:rsidRPr="00FE2D7C" w14:paraId="1BAAAF52" w14:textId="77777777" w:rsidTr="000E7A06">
        <w:tc>
          <w:tcPr>
            <w:tcW w:w="1555" w:type="dxa"/>
            <w:tcMar>
              <w:left w:w="72" w:type="dxa"/>
              <w:right w:w="43" w:type="dxa"/>
            </w:tcMar>
          </w:tcPr>
          <w:p w14:paraId="53AF7E12" w14:textId="77777777" w:rsidR="00502FEE" w:rsidRPr="00FE2D7C" w:rsidRDefault="00502FEE" w:rsidP="000E7A06">
            <w:pPr>
              <w:jc w:val="left"/>
              <w:rPr>
                <w:sz w:val="19"/>
                <w:szCs w:val="19"/>
              </w:rPr>
            </w:pPr>
            <w:r w:rsidRPr="00FE2D7C">
              <w:rPr>
                <w:sz w:val="19"/>
                <w:szCs w:val="19"/>
              </w:rPr>
              <w:t>Domestic refrigeration (refrigeration system)</w:t>
            </w:r>
          </w:p>
        </w:tc>
        <w:tc>
          <w:tcPr>
            <w:tcW w:w="1134" w:type="dxa"/>
            <w:tcMar>
              <w:left w:w="72" w:type="dxa"/>
              <w:right w:w="43" w:type="dxa"/>
            </w:tcMar>
          </w:tcPr>
          <w:p w14:paraId="0E845348" w14:textId="77777777" w:rsidR="00502FEE" w:rsidRPr="00FE2D7C" w:rsidRDefault="00502FEE" w:rsidP="000E7A06">
            <w:pPr>
              <w:jc w:val="left"/>
              <w:rPr>
                <w:sz w:val="19"/>
                <w:szCs w:val="19"/>
              </w:rPr>
            </w:pPr>
          </w:p>
        </w:tc>
        <w:tc>
          <w:tcPr>
            <w:tcW w:w="1134" w:type="dxa"/>
            <w:tcMar>
              <w:left w:w="72" w:type="dxa"/>
              <w:right w:w="43" w:type="dxa"/>
            </w:tcMar>
          </w:tcPr>
          <w:p w14:paraId="057BA35D" w14:textId="77777777" w:rsidR="00502FEE" w:rsidRPr="00FE2D7C" w:rsidRDefault="00502FEE" w:rsidP="000E7A06">
            <w:pPr>
              <w:jc w:val="left"/>
              <w:rPr>
                <w:sz w:val="19"/>
                <w:szCs w:val="19"/>
              </w:rPr>
            </w:pPr>
            <w:r w:rsidRPr="00FE2D7C">
              <w:rPr>
                <w:sz w:val="19"/>
                <w:szCs w:val="19"/>
              </w:rPr>
              <w:t>HFC-134a</w:t>
            </w:r>
          </w:p>
        </w:tc>
        <w:tc>
          <w:tcPr>
            <w:tcW w:w="2976" w:type="dxa"/>
            <w:tcMar>
              <w:left w:w="72" w:type="dxa"/>
              <w:right w:w="43" w:type="dxa"/>
            </w:tcMar>
          </w:tcPr>
          <w:p w14:paraId="7336CEB8" w14:textId="77777777" w:rsidR="00502FEE" w:rsidRPr="00FE2D7C" w:rsidRDefault="00502FEE" w:rsidP="000E7A06">
            <w:pPr>
              <w:spacing w:after="60"/>
              <w:jc w:val="left"/>
              <w:rPr>
                <w:sz w:val="19"/>
                <w:szCs w:val="19"/>
              </w:rPr>
            </w:pPr>
            <w:r w:rsidRPr="00FE2D7C">
              <w:rPr>
                <w:sz w:val="19"/>
                <w:szCs w:val="19"/>
              </w:rPr>
              <w:t xml:space="preserve">Conversion of HCFC-141b panels already completed in most countries. Integrated implementation not possible. </w:t>
            </w:r>
          </w:p>
        </w:tc>
        <w:tc>
          <w:tcPr>
            <w:tcW w:w="2646" w:type="dxa"/>
            <w:tcMar>
              <w:left w:w="72" w:type="dxa"/>
              <w:right w:w="43" w:type="dxa"/>
            </w:tcMar>
          </w:tcPr>
          <w:p w14:paraId="18A561EE" w14:textId="77777777" w:rsidR="00502FEE" w:rsidRPr="00FE2D7C" w:rsidRDefault="00502FEE" w:rsidP="000E7A06">
            <w:pPr>
              <w:spacing w:after="60"/>
              <w:jc w:val="left"/>
              <w:rPr>
                <w:sz w:val="19"/>
                <w:szCs w:val="19"/>
              </w:rPr>
            </w:pPr>
            <w:r>
              <w:rPr>
                <w:sz w:val="19"/>
                <w:szCs w:val="19"/>
              </w:rPr>
              <w:t>As cost-effective a</w:t>
            </w:r>
            <w:r w:rsidRPr="00FE2D7C">
              <w:rPr>
                <w:sz w:val="19"/>
                <w:szCs w:val="19"/>
              </w:rPr>
              <w:t xml:space="preserve">lternatives to HFC </w:t>
            </w:r>
            <w:r>
              <w:rPr>
                <w:sz w:val="19"/>
                <w:szCs w:val="19"/>
              </w:rPr>
              <w:t xml:space="preserve">are commercially </w:t>
            </w:r>
            <w:r w:rsidRPr="00FE2D7C">
              <w:rPr>
                <w:sz w:val="19"/>
                <w:szCs w:val="19"/>
              </w:rPr>
              <w:t xml:space="preserve">available </w:t>
            </w:r>
            <w:r>
              <w:rPr>
                <w:sz w:val="19"/>
                <w:szCs w:val="19"/>
              </w:rPr>
              <w:t xml:space="preserve">in local </w:t>
            </w:r>
            <w:r w:rsidRPr="00FE2D7C">
              <w:rPr>
                <w:sz w:val="19"/>
                <w:szCs w:val="19"/>
              </w:rPr>
              <w:t>market</w:t>
            </w:r>
            <w:r>
              <w:rPr>
                <w:sz w:val="19"/>
                <w:szCs w:val="19"/>
              </w:rPr>
              <w:t>s, this sector</w:t>
            </w:r>
            <w:r w:rsidRPr="00FE2D7C">
              <w:rPr>
                <w:sz w:val="19"/>
                <w:szCs w:val="19"/>
              </w:rPr>
              <w:t xml:space="preserve"> could be converted now.</w:t>
            </w:r>
          </w:p>
        </w:tc>
      </w:tr>
      <w:tr w:rsidR="00502FEE" w:rsidRPr="00FE2D7C" w14:paraId="7E7159AC" w14:textId="77777777" w:rsidTr="000E7A06">
        <w:tc>
          <w:tcPr>
            <w:tcW w:w="1555" w:type="dxa"/>
            <w:tcMar>
              <w:left w:w="72" w:type="dxa"/>
              <w:right w:w="43" w:type="dxa"/>
            </w:tcMar>
          </w:tcPr>
          <w:p w14:paraId="7E1497AE" w14:textId="77777777" w:rsidR="00502FEE" w:rsidRPr="00FE2D7C" w:rsidRDefault="00502FEE" w:rsidP="000E7A06">
            <w:pPr>
              <w:jc w:val="left"/>
              <w:rPr>
                <w:sz w:val="19"/>
                <w:szCs w:val="19"/>
              </w:rPr>
            </w:pPr>
            <w:r w:rsidRPr="00FE2D7C">
              <w:rPr>
                <w:sz w:val="19"/>
                <w:szCs w:val="19"/>
              </w:rPr>
              <w:lastRenderedPageBreak/>
              <w:t>Commercial refrigeration (stand-alone units)</w:t>
            </w:r>
          </w:p>
        </w:tc>
        <w:tc>
          <w:tcPr>
            <w:tcW w:w="1134" w:type="dxa"/>
            <w:tcMar>
              <w:left w:w="72" w:type="dxa"/>
              <w:right w:w="43" w:type="dxa"/>
            </w:tcMar>
          </w:tcPr>
          <w:p w14:paraId="770BE592" w14:textId="77777777" w:rsidR="00502FEE" w:rsidRPr="00FE2D7C" w:rsidRDefault="00502FEE" w:rsidP="000E7A06">
            <w:pPr>
              <w:jc w:val="left"/>
              <w:rPr>
                <w:sz w:val="19"/>
                <w:szCs w:val="19"/>
              </w:rPr>
            </w:pPr>
          </w:p>
        </w:tc>
        <w:tc>
          <w:tcPr>
            <w:tcW w:w="1134" w:type="dxa"/>
            <w:tcMar>
              <w:left w:w="72" w:type="dxa"/>
              <w:right w:w="43" w:type="dxa"/>
            </w:tcMar>
          </w:tcPr>
          <w:p w14:paraId="1E72F984" w14:textId="77777777" w:rsidR="00502FEE" w:rsidRPr="00FE2D7C" w:rsidRDefault="00502FEE" w:rsidP="000E7A06">
            <w:pPr>
              <w:jc w:val="left"/>
              <w:rPr>
                <w:sz w:val="19"/>
                <w:szCs w:val="19"/>
              </w:rPr>
            </w:pPr>
            <w:r w:rsidRPr="00FE2D7C">
              <w:rPr>
                <w:sz w:val="19"/>
                <w:szCs w:val="19"/>
              </w:rPr>
              <w:t>HFC-134a</w:t>
            </w:r>
          </w:p>
          <w:p w14:paraId="3BDB10F3" w14:textId="77777777" w:rsidR="00502FEE" w:rsidRPr="00FE2D7C" w:rsidRDefault="00502FEE" w:rsidP="000E7A06">
            <w:pPr>
              <w:jc w:val="left"/>
              <w:rPr>
                <w:sz w:val="19"/>
                <w:szCs w:val="19"/>
              </w:rPr>
            </w:pPr>
            <w:r w:rsidRPr="00FE2D7C">
              <w:rPr>
                <w:sz w:val="19"/>
                <w:szCs w:val="19"/>
              </w:rPr>
              <w:t>R-404A</w:t>
            </w:r>
          </w:p>
          <w:p w14:paraId="5E260581" w14:textId="77777777" w:rsidR="00502FEE" w:rsidRPr="00FE2D7C" w:rsidRDefault="00502FEE" w:rsidP="000E7A06">
            <w:pPr>
              <w:jc w:val="left"/>
              <w:rPr>
                <w:sz w:val="19"/>
                <w:szCs w:val="19"/>
              </w:rPr>
            </w:pPr>
            <w:r w:rsidRPr="00FE2D7C">
              <w:rPr>
                <w:sz w:val="19"/>
                <w:szCs w:val="19"/>
              </w:rPr>
              <w:t>Blends</w:t>
            </w:r>
          </w:p>
        </w:tc>
        <w:tc>
          <w:tcPr>
            <w:tcW w:w="2976" w:type="dxa"/>
            <w:tcMar>
              <w:left w:w="72" w:type="dxa"/>
              <w:right w:w="43" w:type="dxa"/>
            </w:tcMar>
          </w:tcPr>
          <w:p w14:paraId="73AE0DC9" w14:textId="59191268" w:rsidR="00502FEE" w:rsidRPr="00FE2D7C" w:rsidRDefault="00502FEE" w:rsidP="0079075E">
            <w:pPr>
              <w:spacing w:after="60"/>
              <w:jc w:val="left"/>
              <w:rPr>
                <w:sz w:val="19"/>
                <w:szCs w:val="19"/>
              </w:rPr>
            </w:pPr>
            <w:r w:rsidRPr="00FE2D7C">
              <w:rPr>
                <w:sz w:val="19"/>
                <w:szCs w:val="19"/>
              </w:rPr>
              <w:t>Conversion of HCFC-141b panels already completed in most countries. Integrated implementation possible in enterprises using multiple refrigerants for different applications (e.g., HCFC-22, HFC-134a and R</w:t>
            </w:r>
            <w:r w:rsidR="0079075E">
              <w:rPr>
                <w:sz w:val="19"/>
                <w:szCs w:val="19"/>
              </w:rPr>
              <w:noBreakHyphen/>
            </w:r>
            <w:r w:rsidRPr="00FE2D7C">
              <w:rPr>
                <w:sz w:val="19"/>
                <w:szCs w:val="19"/>
              </w:rPr>
              <w:t>404A).</w:t>
            </w:r>
          </w:p>
        </w:tc>
        <w:tc>
          <w:tcPr>
            <w:tcW w:w="2646" w:type="dxa"/>
            <w:tcMar>
              <w:left w:w="72" w:type="dxa"/>
              <w:right w:w="43" w:type="dxa"/>
            </w:tcMar>
          </w:tcPr>
          <w:p w14:paraId="7753D5BF" w14:textId="1ABFB7E0" w:rsidR="00502FEE" w:rsidRDefault="00502FEE" w:rsidP="000E7A06">
            <w:pPr>
              <w:spacing w:after="60"/>
              <w:jc w:val="left"/>
              <w:rPr>
                <w:sz w:val="19"/>
                <w:szCs w:val="19"/>
              </w:rPr>
            </w:pPr>
            <w:r>
              <w:rPr>
                <w:sz w:val="19"/>
                <w:szCs w:val="19"/>
              </w:rPr>
              <w:t xml:space="preserve">Several </w:t>
            </w:r>
            <w:r w:rsidRPr="00FE2D7C">
              <w:rPr>
                <w:sz w:val="19"/>
                <w:szCs w:val="19"/>
              </w:rPr>
              <w:t xml:space="preserve">technical options are </w:t>
            </w:r>
            <w:r>
              <w:rPr>
                <w:sz w:val="19"/>
                <w:szCs w:val="19"/>
              </w:rPr>
              <w:t xml:space="preserve">currently commercially </w:t>
            </w:r>
            <w:r w:rsidRPr="00FE2D7C">
              <w:rPr>
                <w:sz w:val="19"/>
                <w:szCs w:val="19"/>
              </w:rPr>
              <w:t xml:space="preserve">available </w:t>
            </w:r>
            <w:r>
              <w:rPr>
                <w:sz w:val="19"/>
                <w:szCs w:val="19"/>
              </w:rPr>
              <w:t xml:space="preserve">while others </w:t>
            </w:r>
            <w:r w:rsidRPr="00FE2D7C">
              <w:rPr>
                <w:sz w:val="19"/>
                <w:szCs w:val="19"/>
              </w:rPr>
              <w:t>are under development</w:t>
            </w:r>
            <w:r w:rsidR="0079075E">
              <w:rPr>
                <w:sz w:val="19"/>
                <w:szCs w:val="19"/>
              </w:rPr>
              <w:t>.</w:t>
            </w:r>
            <w:r w:rsidRPr="00FE2D7C">
              <w:rPr>
                <w:sz w:val="19"/>
                <w:szCs w:val="19"/>
              </w:rPr>
              <w:t xml:space="preserve"> </w:t>
            </w:r>
          </w:p>
          <w:p w14:paraId="663BF8CB" w14:textId="77777777" w:rsidR="00502FEE" w:rsidRDefault="00502FEE" w:rsidP="000E7A06">
            <w:pPr>
              <w:spacing w:after="60"/>
              <w:jc w:val="left"/>
              <w:rPr>
                <w:sz w:val="19"/>
                <w:szCs w:val="19"/>
              </w:rPr>
            </w:pPr>
            <w:r>
              <w:rPr>
                <w:sz w:val="19"/>
                <w:szCs w:val="19"/>
              </w:rPr>
              <w:t>N</w:t>
            </w:r>
            <w:r w:rsidRPr="00FE2D7C">
              <w:rPr>
                <w:sz w:val="19"/>
                <w:szCs w:val="19"/>
              </w:rPr>
              <w:t xml:space="preserve">ew standards for </w:t>
            </w:r>
            <w:r>
              <w:rPr>
                <w:sz w:val="19"/>
                <w:szCs w:val="19"/>
              </w:rPr>
              <w:t xml:space="preserve">flammable </w:t>
            </w:r>
            <w:r w:rsidRPr="00FE2D7C">
              <w:rPr>
                <w:sz w:val="19"/>
                <w:szCs w:val="19"/>
              </w:rPr>
              <w:t>refrigerants can help faster adoption of low-GWP technology.</w:t>
            </w:r>
          </w:p>
          <w:p w14:paraId="25C4800E" w14:textId="77777777" w:rsidR="00502FEE" w:rsidRPr="00FE2D7C" w:rsidRDefault="00502FEE" w:rsidP="000E7A06">
            <w:pPr>
              <w:spacing w:after="60"/>
              <w:jc w:val="left"/>
              <w:rPr>
                <w:sz w:val="19"/>
                <w:szCs w:val="19"/>
              </w:rPr>
            </w:pPr>
            <w:r w:rsidRPr="00FE2D7C">
              <w:rPr>
                <w:sz w:val="19"/>
                <w:szCs w:val="19"/>
              </w:rPr>
              <w:t>Manufacturing of smaller units could be converted in the short term.</w:t>
            </w:r>
          </w:p>
        </w:tc>
      </w:tr>
      <w:tr w:rsidR="00502FEE" w:rsidRPr="00FE2D7C" w14:paraId="572562AD" w14:textId="77777777" w:rsidTr="000E7A06">
        <w:tc>
          <w:tcPr>
            <w:tcW w:w="1555" w:type="dxa"/>
            <w:tcMar>
              <w:left w:w="72" w:type="dxa"/>
              <w:right w:w="43" w:type="dxa"/>
            </w:tcMar>
          </w:tcPr>
          <w:p w14:paraId="5D8A0B5A" w14:textId="77777777" w:rsidR="00502FEE" w:rsidRPr="00FE2D7C" w:rsidRDefault="00502FEE" w:rsidP="000E7A06">
            <w:pPr>
              <w:jc w:val="left"/>
              <w:rPr>
                <w:sz w:val="19"/>
                <w:szCs w:val="19"/>
              </w:rPr>
            </w:pPr>
            <w:r w:rsidRPr="00FE2D7C">
              <w:rPr>
                <w:sz w:val="19"/>
                <w:szCs w:val="19"/>
              </w:rPr>
              <w:t xml:space="preserve">Larger commercial and industrial refrigeration </w:t>
            </w:r>
          </w:p>
        </w:tc>
        <w:tc>
          <w:tcPr>
            <w:tcW w:w="1134" w:type="dxa"/>
            <w:tcMar>
              <w:left w:w="72" w:type="dxa"/>
              <w:right w:w="43" w:type="dxa"/>
            </w:tcMar>
          </w:tcPr>
          <w:p w14:paraId="13E25CE1" w14:textId="77777777" w:rsidR="00502FEE" w:rsidRPr="00FE2D7C" w:rsidRDefault="00502FEE" w:rsidP="000E7A06">
            <w:pPr>
              <w:jc w:val="left"/>
              <w:rPr>
                <w:sz w:val="19"/>
                <w:szCs w:val="19"/>
              </w:rPr>
            </w:pPr>
            <w:r w:rsidRPr="00FE2D7C">
              <w:rPr>
                <w:sz w:val="19"/>
                <w:szCs w:val="19"/>
              </w:rPr>
              <w:t>HCFC-22</w:t>
            </w:r>
          </w:p>
        </w:tc>
        <w:tc>
          <w:tcPr>
            <w:tcW w:w="1134" w:type="dxa"/>
            <w:tcMar>
              <w:left w:w="72" w:type="dxa"/>
              <w:right w:w="43" w:type="dxa"/>
            </w:tcMar>
          </w:tcPr>
          <w:p w14:paraId="6E11EDC4" w14:textId="77777777" w:rsidR="00502FEE" w:rsidRPr="00FE2D7C" w:rsidRDefault="00502FEE" w:rsidP="000E7A06">
            <w:pPr>
              <w:jc w:val="left"/>
              <w:rPr>
                <w:sz w:val="19"/>
                <w:szCs w:val="19"/>
              </w:rPr>
            </w:pPr>
            <w:r w:rsidRPr="00FE2D7C">
              <w:rPr>
                <w:sz w:val="19"/>
                <w:szCs w:val="19"/>
              </w:rPr>
              <w:t>HFC-134a</w:t>
            </w:r>
          </w:p>
          <w:p w14:paraId="40DB63BA" w14:textId="77777777" w:rsidR="00502FEE" w:rsidRPr="00FE2D7C" w:rsidRDefault="00502FEE" w:rsidP="000E7A06">
            <w:pPr>
              <w:jc w:val="left"/>
              <w:rPr>
                <w:sz w:val="19"/>
                <w:szCs w:val="19"/>
              </w:rPr>
            </w:pPr>
            <w:r w:rsidRPr="00FE2D7C">
              <w:rPr>
                <w:sz w:val="19"/>
                <w:szCs w:val="19"/>
              </w:rPr>
              <w:t>R-404A</w:t>
            </w:r>
          </w:p>
          <w:p w14:paraId="3B8DA339" w14:textId="77777777" w:rsidR="00502FEE" w:rsidRPr="00FE2D7C" w:rsidRDefault="00502FEE" w:rsidP="000E7A06">
            <w:pPr>
              <w:jc w:val="left"/>
              <w:rPr>
                <w:sz w:val="19"/>
                <w:szCs w:val="19"/>
              </w:rPr>
            </w:pPr>
          </w:p>
        </w:tc>
        <w:tc>
          <w:tcPr>
            <w:tcW w:w="2976" w:type="dxa"/>
            <w:tcMar>
              <w:left w:w="72" w:type="dxa"/>
              <w:right w:w="43" w:type="dxa"/>
            </w:tcMar>
          </w:tcPr>
          <w:p w14:paraId="43BB9494" w14:textId="77777777" w:rsidR="00502FEE" w:rsidRDefault="00502FEE" w:rsidP="000E7A06">
            <w:pPr>
              <w:spacing w:after="60"/>
              <w:jc w:val="left"/>
              <w:rPr>
                <w:sz w:val="19"/>
                <w:szCs w:val="19"/>
              </w:rPr>
            </w:pPr>
            <w:r w:rsidRPr="00FE2D7C">
              <w:rPr>
                <w:sz w:val="19"/>
                <w:szCs w:val="19"/>
              </w:rPr>
              <w:t xml:space="preserve">To be </w:t>
            </w:r>
            <w:r>
              <w:rPr>
                <w:sz w:val="19"/>
                <w:szCs w:val="19"/>
              </w:rPr>
              <w:t xml:space="preserve">considered </w:t>
            </w:r>
            <w:r w:rsidRPr="00FE2D7C">
              <w:rPr>
                <w:sz w:val="19"/>
                <w:szCs w:val="19"/>
              </w:rPr>
              <w:t>on a case-by-case basis given the variety of applications and types of enterprises.</w:t>
            </w:r>
          </w:p>
          <w:p w14:paraId="0E3FC790" w14:textId="7BA890EC" w:rsidR="00502FEE" w:rsidRPr="00FE2D7C" w:rsidRDefault="00502FEE" w:rsidP="006715AC">
            <w:pPr>
              <w:spacing w:after="60"/>
              <w:jc w:val="left"/>
              <w:rPr>
                <w:sz w:val="19"/>
                <w:szCs w:val="19"/>
              </w:rPr>
            </w:pPr>
            <w:r w:rsidRPr="00FE2D7C">
              <w:rPr>
                <w:sz w:val="19"/>
                <w:szCs w:val="19"/>
              </w:rPr>
              <w:t xml:space="preserve">Integrated </w:t>
            </w:r>
            <w:r w:rsidRPr="0079075E">
              <w:rPr>
                <w:sz w:val="19"/>
                <w:szCs w:val="19"/>
              </w:rPr>
              <w:t xml:space="preserve">implementation </w:t>
            </w:r>
            <w:r w:rsidR="006715AC" w:rsidRPr="0079075E">
              <w:rPr>
                <w:sz w:val="19"/>
                <w:szCs w:val="19"/>
              </w:rPr>
              <w:t>may be</w:t>
            </w:r>
            <w:r>
              <w:rPr>
                <w:sz w:val="19"/>
                <w:szCs w:val="19"/>
              </w:rPr>
              <w:t xml:space="preserve"> feasible </w:t>
            </w:r>
            <w:r w:rsidRPr="00FE2D7C">
              <w:rPr>
                <w:sz w:val="19"/>
                <w:szCs w:val="19"/>
              </w:rPr>
              <w:t>in enterprises using multiple refrigerants for different applications</w:t>
            </w:r>
            <w:r w:rsidR="006715AC">
              <w:rPr>
                <w:sz w:val="19"/>
                <w:szCs w:val="19"/>
              </w:rPr>
              <w:t xml:space="preserve"> (e.g., HCFC-22, HFC-134a and R</w:t>
            </w:r>
            <w:r w:rsidR="006715AC">
              <w:rPr>
                <w:sz w:val="19"/>
                <w:szCs w:val="19"/>
              </w:rPr>
              <w:noBreakHyphen/>
            </w:r>
            <w:r w:rsidRPr="00FE2D7C">
              <w:rPr>
                <w:sz w:val="19"/>
                <w:szCs w:val="19"/>
              </w:rPr>
              <w:t xml:space="preserve">404A). </w:t>
            </w:r>
          </w:p>
        </w:tc>
        <w:tc>
          <w:tcPr>
            <w:tcW w:w="2646" w:type="dxa"/>
            <w:tcMar>
              <w:left w:w="72" w:type="dxa"/>
              <w:right w:w="43" w:type="dxa"/>
            </w:tcMar>
          </w:tcPr>
          <w:p w14:paraId="3FD791F7" w14:textId="77777777" w:rsidR="00502FEE" w:rsidRDefault="00502FEE" w:rsidP="000E7A06">
            <w:pPr>
              <w:spacing w:after="60"/>
              <w:jc w:val="left"/>
              <w:rPr>
                <w:sz w:val="19"/>
                <w:szCs w:val="19"/>
              </w:rPr>
            </w:pPr>
            <w:r w:rsidRPr="00FE2D7C">
              <w:rPr>
                <w:sz w:val="19"/>
                <w:szCs w:val="19"/>
              </w:rPr>
              <w:t xml:space="preserve">Drop-in conversions may help reduce dependence on R-404A at a relative low cost. </w:t>
            </w:r>
          </w:p>
          <w:p w14:paraId="4C07827A" w14:textId="552AE3FC" w:rsidR="00502FEE" w:rsidRPr="00FE2D7C" w:rsidRDefault="00502FEE" w:rsidP="0079075E">
            <w:pPr>
              <w:spacing w:after="60"/>
              <w:jc w:val="left"/>
              <w:rPr>
                <w:sz w:val="19"/>
                <w:szCs w:val="19"/>
              </w:rPr>
            </w:pPr>
            <w:r w:rsidRPr="00FE2D7C">
              <w:rPr>
                <w:sz w:val="19"/>
                <w:szCs w:val="19"/>
              </w:rPr>
              <w:t>New blends with GWP lower than 250 (in A2L category)</w:t>
            </w:r>
            <w:r>
              <w:rPr>
                <w:rStyle w:val="FootnoteReference"/>
                <w:sz w:val="19"/>
              </w:rPr>
              <w:footnoteReference w:id="20"/>
            </w:r>
            <w:r w:rsidRPr="00FE2D7C">
              <w:rPr>
                <w:sz w:val="19"/>
                <w:szCs w:val="19"/>
              </w:rPr>
              <w:t xml:space="preserve"> and lower than 1</w:t>
            </w:r>
            <w:r>
              <w:rPr>
                <w:sz w:val="19"/>
                <w:szCs w:val="19"/>
              </w:rPr>
              <w:t>,</w:t>
            </w:r>
            <w:r w:rsidRPr="00FE2D7C">
              <w:rPr>
                <w:sz w:val="19"/>
                <w:szCs w:val="19"/>
              </w:rPr>
              <w:t>400 in non</w:t>
            </w:r>
            <w:r w:rsidR="0079075E">
              <w:rPr>
                <w:sz w:val="19"/>
                <w:szCs w:val="19"/>
              </w:rPr>
              <w:noBreakHyphen/>
            </w:r>
            <w:r w:rsidRPr="00FE2D7C">
              <w:rPr>
                <w:sz w:val="19"/>
                <w:szCs w:val="19"/>
              </w:rPr>
              <w:t>flammable category available.</w:t>
            </w:r>
          </w:p>
        </w:tc>
      </w:tr>
      <w:tr w:rsidR="00502FEE" w:rsidRPr="00FE2D7C" w14:paraId="04199511" w14:textId="77777777" w:rsidTr="000E7A06">
        <w:tc>
          <w:tcPr>
            <w:tcW w:w="1555" w:type="dxa"/>
            <w:tcMar>
              <w:left w:w="72" w:type="dxa"/>
              <w:right w:w="43" w:type="dxa"/>
            </w:tcMar>
          </w:tcPr>
          <w:p w14:paraId="50477750" w14:textId="7636C1B5" w:rsidR="00502FEE" w:rsidRPr="00FE2D7C" w:rsidRDefault="00502FEE" w:rsidP="000E7A06">
            <w:pPr>
              <w:jc w:val="left"/>
              <w:rPr>
                <w:sz w:val="19"/>
                <w:szCs w:val="19"/>
              </w:rPr>
            </w:pPr>
            <w:r w:rsidRPr="00FE2D7C">
              <w:rPr>
                <w:sz w:val="19"/>
                <w:szCs w:val="19"/>
              </w:rPr>
              <w:t xml:space="preserve">Room </w:t>
            </w:r>
            <w:r w:rsidR="00F139D9">
              <w:rPr>
                <w:sz w:val="19"/>
                <w:szCs w:val="19"/>
              </w:rPr>
              <w:t xml:space="preserve">and commercial </w:t>
            </w:r>
            <w:r w:rsidRPr="00FE2D7C">
              <w:rPr>
                <w:sz w:val="19"/>
                <w:szCs w:val="19"/>
              </w:rPr>
              <w:t>AC</w:t>
            </w:r>
          </w:p>
        </w:tc>
        <w:tc>
          <w:tcPr>
            <w:tcW w:w="1134" w:type="dxa"/>
            <w:tcMar>
              <w:left w:w="72" w:type="dxa"/>
              <w:right w:w="43" w:type="dxa"/>
            </w:tcMar>
          </w:tcPr>
          <w:p w14:paraId="60B92A8D" w14:textId="77777777" w:rsidR="00502FEE" w:rsidRPr="00FE2D7C" w:rsidRDefault="00502FEE" w:rsidP="000E7A06">
            <w:pPr>
              <w:jc w:val="left"/>
              <w:rPr>
                <w:sz w:val="19"/>
                <w:szCs w:val="19"/>
              </w:rPr>
            </w:pPr>
            <w:r w:rsidRPr="00FE2D7C">
              <w:rPr>
                <w:sz w:val="19"/>
                <w:szCs w:val="19"/>
              </w:rPr>
              <w:t>HCFC-22</w:t>
            </w:r>
          </w:p>
        </w:tc>
        <w:tc>
          <w:tcPr>
            <w:tcW w:w="1134" w:type="dxa"/>
            <w:tcMar>
              <w:left w:w="72" w:type="dxa"/>
              <w:right w:w="43" w:type="dxa"/>
            </w:tcMar>
          </w:tcPr>
          <w:p w14:paraId="3AA2520B" w14:textId="77777777" w:rsidR="00502FEE" w:rsidRPr="00FE2D7C" w:rsidRDefault="00502FEE" w:rsidP="000E7A06">
            <w:pPr>
              <w:jc w:val="left"/>
              <w:rPr>
                <w:sz w:val="19"/>
                <w:szCs w:val="19"/>
              </w:rPr>
            </w:pPr>
            <w:r w:rsidRPr="00FE2D7C">
              <w:rPr>
                <w:sz w:val="19"/>
                <w:szCs w:val="19"/>
              </w:rPr>
              <w:t>R-410A</w:t>
            </w:r>
          </w:p>
          <w:p w14:paraId="00323C47" w14:textId="77777777" w:rsidR="00502FEE" w:rsidRPr="00FE2D7C" w:rsidRDefault="00502FEE" w:rsidP="000E7A06">
            <w:pPr>
              <w:jc w:val="left"/>
              <w:rPr>
                <w:sz w:val="19"/>
                <w:szCs w:val="19"/>
              </w:rPr>
            </w:pPr>
            <w:r w:rsidRPr="00FE2D7C">
              <w:rPr>
                <w:sz w:val="19"/>
                <w:szCs w:val="19"/>
              </w:rPr>
              <w:t>R-407C</w:t>
            </w:r>
          </w:p>
          <w:p w14:paraId="223F1FD3" w14:textId="77777777" w:rsidR="00502FEE" w:rsidRPr="00FE2D7C" w:rsidRDefault="00502FEE" w:rsidP="000E7A06">
            <w:pPr>
              <w:jc w:val="left"/>
              <w:rPr>
                <w:sz w:val="19"/>
                <w:szCs w:val="19"/>
              </w:rPr>
            </w:pPr>
            <w:r w:rsidRPr="00FE2D7C">
              <w:rPr>
                <w:sz w:val="19"/>
                <w:szCs w:val="19"/>
              </w:rPr>
              <w:t>Blends</w:t>
            </w:r>
          </w:p>
        </w:tc>
        <w:tc>
          <w:tcPr>
            <w:tcW w:w="2976" w:type="dxa"/>
            <w:tcMar>
              <w:left w:w="72" w:type="dxa"/>
              <w:right w:w="43" w:type="dxa"/>
            </w:tcMar>
          </w:tcPr>
          <w:p w14:paraId="6AB4A5B0" w14:textId="77777777" w:rsidR="00502FEE" w:rsidRDefault="00502FEE" w:rsidP="000E7A06">
            <w:pPr>
              <w:spacing w:after="60"/>
              <w:jc w:val="left"/>
              <w:rPr>
                <w:sz w:val="19"/>
                <w:szCs w:val="19"/>
              </w:rPr>
            </w:pPr>
            <w:r>
              <w:rPr>
                <w:sz w:val="19"/>
                <w:szCs w:val="19"/>
              </w:rPr>
              <w:t>P</w:t>
            </w:r>
            <w:r w:rsidRPr="00FE2D7C">
              <w:rPr>
                <w:sz w:val="19"/>
                <w:szCs w:val="19"/>
              </w:rPr>
              <w:t>arallel implementation is highly likely due to high consumption and growth of HFCs in these applications.</w:t>
            </w:r>
          </w:p>
          <w:p w14:paraId="2F453677" w14:textId="73904137" w:rsidR="00502FEE" w:rsidRPr="00FE2D7C" w:rsidRDefault="00502FEE" w:rsidP="000E7A06">
            <w:pPr>
              <w:spacing w:after="60"/>
              <w:jc w:val="left"/>
              <w:rPr>
                <w:sz w:val="19"/>
                <w:szCs w:val="19"/>
              </w:rPr>
            </w:pPr>
            <w:r w:rsidRPr="00FE2D7C">
              <w:rPr>
                <w:sz w:val="19"/>
                <w:szCs w:val="19"/>
              </w:rPr>
              <w:t>Potential for integrated implementation in enterprises consuming HCFC and HFCs, mainly R-410A. There could be enterprises which were not eligible under HCFC phase-out that could explore integrated implementation.</w:t>
            </w:r>
            <w:r w:rsidRPr="00FE2D7C" w:rsidDel="00615EA7">
              <w:rPr>
                <w:sz w:val="19"/>
                <w:szCs w:val="19"/>
              </w:rPr>
              <w:t xml:space="preserve"> </w:t>
            </w:r>
          </w:p>
        </w:tc>
        <w:tc>
          <w:tcPr>
            <w:tcW w:w="2646" w:type="dxa"/>
            <w:tcMar>
              <w:left w:w="72" w:type="dxa"/>
              <w:right w:w="43" w:type="dxa"/>
            </w:tcMar>
          </w:tcPr>
          <w:p w14:paraId="0D4751CB" w14:textId="77777777" w:rsidR="00502FEE" w:rsidRPr="00FE2D7C" w:rsidRDefault="00502FEE" w:rsidP="000E7A06">
            <w:pPr>
              <w:spacing w:after="60"/>
              <w:jc w:val="left"/>
              <w:rPr>
                <w:sz w:val="19"/>
                <w:szCs w:val="19"/>
              </w:rPr>
            </w:pPr>
            <w:r w:rsidRPr="00FE2D7C">
              <w:rPr>
                <w:sz w:val="19"/>
                <w:szCs w:val="19"/>
              </w:rPr>
              <w:t xml:space="preserve">Energy efficiency standards in </w:t>
            </w:r>
            <w:r>
              <w:rPr>
                <w:sz w:val="19"/>
                <w:szCs w:val="19"/>
              </w:rPr>
              <w:t>AC</w:t>
            </w:r>
            <w:r w:rsidRPr="00FE2D7C">
              <w:rPr>
                <w:sz w:val="19"/>
                <w:szCs w:val="19"/>
              </w:rPr>
              <w:t xml:space="preserve"> could </w:t>
            </w:r>
            <w:r>
              <w:rPr>
                <w:sz w:val="19"/>
                <w:szCs w:val="19"/>
              </w:rPr>
              <w:t xml:space="preserve">favour </w:t>
            </w:r>
            <w:r w:rsidRPr="00FE2D7C">
              <w:rPr>
                <w:sz w:val="19"/>
                <w:szCs w:val="19"/>
              </w:rPr>
              <w:t>adopt</w:t>
            </w:r>
            <w:r>
              <w:rPr>
                <w:sz w:val="19"/>
                <w:szCs w:val="19"/>
              </w:rPr>
              <w:t>ion of</w:t>
            </w:r>
            <w:r w:rsidRPr="00FE2D7C">
              <w:rPr>
                <w:sz w:val="19"/>
                <w:szCs w:val="19"/>
              </w:rPr>
              <w:t xml:space="preserve"> R</w:t>
            </w:r>
            <w:r>
              <w:rPr>
                <w:sz w:val="19"/>
                <w:szCs w:val="19"/>
              </w:rPr>
              <w:noBreakHyphen/>
            </w:r>
            <w:r w:rsidRPr="00FE2D7C">
              <w:rPr>
                <w:sz w:val="19"/>
                <w:szCs w:val="19"/>
              </w:rPr>
              <w:t>410A and other high GWP refrigerants in the short run; policy measures may be needed to avoid this.</w:t>
            </w:r>
          </w:p>
        </w:tc>
      </w:tr>
      <w:tr w:rsidR="00502FEE" w:rsidRPr="00FE2D7C" w14:paraId="7B1E7864" w14:textId="77777777" w:rsidTr="000E7A06">
        <w:tc>
          <w:tcPr>
            <w:tcW w:w="1555" w:type="dxa"/>
            <w:tcMar>
              <w:left w:w="72" w:type="dxa"/>
              <w:right w:w="43" w:type="dxa"/>
            </w:tcMar>
          </w:tcPr>
          <w:p w14:paraId="53E75032" w14:textId="77777777" w:rsidR="00502FEE" w:rsidRPr="00FE2D7C" w:rsidRDefault="00502FEE" w:rsidP="000E7A06">
            <w:pPr>
              <w:jc w:val="left"/>
              <w:rPr>
                <w:sz w:val="19"/>
                <w:szCs w:val="19"/>
              </w:rPr>
            </w:pPr>
            <w:r w:rsidRPr="00FE2D7C">
              <w:rPr>
                <w:sz w:val="19"/>
                <w:szCs w:val="19"/>
              </w:rPr>
              <w:t>Chillers</w:t>
            </w:r>
          </w:p>
        </w:tc>
        <w:tc>
          <w:tcPr>
            <w:tcW w:w="1134" w:type="dxa"/>
            <w:tcMar>
              <w:left w:w="72" w:type="dxa"/>
              <w:right w:w="43" w:type="dxa"/>
            </w:tcMar>
          </w:tcPr>
          <w:p w14:paraId="6BFC61A2" w14:textId="77777777" w:rsidR="00502FEE" w:rsidRPr="00FE2D7C" w:rsidRDefault="00502FEE" w:rsidP="000E7A06">
            <w:pPr>
              <w:jc w:val="left"/>
              <w:rPr>
                <w:sz w:val="19"/>
                <w:szCs w:val="19"/>
              </w:rPr>
            </w:pPr>
            <w:r w:rsidRPr="00FE2D7C">
              <w:rPr>
                <w:sz w:val="19"/>
                <w:szCs w:val="19"/>
              </w:rPr>
              <w:t>HCFC-22</w:t>
            </w:r>
          </w:p>
        </w:tc>
        <w:tc>
          <w:tcPr>
            <w:tcW w:w="1134" w:type="dxa"/>
            <w:tcMar>
              <w:left w:w="72" w:type="dxa"/>
              <w:right w:w="43" w:type="dxa"/>
            </w:tcMar>
          </w:tcPr>
          <w:p w14:paraId="4C3A6B07" w14:textId="77777777" w:rsidR="00502FEE" w:rsidRPr="00FE2D7C" w:rsidRDefault="00502FEE" w:rsidP="000E7A06">
            <w:pPr>
              <w:jc w:val="left"/>
              <w:rPr>
                <w:sz w:val="19"/>
                <w:szCs w:val="19"/>
              </w:rPr>
            </w:pPr>
            <w:r w:rsidRPr="00FE2D7C">
              <w:rPr>
                <w:sz w:val="19"/>
                <w:szCs w:val="19"/>
              </w:rPr>
              <w:t>HFC-134a,</w:t>
            </w:r>
          </w:p>
          <w:p w14:paraId="7828CA06" w14:textId="77777777" w:rsidR="00502FEE" w:rsidRPr="00FE2D7C" w:rsidRDefault="00502FEE" w:rsidP="000E7A06">
            <w:pPr>
              <w:jc w:val="left"/>
              <w:rPr>
                <w:sz w:val="19"/>
                <w:szCs w:val="19"/>
              </w:rPr>
            </w:pPr>
            <w:r w:rsidRPr="00FE2D7C">
              <w:rPr>
                <w:sz w:val="19"/>
                <w:szCs w:val="19"/>
              </w:rPr>
              <w:t>R-410A,</w:t>
            </w:r>
          </w:p>
          <w:p w14:paraId="4FDB4A41" w14:textId="77777777" w:rsidR="00502FEE" w:rsidRPr="00FE2D7C" w:rsidRDefault="00502FEE" w:rsidP="000E7A06">
            <w:pPr>
              <w:jc w:val="left"/>
              <w:rPr>
                <w:sz w:val="19"/>
                <w:szCs w:val="19"/>
              </w:rPr>
            </w:pPr>
            <w:r w:rsidRPr="00FE2D7C">
              <w:rPr>
                <w:sz w:val="19"/>
                <w:szCs w:val="19"/>
              </w:rPr>
              <w:t>R-407C,</w:t>
            </w:r>
          </w:p>
          <w:p w14:paraId="2ABC860B" w14:textId="77777777" w:rsidR="00502FEE" w:rsidRPr="00FE2D7C" w:rsidRDefault="00502FEE" w:rsidP="000E7A06">
            <w:pPr>
              <w:jc w:val="left"/>
              <w:rPr>
                <w:sz w:val="19"/>
                <w:szCs w:val="19"/>
              </w:rPr>
            </w:pPr>
            <w:r w:rsidRPr="00FE2D7C">
              <w:rPr>
                <w:sz w:val="19"/>
                <w:szCs w:val="19"/>
              </w:rPr>
              <w:t xml:space="preserve">R-413A </w:t>
            </w:r>
          </w:p>
        </w:tc>
        <w:tc>
          <w:tcPr>
            <w:tcW w:w="2976" w:type="dxa"/>
            <w:tcMar>
              <w:left w:w="72" w:type="dxa"/>
              <w:right w:w="43" w:type="dxa"/>
            </w:tcMar>
          </w:tcPr>
          <w:p w14:paraId="1D6F1317" w14:textId="77777777" w:rsidR="00502FEE" w:rsidRPr="00FE2D7C" w:rsidRDefault="00502FEE" w:rsidP="000E7A06">
            <w:pPr>
              <w:spacing w:after="60"/>
              <w:jc w:val="left"/>
              <w:rPr>
                <w:sz w:val="19"/>
                <w:szCs w:val="19"/>
              </w:rPr>
            </w:pPr>
            <w:r w:rsidRPr="00FE2D7C">
              <w:rPr>
                <w:sz w:val="19"/>
                <w:szCs w:val="19"/>
              </w:rPr>
              <w:t>Similar to commercial AC</w:t>
            </w:r>
            <w:r>
              <w:rPr>
                <w:sz w:val="19"/>
                <w:szCs w:val="19"/>
              </w:rPr>
              <w:t>,</w:t>
            </w:r>
            <w:r w:rsidRPr="00FE2D7C">
              <w:rPr>
                <w:sz w:val="19"/>
                <w:szCs w:val="19"/>
              </w:rPr>
              <w:t xml:space="preserve"> </w:t>
            </w:r>
            <w:r>
              <w:rPr>
                <w:sz w:val="19"/>
                <w:szCs w:val="19"/>
              </w:rPr>
              <w:t>al</w:t>
            </w:r>
            <w:r w:rsidRPr="00FE2D7C">
              <w:rPr>
                <w:sz w:val="19"/>
                <w:szCs w:val="19"/>
              </w:rPr>
              <w:t>though consumption levels may be lower</w:t>
            </w:r>
            <w:r>
              <w:rPr>
                <w:sz w:val="19"/>
                <w:szCs w:val="19"/>
              </w:rPr>
              <w:t>.</w:t>
            </w:r>
            <w:r w:rsidRPr="00FE2D7C">
              <w:rPr>
                <w:sz w:val="19"/>
                <w:szCs w:val="19"/>
              </w:rPr>
              <w:t xml:space="preserve"> </w:t>
            </w:r>
            <w:r>
              <w:rPr>
                <w:sz w:val="19"/>
                <w:szCs w:val="19"/>
              </w:rPr>
              <w:t xml:space="preserve">This sector relates more to </w:t>
            </w:r>
            <w:r w:rsidRPr="00FE2D7C">
              <w:rPr>
                <w:sz w:val="19"/>
                <w:szCs w:val="19"/>
              </w:rPr>
              <w:t xml:space="preserve">end-user </w:t>
            </w:r>
            <w:r>
              <w:rPr>
                <w:sz w:val="19"/>
                <w:szCs w:val="19"/>
              </w:rPr>
              <w:t>and/</w:t>
            </w:r>
            <w:r w:rsidRPr="00FE2D7C">
              <w:rPr>
                <w:sz w:val="19"/>
                <w:szCs w:val="19"/>
              </w:rPr>
              <w:t xml:space="preserve">or assembly </w:t>
            </w:r>
            <w:r>
              <w:rPr>
                <w:sz w:val="19"/>
                <w:szCs w:val="19"/>
              </w:rPr>
              <w:t>enterprises</w:t>
            </w:r>
            <w:r w:rsidRPr="00FE2D7C">
              <w:rPr>
                <w:sz w:val="19"/>
                <w:szCs w:val="19"/>
              </w:rPr>
              <w:t>.</w:t>
            </w:r>
          </w:p>
          <w:p w14:paraId="493C0A95" w14:textId="77777777" w:rsidR="00502FEE" w:rsidRPr="00FE2D7C" w:rsidRDefault="00502FEE" w:rsidP="000E7A06">
            <w:pPr>
              <w:spacing w:after="60"/>
              <w:jc w:val="left"/>
              <w:rPr>
                <w:sz w:val="19"/>
                <w:szCs w:val="19"/>
              </w:rPr>
            </w:pPr>
            <w:r w:rsidRPr="00FE2D7C">
              <w:rPr>
                <w:sz w:val="19"/>
                <w:szCs w:val="19"/>
              </w:rPr>
              <w:t>Parallel implementation is highly likely</w:t>
            </w:r>
            <w:r>
              <w:rPr>
                <w:sz w:val="19"/>
                <w:szCs w:val="19"/>
              </w:rPr>
              <w:t>.</w:t>
            </w:r>
          </w:p>
        </w:tc>
        <w:tc>
          <w:tcPr>
            <w:tcW w:w="2646" w:type="dxa"/>
            <w:tcMar>
              <w:left w:w="72" w:type="dxa"/>
              <w:right w:w="43" w:type="dxa"/>
            </w:tcMar>
          </w:tcPr>
          <w:p w14:paraId="1F6EDCEF" w14:textId="77777777" w:rsidR="00502FEE" w:rsidRPr="00FE2D7C" w:rsidRDefault="00502FEE" w:rsidP="000E7A06">
            <w:pPr>
              <w:spacing w:after="60"/>
              <w:jc w:val="left"/>
              <w:rPr>
                <w:sz w:val="19"/>
                <w:szCs w:val="19"/>
              </w:rPr>
            </w:pPr>
            <w:r w:rsidRPr="00FE2D7C">
              <w:rPr>
                <w:sz w:val="19"/>
                <w:szCs w:val="19"/>
              </w:rPr>
              <w:t>Limited information available</w:t>
            </w:r>
            <w:r>
              <w:rPr>
                <w:sz w:val="19"/>
                <w:szCs w:val="19"/>
              </w:rPr>
              <w:t>.</w:t>
            </w:r>
          </w:p>
        </w:tc>
      </w:tr>
      <w:tr w:rsidR="00502FEE" w:rsidRPr="00FE2D7C" w14:paraId="0F00A03C" w14:textId="77777777" w:rsidTr="000E7A06">
        <w:tc>
          <w:tcPr>
            <w:tcW w:w="1555" w:type="dxa"/>
            <w:tcMar>
              <w:left w:w="72" w:type="dxa"/>
              <w:right w:w="43" w:type="dxa"/>
            </w:tcMar>
          </w:tcPr>
          <w:p w14:paraId="5AFD7DAD" w14:textId="77777777" w:rsidR="00502FEE" w:rsidRPr="00FE2D7C" w:rsidRDefault="00502FEE" w:rsidP="000E7A06">
            <w:pPr>
              <w:jc w:val="left"/>
              <w:rPr>
                <w:sz w:val="19"/>
                <w:szCs w:val="19"/>
              </w:rPr>
            </w:pPr>
            <w:r w:rsidRPr="00FE2D7C">
              <w:rPr>
                <w:sz w:val="19"/>
                <w:szCs w:val="19"/>
              </w:rPr>
              <w:t>Aerosol</w:t>
            </w:r>
          </w:p>
        </w:tc>
        <w:tc>
          <w:tcPr>
            <w:tcW w:w="1134" w:type="dxa"/>
            <w:tcMar>
              <w:left w:w="72" w:type="dxa"/>
              <w:right w:w="43" w:type="dxa"/>
            </w:tcMar>
          </w:tcPr>
          <w:p w14:paraId="49CB3EAC" w14:textId="77777777" w:rsidR="00502FEE" w:rsidRPr="00FE2D7C" w:rsidRDefault="00502FEE" w:rsidP="000E7A06">
            <w:pPr>
              <w:jc w:val="left"/>
              <w:rPr>
                <w:sz w:val="19"/>
                <w:szCs w:val="19"/>
              </w:rPr>
            </w:pPr>
            <w:r w:rsidRPr="00FE2D7C">
              <w:rPr>
                <w:sz w:val="19"/>
                <w:szCs w:val="19"/>
              </w:rPr>
              <w:t>HCFC-22, HCFC-141b</w:t>
            </w:r>
          </w:p>
        </w:tc>
        <w:tc>
          <w:tcPr>
            <w:tcW w:w="1134" w:type="dxa"/>
            <w:tcMar>
              <w:left w:w="72" w:type="dxa"/>
              <w:right w:w="43" w:type="dxa"/>
            </w:tcMar>
          </w:tcPr>
          <w:p w14:paraId="15302ABF" w14:textId="77777777" w:rsidR="00502FEE" w:rsidRPr="00FE2D7C" w:rsidRDefault="00502FEE" w:rsidP="000E7A06">
            <w:pPr>
              <w:jc w:val="left"/>
              <w:rPr>
                <w:sz w:val="19"/>
                <w:szCs w:val="19"/>
              </w:rPr>
            </w:pPr>
            <w:r w:rsidRPr="00FE2D7C">
              <w:rPr>
                <w:sz w:val="19"/>
                <w:szCs w:val="19"/>
              </w:rPr>
              <w:t>HFC-134a in MDI</w:t>
            </w:r>
          </w:p>
        </w:tc>
        <w:tc>
          <w:tcPr>
            <w:tcW w:w="2976" w:type="dxa"/>
            <w:tcMar>
              <w:left w:w="72" w:type="dxa"/>
              <w:right w:w="43" w:type="dxa"/>
            </w:tcMar>
          </w:tcPr>
          <w:p w14:paraId="73E4A831" w14:textId="75DAC60B" w:rsidR="00502FEE" w:rsidRPr="00FE2D7C" w:rsidRDefault="00502FEE" w:rsidP="000E7A06">
            <w:pPr>
              <w:spacing w:after="60"/>
              <w:jc w:val="left"/>
              <w:rPr>
                <w:sz w:val="19"/>
                <w:szCs w:val="19"/>
              </w:rPr>
            </w:pPr>
            <w:r>
              <w:rPr>
                <w:sz w:val="19"/>
                <w:szCs w:val="19"/>
              </w:rPr>
              <w:t>T</w:t>
            </w:r>
            <w:r w:rsidRPr="00FE2D7C">
              <w:rPr>
                <w:sz w:val="19"/>
                <w:szCs w:val="19"/>
              </w:rPr>
              <w:t>o be implemented in parallel</w:t>
            </w:r>
            <w:r w:rsidR="0079075E">
              <w:rPr>
                <w:sz w:val="19"/>
                <w:szCs w:val="19"/>
              </w:rPr>
              <w:t>.</w:t>
            </w:r>
            <w:r w:rsidRPr="00FE2D7C">
              <w:rPr>
                <w:sz w:val="19"/>
                <w:szCs w:val="19"/>
              </w:rPr>
              <w:t xml:space="preserve"> </w:t>
            </w:r>
          </w:p>
        </w:tc>
        <w:tc>
          <w:tcPr>
            <w:tcW w:w="2646" w:type="dxa"/>
            <w:tcMar>
              <w:left w:w="72" w:type="dxa"/>
              <w:right w:w="43" w:type="dxa"/>
            </w:tcMar>
          </w:tcPr>
          <w:p w14:paraId="26155298" w14:textId="77777777" w:rsidR="00502FEE" w:rsidRDefault="00502FEE" w:rsidP="000E7A06">
            <w:pPr>
              <w:spacing w:after="60"/>
              <w:jc w:val="left"/>
              <w:rPr>
                <w:sz w:val="19"/>
                <w:szCs w:val="19"/>
              </w:rPr>
            </w:pPr>
            <w:r w:rsidRPr="00FE2D7C">
              <w:rPr>
                <w:sz w:val="19"/>
                <w:szCs w:val="19"/>
              </w:rPr>
              <w:t xml:space="preserve">Levels of consumption </w:t>
            </w:r>
            <w:r>
              <w:rPr>
                <w:sz w:val="19"/>
                <w:szCs w:val="19"/>
              </w:rPr>
              <w:t xml:space="preserve">of HFCs in MDI and other aerosol applications appear to be </w:t>
            </w:r>
            <w:r w:rsidRPr="00FE2D7C">
              <w:rPr>
                <w:sz w:val="19"/>
                <w:szCs w:val="19"/>
              </w:rPr>
              <w:t xml:space="preserve">low. </w:t>
            </w:r>
          </w:p>
          <w:p w14:paraId="1B0E4F30" w14:textId="2FADC56D" w:rsidR="00502FEE" w:rsidRPr="00FE2D7C" w:rsidRDefault="00502FEE" w:rsidP="0079075E">
            <w:pPr>
              <w:spacing w:after="60"/>
              <w:jc w:val="left"/>
              <w:rPr>
                <w:sz w:val="19"/>
                <w:szCs w:val="19"/>
              </w:rPr>
            </w:pPr>
            <w:r w:rsidRPr="00FE2D7C">
              <w:rPr>
                <w:sz w:val="19"/>
                <w:szCs w:val="19"/>
              </w:rPr>
              <w:t>Time required to develop HFC</w:t>
            </w:r>
            <w:r w:rsidR="0079075E">
              <w:rPr>
                <w:sz w:val="19"/>
                <w:szCs w:val="19"/>
              </w:rPr>
              <w:noBreakHyphen/>
            </w:r>
            <w:r w:rsidRPr="00FE2D7C">
              <w:rPr>
                <w:sz w:val="19"/>
                <w:szCs w:val="19"/>
              </w:rPr>
              <w:t>free technology for MDI</w:t>
            </w:r>
            <w:r w:rsidR="0079075E">
              <w:rPr>
                <w:sz w:val="19"/>
                <w:szCs w:val="19"/>
              </w:rPr>
              <w:t>.</w:t>
            </w:r>
          </w:p>
        </w:tc>
      </w:tr>
      <w:tr w:rsidR="00502FEE" w:rsidRPr="00FE2D7C" w14:paraId="78771AB3" w14:textId="77777777" w:rsidTr="000E7A06">
        <w:tc>
          <w:tcPr>
            <w:tcW w:w="1555" w:type="dxa"/>
            <w:tcMar>
              <w:left w:w="72" w:type="dxa"/>
              <w:right w:w="43" w:type="dxa"/>
            </w:tcMar>
          </w:tcPr>
          <w:p w14:paraId="260FCF54" w14:textId="77777777" w:rsidR="00502FEE" w:rsidRPr="00FE2D7C" w:rsidRDefault="00502FEE" w:rsidP="000E7A06">
            <w:pPr>
              <w:jc w:val="left"/>
              <w:rPr>
                <w:sz w:val="19"/>
                <w:szCs w:val="19"/>
              </w:rPr>
            </w:pPr>
            <w:r w:rsidRPr="00FE2D7C">
              <w:rPr>
                <w:sz w:val="19"/>
                <w:szCs w:val="19"/>
              </w:rPr>
              <w:t>Solvent</w:t>
            </w:r>
          </w:p>
        </w:tc>
        <w:tc>
          <w:tcPr>
            <w:tcW w:w="1134" w:type="dxa"/>
            <w:tcMar>
              <w:left w:w="72" w:type="dxa"/>
              <w:right w:w="43" w:type="dxa"/>
            </w:tcMar>
          </w:tcPr>
          <w:p w14:paraId="47917F77" w14:textId="77777777" w:rsidR="00502FEE" w:rsidRPr="00FE2D7C" w:rsidRDefault="00502FEE" w:rsidP="000E7A06">
            <w:pPr>
              <w:jc w:val="left"/>
              <w:rPr>
                <w:sz w:val="19"/>
                <w:szCs w:val="19"/>
              </w:rPr>
            </w:pPr>
            <w:r w:rsidRPr="00FE2D7C">
              <w:rPr>
                <w:sz w:val="19"/>
                <w:szCs w:val="19"/>
              </w:rPr>
              <w:t>HCFC-141b,</w:t>
            </w:r>
          </w:p>
          <w:p w14:paraId="33D3C9AE" w14:textId="77777777" w:rsidR="00502FEE" w:rsidRPr="00FE2D7C" w:rsidRDefault="00502FEE" w:rsidP="000E7A06">
            <w:pPr>
              <w:jc w:val="left"/>
              <w:rPr>
                <w:sz w:val="19"/>
                <w:szCs w:val="19"/>
              </w:rPr>
            </w:pPr>
            <w:r w:rsidRPr="00FE2D7C">
              <w:rPr>
                <w:sz w:val="19"/>
                <w:szCs w:val="19"/>
              </w:rPr>
              <w:t>HCFC-22,</w:t>
            </w:r>
          </w:p>
          <w:p w14:paraId="5EECDCB2" w14:textId="77777777" w:rsidR="00502FEE" w:rsidRPr="00FE2D7C" w:rsidRDefault="00502FEE" w:rsidP="000E7A06">
            <w:pPr>
              <w:jc w:val="left"/>
              <w:rPr>
                <w:sz w:val="19"/>
                <w:szCs w:val="19"/>
              </w:rPr>
            </w:pPr>
            <w:r w:rsidRPr="00FE2D7C">
              <w:rPr>
                <w:sz w:val="19"/>
                <w:szCs w:val="19"/>
              </w:rPr>
              <w:t>HCFC-225ca</w:t>
            </w:r>
          </w:p>
          <w:p w14:paraId="3FDB7341" w14:textId="77777777" w:rsidR="00502FEE" w:rsidRPr="00FE2D7C" w:rsidRDefault="00502FEE" w:rsidP="000E7A06">
            <w:pPr>
              <w:jc w:val="left"/>
              <w:rPr>
                <w:sz w:val="19"/>
                <w:szCs w:val="19"/>
              </w:rPr>
            </w:pPr>
            <w:r w:rsidRPr="00FE2D7C">
              <w:rPr>
                <w:sz w:val="19"/>
                <w:szCs w:val="19"/>
              </w:rPr>
              <w:t>HCFC-225cb</w:t>
            </w:r>
          </w:p>
        </w:tc>
        <w:tc>
          <w:tcPr>
            <w:tcW w:w="1134" w:type="dxa"/>
            <w:tcMar>
              <w:left w:w="72" w:type="dxa"/>
              <w:right w:w="43" w:type="dxa"/>
            </w:tcMar>
          </w:tcPr>
          <w:p w14:paraId="60E14F3D" w14:textId="77777777" w:rsidR="00502FEE" w:rsidRPr="00FE2D7C" w:rsidRDefault="00502FEE" w:rsidP="000E7A06">
            <w:pPr>
              <w:jc w:val="left"/>
              <w:rPr>
                <w:sz w:val="19"/>
                <w:szCs w:val="19"/>
              </w:rPr>
            </w:pPr>
            <w:r w:rsidRPr="00FE2D7C">
              <w:rPr>
                <w:sz w:val="19"/>
                <w:szCs w:val="19"/>
              </w:rPr>
              <w:t>Several HFC blends</w:t>
            </w:r>
          </w:p>
        </w:tc>
        <w:tc>
          <w:tcPr>
            <w:tcW w:w="2976" w:type="dxa"/>
            <w:tcMar>
              <w:left w:w="72" w:type="dxa"/>
              <w:right w:w="43" w:type="dxa"/>
            </w:tcMar>
          </w:tcPr>
          <w:p w14:paraId="3EA9D411" w14:textId="77777777" w:rsidR="00502FEE" w:rsidRPr="00FE2D7C" w:rsidRDefault="00502FEE" w:rsidP="000E7A06">
            <w:pPr>
              <w:spacing w:after="60"/>
              <w:jc w:val="left"/>
              <w:rPr>
                <w:sz w:val="19"/>
                <w:szCs w:val="19"/>
              </w:rPr>
            </w:pPr>
            <w:r w:rsidRPr="00FE2D7C">
              <w:rPr>
                <w:sz w:val="19"/>
                <w:szCs w:val="19"/>
              </w:rPr>
              <w:t>To be determined</w:t>
            </w:r>
            <w:r>
              <w:rPr>
                <w:sz w:val="19"/>
                <w:szCs w:val="19"/>
              </w:rPr>
              <w:t>.</w:t>
            </w:r>
            <w:r w:rsidRPr="00FE2D7C">
              <w:rPr>
                <w:sz w:val="19"/>
                <w:szCs w:val="19"/>
              </w:rPr>
              <w:t xml:space="preserve"> </w:t>
            </w:r>
          </w:p>
        </w:tc>
        <w:tc>
          <w:tcPr>
            <w:tcW w:w="2646" w:type="dxa"/>
            <w:tcMar>
              <w:left w:w="72" w:type="dxa"/>
              <w:right w:w="43" w:type="dxa"/>
            </w:tcMar>
          </w:tcPr>
          <w:p w14:paraId="14396226" w14:textId="77777777" w:rsidR="00502FEE" w:rsidRPr="00FE2D7C" w:rsidRDefault="00502FEE" w:rsidP="000E7A06">
            <w:pPr>
              <w:spacing w:after="60"/>
              <w:jc w:val="left"/>
              <w:rPr>
                <w:sz w:val="19"/>
                <w:szCs w:val="19"/>
              </w:rPr>
            </w:pPr>
            <w:r w:rsidRPr="00FE2D7C">
              <w:rPr>
                <w:sz w:val="19"/>
                <w:szCs w:val="19"/>
              </w:rPr>
              <w:t xml:space="preserve">Levels of consumption </w:t>
            </w:r>
            <w:r>
              <w:rPr>
                <w:sz w:val="19"/>
                <w:szCs w:val="19"/>
              </w:rPr>
              <w:t xml:space="preserve">of HFCs appear to be </w:t>
            </w:r>
            <w:r w:rsidRPr="00FE2D7C">
              <w:rPr>
                <w:sz w:val="19"/>
                <w:szCs w:val="19"/>
              </w:rPr>
              <w:t>low</w:t>
            </w:r>
            <w:r>
              <w:rPr>
                <w:sz w:val="19"/>
                <w:szCs w:val="19"/>
              </w:rPr>
              <w:t>.</w:t>
            </w:r>
          </w:p>
        </w:tc>
      </w:tr>
      <w:tr w:rsidR="00502FEE" w:rsidRPr="00FE2D7C" w14:paraId="16EF2ED0" w14:textId="77777777" w:rsidTr="000E7A06">
        <w:tc>
          <w:tcPr>
            <w:tcW w:w="1555" w:type="dxa"/>
            <w:tcMar>
              <w:left w:w="72" w:type="dxa"/>
              <w:right w:w="43" w:type="dxa"/>
            </w:tcMar>
          </w:tcPr>
          <w:p w14:paraId="0C484F80" w14:textId="77777777" w:rsidR="00502FEE" w:rsidRPr="00FE2D7C" w:rsidRDefault="00502FEE" w:rsidP="000E7A06">
            <w:pPr>
              <w:jc w:val="left"/>
              <w:rPr>
                <w:sz w:val="19"/>
                <w:szCs w:val="19"/>
              </w:rPr>
            </w:pPr>
            <w:r w:rsidRPr="00FE2D7C">
              <w:rPr>
                <w:sz w:val="19"/>
                <w:szCs w:val="19"/>
              </w:rPr>
              <w:t>Fire fighting</w:t>
            </w:r>
          </w:p>
        </w:tc>
        <w:tc>
          <w:tcPr>
            <w:tcW w:w="1134" w:type="dxa"/>
            <w:tcMar>
              <w:left w:w="72" w:type="dxa"/>
              <w:right w:w="43" w:type="dxa"/>
            </w:tcMar>
          </w:tcPr>
          <w:p w14:paraId="4D1E8863" w14:textId="77777777" w:rsidR="00502FEE" w:rsidRPr="00FE2D7C" w:rsidRDefault="00502FEE" w:rsidP="000E7A06">
            <w:pPr>
              <w:jc w:val="left"/>
              <w:rPr>
                <w:sz w:val="19"/>
                <w:szCs w:val="19"/>
              </w:rPr>
            </w:pPr>
            <w:r w:rsidRPr="00FE2D7C">
              <w:rPr>
                <w:sz w:val="19"/>
                <w:szCs w:val="19"/>
              </w:rPr>
              <w:t>HCFC-123</w:t>
            </w:r>
          </w:p>
        </w:tc>
        <w:tc>
          <w:tcPr>
            <w:tcW w:w="1134" w:type="dxa"/>
            <w:tcMar>
              <w:left w:w="72" w:type="dxa"/>
              <w:right w:w="43" w:type="dxa"/>
            </w:tcMar>
          </w:tcPr>
          <w:p w14:paraId="27632239" w14:textId="77777777" w:rsidR="00502FEE" w:rsidRPr="00FE2D7C" w:rsidRDefault="00502FEE" w:rsidP="000E7A06">
            <w:pPr>
              <w:jc w:val="left"/>
              <w:rPr>
                <w:sz w:val="19"/>
                <w:szCs w:val="19"/>
              </w:rPr>
            </w:pPr>
            <w:r w:rsidRPr="00FE2D7C">
              <w:rPr>
                <w:sz w:val="19"/>
                <w:szCs w:val="19"/>
              </w:rPr>
              <w:t>HFC-227ea, HFC-236fa, HFC-23, HFC-125 and other HFCs and blends</w:t>
            </w:r>
          </w:p>
        </w:tc>
        <w:tc>
          <w:tcPr>
            <w:tcW w:w="2976" w:type="dxa"/>
            <w:tcMar>
              <w:left w:w="72" w:type="dxa"/>
              <w:right w:w="43" w:type="dxa"/>
            </w:tcMar>
          </w:tcPr>
          <w:p w14:paraId="21249989" w14:textId="5CFBD673" w:rsidR="00502FEE" w:rsidRPr="00FE2D7C" w:rsidRDefault="00502FEE" w:rsidP="0079075E">
            <w:pPr>
              <w:spacing w:after="60"/>
              <w:jc w:val="left"/>
              <w:rPr>
                <w:sz w:val="19"/>
                <w:szCs w:val="19"/>
              </w:rPr>
            </w:pPr>
            <w:r>
              <w:rPr>
                <w:sz w:val="19"/>
                <w:szCs w:val="19"/>
              </w:rPr>
              <w:t>I</w:t>
            </w:r>
            <w:r w:rsidRPr="00FE2D7C">
              <w:rPr>
                <w:sz w:val="19"/>
                <w:szCs w:val="19"/>
              </w:rPr>
              <w:t xml:space="preserve">ntegrated implementation could be </w:t>
            </w:r>
            <w:r w:rsidR="006715AC" w:rsidRPr="0079075E">
              <w:rPr>
                <w:sz w:val="19"/>
                <w:szCs w:val="19"/>
              </w:rPr>
              <w:t xml:space="preserve">considered </w:t>
            </w:r>
            <w:r w:rsidRPr="0079075E">
              <w:rPr>
                <w:sz w:val="19"/>
                <w:szCs w:val="19"/>
              </w:rPr>
              <w:t>in</w:t>
            </w:r>
            <w:r>
              <w:rPr>
                <w:sz w:val="19"/>
                <w:szCs w:val="19"/>
              </w:rPr>
              <w:t xml:space="preserve"> approximately </w:t>
            </w:r>
            <w:r w:rsidRPr="00FE2D7C">
              <w:rPr>
                <w:sz w:val="19"/>
                <w:szCs w:val="19"/>
              </w:rPr>
              <w:t>10</w:t>
            </w:r>
            <w:r w:rsidR="0079075E">
              <w:rPr>
                <w:sz w:val="19"/>
                <w:szCs w:val="19"/>
              </w:rPr>
              <w:t> </w:t>
            </w:r>
            <w:r w:rsidRPr="00FE2D7C">
              <w:rPr>
                <w:sz w:val="19"/>
                <w:szCs w:val="19"/>
              </w:rPr>
              <w:t>countries that have not addressed HCFC-123 in their HPMPs</w:t>
            </w:r>
            <w:r w:rsidR="0079075E">
              <w:rPr>
                <w:sz w:val="19"/>
                <w:szCs w:val="19"/>
              </w:rPr>
              <w:t>.</w:t>
            </w:r>
          </w:p>
        </w:tc>
        <w:tc>
          <w:tcPr>
            <w:tcW w:w="2646" w:type="dxa"/>
            <w:tcMar>
              <w:left w:w="72" w:type="dxa"/>
              <w:right w:w="43" w:type="dxa"/>
            </w:tcMar>
          </w:tcPr>
          <w:p w14:paraId="1422D26C" w14:textId="77777777" w:rsidR="00502FEE" w:rsidRPr="00FE2D7C" w:rsidRDefault="00502FEE" w:rsidP="000E7A06">
            <w:pPr>
              <w:spacing w:after="60"/>
              <w:jc w:val="left"/>
              <w:rPr>
                <w:sz w:val="19"/>
                <w:szCs w:val="19"/>
              </w:rPr>
            </w:pPr>
            <w:r w:rsidRPr="00FE2D7C">
              <w:rPr>
                <w:sz w:val="19"/>
                <w:szCs w:val="19"/>
              </w:rPr>
              <w:t xml:space="preserve">Levels of consumption </w:t>
            </w:r>
            <w:r>
              <w:rPr>
                <w:sz w:val="19"/>
                <w:szCs w:val="19"/>
              </w:rPr>
              <w:t xml:space="preserve">of both HCFC-123 and HFCs in this sector appear to be </w:t>
            </w:r>
            <w:r w:rsidRPr="00FE2D7C">
              <w:rPr>
                <w:sz w:val="19"/>
                <w:szCs w:val="19"/>
              </w:rPr>
              <w:t>low</w:t>
            </w:r>
            <w:r>
              <w:rPr>
                <w:sz w:val="19"/>
                <w:szCs w:val="19"/>
              </w:rPr>
              <w:t>.</w:t>
            </w:r>
          </w:p>
        </w:tc>
      </w:tr>
    </w:tbl>
    <w:p w14:paraId="70E3902A" w14:textId="77777777" w:rsidR="00502FEE" w:rsidRDefault="00502FEE" w:rsidP="00502FEE"/>
    <w:p w14:paraId="162072C0" w14:textId="77777777" w:rsidR="00502FEE" w:rsidRPr="00D5341C" w:rsidRDefault="00502FEE" w:rsidP="00502FEE">
      <w:pPr>
        <w:rPr>
          <w:b/>
        </w:rPr>
      </w:pPr>
      <w:r w:rsidRPr="00D5341C">
        <w:rPr>
          <w:b/>
        </w:rPr>
        <w:lastRenderedPageBreak/>
        <w:t>Considerations for the production sector</w:t>
      </w:r>
    </w:p>
    <w:p w14:paraId="75DEE6AB" w14:textId="77777777" w:rsidR="00502FEE" w:rsidRPr="00D5341C" w:rsidRDefault="00502FEE" w:rsidP="00502FEE"/>
    <w:p w14:paraId="034433CC" w14:textId="77777777" w:rsidR="00502FEE" w:rsidRDefault="00502FEE" w:rsidP="00502FEE">
      <w:pPr>
        <w:pStyle w:val="Heading1"/>
      </w:pPr>
      <w:r w:rsidRPr="00D5341C">
        <w:t xml:space="preserve">Given that HFCs are produced in different lines </w:t>
      </w:r>
      <w:r>
        <w:t>from</w:t>
      </w:r>
      <w:r w:rsidRPr="00D5341C">
        <w:t xml:space="preserve"> HCFCs, the HFC phase-down would be implemented in parallel to the HCFC phase-out activities. As production of HCFCs and HFCs occurs only in two Article 5 countries, the </w:t>
      </w:r>
      <w:r>
        <w:t>impact</w:t>
      </w:r>
      <w:r w:rsidRPr="00D5341C">
        <w:t xml:space="preserve"> on the institutions will be limited to</w:t>
      </w:r>
      <w:r>
        <w:t xml:space="preserve"> the level of work required in</w:t>
      </w:r>
      <w:r w:rsidRPr="00D5341C">
        <w:t xml:space="preserve"> those countries.</w:t>
      </w:r>
      <w:r>
        <w:t xml:space="preserve"> </w:t>
      </w:r>
    </w:p>
    <w:p w14:paraId="6A83CE62" w14:textId="77777777" w:rsidR="00502FEE" w:rsidRPr="009742DA" w:rsidRDefault="00502FEE" w:rsidP="00502FEE">
      <w:pPr>
        <w:pStyle w:val="Heading1"/>
      </w:pPr>
      <w:r>
        <w:t xml:space="preserve">In addition, a limited number of countries producing HCFC-22 would need to implement in parallel the </w:t>
      </w:r>
      <w:r w:rsidRPr="009742DA">
        <w:t>emission control of HFC-23 as by-product in the production of HCFC-22.</w:t>
      </w:r>
    </w:p>
    <w:p w14:paraId="5D916510" w14:textId="77777777" w:rsidR="00502FEE" w:rsidRDefault="00502FEE" w:rsidP="00502FEE">
      <w:pPr>
        <w:pStyle w:val="Heading1"/>
        <w:numPr>
          <w:ilvl w:val="0"/>
          <w:numId w:val="0"/>
        </w:numPr>
        <w:rPr>
          <w:b/>
        </w:rPr>
      </w:pPr>
      <w:r w:rsidRPr="00B45425">
        <w:rPr>
          <w:b/>
        </w:rPr>
        <w:t>Resource availability and cost-effectiveness</w:t>
      </w:r>
    </w:p>
    <w:p w14:paraId="2DDEF107" w14:textId="37F5E2D2" w:rsidR="00502FEE" w:rsidRDefault="00502FEE" w:rsidP="00502FEE">
      <w:pPr>
        <w:pStyle w:val="Heading1"/>
      </w:pPr>
      <w:r>
        <w:t>The financial resources required to achieve the complete phase-out of HCFCs can be estimated based on the information contained in approved HPMPs and the cost-effectiveness thresholds established for projects for the phase-down of HCFCs. However, the financial resources required for HFC phase</w:t>
      </w:r>
      <w:r w:rsidR="00E469A0">
        <w:noBreakHyphen/>
      </w:r>
      <w:r>
        <w:t>down cannot yet be assessed as that will depend on the level of consumption of HFCs at the country level (which still is unknown) and on a number of policy decisions by the Parties to the Montreal Protocol and the Executive Committee.</w:t>
      </w:r>
    </w:p>
    <w:p w14:paraId="5CD167B1" w14:textId="77777777" w:rsidR="00502FEE" w:rsidRPr="007D41CC" w:rsidRDefault="00502FEE" w:rsidP="00502FEE">
      <w:pPr>
        <w:pStyle w:val="Heading1"/>
        <w:numPr>
          <w:ilvl w:val="0"/>
          <w:numId w:val="0"/>
        </w:numPr>
        <w:rPr>
          <w:u w:val="single"/>
          <w:lang w:val="en-CA"/>
        </w:rPr>
      </w:pPr>
      <w:r w:rsidRPr="007D41CC">
        <w:rPr>
          <w:u w:val="single"/>
          <w:lang w:val="en-CA"/>
        </w:rPr>
        <w:t>Funding for HCFC phase-out</w:t>
      </w:r>
    </w:p>
    <w:p w14:paraId="6883DC72" w14:textId="68AFB051" w:rsidR="00502FEE" w:rsidRPr="0037118E" w:rsidRDefault="00502FEE" w:rsidP="00502FEE">
      <w:pPr>
        <w:pStyle w:val="Heading1"/>
      </w:pPr>
      <w:r w:rsidRPr="0037118E">
        <w:rPr>
          <w:lang w:val="en-CA"/>
        </w:rPr>
        <w:t>Since its 60</w:t>
      </w:r>
      <w:r w:rsidRPr="0037118E">
        <w:rPr>
          <w:vertAlign w:val="superscript"/>
          <w:lang w:val="en-CA"/>
        </w:rPr>
        <w:t>th</w:t>
      </w:r>
      <w:r w:rsidRPr="0037118E">
        <w:rPr>
          <w:lang w:val="en-CA"/>
        </w:rPr>
        <w:t xml:space="preserve"> meeting, the Executive </w:t>
      </w:r>
      <w:r w:rsidRPr="0037118E">
        <w:t xml:space="preserve">Committee has been approving funding in principle for the implementation of HPMPs. In line with decision XIX/6, the Committee has, to the extent possible, given priority to cost-effective projects and programmes that focus, </w:t>
      </w:r>
      <w:r w:rsidRPr="0037118E">
        <w:rPr>
          <w:i/>
        </w:rPr>
        <w:t>inter alia</w:t>
      </w:r>
      <w:r w:rsidRPr="0037118E">
        <w:t>, on alternatives that minimize other impacts on the environment, including on the climate. In order to facilitate the introduction of low</w:t>
      </w:r>
      <w:r w:rsidR="00E469A0">
        <w:noBreakHyphen/>
      </w:r>
      <w:r w:rsidRPr="0037118E">
        <w:t>GWP technologies, the cost guidelines for stages I and II of HPMPs</w:t>
      </w:r>
      <w:r w:rsidRPr="0037118E">
        <w:rPr>
          <w:rStyle w:val="FootnoteReference"/>
        </w:rPr>
        <w:footnoteReference w:id="21"/>
      </w:r>
      <w:r w:rsidRPr="0037118E">
        <w:t xml:space="preserve"> provided incentives when low</w:t>
      </w:r>
      <w:r w:rsidR="00E469A0">
        <w:noBreakHyphen/>
      </w:r>
      <w:r w:rsidRPr="0037118E">
        <w:t>GWP technologies were adopted.</w:t>
      </w:r>
      <w:r w:rsidRPr="0037118E">
        <w:rPr>
          <w:rStyle w:val="FootnoteReference"/>
        </w:rPr>
        <w:footnoteReference w:id="22"/>
      </w:r>
      <w:r w:rsidRPr="0037118E">
        <w:t xml:space="preserve"> </w:t>
      </w:r>
    </w:p>
    <w:p w14:paraId="25ACF7E1" w14:textId="13D3FEF2" w:rsidR="00502FEE" w:rsidRPr="00AD032C" w:rsidRDefault="00502FEE" w:rsidP="00502FEE">
      <w:pPr>
        <w:pStyle w:val="Heading1"/>
        <w:widowControl w:val="0"/>
        <w:rPr>
          <w:lang w:val="en-CA"/>
        </w:rPr>
      </w:pPr>
      <w:r>
        <w:rPr>
          <w:lang w:val="en-CA"/>
        </w:rPr>
        <w:t>T</w:t>
      </w:r>
      <w:r w:rsidRPr="00AD032C">
        <w:rPr>
          <w:lang w:val="en-CA"/>
        </w:rPr>
        <w:t>he Executive Committee has approved sta</w:t>
      </w:r>
      <w:r>
        <w:rPr>
          <w:lang w:val="en-CA"/>
        </w:rPr>
        <w:t xml:space="preserve">ge I of HPMPs for 144 countries </w:t>
      </w:r>
      <w:r w:rsidRPr="00AD032C">
        <w:rPr>
          <w:lang w:val="en-CA"/>
        </w:rPr>
        <w:t>and stage II</w:t>
      </w:r>
      <w:r w:rsidRPr="00AD032C">
        <w:rPr>
          <w:szCs w:val="28"/>
          <w:lang w:val="en-CA"/>
        </w:rPr>
        <w:t xml:space="preserve"> </w:t>
      </w:r>
      <w:r w:rsidRPr="00AD032C">
        <w:rPr>
          <w:lang w:val="en-CA"/>
        </w:rPr>
        <w:t>for 3</w:t>
      </w:r>
      <w:r>
        <w:rPr>
          <w:lang w:val="en-CA"/>
        </w:rPr>
        <w:t>4</w:t>
      </w:r>
      <w:r w:rsidR="00E469A0">
        <w:rPr>
          <w:lang w:val="en-CA"/>
        </w:rPr>
        <w:t> </w:t>
      </w:r>
      <w:r w:rsidRPr="00AD032C">
        <w:rPr>
          <w:lang w:val="en-CA"/>
        </w:rPr>
        <w:t>countries</w:t>
      </w:r>
      <w:r>
        <w:rPr>
          <w:lang w:val="en-CA"/>
        </w:rPr>
        <w:t>, a</w:t>
      </w:r>
      <w:r w:rsidRPr="00AD032C">
        <w:rPr>
          <w:lang w:val="en-CA"/>
        </w:rPr>
        <w:t>t a total value of US $1.36 billion (approved in principle) of which US</w:t>
      </w:r>
      <w:r>
        <w:rPr>
          <w:lang w:val="en-CA"/>
        </w:rPr>
        <w:t> </w:t>
      </w:r>
      <w:r w:rsidRPr="00AD032C">
        <w:rPr>
          <w:lang w:val="en-CA"/>
        </w:rPr>
        <w:t>$805.33</w:t>
      </w:r>
      <w:r>
        <w:rPr>
          <w:lang w:val="en-CA"/>
        </w:rPr>
        <w:t> </w:t>
      </w:r>
      <w:r w:rsidRPr="00AD032C">
        <w:rPr>
          <w:lang w:val="en-CA"/>
        </w:rPr>
        <w:t>million has been disbursed to address compliance with the Montreal Protocol control levels as follows:</w:t>
      </w:r>
    </w:p>
    <w:p w14:paraId="77AE2CE1" w14:textId="77777777" w:rsidR="00502FEE" w:rsidRPr="00AD032C" w:rsidRDefault="00502FEE" w:rsidP="00502FEE">
      <w:pPr>
        <w:pStyle w:val="Heading2"/>
        <w:numPr>
          <w:ilvl w:val="1"/>
          <w:numId w:val="1"/>
        </w:numPr>
        <w:rPr>
          <w:lang w:val="en-CA"/>
        </w:rPr>
      </w:pPr>
      <w:r w:rsidRPr="00AD032C">
        <w:rPr>
          <w:lang w:val="en-CA"/>
        </w:rPr>
        <w:t>Three countries (one LVC</w:t>
      </w:r>
      <w:r>
        <w:rPr>
          <w:lang w:val="en-CA"/>
        </w:rPr>
        <w:t xml:space="preserve"> (Antigua and Barbuda), </w:t>
      </w:r>
      <w:r w:rsidRPr="00AD032C">
        <w:rPr>
          <w:lang w:val="en-CA"/>
        </w:rPr>
        <w:t>and two non</w:t>
      </w:r>
      <w:r w:rsidRPr="00AD032C">
        <w:rPr>
          <w:lang w:val="en-CA"/>
        </w:rPr>
        <w:noBreakHyphen/>
        <w:t>LVC countries</w:t>
      </w:r>
      <w:r>
        <w:rPr>
          <w:lang w:val="en-CA"/>
        </w:rPr>
        <w:t xml:space="preserve"> (Qatar and Yemen</w:t>
      </w:r>
      <w:r w:rsidRPr="00AD032C">
        <w:rPr>
          <w:lang w:val="en-CA"/>
        </w:rPr>
        <w:t>)</w:t>
      </w:r>
      <w:r>
        <w:rPr>
          <w:lang w:val="en-CA"/>
        </w:rPr>
        <w:t>)</w:t>
      </w:r>
      <w:r w:rsidRPr="00AD032C">
        <w:rPr>
          <w:lang w:val="en-CA"/>
        </w:rPr>
        <w:t xml:space="preserve"> t</w:t>
      </w:r>
      <w:r>
        <w:rPr>
          <w:lang w:val="en-CA"/>
        </w:rPr>
        <w:t>o address compliance up to 2015. Although these countries have not submitted a request for stage II, they are in compliance with the Montreal Protocol;</w:t>
      </w:r>
    </w:p>
    <w:p w14:paraId="6FFCB224" w14:textId="77777777" w:rsidR="00502FEE" w:rsidRPr="00AD032C" w:rsidRDefault="00502FEE" w:rsidP="00502FEE">
      <w:pPr>
        <w:pStyle w:val="Heading2"/>
        <w:numPr>
          <w:ilvl w:val="1"/>
          <w:numId w:val="1"/>
        </w:numPr>
        <w:rPr>
          <w:lang w:val="en-CA"/>
        </w:rPr>
      </w:pPr>
      <w:r w:rsidRPr="00AD032C">
        <w:rPr>
          <w:lang w:val="en-CA"/>
        </w:rPr>
        <w:t>One hundred and nine countries (62 LVC and 35 non-LVC countries, and the 12 Pacific Island Countries</w:t>
      </w:r>
      <w:r>
        <w:rPr>
          <w:lang w:val="en-CA"/>
        </w:rPr>
        <w:t>)</w:t>
      </w:r>
      <w:r w:rsidRPr="00AD032C">
        <w:rPr>
          <w:lang w:val="en-CA"/>
        </w:rPr>
        <w:t xml:space="preserve"> to address compliance up to 2020;</w:t>
      </w:r>
    </w:p>
    <w:p w14:paraId="4C4AF967" w14:textId="77777777" w:rsidR="00502FEE" w:rsidRPr="00AD032C" w:rsidRDefault="00502FEE" w:rsidP="00502FEE">
      <w:pPr>
        <w:pStyle w:val="Heading2"/>
        <w:numPr>
          <w:ilvl w:val="1"/>
          <w:numId w:val="1"/>
        </w:numPr>
        <w:rPr>
          <w:lang w:val="en-CA"/>
        </w:rPr>
      </w:pPr>
      <w:r w:rsidRPr="00AD032C">
        <w:rPr>
          <w:lang w:val="en-CA"/>
        </w:rPr>
        <w:t>Twenty countries to address compliance up to 2025;</w:t>
      </w:r>
      <w:r>
        <w:rPr>
          <w:lang w:val="en-CA"/>
        </w:rPr>
        <w:t xml:space="preserve"> and</w:t>
      </w:r>
    </w:p>
    <w:p w14:paraId="734EB4AA" w14:textId="77777777" w:rsidR="00502FEE" w:rsidRPr="00AD032C" w:rsidRDefault="00502FEE" w:rsidP="00502FEE">
      <w:pPr>
        <w:pStyle w:val="Heading2"/>
        <w:numPr>
          <w:ilvl w:val="1"/>
          <w:numId w:val="1"/>
        </w:numPr>
        <w:rPr>
          <w:lang w:val="en-CA"/>
        </w:rPr>
      </w:pPr>
      <w:r w:rsidRPr="00AD032C">
        <w:rPr>
          <w:lang w:val="en-CA"/>
        </w:rPr>
        <w:t>Twelve LVC countries to completely phase out HCFCs between 2020 and 20</w:t>
      </w:r>
      <w:r>
        <w:rPr>
          <w:lang w:val="en-CA"/>
        </w:rPr>
        <w:t>2</w:t>
      </w:r>
      <w:r w:rsidRPr="00AD032C">
        <w:rPr>
          <w:lang w:val="en-CA"/>
        </w:rPr>
        <w:t>5 (Bhutan, Cambodia, Croatia</w:t>
      </w:r>
      <w:r w:rsidRPr="00AD032C">
        <w:rPr>
          <w:rStyle w:val="FootnoteReference"/>
          <w:lang w:val="en-CA"/>
        </w:rPr>
        <w:footnoteReference w:id="23"/>
      </w:r>
      <w:r w:rsidRPr="00AD032C">
        <w:rPr>
          <w:lang w:val="en-CA"/>
        </w:rPr>
        <w:t>, Guyana, Kenya, Kyrgyzstan, Maldives, Mauritius, Namibia, Papua New Guinea, Saint Vincent and the Grenadines, and Seychelles).</w:t>
      </w:r>
    </w:p>
    <w:p w14:paraId="2D75CC34" w14:textId="1370BCFF" w:rsidR="00502FEE" w:rsidRPr="00AD032C" w:rsidRDefault="00502FEE" w:rsidP="00502FEE">
      <w:pPr>
        <w:pStyle w:val="Heading1"/>
        <w:rPr>
          <w:lang w:val="en-CA"/>
        </w:rPr>
      </w:pPr>
      <w:r w:rsidRPr="00AD032C">
        <w:rPr>
          <w:lang w:val="en-CA"/>
        </w:rPr>
        <w:lastRenderedPageBreak/>
        <w:t xml:space="preserve">Implementation of </w:t>
      </w:r>
      <w:r>
        <w:rPr>
          <w:lang w:val="en-CA"/>
        </w:rPr>
        <w:t xml:space="preserve">the </w:t>
      </w:r>
      <w:r w:rsidRPr="00AD032C">
        <w:rPr>
          <w:lang w:val="en-CA"/>
        </w:rPr>
        <w:t xml:space="preserve">approved HPMPs will result in the phase-out </w:t>
      </w:r>
      <w:r>
        <w:rPr>
          <w:lang w:val="en-CA"/>
        </w:rPr>
        <w:t xml:space="preserve">of over </w:t>
      </w:r>
      <w:r w:rsidRPr="00AD032C">
        <w:rPr>
          <w:lang w:val="en-CA"/>
        </w:rPr>
        <w:t>6</w:t>
      </w:r>
      <w:r>
        <w:rPr>
          <w:lang w:val="en-CA"/>
        </w:rPr>
        <w:t>1</w:t>
      </w:r>
      <w:r w:rsidRPr="00AD032C">
        <w:rPr>
          <w:lang w:val="en-CA"/>
        </w:rPr>
        <w:t> per cent of the starting point for aggregate reduction of HCFC consumption and 8</w:t>
      </w:r>
      <w:r>
        <w:rPr>
          <w:lang w:val="en-CA"/>
        </w:rPr>
        <w:t>5</w:t>
      </w:r>
      <w:r w:rsidRPr="00AD032C">
        <w:rPr>
          <w:lang w:val="en-CA"/>
        </w:rPr>
        <w:t> per cent of the consumption of HCFC</w:t>
      </w:r>
      <w:r w:rsidRPr="00AD032C">
        <w:rPr>
          <w:lang w:val="en-CA"/>
        </w:rPr>
        <w:noBreakHyphen/>
        <w:t>141b contained in imported pre-blended polyols</w:t>
      </w:r>
      <w:r>
        <w:rPr>
          <w:lang w:val="en-CA"/>
        </w:rPr>
        <w:t xml:space="preserve">, as </w:t>
      </w:r>
      <w:r w:rsidRPr="00936884">
        <w:rPr>
          <w:lang w:val="en-CA"/>
        </w:rPr>
        <w:t>shown in Table </w:t>
      </w:r>
      <w:r w:rsidR="00DA4013" w:rsidRPr="00936884">
        <w:rPr>
          <w:lang w:val="en-CA"/>
        </w:rPr>
        <w:t>8</w:t>
      </w:r>
      <w:r w:rsidRPr="00936884">
        <w:rPr>
          <w:lang w:val="en-CA"/>
        </w:rPr>
        <w:t>.</w:t>
      </w:r>
    </w:p>
    <w:p w14:paraId="1B27B6D7" w14:textId="5544BBE5" w:rsidR="00502FEE" w:rsidRPr="00AD032C" w:rsidRDefault="00502FEE" w:rsidP="00502FEE">
      <w:pPr>
        <w:keepNext/>
        <w:rPr>
          <w:b/>
          <w:lang w:val="en-CA"/>
        </w:rPr>
      </w:pPr>
      <w:r w:rsidRPr="00936884">
        <w:rPr>
          <w:b/>
          <w:lang w:val="en-CA"/>
        </w:rPr>
        <w:t xml:space="preserve">Table </w:t>
      </w:r>
      <w:r w:rsidR="00DA4013" w:rsidRPr="00936884">
        <w:rPr>
          <w:b/>
          <w:lang w:val="en-CA"/>
        </w:rPr>
        <w:t>8</w:t>
      </w:r>
      <w:r w:rsidRPr="00936884">
        <w:rPr>
          <w:b/>
          <w:lang w:val="en-CA"/>
        </w:rPr>
        <w:t>. Total</w:t>
      </w:r>
      <w:r w:rsidRPr="00AD032C">
        <w:rPr>
          <w:b/>
          <w:lang w:val="en-CA"/>
        </w:rPr>
        <w:t xml:space="preserve"> remaining HCFC consumption by substance (ODP </w:t>
      </w:r>
      <w:proofErr w:type="gramStart"/>
      <w:r w:rsidRPr="00AD032C">
        <w:rPr>
          <w:b/>
          <w:lang w:val="en-CA"/>
        </w:rPr>
        <w:t>tonnes)*</w:t>
      </w:r>
      <w:proofErr w:type="gramEnd"/>
    </w:p>
    <w:tbl>
      <w:tblPr>
        <w:tblW w:w="9356" w:type="dxa"/>
        <w:tblInd w:w="-5" w:type="dxa"/>
        <w:tblLayout w:type="fixed"/>
        <w:tblLook w:val="04A0" w:firstRow="1" w:lastRow="0" w:firstColumn="1" w:lastColumn="0" w:noHBand="0" w:noVBand="1"/>
      </w:tblPr>
      <w:tblGrid>
        <w:gridCol w:w="1985"/>
        <w:gridCol w:w="1474"/>
        <w:gridCol w:w="1474"/>
        <w:gridCol w:w="1474"/>
        <w:gridCol w:w="1474"/>
        <w:gridCol w:w="1475"/>
      </w:tblGrid>
      <w:tr w:rsidR="00502FEE" w:rsidRPr="00AD032C" w14:paraId="751787E5" w14:textId="77777777" w:rsidTr="000E7A06">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E28AD" w14:textId="77777777" w:rsidR="00502FEE" w:rsidRPr="00F026F6" w:rsidRDefault="00502FEE" w:rsidP="000E7A06">
            <w:pPr>
              <w:jc w:val="left"/>
              <w:rPr>
                <w:b/>
                <w:bCs/>
                <w:sz w:val="20"/>
                <w:szCs w:val="20"/>
                <w:lang w:val="en-CA" w:eastAsia="en-CA"/>
              </w:rPr>
            </w:pPr>
            <w:r w:rsidRPr="00F026F6">
              <w:rPr>
                <w:b/>
                <w:bCs/>
                <w:sz w:val="20"/>
                <w:szCs w:val="20"/>
                <w:lang w:val="en-CA" w:eastAsia="en-CA"/>
              </w:rPr>
              <w:t>HCFC</w:t>
            </w:r>
          </w:p>
        </w:tc>
        <w:tc>
          <w:tcPr>
            <w:tcW w:w="1474"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78B5522" w14:textId="77777777" w:rsidR="00502FEE" w:rsidRPr="00F026F6" w:rsidRDefault="00502FEE" w:rsidP="000E7A06">
            <w:pPr>
              <w:jc w:val="center"/>
              <w:rPr>
                <w:b/>
                <w:bCs/>
                <w:sz w:val="20"/>
                <w:szCs w:val="20"/>
                <w:lang w:val="en-CA" w:eastAsia="en-CA"/>
              </w:rPr>
            </w:pPr>
            <w:r w:rsidRPr="00F026F6">
              <w:rPr>
                <w:b/>
                <w:bCs/>
                <w:sz w:val="20"/>
                <w:szCs w:val="20"/>
                <w:lang w:val="en-CA" w:eastAsia="en-CA"/>
              </w:rPr>
              <w:t>Baseline</w:t>
            </w:r>
          </w:p>
        </w:tc>
        <w:tc>
          <w:tcPr>
            <w:tcW w:w="1474"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74DBC7C" w14:textId="77777777" w:rsidR="00502FEE" w:rsidRPr="00F026F6" w:rsidRDefault="00502FEE" w:rsidP="000E7A06">
            <w:pPr>
              <w:jc w:val="center"/>
              <w:rPr>
                <w:b/>
                <w:bCs/>
                <w:sz w:val="20"/>
                <w:szCs w:val="20"/>
                <w:lang w:val="en-CA" w:eastAsia="en-CA"/>
              </w:rPr>
            </w:pPr>
            <w:r w:rsidRPr="00F026F6">
              <w:rPr>
                <w:b/>
                <w:bCs/>
                <w:sz w:val="20"/>
                <w:szCs w:val="20"/>
                <w:lang w:val="en-CA" w:eastAsia="en-CA"/>
              </w:rPr>
              <w:t>Starting point</w:t>
            </w:r>
          </w:p>
        </w:tc>
        <w:tc>
          <w:tcPr>
            <w:tcW w:w="1474"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C44D7A8" w14:textId="77777777" w:rsidR="00502FEE" w:rsidRPr="00F026F6" w:rsidRDefault="00502FEE" w:rsidP="000E7A06">
            <w:pPr>
              <w:jc w:val="center"/>
              <w:rPr>
                <w:b/>
                <w:bCs/>
                <w:sz w:val="20"/>
                <w:szCs w:val="20"/>
                <w:lang w:val="en-CA" w:eastAsia="en-CA"/>
              </w:rPr>
            </w:pPr>
            <w:r w:rsidRPr="00F026F6">
              <w:rPr>
                <w:b/>
                <w:bCs/>
                <w:sz w:val="20"/>
                <w:szCs w:val="20"/>
                <w:lang w:val="en-CA" w:eastAsia="en-CA"/>
              </w:rPr>
              <w:t>Approved</w:t>
            </w:r>
          </w:p>
        </w:tc>
        <w:tc>
          <w:tcPr>
            <w:tcW w:w="1474"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8123679" w14:textId="77777777" w:rsidR="00502FEE" w:rsidRPr="00F026F6" w:rsidRDefault="00502FEE" w:rsidP="000E7A06">
            <w:pPr>
              <w:jc w:val="center"/>
              <w:rPr>
                <w:b/>
                <w:bCs/>
                <w:sz w:val="20"/>
                <w:szCs w:val="20"/>
                <w:lang w:val="en-CA" w:eastAsia="en-CA"/>
              </w:rPr>
            </w:pPr>
            <w:r w:rsidRPr="00F026F6">
              <w:rPr>
                <w:b/>
                <w:bCs/>
                <w:sz w:val="20"/>
                <w:szCs w:val="20"/>
                <w:lang w:val="en-CA" w:eastAsia="en-CA"/>
              </w:rPr>
              <w:t>Remaining</w:t>
            </w:r>
          </w:p>
        </w:tc>
        <w:tc>
          <w:tcPr>
            <w:tcW w:w="147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DC0B61E" w14:textId="77777777" w:rsidR="00502FEE" w:rsidRPr="00F026F6" w:rsidRDefault="00502FEE" w:rsidP="000E7A06">
            <w:pPr>
              <w:jc w:val="center"/>
              <w:rPr>
                <w:b/>
                <w:bCs/>
                <w:sz w:val="20"/>
                <w:szCs w:val="20"/>
                <w:lang w:val="en-CA" w:eastAsia="en-CA"/>
              </w:rPr>
            </w:pPr>
            <w:r w:rsidRPr="00F026F6">
              <w:rPr>
                <w:b/>
                <w:bCs/>
                <w:sz w:val="20"/>
                <w:szCs w:val="20"/>
                <w:lang w:val="en-CA" w:eastAsia="en-CA"/>
              </w:rPr>
              <w:t>% of approved</w:t>
            </w:r>
          </w:p>
        </w:tc>
      </w:tr>
      <w:tr w:rsidR="00502FEE" w:rsidRPr="00AD032C" w14:paraId="436D3048" w14:textId="77777777" w:rsidTr="000E7A06">
        <w:tc>
          <w:tcPr>
            <w:tcW w:w="1985" w:type="dxa"/>
            <w:tcBorders>
              <w:top w:val="nil"/>
              <w:left w:val="single" w:sz="4" w:space="0" w:color="auto"/>
              <w:bottom w:val="single" w:sz="4" w:space="0" w:color="auto"/>
              <w:right w:val="single" w:sz="4" w:space="0" w:color="auto"/>
            </w:tcBorders>
            <w:shd w:val="clear" w:color="auto" w:fill="auto"/>
            <w:noWrap/>
            <w:hideMark/>
          </w:tcPr>
          <w:p w14:paraId="22C544B8" w14:textId="77777777" w:rsidR="00502FEE" w:rsidRPr="00F026F6" w:rsidRDefault="00502FEE" w:rsidP="000E7A06">
            <w:pPr>
              <w:rPr>
                <w:sz w:val="20"/>
                <w:szCs w:val="20"/>
              </w:rPr>
            </w:pPr>
            <w:r w:rsidRPr="00F026F6">
              <w:rPr>
                <w:sz w:val="20"/>
                <w:szCs w:val="20"/>
              </w:rPr>
              <w:t>HCFC-123</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04EA094F" w14:textId="77777777" w:rsidR="00502FEE" w:rsidRPr="00F026F6" w:rsidRDefault="00502FEE" w:rsidP="000E7A06">
            <w:pPr>
              <w:jc w:val="right"/>
              <w:rPr>
                <w:sz w:val="20"/>
                <w:szCs w:val="20"/>
              </w:rPr>
            </w:pPr>
            <w:r w:rsidRPr="00F026F6">
              <w:rPr>
                <w:sz w:val="20"/>
                <w:szCs w:val="20"/>
              </w:rPr>
              <w:t>32.22</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2173D399" w14:textId="77777777" w:rsidR="00502FEE" w:rsidRPr="00F026F6" w:rsidRDefault="00502FEE" w:rsidP="000E7A06">
            <w:pPr>
              <w:jc w:val="right"/>
              <w:rPr>
                <w:sz w:val="20"/>
                <w:szCs w:val="20"/>
              </w:rPr>
            </w:pPr>
            <w:r w:rsidRPr="00F026F6">
              <w:rPr>
                <w:sz w:val="20"/>
                <w:szCs w:val="20"/>
              </w:rPr>
              <w:t>30.25</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73895B63" w14:textId="77777777" w:rsidR="00502FEE" w:rsidRPr="00F026F6" w:rsidRDefault="00502FEE" w:rsidP="000E7A06">
            <w:pPr>
              <w:jc w:val="right"/>
              <w:rPr>
                <w:sz w:val="20"/>
                <w:szCs w:val="20"/>
              </w:rPr>
            </w:pPr>
            <w:r w:rsidRPr="00F026F6">
              <w:rPr>
                <w:sz w:val="20"/>
                <w:szCs w:val="20"/>
              </w:rPr>
              <w:t>3.12</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7783D7C0" w14:textId="77777777" w:rsidR="00502FEE" w:rsidRPr="00F026F6" w:rsidRDefault="00502FEE" w:rsidP="000E7A06">
            <w:pPr>
              <w:jc w:val="right"/>
              <w:rPr>
                <w:sz w:val="20"/>
                <w:szCs w:val="20"/>
              </w:rPr>
            </w:pPr>
            <w:r w:rsidRPr="00F026F6">
              <w:rPr>
                <w:sz w:val="20"/>
                <w:szCs w:val="20"/>
              </w:rPr>
              <w:t>27.13</w:t>
            </w:r>
          </w:p>
        </w:tc>
        <w:tc>
          <w:tcPr>
            <w:tcW w:w="1475" w:type="dxa"/>
            <w:tcBorders>
              <w:top w:val="nil"/>
              <w:left w:val="nil"/>
              <w:bottom w:val="single" w:sz="4" w:space="0" w:color="auto"/>
              <w:right w:val="single" w:sz="4" w:space="0" w:color="auto"/>
            </w:tcBorders>
            <w:shd w:val="clear" w:color="auto" w:fill="auto"/>
            <w:noWrap/>
            <w:tcMar>
              <w:left w:w="115" w:type="dxa"/>
              <w:right w:w="216" w:type="dxa"/>
            </w:tcMar>
            <w:hideMark/>
          </w:tcPr>
          <w:p w14:paraId="17F8EB72" w14:textId="77777777" w:rsidR="00502FEE" w:rsidRPr="00F026F6" w:rsidRDefault="00502FEE" w:rsidP="000E7A06">
            <w:pPr>
              <w:jc w:val="right"/>
              <w:rPr>
                <w:sz w:val="20"/>
                <w:szCs w:val="20"/>
              </w:rPr>
            </w:pPr>
            <w:r w:rsidRPr="00F026F6">
              <w:rPr>
                <w:sz w:val="20"/>
                <w:szCs w:val="20"/>
              </w:rPr>
              <w:t>10.31</w:t>
            </w:r>
          </w:p>
        </w:tc>
      </w:tr>
      <w:tr w:rsidR="00502FEE" w:rsidRPr="00AD032C" w14:paraId="4C55E063" w14:textId="77777777" w:rsidTr="000E7A06">
        <w:tc>
          <w:tcPr>
            <w:tcW w:w="1985" w:type="dxa"/>
            <w:tcBorders>
              <w:top w:val="nil"/>
              <w:left w:val="single" w:sz="4" w:space="0" w:color="auto"/>
              <w:bottom w:val="single" w:sz="4" w:space="0" w:color="auto"/>
              <w:right w:val="single" w:sz="4" w:space="0" w:color="auto"/>
            </w:tcBorders>
            <w:shd w:val="clear" w:color="auto" w:fill="auto"/>
            <w:noWrap/>
            <w:hideMark/>
          </w:tcPr>
          <w:p w14:paraId="4EE21904" w14:textId="77777777" w:rsidR="00502FEE" w:rsidRPr="00F026F6" w:rsidRDefault="00502FEE" w:rsidP="000E7A06">
            <w:pPr>
              <w:rPr>
                <w:sz w:val="20"/>
                <w:szCs w:val="20"/>
              </w:rPr>
            </w:pPr>
            <w:r w:rsidRPr="00F026F6">
              <w:rPr>
                <w:sz w:val="20"/>
                <w:szCs w:val="20"/>
              </w:rPr>
              <w:t>HCFC-124</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52E686A5" w14:textId="77777777" w:rsidR="00502FEE" w:rsidRPr="00F026F6" w:rsidRDefault="00502FEE" w:rsidP="000E7A06">
            <w:pPr>
              <w:jc w:val="right"/>
              <w:rPr>
                <w:sz w:val="20"/>
                <w:szCs w:val="20"/>
              </w:rPr>
            </w:pPr>
            <w:r w:rsidRPr="00F026F6">
              <w:rPr>
                <w:sz w:val="20"/>
                <w:szCs w:val="20"/>
              </w:rPr>
              <w:t>26.57</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70C839C3" w14:textId="77777777" w:rsidR="00502FEE" w:rsidRPr="00F026F6" w:rsidRDefault="00502FEE" w:rsidP="000E7A06">
            <w:pPr>
              <w:jc w:val="right"/>
              <w:rPr>
                <w:sz w:val="20"/>
                <w:szCs w:val="20"/>
              </w:rPr>
            </w:pPr>
            <w:r w:rsidRPr="00F026F6">
              <w:rPr>
                <w:sz w:val="20"/>
                <w:szCs w:val="20"/>
              </w:rPr>
              <w:t>26.20</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4C5CD52A" w14:textId="77777777" w:rsidR="00502FEE" w:rsidRPr="00F026F6" w:rsidRDefault="00502FEE" w:rsidP="000E7A06">
            <w:pPr>
              <w:jc w:val="right"/>
              <w:rPr>
                <w:sz w:val="20"/>
                <w:szCs w:val="20"/>
              </w:rPr>
            </w:pPr>
            <w:r w:rsidRPr="00F026F6">
              <w:rPr>
                <w:sz w:val="20"/>
                <w:szCs w:val="20"/>
              </w:rPr>
              <w:t>0.49</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206A98AE" w14:textId="77777777" w:rsidR="00502FEE" w:rsidRPr="00F026F6" w:rsidRDefault="00502FEE" w:rsidP="000E7A06">
            <w:pPr>
              <w:jc w:val="right"/>
              <w:rPr>
                <w:sz w:val="20"/>
                <w:szCs w:val="20"/>
              </w:rPr>
            </w:pPr>
            <w:r w:rsidRPr="00F026F6">
              <w:rPr>
                <w:sz w:val="20"/>
                <w:szCs w:val="20"/>
              </w:rPr>
              <w:t>25.71</w:t>
            </w:r>
          </w:p>
        </w:tc>
        <w:tc>
          <w:tcPr>
            <w:tcW w:w="1475" w:type="dxa"/>
            <w:tcBorders>
              <w:top w:val="nil"/>
              <w:left w:val="nil"/>
              <w:bottom w:val="single" w:sz="4" w:space="0" w:color="auto"/>
              <w:right w:val="single" w:sz="4" w:space="0" w:color="auto"/>
            </w:tcBorders>
            <w:shd w:val="clear" w:color="auto" w:fill="auto"/>
            <w:noWrap/>
            <w:tcMar>
              <w:left w:w="115" w:type="dxa"/>
              <w:right w:w="216" w:type="dxa"/>
            </w:tcMar>
            <w:hideMark/>
          </w:tcPr>
          <w:p w14:paraId="34701EAF" w14:textId="77777777" w:rsidR="00502FEE" w:rsidRPr="00F026F6" w:rsidRDefault="00502FEE" w:rsidP="000E7A06">
            <w:pPr>
              <w:jc w:val="right"/>
              <w:rPr>
                <w:sz w:val="20"/>
                <w:szCs w:val="20"/>
              </w:rPr>
            </w:pPr>
            <w:r w:rsidRPr="00F026F6">
              <w:rPr>
                <w:sz w:val="20"/>
                <w:szCs w:val="20"/>
              </w:rPr>
              <w:t>1.87</w:t>
            </w:r>
          </w:p>
        </w:tc>
      </w:tr>
      <w:tr w:rsidR="00502FEE" w:rsidRPr="00AD032C" w14:paraId="6581BCC8" w14:textId="77777777" w:rsidTr="000E7A06">
        <w:tc>
          <w:tcPr>
            <w:tcW w:w="1985" w:type="dxa"/>
            <w:tcBorders>
              <w:top w:val="nil"/>
              <w:left w:val="single" w:sz="4" w:space="0" w:color="auto"/>
              <w:bottom w:val="single" w:sz="4" w:space="0" w:color="auto"/>
              <w:right w:val="single" w:sz="4" w:space="0" w:color="auto"/>
            </w:tcBorders>
            <w:shd w:val="clear" w:color="auto" w:fill="auto"/>
            <w:noWrap/>
            <w:hideMark/>
          </w:tcPr>
          <w:p w14:paraId="158E1461" w14:textId="77777777" w:rsidR="00502FEE" w:rsidRPr="00F026F6" w:rsidRDefault="00502FEE" w:rsidP="000E7A06">
            <w:pPr>
              <w:rPr>
                <w:sz w:val="20"/>
                <w:szCs w:val="20"/>
              </w:rPr>
            </w:pPr>
            <w:r w:rsidRPr="00F026F6">
              <w:rPr>
                <w:sz w:val="20"/>
                <w:szCs w:val="20"/>
              </w:rPr>
              <w:t>HCFC-141</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06B07B9F" w14:textId="77777777" w:rsidR="00502FEE" w:rsidRPr="00F026F6" w:rsidRDefault="00502FEE" w:rsidP="000E7A06">
            <w:pPr>
              <w:jc w:val="right"/>
              <w:rPr>
                <w:sz w:val="20"/>
                <w:szCs w:val="20"/>
              </w:rPr>
            </w:pPr>
            <w:r w:rsidRPr="00F026F6">
              <w:rPr>
                <w:sz w:val="20"/>
                <w:szCs w:val="20"/>
              </w:rPr>
              <w:t>1.90</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3B8346F2" w14:textId="77777777" w:rsidR="00502FEE" w:rsidRPr="00F026F6" w:rsidRDefault="00502FEE" w:rsidP="000E7A06">
            <w:pPr>
              <w:jc w:val="right"/>
              <w:rPr>
                <w:sz w:val="20"/>
                <w:szCs w:val="20"/>
              </w:rPr>
            </w:pPr>
            <w:r w:rsidRPr="00F026F6">
              <w:rPr>
                <w:sz w:val="20"/>
                <w:szCs w:val="20"/>
              </w:rPr>
              <w:t>0.94</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364596FE" w14:textId="77777777" w:rsidR="00502FEE" w:rsidRPr="00F026F6" w:rsidRDefault="00502FEE" w:rsidP="000E7A06">
            <w:pPr>
              <w:jc w:val="right"/>
              <w:rPr>
                <w:sz w:val="20"/>
                <w:szCs w:val="20"/>
              </w:rPr>
            </w:pPr>
            <w:r w:rsidRPr="00F026F6">
              <w:rPr>
                <w:sz w:val="20"/>
                <w:szCs w:val="20"/>
              </w:rPr>
              <w:t>0.94</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26BE6963" w14:textId="77777777" w:rsidR="00502FEE" w:rsidRPr="00F026F6" w:rsidRDefault="00502FEE" w:rsidP="000E7A06">
            <w:pPr>
              <w:jc w:val="right"/>
              <w:rPr>
                <w:sz w:val="20"/>
                <w:szCs w:val="20"/>
              </w:rPr>
            </w:pPr>
            <w:r>
              <w:rPr>
                <w:sz w:val="20"/>
                <w:szCs w:val="20"/>
              </w:rPr>
              <w:t>0.00</w:t>
            </w:r>
          </w:p>
        </w:tc>
        <w:tc>
          <w:tcPr>
            <w:tcW w:w="1475" w:type="dxa"/>
            <w:tcBorders>
              <w:top w:val="nil"/>
              <w:left w:val="nil"/>
              <w:bottom w:val="single" w:sz="4" w:space="0" w:color="auto"/>
              <w:right w:val="single" w:sz="4" w:space="0" w:color="auto"/>
            </w:tcBorders>
            <w:shd w:val="clear" w:color="auto" w:fill="auto"/>
            <w:noWrap/>
            <w:tcMar>
              <w:left w:w="115" w:type="dxa"/>
              <w:right w:w="216" w:type="dxa"/>
            </w:tcMar>
            <w:hideMark/>
          </w:tcPr>
          <w:p w14:paraId="71DDD001" w14:textId="77777777" w:rsidR="00502FEE" w:rsidRPr="00F026F6" w:rsidRDefault="00502FEE" w:rsidP="000E7A06">
            <w:pPr>
              <w:jc w:val="right"/>
              <w:rPr>
                <w:sz w:val="20"/>
                <w:szCs w:val="20"/>
              </w:rPr>
            </w:pPr>
            <w:r w:rsidRPr="00F026F6">
              <w:rPr>
                <w:sz w:val="20"/>
                <w:szCs w:val="20"/>
              </w:rPr>
              <w:t>100.00</w:t>
            </w:r>
          </w:p>
        </w:tc>
      </w:tr>
      <w:tr w:rsidR="00502FEE" w:rsidRPr="00AD032C" w14:paraId="02A9773B" w14:textId="77777777" w:rsidTr="000E7A06">
        <w:tc>
          <w:tcPr>
            <w:tcW w:w="1985" w:type="dxa"/>
            <w:tcBorders>
              <w:top w:val="nil"/>
              <w:left w:val="single" w:sz="4" w:space="0" w:color="auto"/>
              <w:bottom w:val="single" w:sz="4" w:space="0" w:color="auto"/>
              <w:right w:val="single" w:sz="4" w:space="0" w:color="auto"/>
            </w:tcBorders>
            <w:shd w:val="clear" w:color="auto" w:fill="auto"/>
            <w:noWrap/>
            <w:hideMark/>
          </w:tcPr>
          <w:p w14:paraId="3D343FC4" w14:textId="77777777" w:rsidR="00502FEE" w:rsidRPr="00F026F6" w:rsidRDefault="00502FEE" w:rsidP="000E7A06">
            <w:pPr>
              <w:rPr>
                <w:sz w:val="20"/>
                <w:szCs w:val="20"/>
              </w:rPr>
            </w:pPr>
            <w:r w:rsidRPr="00F026F6">
              <w:rPr>
                <w:sz w:val="20"/>
                <w:szCs w:val="20"/>
              </w:rPr>
              <w:t>HCFC-141b</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187F0664" w14:textId="77777777" w:rsidR="00502FEE" w:rsidRPr="00F026F6" w:rsidRDefault="00502FEE" w:rsidP="000E7A06">
            <w:pPr>
              <w:jc w:val="right"/>
              <w:rPr>
                <w:sz w:val="20"/>
                <w:szCs w:val="20"/>
              </w:rPr>
            </w:pPr>
            <w:r w:rsidRPr="00F026F6">
              <w:rPr>
                <w:sz w:val="20"/>
                <w:szCs w:val="20"/>
              </w:rPr>
              <w:t>10,680.79</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5C24E90B" w14:textId="77777777" w:rsidR="00502FEE" w:rsidRPr="00F026F6" w:rsidRDefault="00502FEE" w:rsidP="000E7A06">
            <w:pPr>
              <w:jc w:val="right"/>
              <w:rPr>
                <w:sz w:val="20"/>
                <w:szCs w:val="20"/>
              </w:rPr>
            </w:pPr>
            <w:r w:rsidRPr="00F026F6">
              <w:rPr>
                <w:sz w:val="20"/>
                <w:szCs w:val="20"/>
              </w:rPr>
              <w:t>10,677.15</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0F0D261D" w14:textId="77777777" w:rsidR="00502FEE" w:rsidRPr="00F026F6" w:rsidRDefault="00502FEE" w:rsidP="000E7A06">
            <w:pPr>
              <w:jc w:val="right"/>
              <w:rPr>
                <w:sz w:val="20"/>
                <w:szCs w:val="20"/>
              </w:rPr>
            </w:pPr>
            <w:r w:rsidRPr="00F026F6">
              <w:rPr>
                <w:sz w:val="20"/>
                <w:szCs w:val="20"/>
              </w:rPr>
              <w:t>10,572.20</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067BD538" w14:textId="77777777" w:rsidR="00502FEE" w:rsidRPr="00F026F6" w:rsidRDefault="00502FEE" w:rsidP="000E7A06">
            <w:pPr>
              <w:jc w:val="right"/>
              <w:rPr>
                <w:sz w:val="20"/>
                <w:szCs w:val="20"/>
              </w:rPr>
            </w:pPr>
            <w:r w:rsidRPr="00F026F6">
              <w:rPr>
                <w:sz w:val="20"/>
                <w:szCs w:val="20"/>
              </w:rPr>
              <w:t>104.95</w:t>
            </w:r>
          </w:p>
        </w:tc>
        <w:tc>
          <w:tcPr>
            <w:tcW w:w="1475" w:type="dxa"/>
            <w:tcBorders>
              <w:top w:val="nil"/>
              <w:left w:val="nil"/>
              <w:bottom w:val="single" w:sz="4" w:space="0" w:color="auto"/>
              <w:right w:val="single" w:sz="4" w:space="0" w:color="auto"/>
            </w:tcBorders>
            <w:shd w:val="clear" w:color="auto" w:fill="auto"/>
            <w:noWrap/>
            <w:tcMar>
              <w:left w:w="115" w:type="dxa"/>
              <w:right w:w="216" w:type="dxa"/>
            </w:tcMar>
            <w:hideMark/>
          </w:tcPr>
          <w:p w14:paraId="57AF7F0A" w14:textId="77777777" w:rsidR="00502FEE" w:rsidRPr="00F026F6" w:rsidRDefault="00502FEE" w:rsidP="000E7A06">
            <w:pPr>
              <w:jc w:val="right"/>
              <w:rPr>
                <w:sz w:val="20"/>
                <w:szCs w:val="20"/>
              </w:rPr>
            </w:pPr>
            <w:r w:rsidRPr="00F026F6">
              <w:rPr>
                <w:sz w:val="20"/>
                <w:szCs w:val="20"/>
              </w:rPr>
              <w:t>99.02</w:t>
            </w:r>
          </w:p>
        </w:tc>
      </w:tr>
      <w:tr w:rsidR="00502FEE" w:rsidRPr="00AD032C" w14:paraId="6959B7FE" w14:textId="77777777" w:rsidTr="000E7A06">
        <w:tc>
          <w:tcPr>
            <w:tcW w:w="1985" w:type="dxa"/>
            <w:tcBorders>
              <w:top w:val="nil"/>
              <w:left w:val="single" w:sz="4" w:space="0" w:color="auto"/>
              <w:bottom w:val="single" w:sz="4" w:space="0" w:color="auto"/>
              <w:right w:val="single" w:sz="4" w:space="0" w:color="auto"/>
            </w:tcBorders>
            <w:shd w:val="clear" w:color="auto" w:fill="auto"/>
            <w:noWrap/>
            <w:hideMark/>
          </w:tcPr>
          <w:p w14:paraId="3A4FC8AF" w14:textId="77777777" w:rsidR="00502FEE" w:rsidRPr="00F026F6" w:rsidRDefault="00502FEE" w:rsidP="000E7A06">
            <w:pPr>
              <w:rPr>
                <w:sz w:val="20"/>
                <w:szCs w:val="20"/>
              </w:rPr>
            </w:pPr>
            <w:r w:rsidRPr="00F026F6">
              <w:rPr>
                <w:sz w:val="20"/>
                <w:szCs w:val="20"/>
              </w:rPr>
              <w:t>HCFC-142b</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21D2A889" w14:textId="77777777" w:rsidR="00502FEE" w:rsidRPr="00F026F6" w:rsidRDefault="00502FEE" w:rsidP="000E7A06">
            <w:pPr>
              <w:jc w:val="right"/>
              <w:rPr>
                <w:sz w:val="20"/>
                <w:szCs w:val="20"/>
              </w:rPr>
            </w:pPr>
            <w:r w:rsidRPr="00F026F6">
              <w:rPr>
                <w:sz w:val="20"/>
                <w:szCs w:val="20"/>
              </w:rPr>
              <w:t>1,996.91</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29985AC6" w14:textId="77777777" w:rsidR="00502FEE" w:rsidRPr="00F026F6" w:rsidRDefault="00502FEE" w:rsidP="000E7A06">
            <w:pPr>
              <w:jc w:val="right"/>
              <w:rPr>
                <w:sz w:val="20"/>
                <w:szCs w:val="20"/>
              </w:rPr>
            </w:pPr>
            <w:r w:rsidRPr="00F026F6">
              <w:rPr>
                <w:sz w:val="20"/>
                <w:szCs w:val="20"/>
              </w:rPr>
              <w:t>2,016.79</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54DF30F3" w14:textId="77777777" w:rsidR="00502FEE" w:rsidRPr="00F026F6" w:rsidRDefault="00502FEE" w:rsidP="000E7A06">
            <w:pPr>
              <w:jc w:val="right"/>
              <w:rPr>
                <w:sz w:val="20"/>
                <w:szCs w:val="20"/>
              </w:rPr>
            </w:pPr>
            <w:r w:rsidRPr="00F026F6">
              <w:rPr>
                <w:sz w:val="20"/>
                <w:szCs w:val="20"/>
              </w:rPr>
              <w:t>1,290.01</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1165BE03" w14:textId="77777777" w:rsidR="00502FEE" w:rsidRPr="00F026F6" w:rsidRDefault="00502FEE" w:rsidP="000E7A06">
            <w:pPr>
              <w:jc w:val="right"/>
              <w:rPr>
                <w:sz w:val="20"/>
                <w:szCs w:val="20"/>
              </w:rPr>
            </w:pPr>
            <w:r w:rsidRPr="00F026F6">
              <w:rPr>
                <w:sz w:val="20"/>
                <w:szCs w:val="20"/>
              </w:rPr>
              <w:t>726.78</w:t>
            </w:r>
          </w:p>
        </w:tc>
        <w:tc>
          <w:tcPr>
            <w:tcW w:w="1475" w:type="dxa"/>
            <w:tcBorders>
              <w:top w:val="nil"/>
              <w:left w:val="nil"/>
              <w:bottom w:val="single" w:sz="4" w:space="0" w:color="auto"/>
              <w:right w:val="single" w:sz="4" w:space="0" w:color="auto"/>
            </w:tcBorders>
            <w:shd w:val="clear" w:color="auto" w:fill="auto"/>
            <w:noWrap/>
            <w:tcMar>
              <w:left w:w="115" w:type="dxa"/>
              <w:right w:w="216" w:type="dxa"/>
            </w:tcMar>
            <w:hideMark/>
          </w:tcPr>
          <w:p w14:paraId="07372381" w14:textId="77777777" w:rsidR="00502FEE" w:rsidRPr="00F026F6" w:rsidRDefault="00502FEE" w:rsidP="000E7A06">
            <w:pPr>
              <w:jc w:val="right"/>
              <w:rPr>
                <w:sz w:val="20"/>
                <w:szCs w:val="20"/>
              </w:rPr>
            </w:pPr>
            <w:r w:rsidRPr="00F026F6">
              <w:rPr>
                <w:sz w:val="20"/>
                <w:szCs w:val="20"/>
              </w:rPr>
              <w:t>63.96</w:t>
            </w:r>
          </w:p>
        </w:tc>
      </w:tr>
      <w:tr w:rsidR="00502FEE" w:rsidRPr="00AD032C" w14:paraId="0ED88615" w14:textId="77777777" w:rsidTr="000E7A06">
        <w:tc>
          <w:tcPr>
            <w:tcW w:w="1985" w:type="dxa"/>
            <w:tcBorders>
              <w:top w:val="nil"/>
              <w:left w:val="single" w:sz="4" w:space="0" w:color="auto"/>
              <w:bottom w:val="single" w:sz="4" w:space="0" w:color="auto"/>
              <w:right w:val="single" w:sz="4" w:space="0" w:color="auto"/>
            </w:tcBorders>
            <w:shd w:val="clear" w:color="auto" w:fill="auto"/>
            <w:noWrap/>
            <w:hideMark/>
          </w:tcPr>
          <w:p w14:paraId="31F48AF4" w14:textId="77777777" w:rsidR="00502FEE" w:rsidRPr="00F026F6" w:rsidRDefault="00502FEE" w:rsidP="000E7A06">
            <w:pPr>
              <w:rPr>
                <w:sz w:val="20"/>
                <w:szCs w:val="20"/>
              </w:rPr>
            </w:pPr>
            <w:r w:rsidRPr="00F026F6">
              <w:rPr>
                <w:sz w:val="20"/>
                <w:szCs w:val="20"/>
              </w:rPr>
              <w:t>HCFC-21</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0D8379E7" w14:textId="77777777" w:rsidR="00502FEE" w:rsidRPr="00F026F6" w:rsidRDefault="00502FEE" w:rsidP="000E7A06">
            <w:pPr>
              <w:jc w:val="right"/>
              <w:rPr>
                <w:sz w:val="20"/>
                <w:szCs w:val="20"/>
              </w:rPr>
            </w:pPr>
            <w:r w:rsidRPr="00F026F6">
              <w:rPr>
                <w:sz w:val="20"/>
                <w:szCs w:val="20"/>
              </w:rPr>
              <w:t>1.50</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07E83C6F" w14:textId="77777777" w:rsidR="00502FEE" w:rsidRPr="00F026F6" w:rsidRDefault="00502FEE" w:rsidP="000E7A06">
            <w:pPr>
              <w:jc w:val="right"/>
              <w:rPr>
                <w:sz w:val="20"/>
                <w:szCs w:val="20"/>
              </w:rPr>
            </w:pPr>
            <w:r w:rsidRPr="00F026F6">
              <w:rPr>
                <w:sz w:val="20"/>
                <w:szCs w:val="20"/>
              </w:rPr>
              <w:t>0.74</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73631390" w14:textId="77777777" w:rsidR="00502FEE" w:rsidRPr="00F026F6" w:rsidRDefault="00502FEE" w:rsidP="000E7A06">
            <w:pPr>
              <w:jc w:val="right"/>
              <w:rPr>
                <w:sz w:val="20"/>
                <w:szCs w:val="20"/>
              </w:rPr>
            </w:pPr>
            <w:r w:rsidRPr="00F026F6">
              <w:rPr>
                <w:sz w:val="20"/>
                <w:szCs w:val="20"/>
              </w:rPr>
              <w:t>0.74</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3AF25FB8" w14:textId="77777777" w:rsidR="00502FEE" w:rsidRPr="00F026F6" w:rsidRDefault="00502FEE" w:rsidP="000E7A06">
            <w:pPr>
              <w:jc w:val="right"/>
              <w:rPr>
                <w:sz w:val="20"/>
                <w:szCs w:val="20"/>
              </w:rPr>
            </w:pPr>
            <w:r>
              <w:rPr>
                <w:sz w:val="20"/>
                <w:szCs w:val="20"/>
              </w:rPr>
              <w:t>0.00</w:t>
            </w:r>
          </w:p>
        </w:tc>
        <w:tc>
          <w:tcPr>
            <w:tcW w:w="1475" w:type="dxa"/>
            <w:tcBorders>
              <w:top w:val="nil"/>
              <w:left w:val="nil"/>
              <w:bottom w:val="single" w:sz="4" w:space="0" w:color="auto"/>
              <w:right w:val="single" w:sz="4" w:space="0" w:color="auto"/>
            </w:tcBorders>
            <w:shd w:val="clear" w:color="auto" w:fill="auto"/>
            <w:noWrap/>
            <w:tcMar>
              <w:left w:w="115" w:type="dxa"/>
              <w:right w:w="216" w:type="dxa"/>
            </w:tcMar>
            <w:hideMark/>
          </w:tcPr>
          <w:p w14:paraId="7F4ED89A" w14:textId="77777777" w:rsidR="00502FEE" w:rsidRPr="00F026F6" w:rsidRDefault="00502FEE" w:rsidP="000E7A06">
            <w:pPr>
              <w:jc w:val="right"/>
              <w:rPr>
                <w:sz w:val="20"/>
                <w:szCs w:val="20"/>
              </w:rPr>
            </w:pPr>
            <w:r w:rsidRPr="00F026F6">
              <w:rPr>
                <w:sz w:val="20"/>
                <w:szCs w:val="20"/>
              </w:rPr>
              <w:t>100.00</w:t>
            </w:r>
          </w:p>
        </w:tc>
      </w:tr>
      <w:tr w:rsidR="00502FEE" w:rsidRPr="00AD032C" w14:paraId="442A0FEE" w14:textId="77777777" w:rsidTr="000E7A06">
        <w:tc>
          <w:tcPr>
            <w:tcW w:w="1985" w:type="dxa"/>
            <w:tcBorders>
              <w:top w:val="nil"/>
              <w:left w:val="single" w:sz="4" w:space="0" w:color="auto"/>
              <w:bottom w:val="single" w:sz="4" w:space="0" w:color="auto"/>
              <w:right w:val="single" w:sz="4" w:space="0" w:color="auto"/>
            </w:tcBorders>
            <w:shd w:val="clear" w:color="auto" w:fill="auto"/>
            <w:noWrap/>
            <w:hideMark/>
          </w:tcPr>
          <w:p w14:paraId="239C8A1B" w14:textId="77777777" w:rsidR="00502FEE" w:rsidRPr="00F026F6" w:rsidRDefault="00502FEE" w:rsidP="000E7A06">
            <w:pPr>
              <w:rPr>
                <w:sz w:val="20"/>
                <w:szCs w:val="20"/>
              </w:rPr>
            </w:pPr>
            <w:r w:rsidRPr="00F026F6">
              <w:rPr>
                <w:sz w:val="20"/>
                <w:szCs w:val="20"/>
              </w:rPr>
              <w:t>HCFC-22</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476AE34F" w14:textId="77777777" w:rsidR="00502FEE" w:rsidRPr="00F026F6" w:rsidRDefault="00502FEE" w:rsidP="000E7A06">
            <w:pPr>
              <w:jc w:val="right"/>
              <w:rPr>
                <w:sz w:val="20"/>
                <w:szCs w:val="20"/>
              </w:rPr>
            </w:pPr>
            <w:r w:rsidRPr="00F026F6">
              <w:rPr>
                <w:sz w:val="20"/>
                <w:szCs w:val="20"/>
              </w:rPr>
              <w:t>20,351.61</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6A9F1BB3" w14:textId="77777777" w:rsidR="00502FEE" w:rsidRPr="00F026F6" w:rsidRDefault="00502FEE" w:rsidP="000E7A06">
            <w:pPr>
              <w:jc w:val="right"/>
              <w:rPr>
                <w:sz w:val="20"/>
                <w:szCs w:val="20"/>
              </w:rPr>
            </w:pPr>
            <w:r w:rsidRPr="00F026F6">
              <w:rPr>
                <w:sz w:val="20"/>
                <w:szCs w:val="20"/>
              </w:rPr>
              <w:t>19,876.31</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74F67F3C" w14:textId="77777777" w:rsidR="00502FEE" w:rsidRPr="00F026F6" w:rsidRDefault="00502FEE" w:rsidP="000E7A06">
            <w:pPr>
              <w:jc w:val="right"/>
              <w:rPr>
                <w:sz w:val="20"/>
                <w:szCs w:val="20"/>
              </w:rPr>
            </w:pPr>
            <w:r w:rsidRPr="00F026F6">
              <w:rPr>
                <w:sz w:val="20"/>
                <w:szCs w:val="20"/>
              </w:rPr>
              <w:t>8,199.54</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2F7C1F81" w14:textId="77777777" w:rsidR="00502FEE" w:rsidRPr="00F026F6" w:rsidRDefault="00502FEE" w:rsidP="000E7A06">
            <w:pPr>
              <w:jc w:val="right"/>
              <w:rPr>
                <w:sz w:val="20"/>
                <w:szCs w:val="20"/>
              </w:rPr>
            </w:pPr>
            <w:r w:rsidRPr="00F026F6">
              <w:rPr>
                <w:sz w:val="20"/>
                <w:szCs w:val="20"/>
              </w:rPr>
              <w:t>11,676.77</w:t>
            </w:r>
          </w:p>
        </w:tc>
        <w:tc>
          <w:tcPr>
            <w:tcW w:w="1475" w:type="dxa"/>
            <w:tcBorders>
              <w:top w:val="nil"/>
              <w:left w:val="nil"/>
              <w:bottom w:val="single" w:sz="4" w:space="0" w:color="auto"/>
              <w:right w:val="single" w:sz="4" w:space="0" w:color="auto"/>
            </w:tcBorders>
            <w:shd w:val="clear" w:color="auto" w:fill="auto"/>
            <w:noWrap/>
            <w:tcMar>
              <w:left w:w="115" w:type="dxa"/>
              <w:right w:w="216" w:type="dxa"/>
            </w:tcMar>
            <w:hideMark/>
          </w:tcPr>
          <w:p w14:paraId="47D15155" w14:textId="77777777" w:rsidR="00502FEE" w:rsidRPr="00F026F6" w:rsidRDefault="00502FEE" w:rsidP="000E7A06">
            <w:pPr>
              <w:jc w:val="right"/>
              <w:rPr>
                <w:sz w:val="20"/>
                <w:szCs w:val="20"/>
              </w:rPr>
            </w:pPr>
            <w:r w:rsidRPr="00F026F6">
              <w:rPr>
                <w:sz w:val="20"/>
                <w:szCs w:val="20"/>
              </w:rPr>
              <w:t>41.25</w:t>
            </w:r>
          </w:p>
        </w:tc>
      </w:tr>
      <w:tr w:rsidR="00502FEE" w:rsidRPr="00AD032C" w14:paraId="0AD56DEA" w14:textId="77777777" w:rsidTr="000E7A06">
        <w:tc>
          <w:tcPr>
            <w:tcW w:w="1985" w:type="dxa"/>
            <w:tcBorders>
              <w:top w:val="nil"/>
              <w:left w:val="single" w:sz="4" w:space="0" w:color="auto"/>
              <w:bottom w:val="single" w:sz="4" w:space="0" w:color="auto"/>
              <w:right w:val="single" w:sz="4" w:space="0" w:color="auto"/>
            </w:tcBorders>
            <w:shd w:val="clear" w:color="auto" w:fill="auto"/>
            <w:noWrap/>
            <w:hideMark/>
          </w:tcPr>
          <w:p w14:paraId="1CB20670" w14:textId="77777777" w:rsidR="00502FEE" w:rsidRPr="00F026F6" w:rsidRDefault="00502FEE" w:rsidP="000E7A06">
            <w:pPr>
              <w:rPr>
                <w:sz w:val="20"/>
                <w:szCs w:val="20"/>
              </w:rPr>
            </w:pPr>
            <w:r w:rsidRPr="00F026F6">
              <w:rPr>
                <w:sz w:val="20"/>
                <w:szCs w:val="20"/>
              </w:rPr>
              <w:t>HCFC-225</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74ADBC85" w14:textId="77777777" w:rsidR="00502FEE" w:rsidRPr="00F026F6" w:rsidRDefault="00502FEE" w:rsidP="000E7A06">
            <w:pPr>
              <w:jc w:val="right"/>
              <w:rPr>
                <w:sz w:val="20"/>
                <w:szCs w:val="20"/>
              </w:rPr>
            </w:pPr>
            <w:r w:rsidRPr="00F026F6">
              <w:rPr>
                <w:sz w:val="20"/>
                <w:szCs w:val="20"/>
              </w:rPr>
              <w:t>4.12</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48261F3F" w14:textId="77777777" w:rsidR="00502FEE" w:rsidRPr="00F026F6" w:rsidRDefault="00502FEE" w:rsidP="000E7A06">
            <w:pPr>
              <w:jc w:val="right"/>
              <w:rPr>
                <w:sz w:val="20"/>
                <w:szCs w:val="20"/>
              </w:rPr>
            </w:pPr>
            <w:r w:rsidRPr="00F026F6">
              <w:rPr>
                <w:sz w:val="20"/>
                <w:szCs w:val="20"/>
              </w:rPr>
              <w:t>2.82</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79898122" w14:textId="77777777" w:rsidR="00502FEE" w:rsidRPr="00F026F6" w:rsidRDefault="00502FEE" w:rsidP="000E7A06">
            <w:pPr>
              <w:jc w:val="right"/>
              <w:rPr>
                <w:sz w:val="20"/>
                <w:szCs w:val="20"/>
              </w:rPr>
            </w:pPr>
            <w:r w:rsidRPr="00F026F6">
              <w:rPr>
                <w:sz w:val="20"/>
                <w:szCs w:val="20"/>
              </w:rPr>
              <w:t>1.13</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2B2BFFF8" w14:textId="77777777" w:rsidR="00502FEE" w:rsidRPr="00F026F6" w:rsidRDefault="00502FEE" w:rsidP="000E7A06">
            <w:pPr>
              <w:jc w:val="right"/>
              <w:rPr>
                <w:sz w:val="20"/>
                <w:szCs w:val="20"/>
              </w:rPr>
            </w:pPr>
            <w:r w:rsidRPr="00F026F6">
              <w:rPr>
                <w:sz w:val="20"/>
                <w:szCs w:val="20"/>
              </w:rPr>
              <w:t>1.69</w:t>
            </w:r>
          </w:p>
        </w:tc>
        <w:tc>
          <w:tcPr>
            <w:tcW w:w="1475" w:type="dxa"/>
            <w:tcBorders>
              <w:top w:val="nil"/>
              <w:left w:val="nil"/>
              <w:bottom w:val="single" w:sz="4" w:space="0" w:color="auto"/>
              <w:right w:val="single" w:sz="4" w:space="0" w:color="auto"/>
            </w:tcBorders>
            <w:shd w:val="clear" w:color="auto" w:fill="auto"/>
            <w:noWrap/>
            <w:tcMar>
              <w:left w:w="115" w:type="dxa"/>
              <w:right w:w="216" w:type="dxa"/>
            </w:tcMar>
            <w:hideMark/>
          </w:tcPr>
          <w:p w14:paraId="5207A86E" w14:textId="77777777" w:rsidR="00502FEE" w:rsidRPr="00F026F6" w:rsidRDefault="00502FEE" w:rsidP="000E7A06">
            <w:pPr>
              <w:jc w:val="right"/>
              <w:rPr>
                <w:sz w:val="20"/>
                <w:szCs w:val="20"/>
              </w:rPr>
            </w:pPr>
            <w:r w:rsidRPr="00F026F6">
              <w:rPr>
                <w:sz w:val="20"/>
                <w:szCs w:val="20"/>
              </w:rPr>
              <w:t>40.07</w:t>
            </w:r>
          </w:p>
        </w:tc>
      </w:tr>
      <w:tr w:rsidR="00502FEE" w:rsidRPr="00AD032C" w14:paraId="4CA016C8" w14:textId="77777777" w:rsidTr="000E7A06">
        <w:tc>
          <w:tcPr>
            <w:tcW w:w="1985" w:type="dxa"/>
            <w:tcBorders>
              <w:top w:val="nil"/>
              <w:left w:val="single" w:sz="4" w:space="0" w:color="auto"/>
              <w:bottom w:val="single" w:sz="4" w:space="0" w:color="auto"/>
              <w:right w:val="single" w:sz="4" w:space="0" w:color="auto"/>
            </w:tcBorders>
            <w:shd w:val="clear" w:color="auto" w:fill="auto"/>
            <w:noWrap/>
            <w:hideMark/>
          </w:tcPr>
          <w:p w14:paraId="38E65757" w14:textId="77777777" w:rsidR="00502FEE" w:rsidRPr="00F026F6" w:rsidRDefault="00502FEE" w:rsidP="000E7A06">
            <w:pPr>
              <w:rPr>
                <w:sz w:val="20"/>
                <w:szCs w:val="20"/>
              </w:rPr>
            </w:pPr>
            <w:r w:rsidRPr="00F026F6">
              <w:rPr>
                <w:sz w:val="20"/>
                <w:szCs w:val="20"/>
              </w:rPr>
              <w:t>HCFC-225ca</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77B17A52" w14:textId="77777777" w:rsidR="00502FEE" w:rsidRPr="00F026F6" w:rsidRDefault="00502FEE" w:rsidP="000E7A06">
            <w:pPr>
              <w:jc w:val="right"/>
              <w:rPr>
                <w:sz w:val="20"/>
                <w:szCs w:val="20"/>
              </w:rPr>
            </w:pPr>
            <w:r w:rsidRPr="00F026F6">
              <w:rPr>
                <w:sz w:val="20"/>
                <w:szCs w:val="20"/>
              </w:rPr>
              <w:t>0.50</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6EAE9432" w14:textId="77777777" w:rsidR="00502FEE" w:rsidRPr="00F026F6" w:rsidRDefault="00502FEE" w:rsidP="000E7A06">
            <w:pPr>
              <w:jc w:val="right"/>
              <w:rPr>
                <w:sz w:val="20"/>
                <w:szCs w:val="20"/>
              </w:rPr>
            </w:pPr>
            <w:r w:rsidRPr="00F026F6">
              <w:rPr>
                <w:sz w:val="20"/>
                <w:szCs w:val="20"/>
              </w:rPr>
              <w:t>0.42</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3A783E79" w14:textId="77777777" w:rsidR="00502FEE" w:rsidRPr="00F026F6" w:rsidRDefault="00502FEE" w:rsidP="000E7A06">
            <w:pPr>
              <w:jc w:val="right"/>
              <w:rPr>
                <w:sz w:val="20"/>
                <w:szCs w:val="20"/>
              </w:rPr>
            </w:pPr>
            <w:r w:rsidRPr="00F026F6">
              <w:rPr>
                <w:sz w:val="20"/>
                <w:szCs w:val="20"/>
              </w:rPr>
              <w:t>-</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3201689F" w14:textId="77777777" w:rsidR="00502FEE" w:rsidRPr="00F026F6" w:rsidRDefault="00502FEE" w:rsidP="000E7A06">
            <w:pPr>
              <w:jc w:val="right"/>
              <w:rPr>
                <w:sz w:val="20"/>
                <w:szCs w:val="20"/>
              </w:rPr>
            </w:pPr>
            <w:r w:rsidRPr="00F026F6">
              <w:rPr>
                <w:sz w:val="20"/>
                <w:szCs w:val="20"/>
              </w:rPr>
              <w:t>0.42</w:t>
            </w:r>
          </w:p>
        </w:tc>
        <w:tc>
          <w:tcPr>
            <w:tcW w:w="1475" w:type="dxa"/>
            <w:tcBorders>
              <w:top w:val="nil"/>
              <w:left w:val="nil"/>
              <w:bottom w:val="single" w:sz="4" w:space="0" w:color="auto"/>
              <w:right w:val="single" w:sz="4" w:space="0" w:color="auto"/>
            </w:tcBorders>
            <w:shd w:val="clear" w:color="auto" w:fill="auto"/>
            <w:noWrap/>
            <w:tcMar>
              <w:left w:w="115" w:type="dxa"/>
              <w:right w:w="216" w:type="dxa"/>
            </w:tcMar>
            <w:hideMark/>
          </w:tcPr>
          <w:p w14:paraId="7B176C3B" w14:textId="77777777" w:rsidR="00502FEE" w:rsidRPr="00F026F6" w:rsidRDefault="00502FEE" w:rsidP="000E7A06">
            <w:pPr>
              <w:jc w:val="right"/>
              <w:rPr>
                <w:sz w:val="20"/>
                <w:szCs w:val="20"/>
              </w:rPr>
            </w:pPr>
            <w:r w:rsidRPr="00F026F6">
              <w:rPr>
                <w:sz w:val="20"/>
                <w:szCs w:val="20"/>
              </w:rPr>
              <w:t>0.00</w:t>
            </w:r>
          </w:p>
        </w:tc>
      </w:tr>
      <w:tr w:rsidR="00502FEE" w:rsidRPr="00AD032C" w14:paraId="414835B4" w14:textId="77777777" w:rsidTr="000E7A06">
        <w:tc>
          <w:tcPr>
            <w:tcW w:w="1985" w:type="dxa"/>
            <w:tcBorders>
              <w:top w:val="nil"/>
              <w:left w:val="single" w:sz="4" w:space="0" w:color="auto"/>
              <w:bottom w:val="single" w:sz="4" w:space="0" w:color="auto"/>
              <w:right w:val="single" w:sz="4" w:space="0" w:color="auto"/>
            </w:tcBorders>
            <w:shd w:val="clear" w:color="auto" w:fill="auto"/>
            <w:noWrap/>
            <w:hideMark/>
          </w:tcPr>
          <w:p w14:paraId="3496E088" w14:textId="77777777" w:rsidR="00502FEE" w:rsidRPr="00F026F6" w:rsidRDefault="00502FEE" w:rsidP="000E7A06">
            <w:pPr>
              <w:rPr>
                <w:sz w:val="20"/>
                <w:szCs w:val="20"/>
              </w:rPr>
            </w:pPr>
            <w:r w:rsidRPr="00F026F6">
              <w:rPr>
                <w:sz w:val="20"/>
                <w:szCs w:val="20"/>
              </w:rPr>
              <w:t>HCFC-225cb</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1B308E23" w14:textId="77777777" w:rsidR="00502FEE" w:rsidRPr="00F026F6" w:rsidRDefault="00502FEE" w:rsidP="000E7A06">
            <w:pPr>
              <w:jc w:val="right"/>
              <w:rPr>
                <w:sz w:val="20"/>
                <w:szCs w:val="20"/>
              </w:rPr>
            </w:pPr>
            <w:r w:rsidRPr="00F026F6">
              <w:rPr>
                <w:sz w:val="20"/>
                <w:szCs w:val="20"/>
              </w:rPr>
              <w:t>0.70</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30C98831" w14:textId="77777777" w:rsidR="00502FEE" w:rsidRPr="00F026F6" w:rsidRDefault="00502FEE" w:rsidP="000E7A06">
            <w:pPr>
              <w:jc w:val="right"/>
              <w:rPr>
                <w:sz w:val="20"/>
                <w:szCs w:val="20"/>
              </w:rPr>
            </w:pPr>
            <w:r w:rsidRPr="00F026F6">
              <w:rPr>
                <w:sz w:val="20"/>
                <w:szCs w:val="20"/>
              </w:rPr>
              <w:t>0.68</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3E7A9179" w14:textId="77777777" w:rsidR="00502FEE" w:rsidRPr="00F026F6" w:rsidRDefault="00502FEE" w:rsidP="000E7A06">
            <w:pPr>
              <w:jc w:val="right"/>
              <w:rPr>
                <w:sz w:val="20"/>
                <w:szCs w:val="20"/>
              </w:rPr>
            </w:pPr>
            <w:r w:rsidRPr="00F026F6">
              <w:rPr>
                <w:sz w:val="20"/>
                <w:szCs w:val="20"/>
              </w:rPr>
              <w:t>-</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7F2BA858" w14:textId="77777777" w:rsidR="00502FEE" w:rsidRPr="00F026F6" w:rsidRDefault="00502FEE" w:rsidP="000E7A06">
            <w:pPr>
              <w:jc w:val="right"/>
              <w:rPr>
                <w:sz w:val="20"/>
                <w:szCs w:val="20"/>
              </w:rPr>
            </w:pPr>
            <w:r w:rsidRPr="00F026F6">
              <w:rPr>
                <w:sz w:val="20"/>
                <w:szCs w:val="20"/>
              </w:rPr>
              <w:t>0.68</w:t>
            </w:r>
          </w:p>
        </w:tc>
        <w:tc>
          <w:tcPr>
            <w:tcW w:w="1475" w:type="dxa"/>
            <w:tcBorders>
              <w:top w:val="nil"/>
              <w:left w:val="nil"/>
              <w:bottom w:val="single" w:sz="4" w:space="0" w:color="auto"/>
              <w:right w:val="single" w:sz="4" w:space="0" w:color="auto"/>
            </w:tcBorders>
            <w:shd w:val="clear" w:color="auto" w:fill="auto"/>
            <w:noWrap/>
            <w:tcMar>
              <w:left w:w="115" w:type="dxa"/>
              <w:right w:w="216" w:type="dxa"/>
            </w:tcMar>
            <w:hideMark/>
          </w:tcPr>
          <w:p w14:paraId="48E62C8F" w14:textId="77777777" w:rsidR="00502FEE" w:rsidRPr="00F026F6" w:rsidRDefault="00502FEE" w:rsidP="000E7A06">
            <w:pPr>
              <w:jc w:val="right"/>
              <w:rPr>
                <w:sz w:val="20"/>
                <w:szCs w:val="20"/>
              </w:rPr>
            </w:pPr>
            <w:r w:rsidRPr="00F026F6">
              <w:rPr>
                <w:sz w:val="20"/>
                <w:szCs w:val="20"/>
              </w:rPr>
              <w:t>0.00</w:t>
            </w:r>
          </w:p>
        </w:tc>
      </w:tr>
      <w:tr w:rsidR="00502FEE" w:rsidRPr="00AE77A4" w14:paraId="0F8F5F33" w14:textId="77777777" w:rsidTr="000E7A06">
        <w:tc>
          <w:tcPr>
            <w:tcW w:w="1985" w:type="dxa"/>
            <w:tcBorders>
              <w:top w:val="nil"/>
              <w:left w:val="single" w:sz="4" w:space="0" w:color="auto"/>
              <w:bottom w:val="single" w:sz="4" w:space="0" w:color="auto"/>
              <w:right w:val="single" w:sz="4" w:space="0" w:color="auto"/>
            </w:tcBorders>
            <w:shd w:val="clear" w:color="auto" w:fill="auto"/>
            <w:noWrap/>
            <w:hideMark/>
          </w:tcPr>
          <w:p w14:paraId="0A41065F" w14:textId="77777777" w:rsidR="00502FEE" w:rsidRPr="00E53925" w:rsidRDefault="00502FEE" w:rsidP="000E7A06">
            <w:pPr>
              <w:rPr>
                <w:b/>
                <w:sz w:val="20"/>
                <w:szCs w:val="20"/>
              </w:rPr>
            </w:pPr>
            <w:r w:rsidRPr="00E53925">
              <w:rPr>
                <w:b/>
                <w:sz w:val="20"/>
                <w:szCs w:val="20"/>
              </w:rPr>
              <w:t>Total</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7B9E2507" w14:textId="77777777" w:rsidR="00502FEE" w:rsidRPr="00E53925" w:rsidRDefault="00502FEE" w:rsidP="000E7A06">
            <w:pPr>
              <w:jc w:val="right"/>
              <w:rPr>
                <w:b/>
                <w:sz w:val="20"/>
                <w:szCs w:val="20"/>
              </w:rPr>
            </w:pPr>
            <w:r w:rsidRPr="00E53925">
              <w:rPr>
                <w:b/>
                <w:sz w:val="20"/>
                <w:szCs w:val="20"/>
              </w:rPr>
              <w:t>33,096.82</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7CFF786C" w14:textId="77777777" w:rsidR="00502FEE" w:rsidRPr="00E53925" w:rsidRDefault="00502FEE" w:rsidP="000E7A06">
            <w:pPr>
              <w:jc w:val="right"/>
              <w:rPr>
                <w:b/>
                <w:sz w:val="20"/>
                <w:szCs w:val="20"/>
              </w:rPr>
            </w:pPr>
            <w:r w:rsidRPr="00E53925">
              <w:rPr>
                <w:b/>
                <w:sz w:val="20"/>
                <w:szCs w:val="20"/>
              </w:rPr>
              <w:t>32,632.30</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6FBBC33D" w14:textId="77777777" w:rsidR="00502FEE" w:rsidRPr="00E53925" w:rsidRDefault="00502FEE" w:rsidP="000E7A06">
            <w:pPr>
              <w:jc w:val="right"/>
              <w:rPr>
                <w:b/>
                <w:sz w:val="20"/>
                <w:szCs w:val="20"/>
              </w:rPr>
            </w:pPr>
            <w:r w:rsidRPr="00E53925">
              <w:rPr>
                <w:b/>
                <w:sz w:val="20"/>
                <w:szCs w:val="20"/>
              </w:rPr>
              <w:t>20,068.17</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hideMark/>
          </w:tcPr>
          <w:p w14:paraId="113DECAE" w14:textId="77777777" w:rsidR="00502FEE" w:rsidRPr="00E53925" w:rsidRDefault="00502FEE" w:rsidP="000E7A06">
            <w:pPr>
              <w:jc w:val="right"/>
              <w:rPr>
                <w:b/>
                <w:sz w:val="20"/>
                <w:szCs w:val="20"/>
              </w:rPr>
            </w:pPr>
            <w:r w:rsidRPr="00E53925">
              <w:rPr>
                <w:b/>
                <w:sz w:val="20"/>
                <w:szCs w:val="20"/>
              </w:rPr>
              <w:t>12,564.13</w:t>
            </w:r>
          </w:p>
        </w:tc>
        <w:tc>
          <w:tcPr>
            <w:tcW w:w="1475" w:type="dxa"/>
            <w:tcBorders>
              <w:top w:val="nil"/>
              <w:left w:val="nil"/>
              <w:bottom w:val="single" w:sz="4" w:space="0" w:color="auto"/>
              <w:right w:val="single" w:sz="4" w:space="0" w:color="auto"/>
            </w:tcBorders>
            <w:shd w:val="clear" w:color="auto" w:fill="auto"/>
            <w:noWrap/>
            <w:tcMar>
              <w:left w:w="115" w:type="dxa"/>
              <w:right w:w="216" w:type="dxa"/>
            </w:tcMar>
            <w:hideMark/>
          </w:tcPr>
          <w:p w14:paraId="0FAD89E2" w14:textId="77777777" w:rsidR="00502FEE" w:rsidRPr="00E53925" w:rsidRDefault="00502FEE" w:rsidP="000E7A06">
            <w:pPr>
              <w:jc w:val="right"/>
              <w:rPr>
                <w:b/>
                <w:sz w:val="20"/>
                <w:szCs w:val="20"/>
              </w:rPr>
            </w:pPr>
            <w:r w:rsidRPr="00E53925">
              <w:rPr>
                <w:b/>
                <w:sz w:val="20"/>
                <w:szCs w:val="20"/>
              </w:rPr>
              <w:t>61.50</w:t>
            </w:r>
          </w:p>
        </w:tc>
      </w:tr>
      <w:tr w:rsidR="00502FEE" w:rsidRPr="00AD032C" w14:paraId="127781A7" w14:textId="77777777" w:rsidTr="000E7A06">
        <w:tc>
          <w:tcPr>
            <w:tcW w:w="1985" w:type="dxa"/>
            <w:tcBorders>
              <w:top w:val="nil"/>
              <w:left w:val="single" w:sz="4" w:space="0" w:color="auto"/>
              <w:bottom w:val="single" w:sz="4" w:space="0" w:color="auto"/>
              <w:right w:val="single" w:sz="4" w:space="0" w:color="auto"/>
            </w:tcBorders>
            <w:shd w:val="clear" w:color="auto" w:fill="auto"/>
            <w:noWrap/>
            <w:hideMark/>
          </w:tcPr>
          <w:p w14:paraId="0A43CE92" w14:textId="6F05630F" w:rsidR="00502FEE" w:rsidRPr="00F026F6" w:rsidRDefault="00502FEE" w:rsidP="000E7A06">
            <w:pPr>
              <w:rPr>
                <w:sz w:val="20"/>
                <w:szCs w:val="20"/>
              </w:rPr>
            </w:pPr>
            <w:r w:rsidRPr="00F026F6">
              <w:rPr>
                <w:sz w:val="20"/>
                <w:szCs w:val="20"/>
              </w:rPr>
              <w:t>HCFC-141b</w:t>
            </w:r>
            <w:r w:rsidR="00E469A0">
              <w:rPr>
                <w:sz w:val="20"/>
                <w:szCs w:val="20"/>
              </w:rPr>
              <w:t xml:space="preserve"> </w:t>
            </w:r>
            <w:r w:rsidRPr="00F026F6">
              <w:rPr>
                <w:sz w:val="20"/>
                <w:szCs w:val="20"/>
              </w:rPr>
              <w:t>Polyol</w:t>
            </w:r>
            <w:r>
              <w:rPr>
                <w:sz w:val="20"/>
                <w:szCs w:val="20"/>
              </w:rPr>
              <w:t>**</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vAlign w:val="center"/>
            <w:hideMark/>
          </w:tcPr>
          <w:p w14:paraId="66585C80" w14:textId="77777777" w:rsidR="00502FEE" w:rsidRPr="00F026F6" w:rsidRDefault="00502FEE" w:rsidP="000E7A06">
            <w:pPr>
              <w:jc w:val="right"/>
              <w:rPr>
                <w:sz w:val="20"/>
                <w:szCs w:val="20"/>
              </w:rPr>
            </w:pPr>
            <w:r w:rsidRPr="00F026F6">
              <w:rPr>
                <w:sz w:val="20"/>
                <w:szCs w:val="20"/>
              </w:rPr>
              <w:t xml:space="preserve">53.20 </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vAlign w:val="center"/>
            <w:hideMark/>
          </w:tcPr>
          <w:p w14:paraId="66E193CF" w14:textId="77777777" w:rsidR="00502FEE" w:rsidRPr="00F026F6" w:rsidRDefault="00502FEE" w:rsidP="000E7A06">
            <w:pPr>
              <w:jc w:val="right"/>
              <w:rPr>
                <w:sz w:val="20"/>
                <w:szCs w:val="20"/>
              </w:rPr>
            </w:pPr>
            <w:r w:rsidRPr="00F026F6">
              <w:rPr>
                <w:sz w:val="20"/>
                <w:szCs w:val="20"/>
              </w:rPr>
              <w:t xml:space="preserve">661.81 </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vAlign w:val="center"/>
            <w:hideMark/>
          </w:tcPr>
          <w:p w14:paraId="76F048F5" w14:textId="77777777" w:rsidR="00502FEE" w:rsidRPr="00F026F6" w:rsidRDefault="00502FEE" w:rsidP="000E7A06">
            <w:pPr>
              <w:jc w:val="right"/>
              <w:rPr>
                <w:sz w:val="20"/>
                <w:szCs w:val="20"/>
              </w:rPr>
            </w:pPr>
            <w:r w:rsidRPr="00F026F6">
              <w:rPr>
                <w:sz w:val="20"/>
                <w:szCs w:val="20"/>
              </w:rPr>
              <w:t xml:space="preserve">559.39 </w:t>
            </w:r>
          </w:p>
        </w:tc>
        <w:tc>
          <w:tcPr>
            <w:tcW w:w="1474" w:type="dxa"/>
            <w:tcBorders>
              <w:top w:val="nil"/>
              <w:left w:val="nil"/>
              <w:bottom w:val="single" w:sz="4" w:space="0" w:color="auto"/>
              <w:right w:val="single" w:sz="4" w:space="0" w:color="auto"/>
            </w:tcBorders>
            <w:shd w:val="clear" w:color="auto" w:fill="auto"/>
            <w:noWrap/>
            <w:tcMar>
              <w:left w:w="115" w:type="dxa"/>
              <w:right w:w="216" w:type="dxa"/>
            </w:tcMar>
            <w:vAlign w:val="center"/>
            <w:hideMark/>
          </w:tcPr>
          <w:p w14:paraId="7B2BDA42" w14:textId="77777777" w:rsidR="00502FEE" w:rsidRPr="00F026F6" w:rsidRDefault="00502FEE" w:rsidP="000E7A06">
            <w:pPr>
              <w:jc w:val="right"/>
              <w:rPr>
                <w:sz w:val="20"/>
                <w:szCs w:val="20"/>
              </w:rPr>
            </w:pPr>
            <w:r w:rsidRPr="00F026F6">
              <w:rPr>
                <w:sz w:val="20"/>
                <w:szCs w:val="20"/>
              </w:rPr>
              <w:t xml:space="preserve">102.42 </w:t>
            </w:r>
          </w:p>
        </w:tc>
        <w:tc>
          <w:tcPr>
            <w:tcW w:w="1475" w:type="dxa"/>
            <w:tcBorders>
              <w:top w:val="nil"/>
              <w:left w:val="nil"/>
              <w:bottom w:val="single" w:sz="4" w:space="0" w:color="auto"/>
              <w:right w:val="single" w:sz="4" w:space="0" w:color="auto"/>
            </w:tcBorders>
            <w:shd w:val="clear" w:color="auto" w:fill="auto"/>
            <w:noWrap/>
            <w:tcMar>
              <w:left w:w="115" w:type="dxa"/>
              <w:right w:w="216" w:type="dxa"/>
            </w:tcMar>
            <w:vAlign w:val="center"/>
            <w:hideMark/>
          </w:tcPr>
          <w:p w14:paraId="5C610E89" w14:textId="77777777" w:rsidR="00502FEE" w:rsidRPr="00F026F6" w:rsidRDefault="00502FEE" w:rsidP="000E7A06">
            <w:pPr>
              <w:jc w:val="right"/>
              <w:rPr>
                <w:sz w:val="20"/>
                <w:szCs w:val="20"/>
              </w:rPr>
            </w:pPr>
            <w:r w:rsidRPr="00F026F6">
              <w:rPr>
                <w:sz w:val="20"/>
                <w:szCs w:val="20"/>
              </w:rPr>
              <w:t>84.52</w:t>
            </w:r>
          </w:p>
        </w:tc>
      </w:tr>
    </w:tbl>
    <w:p w14:paraId="0DB59C04" w14:textId="77777777" w:rsidR="00502FEE" w:rsidRPr="00DA4013" w:rsidRDefault="00502FEE" w:rsidP="00502FEE">
      <w:pPr>
        <w:pStyle w:val="Title2"/>
        <w:widowControl w:val="0"/>
        <w:jc w:val="left"/>
        <w:rPr>
          <w:b w:val="0"/>
          <w:caps w:val="0"/>
          <w:sz w:val="18"/>
          <w:szCs w:val="18"/>
          <w:lang w:val="en-CA"/>
        </w:rPr>
      </w:pPr>
      <w:r w:rsidRPr="00DA4013">
        <w:rPr>
          <w:b w:val="0"/>
          <w:caps w:val="0"/>
          <w:sz w:val="18"/>
          <w:szCs w:val="18"/>
          <w:lang w:val="en-CA"/>
        </w:rPr>
        <w:t>* As of the 83</w:t>
      </w:r>
      <w:r w:rsidRPr="00DA4013">
        <w:rPr>
          <w:b w:val="0"/>
          <w:caps w:val="0"/>
          <w:sz w:val="18"/>
          <w:szCs w:val="18"/>
          <w:vertAlign w:val="superscript"/>
          <w:lang w:val="en-CA"/>
        </w:rPr>
        <w:t>rd</w:t>
      </w:r>
      <w:r w:rsidRPr="00DA4013">
        <w:rPr>
          <w:b w:val="0"/>
          <w:caps w:val="0"/>
          <w:sz w:val="18"/>
          <w:szCs w:val="18"/>
          <w:lang w:val="en-CA"/>
        </w:rPr>
        <w:t xml:space="preserve"> meeting, for both LVC and non-LVC countries.</w:t>
      </w:r>
    </w:p>
    <w:p w14:paraId="0B2F0FB6" w14:textId="77777777" w:rsidR="00502FEE" w:rsidRPr="00DA4013" w:rsidRDefault="00502FEE" w:rsidP="00502FEE">
      <w:pPr>
        <w:pStyle w:val="Title2"/>
        <w:widowControl w:val="0"/>
        <w:jc w:val="left"/>
        <w:rPr>
          <w:b w:val="0"/>
          <w:caps w:val="0"/>
          <w:sz w:val="18"/>
          <w:szCs w:val="18"/>
          <w:lang w:val="en-CA"/>
        </w:rPr>
      </w:pPr>
      <w:r w:rsidRPr="00DA4013">
        <w:rPr>
          <w:b w:val="0"/>
          <w:caps w:val="0"/>
          <w:sz w:val="18"/>
          <w:szCs w:val="18"/>
          <w:lang w:val="en-CA"/>
        </w:rPr>
        <w:t xml:space="preserve">** HCFC-141b contained in imported pre-blended polyols. </w:t>
      </w:r>
    </w:p>
    <w:p w14:paraId="277A6CD2" w14:textId="77777777" w:rsidR="00502FEE" w:rsidRDefault="00502FEE" w:rsidP="00502FEE">
      <w:pPr>
        <w:pStyle w:val="Heading1"/>
        <w:numPr>
          <w:ilvl w:val="0"/>
          <w:numId w:val="0"/>
        </w:numPr>
        <w:spacing w:after="0"/>
        <w:rPr>
          <w:lang w:val="en-CA"/>
        </w:rPr>
      </w:pPr>
    </w:p>
    <w:p w14:paraId="1EAD7481" w14:textId="61AB32A2" w:rsidR="00502FEE" w:rsidRDefault="00502FEE" w:rsidP="00502FEE">
      <w:pPr>
        <w:pStyle w:val="Heading1"/>
        <w:rPr>
          <w:lang w:val="en-CA"/>
        </w:rPr>
      </w:pPr>
      <w:r>
        <w:rPr>
          <w:lang w:val="en-CA"/>
        </w:rPr>
        <w:t>If all funding tranche requests that have been submitted to the 84</w:t>
      </w:r>
      <w:r w:rsidRPr="00AD0B8B">
        <w:rPr>
          <w:vertAlign w:val="superscript"/>
          <w:lang w:val="en-CA"/>
        </w:rPr>
        <w:t>th</w:t>
      </w:r>
      <w:r>
        <w:rPr>
          <w:lang w:val="en-CA"/>
        </w:rPr>
        <w:t xml:space="preserve"> meeting are approved by the Executive Committee, the balance of the funding approved in principle to be disbursed in the 2020</w:t>
      </w:r>
      <w:r w:rsidR="00E469A0">
        <w:rPr>
          <w:lang w:val="en-CA"/>
        </w:rPr>
        <w:noBreakHyphen/>
      </w:r>
      <w:r>
        <w:rPr>
          <w:lang w:val="en-CA"/>
        </w:rPr>
        <w:t>2030 period amounts to US $</w:t>
      </w:r>
      <w:r w:rsidRPr="00AD0B8B">
        <w:rPr>
          <w:lang w:val="en-CA"/>
        </w:rPr>
        <w:t>379</w:t>
      </w:r>
      <w:r>
        <w:rPr>
          <w:lang w:val="en-CA"/>
        </w:rPr>
        <w:t>.5 million (i.e., US $</w:t>
      </w:r>
      <w:r w:rsidRPr="00AD0B8B">
        <w:rPr>
          <w:lang w:val="en-CA"/>
        </w:rPr>
        <w:t>5</w:t>
      </w:r>
      <w:r>
        <w:rPr>
          <w:lang w:val="en-CA"/>
        </w:rPr>
        <w:t>.</w:t>
      </w:r>
      <w:r w:rsidRPr="00AD0B8B">
        <w:rPr>
          <w:lang w:val="en-CA"/>
        </w:rPr>
        <w:t>1</w:t>
      </w:r>
      <w:r>
        <w:rPr>
          <w:lang w:val="en-CA"/>
        </w:rPr>
        <w:t xml:space="preserve"> million for LVC countries and US $</w:t>
      </w:r>
      <w:r w:rsidRPr="00AD0B8B">
        <w:rPr>
          <w:lang w:val="en-CA"/>
        </w:rPr>
        <w:t>374</w:t>
      </w:r>
      <w:r>
        <w:rPr>
          <w:lang w:val="en-CA"/>
        </w:rPr>
        <w:t>.4 million for non</w:t>
      </w:r>
      <w:r w:rsidR="00E469A0">
        <w:rPr>
          <w:lang w:val="en-CA"/>
        </w:rPr>
        <w:noBreakHyphen/>
      </w:r>
      <w:r>
        <w:rPr>
          <w:lang w:val="en-CA"/>
        </w:rPr>
        <w:t xml:space="preserve">LVC countries). </w:t>
      </w:r>
    </w:p>
    <w:p w14:paraId="7F5B45E3" w14:textId="2FC8963D" w:rsidR="00502FEE" w:rsidRDefault="00502FEE" w:rsidP="00502FEE">
      <w:pPr>
        <w:pStyle w:val="Heading1"/>
      </w:pPr>
      <w:r w:rsidRPr="00665C2D">
        <w:rPr>
          <w:lang w:val="en-CA"/>
        </w:rPr>
        <w:t>Additional funding will be required to achieve the complete phase-out of HCFCs in Article</w:t>
      </w:r>
      <w:r w:rsidR="00E469A0">
        <w:rPr>
          <w:lang w:val="en-CA"/>
        </w:rPr>
        <w:t> </w:t>
      </w:r>
      <w:r w:rsidRPr="00665C2D">
        <w:rPr>
          <w:lang w:val="en-CA"/>
        </w:rPr>
        <w:t xml:space="preserve">5 countries. For LVC countries, the additional funding amounts to US $56.1 million, based on the maximum level of funding established under decision 74/50. </w:t>
      </w:r>
      <w:r>
        <w:t xml:space="preserve">For </w:t>
      </w:r>
      <w:r w:rsidRPr="00FF4F36">
        <w:t>non-LVC countries, the remaining HCFC consumption to be phased out amounts to 12,340 ODP tonnes. While it will be possible to determine the funding eligibility of the remaining consumption and its sectoral distribution upon submission by Article</w:t>
      </w:r>
      <w:r w:rsidR="00E469A0">
        <w:t> </w:t>
      </w:r>
      <w:r w:rsidRPr="00FF4F36">
        <w:t>5 countries of their requests for the subsequent stage of their HPMPs, for</w:t>
      </w:r>
      <w:r>
        <w:t xml:space="preserve"> the purposes of this document it can be assumed that 90 per cent of the remaining consumption is eligible for funding (i.e.,</w:t>
      </w:r>
      <w:r w:rsidR="00936884">
        <w:t> </w:t>
      </w:r>
      <w:r>
        <w:t>11,000</w:t>
      </w:r>
      <w:r w:rsidR="00E469A0">
        <w:t> </w:t>
      </w:r>
      <w:r>
        <w:t>ODP</w:t>
      </w:r>
      <w:r w:rsidR="00E469A0">
        <w:t> </w:t>
      </w:r>
      <w:r>
        <w:t xml:space="preserve">tonnes). Of that amount, approximately 4,000 ODP tonnes are HCFC-22 used in the manufacturing sector and the remaining 7,000 ODP tonnes are HCFC-22 used in the refrigeration servicing sector (with a cost-effectiveness of US $4.80/kg). </w:t>
      </w:r>
    </w:p>
    <w:p w14:paraId="6B950B2D" w14:textId="77777777" w:rsidR="00502FEE" w:rsidRPr="008C5488" w:rsidRDefault="00502FEE" w:rsidP="00502FEE">
      <w:pPr>
        <w:pStyle w:val="Heading2"/>
        <w:numPr>
          <w:ilvl w:val="0"/>
          <w:numId w:val="0"/>
        </w:numPr>
        <w:rPr>
          <w:bCs/>
          <w:iCs/>
          <w:u w:val="single"/>
          <w:lang w:val="en-CA"/>
        </w:rPr>
      </w:pPr>
      <w:r w:rsidRPr="00FF4F36">
        <w:rPr>
          <w:bCs/>
          <w:iCs/>
          <w:u w:val="single"/>
          <w:lang w:val="en-CA"/>
        </w:rPr>
        <w:t xml:space="preserve">Funding for HFC </w:t>
      </w:r>
      <w:r w:rsidRPr="008C5488">
        <w:rPr>
          <w:bCs/>
          <w:iCs/>
          <w:u w:val="single"/>
          <w:lang w:val="en-CA"/>
        </w:rPr>
        <w:t>phase-down</w:t>
      </w:r>
    </w:p>
    <w:p w14:paraId="4FDAA4F9" w14:textId="185E5465" w:rsidR="00502FEE" w:rsidRPr="00E469A0" w:rsidRDefault="00502FEE" w:rsidP="00AA1E26">
      <w:pPr>
        <w:pStyle w:val="Heading1"/>
        <w:numPr>
          <w:ilvl w:val="0"/>
          <w:numId w:val="31"/>
        </w:numPr>
        <w:rPr>
          <w:lang w:val="en-CA"/>
        </w:rPr>
      </w:pPr>
      <w:r w:rsidRPr="006715AC">
        <w:rPr>
          <w:lang w:val="en-CA"/>
        </w:rPr>
        <w:t>Since the adoption of the Kigali Amendment, the Executive Committee has discussed cost</w:t>
      </w:r>
      <w:r w:rsidR="00E469A0">
        <w:rPr>
          <w:lang w:val="en-CA"/>
        </w:rPr>
        <w:noBreakHyphen/>
      </w:r>
      <w:r w:rsidRPr="006715AC">
        <w:rPr>
          <w:lang w:val="en-CA"/>
        </w:rPr>
        <w:t>effectiveness thresholds for the HFC manufacturing sector and has decided that additional information is necessary to gain experience in the incremental capital costs and incremental operating costs associated with phasing down HFCs. Accordingly, the Committee approved, up to the 84</w:t>
      </w:r>
      <w:r w:rsidRPr="006715AC">
        <w:rPr>
          <w:vertAlign w:val="superscript"/>
          <w:lang w:val="en-CA"/>
        </w:rPr>
        <w:t>th</w:t>
      </w:r>
      <w:r w:rsidR="00D11FF2">
        <w:rPr>
          <w:lang w:val="en-CA"/>
        </w:rPr>
        <w:t> </w:t>
      </w:r>
      <w:r w:rsidRPr="006715AC">
        <w:rPr>
          <w:lang w:val="en-CA"/>
        </w:rPr>
        <w:t>meeting,</w:t>
      </w:r>
      <w:r w:rsidRPr="008C5488">
        <w:rPr>
          <w:rStyle w:val="FootnoteReference"/>
          <w:szCs w:val="22"/>
          <w:lang w:val="en-CA"/>
        </w:rPr>
        <w:footnoteReference w:id="24"/>
      </w:r>
      <w:r w:rsidRPr="006715AC">
        <w:rPr>
          <w:lang w:val="en-CA"/>
        </w:rPr>
        <w:t xml:space="preserve"> a limited number of stand</w:t>
      </w:r>
      <w:r w:rsidR="00D11FF2">
        <w:rPr>
          <w:lang w:val="en-CA"/>
        </w:rPr>
        <w:noBreakHyphen/>
      </w:r>
      <w:r w:rsidRPr="006715AC">
        <w:rPr>
          <w:lang w:val="en-CA"/>
        </w:rPr>
        <w:t>alone HFC investment projects fulfilling certain prerequisites, to be considered on a case</w:t>
      </w:r>
      <w:r w:rsidR="00D11FF2">
        <w:rPr>
          <w:lang w:val="en-CA"/>
        </w:rPr>
        <w:noBreakHyphen/>
      </w:r>
      <w:r w:rsidRPr="006715AC">
        <w:rPr>
          <w:lang w:val="en-CA"/>
        </w:rPr>
        <w:t>by</w:t>
      </w:r>
      <w:r w:rsidR="00D11FF2">
        <w:rPr>
          <w:lang w:val="en-CA"/>
        </w:rPr>
        <w:noBreakHyphen/>
      </w:r>
      <w:r w:rsidRPr="006715AC">
        <w:rPr>
          <w:lang w:val="en-CA"/>
        </w:rPr>
        <w:t>case basis in terms of technology maturity, replicability and geographic distribution (decisions 78/3 and 79/45). As at the 83</w:t>
      </w:r>
      <w:r w:rsidRPr="006715AC">
        <w:rPr>
          <w:vertAlign w:val="superscript"/>
          <w:lang w:val="en-CA"/>
        </w:rPr>
        <w:t>rd</w:t>
      </w:r>
      <w:r w:rsidR="00D11FF2">
        <w:rPr>
          <w:lang w:val="en-CA"/>
        </w:rPr>
        <w:t> </w:t>
      </w:r>
      <w:r w:rsidRPr="006715AC">
        <w:rPr>
          <w:lang w:val="en-CA"/>
        </w:rPr>
        <w:t>meeting, the Committee had approved a total of US $14.4 million for 10</w:t>
      </w:r>
      <w:r w:rsidR="00D11FF2">
        <w:rPr>
          <w:lang w:val="en-CA"/>
        </w:rPr>
        <w:t> </w:t>
      </w:r>
      <w:r w:rsidRPr="006715AC">
        <w:rPr>
          <w:lang w:val="en-CA"/>
        </w:rPr>
        <w:t>HFC</w:t>
      </w:r>
      <w:r w:rsidR="00D11FF2">
        <w:rPr>
          <w:lang w:val="en-CA"/>
        </w:rPr>
        <w:noBreakHyphen/>
      </w:r>
      <w:r w:rsidRPr="006715AC">
        <w:rPr>
          <w:lang w:val="en-CA"/>
        </w:rPr>
        <w:t>related investment projects in nine Article 5 countries.</w:t>
      </w:r>
      <w:r w:rsidRPr="008C5488">
        <w:rPr>
          <w:rStyle w:val="FootnoteReference"/>
          <w:lang w:val="en-CA"/>
        </w:rPr>
        <w:footnoteReference w:id="25"/>
      </w:r>
      <w:r w:rsidRPr="006715AC">
        <w:rPr>
          <w:lang w:val="en-CA"/>
        </w:rPr>
        <w:t xml:space="preserve"> </w:t>
      </w:r>
      <w:r w:rsidR="006715AC" w:rsidRPr="00E469A0">
        <w:rPr>
          <w:lang w:val="en-CA"/>
        </w:rPr>
        <w:t>While the level of funding can only be assessed once the actual HFC consumption is known and the cost</w:t>
      </w:r>
      <w:r w:rsidR="00D11FF2">
        <w:rPr>
          <w:lang w:val="en-CA"/>
        </w:rPr>
        <w:noBreakHyphen/>
      </w:r>
      <w:r w:rsidR="006715AC" w:rsidRPr="00E469A0">
        <w:rPr>
          <w:lang w:val="en-CA"/>
        </w:rPr>
        <w:t>effectiveness thresholds have been established; in similar situations where cost</w:t>
      </w:r>
      <w:r w:rsidR="00D11FF2">
        <w:rPr>
          <w:lang w:val="en-CA"/>
        </w:rPr>
        <w:noBreakHyphen/>
      </w:r>
      <w:r w:rsidR="006715AC" w:rsidRPr="00E469A0">
        <w:rPr>
          <w:lang w:val="en-CA"/>
        </w:rPr>
        <w:t>effectiveness thresholds had not been established, the Executive Committee considered and approved phase</w:t>
      </w:r>
      <w:r w:rsidR="00D11FF2">
        <w:rPr>
          <w:lang w:val="en-CA"/>
        </w:rPr>
        <w:noBreakHyphen/>
      </w:r>
      <w:r w:rsidR="006715AC" w:rsidRPr="00E469A0">
        <w:rPr>
          <w:lang w:val="en-CA"/>
        </w:rPr>
        <w:t>out investment projects on a case</w:t>
      </w:r>
      <w:r w:rsidR="00D11FF2">
        <w:rPr>
          <w:lang w:val="en-CA"/>
        </w:rPr>
        <w:noBreakHyphen/>
      </w:r>
      <w:r w:rsidR="006715AC" w:rsidRPr="00E469A0">
        <w:rPr>
          <w:lang w:val="en-CA"/>
        </w:rPr>
        <w:t>by</w:t>
      </w:r>
      <w:r w:rsidR="00D11FF2">
        <w:rPr>
          <w:lang w:val="en-CA"/>
        </w:rPr>
        <w:noBreakHyphen/>
      </w:r>
      <w:r w:rsidR="006715AC" w:rsidRPr="00E469A0">
        <w:rPr>
          <w:lang w:val="en-CA"/>
        </w:rPr>
        <w:t>case basis.</w:t>
      </w:r>
    </w:p>
    <w:p w14:paraId="11F7C664" w14:textId="7E2EA658" w:rsidR="00502FEE" w:rsidRDefault="00502FEE" w:rsidP="00502FEE">
      <w:pPr>
        <w:pStyle w:val="Heading1"/>
        <w:rPr>
          <w:lang w:val="en-CA"/>
        </w:rPr>
      </w:pPr>
      <w:r w:rsidRPr="00AA1A20">
        <w:rPr>
          <w:lang w:val="en-CA"/>
        </w:rPr>
        <w:lastRenderedPageBreak/>
        <w:t xml:space="preserve">With regard to the phase-down of HFCs in the refrigeration servicing sector, the </w:t>
      </w:r>
      <w:r>
        <w:rPr>
          <w:lang w:val="en-CA"/>
        </w:rPr>
        <w:t xml:space="preserve">Executive </w:t>
      </w:r>
      <w:r w:rsidRPr="00AA1A20">
        <w:rPr>
          <w:lang w:val="en-CA"/>
        </w:rPr>
        <w:t>Committee requested the Secretariat to prepare, for the 85</w:t>
      </w:r>
      <w:r w:rsidRPr="00AA1A20">
        <w:rPr>
          <w:vertAlign w:val="superscript"/>
          <w:lang w:val="en-CA"/>
        </w:rPr>
        <w:t>th</w:t>
      </w:r>
      <w:r w:rsidRPr="00AA1A20">
        <w:rPr>
          <w:lang w:val="en-CA"/>
        </w:rPr>
        <w:t xml:space="preserve"> meeting, a document analysing the level and modalities of funding for HFC phase-down in the refrigeration servicing sector (decision 83/65).</w:t>
      </w:r>
      <w:r>
        <w:rPr>
          <w:lang w:val="en-CA"/>
        </w:rPr>
        <w:t xml:space="preserve"> </w:t>
      </w:r>
    </w:p>
    <w:p w14:paraId="6982AD50" w14:textId="77777777" w:rsidR="00502FEE" w:rsidRDefault="00502FEE" w:rsidP="00502FEE">
      <w:pPr>
        <w:keepNext/>
        <w:rPr>
          <w:b/>
        </w:rPr>
      </w:pPr>
      <w:r w:rsidRPr="008550AA">
        <w:rPr>
          <w:b/>
        </w:rPr>
        <w:t xml:space="preserve">Capacity of </w:t>
      </w:r>
      <w:r>
        <w:rPr>
          <w:b/>
        </w:rPr>
        <w:t>F</w:t>
      </w:r>
      <w:r w:rsidRPr="008550AA">
        <w:rPr>
          <w:b/>
        </w:rPr>
        <w:t xml:space="preserve">und institutions and </w:t>
      </w:r>
      <w:r>
        <w:rPr>
          <w:b/>
        </w:rPr>
        <w:t>A</w:t>
      </w:r>
      <w:r w:rsidRPr="008550AA">
        <w:rPr>
          <w:b/>
        </w:rPr>
        <w:t>rticle 5 countries</w:t>
      </w:r>
    </w:p>
    <w:p w14:paraId="553FBEBD" w14:textId="77777777" w:rsidR="00502FEE" w:rsidRDefault="00502FEE" w:rsidP="00502FEE">
      <w:pPr>
        <w:keepNext/>
      </w:pPr>
    </w:p>
    <w:p w14:paraId="098528FD" w14:textId="5CB319E4" w:rsidR="00502FEE" w:rsidRPr="00E422A8" w:rsidRDefault="00502FEE" w:rsidP="00502FEE">
      <w:pPr>
        <w:pStyle w:val="Heading1"/>
      </w:pPr>
      <w:r w:rsidRPr="007956A5">
        <w:t xml:space="preserve">For the purposes of the present document, </w:t>
      </w:r>
      <w:r>
        <w:t xml:space="preserve">Fund institutions would refer to the </w:t>
      </w:r>
      <w:r w:rsidRPr="007956A5">
        <w:t>bilateral and implementing agencies</w:t>
      </w:r>
      <w:r w:rsidRPr="00F04147">
        <w:t xml:space="preserve"> </w:t>
      </w:r>
      <w:r>
        <w:t xml:space="preserve">and their associated </w:t>
      </w:r>
      <w:r w:rsidRPr="007956A5">
        <w:t>roles and responsibilities (as lead or cooperating agency) in assisting Article 5 countries in imp</w:t>
      </w:r>
      <w:r>
        <w:t>lementing their phase-out plans; and for</w:t>
      </w:r>
      <w:r w:rsidRPr="007956A5">
        <w:t xml:space="preserve"> Article 5 countries </w:t>
      </w:r>
      <w:r>
        <w:t>would ref</w:t>
      </w:r>
      <w:r w:rsidR="00E469A0">
        <w:t xml:space="preserve">er to the </w:t>
      </w:r>
      <w:r w:rsidRPr="007956A5">
        <w:t xml:space="preserve">NOUs, established through </w:t>
      </w:r>
      <w:r w:rsidR="00E469A0" w:rsidRPr="00695AA0">
        <w:t xml:space="preserve">institutional strengthening </w:t>
      </w:r>
      <w:r w:rsidR="00E469A0">
        <w:t>(</w:t>
      </w:r>
      <w:r w:rsidRPr="007956A5">
        <w:t>IS</w:t>
      </w:r>
      <w:r w:rsidR="00E469A0">
        <w:t>)</w:t>
      </w:r>
      <w:r w:rsidRPr="007956A5">
        <w:t xml:space="preserve"> support, which </w:t>
      </w:r>
      <w:r w:rsidRPr="00695AA0">
        <w:t xml:space="preserve">have </w:t>
      </w:r>
      <w:r w:rsidRPr="007956A5">
        <w:t xml:space="preserve">had </w:t>
      </w:r>
      <w:r w:rsidRPr="00695AA0">
        <w:t xml:space="preserve">an </w:t>
      </w:r>
      <w:r w:rsidRPr="007956A5">
        <w:t xml:space="preserve">increasing role in assisting </w:t>
      </w:r>
      <w:r w:rsidRPr="00695AA0">
        <w:t xml:space="preserve">in the </w:t>
      </w:r>
      <w:r w:rsidRPr="007956A5">
        <w:t xml:space="preserve">implementation of phase-out activities, and PMUs funded under </w:t>
      </w:r>
      <w:r w:rsidR="00E469A0">
        <w:t>NPPs</w:t>
      </w:r>
      <w:r w:rsidRPr="007956A5">
        <w:t xml:space="preserve">, which have strengthened the capacity of the NOUs. This document also includes </w:t>
      </w:r>
      <w:r>
        <w:t xml:space="preserve">a discussion of </w:t>
      </w:r>
      <w:r w:rsidRPr="007956A5">
        <w:t>UNEP</w:t>
      </w:r>
      <w:r w:rsidR="00654845">
        <w:t xml:space="preserve"> Compliance Assistance Programme (</w:t>
      </w:r>
      <w:r w:rsidRPr="007956A5">
        <w:t>CAP</w:t>
      </w:r>
      <w:r w:rsidR="00654845">
        <w:t>)</w:t>
      </w:r>
      <w:r w:rsidRPr="00695AA0">
        <w:t>,</w:t>
      </w:r>
      <w:r w:rsidRPr="007956A5">
        <w:t xml:space="preserve"> given its specific role in providing </w:t>
      </w:r>
      <w:r w:rsidRPr="00695AA0">
        <w:t>compliance assistance to all Article</w:t>
      </w:r>
      <w:r w:rsidR="00D11FF2">
        <w:t> </w:t>
      </w:r>
      <w:r w:rsidRPr="00695AA0">
        <w:t>5 countries.</w:t>
      </w:r>
    </w:p>
    <w:p w14:paraId="54821A98" w14:textId="77777777" w:rsidR="00502FEE" w:rsidRPr="00695AA0" w:rsidRDefault="00502FEE" w:rsidP="00502FEE">
      <w:pPr>
        <w:rPr>
          <w:bCs/>
          <w:iCs/>
          <w:u w:val="single"/>
        </w:rPr>
      </w:pPr>
      <w:r w:rsidRPr="00695AA0">
        <w:rPr>
          <w:bCs/>
          <w:iCs/>
          <w:u w:val="single"/>
        </w:rPr>
        <w:t>NOUs and PMUs</w:t>
      </w:r>
    </w:p>
    <w:p w14:paraId="1E432B43" w14:textId="77777777" w:rsidR="00502FEE" w:rsidRPr="00695AA0" w:rsidRDefault="00502FEE" w:rsidP="00502FEE"/>
    <w:p w14:paraId="11DF6E5A" w14:textId="79BD4886" w:rsidR="00502FEE" w:rsidRDefault="00502FEE" w:rsidP="00DA4013">
      <w:pPr>
        <w:pStyle w:val="Heading1"/>
        <w:widowControl w:val="0"/>
      </w:pPr>
      <w:r w:rsidRPr="00695AA0">
        <w:t xml:space="preserve">Support to IS by the Multilateral Fund represents a unique feature in the realm of funding for environment and sustainable development inasmuch as Article 5 countries have received continuous support for capacity building for more than 25 years. In fact, IS support has been </w:t>
      </w:r>
      <w:r w:rsidRPr="001765E6">
        <w:t>essential to the achievement of the targets set out by the Montreal Protocol.</w:t>
      </w:r>
      <w:r w:rsidRPr="001765E6">
        <w:rPr>
          <w:rStyle w:val="FootnoteReference"/>
        </w:rPr>
        <w:footnoteReference w:id="26"/>
      </w:r>
      <w:r w:rsidRPr="001765E6">
        <w:t xml:space="preserve"> </w:t>
      </w:r>
    </w:p>
    <w:p w14:paraId="43993156" w14:textId="77777777" w:rsidR="00502FEE" w:rsidRDefault="00502FEE" w:rsidP="00502FEE">
      <w:pPr>
        <w:pStyle w:val="Heading1"/>
      </w:pPr>
      <w:r>
        <w:t>This support has contributed to significant achievements, such as ratification of the Montreal Protocol and its five amendments, meeting the phase-out compliance targets established under the Montreal Protocol, the introduction of new legislation and regulations, the timely submission of consumption and production data of controlled substances under Article 7 of the Montreal Protocol and under country programme reports, the successful integration of ozone-protection issues into national plans, awareness raising and coordination of numerous stakeholders, and support to the implementation of phase-out plans. In fact, there is sufficient evidence to claim that the targets set out by the Montreal Protocol could have not been attained without the IS support.</w:t>
      </w:r>
    </w:p>
    <w:p w14:paraId="67068462" w14:textId="35616B79" w:rsidR="00502FEE" w:rsidRDefault="00502FEE" w:rsidP="00502FEE">
      <w:pPr>
        <w:pStyle w:val="Heading1"/>
      </w:pPr>
      <w:r>
        <w:t>Since the first funding approval at the 7</w:t>
      </w:r>
      <w:r w:rsidRPr="00CB5E9A">
        <w:rPr>
          <w:vertAlign w:val="superscript"/>
        </w:rPr>
        <w:t>th</w:t>
      </w:r>
      <w:r w:rsidR="00D11FF2">
        <w:t> </w:t>
      </w:r>
      <w:r>
        <w:t>meeting, IS funding levels have been increased at the 35</w:t>
      </w:r>
      <w:r w:rsidRPr="00CB5E9A">
        <w:rPr>
          <w:vertAlign w:val="superscript"/>
        </w:rPr>
        <w:t>th</w:t>
      </w:r>
      <w:r>
        <w:t> meeting (by 30</w:t>
      </w:r>
      <w:r w:rsidR="00D11FF2">
        <w:t> </w:t>
      </w:r>
      <w:r>
        <w:t>per</w:t>
      </w:r>
      <w:r w:rsidR="00D11FF2">
        <w:t> </w:t>
      </w:r>
      <w:r>
        <w:t>cent), and at the 74</w:t>
      </w:r>
      <w:r w:rsidRPr="00CB5E9A">
        <w:rPr>
          <w:vertAlign w:val="superscript"/>
        </w:rPr>
        <w:t>th</w:t>
      </w:r>
      <w:r w:rsidR="00D11FF2">
        <w:t> </w:t>
      </w:r>
      <w:r>
        <w:t>meeting (by 28</w:t>
      </w:r>
      <w:r w:rsidR="00D11FF2">
        <w:t> </w:t>
      </w:r>
      <w:r>
        <w:t>per</w:t>
      </w:r>
      <w:r w:rsidR="00D11FF2">
        <w:t> </w:t>
      </w:r>
      <w:r>
        <w:t>cent). The increase in funding at the 74</w:t>
      </w:r>
      <w:r w:rsidRPr="00BC1C5E">
        <w:rPr>
          <w:vertAlign w:val="superscript"/>
        </w:rPr>
        <w:t>th</w:t>
      </w:r>
      <w:r w:rsidR="00E469A0">
        <w:t> </w:t>
      </w:r>
      <w:r>
        <w:t xml:space="preserve">meeting was an outcome of the review of the document on the </w:t>
      </w:r>
      <w:r w:rsidRPr="00A8657A">
        <w:t>Review of funding of institutional strengthening projects</w:t>
      </w:r>
      <w:r>
        <w:rPr>
          <w:rStyle w:val="FootnoteReference"/>
        </w:rPr>
        <w:footnoteReference w:id="27"/>
      </w:r>
      <w:r>
        <w:t xml:space="preserve"> </w:t>
      </w:r>
      <w:r w:rsidRPr="00FE3514">
        <w:t>prepared in line with decision</w:t>
      </w:r>
      <w:r w:rsidR="00D11FF2">
        <w:t> </w:t>
      </w:r>
      <w:r w:rsidRPr="00FE3514">
        <w:t>61/43(b)</w:t>
      </w:r>
      <w:r>
        <w:t>.</w:t>
      </w:r>
      <w:r>
        <w:rPr>
          <w:rStyle w:val="FootnoteReference"/>
        </w:rPr>
        <w:footnoteReference w:id="28"/>
      </w:r>
      <w:r>
        <w:t xml:space="preserve"> At that meeting, </w:t>
      </w:r>
      <w:r w:rsidRPr="00BC1C5E">
        <w:t xml:space="preserve">members underscored the importance of </w:t>
      </w:r>
      <w:r w:rsidRPr="00A15263">
        <w:t>IS projects and the NOUs, characterizing them as key to the success of the Montreal Protocol, and decided to increase IS funding level and to review IS, including funding levels, at the first meeting in 2020 (i.e., 85</w:t>
      </w:r>
      <w:r w:rsidRPr="00A15263">
        <w:rPr>
          <w:vertAlign w:val="superscript"/>
        </w:rPr>
        <w:t>th</w:t>
      </w:r>
      <w:r w:rsidR="00D11FF2">
        <w:t> </w:t>
      </w:r>
      <w:r w:rsidRPr="00A15263">
        <w:t>meeting) (decision</w:t>
      </w:r>
      <w:r w:rsidR="00D11FF2">
        <w:t> </w:t>
      </w:r>
      <w:r w:rsidRPr="00A15263">
        <w:t>74/51(c) and (d)).</w:t>
      </w:r>
      <w:r>
        <w:rPr>
          <w:rStyle w:val="FootnoteReference"/>
        </w:rPr>
        <w:footnoteReference w:id="29"/>
      </w:r>
      <w:r w:rsidRPr="00A15263">
        <w:t xml:space="preserve"> </w:t>
      </w:r>
    </w:p>
    <w:p w14:paraId="0011A322" w14:textId="77777777" w:rsidR="00502FEE" w:rsidRPr="00842816" w:rsidRDefault="00502FEE" w:rsidP="00936884">
      <w:pPr>
        <w:pStyle w:val="Heading1"/>
      </w:pPr>
      <w:r w:rsidRPr="00842816">
        <w:t xml:space="preserve">The </w:t>
      </w:r>
      <w:r>
        <w:t xml:space="preserve">additional </w:t>
      </w:r>
      <w:r w:rsidRPr="00842816">
        <w:t xml:space="preserve">workload </w:t>
      </w:r>
      <w:r>
        <w:t>for</w:t>
      </w:r>
      <w:r w:rsidRPr="00842816">
        <w:t xml:space="preserve"> </w:t>
      </w:r>
      <w:r>
        <w:t xml:space="preserve">NOUs relevant to the Kigali Amendment would be </w:t>
      </w:r>
      <w:r w:rsidRPr="00842816">
        <w:t xml:space="preserve">associated </w:t>
      </w:r>
      <w:r>
        <w:t>with</w:t>
      </w:r>
      <w:r w:rsidRPr="00842816">
        <w:t xml:space="preserve"> </w:t>
      </w:r>
      <w:r>
        <w:t>collecting</w:t>
      </w:r>
      <w:r w:rsidRPr="00842816">
        <w:t xml:space="preserve"> and reporting </w:t>
      </w:r>
      <w:r>
        <w:t xml:space="preserve">HFC </w:t>
      </w:r>
      <w:r w:rsidRPr="00842816">
        <w:t xml:space="preserve">production and consumption </w:t>
      </w:r>
      <w:r>
        <w:t xml:space="preserve">under Article 7 of the Montreal Protocol; </w:t>
      </w:r>
      <w:r>
        <w:lastRenderedPageBreak/>
        <w:t xml:space="preserve">reviewing, </w:t>
      </w:r>
      <w:r w:rsidRPr="00842816">
        <w:t>updat</w:t>
      </w:r>
      <w:r>
        <w:t>ing</w:t>
      </w:r>
      <w:r w:rsidRPr="00842816">
        <w:t xml:space="preserve"> and expan</w:t>
      </w:r>
      <w:r>
        <w:t xml:space="preserve">ding the legislative and </w:t>
      </w:r>
      <w:r w:rsidRPr="00842816">
        <w:t>regulatory frameworks</w:t>
      </w:r>
      <w:r>
        <w:t>,</w:t>
      </w:r>
      <w:r w:rsidRPr="00842816">
        <w:t xml:space="preserve"> including </w:t>
      </w:r>
      <w:r>
        <w:t xml:space="preserve">operational import/export </w:t>
      </w:r>
      <w:r w:rsidRPr="00842816">
        <w:t xml:space="preserve">licensing </w:t>
      </w:r>
      <w:r>
        <w:t xml:space="preserve">and quota </w:t>
      </w:r>
      <w:r w:rsidRPr="00842816">
        <w:t>systems</w:t>
      </w:r>
      <w:r>
        <w:t>,</w:t>
      </w:r>
      <w:r w:rsidRPr="00842816">
        <w:t xml:space="preserve"> </w:t>
      </w:r>
      <w:r>
        <w:t>addressing HCFCs and HFCs;</w:t>
      </w:r>
      <w:r w:rsidRPr="00842816">
        <w:t xml:space="preserve"> </w:t>
      </w:r>
      <w:r>
        <w:t xml:space="preserve">and enforcing those regulatory frameworks. This additional workload </w:t>
      </w:r>
      <w:r w:rsidRPr="00842816">
        <w:t>would be part of the analysis of increase</w:t>
      </w:r>
      <w:r>
        <w:t>d</w:t>
      </w:r>
      <w:r w:rsidRPr="00842816">
        <w:t xml:space="preserve"> funding for IS to be discussed at the 85</w:t>
      </w:r>
      <w:r w:rsidRPr="00842816">
        <w:rPr>
          <w:vertAlign w:val="superscript"/>
        </w:rPr>
        <w:t>th</w:t>
      </w:r>
      <w:r w:rsidRPr="00842816">
        <w:t xml:space="preserve"> meeting.</w:t>
      </w:r>
    </w:p>
    <w:p w14:paraId="3FAC08AC" w14:textId="1EBA5907" w:rsidR="00502FEE" w:rsidRPr="00B470B2" w:rsidRDefault="00502FEE" w:rsidP="00502FEE">
      <w:pPr>
        <w:pStyle w:val="Heading1"/>
        <w:widowControl w:val="0"/>
      </w:pPr>
      <w:r>
        <w:rPr>
          <w:color w:val="000000" w:themeColor="text1"/>
          <w:spacing w:val="-2"/>
          <w:lang w:val="en-CA"/>
        </w:rPr>
        <w:t xml:space="preserve">The role of the NOUs in coordinating the implementation of phase-out activities has been strengthened with the establishment of PMUs funded under </w:t>
      </w:r>
      <w:r w:rsidR="00E469A0">
        <w:rPr>
          <w:color w:val="000000" w:themeColor="text1"/>
          <w:spacing w:val="-2"/>
          <w:lang w:val="en-CA"/>
        </w:rPr>
        <w:t>NPPs</w:t>
      </w:r>
      <w:r>
        <w:rPr>
          <w:color w:val="000000" w:themeColor="text1"/>
          <w:spacing w:val="-2"/>
          <w:lang w:val="en-CA"/>
        </w:rPr>
        <w:t xml:space="preserve">. </w:t>
      </w:r>
      <w:r w:rsidRPr="00FA1893">
        <w:rPr>
          <w:lang w:val="en-CA"/>
        </w:rPr>
        <w:t xml:space="preserve">For the phase-out of HCFCs, </w:t>
      </w:r>
      <w:r>
        <w:t>the PMU became an integral component of the HPMPs, and specific</w:t>
      </w:r>
      <w:r w:rsidRPr="00FA1893">
        <w:rPr>
          <w:lang w:val="en-CA"/>
        </w:rPr>
        <w:t xml:space="preserve"> functions, separate from those of the NOU, </w:t>
      </w:r>
      <w:r>
        <w:rPr>
          <w:lang w:val="en-CA"/>
        </w:rPr>
        <w:t xml:space="preserve">are </w:t>
      </w:r>
      <w:r w:rsidRPr="00FA1893">
        <w:rPr>
          <w:lang w:val="en-CA"/>
        </w:rPr>
        <w:t xml:space="preserve">assigned to the PMU for </w:t>
      </w:r>
      <w:r>
        <w:rPr>
          <w:lang w:val="en-CA"/>
        </w:rPr>
        <w:t xml:space="preserve">the </w:t>
      </w:r>
      <w:r w:rsidRPr="00FA1893">
        <w:rPr>
          <w:lang w:val="en-CA"/>
        </w:rPr>
        <w:t xml:space="preserve">preparation of annual action plans, </w:t>
      </w:r>
      <w:r>
        <w:rPr>
          <w:lang w:val="en-CA"/>
        </w:rPr>
        <w:t xml:space="preserve">the </w:t>
      </w:r>
      <w:r w:rsidRPr="00FA1893">
        <w:rPr>
          <w:lang w:val="en-CA"/>
        </w:rPr>
        <w:t>management of activities with stakeholders, and monitoring and reporting</w:t>
      </w:r>
      <w:r>
        <w:rPr>
          <w:lang w:val="en-CA"/>
        </w:rPr>
        <w:t xml:space="preserve"> progress related to the HPMP</w:t>
      </w:r>
      <w:r w:rsidRPr="00FA1893">
        <w:rPr>
          <w:lang w:val="en-CA"/>
        </w:rPr>
        <w:t>.</w:t>
      </w:r>
      <w:r>
        <w:rPr>
          <w:lang w:val="en-CA"/>
        </w:rPr>
        <w:t xml:space="preserve"> </w:t>
      </w:r>
      <w:r>
        <w:t xml:space="preserve">PMUs are established either with a distinct structure or in the broader context of project coordination, monitoring and management, with the terms of reference included in </w:t>
      </w:r>
      <w:r w:rsidRPr="00FA1893">
        <w:rPr>
          <w:lang w:val="en-CA"/>
        </w:rPr>
        <w:t xml:space="preserve">Appendix 5-A of the Agreement between the Government concerned and the Executive Committee. </w:t>
      </w:r>
    </w:p>
    <w:p w14:paraId="45D5869A" w14:textId="3BC19049" w:rsidR="00502FEE" w:rsidRDefault="00502FEE" w:rsidP="00502FEE">
      <w:pPr>
        <w:pStyle w:val="Heading1"/>
      </w:pPr>
      <w:r w:rsidRPr="008B2217">
        <w:t xml:space="preserve">The level of funding for the PMU is based on </w:t>
      </w:r>
      <w:r>
        <w:t>an</w:t>
      </w:r>
      <w:r w:rsidRPr="008B2217">
        <w:t xml:space="preserve"> assessment of the type of phase</w:t>
      </w:r>
      <w:r w:rsidR="00D11FF2">
        <w:noBreakHyphen/>
      </w:r>
      <w:r w:rsidRPr="008B2217">
        <w:t>out projects and activities that will be implemented during the overall stage of the HPMP, and ranges from an average 5</w:t>
      </w:r>
      <w:r w:rsidR="00E469A0">
        <w:t> </w:t>
      </w:r>
      <w:r w:rsidRPr="008B2217">
        <w:t>per</w:t>
      </w:r>
      <w:r w:rsidR="00E469A0">
        <w:t> </w:t>
      </w:r>
      <w:r w:rsidRPr="008B2217">
        <w:t>cent to a maximum level not exceeding 10 per cent of the total HPMP funding for non</w:t>
      </w:r>
      <w:r w:rsidR="00D11FF2">
        <w:noBreakHyphen/>
      </w:r>
      <w:r w:rsidRPr="008B2217">
        <w:t>LVC countries; and up to 20</w:t>
      </w:r>
      <w:r w:rsidR="00D11FF2">
        <w:t> </w:t>
      </w:r>
      <w:r w:rsidRPr="008B2217">
        <w:t>per</w:t>
      </w:r>
      <w:r w:rsidR="00D11FF2">
        <w:t> </w:t>
      </w:r>
      <w:r w:rsidRPr="008B2217">
        <w:t>cent of total HPMP</w:t>
      </w:r>
      <w:r>
        <w:t xml:space="preserve"> </w:t>
      </w:r>
      <w:r w:rsidRPr="008B2217">
        <w:t>funding for LVC countries.</w:t>
      </w:r>
    </w:p>
    <w:p w14:paraId="2B999A70" w14:textId="77777777" w:rsidR="00502FEE" w:rsidRPr="001427A4" w:rsidRDefault="00502FEE" w:rsidP="00DA4013">
      <w:pPr>
        <w:keepNext/>
        <w:keepLines/>
        <w:rPr>
          <w:bCs/>
          <w:iCs/>
          <w:u w:val="single"/>
        </w:rPr>
      </w:pPr>
      <w:r w:rsidRPr="001427A4">
        <w:rPr>
          <w:bCs/>
          <w:iCs/>
          <w:u w:val="single"/>
        </w:rPr>
        <w:t xml:space="preserve">Bilateral and implementing agencies </w:t>
      </w:r>
    </w:p>
    <w:p w14:paraId="3EC68205" w14:textId="77777777" w:rsidR="00502FEE" w:rsidRDefault="00502FEE" w:rsidP="00DA4013">
      <w:pPr>
        <w:keepNext/>
        <w:keepLines/>
      </w:pPr>
    </w:p>
    <w:p w14:paraId="6076D0A8" w14:textId="47B0616F" w:rsidR="00502FEE" w:rsidRPr="00024601" w:rsidRDefault="00502FEE" w:rsidP="00DA4013">
      <w:pPr>
        <w:pStyle w:val="Heading1"/>
        <w:keepNext/>
        <w:keepLines/>
      </w:pPr>
      <w:r w:rsidRPr="008F2A50">
        <w:t xml:space="preserve">In 2001-2002, in the context of strategic planning </w:t>
      </w:r>
      <w:r>
        <w:t>for</w:t>
      </w:r>
      <w:r w:rsidRPr="008F2A50">
        <w:t xml:space="preserve"> the Multilateral Fund, the Executive Committee adopted the country-driven approach</w:t>
      </w:r>
      <w:r w:rsidRPr="00024601">
        <w:rPr>
          <w:rStyle w:val="FootnoteReference"/>
          <w:color w:val="000000" w:themeColor="text1"/>
        </w:rPr>
        <w:footnoteReference w:id="30"/>
      </w:r>
      <w:r>
        <w:t xml:space="preserve"> </w:t>
      </w:r>
      <w:r w:rsidRPr="00024601">
        <w:t>and eliminated the agency shares of investment project funds.</w:t>
      </w:r>
      <w:r w:rsidRPr="00024601">
        <w:rPr>
          <w:rStyle w:val="FootnoteReference"/>
          <w:color w:val="000000" w:themeColor="text1"/>
        </w:rPr>
        <w:footnoteReference w:id="31"/>
      </w:r>
      <w:r w:rsidRPr="00024601">
        <w:t xml:space="preserve"> At its 35</w:t>
      </w:r>
      <w:r w:rsidRPr="00024601">
        <w:rPr>
          <w:vertAlign w:val="superscript"/>
        </w:rPr>
        <w:t>th</w:t>
      </w:r>
      <w:r w:rsidRPr="00024601">
        <w:t xml:space="preserve"> meeting, the Executive Committee approved </w:t>
      </w:r>
      <w:r>
        <w:t xml:space="preserve">for the first time the </w:t>
      </w:r>
      <w:r w:rsidR="00E469A0">
        <w:t>CAP</w:t>
      </w:r>
      <w:r>
        <w:t xml:space="preserve"> </w:t>
      </w:r>
      <w:r w:rsidRPr="00024601">
        <w:t>budget</w:t>
      </w:r>
      <w:r w:rsidRPr="00024601">
        <w:rPr>
          <w:vertAlign w:val="superscript"/>
        </w:rPr>
        <w:footnoteReference w:id="32"/>
      </w:r>
      <w:r w:rsidRPr="00024601">
        <w:t xml:space="preserve"> for </w:t>
      </w:r>
      <w:r>
        <w:t>UNEP, and at its 38</w:t>
      </w:r>
      <w:r w:rsidRPr="00DA68E9">
        <w:rPr>
          <w:vertAlign w:val="superscript"/>
        </w:rPr>
        <w:t>th</w:t>
      </w:r>
      <w:r w:rsidR="00B86E57">
        <w:t> </w:t>
      </w:r>
      <w:r>
        <w:t>meeting approved the c</w:t>
      </w:r>
      <w:r w:rsidRPr="00024601">
        <w:t>ore unit budgets for UNDP, UNIDO and the World Bank</w:t>
      </w:r>
      <w:r>
        <w:t>, and adjusted the agency support costs associated with project proposals</w:t>
      </w:r>
      <w:r w:rsidRPr="00024601">
        <w:t>.</w:t>
      </w:r>
      <w:r>
        <w:rPr>
          <w:rStyle w:val="FootnoteReference"/>
        </w:rPr>
        <w:footnoteReference w:id="33"/>
      </w:r>
    </w:p>
    <w:p w14:paraId="492FAAE0" w14:textId="77777777" w:rsidR="00502FEE" w:rsidRPr="00311DF9" w:rsidRDefault="00502FEE" w:rsidP="00CB7DE8">
      <w:pPr>
        <w:pStyle w:val="Heading1"/>
        <w:widowControl w:val="0"/>
      </w:pPr>
      <w:r>
        <w:rPr>
          <w:snapToGrid w:val="0"/>
        </w:rPr>
        <w:t xml:space="preserve">The main </w:t>
      </w:r>
      <w:r w:rsidRPr="00CD4FFA">
        <w:rPr>
          <w:snapToGrid w:val="0"/>
        </w:rPr>
        <w:t xml:space="preserve">duties </w:t>
      </w:r>
      <w:r>
        <w:rPr>
          <w:snapToGrid w:val="0"/>
        </w:rPr>
        <w:t xml:space="preserve">of the core units </w:t>
      </w:r>
      <w:r w:rsidRPr="00CD4FFA">
        <w:rPr>
          <w:snapToGrid w:val="0"/>
        </w:rPr>
        <w:t xml:space="preserve">include reviewing project applications and preparing project proposals; </w:t>
      </w:r>
      <w:r>
        <w:rPr>
          <w:snapToGrid w:val="0"/>
        </w:rPr>
        <w:t xml:space="preserve">coordinating </w:t>
      </w:r>
      <w:r w:rsidRPr="00CD4FFA">
        <w:rPr>
          <w:snapToGrid w:val="0"/>
        </w:rPr>
        <w:t xml:space="preserve">with representatives from the Governments, establishing legal agreements and terms of reference for subcontractors; submitting progress reports, business plans, project proposals on behalf of Article 5 countries, reports on specific </w:t>
      </w:r>
      <w:r>
        <w:rPr>
          <w:snapToGrid w:val="0"/>
        </w:rPr>
        <w:t xml:space="preserve">on-going </w:t>
      </w:r>
      <w:r w:rsidRPr="00CD4FFA">
        <w:rPr>
          <w:snapToGrid w:val="0"/>
        </w:rPr>
        <w:t xml:space="preserve">projects, project completion reports for consideration by the Committee, addressing all issues raised by the Secretariat; mobilizing </w:t>
      </w:r>
      <w:r>
        <w:rPr>
          <w:snapToGrid w:val="0"/>
        </w:rPr>
        <w:t xml:space="preserve">additional </w:t>
      </w:r>
      <w:r w:rsidRPr="00CD4FFA">
        <w:rPr>
          <w:snapToGrid w:val="0"/>
        </w:rPr>
        <w:t>resources for implementation of approved projects</w:t>
      </w:r>
      <w:r>
        <w:rPr>
          <w:snapToGrid w:val="0"/>
        </w:rPr>
        <w:t xml:space="preserve"> when required</w:t>
      </w:r>
      <w:r w:rsidRPr="00CD4FFA">
        <w:rPr>
          <w:snapToGrid w:val="0"/>
        </w:rPr>
        <w:t>, processing contractual</w:t>
      </w:r>
      <w:r>
        <w:rPr>
          <w:snapToGrid w:val="0"/>
        </w:rPr>
        <w:t xml:space="preserve"> </w:t>
      </w:r>
      <w:r w:rsidRPr="00CD4FFA">
        <w:rPr>
          <w:snapToGrid w:val="0"/>
        </w:rPr>
        <w:t xml:space="preserve">and accounting project documents, and undertaking bidding process; following up on implementation status, including country visits if there is evidence of undue delays or difficulties; and participating in meetings of the Executive Committee, and </w:t>
      </w:r>
      <w:r>
        <w:rPr>
          <w:snapToGrid w:val="0"/>
        </w:rPr>
        <w:t xml:space="preserve">of </w:t>
      </w:r>
      <w:r w:rsidRPr="00CD4FFA">
        <w:rPr>
          <w:snapToGrid w:val="0"/>
        </w:rPr>
        <w:t>the Secretariat</w:t>
      </w:r>
      <w:r>
        <w:rPr>
          <w:snapToGrid w:val="0"/>
        </w:rPr>
        <w:t>.</w:t>
      </w:r>
    </w:p>
    <w:p w14:paraId="44BB3827" w14:textId="77777777" w:rsidR="00502FEE" w:rsidRDefault="00502FEE" w:rsidP="00CB7DE8">
      <w:pPr>
        <w:pStyle w:val="Heading1"/>
        <w:keepNext/>
        <w:keepLines/>
      </w:pPr>
      <w:r>
        <w:lastRenderedPageBreak/>
        <w:t xml:space="preserve">Funding requests for core unit costs are submitted </w:t>
      </w:r>
      <w:bookmarkStart w:id="0" w:name="_GoBack"/>
      <w:bookmarkEnd w:id="0"/>
      <w:r>
        <w:t>for consideration by the Executive Committee at the last meeting of each year.</w:t>
      </w:r>
      <w:r>
        <w:rPr>
          <w:rStyle w:val="FootnoteReference"/>
        </w:rPr>
        <w:footnoteReference w:id="34"/>
      </w:r>
      <w:r>
        <w:t xml:space="preserve"> The Secretariat reviews the funding requests and provides a recommendation for their approval. </w:t>
      </w:r>
    </w:p>
    <w:p w14:paraId="5D6615C5" w14:textId="77777777" w:rsidR="00502FEE" w:rsidRPr="004D6BA3" w:rsidRDefault="00502FEE" w:rsidP="00CB7DE8">
      <w:pPr>
        <w:pStyle w:val="Heading1"/>
        <w:widowControl w:val="0"/>
        <w:rPr>
          <w:snapToGrid w:val="0"/>
        </w:rPr>
      </w:pPr>
      <w:r>
        <w:t>With regard to the implementation of phase-out plans, t</w:t>
      </w:r>
      <w:r w:rsidRPr="004D6BA3">
        <w:rPr>
          <w:snapToGrid w:val="0"/>
        </w:rPr>
        <w:t>he roles and responsibilities of bilateral and implementing agencies</w:t>
      </w:r>
      <w:r>
        <w:rPr>
          <w:snapToGrid w:val="0"/>
        </w:rPr>
        <w:t>,</w:t>
      </w:r>
      <w:r w:rsidRPr="004D6BA3">
        <w:rPr>
          <w:snapToGrid w:val="0"/>
        </w:rPr>
        <w:t xml:space="preserve"> </w:t>
      </w:r>
      <w:r>
        <w:rPr>
          <w:snapToGrid w:val="0"/>
        </w:rPr>
        <w:t xml:space="preserve">funded through the agency support costs, </w:t>
      </w:r>
      <w:r w:rsidRPr="004D6BA3">
        <w:rPr>
          <w:snapToGrid w:val="0"/>
        </w:rPr>
        <w:t>are described in Appendix 6 of the Agreement</w:t>
      </w:r>
      <w:r>
        <w:rPr>
          <w:snapToGrid w:val="0"/>
        </w:rPr>
        <w:t>s for HPMPs, and</w:t>
      </w:r>
      <w:r>
        <w:rPr>
          <w:i/>
          <w:snapToGrid w:val="0"/>
        </w:rPr>
        <w:t xml:space="preserve"> </w:t>
      </w:r>
      <w:r w:rsidRPr="004D6BA3">
        <w:rPr>
          <w:snapToGrid w:val="0"/>
        </w:rPr>
        <w:t>include:</w:t>
      </w:r>
    </w:p>
    <w:p w14:paraId="305E0C18" w14:textId="77777777" w:rsidR="00502FEE" w:rsidRPr="00733FCB" w:rsidRDefault="00502FEE" w:rsidP="00502FEE">
      <w:pPr>
        <w:pStyle w:val="Heading2"/>
        <w:numPr>
          <w:ilvl w:val="1"/>
          <w:numId w:val="1"/>
        </w:numPr>
        <w:rPr>
          <w:snapToGrid w:val="0"/>
        </w:rPr>
      </w:pPr>
      <w:r w:rsidRPr="00733FCB">
        <w:rPr>
          <w:snapToGrid w:val="0"/>
          <w:u w:val="single"/>
        </w:rPr>
        <w:t>Lead agency</w:t>
      </w:r>
      <w:r w:rsidRPr="00733FCB">
        <w:rPr>
          <w:snapToGrid w:val="0"/>
        </w:rPr>
        <w:t xml:space="preserve">: </w:t>
      </w:r>
      <w:r>
        <w:rPr>
          <w:snapToGrid w:val="0"/>
        </w:rPr>
        <w:t>E</w:t>
      </w:r>
      <w:r w:rsidRPr="00733FCB">
        <w:rPr>
          <w:snapToGrid w:val="0"/>
        </w:rPr>
        <w:t xml:space="preserve">nsuring performance and financial verification in accordance with the Agreements and with internal procedures and requirements; preparing progress reports for previous funding tranches and plans of action for the following funding tranche; independent verification that the phase-out targets have been met and the associated tranche activities have been completed; fulfilling the reporting requirements for the progress reports and the overall plans; ensuring that independent technical experts carry out technical reviews; carrying out supervision missions; ensuring that the mechanism in place allows for effective, transparent implementation of the phase-out plan and accurate data reporting; and </w:t>
      </w:r>
      <w:r>
        <w:rPr>
          <w:snapToGrid w:val="0"/>
        </w:rPr>
        <w:t xml:space="preserve">providing </w:t>
      </w:r>
      <w:r w:rsidRPr="00733FCB">
        <w:rPr>
          <w:snapToGrid w:val="0"/>
        </w:rPr>
        <w:t>policy, m</w:t>
      </w:r>
      <w:r>
        <w:rPr>
          <w:snapToGrid w:val="0"/>
        </w:rPr>
        <w:t xml:space="preserve">anagement and technical support; </w:t>
      </w:r>
    </w:p>
    <w:p w14:paraId="2302D348" w14:textId="77777777" w:rsidR="00502FEE" w:rsidRPr="00781DDC" w:rsidRDefault="00502FEE" w:rsidP="00502FEE">
      <w:pPr>
        <w:pStyle w:val="Heading2"/>
        <w:numPr>
          <w:ilvl w:val="1"/>
          <w:numId w:val="1"/>
        </w:numPr>
        <w:rPr>
          <w:snapToGrid w:val="0"/>
        </w:rPr>
      </w:pPr>
      <w:r w:rsidRPr="00733FCB">
        <w:rPr>
          <w:snapToGrid w:val="0"/>
          <w:u w:val="single"/>
        </w:rPr>
        <w:t>Cooperating agency</w:t>
      </w:r>
      <w:r w:rsidRPr="00733FCB">
        <w:rPr>
          <w:snapToGrid w:val="0"/>
        </w:rPr>
        <w:t xml:space="preserve">: </w:t>
      </w:r>
      <w:r>
        <w:rPr>
          <w:snapToGrid w:val="0"/>
        </w:rPr>
        <w:t>P</w:t>
      </w:r>
      <w:r w:rsidRPr="00DD6BD4">
        <w:rPr>
          <w:noProof/>
        </w:rPr>
        <w:t>roviding assistance with policy, management and technical support when required</w:t>
      </w:r>
      <w:r w:rsidRPr="00733FCB">
        <w:rPr>
          <w:snapToGrid w:val="0"/>
        </w:rPr>
        <w:t>; implementing the activities funded by the cooperating agency while referring to</w:t>
      </w:r>
      <w:r>
        <w:rPr>
          <w:snapToGrid w:val="0"/>
        </w:rPr>
        <w:t xml:space="preserve"> the lead agency to ensure a co</w:t>
      </w:r>
      <w:r w:rsidRPr="00733FCB">
        <w:rPr>
          <w:snapToGrid w:val="0"/>
        </w:rPr>
        <w:t xml:space="preserve">ordinated sequence in the activities; and reaching consensus with the lead agency on planning, coordination and reporting arrangements to </w:t>
      </w:r>
      <w:r w:rsidRPr="00781DDC">
        <w:rPr>
          <w:snapToGrid w:val="0"/>
        </w:rPr>
        <w:t>facilitate the implementation of the plan.</w:t>
      </w:r>
    </w:p>
    <w:p w14:paraId="3E702D79" w14:textId="77777777" w:rsidR="00502FEE" w:rsidRPr="0088773E" w:rsidRDefault="00502FEE" w:rsidP="00502FEE">
      <w:pPr>
        <w:pStyle w:val="Heading1"/>
      </w:pPr>
      <w:r w:rsidRPr="0088773E">
        <w:t xml:space="preserve">As Article 5 countries ratify the Kigali Amendment and acquire related obligations, support from bilateral and implementing agencies </w:t>
      </w:r>
      <w:r>
        <w:t xml:space="preserve">would </w:t>
      </w:r>
      <w:r w:rsidRPr="0088773E">
        <w:t>be needed during the design of their HFC phase-down strategies</w:t>
      </w:r>
      <w:r>
        <w:t>, in addition to the support currently provided in implementing their HPMPs</w:t>
      </w:r>
      <w:r w:rsidRPr="0088773E">
        <w:t xml:space="preserve">. To achieve HFC reductions by 2024 (first control measure for </w:t>
      </w:r>
      <w:r>
        <w:t>Article 5 g</w:t>
      </w:r>
      <w:r w:rsidRPr="0088773E">
        <w:t xml:space="preserve">roup 1 countries) </w:t>
      </w:r>
      <w:r>
        <w:t xml:space="preserve">implementation of </w:t>
      </w:r>
      <w:r w:rsidRPr="0088773E">
        <w:t xml:space="preserve">HFC activities should start at least two years in advance. </w:t>
      </w:r>
      <w:r>
        <w:t>However, i</w:t>
      </w:r>
      <w:r w:rsidRPr="0088773E">
        <w:t>n the absence of HFC consumption dat</w:t>
      </w:r>
      <w:r>
        <w:t>a</w:t>
      </w:r>
      <w:r w:rsidRPr="0088773E">
        <w:t xml:space="preserve"> it is not possible to determine </w:t>
      </w:r>
      <w:r>
        <w:t xml:space="preserve">the </w:t>
      </w:r>
      <w:r w:rsidRPr="0088773E">
        <w:t xml:space="preserve">number of </w:t>
      </w:r>
      <w:r>
        <w:t xml:space="preserve">Article 5 </w:t>
      </w:r>
      <w:r w:rsidRPr="0088773E">
        <w:t xml:space="preserve">countries </w:t>
      </w:r>
      <w:r>
        <w:t xml:space="preserve">that </w:t>
      </w:r>
      <w:r w:rsidRPr="0088773E">
        <w:t xml:space="preserve">would require immediate </w:t>
      </w:r>
      <w:r>
        <w:t>assistance</w:t>
      </w:r>
      <w:r w:rsidRPr="0088773E">
        <w:t xml:space="preserve">.  </w:t>
      </w:r>
    </w:p>
    <w:p w14:paraId="708D5D43" w14:textId="77777777" w:rsidR="00502FEE" w:rsidRPr="00DC2DDD" w:rsidRDefault="00502FEE" w:rsidP="00502FEE">
      <w:pPr>
        <w:pStyle w:val="Heading1"/>
        <w:rPr>
          <w:snapToGrid w:val="0"/>
        </w:rPr>
      </w:pPr>
      <w:r w:rsidRPr="00781DDC">
        <w:rPr>
          <w:snapToGrid w:val="0"/>
        </w:rPr>
        <w:t>Based on the 2020-2022 business plans of the implementing agencies, the additional workload for preparing HFC phase</w:t>
      </w:r>
      <w:r>
        <w:rPr>
          <w:snapToGrid w:val="0"/>
        </w:rPr>
        <w:t>-</w:t>
      </w:r>
      <w:r w:rsidRPr="00781DDC">
        <w:rPr>
          <w:snapToGrid w:val="0"/>
        </w:rPr>
        <w:t xml:space="preserve">down plans </w:t>
      </w:r>
      <w:r>
        <w:rPr>
          <w:snapToGrid w:val="0"/>
        </w:rPr>
        <w:t xml:space="preserve">during that period </w:t>
      </w:r>
      <w:r w:rsidRPr="00781DDC">
        <w:rPr>
          <w:snapToGrid w:val="0"/>
        </w:rPr>
        <w:t>appear</w:t>
      </w:r>
      <w:r>
        <w:rPr>
          <w:snapToGrid w:val="0"/>
        </w:rPr>
        <w:t>s</w:t>
      </w:r>
      <w:r w:rsidRPr="00781DDC">
        <w:rPr>
          <w:snapToGrid w:val="0"/>
        </w:rPr>
        <w:t xml:space="preserve"> to be similar to the workload when stages of </w:t>
      </w:r>
      <w:r w:rsidRPr="00DC2DDD">
        <w:rPr>
          <w:snapToGrid w:val="0"/>
        </w:rPr>
        <w:t>HPMPs were being prepared. The inception of HFC phase-down plans seems to be gradual (i.e., the first six plans could be expected for submission in 2022) and thus the initial workload for the next few years can be absorbed with existing resources and the additional support cost associated to the new activities.</w:t>
      </w:r>
    </w:p>
    <w:p w14:paraId="7A3FB92A" w14:textId="639074D2" w:rsidR="00502FEE" w:rsidRPr="00DC2DDD" w:rsidRDefault="00502FEE" w:rsidP="00DC2DDD">
      <w:pPr>
        <w:pStyle w:val="Heading1"/>
        <w:rPr>
          <w:snapToGrid w:val="0"/>
        </w:rPr>
      </w:pPr>
      <w:r w:rsidRPr="00DC2DDD">
        <w:rPr>
          <w:snapToGrid w:val="0"/>
        </w:rPr>
        <w:t>Bilateral and implementing agencies indicated that ongoing work on HCFC phase-out and implementation of the Kigali Amendment through the associated HFC phase-down activities present new challenges in their work and support to Article 5 countries in meeting their Montreal Protocol compliance obligations and preparations for the implementation of the Kigali Amendment</w:t>
      </w:r>
      <w:r w:rsidR="00C43A14" w:rsidRPr="00DC2DDD">
        <w:rPr>
          <w:snapToGrid w:val="0"/>
        </w:rPr>
        <w:t xml:space="preserve">. </w:t>
      </w:r>
    </w:p>
    <w:p w14:paraId="79AF7AC3" w14:textId="77777777" w:rsidR="00502FEE" w:rsidRPr="00550C25" w:rsidRDefault="00502FEE" w:rsidP="00502FEE">
      <w:pPr>
        <w:rPr>
          <w:i/>
          <w:iCs/>
          <w:snapToGrid w:val="0"/>
        </w:rPr>
      </w:pPr>
      <w:r w:rsidRPr="00550C25">
        <w:rPr>
          <w:i/>
          <w:iCs/>
          <w:snapToGrid w:val="0"/>
        </w:rPr>
        <w:t>UNEP CAP</w:t>
      </w:r>
    </w:p>
    <w:p w14:paraId="5C058A71" w14:textId="77777777" w:rsidR="00502FEE" w:rsidRPr="00700F47" w:rsidRDefault="00502FEE" w:rsidP="00502FEE"/>
    <w:p w14:paraId="5B9CF7C7" w14:textId="3ED668BB" w:rsidR="00502FEE" w:rsidRPr="008B2217" w:rsidRDefault="00502FEE" w:rsidP="00502FEE">
      <w:pPr>
        <w:pStyle w:val="Heading1"/>
        <w:rPr>
          <w:lang w:val="en-CA"/>
        </w:rPr>
      </w:pPr>
      <w:r w:rsidRPr="008B2217">
        <w:rPr>
          <w:lang w:val="en-CA"/>
        </w:rPr>
        <w:t>The UNEP CAP</w:t>
      </w:r>
      <w:r w:rsidRPr="008B2217">
        <w:rPr>
          <w:rStyle w:val="FootnoteReference"/>
          <w:lang w:val="en-CA"/>
        </w:rPr>
        <w:footnoteReference w:id="35"/>
      </w:r>
      <w:r w:rsidRPr="008B2217">
        <w:rPr>
          <w:lang w:val="en-CA"/>
        </w:rPr>
        <w:t xml:space="preserve"> was approved to provide services and assistance to Article 5 countries, through a regional presence, to ensure and sustain the countries’ compliance obligations under the Montreal </w:t>
      </w:r>
      <w:r w:rsidRPr="008B2217">
        <w:rPr>
          <w:lang w:val="en-CA"/>
        </w:rPr>
        <w:lastRenderedPageBreak/>
        <w:t>Protocol. The CAP has been</w:t>
      </w:r>
      <w:r w:rsidR="00DC2DDD">
        <w:rPr>
          <w:lang w:val="en-CA"/>
        </w:rPr>
        <w:t xml:space="preserve"> strengthening the capacity of g</w:t>
      </w:r>
      <w:r w:rsidRPr="008B2217">
        <w:rPr>
          <w:lang w:val="en-CA"/>
        </w:rPr>
        <w:t xml:space="preserve">overnments, particularly the </w:t>
      </w:r>
      <w:r w:rsidRPr="008B2217">
        <w:rPr>
          <w:color w:val="000000" w:themeColor="text1"/>
          <w:spacing w:val="-2"/>
          <w:lang w:val="en-CA"/>
        </w:rPr>
        <w:t>NOUs</w:t>
      </w:r>
      <w:r w:rsidRPr="008B2217">
        <w:rPr>
          <w:lang w:val="en-CA"/>
        </w:rPr>
        <w:t xml:space="preserve">, ministries and other stakeholders, to elaborate and enforce policies and regulations required to implement the Montreal Protocol, and to make informed decisions about regulatory, institutional and policy frameworks as well as alternative technologies in line with agreed phase-out targets. </w:t>
      </w:r>
    </w:p>
    <w:p w14:paraId="2FDA6842" w14:textId="7991D1A1" w:rsidR="00502FEE" w:rsidRDefault="00502FEE" w:rsidP="00B86E57">
      <w:pPr>
        <w:pStyle w:val="Heading1"/>
        <w:widowControl w:val="0"/>
      </w:pPr>
      <w:r>
        <w:rPr>
          <w:lang w:val="en-CA" w:eastAsia="en-GB"/>
        </w:rPr>
        <w:t>F</w:t>
      </w:r>
      <w:r w:rsidRPr="00EC54A2">
        <w:rPr>
          <w:lang w:val="en-CA" w:eastAsia="en-GB"/>
        </w:rPr>
        <w:t xml:space="preserve">unding </w:t>
      </w:r>
      <w:r w:rsidRPr="00EC54A2">
        <w:t>requests for the CAP budget are submitted for consideration by the Executive Committee on an annual basis</w:t>
      </w:r>
      <w:r>
        <w:t xml:space="preserve"> and </w:t>
      </w:r>
      <w:r w:rsidRPr="00EC54A2">
        <w:t xml:space="preserve">include a comprehensive progress report on the activities implemented in the previous year, a financial </w:t>
      </w:r>
      <w:r w:rsidRPr="00DC2DDD">
        <w:t>report on disbursements, and a work programme for the following year.</w:t>
      </w:r>
      <w:r w:rsidRPr="00DC2DDD">
        <w:rPr>
          <w:rStyle w:val="FootnoteReference"/>
        </w:rPr>
        <w:footnoteReference w:id="36"/>
      </w:r>
      <w:r w:rsidRPr="00DC2DDD">
        <w:t xml:space="preserve"> The overall CAP funding request includes </w:t>
      </w:r>
      <w:r w:rsidR="00B53375" w:rsidRPr="00DC2DDD">
        <w:t>82</w:t>
      </w:r>
      <w:r w:rsidR="00B86E57">
        <w:t> </w:t>
      </w:r>
      <w:r w:rsidRPr="00DC2DDD">
        <w:t>per</w:t>
      </w:r>
      <w:r w:rsidR="00B86E57">
        <w:t> </w:t>
      </w:r>
      <w:r w:rsidRPr="00DC2DDD">
        <w:t xml:space="preserve">cent for staff and operational costs, and </w:t>
      </w:r>
      <w:r w:rsidR="00B53375" w:rsidRPr="00DC2DDD">
        <w:t>18</w:t>
      </w:r>
      <w:r w:rsidR="00B86E57">
        <w:t> </w:t>
      </w:r>
      <w:r w:rsidRPr="00DC2DDD">
        <w:t>per</w:t>
      </w:r>
      <w:r w:rsidR="00B86E57">
        <w:t> </w:t>
      </w:r>
      <w:r w:rsidRPr="00DC2DDD">
        <w:t>cent for</w:t>
      </w:r>
      <w:r>
        <w:t xml:space="preserve"> activity costs. T</w:t>
      </w:r>
      <w:r w:rsidRPr="00EC54A2">
        <w:t xml:space="preserve">he Secretariat reviews the requests and provides a recommendation </w:t>
      </w:r>
      <w:r>
        <w:t xml:space="preserve">regarding approval. </w:t>
      </w:r>
    </w:p>
    <w:p w14:paraId="68DE7315" w14:textId="77777777" w:rsidR="00502FEE" w:rsidRPr="002F7974" w:rsidRDefault="00502FEE" w:rsidP="00502FEE">
      <w:pPr>
        <w:rPr>
          <w:b/>
        </w:rPr>
      </w:pPr>
      <w:r w:rsidRPr="002F7974">
        <w:rPr>
          <w:b/>
        </w:rPr>
        <w:t>Engagement of Fund institutions with other institutions</w:t>
      </w:r>
    </w:p>
    <w:p w14:paraId="38F1D4EE" w14:textId="77777777" w:rsidR="00502FEE" w:rsidRPr="00D67C3F" w:rsidRDefault="00502FEE" w:rsidP="00502FEE"/>
    <w:p w14:paraId="3082824F" w14:textId="221983E4" w:rsidR="00502FEE" w:rsidRPr="000E3956" w:rsidRDefault="00502FEE" w:rsidP="00DA4013">
      <w:pPr>
        <w:pStyle w:val="Heading1"/>
        <w:widowControl w:val="0"/>
      </w:pPr>
      <w:r w:rsidRPr="000E3956">
        <w:t xml:space="preserve">The need and level of engagement of the Multilateral Fund institutions with institutions different </w:t>
      </w:r>
      <w:r>
        <w:t>from</w:t>
      </w:r>
      <w:r w:rsidRPr="000E3956">
        <w:t xml:space="preserve"> the ones already involved in the HCFC phase</w:t>
      </w:r>
      <w:r w:rsidR="00DC2DDD">
        <w:noBreakHyphen/>
      </w:r>
      <w:r w:rsidRPr="000E3956">
        <w:t xml:space="preserve">out (i.e., customs departments, </w:t>
      </w:r>
      <w:r>
        <w:t xml:space="preserve">the </w:t>
      </w:r>
      <w:r w:rsidRPr="000E3956">
        <w:t xml:space="preserve">private sector and </w:t>
      </w:r>
      <w:r>
        <w:t>its</w:t>
      </w:r>
      <w:r w:rsidRPr="000E3956">
        <w:t xml:space="preserve"> associations, importers and distributors of controlled substances and equipment, training and vocational institutions, academia, and non-governmental organizations) will be subject to additional </w:t>
      </w:r>
      <w:r>
        <w:t>considerations brought by the Kigali Amendment</w:t>
      </w:r>
      <w:r w:rsidRPr="000E3956">
        <w:t>, such as control</w:t>
      </w:r>
      <w:r>
        <w:t>ling</w:t>
      </w:r>
      <w:r w:rsidRPr="000E3956">
        <w:t xml:space="preserve"> emissions of HFC</w:t>
      </w:r>
      <w:r w:rsidR="00DC2DDD">
        <w:noBreakHyphen/>
      </w:r>
      <w:r w:rsidRPr="000E3956">
        <w:t>23</w:t>
      </w:r>
      <w:r>
        <w:t>,</w:t>
      </w:r>
      <w:r w:rsidRPr="000E3956">
        <w:t xml:space="preserve"> and energy efficiency in the refrigeration servicing and/or manufacturing sectors.</w:t>
      </w:r>
    </w:p>
    <w:p w14:paraId="19CDCDFE" w14:textId="1BDF70EF" w:rsidR="00502FEE" w:rsidRDefault="00502FEE" w:rsidP="00502FEE">
      <w:pPr>
        <w:pStyle w:val="Heading1"/>
      </w:pPr>
      <w:r w:rsidRPr="000E3956">
        <w:t>With regard to the production sector, emission control of HFC</w:t>
      </w:r>
      <w:r w:rsidR="00DC2DDD">
        <w:noBreakHyphen/>
      </w:r>
      <w:r w:rsidRPr="000E3956">
        <w:t>23 as by</w:t>
      </w:r>
      <w:r w:rsidR="00DC2DDD">
        <w:noBreakHyphen/>
      </w:r>
      <w:r w:rsidRPr="000E3956">
        <w:t>product in the production of HCFC</w:t>
      </w:r>
      <w:r w:rsidR="00DC2DDD">
        <w:noBreakHyphen/>
      </w:r>
      <w:r w:rsidRPr="000E3956">
        <w:t>22 relates to a limited number of countries. With regard to matters related to energy efficiency, the Executive Committee</w:t>
      </w:r>
      <w:r>
        <w:t>’s</w:t>
      </w:r>
      <w:r w:rsidRPr="000E3956">
        <w:t xml:space="preserve"> guidance is required </w:t>
      </w:r>
      <w:r>
        <w:t>regarding</w:t>
      </w:r>
      <w:r w:rsidRPr="000E3956">
        <w:t xml:space="preserve"> how it wishes to address the energy efficiency issue and potential engagement with other institutions. At its 82</w:t>
      </w:r>
      <w:r w:rsidRPr="000E3956">
        <w:rPr>
          <w:vertAlign w:val="superscript"/>
        </w:rPr>
        <w:t>nd</w:t>
      </w:r>
      <w:r w:rsidR="00DC2DDD">
        <w:t> </w:t>
      </w:r>
      <w:r w:rsidRPr="000E3956">
        <w:t>meeting, the Executive Committee requested the Secretariat to prepare a paper for the 83</w:t>
      </w:r>
      <w:r w:rsidRPr="000E3956">
        <w:rPr>
          <w:vertAlign w:val="superscript"/>
        </w:rPr>
        <w:t>rd</w:t>
      </w:r>
      <w:r w:rsidR="00DC2DDD">
        <w:t> </w:t>
      </w:r>
      <w:r w:rsidRPr="000E3956">
        <w:t>meeting, providing, as a first step, information</w:t>
      </w:r>
      <w:r w:rsidRPr="00F034DF">
        <w:t xml:space="preserve"> on relevant funds and financial institutions mobilizing resources for </w:t>
      </w:r>
      <w:r>
        <w:t xml:space="preserve">energy efficiency </w:t>
      </w:r>
      <w:r w:rsidRPr="00F034DF">
        <w:t>that might be utilized when phasing down HFCs under the Multilateral Fund</w:t>
      </w:r>
      <w:r>
        <w:t xml:space="preserve"> </w:t>
      </w:r>
      <w:r w:rsidRPr="00F034DF">
        <w:t>(decision</w:t>
      </w:r>
      <w:r w:rsidR="00DC2DDD">
        <w:t> </w:t>
      </w:r>
      <w:r w:rsidRPr="00F034DF">
        <w:t xml:space="preserve">82/83(d)). </w:t>
      </w:r>
      <w:r>
        <w:t>The Executive Committee considered the paper at its 83</w:t>
      </w:r>
      <w:r w:rsidRPr="00A10240">
        <w:rPr>
          <w:vertAlign w:val="superscript"/>
        </w:rPr>
        <w:t>rd</w:t>
      </w:r>
      <w:r w:rsidR="00DC2DDD">
        <w:t> </w:t>
      </w:r>
      <w:r>
        <w:t>meeting;</w:t>
      </w:r>
      <w:r>
        <w:rPr>
          <w:rStyle w:val="FootnoteReference"/>
        </w:rPr>
        <w:footnoteReference w:id="37"/>
      </w:r>
      <w:r>
        <w:t xml:space="preserve"> and will continue discussing it at the 84</w:t>
      </w:r>
      <w:r w:rsidRPr="00A10240">
        <w:rPr>
          <w:vertAlign w:val="superscript"/>
        </w:rPr>
        <w:t>th</w:t>
      </w:r>
      <w:r w:rsidR="00DC2DDD">
        <w:t> </w:t>
      </w:r>
      <w:r w:rsidR="008E3C6B">
        <w:t>meeting (decision </w:t>
      </w:r>
      <w:r>
        <w:t>83/63); accordingly, the Secretariat has resubmitted the document.</w:t>
      </w:r>
      <w:r>
        <w:rPr>
          <w:rStyle w:val="FootnoteReference"/>
        </w:rPr>
        <w:footnoteReference w:id="38"/>
      </w:r>
    </w:p>
    <w:p w14:paraId="07645315" w14:textId="77777777" w:rsidR="00502FEE" w:rsidRPr="006F6FFB" w:rsidRDefault="00502FEE" w:rsidP="00502FEE">
      <w:pPr>
        <w:rPr>
          <w:b/>
        </w:rPr>
      </w:pPr>
      <w:r w:rsidRPr="006F6FFB">
        <w:rPr>
          <w:b/>
        </w:rPr>
        <w:t>Executive Committee Policies</w:t>
      </w:r>
    </w:p>
    <w:p w14:paraId="2ED3FCE2" w14:textId="77777777" w:rsidR="00502FEE" w:rsidRPr="006F6FFB" w:rsidRDefault="00502FEE" w:rsidP="00502FEE"/>
    <w:p w14:paraId="1599430B" w14:textId="38F501C0" w:rsidR="00502FEE" w:rsidRPr="00FF0F63" w:rsidRDefault="00502FEE" w:rsidP="00502FEE">
      <w:pPr>
        <w:pStyle w:val="Heading1"/>
      </w:pPr>
      <w:r w:rsidRPr="00FF0F63">
        <w:t>While additional policies related to the phase-down of HFCs might</w:t>
      </w:r>
      <w:r w:rsidR="008E3C6B">
        <w:t xml:space="preserve"> need to be developed, decision </w:t>
      </w:r>
      <w:r w:rsidRPr="00FF0F63">
        <w:t>79/46(b)(iii) allows Article 5 group 1 countries</w:t>
      </w:r>
      <w:r w:rsidRPr="00FF0F63">
        <w:rPr>
          <w:rStyle w:val="FootnoteReference"/>
        </w:rPr>
        <w:footnoteReference w:id="39"/>
      </w:r>
      <w:r w:rsidRPr="00FF0F63">
        <w:t xml:space="preserve"> that have ratified the Kigali Amendment to request funding for the preparation of national plans to meet initial HFC reduction obligations, five</w:t>
      </w:r>
      <w:r w:rsidR="00B86E57">
        <w:t> </w:t>
      </w:r>
      <w:r w:rsidRPr="00FF0F63">
        <w:t>years prior to those obligations (i.e., 2019</w:t>
      </w:r>
      <w:r>
        <w:t>,</w:t>
      </w:r>
      <w:r w:rsidRPr="00FF0F63">
        <w:t xml:space="preserve"> as the freeze in consumption is in 2024).</w:t>
      </w:r>
      <w:r w:rsidRPr="00FF0F63">
        <w:rPr>
          <w:rStyle w:val="FootnoteReference"/>
        </w:rPr>
        <w:footnoteReference w:id="40"/>
      </w:r>
      <w:r w:rsidRPr="00FF0F63">
        <w:t xml:space="preserve"> </w:t>
      </w:r>
    </w:p>
    <w:p w14:paraId="33ADC7C7" w14:textId="77777777" w:rsidR="00502FEE" w:rsidRPr="00FF0F63" w:rsidRDefault="00502FEE" w:rsidP="00502FEE">
      <w:pPr>
        <w:pStyle w:val="Heading1"/>
        <w:numPr>
          <w:ilvl w:val="0"/>
          <w:numId w:val="0"/>
        </w:numPr>
        <w:rPr>
          <w:bCs/>
          <w:iCs/>
          <w:u w:val="single"/>
          <w:lang w:val="en-CA"/>
        </w:rPr>
      </w:pPr>
      <w:r w:rsidRPr="00FF0F63">
        <w:rPr>
          <w:bCs/>
          <w:iCs/>
          <w:u w:val="single"/>
          <w:lang w:val="en-CA"/>
        </w:rPr>
        <w:t>Preparation of HFC phase-down project proposals</w:t>
      </w:r>
    </w:p>
    <w:p w14:paraId="2CD5DB69" w14:textId="0C8C264C" w:rsidR="00502FEE" w:rsidRDefault="00DC2DDD" w:rsidP="00502FEE">
      <w:pPr>
        <w:pStyle w:val="Heading1"/>
        <w:rPr>
          <w:lang w:val="en-CA"/>
        </w:rPr>
      </w:pPr>
      <w:r>
        <w:rPr>
          <w:lang w:val="en-CA"/>
        </w:rPr>
        <w:t xml:space="preserve">The </w:t>
      </w:r>
      <w:r w:rsidR="00502FEE">
        <w:rPr>
          <w:lang w:val="en-CA"/>
        </w:rPr>
        <w:t>guidelines for the preparation of HFC</w:t>
      </w:r>
      <w:r w:rsidR="00EB753B">
        <w:rPr>
          <w:lang w:val="en-CA"/>
        </w:rPr>
        <w:t xml:space="preserve"> phase-</w:t>
      </w:r>
      <w:r w:rsidR="00936884">
        <w:rPr>
          <w:lang w:val="en-CA"/>
        </w:rPr>
        <w:t>down</w:t>
      </w:r>
      <w:r w:rsidR="00EB753B">
        <w:rPr>
          <w:lang w:val="en-CA"/>
        </w:rPr>
        <w:t xml:space="preserve"> plan</w:t>
      </w:r>
      <w:r w:rsidR="00502FEE">
        <w:rPr>
          <w:lang w:val="en-CA"/>
        </w:rPr>
        <w:t xml:space="preserve">s </w:t>
      </w:r>
      <w:r w:rsidR="00EB753B">
        <w:rPr>
          <w:lang w:val="en-CA"/>
        </w:rPr>
        <w:t>could be developed following a similar approach as the</w:t>
      </w:r>
      <w:r w:rsidR="00502FEE">
        <w:rPr>
          <w:lang w:val="en-CA"/>
        </w:rPr>
        <w:t xml:space="preserve"> guidelines for the preparation of HPMPs </w:t>
      </w:r>
      <w:r w:rsidR="00EB753B">
        <w:rPr>
          <w:lang w:val="en-CA"/>
        </w:rPr>
        <w:t>(</w:t>
      </w:r>
      <w:r w:rsidR="00502FEE">
        <w:rPr>
          <w:lang w:val="en-CA"/>
        </w:rPr>
        <w:t xml:space="preserve">adopted at the </w:t>
      </w:r>
      <w:r w:rsidR="00502FEE" w:rsidRPr="00106D1F">
        <w:rPr>
          <w:lang w:val="en-CA"/>
        </w:rPr>
        <w:t>54</w:t>
      </w:r>
      <w:r w:rsidR="00502FEE" w:rsidRPr="00106D1F">
        <w:rPr>
          <w:vertAlign w:val="superscript"/>
          <w:lang w:val="en-CA"/>
        </w:rPr>
        <w:t>th</w:t>
      </w:r>
      <w:r w:rsidR="00EB753B">
        <w:rPr>
          <w:lang w:val="en-CA"/>
        </w:rPr>
        <w:t> </w:t>
      </w:r>
      <w:r w:rsidR="00502FEE" w:rsidRPr="00106D1F">
        <w:rPr>
          <w:lang w:val="en-CA"/>
        </w:rPr>
        <w:t>meeting</w:t>
      </w:r>
      <w:r w:rsidR="00EB753B">
        <w:rPr>
          <w:lang w:val="en-CA"/>
        </w:rPr>
        <w:t>)</w:t>
      </w:r>
      <w:r w:rsidR="00502FEE">
        <w:rPr>
          <w:lang w:val="en-CA"/>
        </w:rPr>
        <w:t>. During the preparatory phase of HPMPs, t</w:t>
      </w:r>
      <w:r w:rsidR="00502FEE">
        <w:t>he Executive Committee provided</w:t>
      </w:r>
      <w:r w:rsidR="00502FEE" w:rsidRPr="00106D1F">
        <w:t xml:space="preserve"> funding to include HCFC control measures in legislation, regulations and licensing systems</w:t>
      </w:r>
      <w:r w:rsidR="00502FEE">
        <w:t>,</w:t>
      </w:r>
      <w:r w:rsidR="00502FEE" w:rsidRPr="00106D1F">
        <w:t xml:space="preserve"> and </w:t>
      </w:r>
      <w:r w:rsidR="00502FEE">
        <w:t xml:space="preserve">decided that </w:t>
      </w:r>
      <w:r w:rsidR="00502FEE" w:rsidRPr="00106D1F">
        <w:t>confirmation of the implementation of the same should be required as a prerequisite for funding implementation of the HPMP</w:t>
      </w:r>
      <w:r w:rsidR="00502FEE">
        <w:t xml:space="preserve"> </w:t>
      </w:r>
      <w:r w:rsidR="00502FEE">
        <w:lastRenderedPageBreak/>
        <w:t>(decision</w:t>
      </w:r>
      <w:r w:rsidR="00B86E57">
        <w:t> </w:t>
      </w:r>
      <w:r w:rsidR="00502FEE">
        <w:t>54/39).</w:t>
      </w:r>
      <w:r w:rsidR="00502FEE">
        <w:rPr>
          <w:rStyle w:val="FootnoteReference"/>
        </w:rPr>
        <w:footnoteReference w:id="41"/>
      </w:r>
      <w:r w:rsidR="00502FEE">
        <w:t xml:space="preserve"> </w:t>
      </w:r>
      <w:r w:rsidR="00502FEE">
        <w:rPr>
          <w:lang w:val="en-CA"/>
        </w:rPr>
        <w:t>The c</w:t>
      </w:r>
      <w:r w:rsidR="00502FEE" w:rsidRPr="0024017B">
        <w:rPr>
          <w:lang w:val="en-CA"/>
        </w:rPr>
        <w:t xml:space="preserve">ost structure for determining funding levels for preparation of investment </w:t>
      </w:r>
      <w:r w:rsidR="00502FEE">
        <w:rPr>
          <w:lang w:val="en-CA"/>
        </w:rPr>
        <w:t xml:space="preserve">projects </w:t>
      </w:r>
      <w:r w:rsidR="00502FEE" w:rsidRPr="0024017B">
        <w:rPr>
          <w:lang w:val="en-CA"/>
        </w:rPr>
        <w:t xml:space="preserve">and associated activities, and </w:t>
      </w:r>
      <w:r w:rsidR="00502FEE" w:rsidRPr="004A5707">
        <w:rPr>
          <w:lang w:val="en-CA"/>
        </w:rPr>
        <w:t xml:space="preserve">elements for funding the preparation of an overall HPMP </w:t>
      </w:r>
      <w:r w:rsidR="00502FEE">
        <w:rPr>
          <w:lang w:val="en-CA"/>
        </w:rPr>
        <w:t xml:space="preserve">were </w:t>
      </w:r>
      <w:r w:rsidR="00502FEE" w:rsidRPr="0024017B">
        <w:rPr>
          <w:lang w:val="en-CA"/>
        </w:rPr>
        <w:t xml:space="preserve">agreed </w:t>
      </w:r>
      <w:r w:rsidR="00502FEE">
        <w:rPr>
          <w:lang w:val="en-CA"/>
        </w:rPr>
        <w:t>at the 56</w:t>
      </w:r>
      <w:r w:rsidR="00502FEE" w:rsidRPr="00695AA0">
        <w:rPr>
          <w:vertAlign w:val="superscript"/>
          <w:lang w:val="en-CA"/>
        </w:rPr>
        <w:t>th</w:t>
      </w:r>
      <w:r>
        <w:rPr>
          <w:lang w:val="en-CA"/>
        </w:rPr>
        <w:t> </w:t>
      </w:r>
      <w:r w:rsidR="00502FEE">
        <w:rPr>
          <w:lang w:val="en-CA"/>
        </w:rPr>
        <w:t xml:space="preserve">meeting </w:t>
      </w:r>
      <w:r w:rsidR="00502FEE" w:rsidRPr="004A5707">
        <w:rPr>
          <w:lang w:val="en-CA"/>
        </w:rPr>
        <w:t>(</w:t>
      </w:r>
      <w:r w:rsidR="00502FEE" w:rsidRPr="0024017B">
        <w:rPr>
          <w:lang w:val="en-CA"/>
        </w:rPr>
        <w:t>decision</w:t>
      </w:r>
      <w:r w:rsidR="00502FEE">
        <w:rPr>
          <w:lang w:val="en-CA"/>
        </w:rPr>
        <w:t> </w:t>
      </w:r>
      <w:r w:rsidR="00502FEE" w:rsidRPr="0024017B">
        <w:rPr>
          <w:lang w:val="en-CA"/>
        </w:rPr>
        <w:t>56/16</w:t>
      </w:r>
      <w:r w:rsidR="00502FEE" w:rsidRPr="004A5707">
        <w:rPr>
          <w:lang w:val="en-CA"/>
        </w:rPr>
        <w:t>)</w:t>
      </w:r>
      <w:r w:rsidR="00502FEE">
        <w:rPr>
          <w:lang w:val="en-CA"/>
        </w:rPr>
        <w:t>.</w:t>
      </w:r>
      <w:r w:rsidR="00502FEE">
        <w:rPr>
          <w:rStyle w:val="FootnoteReference"/>
          <w:lang w:val="en-CA"/>
        </w:rPr>
        <w:footnoteReference w:id="42"/>
      </w:r>
      <w:r w:rsidR="00502FEE">
        <w:rPr>
          <w:lang w:val="en-CA"/>
        </w:rPr>
        <w:t xml:space="preserve"> Guidelines for preparation of stage</w:t>
      </w:r>
      <w:r w:rsidR="00B86E57">
        <w:rPr>
          <w:lang w:val="en-CA"/>
        </w:rPr>
        <w:t> </w:t>
      </w:r>
      <w:r w:rsidR="00502FEE">
        <w:rPr>
          <w:lang w:val="en-CA"/>
        </w:rPr>
        <w:t xml:space="preserve">II of HPMPs were adopted at the </w:t>
      </w:r>
      <w:r w:rsidR="00502FEE" w:rsidRPr="00B4026B">
        <w:rPr>
          <w:lang w:val="en-CA"/>
        </w:rPr>
        <w:t>71</w:t>
      </w:r>
      <w:r w:rsidR="00502FEE" w:rsidRPr="00B4026B">
        <w:rPr>
          <w:vertAlign w:val="superscript"/>
          <w:lang w:val="en-CA"/>
        </w:rPr>
        <w:t>st</w:t>
      </w:r>
      <w:r w:rsidR="00B86E57">
        <w:rPr>
          <w:lang w:val="en-CA"/>
        </w:rPr>
        <w:t> </w:t>
      </w:r>
      <w:r w:rsidR="00502FEE" w:rsidRPr="00B4026B">
        <w:rPr>
          <w:lang w:val="en-CA"/>
        </w:rPr>
        <w:t>meeting (decision</w:t>
      </w:r>
      <w:r w:rsidR="00B86E57">
        <w:rPr>
          <w:lang w:val="en-CA"/>
        </w:rPr>
        <w:t> </w:t>
      </w:r>
      <w:r w:rsidR="00502FEE" w:rsidRPr="00B4026B">
        <w:rPr>
          <w:lang w:val="en-CA"/>
        </w:rPr>
        <w:t>71/42)</w:t>
      </w:r>
      <w:r w:rsidR="00502FEE">
        <w:rPr>
          <w:lang w:val="en-CA"/>
        </w:rPr>
        <w:t>.</w:t>
      </w:r>
      <w:r w:rsidR="00502FEE">
        <w:rPr>
          <w:rStyle w:val="FootnoteReference"/>
          <w:lang w:val="en-CA"/>
        </w:rPr>
        <w:footnoteReference w:id="43"/>
      </w:r>
      <w:r w:rsidR="00502FEE" w:rsidRPr="00B4026B">
        <w:rPr>
          <w:lang w:val="en-CA"/>
        </w:rPr>
        <w:t xml:space="preserve"> </w:t>
      </w:r>
    </w:p>
    <w:p w14:paraId="234F14E0" w14:textId="005A7A73" w:rsidR="00502FEE" w:rsidRDefault="00502FEE" w:rsidP="00502FEE">
      <w:pPr>
        <w:pStyle w:val="Heading1"/>
        <w:rPr>
          <w:lang w:val="en-CA"/>
        </w:rPr>
      </w:pPr>
      <w:r w:rsidRPr="0024017B">
        <w:rPr>
          <w:lang w:val="en-CA"/>
        </w:rPr>
        <w:t xml:space="preserve">Bilateral and implementing agencies </w:t>
      </w:r>
      <w:r>
        <w:rPr>
          <w:lang w:val="en-CA"/>
        </w:rPr>
        <w:t xml:space="preserve">have </w:t>
      </w:r>
      <w:r w:rsidRPr="0024017B">
        <w:rPr>
          <w:lang w:val="en-CA"/>
        </w:rPr>
        <w:t>include</w:t>
      </w:r>
      <w:r>
        <w:rPr>
          <w:lang w:val="en-CA"/>
        </w:rPr>
        <w:t>d</w:t>
      </w:r>
      <w:r w:rsidRPr="0024017B">
        <w:rPr>
          <w:lang w:val="en-CA"/>
        </w:rPr>
        <w:t xml:space="preserve"> </w:t>
      </w:r>
      <w:r>
        <w:rPr>
          <w:lang w:val="en-CA"/>
        </w:rPr>
        <w:t>funding for the preparation</w:t>
      </w:r>
      <w:r w:rsidRPr="0024017B">
        <w:rPr>
          <w:lang w:val="en-CA"/>
        </w:rPr>
        <w:t xml:space="preserve"> </w:t>
      </w:r>
      <w:r>
        <w:rPr>
          <w:lang w:val="en-CA"/>
        </w:rPr>
        <w:t xml:space="preserve">of HFC project proposals </w:t>
      </w:r>
      <w:r w:rsidRPr="0024017B">
        <w:rPr>
          <w:lang w:val="en-CA"/>
        </w:rPr>
        <w:t xml:space="preserve">in their </w:t>
      </w:r>
      <w:r>
        <w:rPr>
          <w:lang w:val="en-CA"/>
        </w:rPr>
        <w:t xml:space="preserve">2020-2022 </w:t>
      </w:r>
      <w:r w:rsidRPr="0024017B">
        <w:rPr>
          <w:lang w:val="en-CA"/>
        </w:rPr>
        <w:t>business plans</w:t>
      </w:r>
      <w:r>
        <w:rPr>
          <w:lang w:val="en-CA"/>
        </w:rPr>
        <w:t xml:space="preserve">. However, guidelines to prepare and </w:t>
      </w:r>
      <w:r w:rsidRPr="00EB753B">
        <w:rPr>
          <w:lang w:val="en-CA"/>
        </w:rPr>
        <w:t xml:space="preserve">submit </w:t>
      </w:r>
      <w:r w:rsidR="000B6EAC" w:rsidRPr="00EB753B">
        <w:rPr>
          <w:lang w:val="en-CA"/>
        </w:rPr>
        <w:t>HFC phase</w:t>
      </w:r>
      <w:r w:rsidR="00EB753B" w:rsidRPr="00EB753B">
        <w:rPr>
          <w:lang w:val="en-CA"/>
        </w:rPr>
        <w:noBreakHyphen/>
      </w:r>
      <w:r w:rsidR="000B6EAC" w:rsidRPr="00EB753B">
        <w:rPr>
          <w:lang w:val="en-CA"/>
        </w:rPr>
        <w:t xml:space="preserve">down plans </w:t>
      </w:r>
      <w:r w:rsidRPr="00EB753B">
        <w:rPr>
          <w:lang w:val="en-CA"/>
        </w:rPr>
        <w:t>would need to be developed and approved. Various elements of the guidelines developed for stage</w:t>
      </w:r>
      <w:r w:rsidR="00EB753B" w:rsidRPr="00EB753B">
        <w:rPr>
          <w:lang w:val="en-CA"/>
        </w:rPr>
        <w:t> </w:t>
      </w:r>
      <w:r w:rsidRPr="00EB753B">
        <w:rPr>
          <w:lang w:val="en-CA"/>
        </w:rPr>
        <w:t>I and stage II of HPMPs are relevant for HFC phase-down; however, a decision on whether to implement</w:t>
      </w:r>
      <w:r w:rsidR="000B6EAC" w:rsidRPr="00EB753B">
        <w:rPr>
          <w:lang w:val="en-CA"/>
        </w:rPr>
        <w:t xml:space="preserve"> different elements of </w:t>
      </w:r>
      <w:r w:rsidRPr="00EB753B">
        <w:rPr>
          <w:lang w:val="en-CA"/>
        </w:rPr>
        <w:t>the HCFC phase-out and the HFC phase-down during the 2020-2030 period in a parallel or integrated manner will have an impact on the development of the HFC guidel</w:t>
      </w:r>
      <w:r>
        <w:rPr>
          <w:lang w:val="en-CA"/>
        </w:rPr>
        <w:t>ines.</w:t>
      </w:r>
    </w:p>
    <w:p w14:paraId="2BE0A506" w14:textId="77777777" w:rsidR="00502FEE" w:rsidRPr="003716D2" w:rsidRDefault="00502FEE" w:rsidP="00502FEE">
      <w:pPr>
        <w:rPr>
          <w:b/>
          <w:lang w:val="en-CA"/>
        </w:rPr>
      </w:pPr>
      <w:r>
        <w:rPr>
          <w:b/>
          <w:lang w:val="en-CA"/>
        </w:rPr>
        <w:t>PART III</w:t>
      </w:r>
      <w:r>
        <w:rPr>
          <w:b/>
          <w:lang w:val="en-CA"/>
        </w:rPr>
        <w:tab/>
      </w:r>
      <w:r w:rsidRPr="003716D2">
        <w:rPr>
          <w:b/>
          <w:lang w:val="en-CA"/>
        </w:rPr>
        <w:t>OBSERVATIONS</w:t>
      </w:r>
    </w:p>
    <w:p w14:paraId="6427B43D" w14:textId="77777777" w:rsidR="00502FEE" w:rsidRDefault="00502FEE" w:rsidP="00502FEE">
      <w:pPr>
        <w:rPr>
          <w:lang w:val="en-CA"/>
        </w:rPr>
      </w:pPr>
    </w:p>
    <w:p w14:paraId="623A78ED" w14:textId="00213BCC" w:rsidR="00502FEE" w:rsidRPr="00EB753B" w:rsidRDefault="00502FEE" w:rsidP="00DA4013">
      <w:pPr>
        <w:pStyle w:val="Heading1"/>
        <w:widowControl w:val="0"/>
      </w:pPr>
      <w:r>
        <w:t xml:space="preserve">The parallel or integrated </w:t>
      </w:r>
      <w:r w:rsidRPr="00481D21">
        <w:t xml:space="preserve">implementation of HCFC phase-out and HFC phase-down </w:t>
      </w:r>
      <w:r>
        <w:t>in Article</w:t>
      </w:r>
      <w:r w:rsidR="00B86E57">
        <w:t> </w:t>
      </w:r>
      <w:r>
        <w:t xml:space="preserve">5 countries </w:t>
      </w:r>
      <w:r w:rsidRPr="00481D21">
        <w:t>will depend on</w:t>
      </w:r>
      <w:r>
        <w:t xml:space="preserve"> a number of factors, in particular the amounts of HCFCs and HFCs th</w:t>
      </w:r>
      <w:r w:rsidRPr="00EB753B">
        <w:t xml:space="preserve">at would </w:t>
      </w:r>
      <w:r w:rsidR="000B6EAC" w:rsidRPr="00EB753B">
        <w:t xml:space="preserve">need to be reduced </w:t>
      </w:r>
      <w:r w:rsidRPr="00EB753B">
        <w:t>by Article 5 countries during the 2020-2030 period</w:t>
      </w:r>
      <w:r w:rsidR="000B6EAC" w:rsidRPr="00EB753B">
        <w:t xml:space="preserve"> to achieve compliance</w:t>
      </w:r>
      <w:r w:rsidR="0011030A" w:rsidRPr="00EB753B">
        <w:t xml:space="preserve"> </w:t>
      </w:r>
      <w:r w:rsidR="00EB753B">
        <w:t xml:space="preserve">with the control </w:t>
      </w:r>
      <w:r w:rsidR="000F4CB0">
        <w:t>targets under</w:t>
      </w:r>
      <w:r w:rsidR="00EB753B">
        <w:t xml:space="preserve"> the Protocol</w:t>
      </w:r>
      <w:r w:rsidRPr="00EB753B">
        <w:t xml:space="preserve">; the sectoral use of the controlled substances in the manufacturing and/or refrigeration servicing sectors; availability of financial resources; </w:t>
      </w:r>
      <w:r w:rsidR="00EB753B">
        <w:t>t</w:t>
      </w:r>
      <w:r w:rsidRPr="00EB753B">
        <w:t>he capacity</w:t>
      </w:r>
      <w:r>
        <w:t xml:space="preserve"> of the institutions </w:t>
      </w:r>
      <w:r w:rsidRPr="00EB753B">
        <w:t xml:space="preserve">implementing the proposed activities; as well as new policies and decisions by the Executive Committee. </w:t>
      </w:r>
    </w:p>
    <w:p w14:paraId="783E0418" w14:textId="419C16D6" w:rsidR="00502FEE" w:rsidRPr="00EB753B" w:rsidRDefault="00502FEE" w:rsidP="00502FEE">
      <w:pPr>
        <w:pStyle w:val="Heading1"/>
      </w:pPr>
      <w:r w:rsidRPr="00EB753B">
        <w:t>From the analysis presented in this document, it could be concluded that during the 2020</w:t>
      </w:r>
      <w:r w:rsidR="00B86E57">
        <w:noBreakHyphen/>
      </w:r>
      <w:r w:rsidRPr="00EB753B">
        <w:t>2030 period:</w:t>
      </w:r>
    </w:p>
    <w:p w14:paraId="00570C15" w14:textId="053F0016" w:rsidR="008505E3" w:rsidRPr="00EB753B" w:rsidRDefault="008505E3" w:rsidP="00502FEE">
      <w:pPr>
        <w:pStyle w:val="Heading2"/>
        <w:numPr>
          <w:ilvl w:val="1"/>
          <w:numId w:val="1"/>
        </w:numPr>
      </w:pPr>
      <w:r w:rsidRPr="00EB753B">
        <w:t>While the level of HCFC production and consumption to be reduced between 2020 and 2030 as well as the sectors from which those reductions would be achieved</w:t>
      </w:r>
      <w:r w:rsidR="00805A6F">
        <w:t xml:space="preserve"> are known</w:t>
      </w:r>
      <w:r w:rsidRPr="00EB753B">
        <w:t>, it is still early to have a reliable aggregated estimate of the amount of HFC that Article</w:t>
      </w:r>
      <w:r w:rsidR="00805A6F">
        <w:t> </w:t>
      </w:r>
      <w:r w:rsidRPr="00EB753B">
        <w:t xml:space="preserve">5 countries will need to reduce to ensure compliance with the Montreal Protocol, </w:t>
      </w:r>
      <w:r w:rsidR="00805A6F">
        <w:t>as consumption and production</w:t>
      </w:r>
      <w:r w:rsidRPr="00EB753B">
        <w:t xml:space="preserve"> data will </w:t>
      </w:r>
      <w:r w:rsidR="00805A6F">
        <w:t xml:space="preserve">only start to </w:t>
      </w:r>
      <w:r w:rsidRPr="00EB753B">
        <w:t xml:space="preserve">be collected </w:t>
      </w:r>
      <w:r w:rsidR="00805A6F">
        <w:t xml:space="preserve">and reported under Article 7 of the Montreal Protocol </w:t>
      </w:r>
      <w:r w:rsidRPr="00EB753B">
        <w:t>in the next few years;</w:t>
      </w:r>
    </w:p>
    <w:p w14:paraId="7E30116A" w14:textId="51B6CE14" w:rsidR="00502FEE" w:rsidRPr="00EB753B" w:rsidRDefault="00502FEE" w:rsidP="00502FEE">
      <w:pPr>
        <w:pStyle w:val="Heading2"/>
        <w:numPr>
          <w:ilvl w:val="1"/>
          <w:numId w:val="1"/>
        </w:numPr>
      </w:pPr>
      <w:r w:rsidRPr="00EB753B">
        <w:t>The refrigeration servicing sector will play a key role in phasing out the remaining (and declining) consumption of HCFCs in all Article</w:t>
      </w:r>
      <w:r w:rsidR="00435F9D">
        <w:t> </w:t>
      </w:r>
      <w:r w:rsidRPr="00EB753B">
        <w:t>5 countries and will play a key role in phasing down the consumption of HFCs, noting that in approximately 100</w:t>
      </w:r>
      <w:r w:rsidR="00435F9D">
        <w:t> </w:t>
      </w:r>
      <w:r w:rsidRPr="00EB753B">
        <w:t>countries HFCs are only used in this sector;</w:t>
      </w:r>
    </w:p>
    <w:p w14:paraId="151903B9" w14:textId="649A2611" w:rsidR="00502FEE" w:rsidRPr="00805A6F" w:rsidRDefault="008505E3" w:rsidP="00AA1E26">
      <w:pPr>
        <w:pStyle w:val="Heading2"/>
      </w:pPr>
      <w:r w:rsidRPr="00EB753B">
        <w:t>As the majority of the activities being implemented in the refrigeration servicing sector could apply to both HCFC phase</w:t>
      </w:r>
      <w:r w:rsidR="00435F9D">
        <w:noBreakHyphen/>
      </w:r>
      <w:r w:rsidRPr="00EB753B">
        <w:t>out and HFC phase</w:t>
      </w:r>
      <w:r w:rsidR="00435F9D">
        <w:noBreakHyphen/>
      </w:r>
      <w:r w:rsidRPr="00EB753B">
        <w:t>down</w:t>
      </w:r>
      <w:r w:rsidR="001424DC" w:rsidRPr="00EB753B">
        <w:t>, t</w:t>
      </w:r>
      <w:r w:rsidR="00502FEE" w:rsidRPr="00EB753B">
        <w:t>he</w:t>
      </w:r>
      <w:r w:rsidR="001424DC" w:rsidRPr="00EB753B">
        <w:t>ir</w:t>
      </w:r>
      <w:r w:rsidR="00502FEE" w:rsidRPr="00EB753B">
        <w:t xml:space="preserve"> overlap </w:t>
      </w:r>
      <w:r w:rsidR="001424DC" w:rsidRPr="00EB753B">
        <w:t>pr</w:t>
      </w:r>
      <w:r w:rsidR="00502FEE" w:rsidRPr="00EB753B">
        <w:t>esents opportunities for Article 5</w:t>
      </w:r>
      <w:r w:rsidR="00435F9D">
        <w:t> </w:t>
      </w:r>
      <w:r w:rsidR="00502FEE" w:rsidRPr="00EB753B">
        <w:t>countries to implement comprehensive plans in the refrigeration servicing sector addressing all refrigerants, allowing for a cost</w:t>
      </w:r>
      <w:r w:rsidR="00435F9D">
        <w:noBreakHyphen/>
      </w:r>
      <w:r w:rsidR="00502FEE" w:rsidRPr="00EB753B">
        <w:t>effective and holistic implementation of activities using an integrated approach</w:t>
      </w:r>
      <w:r w:rsidR="001424DC" w:rsidRPr="00EB753B">
        <w:t xml:space="preserve">. The Executive Committee </w:t>
      </w:r>
      <w:r w:rsidR="00805A6F">
        <w:t>will consider, at its</w:t>
      </w:r>
      <w:r w:rsidR="001424DC" w:rsidRPr="00EB753B">
        <w:t xml:space="preserve"> 85</w:t>
      </w:r>
      <w:r w:rsidR="001424DC" w:rsidRPr="00EB753B">
        <w:rPr>
          <w:vertAlign w:val="superscript"/>
        </w:rPr>
        <w:t>th</w:t>
      </w:r>
      <w:r w:rsidR="00435F9D">
        <w:t> </w:t>
      </w:r>
      <w:r w:rsidR="001424DC" w:rsidRPr="00EB753B">
        <w:t xml:space="preserve">meeting, a document </w:t>
      </w:r>
      <w:r w:rsidR="00805A6F">
        <w:t>providing an analysis on</w:t>
      </w:r>
      <w:r w:rsidR="001424DC" w:rsidRPr="00EB753B">
        <w:t xml:space="preserve"> the level and modalities </w:t>
      </w:r>
      <w:r w:rsidR="001424DC" w:rsidRPr="00805A6F">
        <w:t>of funding for HFC phase</w:t>
      </w:r>
      <w:r w:rsidR="00435F9D">
        <w:noBreakHyphen/>
      </w:r>
      <w:r w:rsidR="001424DC" w:rsidRPr="00805A6F">
        <w:t>down in the refrigeration servicing sector (decision</w:t>
      </w:r>
      <w:r w:rsidR="00805A6F" w:rsidRPr="00805A6F">
        <w:t> </w:t>
      </w:r>
      <w:r w:rsidR="001424DC" w:rsidRPr="00805A6F">
        <w:t>83/65);</w:t>
      </w:r>
    </w:p>
    <w:p w14:paraId="7BB09F8E" w14:textId="2B464717" w:rsidR="00502FEE" w:rsidRPr="00805A6F" w:rsidRDefault="00502FEE" w:rsidP="00502FEE">
      <w:pPr>
        <w:pStyle w:val="Heading2"/>
        <w:numPr>
          <w:ilvl w:val="1"/>
          <w:numId w:val="1"/>
        </w:numPr>
      </w:pPr>
      <w:r w:rsidRPr="00805A6F">
        <w:t xml:space="preserve">The remaining consumption of HCFCs used in the manufacturing sector still to be addressed will be related only to few Article 5 countries, and </w:t>
      </w:r>
      <w:r w:rsidR="00805A6F" w:rsidRPr="00805A6F">
        <w:t xml:space="preserve">is </w:t>
      </w:r>
      <w:r w:rsidRPr="00805A6F">
        <w:t xml:space="preserve">mainly used in </w:t>
      </w:r>
      <w:r w:rsidR="00936884">
        <w:t>RAC</w:t>
      </w:r>
      <w:r w:rsidRPr="00805A6F">
        <w:t xml:space="preserve"> applications;</w:t>
      </w:r>
    </w:p>
    <w:p w14:paraId="35840B15" w14:textId="5D8F0879" w:rsidR="0011030A" w:rsidRPr="00805A6F" w:rsidRDefault="0011030A" w:rsidP="00E70287">
      <w:pPr>
        <w:pStyle w:val="Heading2"/>
        <w:widowControl/>
        <w:numPr>
          <w:ilvl w:val="1"/>
          <w:numId w:val="1"/>
        </w:numPr>
      </w:pPr>
      <w:r w:rsidRPr="00805A6F">
        <w:t xml:space="preserve">Investment projects for the phase-out of HCFCs and/or HFCs in the manufacturing sector are expected to be implemented in parallel given the different nature of the enterprises, </w:t>
      </w:r>
      <w:r w:rsidRPr="00805A6F">
        <w:lastRenderedPageBreak/>
        <w:t>except for enterprises that manufacture both HCFC-based and HFC-based equipment or products and wish to convert both at the same time;</w:t>
      </w:r>
    </w:p>
    <w:p w14:paraId="41E5F223" w14:textId="030CDE14" w:rsidR="00502FEE" w:rsidRDefault="00502FEE" w:rsidP="00502FEE">
      <w:pPr>
        <w:pStyle w:val="Heading2"/>
        <w:numPr>
          <w:ilvl w:val="1"/>
          <w:numId w:val="1"/>
        </w:numPr>
      </w:pPr>
      <w:r>
        <w:t>Cost-effective replacement technologies are currently available for the conversion of HFC</w:t>
      </w:r>
      <w:r w:rsidR="00805A6F">
        <w:noBreakHyphen/>
      </w:r>
      <w:r>
        <w:t>based domestic and unitary commercial refrigeration equipment and a few other applications that could be implemented</w:t>
      </w:r>
      <w:r w:rsidRPr="008B1D8C">
        <w:t xml:space="preserve"> </w:t>
      </w:r>
      <w:r>
        <w:t>immediately, reducing the future demand for HFCs associated with servicing practices;</w:t>
      </w:r>
    </w:p>
    <w:p w14:paraId="2FA7D131" w14:textId="127FBAE7" w:rsidR="00502FEE" w:rsidRPr="001424DC" w:rsidRDefault="00502FEE" w:rsidP="00502FEE">
      <w:pPr>
        <w:pStyle w:val="Heading2"/>
        <w:numPr>
          <w:ilvl w:val="1"/>
          <w:numId w:val="1"/>
        </w:numPr>
      </w:pPr>
      <w:r>
        <w:t xml:space="preserve">Based on available information, HFC production would be limited to only </w:t>
      </w:r>
      <w:r w:rsidRPr="00781DDC">
        <w:t>two Article</w:t>
      </w:r>
      <w:r w:rsidR="00805A6F">
        <w:t> </w:t>
      </w:r>
      <w:r w:rsidRPr="00781DDC">
        <w:t>5 countries</w:t>
      </w:r>
      <w:r>
        <w:t>. T</w:t>
      </w:r>
      <w:r w:rsidRPr="00781DDC">
        <w:t xml:space="preserve">he HFC </w:t>
      </w:r>
      <w:r>
        <w:t xml:space="preserve">production </w:t>
      </w:r>
      <w:r w:rsidRPr="00781DDC">
        <w:t>phase-down would be implemented in parallel to the HCFC phase</w:t>
      </w:r>
      <w:r w:rsidR="00805A6F">
        <w:noBreakHyphen/>
      </w:r>
      <w:r w:rsidRPr="00781DDC">
        <w:t>out activities</w:t>
      </w:r>
      <w:r>
        <w:t xml:space="preserve">, as the controlled substances </w:t>
      </w:r>
      <w:r w:rsidRPr="00781DDC">
        <w:t>are produced in different lines</w:t>
      </w:r>
      <w:r>
        <w:t xml:space="preserve">. </w:t>
      </w:r>
      <w:r w:rsidRPr="00333F89">
        <w:t xml:space="preserve">The timing to </w:t>
      </w:r>
      <w:r w:rsidRPr="001424DC">
        <w:t>address HFC production would depend on the rate of phase</w:t>
      </w:r>
      <w:r w:rsidR="00805A6F">
        <w:noBreakHyphen/>
      </w:r>
      <w:r w:rsidRPr="001424DC">
        <w:t>out of HFCs in different applications; and</w:t>
      </w:r>
    </w:p>
    <w:p w14:paraId="7FE29394" w14:textId="67523AD6" w:rsidR="001424DC" w:rsidRPr="001424DC" w:rsidRDefault="001424DC" w:rsidP="001424DC">
      <w:pPr>
        <w:pStyle w:val="Heading2"/>
      </w:pPr>
      <w:r w:rsidRPr="001424DC">
        <w:t>The increased workload for the NOUs associated with the HFC phase</w:t>
      </w:r>
      <w:r w:rsidR="00435F9D">
        <w:noBreakHyphen/>
      </w:r>
      <w:r w:rsidRPr="001424DC">
        <w:t>down, and the related funding would be discussed at the 85</w:t>
      </w:r>
      <w:r w:rsidRPr="001424DC">
        <w:rPr>
          <w:vertAlign w:val="superscript"/>
        </w:rPr>
        <w:t>th</w:t>
      </w:r>
      <w:r w:rsidR="00435F9D">
        <w:t> </w:t>
      </w:r>
      <w:r w:rsidR="00805A6F">
        <w:t>meeting.</w:t>
      </w:r>
    </w:p>
    <w:p w14:paraId="53FA4ADE" w14:textId="1F97BFE9" w:rsidR="001C78C6" w:rsidRPr="00805A6F" w:rsidRDefault="00502FEE" w:rsidP="00AA1E26">
      <w:pPr>
        <w:pStyle w:val="Heading1"/>
        <w:numPr>
          <w:ilvl w:val="0"/>
          <w:numId w:val="31"/>
        </w:numPr>
        <w:rPr>
          <w:strike/>
        </w:rPr>
      </w:pPr>
      <w:r w:rsidRPr="00805A6F">
        <w:t>The funding associated with the HFC phase</w:t>
      </w:r>
      <w:r w:rsidR="00805A6F">
        <w:noBreakHyphen/>
      </w:r>
      <w:r w:rsidRPr="00805A6F">
        <w:t>down will depend on a number of policy decisions by the Parties to the Montreal Protocol and the Executive Committee</w:t>
      </w:r>
      <w:r w:rsidR="00DE45BB" w:rsidRPr="00805A6F">
        <w:t>, including those resulting from the discussions on IS projects and the refrigeration servicing sector at the 85</w:t>
      </w:r>
      <w:r w:rsidR="00DE45BB" w:rsidRPr="00805A6F">
        <w:rPr>
          <w:vertAlign w:val="superscript"/>
        </w:rPr>
        <w:t>th</w:t>
      </w:r>
      <w:r w:rsidR="00805A6F">
        <w:t> </w:t>
      </w:r>
      <w:r w:rsidR="00DE45BB" w:rsidRPr="00805A6F">
        <w:t>meeting, as well as decisions on the cost</w:t>
      </w:r>
      <w:r w:rsidR="00805A6F">
        <w:noBreakHyphen/>
      </w:r>
      <w:r w:rsidR="00DE45BB" w:rsidRPr="00805A6F">
        <w:t>effectiveness thresholds for the manufacturing sectors in the context of the cost guidelines for HFC phase</w:t>
      </w:r>
      <w:r w:rsidR="00805A6F">
        <w:noBreakHyphen/>
      </w:r>
      <w:r w:rsidR="00DE45BB" w:rsidRPr="00805A6F">
        <w:t>down. Other decisions</w:t>
      </w:r>
      <w:r w:rsidR="00805A6F">
        <w:t>,</w:t>
      </w:r>
      <w:r w:rsidR="00DE45BB" w:rsidRPr="00805A6F">
        <w:t xml:space="preserve"> such as those related</w:t>
      </w:r>
      <w:r w:rsidR="00805A6F">
        <w:t xml:space="preserve"> t</w:t>
      </w:r>
      <w:r w:rsidR="00DE45BB" w:rsidRPr="00805A6F">
        <w:t>o the submission of HFC stand</w:t>
      </w:r>
      <w:r w:rsidR="00435F9D">
        <w:noBreakHyphen/>
      </w:r>
      <w:r w:rsidR="00DE45BB" w:rsidRPr="00805A6F">
        <w:t>alone investment projects or HFC phase</w:t>
      </w:r>
      <w:r w:rsidR="00805A6F">
        <w:noBreakHyphen/>
      </w:r>
      <w:r w:rsidR="00DE45BB" w:rsidRPr="00805A6F">
        <w:t>down plans</w:t>
      </w:r>
      <w:r w:rsidR="00805A6F">
        <w:t>,</w:t>
      </w:r>
      <w:r w:rsidR="00DE45BB" w:rsidRPr="00805A6F">
        <w:t xml:space="preserve"> </w:t>
      </w:r>
      <w:r w:rsidR="008340DF" w:rsidRPr="00805A6F">
        <w:t xml:space="preserve">would help understanding </w:t>
      </w:r>
      <w:r w:rsidR="00DE45BB" w:rsidRPr="00805A6F">
        <w:t xml:space="preserve">when those funds </w:t>
      </w:r>
      <w:r w:rsidR="008340DF" w:rsidRPr="00805A6F">
        <w:t xml:space="preserve">could be </w:t>
      </w:r>
      <w:r w:rsidR="00805A6F">
        <w:t>available to</w:t>
      </w:r>
      <w:r w:rsidR="008340DF" w:rsidRPr="00805A6F">
        <w:t xml:space="preserve"> Article</w:t>
      </w:r>
      <w:r w:rsidR="00805A6F">
        <w:t> </w:t>
      </w:r>
      <w:r w:rsidR="008340DF" w:rsidRPr="00805A6F">
        <w:t>5 countries.</w:t>
      </w:r>
      <w:r w:rsidRPr="00805A6F">
        <w:t xml:space="preserve"> </w:t>
      </w:r>
    </w:p>
    <w:p w14:paraId="6821D9B9" w14:textId="662ED952" w:rsidR="0011030A" w:rsidRPr="004A74D4" w:rsidRDefault="0011030A" w:rsidP="00AA1E26">
      <w:pPr>
        <w:pStyle w:val="Heading1"/>
        <w:rPr>
          <w:lang w:val="en-CA"/>
        </w:rPr>
      </w:pPr>
      <w:r w:rsidRPr="00805A6F">
        <w:rPr>
          <w:lang w:val="en-CA"/>
        </w:rPr>
        <w:t>At their Thirty</w:t>
      </w:r>
      <w:r w:rsidR="00805A6F">
        <w:rPr>
          <w:lang w:val="en-CA"/>
        </w:rPr>
        <w:noBreakHyphen/>
      </w:r>
      <w:r w:rsidRPr="00805A6F">
        <w:rPr>
          <w:lang w:val="en-CA"/>
        </w:rPr>
        <w:t>First Meeting, the Parties to the Montreal Protocol agreed on the terms of reference for the study on the 2021</w:t>
      </w:r>
      <w:r w:rsidR="00805A6F">
        <w:rPr>
          <w:lang w:val="en-CA"/>
        </w:rPr>
        <w:noBreakHyphen/>
      </w:r>
      <w:r w:rsidRPr="00805A6F">
        <w:rPr>
          <w:lang w:val="en-CA"/>
        </w:rPr>
        <w:t>2023 replenishment of the Multilateral Fund for the implementation of the Montreal Protocol.</w:t>
      </w:r>
      <w:r w:rsidRPr="00805A6F">
        <w:rPr>
          <w:rStyle w:val="FootnoteReference"/>
          <w:lang w:val="en-CA"/>
        </w:rPr>
        <w:footnoteReference w:id="44"/>
      </w:r>
      <w:r w:rsidRPr="00805A6F">
        <w:rPr>
          <w:lang w:val="en-CA"/>
        </w:rPr>
        <w:t xml:space="preserve"> The Parties requested the TEAP to prepare a report for submission to the Forty</w:t>
      </w:r>
      <w:r w:rsidR="00805A6F">
        <w:rPr>
          <w:lang w:val="en-CA"/>
        </w:rPr>
        <w:noBreakHyphen/>
      </w:r>
      <w:r w:rsidRPr="00805A6F">
        <w:rPr>
          <w:lang w:val="en-CA"/>
        </w:rPr>
        <w:t>Second</w:t>
      </w:r>
      <w:r w:rsidR="00805A6F">
        <w:rPr>
          <w:lang w:val="en-CA"/>
        </w:rPr>
        <w:t> </w:t>
      </w:r>
      <w:r w:rsidRPr="00805A6F">
        <w:rPr>
          <w:lang w:val="en-CA"/>
        </w:rPr>
        <w:t>Meeting of the Open</w:t>
      </w:r>
      <w:r w:rsidR="00805A6F">
        <w:rPr>
          <w:lang w:val="en-CA"/>
        </w:rPr>
        <w:noBreakHyphen/>
      </w:r>
      <w:r w:rsidRPr="00805A6F">
        <w:rPr>
          <w:lang w:val="en-CA"/>
        </w:rPr>
        <w:t>Ended Working Group to enable the Thirty</w:t>
      </w:r>
      <w:r w:rsidR="00805A6F">
        <w:rPr>
          <w:lang w:val="en-CA"/>
        </w:rPr>
        <w:noBreakHyphen/>
      </w:r>
      <w:r w:rsidRPr="00805A6F">
        <w:rPr>
          <w:lang w:val="en-CA"/>
        </w:rPr>
        <w:t>Second</w:t>
      </w:r>
      <w:r w:rsidR="00805A6F">
        <w:rPr>
          <w:lang w:val="en-CA"/>
        </w:rPr>
        <w:t> </w:t>
      </w:r>
      <w:r w:rsidRPr="00805A6F">
        <w:rPr>
          <w:lang w:val="en-CA"/>
        </w:rPr>
        <w:t xml:space="preserve">Meeting of the Parties to adopt a decision on the appropriate level of the 2021–2023 replenishment of the Multilateral Fund. </w:t>
      </w:r>
      <w:r w:rsidR="008340DF" w:rsidRPr="00805A6F">
        <w:rPr>
          <w:lang w:val="en-CA"/>
        </w:rPr>
        <w:t>In preparing the report, the TEAP should take into account, among others: the decisions, rules and guidelines agreed by the Executive Committee at its meetings, up to and including its 85</w:t>
      </w:r>
      <w:r w:rsidR="008340DF" w:rsidRPr="00805A6F">
        <w:rPr>
          <w:vertAlign w:val="superscript"/>
          <w:lang w:val="en-CA"/>
        </w:rPr>
        <w:t>th</w:t>
      </w:r>
      <w:r w:rsidR="00B54500">
        <w:rPr>
          <w:lang w:val="en-CA"/>
        </w:rPr>
        <w:t> </w:t>
      </w:r>
      <w:r w:rsidR="008340DF" w:rsidRPr="00805A6F">
        <w:rPr>
          <w:lang w:val="en-CA"/>
        </w:rPr>
        <w:t xml:space="preserve">meeting; </w:t>
      </w:r>
      <w:r w:rsidR="008340DF" w:rsidRPr="00805A6F">
        <w:t xml:space="preserve">the cost </w:t>
      </w:r>
      <w:r w:rsidR="008340DF" w:rsidRPr="00805A6F">
        <w:rPr>
          <w:lang w:val="en-CA"/>
        </w:rPr>
        <w:t>of supporting a limited number of stand</w:t>
      </w:r>
      <w:r w:rsidR="00B54500">
        <w:rPr>
          <w:lang w:val="en-CA"/>
        </w:rPr>
        <w:noBreakHyphen/>
      </w:r>
      <w:r w:rsidR="008340DF" w:rsidRPr="00805A6F">
        <w:rPr>
          <w:lang w:val="en-CA"/>
        </w:rPr>
        <w:t xml:space="preserve">alone projects transitioning out of HFCs in accordance </w:t>
      </w:r>
      <w:r w:rsidR="00B54500">
        <w:rPr>
          <w:lang w:val="en-CA"/>
        </w:rPr>
        <w:t>with</w:t>
      </w:r>
      <w:r w:rsidR="008340DF" w:rsidRPr="00805A6F">
        <w:rPr>
          <w:lang w:val="en-CA"/>
        </w:rPr>
        <w:t xml:space="preserve"> </w:t>
      </w:r>
      <w:r w:rsidR="008340DF" w:rsidRPr="00B54500">
        <w:rPr>
          <w:lang w:val="en-CA"/>
        </w:rPr>
        <w:t>paragraph</w:t>
      </w:r>
      <w:r w:rsidR="00805A6F" w:rsidRPr="00B54500">
        <w:rPr>
          <w:lang w:val="en-CA"/>
        </w:rPr>
        <w:t> </w:t>
      </w:r>
      <w:r w:rsidR="008340DF" w:rsidRPr="00B54500">
        <w:rPr>
          <w:lang w:val="en-CA"/>
        </w:rPr>
        <w:t>4 of decision</w:t>
      </w:r>
      <w:r w:rsidR="00805A6F" w:rsidRPr="00B54500">
        <w:rPr>
          <w:lang w:val="en-CA"/>
        </w:rPr>
        <w:t> </w:t>
      </w:r>
      <w:r w:rsidR="008340DF" w:rsidRPr="00B54500">
        <w:rPr>
          <w:lang w:val="en-CA"/>
        </w:rPr>
        <w:t>XXX/5;</w:t>
      </w:r>
      <w:r w:rsidR="008340DF" w:rsidRPr="00B54500">
        <w:rPr>
          <w:vertAlign w:val="superscript"/>
          <w:lang w:val="en-CA"/>
        </w:rPr>
        <w:footnoteReference w:id="45"/>
      </w:r>
      <w:r w:rsidR="008340DF" w:rsidRPr="00B54500">
        <w:rPr>
          <w:lang w:val="en-CA"/>
        </w:rPr>
        <w:t xml:space="preserve"> and the need to allocate resources for Article</w:t>
      </w:r>
      <w:r w:rsidR="00435F9D">
        <w:rPr>
          <w:lang w:val="en-CA"/>
        </w:rPr>
        <w:t> </w:t>
      </w:r>
      <w:r w:rsidR="008340DF" w:rsidRPr="00B54500">
        <w:rPr>
          <w:lang w:val="en-CA"/>
        </w:rPr>
        <w:t>5 parties to comply with the Kigali Amendment, including the preparation and, if needed, the implementation of phase</w:t>
      </w:r>
      <w:r w:rsidR="00805A6F" w:rsidRPr="00B54500">
        <w:rPr>
          <w:lang w:val="en-CA"/>
        </w:rPr>
        <w:noBreakHyphen/>
      </w:r>
      <w:r w:rsidR="008340DF" w:rsidRPr="00B54500">
        <w:rPr>
          <w:lang w:val="en-CA"/>
        </w:rPr>
        <w:t>down plans for HFCs that could include early activities in the servicing/end</w:t>
      </w:r>
      <w:r w:rsidR="00B54500" w:rsidRPr="00B54500">
        <w:rPr>
          <w:lang w:val="en-CA"/>
        </w:rPr>
        <w:noBreakHyphen/>
      </w:r>
      <w:r w:rsidR="008340DF" w:rsidRPr="00B54500">
        <w:rPr>
          <w:lang w:val="en-CA"/>
        </w:rPr>
        <w:t xml:space="preserve">users sector in order to comply with the </w:t>
      </w:r>
      <w:r w:rsidR="008340DF" w:rsidRPr="004A74D4">
        <w:rPr>
          <w:lang w:val="en-CA"/>
        </w:rPr>
        <w:t>Kigali Amendment by addressing the high growth rate in HFC consumption. Consequently, any decisions on these matters at the 84</w:t>
      </w:r>
      <w:r w:rsidR="008340DF" w:rsidRPr="004A74D4">
        <w:rPr>
          <w:vertAlign w:val="superscript"/>
          <w:lang w:val="en-CA"/>
        </w:rPr>
        <w:t>th</w:t>
      </w:r>
      <w:r w:rsidR="008340DF" w:rsidRPr="004A74D4">
        <w:rPr>
          <w:lang w:val="en-CA"/>
        </w:rPr>
        <w:t xml:space="preserve"> and 85</w:t>
      </w:r>
      <w:r w:rsidR="008340DF" w:rsidRPr="004A74D4">
        <w:rPr>
          <w:vertAlign w:val="superscript"/>
          <w:lang w:val="en-CA"/>
        </w:rPr>
        <w:t>th</w:t>
      </w:r>
      <w:r w:rsidR="00B54500" w:rsidRPr="004A74D4">
        <w:rPr>
          <w:lang w:val="en-CA"/>
        </w:rPr>
        <w:t> </w:t>
      </w:r>
      <w:r w:rsidR="008340DF" w:rsidRPr="004A74D4">
        <w:rPr>
          <w:lang w:val="en-CA"/>
        </w:rPr>
        <w:t>meetings would be considered by the TEAP.</w:t>
      </w:r>
    </w:p>
    <w:p w14:paraId="5B29A977" w14:textId="490EF5D8" w:rsidR="00450379" w:rsidRPr="004A74D4" w:rsidRDefault="00502FEE" w:rsidP="00B54500">
      <w:pPr>
        <w:pStyle w:val="Heading1"/>
      </w:pPr>
      <w:r w:rsidRPr="004A74D4">
        <w:rPr>
          <w:lang w:val="en-CA" w:eastAsia="en-CA"/>
        </w:rPr>
        <w:t>It could be expected that t</w:t>
      </w:r>
      <w:r w:rsidRPr="004A74D4">
        <w:rPr>
          <w:lang w:eastAsia="en-CA"/>
        </w:rPr>
        <w:t xml:space="preserve">he workload will increase as </w:t>
      </w:r>
      <w:r w:rsidRPr="004A74D4">
        <w:t>funding for HFC phase</w:t>
      </w:r>
      <w:r w:rsidRPr="004A74D4">
        <w:noBreakHyphen/>
        <w:t>down is approved in addition to HCFC phase</w:t>
      </w:r>
      <w:r w:rsidR="00DC2DDD" w:rsidRPr="004A74D4">
        <w:noBreakHyphen/>
      </w:r>
      <w:r w:rsidRPr="004A74D4">
        <w:t>out activities. As previously reported to the Executive Committee,</w:t>
      </w:r>
      <w:r w:rsidRPr="004A74D4">
        <w:rPr>
          <w:rStyle w:val="FootnoteReference"/>
        </w:rPr>
        <w:footnoteReference w:id="46"/>
      </w:r>
      <w:r w:rsidRPr="004A74D4">
        <w:t xml:space="preserve"> HFC</w:t>
      </w:r>
      <w:r w:rsidR="004A74D4" w:rsidRPr="004A74D4">
        <w:t> </w:t>
      </w:r>
      <w:r w:rsidRPr="004A74D4">
        <w:t>phase</w:t>
      </w:r>
      <w:r w:rsidR="00DC2DDD" w:rsidRPr="004A74D4">
        <w:noBreakHyphen/>
      </w:r>
      <w:r w:rsidRPr="004A74D4">
        <w:t>down activities, together with ongoing HCFC phase</w:t>
      </w:r>
      <w:r w:rsidR="00DC2DDD" w:rsidRPr="004A74D4">
        <w:noBreakHyphen/>
      </w:r>
      <w:r w:rsidRPr="004A74D4">
        <w:t xml:space="preserve">out activities, are expected to expand the scope and complexity of work under the Multilateral Fund, including that of the Executive Committee, the bilateral and implementing agencies, the Secretariat and the Treasurer. </w:t>
      </w:r>
    </w:p>
    <w:p w14:paraId="7A21C8F7" w14:textId="20DD7A6C" w:rsidR="00502FEE" w:rsidRPr="004A74D4" w:rsidRDefault="00502FEE" w:rsidP="00B54500">
      <w:pPr>
        <w:pStyle w:val="Heading1"/>
      </w:pPr>
      <w:r w:rsidRPr="004A74D4">
        <w:t>Bilateral and implementing agencies have already witnessed an increase in the volume of work related to the preparation of project proposals and enabling activities to respond to challenge</w:t>
      </w:r>
      <w:r w:rsidR="00DC2DDD" w:rsidRPr="004A74D4">
        <w:t>s related to the HFC phase</w:t>
      </w:r>
      <w:r w:rsidR="00435F9D" w:rsidRPr="004A74D4">
        <w:noBreakHyphen/>
      </w:r>
      <w:r w:rsidR="00DC2DDD" w:rsidRPr="004A74D4">
        <w:t>down</w:t>
      </w:r>
      <w:r w:rsidR="00450379" w:rsidRPr="004A74D4">
        <w:t xml:space="preserve">, </w:t>
      </w:r>
      <w:r w:rsidR="00DC2DDD" w:rsidRPr="004A74D4">
        <w:t xml:space="preserve">such as for example the additional regulatory measures to be established and the increased number of substances and blends for which information needs to be collected and reported by the </w:t>
      </w:r>
      <w:r w:rsidR="00DC2DDD" w:rsidRPr="004A74D4">
        <w:lastRenderedPageBreak/>
        <w:t>NOUs, the design of a strategy for HFC phase</w:t>
      </w:r>
      <w:r w:rsidR="00DC2DDD" w:rsidRPr="004A74D4">
        <w:noBreakHyphen/>
        <w:t>down that is compatible with HCFC phase</w:t>
      </w:r>
      <w:r w:rsidR="00DC2DDD" w:rsidRPr="004A74D4">
        <w:noBreakHyphen/>
        <w:t>out, or the preparatory work in the refrigeration servicing sector to facilitate the safe adoption of low</w:t>
      </w:r>
      <w:r w:rsidR="00435F9D" w:rsidRPr="004A74D4">
        <w:noBreakHyphen/>
      </w:r>
      <w:r w:rsidR="00DC2DDD" w:rsidRPr="004A74D4">
        <w:t xml:space="preserve">GWP technologies which could be flammable or toxic. </w:t>
      </w:r>
    </w:p>
    <w:p w14:paraId="7D27AABB" w14:textId="6D8F7CC4" w:rsidR="00502FEE" w:rsidRPr="004A74D4" w:rsidRDefault="00502FEE" w:rsidP="00502FEE">
      <w:pPr>
        <w:pStyle w:val="Heading1"/>
      </w:pPr>
      <w:r w:rsidRPr="004A74D4">
        <w:t>The workload of Fund institutions will be determined by mandated multi</w:t>
      </w:r>
      <w:r w:rsidRPr="004A74D4">
        <w:noBreakHyphen/>
        <w:t>year activities, the capacity and readiness of Article</w:t>
      </w:r>
      <w:r w:rsidR="00435F9D" w:rsidRPr="004A74D4">
        <w:t> </w:t>
      </w:r>
      <w:r w:rsidRPr="004A74D4">
        <w:t>5 countries to handle HCFC phase</w:t>
      </w:r>
      <w:r w:rsidR="00435F9D" w:rsidRPr="004A74D4">
        <w:noBreakHyphen/>
      </w:r>
      <w:r w:rsidRPr="004A74D4">
        <w:t>out and HFC phase</w:t>
      </w:r>
      <w:r w:rsidRPr="004A74D4">
        <w:noBreakHyphen/>
        <w:t>down activities concurrently, and the scheduling of those activities during the 2020</w:t>
      </w:r>
      <w:r w:rsidR="00435F9D" w:rsidRPr="004A74D4">
        <w:noBreakHyphen/>
      </w:r>
      <w:r w:rsidRPr="004A74D4">
        <w:t xml:space="preserve">2030 period. Activities that are or will be part of the Fund institutions’ portfolios include, but are not limited to: </w:t>
      </w:r>
    </w:p>
    <w:p w14:paraId="75CDC3A3" w14:textId="77777777" w:rsidR="00502FEE" w:rsidRPr="004A74D4" w:rsidRDefault="00502FEE" w:rsidP="00502FEE">
      <w:pPr>
        <w:pStyle w:val="Heading2"/>
        <w:numPr>
          <w:ilvl w:val="1"/>
          <w:numId w:val="1"/>
        </w:numPr>
      </w:pPr>
      <w:r w:rsidRPr="004A74D4">
        <w:t xml:space="preserve">Implementing the approved HPMPs, and reporting obligations to the Multilateral Fund; </w:t>
      </w:r>
    </w:p>
    <w:p w14:paraId="71D74038" w14:textId="757ACE86" w:rsidR="00502FEE" w:rsidRPr="004A74D4" w:rsidRDefault="00502FEE" w:rsidP="00435F9D">
      <w:pPr>
        <w:pStyle w:val="Heading2"/>
        <w:keepNext/>
        <w:widowControl/>
        <w:numPr>
          <w:ilvl w:val="1"/>
          <w:numId w:val="1"/>
        </w:numPr>
      </w:pPr>
      <w:r w:rsidRPr="004A74D4">
        <w:t>Completing the approved enabling activities that will support the early ratification of the Kigali Amendment as required and build the capacity of national stakeholders for the long</w:t>
      </w:r>
      <w:r w:rsidR="00B54500" w:rsidRPr="004A74D4">
        <w:noBreakHyphen/>
      </w:r>
      <w:r w:rsidRPr="004A74D4">
        <w:t xml:space="preserve">term implementation of HCFC phase-out and HFC phase-down activities; </w:t>
      </w:r>
    </w:p>
    <w:p w14:paraId="69C795DC" w14:textId="77777777" w:rsidR="00502FEE" w:rsidRPr="004A74D4" w:rsidRDefault="00502FEE" w:rsidP="00502FEE">
      <w:pPr>
        <w:pStyle w:val="Heading2"/>
        <w:numPr>
          <w:ilvl w:val="1"/>
          <w:numId w:val="1"/>
        </w:numPr>
      </w:pPr>
      <w:r w:rsidRPr="004A74D4">
        <w:t>Reviewing the legal, regulatory and institutional frameworks, including the import/export licensing and quota systems and enforcement regimes, in support of HCFC phase-out and HFC phase</w:t>
      </w:r>
      <w:r w:rsidRPr="004A74D4">
        <w:noBreakHyphen/>
        <w:t xml:space="preserve">down; </w:t>
      </w:r>
    </w:p>
    <w:p w14:paraId="28CCF9F5" w14:textId="77777777" w:rsidR="00502FEE" w:rsidRPr="004A74D4" w:rsidRDefault="00502FEE" w:rsidP="00502FEE">
      <w:pPr>
        <w:pStyle w:val="Heading2"/>
        <w:numPr>
          <w:ilvl w:val="1"/>
          <w:numId w:val="1"/>
        </w:numPr>
      </w:pPr>
      <w:r w:rsidRPr="004A74D4">
        <w:t xml:space="preserve">Analysing HCFC and HFC consumption and production levels and trends, and strengthening the capacity of national institutions in data collection, reporting and monitoring; </w:t>
      </w:r>
    </w:p>
    <w:p w14:paraId="5A9DE818" w14:textId="612BE016" w:rsidR="00502FEE" w:rsidRPr="004A74D4" w:rsidRDefault="00502FEE" w:rsidP="00C213C4">
      <w:pPr>
        <w:pStyle w:val="Heading2"/>
      </w:pPr>
      <w:r w:rsidRPr="004A74D4">
        <w:t>Strengthening the technical capabilities and skills of representatives from Governments responsible for the implementation of the Montreal Protocol, customs officers, refrigeration technicians, and other key actors involved in HCFC phase-out and HFC</w:t>
      </w:r>
      <w:r w:rsidR="004A74D4">
        <w:t> </w:t>
      </w:r>
      <w:r w:rsidRPr="004A74D4">
        <w:t>phase-down; and</w:t>
      </w:r>
    </w:p>
    <w:p w14:paraId="58954206" w14:textId="77777777" w:rsidR="00C213C4" w:rsidRPr="004A74D4" w:rsidRDefault="00C213C4" w:rsidP="00C213C4">
      <w:pPr>
        <w:rPr>
          <w:lang w:val="en-CA"/>
        </w:rPr>
      </w:pPr>
    </w:p>
    <w:p w14:paraId="76DDD47B" w14:textId="77777777" w:rsidR="00502FEE" w:rsidRPr="004A74D4" w:rsidRDefault="00502FEE" w:rsidP="00502FEE">
      <w:pPr>
        <w:pStyle w:val="Heading2"/>
        <w:numPr>
          <w:ilvl w:val="1"/>
          <w:numId w:val="1"/>
        </w:numPr>
      </w:pPr>
      <w:r w:rsidRPr="004A74D4">
        <w:t>Supporting a limited number of Article 5 countries with HCFC production facilities in the phase-out of HFC-23 by</w:t>
      </w:r>
      <w:r w:rsidRPr="004A74D4">
        <w:noBreakHyphen/>
        <w:t>product emissions.</w:t>
      </w:r>
    </w:p>
    <w:p w14:paraId="372D64E0" w14:textId="7D423905" w:rsidR="00502FEE" w:rsidRPr="004A74D4" w:rsidRDefault="00502FEE" w:rsidP="00502FEE">
      <w:pPr>
        <w:pStyle w:val="Heading1"/>
      </w:pPr>
      <w:r w:rsidRPr="004A74D4">
        <w:t>Potential funding increases for the operation of NOUs funded through the IS projects will be reviewed by the Executive Committee at its 85</w:t>
      </w:r>
      <w:r w:rsidRPr="004A74D4">
        <w:rPr>
          <w:vertAlign w:val="superscript"/>
        </w:rPr>
        <w:t>th</w:t>
      </w:r>
      <w:r w:rsidR="00435F9D" w:rsidRPr="004A74D4">
        <w:t> </w:t>
      </w:r>
      <w:r w:rsidRPr="004A74D4">
        <w:t>meeting. Potential funding increases for the Fund Secretariat, the Treasurer, the core units of UNDP, UNIDO and the World Bank, and UNEP CAP can only be assessed once the actual workload during the 2020</w:t>
      </w:r>
      <w:r w:rsidR="00435F9D" w:rsidRPr="004A74D4">
        <w:noBreakHyphen/>
      </w:r>
      <w:r w:rsidRPr="004A74D4">
        <w:t>2030 period is better known.</w:t>
      </w:r>
    </w:p>
    <w:p w14:paraId="6383B852" w14:textId="77777777" w:rsidR="00502FEE" w:rsidRPr="004A74D4" w:rsidRDefault="00502FEE" w:rsidP="00502FEE">
      <w:pPr>
        <w:pStyle w:val="Heading1"/>
      </w:pPr>
      <w:r w:rsidRPr="004A74D4">
        <w:t>Potential engagement with other institutions to address matters related to energy efficiency, particularly in the manufacturing sector, would require guidance from the Executive Committee. At its 84</w:t>
      </w:r>
      <w:r w:rsidRPr="004A74D4">
        <w:rPr>
          <w:vertAlign w:val="superscript"/>
        </w:rPr>
        <w:t>th</w:t>
      </w:r>
      <w:r w:rsidRPr="004A74D4">
        <w:t> meeting, the Executive Committee will continue its deliberations on this matter.</w:t>
      </w:r>
    </w:p>
    <w:p w14:paraId="4F42FE8D" w14:textId="77777777" w:rsidR="00502FEE" w:rsidRPr="003716D2" w:rsidRDefault="00502FEE" w:rsidP="00502FEE">
      <w:pPr>
        <w:pStyle w:val="Heading1"/>
        <w:numPr>
          <w:ilvl w:val="0"/>
          <w:numId w:val="0"/>
        </w:numPr>
        <w:rPr>
          <w:b/>
          <w:lang w:val="en-CA"/>
        </w:rPr>
      </w:pPr>
      <w:r w:rsidRPr="004A74D4">
        <w:rPr>
          <w:b/>
          <w:lang w:val="en-CA"/>
        </w:rPr>
        <w:t>Recommendation</w:t>
      </w:r>
      <w:r w:rsidRPr="003716D2">
        <w:rPr>
          <w:b/>
          <w:lang w:val="en-CA"/>
        </w:rPr>
        <w:t xml:space="preserve"> </w:t>
      </w:r>
    </w:p>
    <w:p w14:paraId="02938183" w14:textId="77777777" w:rsidR="008340DF" w:rsidRDefault="00502FEE" w:rsidP="00502FEE">
      <w:pPr>
        <w:pStyle w:val="Heading1"/>
        <w:rPr>
          <w:lang w:val="en-CA"/>
        </w:rPr>
      </w:pPr>
      <w:r>
        <w:rPr>
          <w:lang w:val="en-CA"/>
        </w:rPr>
        <w:t>The Executive Committee may wish</w:t>
      </w:r>
      <w:r w:rsidR="008340DF">
        <w:rPr>
          <w:lang w:val="en-CA"/>
        </w:rPr>
        <w:t>:</w:t>
      </w:r>
    </w:p>
    <w:p w14:paraId="582C3C1E" w14:textId="3AD3D6BC" w:rsidR="00502FEE" w:rsidRPr="00B54500" w:rsidRDefault="008340DF" w:rsidP="008340DF">
      <w:pPr>
        <w:pStyle w:val="Heading2"/>
        <w:rPr>
          <w:lang w:val="en-CA"/>
        </w:rPr>
      </w:pPr>
      <w:r>
        <w:rPr>
          <w:lang w:val="en-CA"/>
        </w:rPr>
        <w:t>T</w:t>
      </w:r>
      <w:r w:rsidR="00502FEE">
        <w:rPr>
          <w:lang w:val="en-CA"/>
        </w:rPr>
        <w:t xml:space="preserve">o note the </w:t>
      </w:r>
      <w:r w:rsidR="00502FEE" w:rsidRPr="003716D2">
        <w:rPr>
          <w:lang w:val="en-CA"/>
        </w:rPr>
        <w:t>analysis</w:t>
      </w:r>
      <w:r w:rsidR="00502FEE">
        <w:rPr>
          <w:lang w:val="en-CA"/>
        </w:rPr>
        <w:t xml:space="preserve"> </w:t>
      </w:r>
      <w:r w:rsidR="00502FEE" w:rsidRPr="003716D2">
        <w:rPr>
          <w:lang w:val="en-CA"/>
        </w:rPr>
        <w:t>of the implications of parallel or integrated implementation of HCFC phase</w:t>
      </w:r>
      <w:r w:rsidR="00435F9D">
        <w:rPr>
          <w:lang w:val="en-CA"/>
        </w:rPr>
        <w:noBreakHyphen/>
      </w:r>
      <w:r w:rsidR="00502FEE" w:rsidRPr="003716D2">
        <w:rPr>
          <w:lang w:val="en-CA"/>
        </w:rPr>
        <w:t>out and HFC phase</w:t>
      </w:r>
      <w:r w:rsidR="00435F9D">
        <w:rPr>
          <w:lang w:val="en-CA"/>
        </w:rPr>
        <w:noBreakHyphen/>
      </w:r>
      <w:r w:rsidR="00502FEE" w:rsidRPr="003716D2">
        <w:rPr>
          <w:lang w:val="en-CA"/>
        </w:rPr>
        <w:t>down activities</w:t>
      </w:r>
      <w:r w:rsidR="00502FEE">
        <w:rPr>
          <w:lang w:val="en-CA"/>
        </w:rPr>
        <w:t xml:space="preserve"> contained in document</w:t>
      </w:r>
      <w:r w:rsidR="00435F9D">
        <w:rPr>
          <w:lang w:val="en-CA"/>
        </w:rPr>
        <w:t> </w:t>
      </w:r>
      <w:r w:rsidR="00502FEE" w:rsidRPr="00B54500">
        <w:rPr>
          <w:lang w:val="en-CA"/>
        </w:rPr>
        <w:t>UNEP/</w:t>
      </w:r>
      <w:proofErr w:type="spellStart"/>
      <w:r w:rsidR="00502FEE" w:rsidRPr="00B54500">
        <w:rPr>
          <w:lang w:val="en-CA"/>
        </w:rPr>
        <w:t>OzL.Pro</w:t>
      </w:r>
      <w:proofErr w:type="spellEnd"/>
      <w:r w:rsidR="00502FEE" w:rsidRPr="00B54500">
        <w:rPr>
          <w:lang w:val="en-CA"/>
        </w:rPr>
        <w:t>/</w:t>
      </w:r>
      <w:proofErr w:type="spellStart"/>
      <w:r w:rsidR="00502FEE" w:rsidRPr="00B54500">
        <w:rPr>
          <w:lang w:val="en-CA"/>
        </w:rPr>
        <w:t>ExCom</w:t>
      </w:r>
      <w:proofErr w:type="spellEnd"/>
      <w:r w:rsidR="00502FEE" w:rsidRPr="00B54500">
        <w:rPr>
          <w:lang w:val="en-CA"/>
        </w:rPr>
        <w:t>/84/</w:t>
      </w:r>
      <w:r w:rsidRPr="00B54500">
        <w:rPr>
          <w:lang w:val="en-CA"/>
        </w:rPr>
        <w:t>65;</w:t>
      </w:r>
    </w:p>
    <w:p w14:paraId="4E57E853" w14:textId="5122D74F" w:rsidR="00DA4013" w:rsidRDefault="008340DF" w:rsidP="00DA4013">
      <w:pPr>
        <w:pStyle w:val="Heading2"/>
        <w:rPr>
          <w:lang w:val="en-CA"/>
        </w:rPr>
      </w:pPr>
      <w:r w:rsidRPr="00B54500">
        <w:rPr>
          <w:lang w:val="en-CA"/>
        </w:rPr>
        <w:t xml:space="preserve">To request the Secretariat to prepare an update of the analysis referred </w:t>
      </w:r>
      <w:r w:rsidR="00B54500" w:rsidRPr="00B54500">
        <w:rPr>
          <w:lang w:val="en-CA"/>
        </w:rPr>
        <w:t xml:space="preserve">to </w:t>
      </w:r>
      <w:r w:rsidRPr="00B54500">
        <w:rPr>
          <w:lang w:val="en-CA"/>
        </w:rPr>
        <w:t xml:space="preserve">in </w:t>
      </w:r>
      <w:r w:rsidR="00B54500" w:rsidRPr="00B54500">
        <w:rPr>
          <w:lang w:val="en-CA"/>
        </w:rPr>
        <w:t>sub</w:t>
      </w:r>
      <w:r w:rsidR="00B54500" w:rsidRPr="00B54500">
        <w:rPr>
          <w:lang w:val="en-CA"/>
        </w:rPr>
        <w:noBreakHyphen/>
        <w:t>paragraph </w:t>
      </w:r>
      <w:r w:rsidRPr="00B54500">
        <w:rPr>
          <w:lang w:val="en-CA"/>
        </w:rPr>
        <w:t xml:space="preserve">(a) </w:t>
      </w:r>
      <w:r w:rsidR="006A69FA" w:rsidRPr="00B54500">
        <w:rPr>
          <w:lang w:val="en-CA"/>
        </w:rPr>
        <w:t>for the 87</w:t>
      </w:r>
      <w:r w:rsidR="006A69FA" w:rsidRPr="00B54500">
        <w:rPr>
          <w:vertAlign w:val="superscript"/>
          <w:lang w:val="en-CA"/>
        </w:rPr>
        <w:t>th </w:t>
      </w:r>
      <w:r w:rsidR="006A69FA" w:rsidRPr="00B54500">
        <w:rPr>
          <w:lang w:val="en-CA"/>
        </w:rPr>
        <w:t>meeting.</w:t>
      </w:r>
    </w:p>
    <w:p w14:paraId="40AAD474" w14:textId="77777777" w:rsidR="0076046B" w:rsidRPr="0076046B" w:rsidRDefault="0076046B" w:rsidP="0076046B">
      <w:pPr>
        <w:rPr>
          <w:lang w:val="en-CA"/>
        </w:rPr>
      </w:pPr>
    </w:p>
    <w:p w14:paraId="26A684D6" w14:textId="7631522F" w:rsidR="0076046B" w:rsidRPr="0076046B" w:rsidRDefault="00E87D56" w:rsidP="0076046B">
      <w:pPr>
        <w:ind w:left="2880" w:firstLine="720"/>
        <w:rPr>
          <w:lang w:val="en-CA"/>
        </w:rPr>
      </w:pPr>
      <w:r>
        <w:rPr>
          <w:lang w:val="en-CA"/>
        </w:rPr>
        <w:t xml:space="preserve">   </w:t>
      </w:r>
      <w:r w:rsidR="0076046B">
        <w:rPr>
          <w:lang w:val="en-CA"/>
        </w:rPr>
        <w:t>_________________</w:t>
      </w:r>
    </w:p>
    <w:sectPr w:rsidR="0076046B" w:rsidRPr="0076046B"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7CD3B" w16cid:durableId="2157DA5F"/>
  <w16cid:commentId w16cid:paraId="58330767" w16cid:durableId="21574E2E"/>
  <w16cid:commentId w16cid:paraId="065666EF" w16cid:durableId="2157CAEA"/>
  <w16cid:commentId w16cid:paraId="5EC5997D" w16cid:durableId="2157CB86"/>
  <w16cid:commentId w16cid:paraId="5D118D2A" w16cid:durableId="2157D7BF"/>
  <w16cid:commentId w16cid:paraId="3CACB3B5" w16cid:durableId="2157D8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F54A1" w14:textId="77777777" w:rsidR="001277B2" w:rsidRDefault="001277B2" w:rsidP="004A504B">
      <w:r>
        <w:separator/>
      </w:r>
    </w:p>
  </w:endnote>
  <w:endnote w:type="continuationSeparator" w:id="0">
    <w:p w14:paraId="2F5EA557" w14:textId="77777777" w:rsidR="001277B2" w:rsidRDefault="001277B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5545" w14:textId="26D66EAC" w:rsidR="001277B2" w:rsidRPr="0033525D" w:rsidRDefault="001277B2">
    <w:pPr>
      <w:jc w:val="center"/>
    </w:pPr>
    <w:r>
      <w:fldChar w:fldCharType="begin"/>
    </w:r>
    <w:r>
      <w:instrText xml:space="preserve"> PAGE </w:instrText>
    </w:r>
    <w:r>
      <w:fldChar w:fldCharType="separate"/>
    </w:r>
    <w:r w:rsidR="00CB7DE8">
      <w:rPr>
        <w:noProof/>
      </w:rPr>
      <w:t>20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0D71" w14:textId="769A53AA" w:rsidR="001277B2" w:rsidRPr="0033525D" w:rsidRDefault="001277B2">
    <w:pPr>
      <w:jc w:val="center"/>
    </w:pPr>
    <w:r>
      <w:fldChar w:fldCharType="begin"/>
    </w:r>
    <w:r>
      <w:instrText xml:space="preserve"> PAGE </w:instrText>
    </w:r>
    <w:r>
      <w:fldChar w:fldCharType="separate"/>
    </w:r>
    <w:r w:rsidR="00CB7DE8">
      <w:rPr>
        <w:noProof/>
      </w:rPr>
      <w:t>21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6056" w14:textId="77777777" w:rsidR="001277B2" w:rsidRDefault="001277B2"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B33B090" w14:textId="77777777" w:rsidR="001277B2" w:rsidRDefault="001277B2"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F8992" w14:textId="77777777" w:rsidR="001277B2" w:rsidRDefault="001277B2" w:rsidP="004A504B">
      <w:r>
        <w:separator/>
      </w:r>
    </w:p>
  </w:footnote>
  <w:footnote w:type="continuationSeparator" w:id="0">
    <w:p w14:paraId="41E31323" w14:textId="77777777" w:rsidR="001277B2" w:rsidRDefault="001277B2" w:rsidP="004A504B">
      <w:r>
        <w:continuationSeparator/>
      </w:r>
    </w:p>
  </w:footnote>
  <w:footnote w:id="1">
    <w:p w14:paraId="340B1D05" w14:textId="77777777" w:rsidR="001277B2" w:rsidRDefault="001277B2" w:rsidP="00502FEE">
      <w:pPr>
        <w:pStyle w:val="FootnoteText"/>
        <w:rPr>
          <w:lang w:val="en-US"/>
        </w:rPr>
      </w:pPr>
      <w:r>
        <w:rPr>
          <w:rStyle w:val="FootnoteReference"/>
        </w:rPr>
        <w:footnoteRef/>
      </w:r>
      <w:r>
        <w:t xml:space="preserve"> UNEP/</w:t>
      </w:r>
      <w:proofErr w:type="spellStart"/>
      <w:r>
        <w:t>OzL.Pro</w:t>
      </w:r>
      <w:proofErr w:type="spellEnd"/>
      <w:r>
        <w:t>/</w:t>
      </w:r>
      <w:proofErr w:type="spellStart"/>
      <w:r>
        <w:t>ExCom</w:t>
      </w:r>
      <w:proofErr w:type="spellEnd"/>
      <w:r>
        <w:t>/80/16</w:t>
      </w:r>
    </w:p>
  </w:footnote>
  <w:footnote w:id="2">
    <w:p w14:paraId="296525A7" w14:textId="77777777" w:rsidR="001277B2" w:rsidRDefault="001277B2" w:rsidP="00502FEE">
      <w:pPr>
        <w:pStyle w:val="FootnoteText"/>
        <w:rPr>
          <w:lang w:val="en-US"/>
        </w:rPr>
      </w:pPr>
      <w:r>
        <w:rPr>
          <w:rStyle w:val="FootnoteReference"/>
        </w:rPr>
        <w:footnoteRef/>
      </w:r>
      <w:r>
        <w:t xml:space="preserve"> UNEP/</w:t>
      </w:r>
      <w:proofErr w:type="spellStart"/>
      <w:r>
        <w:t>OzL.Pro</w:t>
      </w:r>
      <w:proofErr w:type="spellEnd"/>
      <w:r>
        <w:t>/</w:t>
      </w:r>
      <w:proofErr w:type="spellStart"/>
      <w:r>
        <w:t>ExCom</w:t>
      </w:r>
      <w:proofErr w:type="spellEnd"/>
      <w:r>
        <w:t>/81/55</w:t>
      </w:r>
    </w:p>
  </w:footnote>
  <w:footnote w:id="3">
    <w:p w14:paraId="28625388" w14:textId="77777777" w:rsidR="001277B2" w:rsidRDefault="001277B2" w:rsidP="00502FEE">
      <w:pPr>
        <w:pStyle w:val="FootnoteText"/>
        <w:rPr>
          <w:lang w:val="en-US"/>
        </w:rPr>
      </w:pPr>
      <w:r>
        <w:rPr>
          <w:rStyle w:val="FootnoteReference"/>
        </w:rPr>
        <w:footnoteRef/>
      </w:r>
      <w:r>
        <w:t xml:space="preserve"> </w:t>
      </w:r>
      <w:r>
        <w:rPr>
          <w:lang w:val="en-US"/>
        </w:rPr>
        <w:t>These are the most commonly consumed and produced substances by Article 5 countries. Countries that reported consumption and production of substances in Annex B Group I (other CFCs) and Annex C Group II (HBFCs) were in compliance with their phase-out obligations. In a few countries, Parties allowed the consumption and production of some controlled substances (mainly CFCs, CTC and MB) after the phase-out date for essential or critical uses.</w:t>
      </w:r>
    </w:p>
  </w:footnote>
  <w:footnote w:id="4">
    <w:p w14:paraId="5F2B5668" w14:textId="77777777" w:rsidR="001277B2" w:rsidRPr="00B775F0" w:rsidRDefault="001277B2" w:rsidP="00502FEE">
      <w:pPr>
        <w:pStyle w:val="FootnoteText"/>
      </w:pPr>
      <w:r>
        <w:rPr>
          <w:rStyle w:val="FootnoteReference"/>
        </w:rPr>
        <w:footnoteRef/>
      </w:r>
      <w:r>
        <w:t xml:space="preserve"> </w:t>
      </w:r>
      <w:r w:rsidRPr="00B775F0">
        <w:t>Montreal, 9 – 11 October 2019</w:t>
      </w:r>
      <w:r>
        <w:t>.</w:t>
      </w:r>
    </w:p>
  </w:footnote>
  <w:footnote w:id="5">
    <w:p w14:paraId="1C9EB0FF" w14:textId="77777777" w:rsidR="001277B2" w:rsidRDefault="001277B2" w:rsidP="00502FEE">
      <w:pPr>
        <w:pStyle w:val="FootnoteText"/>
        <w:rPr>
          <w:lang w:val="en-US"/>
        </w:rPr>
      </w:pPr>
      <w:r>
        <w:rPr>
          <w:rStyle w:val="FootnoteReference"/>
        </w:rPr>
        <w:footnoteRef/>
      </w:r>
      <w:r>
        <w:t xml:space="preserve"> </w:t>
      </w:r>
      <w:r>
        <w:rPr>
          <w:lang w:val="en-US"/>
        </w:rPr>
        <w:t>The Kigali Amendment entered into force on 1 January 2019.</w:t>
      </w:r>
    </w:p>
  </w:footnote>
  <w:footnote w:id="6">
    <w:p w14:paraId="0EF8D89E" w14:textId="5A774DCD" w:rsidR="001277B2" w:rsidRDefault="001277B2" w:rsidP="00502FEE">
      <w:pPr>
        <w:pStyle w:val="FootnoteText"/>
        <w:rPr>
          <w:lang w:val="en-CA"/>
        </w:rPr>
      </w:pPr>
      <w:r>
        <w:rPr>
          <w:rStyle w:val="FootnoteReference"/>
        </w:rPr>
        <w:footnoteRef/>
      </w:r>
      <w:r>
        <w:t xml:space="preserve"> Group 1 countries: all Article 5 countries except for the 10 countries in group 2.</w:t>
      </w:r>
    </w:p>
  </w:footnote>
  <w:footnote w:id="7">
    <w:p w14:paraId="7B9ADECA" w14:textId="77777777" w:rsidR="001277B2" w:rsidRDefault="001277B2" w:rsidP="00502FEE">
      <w:pPr>
        <w:pStyle w:val="FootnoteText"/>
      </w:pPr>
      <w:r>
        <w:rPr>
          <w:rStyle w:val="FootnoteReference"/>
        </w:rPr>
        <w:footnoteRef/>
      </w:r>
      <w:r>
        <w:t xml:space="preserve"> Group 2 countries: Bahrain, India, Islamic Republic of Iran, Iraq, Kuwait, Oman, Pakistan, Qatar, Saudi Arabia, and the United Arab Emirates. As a reference, the aggregate HCFC baseline for compliance of these countries is equivalent to 13.7 per cent of the aggregate HCFC baseline for all Article 5 countries.</w:t>
      </w:r>
    </w:p>
  </w:footnote>
  <w:footnote w:id="8">
    <w:p w14:paraId="7F61F0D4" w14:textId="77777777" w:rsidR="001277B2" w:rsidRDefault="001277B2" w:rsidP="00502FEE">
      <w:pPr>
        <w:pStyle w:val="FootnoteText"/>
        <w:rPr>
          <w:lang w:val="en-US"/>
        </w:rPr>
      </w:pPr>
      <w:r>
        <w:rPr>
          <w:rStyle w:val="FootnoteReference"/>
        </w:rPr>
        <w:footnoteRef/>
      </w:r>
      <w:r>
        <w:t xml:space="preserve"> HFC-23, with a GWP of 14,800, is mainly a by-product of the production of HCFC-22.</w:t>
      </w:r>
    </w:p>
  </w:footnote>
  <w:footnote w:id="9">
    <w:p w14:paraId="6B1E0D8A" w14:textId="35FBE6D0" w:rsidR="001277B2" w:rsidRPr="00F41D79" w:rsidRDefault="001277B2">
      <w:pPr>
        <w:pStyle w:val="FootnoteText"/>
      </w:pPr>
      <w:r w:rsidRPr="001277B2">
        <w:rPr>
          <w:rStyle w:val="FootnoteReference"/>
        </w:rPr>
        <w:footnoteRef/>
      </w:r>
      <w:r w:rsidRPr="001277B2">
        <w:t xml:space="preserve"> Sources: Article 7 data and TEAP Task Force report under decisions XXV/5 and XXVI/9.</w:t>
      </w:r>
    </w:p>
  </w:footnote>
  <w:footnote w:id="10">
    <w:p w14:paraId="6B60E22F" w14:textId="77777777" w:rsidR="001277B2" w:rsidRPr="00A96909" w:rsidRDefault="001277B2" w:rsidP="00502FEE">
      <w:pPr>
        <w:pStyle w:val="FootnoteText"/>
      </w:pPr>
      <w:r>
        <w:rPr>
          <w:rStyle w:val="FootnoteReference"/>
        </w:rPr>
        <w:footnoteRef/>
      </w:r>
      <w:r>
        <w:t xml:space="preserve"> HCFC baseline consumption is calculated based on the average consumption of 2009 and 2010.</w:t>
      </w:r>
    </w:p>
  </w:footnote>
  <w:footnote w:id="11">
    <w:p w14:paraId="7ED217F0" w14:textId="77777777" w:rsidR="001277B2" w:rsidRPr="003F0F5E" w:rsidRDefault="001277B2" w:rsidP="00502FEE">
      <w:pPr>
        <w:pStyle w:val="FootnoteText"/>
        <w:rPr>
          <w:lang w:val="en-US"/>
        </w:rPr>
      </w:pPr>
      <w:r>
        <w:rPr>
          <w:rStyle w:val="FootnoteReference"/>
        </w:rPr>
        <w:footnoteRef/>
      </w:r>
      <w:r>
        <w:t xml:space="preserve"> </w:t>
      </w:r>
      <w:r>
        <w:rPr>
          <w:lang w:val="en-US"/>
        </w:rPr>
        <w:t>A survey of ODS alternatives was also completed in 119 Article 5 countries which provided very preliminary information on their HFC consumption, for the years 2012-2015.</w:t>
      </w:r>
    </w:p>
  </w:footnote>
  <w:footnote w:id="12">
    <w:p w14:paraId="5CED3D8F" w14:textId="77777777" w:rsidR="001277B2" w:rsidRDefault="001277B2" w:rsidP="00502FEE">
      <w:pPr>
        <w:pStyle w:val="FootnoteText"/>
      </w:pPr>
      <w:r>
        <w:rPr>
          <w:rStyle w:val="FootnoteReference"/>
        </w:rPr>
        <w:footnoteRef/>
      </w:r>
      <w:r>
        <w:t xml:space="preserve"> The TEAP Task Force reports include aggregate HFC consumption and production data and projections for each five-year period between 2010 and 2030. The </w:t>
      </w:r>
      <w:proofErr w:type="spellStart"/>
      <w:r>
        <w:t>Velders</w:t>
      </w:r>
      <w:proofErr w:type="spellEnd"/>
      <w:r>
        <w:t xml:space="preserve"> et al. (2015) report provides information on future </w:t>
      </w:r>
      <w:r>
        <w:rPr>
          <w:lang w:val="en-CA"/>
        </w:rPr>
        <w:t xml:space="preserve">atmospheric abundances and climate </w:t>
      </w:r>
      <w:proofErr w:type="spellStart"/>
      <w:r>
        <w:rPr>
          <w:lang w:val="en-CA"/>
        </w:rPr>
        <w:t>forcings</w:t>
      </w:r>
      <w:proofErr w:type="spellEnd"/>
      <w:r>
        <w:rPr>
          <w:lang w:val="en-CA"/>
        </w:rPr>
        <w:t xml:space="preserve"> from scenarios of global and regional HFC emissions.</w:t>
      </w:r>
    </w:p>
  </w:footnote>
  <w:footnote w:id="13">
    <w:p w14:paraId="145F7C08" w14:textId="45742AB6" w:rsidR="001277B2" w:rsidRPr="00A0087F" w:rsidRDefault="001277B2" w:rsidP="00502FEE">
      <w:pPr>
        <w:pStyle w:val="FootnoteText"/>
        <w:rPr>
          <w:szCs w:val="20"/>
          <w:lang w:val="en-CA"/>
        </w:rPr>
      </w:pPr>
      <w:r w:rsidRPr="002103D0">
        <w:rPr>
          <w:rStyle w:val="FootnoteReference"/>
          <w:szCs w:val="20"/>
        </w:rPr>
        <w:footnoteRef/>
      </w:r>
      <w:r w:rsidRPr="002103D0">
        <w:rPr>
          <w:szCs w:val="20"/>
        </w:rPr>
        <w:t xml:space="preserve"> </w:t>
      </w:r>
      <w:r w:rsidRPr="008631C2">
        <w:rPr>
          <w:szCs w:val="20"/>
        </w:rPr>
        <w:t>As a reference, the aggregate HCFC production baseline in Article 5 countries amounted to 501,2</w:t>
      </w:r>
      <w:r>
        <w:rPr>
          <w:szCs w:val="20"/>
        </w:rPr>
        <w:t>65</w:t>
      </w:r>
      <w:r w:rsidRPr="008631C2">
        <w:rPr>
          <w:szCs w:val="20"/>
        </w:rPr>
        <w:t xml:space="preserve"> </w:t>
      </w:r>
      <w:proofErr w:type="spellStart"/>
      <w:r w:rsidRPr="008631C2">
        <w:rPr>
          <w:szCs w:val="20"/>
        </w:rPr>
        <w:t>mt</w:t>
      </w:r>
      <w:proofErr w:type="spellEnd"/>
      <w:r w:rsidRPr="008631C2">
        <w:rPr>
          <w:szCs w:val="20"/>
        </w:rPr>
        <w:t xml:space="preserve"> (with the production of one country amounting to 430,962 </w:t>
      </w:r>
      <w:proofErr w:type="spellStart"/>
      <w:r w:rsidRPr="008631C2">
        <w:rPr>
          <w:szCs w:val="20"/>
        </w:rPr>
        <w:t>mt</w:t>
      </w:r>
      <w:proofErr w:type="spellEnd"/>
      <w:r w:rsidRPr="008631C2">
        <w:rPr>
          <w:szCs w:val="20"/>
        </w:rPr>
        <w:t>)</w:t>
      </w:r>
      <w:r w:rsidRPr="00A0087F">
        <w:rPr>
          <w:szCs w:val="20"/>
        </w:rPr>
        <w:t>.</w:t>
      </w:r>
    </w:p>
  </w:footnote>
  <w:footnote w:id="14">
    <w:p w14:paraId="2E25F3A8" w14:textId="77777777" w:rsidR="001277B2" w:rsidRPr="0069182C" w:rsidRDefault="001277B2" w:rsidP="00502FEE">
      <w:pPr>
        <w:pStyle w:val="FootnoteText"/>
        <w:rPr>
          <w:lang w:val="en-CA"/>
        </w:rPr>
      </w:pPr>
      <w:r>
        <w:rPr>
          <w:rStyle w:val="FootnoteReference"/>
        </w:rPr>
        <w:footnoteRef/>
      </w:r>
      <w:r>
        <w:t xml:space="preserve"> Source: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/82/66 (Table 2).</w:t>
      </w:r>
    </w:p>
  </w:footnote>
  <w:footnote w:id="15">
    <w:p w14:paraId="01014914" w14:textId="2FDA7815" w:rsidR="001277B2" w:rsidRDefault="001277B2" w:rsidP="00502FEE">
      <w:pPr>
        <w:pStyle w:val="FootnoteText"/>
      </w:pPr>
      <w:r>
        <w:rPr>
          <w:rStyle w:val="FootnoteReference"/>
        </w:rPr>
        <w:footnoteRef/>
      </w:r>
      <w:r>
        <w:t xml:space="preserve"> Only one country, Syrian Arab Republic, does not have an approved HPMP due to the circumstances prevailing in the country.</w:t>
      </w:r>
      <w:r w:rsidRPr="0088773E">
        <w:t xml:space="preserve"> At the 62</w:t>
      </w:r>
      <w:r w:rsidRPr="0088773E">
        <w:rPr>
          <w:vertAlign w:val="superscript"/>
        </w:rPr>
        <w:t>nd</w:t>
      </w:r>
      <w:r>
        <w:t xml:space="preserve"> </w:t>
      </w:r>
      <w:r w:rsidRPr="0088773E">
        <w:t>meeting, funding was approved for a stand-al</w:t>
      </w:r>
      <w:r>
        <w:t xml:space="preserve">one investment project to phase </w:t>
      </w:r>
      <w:r w:rsidRPr="0088773E">
        <w:t>out 12.9</w:t>
      </w:r>
      <w:r>
        <w:t> </w:t>
      </w:r>
      <w:r w:rsidRPr="0088773E">
        <w:t>ODP</w:t>
      </w:r>
      <w:r>
        <w:t> </w:t>
      </w:r>
      <w:r w:rsidRPr="0088773E">
        <w:t>tonnes of HCFC in the refrigeration and air-conditioning sector, representing 9.6 per cent of the HCFC</w:t>
      </w:r>
      <w:r>
        <w:t> </w:t>
      </w:r>
      <w:r w:rsidRPr="0088773E">
        <w:t>baseline; and at the 83</w:t>
      </w:r>
      <w:r w:rsidRPr="0088773E">
        <w:rPr>
          <w:vertAlign w:val="superscript"/>
        </w:rPr>
        <w:t>rd</w:t>
      </w:r>
      <w:r>
        <w:t xml:space="preserve"> </w:t>
      </w:r>
      <w:r w:rsidRPr="0088773E">
        <w:t>meeting, additional funding was approved for the preparation of stage I</w:t>
      </w:r>
      <w:r>
        <w:t>I</w:t>
      </w:r>
      <w:r w:rsidRPr="0088773E">
        <w:t xml:space="preserve"> of the HPMP.</w:t>
      </w:r>
    </w:p>
  </w:footnote>
  <w:footnote w:id="16">
    <w:p w14:paraId="295D3DF6" w14:textId="42C260B0" w:rsidR="001277B2" w:rsidRPr="00481D21" w:rsidRDefault="001277B2" w:rsidP="00502FEE">
      <w:pPr>
        <w:pStyle w:val="FootnoteText"/>
      </w:pPr>
      <w:r>
        <w:rPr>
          <w:rStyle w:val="FootnoteReference"/>
        </w:rPr>
        <w:footnoteRef/>
      </w:r>
      <w:r>
        <w:t xml:space="preserve"> Paragraph 4 of decision XXVI/9 requested the Executive Committee to consider providing additional funding to conduct inventories or surveys on alternatives to ODS in interested Article 5 parties upon their request. On this basis, funding for 127 surveys was approved. At the 80</w:t>
      </w:r>
      <w:r w:rsidRPr="00EE70F9">
        <w:rPr>
          <w:vertAlign w:val="superscript"/>
        </w:rPr>
        <w:t>th</w:t>
      </w:r>
      <w:r>
        <w:t xml:space="preserve"> meeting, the results from surveys in 119 countries (42 non</w:t>
      </w:r>
      <w:r>
        <w:noBreakHyphen/>
        <w:t>LVC and 77 LVC countries) were presented in document UNEP/</w:t>
      </w:r>
      <w:proofErr w:type="spellStart"/>
      <w:r>
        <w:t>OzL.Pro</w:t>
      </w:r>
      <w:proofErr w:type="spellEnd"/>
      <w:r>
        <w:t>/</w:t>
      </w:r>
      <w:proofErr w:type="spellStart"/>
      <w:r>
        <w:t>ExCom</w:t>
      </w:r>
      <w:proofErr w:type="spellEnd"/>
      <w:r>
        <w:t>/80/</w:t>
      </w:r>
      <w:r w:rsidRPr="00481D21">
        <w:t xml:space="preserve">54. </w:t>
      </w:r>
    </w:p>
  </w:footnote>
  <w:footnote w:id="17">
    <w:p w14:paraId="791EDAF6" w14:textId="77777777" w:rsidR="001277B2" w:rsidRDefault="001277B2" w:rsidP="00502FEE">
      <w:pPr>
        <w:pStyle w:val="FootnoteText"/>
      </w:pPr>
      <w:r w:rsidRPr="00481D21">
        <w:rPr>
          <w:rStyle w:val="FootnoteReference"/>
        </w:rPr>
        <w:footnoteRef/>
      </w:r>
      <w:r w:rsidRPr="00481D21">
        <w:t xml:space="preserve"> The aggregate HCFC baseline of the 42 </w:t>
      </w:r>
      <w:r w:rsidRPr="00481D21">
        <w:rPr>
          <w:lang w:val="en-CA"/>
        </w:rPr>
        <w:t xml:space="preserve">non-LVC </w:t>
      </w:r>
      <w:r w:rsidRPr="00481D21">
        <w:t>countries represents 24 per cent of the aggregate baseline of all</w:t>
      </w:r>
      <w:r w:rsidRPr="00224062">
        <w:t xml:space="preserve"> non-LVC countries, while the aggregate HCFC baseline of the 77 LVC countries represents 91 per cent</w:t>
      </w:r>
      <w:r>
        <w:t xml:space="preserve"> of the aggregate baseline of all LVC countries. Surveys were not submitted by the largest consuming countries, including Brazil, China and India.</w:t>
      </w:r>
    </w:p>
  </w:footnote>
  <w:footnote w:id="18">
    <w:p w14:paraId="2FC2F77B" w14:textId="7A54973E" w:rsidR="001277B2" w:rsidRPr="005C5637" w:rsidRDefault="001277B2" w:rsidP="00502FEE">
      <w:pPr>
        <w:pStyle w:val="FootnoteText"/>
        <w:rPr>
          <w:lang w:val="en-US"/>
        </w:rPr>
      </w:pPr>
      <w:r>
        <w:rPr>
          <w:rStyle w:val="FootnoteReference"/>
        </w:rPr>
        <w:footnoteRef/>
      </w:r>
      <w:r>
        <w:t xml:space="preserve"> Extracted from </w:t>
      </w:r>
      <w:r>
        <w:rPr>
          <w:lang w:val="en-US"/>
        </w:rPr>
        <w:t>paragraph 92 of document UNEP/</w:t>
      </w:r>
      <w:proofErr w:type="spellStart"/>
      <w:r>
        <w:rPr>
          <w:lang w:val="en-US"/>
        </w:rPr>
        <w:t>OzL.Pro</w:t>
      </w:r>
      <w:proofErr w:type="spellEnd"/>
      <w:r>
        <w:rPr>
          <w:lang w:val="en-US"/>
        </w:rPr>
        <w:t>/</w:t>
      </w:r>
      <w:proofErr w:type="spellStart"/>
      <w:r>
        <w:rPr>
          <w:lang w:val="en-US"/>
        </w:rPr>
        <w:t>ExCom</w:t>
      </w:r>
      <w:proofErr w:type="spellEnd"/>
      <w:r>
        <w:rPr>
          <w:lang w:val="en-US"/>
        </w:rPr>
        <w:t>/82/64.</w:t>
      </w:r>
    </w:p>
  </w:footnote>
  <w:footnote w:id="19">
    <w:p w14:paraId="659CFF53" w14:textId="1D9D4936" w:rsidR="001277B2" w:rsidRPr="00A93D04" w:rsidRDefault="001277B2" w:rsidP="00502FEE">
      <w:pPr>
        <w:pStyle w:val="FootnoteText"/>
        <w:rPr>
          <w:lang w:val="en-CA"/>
        </w:rPr>
      </w:pPr>
      <w:r>
        <w:rPr>
          <w:rStyle w:val="FootnoteReference"/>
        </w:rPr>
        <w:footnoteRef/>
      </w:r>
      <w:r>
        <w:t xml:space="preserve"> Based on information contained on the 2020-2022 business plans submitted to the 84</w:t>
      </w:r>
      <w:r w:rsidRPr="00A93D04">
        <w:rPr>
          <w:vertAlign w:val="superscript"/>
        </w:rPr>
        <w:t>th</w:t>
      </w:r>
      <w:r>
        <w:t xml:space="preserve"> meeting (</w:t>
      </w:r>
      <w:r w:rsidRPr="00A93D04">
        <w:t>UNEP/</w:t>
      </w:r>
      <w:proofErr w:type="spellStart"/>
      <w:r w:rsidRPr="00A93D04">
        <w:t>OzL.Pro</w:t>
      </w:r>
      <w:proofErr w:type="spellEnd"/>
      <w:r w:rsidRPr="00A93D04">
        <w:t>/</w:t>
      </w:r>
      <w:proofErr w:type="spellStart"/>
      <w:r w:rsidRPr="0079075E">
        <w:t>ExCom</w:t>
      </w:r>
      <w:proofErr w:type="spellEnd"/>
      <w:r w:rsidRPr="0079075E">
        <w:t>/84/26 to 84/31).</w:t>
      </w:r>
    </w:p>
  </w:footnote>
  <w:footnote w:id="20">
    <w:p w14:paraId="52FC0498" w14:textId="75B16A7B" w:rsidR="001277B2" w:rsidRPr="00615EA7" w:rsidRDefault="001277B2" w:rsidP="00502FEE">
      <w:pPr>
        <w:pStyle w:val="FootnoteText"/>
        <w:rPr>
          <w:lang w:val="en-CA"/>
        </w:rPr>
      </w:pPr>
      <w:r>
        <w:rPr>
          <w:rStyle w:val="FootnoteReference"/>
        </w:rPr>
        <w:footnoteRef/>
      </w:r>
      <w:r>
        <w:t xml:space="preserve"> </w:t>
      </w:r>
      <w:r w:rsidRPr="00615EA7">
        <w:t>A2L refrigerants are referred to as “mildly flammable</w:t>
      </w:r>
      <w:r>
        <w:t>.”</w:t>
      </w:r>
    </w:p>
  </w:footnote>
  <w:footnote w:id="21">
    <w:p w14:paraId="29491536" w14:textId="77777777" w:rsidR="001277B2" w:rsidRPr="007A7D7E" w:rsidRDefault="001277B2" w:rsidP="00502FEE">
      <w:pPr>
        <w:pStyle w:val="FootnoteText"/>
      </w:pPr>
      <w:r w:rsidRPr="007A7D7E">
        <w:rPr>
          <w:rStyle w:val="FootnoteReference"/>
        </w:rPr>
        <w:footnoteRef/>
      </w:r>
      <w:r w:rsidRPr="007A7D7E">
        <w:t xml:space="preserve"> Decision 60/44 and decision 74/50, respectively.</w:t>
      </w:r>
    </w:p>
  </w:footnote>
  <w:footnote w:id="22">
    <w:p w14:paraId="73BF71DC" w14:textId="77777777" w:rsidR="001277B2" w:rsidRPr="007A7D7E" w:rsidRDefault="001277B2" w:rsidP="00502FEE">
      <w:pPr>
        <w:pStyle w:val="FootnoteText"/>
      </w:pPr>
      <w:r w:rsidRPr="007A7D7E">
        <w:rPr>
          <w:rStyle w:val="FootnoteReference"/>
        </w:rPr>
        <w:footnoteRef/>
      </w:r>
      <w:r w:rsidRPr="007A7D7E">
        <w:t xml:space="preserve"> Up to 25 per cent above the </w:t>
      </w:r>
      <w:r>
        <w:t xml:space="preserve">cost-effectiveness </w:t>
      </w:r>
      <w:r w:rsidRPr="007A7D7E">
        <w:t xml:space="preserve">threshold is provided when low-GWP alternative technologies are introduced (decision 60/44(f)(iv)); and for stage II HPMPs, up to 40 per cent above the cost-effectiveness threshold is provided when low-GWP alternative technologies are introduced by SMEs in the foam sector with consumption of less than 20 </w:t>
      </w:r>
      <w:proofErr w:type="spellStart"/>
      <w:r w:rsidRPr="007A7D7E">
        <w:t>mt</w:t>
      </w:r>
      <w:proofErr w:type="spellEnd"/>
      <w:r w:rsidRPr="007A7D7E">
        <w:t xml:space="preserve"> (decision 74/50(c)(iii)).</w:t>
      </w:r>
    </w:p>
  </w:footnote>
  <w:footnote w:id="23">
    <w:p w14:paraId="127FFC70" w14:textId="77777777" w:rsidR="001277B2" w:rsidRPr="00AD032C" w:rsidRDefault="001277B2" w:rsidP="00502FEE">
      <w:pPr>
        <w:pStyle w:val="FootnoteText"/>
      </w:pPr>
      <w:r w:rsidRPr="00AD032C">
        <w:rPr>
          <w:rStyle w:val="FootnoteReference"/>
        </w:rPr>
        <w:footnoteRef/>
      </w:r>
      <w:r w:rsidRPr="00AD032C">
        <w:t xml:space="preserve"> Croatia became a non-Article 5 country in 2014, and completely phased out HCFCs by 2015.</w:t>
      </w:r>
    </w:p>
  </w:footnote>
  <w:footnote w:id="24">
    <w:p w14:paraId="5303FD5F" w14:textId="77777777" w:rsidR="001277B2" w:rsidRPr="004D443B" w:rsidRDefault="001277B2" w:rsidP="00502FEE">
      <w:pPr>
        <w:pStyle w:val="FootnoteText"/>
        <w:ind w:left="1253" w:hanging="1253"/>
        <w:rPr>
          <w:szCs w:val="18"/>
          <w:lang w:val="en-CA"/>
        </w:rPr>
      </w:pPr>
      <w:r w:rsidRPr="004D443B">
        <w:rPr>
          <w:rStyle w:val="FootnoteReference"/>
          <w:sz w:val="18"/>
        </w:rPr>
        <w:footnoteRef/>
      </w:r>
      <w:r w:rsidRPr="004D443B">
        <w:rPr>
          <w:szCs w:val="18"/>
          <w:lang w:val="en-CA"/>
        </w:rPr>
        <w:t xml:space="preserve"> Decision 81/53</w:t>
      </w:r>
      <w:r>
        <w:rPr>
          <w:szCs w:val="18"/>
          <w:lang w:val="en-CA"/>
        </w:rPr>
        <w:t>.</w:t>
      </w:r>
    </w:p>
  </w:footnote>
  <w:footnote w:id="25">
    <w:p w14:paraId="5B1C178D" w14:textId="77777777" w:rsidR="001277B2" w:rsidRPr="008B2217" w:rsidRDefault="001277B2" w:rsidP="00502FEE">
      <w:pPr>
        <w:pStyle w:val="FootnoteText"/>
        <w:rPr>
          <w:lang w:val="en-US"/>
        </w:rPr>
      </w:pPr>
      <w:r>
        <w:rPr>
          <w:rStyle w:val="FootnoteReference"/>
        </w:rPr>
        <w:footnoteRef/>
      </w:r>
      <w:r>
        <w:t xml:space="preserve"> </w:t>
      </w:r>
      <w:r w:rsidRPr="008B2217">
        <w:t>Argentina, Bangladesh, China, Dominican Republic, Jordan, Lebanon, Mexico, Thailand</w:t>
      </w:r>
      <w:r>
        <w:t xml:space="preserve"> and</w:t>
      </w:r>
      <w:r w:rsidRPr="008B2217">
        <w:t xml:space="preserve"> Zimbabwe</w:t>
      </w:r>
      <w:r>
        <w:t>.</w:t>
      </w:r>
    </w:p>
  </w:footnote>
  <w:footnote w:id="26">
    <w:p w14:paraId="5FC06798" w14:textId="77777777" w:rsidR="001277B2" w:rsidRPr="00554CC1" w:rsidRDefault="001277B2" w:rsidP="00502FEE">
      <w:pPr>
        <w:pStyle w:val="FootnoteText"/>
      </w:pPr>
      <w:r>
        <w:rPr>
          <w:rStyle w:val="FootnoteReference"/>
        </w:rPr>
        <w:footnoteRef/>
      </w:r>
      <w:r>
        <w:t xml:space="preserve"> </w:t>
      </w:r>
      <w:r w:rsidRPr="00040625">
        <w:t>At its 74</w:t>
      </w:r>
      <w:r w:rsidRPr="00040625">
        <w:rPr>
          <w:vertAlign w:val="superscript"/>
        </w:rPr>
        <w:t>th</w:t>
      </w:r>
      <w:r>
        <w:t xml:space="preserve"> </w:t>
      </w:r>
      <w:r w:rsidRPr="00040625">
        <w:t>meeting, the Executive Committee considered a document on the review of funding for IS projects</w:t>
      </w:r>
      <w:r>
        <w:t xml:space="preserve"> (</w:t>
      </w:r>
      <w:r w:rsidRPr="00E13891">
        <w:t>UNEP/</w:t>
      </w:r>
      <w:proofErr w:type="spellStart"/>
      <w:r w:rsidRPr="00E13891">
        <w:t>OzL.Pro</w:t>
      </w:r>
      <w:proofErr w:type="spellEnd"/>
      <w:r w:rsidRPr="00E13891">
        <w:t>/</w:t>
      </w:r>
      <w:proofErr w:type="spellStart"/>
      <w:r w:rsidRPr="00E13891">
        <w:t>ExCom</w:t>
      </w:r>
      <w:proofErr w:type="spellEnd"/>
      <w:r w:rsidRPr="00E13891">
        <w:t>/74/51</w:t>
      </w:r>
      <w:r>
        <w:t xml:space="preserve">), which </w:t>
      </w:r>
      <w:r>
        <w:rPr>
          <w:i/>
        </w:rPr>
        <w:t xml:space="preserve">inter alia </w:t>
      </w:r>
      <w:r w:rsidRPr="00040625">
        <w:t>reviewed the history of IS funding, its linkage with other forms of institutional support provided through PMUs, and the CAP; and assessed the relevance of IS support in contributing to the achievement of Article 5 countries’ compliance with the Protocol.</w:t>
      </w:r>
    </w:p>
  </w:footnote>
  <w:footnote w:id="27">
    <w:p w14:paraId="73531738" w14:textId="77777777" w:rsidR="001277B2" w:rsidRPr="00A8657A" w:rsidRDefault="001277B2" w:rsidP="00502FEE">
      <w:pPr>
        <w:pStyle w:val="FootnoteText"/>
        <w:rPr>
          <w:lang w:val="en-CA"/>
        </w:rPr>
      </w:pPr>
      <w:r>
        <w:rPr>
          <w:rStyle w:val="FootnoteReference"/>
        </w:rPr>
        <w:footnoteRef/>
      </w:r>
      <w:r>
        <w:t xml:space="preserve"> </w:t>
      </w:r>
      <w:r w:rsidRPr="00A8657A">
        <w:t>UNEP/</w:t>
      </w:r>
      <w:proofErr w:type="spellStart"/>
      <w:r w:rsidRPr="00A8657A">
        <w:t>OzL.Pro</w:t>
      </w:r>
      <w:proofErr w:type="spellEnd"/>
      <w:r w:rsidRPr="00A8657A">
        <w:t>/</w:t>
      </w:r>
      <w:proofErr w:type="spellStart"/>
      <w:r w:rsidRPr="00A8657A">
        <w:t>ExCom</w:t>
      </w:r>
      <w:proofErr w:type="spellEnd"/>
      <w:r w:rsidRPr="00A8657A">
        <w:t>/74/51</w:t>
      </w:r>
    </w:p>
  </w:footnote>
  <w:footnote w:id="28">
    <w:p w14:paraId="55AEB9DA" w14:textId="77777777" w:rsidR="001277B2" w:rsidRPr="00127192" w:rsidRDefault="001277B2" w:rsidP="00502FEE">
      <w:pPr>
        <w:pStyle w:val="FootnoteText"/>
        <w:rPr>
          <w:lang w:val="en-CA"/>
        </w:rPr>
      </w:pPr>
      <w:r>
        <w:rPr>
          <w:rStyle w:val="FootnoteReference"/>
        </w:rPr>
        <w:footnoteRef/>
      </w:r>
      <w:r>
        <w:t xml:space="preserve"> </w:t>
      </w:r>
      <w:r w:rsidRPr="00127192">
        <w:t>To maintain funding for IS support at current levels, and to renew IS projects for the full two-year period from the 61</w:t>
      </w:r>
      <w:r w:rsidRPr="00127192">
        <w:rPr>
          <w:vertAlign w:val="superscript"/>
        </w:rPr>
        <w:t>st</w:t>
      </w:r>
      <w:r>
        <w:t xml:space="preserve"> m</w:t>
      </w:r>
      <w:r w:rsidRPr="00127192">
        <w:t xml:space="preserve">eeting, taking into account decisions 59/17 and 59/47(b) that allowed Article 5 Parties to submit their IS projects as stand-alone projects or within their </w:t>
      </w:r>
      <w:r>
        <w:t>HPMPs</w:t>
      </w:r>
      <w:r w:rsidRPr="00127192">
        <w:t>, and to review continued IS funding at those levels at the first meeting of the Executive Committee in 2015</w:t>
      </w:r>
      <w:r>
        <w:t>.</w:t>
      </w:r>
    </w:p>
  </w:footnote>
  <w:footnote w:id="29">
    <w:p w14:paraId="2B1CB970" w14:textId="77777777" w:rsidR="001277B2" w:rsidRPr="00A15263" w:rsidRDefault="001277B2" w:rsidP="00502FEE">
      <w:pPr>
        <w:pStyle w:val="FootnoteText"/>
        <w:rPr>
          <w:lang w:val="en-CA"/>
        </w:rPr>
      </w:pPr>
      <w:r>
        <w:rPr>
          <w:rStyle w:val="FootnoteReference"/>
        </w:rPr>
        <w:footnoteRef/>
      </w:r>
      <w:r>
        <w:t xml:space="preserve"> </w:t>
      </w:r>
      <w:r w:rsidRPr="00A15263">
        <w:t>Decision 74/51 was adopted before the adoption of the Kigali Amendment (October 2016), where the Parties</w:t>
      </w:r>
      <w:r>
        <w:t>,</w:t>
      </w:r>
      <w:r w:rsidRPr="00A15263">
        <w:t xml:space="preserve"> through paragraph 21 of decision XXVIII/2, directed the Executive Committee to increase IS support in light of the new commitments related to HFCs under the Amendment.</w:t>
      </w:r>
    </w:p>
  </w:footnote>
  <w:footnote w:id="30">
    <w:p w14:paraId="0802BDFB" w14:textId="77777777" w:rsidR="001277B2" w:rsidRPr="001603D1" w:rsidRDefault="001277B2" w:rsidP="00502FEE">
      <w:pPr>
        <w:pStyle w:val="FootnoteText"/>
        <w:rPr>
          <w:szCs w:val="20"/>
        </w:rPr>
      </w:pPr>
      <w:r w:rsidRPr="00632901">
        <w:rPr>
          <w:rStyle w:val="FootnoteReference"/>
          <w:szCs w:val="20"/>
        </w:rPr>
        <w:footnoteRef/>
      </w:r>
      <w:r w:rsidRPr="001603D1">
        <w:rPr>
          <w:szCs w:val="20"/>
        </w:rPr>
        <w:t xml:space="preserve"> At its 33</w:t>
      </w:r>
      <w:r w:rsidRPr="001603D1">
        <w:rPr>
          <w:szCs w:val="20"/>
          <w:vertAlign w:val="superscript"/>
        </w:rPr>
        <w:t>rd</w:t>
      </w:r>
      <w:r w:rsidRPr="001603D1">
        <w:rPr>
          <w:szCs w:val="20"/>
        </w:rPr>
        <w:t xml:space="preserve"> meeting, the Committee </w:t>
      </w:r>
      <w:r w:rsidRPr="001603D1">
        <w:rPr>
          <w:i/>
          <w:szCs w:val="20"/>
          <w:lang w:val="en-CA"/>
        </w:rPr>
        <w:t>inter alia</w:t>
      </w:r>
      <w:r w:rsidRPr="001603D1">
        <w:rPr>
          <w:i/>
          <w:szCs w:val="20"/>
        </w:rPr>
        <w:t xml:space="preserve"> </w:t>
      </w:r>
      <w:r w:rsidRPr="001603D1">
        <w:rPr>
          <w:szCs w:val="20"/>
        </w:rPr>
        <w:t>adopted as the basis for future work in strategic planning the framework on the objectives, priorities, problems and modalities for strategic planning of the Multilateral Fund in the compliance period (decision 33/54(a)).</w:t>
      </w:r>
    </w:p>
  </w:footnote>
  <w:footnote w:id="31">
    <w:p w14:paraId="6C3EF3D0" w14:textId="77777777" w:rsidR="001277B2" w:rsidRPr="001603D1" w:rsidRDefault="001277B2" w:rsidP="00502FEE">
      <w:pPr>
        <w:pStyle w:val="FootnoteText"/>
        <w:rPr>
          <w:szCs w:val="20"/>
        </w:rPr>
      </w:pPr>
      <w:r w:rsidRPr="001603D1">
        <w:rPr>
          <w:rStyle w:val="FootnoteReference"/>
          <w:szCs w:val="20"/>
        </w:rPr>
        <w:footnoteRef/>
      </w:r>
      <w:r w:rsidRPr="001603D1">
        <w:rPr>
          <w:szCs w:val="20"/>
        </w:rPr>
        <w:t xml:space="preserve"> </w:t>
      </w:r>
      <w:r w:rsidRPr="001603D1">
        <w:rPr>
          <w:szCs w:val="20"/>
          <w:lang w:val="en-CA"/>
        </w:rPr>
        <w:t>At its 17</w:t>
      </w:r>
      <w:r w:rsidRPr="001603D1">
        <w:rPr>
          <w:szCs w:val="20"/>
          <w:vertAlign w:val="superscript"/>
          <w:lang w:val="en-CA"/>
        </w:rPr>
        <w:t>th</w:t>
      </w:r>
      <w:r w:rsidRPr="001603D1">
        <w:rPr>
          <w:szCs w:val="20"/>
          <w:lang w:val="en-CA"/>
        </w:rPr>
        <w:t xml:space="preserve"> meeting, the Committee decided </w:t>
      </w:r>
      <w:r w:rsidRPr="001603D1">
        <w:rPr>
          <w:i/>
          <w:szCs w:val="20"/>
          <w:lang w:val="en-CA"/>
        </w:rPr>
        <w:t xml:space="preserve">inter alia </w:t>
      </w:r>
      <w:r w:rsidRPr="001603D1">
        <w:rPr>
          <w:szCs w:val="20"/>
          <w:lang w:val="en-CA"/>
        </w:rPr>
        <w:t>to allocate funding for investment projects as follows: World Bank 45 per cent, UNDP 30 per cent and UNIDO 25 per cent.</w:t>
      </w:r>
      <w:r w:rsidRPr="001603D1">
        <w:rPr>
          <w:szCs w:val="20"/>
        </w:rPr>
        <w:t xml:space="preserve"> </w:t>
      </w:r>
      <w:r w:rsidRPr="001603D1">
        <w:rPr>
          <w:szCs w:val="20"/>
          <w:lang w:val="en-CA"/>
        </w:rPr>
        <w:t xml:space="preserve">Any shortfall in the shares of the World Bank and UNDP would be filled by UNIDO project approvals; UNDP and UNIDO would coordinate their project preparation activities in </w:t>
      </w:r>
      <w:r>
        <w:rPr>
          <w:szCs w:val="20"/>
          <w:lang w:val="en-CA"/>
        </w:rPr>
        <w:t>LVC</w:t>
      </w:r>
      <w:r w:rsidRPr="001603D1">
        <w:rPr>
          <w:szCs w:val="20"/>
          <w:lang w:val="en-CA"/>
        </w:rPr>
        <w:t xml:space="preserve"> countries, so that only one agency would be responsible for each such country (decision 17/21(a)(</w:t>
      </w:r>
      <w:proofErr w:type="spellStart"/>
      <w:r w:rsidRPr="001603D1">
        <w:rPr>
          <w:szCs w:val="20"/>
          <w:lang w:val="en-CA"/>
        </w:rPr>
        <w:t>i</w:t>
      </w:r>
      <w:proofErr w:type="spellEnd"/>
      <w:r w:rsidRPr="001603D1">
        <w:rPr>
          <w:szCs w:val="20"/>
          <w:lang w:val="en-CA"/>
        </w:rPr>
        <w:t>)).</w:t>
      </w:r>
    </w:p>
  </w:footnote>
  <w:footnote w:id="32">
    <w:p w14:paraId="461C6427" w14:textId="77777777" w:rsidR="001277B2" w:rsidRPr="001603D1" w:rsidRDefault="001277B2" w:rsidP="00502FEE">
      <w:pPr>
        <w:pStyle w:val="FootnoteText"/>
        <w:tabs>
          <w:tab w:val="left" w:pos="0"/>
        </w:tabs>
        <w:rPr>
          <w:szCs w:val="20"/>
        </w:rPr>
      </w:pPr>
      <w:r w:rsidRPr="001603D1">
        <w:rPr>
          <w:rStyle w:val="FootnoteReference"/>
          <w:szCs w:val="20"/>
        </w:rPr>
        <w:footnoteRef/>
      </w:r>
      <w:r w:rsidRPr="001603D1">
        <w:rPr>
          <w:szCs w:val="20"/>
        </w:rPr>
        <w:t xml:space="preserve"> UNEP/</w:t>
      </w:r>
      <w:proofErr w:type="spellStart"/>
      <w:r w:rsidRPr="001603D1">
        <w:rPr>
          <w:szCs w:val="20"/>
        </w:rPr>
        <w:t>OzL.Pro</w:t>
      </w:r>
      <w:proofErr w:type="spellEnd"/>
      <w:r w:rsidRPr="001603D1">
        <w:rPr>
          <w:szCs w:val="20"/>
        </w:rPr>
        <w:t>/</w:t>
      </w:r>
      <w:proofErr w:type="spellStart"/>
      <w:r w:rsidRPr="001603D1">
        <w:rPr>
          <w:szCs w:val="20"/>
        </w:rPr>
        <w:t>ExCom</w:t>
      </w:r>
      <w:proofErr w:type="spellEnd"/>
      <w:r w:rsidRPr="001603D1">
        <w:rPr>
          <w:szCs w:val="20"/>
        </w:rPr>
        <w:t>/35/8 Add.1, and decision 35/36.</w:t>
      </w:r>
    </w:p>
  </w:footnote>
  <w:footnote w:id="33">
    <w:p w14:paraId="4A3B1418" w14:textId="77777777" w:rsidR="001277B2" w:rsidRPr="00CB68E5" w:rsidRDefault="001277B2" w:rsidP="00502FEE">
      <w:pPr>
        <w:pStyle w:val="FootnoteText"/>
      </w:pPr>
      <w:r>
        <w:rPr>
          <w:rStyle w:val="FootnoteReference"/>
        </w:rPr>
        <w:footnoteRef/>
      </w:r>
      <w:r>
        <w:t xml:space="preserve"> </w:t>
      </w:r>
      <w:r w:rsidRPr="00850933">
        <w:rPr>
          <w:szCs w:val="20"/>
        </w:rPr>
        <w:t>For UNDP, UNIDO and the World Bank, agency support costs vary from up to 6.5 to 9.0 per cent depending on t</w:t>
      </w:r>
      <w:r>
        <w:rPr>
          <w:szCs w:val="20"/>
        </w:rPr>
        <w:t xml:space="preserve">he type and cost of the project. </w:t>
      </w:r>
      <w:r w:rsidRPr="00850933">
        <w:rPr>
          <w:szCs w:val="20"/>
        </w:rPr>
        <w:t>For bilateral agencies and UNEP, agency support costs vary from 11 to 13 per cent depend</w:t>
      </w:r>
      <w:r>
        <w:rPr>
          <w:szCs w:val="20"/>
        </w:rPr>
        <w:t xml:space="preserve">ing on the cost of the project. </w:t>
      </w:r>
      <w:r w:rsidRPr="00850933">
        <w:rPr>
          <w:szCs w:val="20"/>
        </w:rPr>
        <w:t>Costs assoc</w:t>
      </w:r>
      <w:r>
        <w:rPr>
          <w:szCs w:val="20"/>
        </w:rPr>
        <w:t>iated with verifications in non</w:t>
      </w:r>
      <w:r>
        <w:rPr>
          <w:szCs w:val="20"/>
        </w:rPr>
        <w:noBreakHyphen/>
      </w:r>
      <w:r w:rsidRPr="00850933">
        <w:rPr>
          <w:szCs w:val="20"/>
        </w:rPr>
        <w:t>LVC countries are usually covered by the agency support costs of the lead implementing agencies, while the verification costs for LVC countries are appr</w:t>
      </w:r>
      <w:r>
        <w:rPr>
          <w:szCs w:val="20"/>
        </w:rPr>
        <w:t>oved by the Executive Committee.</w:t>
      </w:r>
    </w:p>
  </w:footnote>
  <w:footnote w:id="34">
    <w:p w14:paraId="577EB416" w14:textId="2124E0C1" w:rsidR="001277B2" w:rsidRPr="0088773E" w:rsidRDefault="001277B2" w:rsidP="00502FEE">
      <w:pPr>
        <w:pStyle w:val="FootnoteText"/>
      </w:pPr>
      <w:r>
        <w:rPr>
          <w:rStyle w:val="FootnoteReference"/>
        </w:rPr>
        <w:footnoteRef/>
      </w:r>
      <w:r>
        <w:t xml:space="preserve"> Requests for core unit funding has been submitted to the 84</w:t>
      </w:r>
      <w:r w:rsidRPr="0088773E">
        <w:rPr>
          <w:vertAlign w:val="superscript"/>
        </w:rPr>
        <w:t>th</w:t>
      </w:r>
      <w:r>
        <w:t xml:space="preserve"> meeting (</w:t>
      </w:r>
      <w:r w:rsidRPr="00842816">
        <w:t>UNEP/</w:t>
      </w:r>
      <w:proofErr w:type="spellStart"/>
      <w:r w:rsidRPr="00842816">
        <w:t>OzL.Pro</w:t>
      </w:r>
      <w:proofErr w:type="spellEnd"/>
      <w:r w:rsidRPr="00842816">
        <w:t>/</w:t>
      </w:r>
      <w:proofErr w:type="spellStart"/>
      <w:r w:rsidRPr="00842816">
        <w:t>ExCom</w:t>
      </w:r>
      <w:proofErr w:type="spellEnd"/>
      <w:r w:rsidRPr="00842816">
        <w:t>/8</w:t>
      </w:r>
      <w:r>
        <w:t>4</w:t>
      </w:r>
      <w:r w:rsidRPr="00E469A0">
        <w:t>/38).</w:t>
      </w:r>
    </w:p>
  </w:footnote>
  <w:footnote w:id="35">
    <w:p w14:paraId="32CF81E4" w14:textId="2EF04FAE" w:rsidR="001277B2" w:rsidRPr="00FE64B2" w:rsidRDefault="001277B2" w:rsidP="00502FEE">
      <w:pPr>
        <w:pStyle w:val="FootnoteText"/>
        <w:rPr>
          <w:lang w:val="en-CA"/>
        </w:rPr>
      </w:pPr>
      <w:r w:rsidRPr="00FE64B2">
        <w:rPr>
          <w:rStyle w:val="FootnoteReference"/>
        </w:rPr>
        <w:footnoteRef/>
      </w:r>
      <w:r w:rsidRPr="00FE64B2">
        <w:t xml:space="preserve"> </w:t>
      </w:r>
      <w:r>
        <w:rPr>
          <w:lang w:val="en-CA"/>
        </w:rPr>
        <w:t>See</w:t>
      </w:r>
      <w:r w:rsidRPr="00FE64B2">
        <w:rPr>
          <w:lang w:val="en-CA"/>
        </w:rPr>
        <w:t xml:space="preserve"> </w:t>
      </w:r>
      <w:r w:rsidRPr="00FE64B2">
        <w:t>Annexes</w:t>
      </w:r>
      <w:r>
        <w:t> </w:t>
      </w:r>
      <w:r w:rsidRPr="00FE64B2">
        <w:t>1A and 1B</w:t>
      </w:r>
      <w:r w:rsidRPr="00CC6A1C">
        <w:t xml:space="preserve"> </w:t>
      </w:r>
      <w:r>
        <w:t>of document </w:t>
      </w:r>
      <w:r w:rsidRPr="00CC6A1C">
        <w:t>UNEP/</w:t>
      </w:r>
      <w:proofErr w:type="spellStart"/>
      <w:r w:rsidRPr="00CC6A1C">
        <w:t>OzL.Pro</w:t>
      </w:r>
      <w:proofErr w:type="spellEnd"/>
      <w:r w:rsidRPr="00CC6A1C">
        <w:t>/</w:t>
      </w:r>
      <w:proofErr w:type="spellStart"/>
      <w:r w:rsidRPr="00CC6A1C">
        <w:t>ExCom</w:t>
      </w:r>
      <w:proofErr w:type="spellEnd"/>
      <w:r w:rsidRPr="00CC6A1C">
        <w:t>/80/28</w:t>
      </w:r>
      <w:r>
        <w:t xml:space="preserve">. </w:t>
      </w:r>
      <w:r w:rsidRPr="00426DAB">
        <w:rPr>
          <w:lang w:val="en-AU"/>
        </w:rPr>
        <w:t>CAP</w:t>
      </w:r>
      <w:r>
        <w:rPr>
          <w:lang w:val="en-AU"/>
        </w:rPr>
        <w:t xml:space="preserve"> supports</w:t>
      </w:r>
      <w:r w:rsidRPr="00426DAB">
        <w:rPr>
          <w:lang w:val="en-AU"/>
        </w:rPr>
        <w:t xml:space="preserve"> 145</w:t>
      </w:r>
      <w:r>
        <w:rPr>
          <w:lang w:val="en-AU"/>
        </w:rPr>
        <w:t> Article 5 countries that</w:t>
      </w:r>
      <w:r w:rsidRPr="00426DAB">
        <w:rPr>
          <w:lang w:val="en-AU"/>
        </w:rPr>
        <w:t xml:space="preserve"> cover a broad spectrum</w:t>
      </w:r>
      <w:r>
        <w:rPr>
          <w:lang w:val="en-AU"/>
        </w:rPr>
        <w:t xml:space="preserve"> </w:t>
      </w:r>
      <w:r w:rsidRPr="00426DAB">
        <w:rPr>
          <w:lang w:val="en-AU"/>
        </w:rPr>
        <w:t>in terms of size, population</w:t>
      </w:r>
      <w:r>
        <w:rPr>
          <w:lang w:val="en-AU"/>
        </w:rPr>
        <w:t>,</w:t>
      </w:r>
      <w:r w:rsidRPr="00426DAB">
        <w:rPr>
          <w:lang w:val="en-AU"/>
        </w:rPr>
        <w:t xml:space="preserve"> and cons</w:t>
      </w:r>
      <w:r>
        <w:rPr>
          <w:lang w:val="en-AU"/>
        </w:rPr>
        <w:t xml:space="preserve">umption and production of </w:t>
      </w:r>
      <w:r w:rsidRPr="00426DAB">
        <w:rPr>
          <w:lang w:val="en-AU"/>
        </w:rPr>
        <w:t>ODS</w:t>
      </w:r>
      <w:r>
        <w:rPr>
          <w:lang w:val="en-AU"/>
        </w:rPr>
        <w:t>.</w:t>
      </w:r>
      <w:r w:rsidRPr="00426DAB">
        <w:rPr>
          <w:lang w:val="en-AU"/>
        </w:rPr>
        <w:t xml:space="preserve"> Th</w:t>
      </w:r>
      <w:r>
        <w:rPr>
          <w:lang w:val="en-AU"/>
        </w:rPr>
        <w:t>e countries</w:t>
      </w:r>
      <w:r w:rsidRPr="00426DAB">
        <w:rPr>
          <w:lang w:val="en-AU"/>
        </w:rPr>
        <w:t xml:space="preserve"> include 48</w:t>
      </w:r>
      <w:r>
        <w:rPr>
          <w:lang w:val="en-AU"/>
        </w:rPr>
        <w:t> </w:t>
      </w:r>
      <w:r w:rsidRPr="00426DAB">
        <w:rPr>
          <w:lang w:val="en-AU"/>
        </w:rPr>
        <w:t>countries classified by the UN as Least Developed Countries (LDCs) and 38</w:t>
      </w:r>
      <w:r>
        <w:rPr>
          <w:lang w:val="en-AU"/>
        </w:rPr>
        <w:t> </w:t>
      </w:r>
      <w:r w:rsidRPr="00426DAB">
        <w:rPr>
          <w:lang w:val="en-AU"/>
        </w:rPr>
        <w:t>countries classified as Small Island Developing States (SIDS). While the approaches and challenges between regions and countries differ, there are some general challenges facing Article</w:t>
      </w:r>
      <w:r>
        <w:rPr>
          <w:lang w:val="en-AU"/>
        </w:rPr>
        <w:t> </w:t>
      </w:r>
      <w:r w:rsidRPr="00426DAB">
        <w:rPr>
          <w:lang w:val="en-AU"/>
        </w:rPr>
        <w:t xml:space="preserve">5 countries in </w:t>
      </w:r>
      <w:r>
        <w:rPr>
          <w:lang w:val="en-AU"/>
        </w:rPr>
        <w:t>implementing their</w:t>
      </w:r>
      <w:r w:rsidRPr="00426DAB">
        <w:rPr>
          <w:lang w:val="en-AU"/>
        </w:rPr>
        <w:t xml:space="preserve"> national </w:t>
      </w:r>
      <w:r>
        <w:rPr>
          <w:lang w:val="en-AU"/>
        </w:rPr>
        <w:t>HPMPs</w:t>
      </w:r>
      <w:r w:rsidRPr="00426DAB">
        <w:rPr>
          <w:lang w:val="en-AU"/>
        </w:rPr>
        <w:t>. CAP offers on average over 500</w:t>
      </w:r>
      <w:r>
        <w:rPr>
          <w:lang w:val="en-AU"/>
        </w:rPr>
        <w:t> </w:t>
      </w:r>
      <w:r w:rsidRPr="00426DAB">
        <w:rPr>
          <w:lang w:val="en-AU"/>
        </w:rPr>
        <w:t>compliance assistance services annually to Article</w:t>
      </w:r>
      <w:r>
        <w:rPr>
          <w:lang w:val="en-AU"/>
        </w:rPr>
        <w:t> </w:t>
      </w:r>
      <w:r w:rsidRPr="00426DAB">
        <w:rPr>
          <w:lang w:val="en-AU"/>
        </w:rPr>
        <w:t>5 countries to achieve and sustain compliance.</w:t>
      </w:r>
      <w:r>
        <w:rPr>
          <w:lang w:val="en-AU"/>
        </w:rPr>
        <w:t xml:space="preserve"> </w:t>
      </w:r>
      <w:r w:rsidRPr="00426DAB">
        <w:rPr>
          <w:lang w:val="en-AU"/>
        </w:rPr>
        <w:t>CAP services cover a wide range of topics</w:t>
      </w:r>
      <w:r>
        <w:rPr>
          <w:lang w:val="en-AU"/>
        </w:rPr>
        <w:t>,</w:t>
      </w:r>
      <w:r w:rsidRPr="00426DAB">
        <w:rPr>
          <w:lang w:val="en-AU"/>
        </w:rPr>
        <w:t xml:space="preserve"> including technical capacity</w:t>
      </w:r>
      <w:r>
        <w:rPr>
          <w:lang w:val="en-AU"/>
        </w:rPr>
        <w:noBreakHyphen/>
      </w:r>
      <w:r w:rsidRPr="00426DAB">
        <w:rPr>
          <w:lang w:val="en-AU"/>
        </w:rPr>
        <w:t xml:space="preserve">building support on regulatory infrastructure, policies, licensing and quota systems, enforcement, and refrigeration technicians. These services have enabled </w:t>
      </w:r>
      <w:r>
        <w:rPr>
          <w:lang w:val="en-AU"/>
        </w:rPr>
        <w:t>NOUs</w:t>
      </w:r>
      <w:r w:rsidRPr="00426DAB">
        <w:rPr>
          <w:lang w:val="en-AU"/>
        </w:rPr>
        <w:t xml:space="preserve"> to smoothly transition the different technology challenges, sustain complia</w:t>
      </w:r>
      <w:r>
        <w:rPr>
          <w:lang w:val="en-AU"/>
        </w:rPr>
        <w:t>nce and meet national ODS phase</w:t>
      </w:r>
      <w:r>
        <w:rPr>
          <w:lang w:val="en-AU"/>
        </w:rPr>
        <w:noBreakHyphen/>
        <w:t>out targets</w:t>
      </w:r>
      <w:r w:rsidRPr="00426DAB">
        <w:rPr>
          <w:lang w:val="en-AU"/>
        </w:rPr>
        <w:t>.</w:t>
      </w:r>
    </w:p>
  </w:footnote>
  <w:footnote w:id="36">
    <w:p w14:paraId="5DB6CFC2" w14:textId="4D56BA24" w:rsidR="001277B2" w:rsidRPr="00DC2DDD" w:rsidRDefault="001277B2" w:rsidP="00502FEE">
      <w:pPr>
        <w:pStyle w:val="FootnoteText"/>
        <w:rPr>
          <w:lang w:val="en-CA"/>
        </w:rPr>
      </w:pPr>
      <w:r>
        <w:rPr>
          <w:rStyle w:val="FootnoteReference"/>
        </w:rPr>
        <w:footnoteRef/>
      </w:r>
      <w:r>
        <w:t xml:space="preserve"> </w:t>
      </w:r>
      <w:r>
        <w:rPr>
          <w:lang w:val="en-CA"/>
        </w:rPr>
        <w:t>UNEP CAP budget for 2020 has been submitted to the 84</w:t>
      </w:r>
      <w:r w:rsidRPr="00CD5736">
        <w:rPr>
          <w:vertAlign w:val="superscript"/>
          <w:lang w:val="en-CA"/>
        </w:rPr>
        <w:t>th</w:t>
      </w:r>
      <w:r>
        <w:rPr>
          <w:lang w:val="en-CA"/>
        </w:rPr>
        <w:t> meeting (</w:t>
      </w:r>
      <w:r w:rsidRPr="00D26E52">
        <w:t>UNEP/</w:t>
      </w:r>
      <w:proofErr w:type="spellStart"/>
      <w:r w:rsidRPr="00D26E52">
        <w:t>OzL.</w:t>
      </w:r>
      <w:r w:rsidRPr="00DC2DDD">
        <w:t>Pro</w:t>
      </w:r>
      <w:proofErr w:type="spellEnd"/>
      <w:r w:rsidRPr="00DC2DDD">
        <w:t>/</w:t>
      </w:r>
      <w:proofErr w:type="spellStart"/>
      <w:r w:rsidRPr="00DC2DDD">
        <w:t>ExCom</w:t>
      </w:r>
      <w:proofErr w:type="spellEnd"/>
      <w:r w:rsidRPr="00DC2DDD">
        <w:t>/84/37).</w:t>
      </w:r>
    </w:p>
  </w:footnote>
  <w:footnote w:id="37">
    <w:p w14:paraId="494D2DB4" w14:textId="77777777" w:rsidR="001277B2" w:rsidRPr="00DC2DDD" w:rsidRDefault="001277B2" w:rsidP="00502FEE">
      <w:pPr>
        <w:pStyle w:val="FootnoteText"/>
      </w:pPr>
      <w:r w:rsidRPr="00DC2DDD">
        <w:rPr>
          <w:rStyle w:val="FootnoteReference"/>
        </w:rPr>
        <w:footnoteRef/>
      </w:r>
      <w:r w:rsidRPr="00DC2DDD">
        <w:t xml:space="preserve"> UNEP/</w:t>
      </w:r>
      <w:proofErr w:type="spellStart"/>
      <w:r w:rsidRPr="00DC2DDD">
        <w:t>OzL.Pro</w:t>
      </w:r>
      <w:proofErr w:type="spellEnd"/>
      <w:r w:rsidRPr="00DC2DDD">
        <w:t>/</w:t>
      </w:r>
      <w:proofErr w:type="spellStart"/>
      <w:r w:rsidRPr="00DC2DDD">
        <w:t>ExCom</w:t>
      </w:r>
      <w:proofErr w:type="spellEnd"/>
      <w:r w:rsidRPr="00DC2DDD">
        <w:t>/83/41</w:t>
      </w:r>
    </w:p>
  </w:footnote>
  <w:footnote w:id="38">
    <w:p w14:paraId="30DF1F45" w14:textId="4071DCBA" w:rsidR="001277B2" w:rsidRPr="00DC2DDD" w:rsidRDefault="001277B2" w:rsidP="00502FEE">
      <w:pPr>
        <w:pStyle w:val="FootnoteText"/>
      </w:pPr>
      <w:r w:rsidRPr="00DC2DDD">
        <w:rPr>
          <w:rStyle w:val="FootnoteReference"/>
        </w:rPr>
        <w:footnoteRef/>
      </w:r>
      <w:r w:rsidRPr="00DC2DDD">
        <w:t xml:space="preserve"> UNEP/</w:t>
      </w:r>
      <w:proofErr w:type="spellStart"/>
      <w:r w:rsidRPr="00DC2DDD">
        <w:t>OzL.Pro</w:t>
      </w:r>
      <w:proofErr w:type="spellEnd"/>
      <w:r w:rsidRPr="00DC2DDD">
        <w:t>/</w:t>
      </w:r>
      <w:proofErr w:type="spellStart"/>
      <w:r w:rsidRPr="00DC2DDD">
        <w:t>ExCom</w:t>
      </w:r>
      <w:proofErr w:type="spellEnd"/>
      <w:r w:rsidRPr="00DC2DDD">
        <w:t>/84/68</w:t>
      </w:r>
    </w:p>
  </w:footnote>
  <w:footnote w:id="39">
    <w:p w14:paraId="7ABF5B7A" w14:textId="69AD99A4" w:rsidR="001277B2" w:rsidRPr="00DC2DDD" w:rsidRDefault="001277B2" w:rsidP="00502FEE">
      <w:pPr>
        <w:pStyle w:val="FootnoteText"/>
        <w:rPr>
          <w:lang w:val="en-CA"/>
        </w:rPr>
      </w:pPr>
      <w:r w:rsidRPr="00DC2DDD">
        <w:rPr>
          <w:rStyle w:val="FootnoteReference"/>
        </w:rPr>
        <w:footnoteRef/>
      </w:r>
      <w:r w:rsidRPr="00DC2DDD">
        <w:t xml:space="preserve"> </w:t>
      </w:r>
      <w:r w:rsidRPr="00DC2DDD">
        <w:rPr>
          <w:lang w:val="en-CA"/>
        </w:rPr>
        <w:t>As of 3</w:t>
      </w:r>
      <w:r>
        <w:rPr>
          <w:lang w:val="en-CA"/>
        </w:rPr>
        <w:t xml:space="preserve"> </w:t>
      </w:r>
      <w:r w:rsidRPr="00DC2DDD">
        <w:rPr>
          <w:lang w:val="en-CA"/>
        </w:rPr>
        <w:t>November 2019, 57 Article 5 countries had ratified the Kigali Amendment.</w:t>
      </w:r>
    </w:p>
  </w:footnote>
  <w:footnote w:id="40">
    <w:p w14:paraId="1A25471E" w14:textId="0FABB767" w:rsidR="001277B2" w:rsidRPr="00E3759A" w:rsidRDefault="001277B2" w:rsidP="00502FEE">
      <w:pPr>
        <w:pStyle w:val="FootnoteText"/>
        <w:rPr>
          <w:lang w:val="en-CA"/>
        </w:rPr>
      </w:pPr>
      <w:r w:rsidRPr="00DC2DDD">
        <w:rPr>
          <w:rStyle w:val="FootnoteReference"/>
        </w:rPr>
        <w:footnoteRef/>
      </w:r>
      <w:r w:rsidRPr="00DC2DDD">
        <w:t xml:space="preserve"> The 2020-2022 business plans submitted by the bilateral and implementing agencies to</w:t>
      </w:r>
      <w:r>
        <w:t xml:space="preserve"> the 84</w:t>
      </w:r>
      <w:r w:rsidRPr="00E3759A">
        <w:rPr>
          <w:vertAlign w:val="superscript"/>
        </w:rPr>
        <w:t>th</w:t>
      </w:r>
      <w:r>
        <w:t xml:space="preserve"> meeting </w:t>
      </w:r>
      <w:r w:rsidRPr="00E3759A">
        <w:t>include</w:t>
      </w:r>
      <w:r>
        <w:t>d</w:t>
      </w:r>
      <w:r w:rsidRPr="00E3759A">
        <w:t xml:space="preserve"> preparatory funding for HFC phase</w:t>
      </w:r>
      <w:r>
        <w:noBreakHyphen/>
      </w:r>
      <w:r w:rsidRPr="00E3759A">
        <w:t>down plans for 16</w:t>
      </w:r>
      <w:r>
        <w:t> </w:t>
      </w:r>
      <w:r w:rsidRPr="00E3759A">
        <w:t>countries in 2</w:t>
      </w:r>
      <w:r>
        <w:t>020, 12 in 2021 and one in 2022.</w:t>
      </w:r>
    </w:p>
  </w:footnote>
  <w:footnote w:id="41">
    <w:p w14:paraId="2325FDAD" w14:textId="77777777" w:rsidR="001277B2" w:rsidRPr="00EC0404" w:rsidRDefault="001277B2" w:rsidP="00502FEE">
      <w:pPr>
        <w:pStyle w:val="FootnoteText"/>
        <w:rPr>
          <w:lang w:val="en-CA"/>
        </w:rPr>
      </w:pPr>
      <w:r>
        <w:rPr>
          <w:rStyle w:val="FootnoteReference"/>
        </w:rPr>
        <w:footnoteRef/>
      </w:r>
      <w:r>
        <w:t xml:space="preserve"> </w:t>
      </w:r>
      <w:r w:rsidRPr="00EC0404">
        <w:t>UNEP/</w:t>
      </w:r>
      <w:proofErr w:type="spellStart"/>
      <w:r w:rsidRPr="00EC0404">
        <w:t>OzL.Pro</w:t>
      </w:r>
      <w:proofErr w:type="spellEnd"/>
      <w:r w:rsidRPr="00EC0404">
        <w:t>/</w:t>
      </w:r>
      <w:proofErr w:type="spellStart"/>
      <w:r w:rsidRPr="00EC0404">
        <w:t>ExCom</w:t>
      </w:r>
      <w:proofErr w:type="spellEnd"/>
      <w:r w:rsidRPr="00EC0404">
        <w:t>/54/59</w:t>
      </w:r>
    </w:p>
  </w:footnote>
  <w:footnote w:id="42">
    <w:p w14:paraId="03819D09" w14:textId="77777777" w:rsidR="001277B2" w:rsidRPr="0070504C" w:rsidRDefault="001277B2" w:rsidP="00502FEE">
      <w:pPr>
        <w:pStyle w:val="FootnoteText"/>
        <w:rPr>
          <w:lang w:val="en-CA"/>
        </w:rPr>
      </w:pPr>
      <w:r>
        <w:rPr>
          <w:rStyle w:val="FootnoteReference"/>
        </w:rPr>
        <w:footnoteRef/>
      </w:r>
      <w:r>
        <w:t xml:space="preserve"> UNEP/</w:t>
      </w:r>
      <w:proofErr w:type="spellStart"/>
      <w:r>
        <w:t>OzL.Pro</w:t>
      </w:r>
      <w:proofErr w:type="spellEnd"/>
      <w:r>
        <w:t>/</w:t>
      </w:r>
      <w:proofErr w:type="spellStart"/>
      <w:r>
        <w:t>ExCom</w:t>
      </w:r>
      <w:proofErr w:type="spellEnd"/>
      <w:r>
        <w:t>/56/64</w:t>
      </w:r>
    </w:p>
  </w:footnote>
  <w:footnote w:id="43">
    <w:p w14:paraId="1E7204D0" w14:textId="4C980114" w:rsidR="001277B2" w:rsidRPr="005B5305" w:rsidRDefault="001277B2" w:rsidP="00502FEE">
      <w:pPr>
        <w:pStyle w:val="FootnoteText"/>
      </w:pPr>
      <w:r>
        <w:rPr>
          <w:rStyle w:val="FootnoteReference"/>
        </w:rPr>
        <w:footnoteRef/>
      </w:r>
      <w:r>
        <w:t xml:space="preserve"> UNEP/</w:t>
      </w:r>
      <w:proofErr w:type="spellStart"/>
      <w:r>
        <w:t>OzL.Pro</w:t>
      </w:r>
      <w:proofErr w:type="spellEnd"/>
      <w:r>
        <w:t>/</w:t>
      </w:r>
      <w:proofErr w:type="spellStart"/>
      <w:r>
        <w:t>ExCom</w:t>
      </w:r>
      <w:proofErr w:type="spellEnd"/>
      <w:r>
        <w:t>/71/64</w:t>
      </w:r>
    </w:p>
  </w:footnote>
  <w:footnote w:id="44">
    <w:p w14:paraId="3F9B258D" w14:textId="77777777" w:rsidR="001277B2" w:rsidRPr="00825976" w:rsidRDefault="001277B2" w:rsidP="0011030A">
      <w:pPr>
        <w:pStyle w:val="FootnoteText"/>
        <w:rPr>
          <w:lang w:val="en-CA"/>
        </w:rPr>
      </w:pPr>
      <w:r>
        <w:rPr>
          <w:rStyle w:val="FootnoteReference"/>
        </w:rPr>
        <w:footnoteRef/>
      </w:r>
      <w:r>
        <w:t xml:space="preserve"> </w:t>
      </w:r>
      <w:r w:rsidRPr="00825976">
        <w:t>UNEP/OzL.Pro.31/L.2/Add.2</w:t>
      </w:r>
    </w:p>
  </w:footnote>
  <w:footnote w:id="45">
    <w:p w14:paraId="3413D670" w14:textId="07958C0A" w:rsidR="001277B2" w:rsidRPr="00B54500" w:rsidRDefault="001277B2" w:rsidP="008340DF">
      <w:pPr>
        <w:pStyle w:val="FootnoteText"/>
        <w:rPr>
          <w:lang w:val="en-CA"/>
        </w:rPr>
      </w:pPr>
      <w:r w:rsidRPr="00B54500">
        <w:rPr>
          <w:rStyle w:val="FootnoteReference"/>
        </w:rPr>
        <w:footnoteRef/>
      </w:r>
      <w:r w:rsidRPr="00B54500">
        <w:t xml:space="preserve"> To continue supporting stand-alone projects in parties operating under paragraph 1 of Article 5 in accordance with decision 79/45.</w:t>
      </w:r>
    </w:p>
  </w:footnote>
  <w:footnote w:id="46">
    <w:p w14:paraId="172F6F4A" w14:textId="77777777" w:rsidR="001277B2" w:rsidRPr="00420ED6" w:rsidRDefault="001277B2" w:rsidP="00502FEE">
      <w:pPr>
        <w:rPr>
          <w:sz w:val="20"/>
          <w:szCs w:val="20"/>
        </w:rPr>
      </w:pPr>
      <w:r w:rsidRPr="00B54500">
        <w:rPr>
          <w:rStyle w:val="FootnoteReference"/>
          <w:rFonts w:eastAsiaTheme="minorHAnsi"/>
          <w:sz w:val="20"/>
          <w:szCs w:val="20"/>
          <w:lang w:val="en-US"/>
        </w:rPr>
        <w:footnoteRef/>
      </w:r>
      <w:r w:rsidRPr="00B54500">
        <w:rPr>
          <w:sz w:val="20"/>
          <w:szCs w:val="20"/>
        </w:rPr>
        <w:t xml:space="preserve"> UNEP/</w:t>
      </w:r>
      <w:proofErr w:type="spellStart"/>
      <w:r w:rsidRPr="00B54500">
        <w:rPr>
          <w:sz w:val="20"/>
          <w:szCs w:val="20"/>
        </w:rPr>
        <w:t>OzL.Pro</w:t>
      </w:r>
      <w:proofErr w:type="spellEnd"/>
      <w:r w:rsidRPr="00B54500">
        <w:rPr>
          <w:sz w:val="20"/>
          <w:szCs w:val="20"/>
        </w:rPr>
        <w:t>/</w:t>
      </w:r>
      <w:proofErr w:type="spellStart"/>
      <w:r w:rsidRPr="00B54500">
        <w:rPr>
          <w:sz w:val="20"/>
          <w:szCs w:val="20"/>
        </w:rPr>
        <w:t>ExCom</w:t>
      </w:r>
      <w:proofErr w:type="spellEnd"/>
      <w:r w:rsidRPr="00420ED6">
        <w:rPr>
          <w:sz w:val="20"/>
          <w:szCs w:val="20"/>
        </w:rPr>
        <w:t>/80/16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6D66" w14:textId="05772501" w:rsidR="001277B2" w:rsidRPr="0033525D" w:rsidRDefault="00CB7DE8">
    <w:r>
      <w:fldChar w:fldCharType="begin"/>
    </w:r>
    <w:r>
      <w:instrText xml:space="preserve"> DOCPROPERTY "Document number"  \* MERGEFORMAT </w:instrText>
    </w:r>
    <w:r>
      <w:fldChar w:fldCharType="separate"/>
    </w:r>
    <w:r w:rsidR="00501936">
      <w:t>UNEP/</w:t>
    </w:r>
    <w:proofErr w:type="spellStart"/>
    <w:r w:rsidR="00501936">
      <w:t>OzL.Pro</w:t>
    </w:r>
    <w:proofErr w:type="spellEnd"/>
    <w:r w:rsidR="00501936">
      <w:t>/</w:t>
    </w:r>
    <w:proofErr w:type="spellStart"/>
    <w:r w:rsidR="00501936">
      <w:t>ExCom</w:t>
    </w:r>
    <w:proofErr w:type="spellEnd"/>
    <w:r w:rsidR="00501936">
      <w:t>/84/65</w:t>
    </w:r>
    <w:r>
      <w:fldChar w:fldCharType="end"/>
    </w:r>
  </w:p>
  <w:p w14:paraId="12A4B408" w14:textId="77777777" w:rsidR="001277B2" w:rsidRPr="0033525D" w:rsidRDefault="001277B2"/>
  <w:p w14:paraId="539B3F71" w14:textId="77777777" w:rsidR="001277B2" w:rsidRPr="0033525D" w:rsidRDefault="001277B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E9C9" w14:textId="34385CC7" w:rsidR="001277B2" w:rsidRPr="0033525D" w:rsidRDefault="00CB7DE8">
    <w:pPr>
      <w:jc w:val="right"/>
    </w:pPr>
    <w:r>
      <w:fldChar w:fldCharType="begin"/>
    </w:r>
    <w:r>
      <w:instrText xml:space="preserve"> DOCPROPERTY "Document number"  \* MERGEFORMAT </w:instrText>
    </w:r>
    <w:r>
      <w:fldChar w:fldCharType="separate"/>
    </w:r>
    <w:r w:rsidR="00501936">
      <w:t>UNEP/</w:t>
    </w:r>
    <w:proofErr w:type="spellStart"/>
    <w:r w:rsidR="00501936">
      <w:t>OzL.Pro</w:t>
    </w:r>
    <w:proofErr w:type="spellEnd"/>
    <w:r w:rsidR="00501936">
      <w:t>/</w:t>
    </w:r>
    <w:proofErr w:type="spellStart"/>
    <w:r w:rsidR="00501936">
      <w:t>ExCom</w:t>
    </w:r>
    <w:proofErr w:type="spellEnd"/>
    <w:r w:rsidR="00501936">
      <w:t>/84/65</w:t>
    </w:r>
    <w:r>
      <w:fldChar w:fldCharType="end"/>
    </w:r>
  </w:p>
  <w:p w14:paraId="4F9281E9" w14:textId="77777777" w:rsidR="001277B2" w:rsidRPr="0033525D" w:rsidRDefault="001277B2"/>
  <w:p w14:paraId="428EA2D5" w14:textId="77777777" w:rsidR="001277B2" w:rsidRPr="0033525D" w:rsidRDefault="001277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DE8844C"/>
    <w:lvl w:ilvl="0">
      <w:start w:val="1"/>
      <w:numFmt w:val="decimal"/>
      <w:pStyle w:val="Heading1"/>
      <w:lvlText w:val="%1."/>
      <w:lvlJc w:val="left"/>
      <w:pPr>
        <w:tabs>
          <w:tab w:val="num" w:pos="0"/>
        </w:tabs>
        <w:ind w:left="0" w:firstLine="0"/>
      </w:pPr>
      <w:rPr>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B941D8"/>
    <w:multiLevelType w:val="hybridMultilevel"/>
    <w:tmpl w:val="17021CE6"/>
    <w:lvl w:ilvl="0" w:tplc="EA742A88">
      <w:start w:val="2"/>
      <w:numFmt w:val="decimal"/>
      <w:lvlText w:val="%1."/>
      <w:lvlJc w:val="left"/>
      <w:pPr>
        <w:ind w:left="720" w:hanging="360"/>
      </w:pPr>
      <w:rPr>
        <w:rFonts w:eastAsia="SimSu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C59754D"/>
    <w:multiLevelType w:val="multilevel"/>
    <w:tmpl w:val="BDECA79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133D4C62"/>
    <w:multiLevelType w:val="hybridMultilevel"/>
    <w:tmpl w:val="69C8A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D96F3C"/>
    <w:multiLevelType w:val="multilevel"/>
    <w:tmpl w:val="46024FC6"/>
    <w:lvl w:ilvl="0">
      <w:start w:val="7"/>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5" w15:restartNumberingAfterBreak="0">
    <w:nsid w:val="191B5C8A"/>
    <w:multiLevelType w:val="hybridMultilevel"/>
    <w:tmpl w:val="E9FCF9F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091253"/>
    <w:multiLevelType w:val="hybridMultilevel"/>
    <w:tmpl w:val="3BBE3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7C77FEE"/>
    <w:multiLevelType w:val="hybridMultilevel"/>
    <w:tmpl w:val="575A768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FF09D3"/>
    <w:multiLevelType w:val="hybridMultilevel"/>
    <w:tmpl w:val="49EE96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9B1317"/>
    <w:multiLevelType w:val="hybridMultilevel"/>
    <w:tmpl w:val="9FD07DC4"/>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4" w15:restartNumberingAfterBreak="0">
    <w:nsid w:val="55044FEF"/>
    <w:multiLevelType w:val="hybridMultilevel"/>
    <w:tmpl w:val="9DC034FA"/>
    <w:lvl w:ilvl="0" w:tplc="5512E53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732709"/>
    <w:multiLevelType w:val="hybridMultilevel"/>
    <w:tmpl w:val="16C26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866A57"/>
    <w:multiLevelType w:val="multilevel"/>
    <w:tmpl w:val="D6B8C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3AE5F87"/>
    <w:multiLevelType w:val="hybridMultilevel"/>
    <w:tmpl w:val="0038C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F74163"/>
    <w:multiLevelType w:val="hybridMultilevel"/>
    <w:tmpl w:val="6C0EDA58"/>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22"/>
  </w:num>
  <w:num w:numId="19">
    <w:abstractNumId w:val="29"/>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12"/>
  </w:num>
  <w:num w:numId="25">
    <w:abstractNumId w:val="27"/>
  </w:num>
  <w:num w:numId="26">
    <w:abstractNumId w:val="25"/>
  </w:num>
  <w:num w:numId="27">
    <w:abstractNumId w:val="28"/>
  </w:num>
  <w:num w:numId="28">
    <w:abstractNumId w:val="15"/>
  </w:num>
  <w:num w:numId="29">
    <w:abstractNumId w:val="19"/>
  </w:num>
  <w:num w:numId="30">
    <w:abstractNumId w:val="23"/>
  </w:num>
  <w:num w:numId="31">
    <w:abstractNumId w:val="10"/>
    <w:lvlOverride w:ilvl="1">
      <w:lvl w:ilvl="1">
        <w:start w:val="1"/>
        <w:numFmt w:val="lowerLetter"/>
        <w:pStyle w:val="Heading2"/>
        <w:lvlText w:val="(%2)"/>
        <w:lvlJc w:val="left"/>
        <w:pPr>
          <w:tabs>
            <w:tab w:val="num" w:pos="0"/>
          </w:tabs>
          <w:ind w:left="1440" w:hanging="720"/>
        </w:pPr>
        <w:rPr>
          <w:rFonts w:hint="default"/>
          <w:b w:val="0"/>
        </w:rPr>
      </w:lvl>
    </w:lvlOverride>
  </w:num>
  <w:num w:numId="32">
    <w:abstractNumId w:val="26"/>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4"/>
  </w:num>
  <w:num w:numId="36">
    <w:abstractNumId w:val="13"/>
  </w:num>
  <w:num w:numId="37">
    <w:abstractNumId w:val="10"/>
  </w:num>
  <w:num w:numId="38">
    <w:abstractNumId w:val="10"/>
  </w:num>
  <w:num w:numId="3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fr-BE"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en-AU" w:vendorID="64" w:dllVersion="6"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CA"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B26BD3"/>
    <w:rsid w:val="00000FED"/>
    <w:rsid w:val="0000434E"/>
    <w:rsid w:val="000069F7"/>
    <w:rsid w:val="00010B06"/>
    <w:rsid w:val="00017C3F"/>
    <w:rsid w:val="000211A9"/>
    <w:rsid w:val="00022464"/>
    <w:rsid w:val="00030835"/>
    <w:rsid w:val="00030C48"/>
    <w:rsid w:val="00031260"/>
    <w:rsid w:val="0003681A"/>
    <w:rsid w:val="00040625"/>
    <w:rsid w:val="0004297E"/>
    <w:rsid w:val="000477C6"/>
    <w:rsid w:val="000505AC"/>
    <w:rsid w:val="0005185F"/>
    <w:rsid w:val="00052C5C"/>
    <w:rsid w:val="00053620"/>
    <w:rsid w:val="00054050"/>
    <w:rsid w:val="00061EC2"/>
    <w:rsid w:val="00072757"/>
    <w:rsid w:val="00077ADD"/>
    <w:rsid w:val="00080ED0"/>
    <w:rsid w:val="00085B8F"/>
    <w:rsid w:val="00086905"/>
    <w:rsid w:val="00090481"/>
    <w:rsid w:val="00090B19"/>
    <w:rsid w:val="00092009"/>
    <w:rsid w:val="00093C64"/>
    <w:rsid w:val="000A6C26"/>
    <w:rsid w:val="000B0AC0"/>
    <w:rsid w:val="000B6EAC"/>
    <w:rsid w:val="000C353F"/>
    <w:rsid w:val="000C4AA7"/>
    <w:rsid w:val="000C567F"/>
    <w:rsid w:val="000D07A0"/>
    <w:rsid w:val="000D4C17"/>
    <w:rsid w:val="000D52A4"/>
    <w:rsid w:val="000E07BC"/>
    <w:rsid w:val="000E1344"/>
    <w:rsid w:val="000E3956"/>
    <w:rsid w:val="000E3B00"/>
    <w:rsid w:val="000E59CB"/>
    <w:rsid w:val="000E7A06"/>
    <w:rsid w:val="000E7FEA"/>
    <w:rsid w:val="000F1CD4"/>
    <w:rsid w:val="000F3176"/>
    <w:rsid w:val="000F4103"/>
    <w:rsid w:val="000F4CB0"/>
    <w:rsid w:val="000F70A7"/>
    <w:rsid w:val="00101F98"/>
    <w:rsid w:val="0011030A"/>
    <w:rsid w:val="00113CCA"/>
    <w:rsid w:val="00116A25"/>
    <w:rsid w:val="00120E9E"/>
    <w:rsid w:val="00121AEF"/>
    <w:rsid w:val="00122F25"/>
    <w:rsid w:val="00127192"/>
    <w:rsid w:val="001277B2"/>
    <w:rsid w:val="00135980"/>
    <w:rsid w:val="001424DC"/>
    <w:rsid w:val="001427A4"/>
    <w:rsid w:val="00143AF7"/>
    <w:rsid w:val="00146D49"/>
    <w:rsid w:val="0015211F"/>
    <w:rsid w:val="00160873"/>
    <w:rsid w:val="00164719"/>
    <w:rsid w:val="00166FC4"/>
    <w:rsid w:val="001677AC"/>
    <w:rsid w:val="001677F3"/>
    <w:rsid w:val="00175443"/>
    <w:rsid w:val="001765E6"/>
    <w:rsid w:val="001804EA"/>
    <w:rsid w:val="00185362"/>
    <w:rsid w:val="00186908"/>
    <w:rsid w:val="00190A61"/>
    <w:rsid w:val="00191DE4"/>
    <w:rsid w:val="00195538"/>
    <w:rsid w:val="001966E3"/>
    <w:rsid w:val="001A3342"/>
    <w:rsid w:val="001A3E3D"/>
    <w:rsid w:val="001A412A"/>
    <w:rsid w:val="001A7049"/>
    <w:rsid w:val="001B1D88"/>
    <w:rsid w:val="001B1E40"/>
    <w:rsid w:val="001B2EDE"/>
    <w:rsid w:val="001B6487"/>
    <w:rsid w:val="001B7C92"/>
    <w:rsid w:val="001B7D69"/>
    <w:rsid w:val="001C335C"/>
    <w:rsid w:val="001C3C80"/>
    <w:rsid w:val="001C3CDD"/>
    <w:rsid w:val="001C764E"/>
    <w:rsid w:val="001C78C6"/>
    <w:rsid w:val="001D3A6E"/>
    <w:rsid w:val="001E1052"/>
    <w:rsid w:val="001E21B1"/>
    <w:rsid w:val="001E2F11"/>
    <w:rsid w:val="001E2F93"/>
    <w:rsid w:val="001E3389"/>
    <w:rsid w:val="001E61E5"/>
    <w:rsid w:val="001F1FF3"/>
    <w:rsid w:val="001F2159"/>
    <w:rsid w:val="001F29A6"/>
    <w:rsid w:val="001F42C1"/>
    <w:rsid w:val="001F5E22"/>
    <w:rsid w:val="001F687B"/>
    <w:rsid w:val="0020092E"/>
    <w:rsid w:val="00201BFB"/>
    <w:rsid w:val="00202B02"/>
    <w:rsid w:val="00204963"/>
    <w:rsid w:val="002071B0"/>
    <w:rsid w:val="00213B82"/>
    <w:rsid w:val="00214863"/>
    <w:rsid w:val="002156B4"/>
    <w:rsid w:val="00224062"/>
    <w:rsid w:val="00236EE2"/>
    <w:rsid w:val="00242C35"/>
    <w:rsid w:val="00245AAC"/>
    <w:rsid w:val="00246469"/>
    <w:rsid w:val="0025038C"/>
    <w:rsid w:val="00253222"/>
    <w:rsid w:val="00262847"/>
    <w:rsid w:val="00264ACF"/>
    <w:rsid w:val="00274053"/>
    <w:rsid w:val="00281BB2"/>
    <w:rsid w:val="002919A7"/>
    <w:rsid w:val="00294E31"/>
    <w:rsid w:val="00297DCD"/>
    <w:rsid w:val="002A7287"/>
    <w:rsid w:val="002B08D9"/>
    <w:rsid w:val="002B72E9"/>
    <w:rsid w:val="002C7998"/>
    <w:rsid w:val="002D6CB6"/>
    <w:rsid w:val="002E1C10"/>
    <w:rsid w:val="002E52B1"/>
    <w:rsid w:val="002F1E53"/>
    <w:rsid w:val="002F263D"/>
    <w:rsid w:val="002F277D"/>
    <w:rsid w:val="002F2CAA"/>
    <w:rsid w:val="002F7974"/>
    <w:rsid w:val="0030052C"/>
    <w:rsid w:val="00311614"/>
    <w:rsid w:val="00311A63"/>
    <w:rsid w:val="00311DF9"/>
    <w:rsid w:val="003151EF"/>
    <w:rsid w:val="00316E04"/>
    <w:rsid w:val="00322FAC"/>
    <w:rsid w:val="00323987"/>
    <w:rsid w:val="00324CC9"/>
    <w:rsid w:val="00327ADE"/>
    <w:rsid w:val="003306E1"/>
    <w:rsid w:val="003320E4"/>
    <w:rsid w:val="0033525D"/>
    <w:rsid w:val="003359B5"/>
    <w:rsid w:val="003414F3"/>
    <w:rsid w:val="003418C3"/>
    <w:rsid w:val="00341E46"/>
    <w:rsid w:val="00343DF4"/>
    <w:rsid w:val="0034504C"/>
    <w:rsid w:val="00346674"/>
    <w:rsid w:val="003512CB"/>
    <w:rsid w:val="00355E53"/>
    <w:rsid w:val="0035613E"/>
    <w:rsid w:val="00361902"/>
    <w:rsid w:val="00363EE9"/>
    <w:rsid w:val="0036427C"/>
    <w:rsid w:val="00364A75"/>
    <w:rsid w:val="00366505"/>
    <w:rsid w:val="0037118E"/>
    <w:rsid w:val="003716D2"/>
    <w:rsid w:val="00373B0B"/>
    <w:rsid w:val="00376128"/>
    <w:rsid w:val="0037742E"/>
    <w:rsid w:val="00377D56"/>
    <w:rsid w:val="0038105F"/>
    <w:rsid w:val="0038245A"/>
    <w:rsid w:val="003840E6"/>
    <w:rsid w:val="00384D3F"/>
    <w:rsid w:val="00385613"/>
    <w:rsid w:val="00385A2E"/>
    <w:rsid w:val="00385CFC"/>
    <w:rsid w:val="003919B9"/>
    <w:rsid w:val="0039337A"/>
    <w:rsid w:val="003955E7"/>
    <w:rsid w:val="00395D8E"/>
    <w:rsid w:val="003A2921"/>
    <w:rsid w:val="003A3189"/>
    <w:rsid w:val="003A3CA7"/>
    <w:rsid w:val="003A5E91"/>
    <w:rsid w:val="003A79F5"/>
    <w:rsid w:val="003B2427"/>
    <w:rsid w:val="003B33BD"/>
    <w:rsid w:val="003B569D"/>
    <w:rsid w:val="003B5BC6"/>
    <w:rsid w:val="003B6A4C"/>
    <w:rsid w:val="003C0C29"/>
    <w:rsid w:val="003C305B"/>
    <w:rsid w:val="003C30B9"/>
    <w:rsid w:val="003C3C0E"/>
    <w:rsid w:val="003C5BBF"/>
    <w:rsid w:val="003D4FAC"/>
    <w:rsid w:val="003D6261"/>
    <w:rsid w:val="003E0B13"/>
    <w:rsid w:val="003E27A6"/>
    <w:rsid w:val="003E35B7"/>
    <w:rsid w:val="003E3CC1"/>
    <w:rsid w:val="003E59C7"/>
    <w:rsid w:val="003E7906"/>
    <w:rsid w:val="003F3C50"/>
    <w:rsid w:val="003F4449"/>
    <w:rsid w:val="003F5FBE"/>
    <w:rsid w:val="004026AB"/>
    <w:rsid w:val="00402929"/>
    <w:rsid w:val="00406A6A"/>
    <w:rsid w:val="00406B22"/>
    <w:rsid w:val="00411616"/>
    <w:rsid w:val="004165F1"/>
    <w:rsid w:val="004174B4"/>
    <w:rsid w:val="004328A7"/>
    <w:rsid w:val="00434C74"/>
    <w:rsid w:val="00435BB9"/>
    <w:rsid w:val="00435F9D"/>
    <w:rsid w:val="004442B5"/>
    <w:rsid w:val="00450379"/>
    <w:rsid w:val="004521E4"/>
    <w:rsid w:val="00456EB4"/>
    <w:rsid w:val="0046014D"/>
    <w:rsid w:val="0046421B"/>
    <w:rsid w:val="004718F3"/>
    <w:rsid w:val="004731B8"/>
    <w:rsid w:val="0047446C"/>
    <w:rsid w:val="00475040"/>
    <w:rsid w:val="00480B01"/>
    <w:rsid w:val="00481D21"/>
    <w:rsid w:val="0048493F"/>
    <w:rsid w:val="004857DA"/>
    <w:rsid w:val="00493D40"/>
    <w:rsid w:val="004967B6"/>
    <w:rsid w:val="004A0861"/>
    <w:rsid w:val="004A0DAD"/>
    <w:rsid w:val="004A504B"/>
    <w:rsid w:val="004A6911"/>
    <w:rsid w:val="004A74D4"/>
    <w:rsid w:val="004B1535"/>
    <w:rsid w:val="004B32D2"/>
    <w:rsid w:val="004B54E0"/>
    <w:rsid w:val="004B6EF9"/>
    <w:rsid w:val="004B7384"/>
    <w:rsid w:val="004C4269"/>
    <w:rsid w:val="004D408A"/>
    <w:rsid w:val="004D469D"/>
    <w:rsid w:val="004D56E1"/>
    <w:rsid w:val="004D6236"/>
    <w:rsid w:val="004D6BA3"/>
    <w:rsid w:val="004D7F90"/>
    <w:rsid w:val="004E1A10"/>
    <w:rsid w:val="004E41F7"/>
    <w:rsid w:val="004E4DBB"/>
    <w:rsid w:val="004E4E41"/>
    <w:rsid w:val="004E575E"/>
    <w:rsid w:val="004E7F9C"/>
    <w:rsid w:val="004F0443"/>
    <w:rsid w:val="004F18A7"/>
    <w:rsid w:val="004F291E"/>
    <w:rsid w:val="004F3493"/>
    <w:rsid w:val="004F5143"/>
    <w:rsid w:val="005005AB"/>
    <w:rsid w:val="00501936"/>
    <w:rsid w:val="00502FEE"/>
    <w:rsid w:val="005115D9"/>
    <w:rsid w:val="00512B09"/>
    <w:rsid w:val="00513A54"/>
    <w:rsid w:val="00515B2F"/>
    <w:rsid w:val="00520F6F"/>
    <w:rsid w:val="00522E27"/>
    <w:rsid w:val="00525B6D"/>
    <w:rsid w:val="00533796"/>
    <w:rsid w:val="005476A2"/>
    <w:rsid w:val="00550C25"/>
    <w:rsid w:val="00553522"/>
    <w:rsid w:val="005553C2"/>
    <w:rsid w:val="00555D75"/>
    <w:rsid w:val="0055635F"/>
    <w:rsid w:val="00560DF0"/>
    <w:rsid w:val="00562827"/>
    <w:rsid w:val="0056509D"/>
    <w:rsid w:val="0056523F"/>
    <w:rsid w:val="0056759C"/>
    <w:rsid w:val="00571B37"/>
    <w:rsid w:val="00573639"/>
    <w:rsid w:val="00594A16"/>
    <w:rsid w:val="0059513E"/>
    <w:rsid w:val="005A4390"/>
    <w:rsid w:val="005B12A2"/>
    <w:rsid w:val="005B48FF"/>
    <w:rsid w:val="005B5BB0"/>
    <w:rsid w:val="005C5637"/>
    <w:rsid w:val="005D0272"/>
    <w:rsid w:val="005D67AB"/>
    <w:rsid w:val="006031EC"/>
    <w:rsid w:val="00604C15"/>
    <w:rsid w:val="00607A8F"/>
    <w:rsid w:val="00614BE0"/>
    <w:rsid w:val="006158D5"/>
    <w:rsid w:val="006214E5"/>
    <w:rsid w:val="00625D83"/>
    <w:rsid w:val="00626881"/>
    <w:rsid w:val="00634E2F"/>
    <w:rsid w:val="00641A6D"/>
    <w:rsid w:val="00642461"/>
    <w:rsid w:val="0064332C"/>
    <w:rsid w:val="00643338"/>
    <w:rsid w:val="00654845"/>
    <w:rsid w:val="006553D4"/>
    <w:rsid w:val="006623E7"/>
    <w:rsid w:val="00662A45"/>
    <w:rsid w:val="00662B80"/>
    <w:rsid w:val="00664070"/>
    <w:rsid w:val="00665C2D"/>
    <w:rsid w:val="00670F6C"/>
    <w:rsid w:val="006715AC"/>
    <w:rsid w:val="00675795"/>
    <w:rsid w:val="00682586"/>
    <w:rsid w:val="00682FB8"/>
    <w:rsid w:val="006849A0"/>
    <w:rsid w:val="006852C7"/>
    <w:rsid w:val="006852CE"/>
    <w:rsid w:val="00686EAD"/>
    <w:rsid w:val="0069182C"/>
    <w:rsid w:val="00692ACF"/>
    <w:rsid w:val="00693369"/>
    <w:rsid w:val="0069451C"/>
    <w:rsid w:val="00695AA0"/>
    <w:rsid w:val="006A69FA"/>
    <w:rsid w:val="006B4F05"/>
    <w:rsid w:val="006B5EDF"/>
    <w:rsid w:val="006C0138"/>
    <w:rsid w:val="006C1727"/>
    <w:rsid w:val="006C289F"/>
    <w:rsid w:val="006C32FD"/>
    <w:rsid w:val="006C39CE"/>
    <w:rsid w:val="006C6468"/>
    <w:rsid w:val="006D0FCC"/>
    <w:rsid w:val="006D1D2D"/>
    <w:rsid w:val="006D2262"/>
    <w:rsid w:val="006D54FC"/>
    <w:rsid w:val="006E1FC3"/>
    <w:rsid w:val="006E5BA7"/>
    <w:rsid w:val="006F0F43"/>
    <w:rsid w:val="006F619F"/>
    <w:rsid w:val="006F6FFB"/>
    <w:rsid w:val="00700F47"/>
    <w:rsid w:val="0070616B"/>
    <w:rsid w:val="00706369"/>
    <w:rsid w:val="00706FDA"/>
    <w:rsid w:val="00711F9A"/>
    <w:rsid w:val="00713810"/>
    <w:rsid w:val="00722AE9"/>
    <w:rsid w:val="007303A5"/>
    <w:rsid w:val="00730B3E"/>
    <w:rsid w:val="007318A1"/>
    <w:rsid w:val="0073420B"/>
    <w:rsid w:val="007344A9"/>
    <w:rsid w:val="00736694"/>
    <w:rsid w:val="007379AE"/>
    <w:rsid w:val="007455AF"/>
    <w:rsid w:val="00745993"/>
    <w:rsid w:val="00746415"/>
    <w:rsid w:val="0074760E"/>
    <w:rsid w:val="00754ABA"/>
    <w:rsid w:val="00755CB3"/>
    <w:rsid w:val="0076046B"/>
    <w:rsid w:val="00762AD0"/>
    <w:rsid w:val="00773E9D"/>
    <w:rsid w:val="00781DDC"/>
    <w:rsid w:val="0078380D"/>
    <w:rsid w:val="00784CD9"/>
    <w:rsid w:val="0079075E"/>
    <w:rsid w:val="00790F07"/>
    <w:rsid w:val="007956A5"/>
    <w:rsid w:val="007A1546"/>
    <w:rsid w:val="007A228C"/>
    <w:rsid w:val="007A368E"/>
    <w:rsid w:val="007A36CC"/>
    <w:rsid w:val="007A5868"/>
    <w:rsid w:val="007B04CE"/>
    <w:rsid w:val="007B360C"/>
    <w:rsid w:val="007B6871"/>
    <w:rsid w:val="007B7A2F"/>
    <w:rsid w:val="007C227C"/>
    <w:rsid w:val="007C3D33"/>
    <w:rsid w:val="007C7512"/>
    <w:rsid w:val="007D294A"/>
    <w:rsid w:val="007D47D2"/>
    <w:rsid w:val="007D6EC0"/>
    <w:rsid w:val="007D7E1D"/>
    <w:rsid w:val="007E68D9"/>
    <w:rsid w:val="007F7487"/>
    <w:rsid w:val="00805A6F"/>
    <w:rsid w:val="00811266"/>
    <w:rsid w:val="00815327"/>
    <w:rsid w:val="00821462"/>
    <w:rsid w:val="008305D1"/>
    <w:rsid w:val="0083195E"/>
    <w:rsid w:val="00831979"/>
    <w:rsid w:val="00832AA7"/>
    <w:rsid w:val="00833824"/>
    <w:rsid w:val="008340DF"/>
    <w:rsid w:val="00842816"/>
    <w:rsid w:val="008505E3"/>
    <w:rsid w:val="00851352"/>
    <w:rsid w:val="008550AA"/>
    <w:rsid w:val="00861271"/>
    <w:rsid w:val="008631C2"/>
    <w:rsid w:val="00863230"/>
    <w:rsid w:val="00870FD7"/>
    <w:rsid w:val="008717D8"/>
    <w:rsid w:val="0087215C"/>
    <w:rsid w:val="00876407"/>
    <w:rsid w:val="00876B97"/>
    <w:rsid w:val="00880E35"/>
    <w:rsid w:val="00881179"/>
    <w:rsid w:val="008856E7"/>
    <w:rsid w:val="0088681B"/>
    <w:rsid w:val="008875FE"/>
    <w:rsid w:val="00887F8E"/>
    <w:rsid w:val="00892ED6"/>
    <w:rsid w:val="00896234"/>
    <w:rsid w:val="00897E43"/>
    <w:rsid w:val="008A0E3A"/>
    <w:rsid w:val="008A1051"/>
    <w:rsid w:val="008A5740"/>
    <w:rsid w:val="008B1D8C"/>
    <w:rsid w:val="008B2217"/>
    <w:rsid w:val="008C1684"/>
    <w:rsid w:val="008C5488"/>
    <w:rsid w:val="008C5738"/>
    <w:rsid w:val="008C79DF"/>
    <w:rsid w:val="008C7EAD"/>
    <w:rsid w:val="008D04C0"/>
    <w:rsid w:val="008D0CFE"/>
    <w:rsid w:val="008D256A"/>
    <w:rsid w:val="008D3375"/>
    <w:rsid w:val="008D54C2"/>
    <w:rsid w:val="008D5C1F"/>
    <w:rsid w:val="008D604D"/>
    <w:rsid w:val="008D6152"/>
    <w:rsid w:val="008E3C6B"/>
    <w:rsid w:val="008E41E7"/>
    <w:rsid w:val="008E7702"/>
    <w:rsid w:val="008F0F81"/>
    <w:rsid w:val="008F27BF"/>
    <w:rsid w:val="0090744F"/>
    <w:rsid w:val="00907C94"/>
    <w:rsid w:val="009142EC"/>
    <w:rsid w:val="00914346"/>
    <w:rsid w:val="009154C3"/>
    <w:rsid w:val="00923540"/>
    <w:rsid w:val="0092400D"/>
    <w:rsid w:val="00926767"/>
    <w:rsid w:val="00931200"/>
    <w:rsid w:val="00935DDE"/>
    <w:rsid w:val="009361D5"/>
    <w:rsid w:val="00936884"/>
    <w:rsid w:val="00937602"/>
    <w:rsid w:val="009428A4"/>
    <w:rsid w:val="009504CC"/>
    <w:rsid w:val="00952B08"/>
    <w:rsid w:val="009539D5"/>
    <w:rsid w:val="009554A3"/>
    <w:rsid w:val="009622C9"/>
    <w:rsid w:val="009659F4"/>
    <w:rsid w:val="009668A8"/>
    <w:rsid w:val="009709B0"/>
    <w:rsid w:val="00970D60"/>
    <w:rsid w:val="00983B40"/>
    <w:rsid w:val="009874D0"/>
    <w:rsid w:val="00993772"/>
    <w:rsid w:val="0099463C"/>
    <w:rsid w:val="009960E5"/>
    <w:rsid w:val="009972E7"/>
    <w:rsid w:val="009974A9"/>
    <w:rsid w:val="00997FE2"/>
    <w:rsid w:val="009A63D4"/>
    <w:rsid w:val="009A7ADC"/>
    <w:rsid w:val="009B1C60"/>
    <w:rsid w:val="009B43F6"/>
    <w:rsid w:val="009C19B7"/>
    <w:rsid w:val="009D7C51"/>
    <w:rsid w:val="009E196C"/>
    <w:rsid w:val="009E32F0"/>
    <w:rsid w:val="009E4C10"/>
    <w:rsid w:val="009E7FD1"/>
    <w:rsid w:val="009F36BF"/>
    <w:rsid w:val="009F5BC9"/>
    <w:rsid w:val="009F6DE1"/>
    <w:rsid w:val="00A00A6A"/>
    <w:rsid w:val="00A07C73"/>
    <w:rsid w:val="00A10240"/>
    <w:rsid w:val="00A10468"/>
    <w:rsid w:val="00A111B6"/>
    <w:rsid w:val="00A13DC5"/>
    <w:rsid w:val="00A15263"/>
    <w:rsid w:val="00A22130"/>
    <w:rsid w:val="00A25087"/>
    <w:rsid w:val="00A2547B"/>
    <w:rsid w:val="00A26D27"/>
    <w:rsid w:val="00A35E44"/>
    <w:rsid w:val="00A376EE"/>
    <w:rsid w:val="00A42A99"/>
    <w:rsid w:val="00A4482F"/>
    <w:rsid w:val="00A46FBA"/>
    <w:rsid w:val="00A47A8E"/>
    <w:rsid w:val="00A50BDB"/>
    <w:rsid w:val="00A5151A"/>
    <w:rsid w:val="00A54156"/>
    <w:rsid w:val="00A54DEF"/>
    <w:rsid w:val="00A56465"/>
    <w:rsid w:val="00A57E0A"/>
    <w:rsid w:val="00A65E72"/>
    <w:rsid w:val="00A762EA"/>
    <w:rsid w:val="00A77B9D"/>
    <w:rsid w:val="00A823F6"/>
    <w:rsid w:val="00A83544"/>
    <w:rsid w:val="00A8657A"/>
    <w:rsid w:val="00A93BBA"/>
    <w:rsid w:val="00A943DC"/>
    <w:rsid w:val="00A948C5"/>
    <w:rsid w:val="00A96794"/>
    <w:rsid w:val="00A9759F"/>
    <w:rsid w:val="00AA0A89"/>
    <w:rsid w:val="00AA1A20"/>
    <w:rsid w:val="00AA1E26"/>
    <w:rsid w:val="00AA474F"/>
    <w:rsid w:val="00AA4E5C"/>
    <w:rsid w:val="00AA5566"/>
    <w:rsid w:val="00AA6429"/>
    <w:rsid w:val="00AB262A"/>
    <w:rsid w:val="00AB3A66"/>
    <w:rsid w:val="00AC01AA"/>
    <w:rsid w:val="00AC4F72"/>
    <w:rsid w:val="00AD0B8B"/>
    <w:rsid w:val="00AD176C"/>
    <w:rsid w:val="00AD1B2D"/>
    <w:rsid w:val="00AD358B"/>
    <w:rsid w:val="00AD592C"/>
    <w:rsid w:val="00AE77AA"/>
    <w:rsid w:val="00AF2277"/>
    <w:rsid w:val="00AF741A"/>
    <w:rsid w:val="00B019A1"/>
    <w:rsid w:val="00B01ADB"/>
    <w:rsid w:val="00B026B0"/>
    <w:rsid w:val="00B04161"/>
    <w:rsid w:val="00B056F9"/>
    <w:rsid w:val="00B11E3D"/>
    <w:rsid w:val="00B17E82"/>
    <w:rsid w:val="00B252C4"/>
    <w:rsid w:val="00B26BD3"/>
    <w:rsid w:val="00B31F72"/>
    <w:rsid w:val="00B3316C"/>
    <w:rsid w:val="00B416E7"/>
    <w:rsid w:val="00B45425"/>
    <w:rsid w:val="00B4575A"/>
    <w:rsid w:val="00B45A8D"/>
    <w:rsid w:val="00B470B2"/>
    <w:rsid w:val="00B516F9"/>
    <w:rsid w:val="00B53375"/>
    <w:rsid w:val="00B54500"/>
    <w:rsid w:val="00B575BA"/>
    <w:rsid w:val="00B70D3D"/>
    <w:rsid w:val="00B76429"/>
    <w:rsid w:val="00B775F0"/>
    <w:rsid w:val="00B8522E"/>
    <w:rsid w:val="00B86E57"/>
    <w:rsid w:val="00B902C8"/>
    <w:rsid w:val="00B956D4"/>
    <w:rsid w:val="00B97147"/>
    <w:rsid w:val="00B97446"/>
    <w:rsid w:val="00BA56CC"/>
    <w:rsid w:val="00BA7432"/>
    <w:rsid w:val="00BB461D"/>
    <w:rsid w:val="00BB6BAA"/>
    <w:rsid w:val="00BC1AA0"/>
    <w:rsid w:val="00BC1C5E"/>
    <w:rsid w:val="00BC2495"/>
    <w:rsid w:val="00BC7EB9"/>
    <w:rsid w:val="00BD2643"/>
    <w:rsid w:val="00BD56B1"/>
    <w:rsid w:val="00BD5D40"/>
    <w:rsid w:val="00BD6558"/>
    <w:rsid w:val="00BD68A0"/>
    <w:rsid w:val="00BD68A1"/>
    <w:rsid w:val="00BE3300"/>
    <w:rsid w:val="00BE7FCA"/>
    <w:rsid w:val="00BF1472"/>
    <w:rsid w:val="00BF3022"/>
    <w:rsid w:val="00BF3214"/>
    <w:rsid w:val="00BF5573"/>
    <w:rsid w:val="00C070E5"/>
    <w:rsid w:val="00C1010B"/>
    <w:rsid w:val="00C104A8"/>
    <w:rsid w:val="00C12448"/>
    <w:rsid w:val="00C15867"/>
    <w:rsid w:val="00C200F7"/>
    <w:rsid w:val="00C20826"/>
    <w:rsid w:val="00C213C4"/>
    <w:rsid w:val="00C2296D"/>
    <w:rsid w:val="00C23155"/>
    <w:rsid w:val="00C255E9"/>
    <w:rsid w:val="00C3556E"/>
    <w:rsid w:val="00C35DBB"/>
    <w:rsid w:val="00C3666E"/>
    <w:rsid w:val="00C40C41"/>
    <w:rsid w:val="00C43A14"/>
    <w:rsid w:val="00C45885"/>
    <w:rsid w:val="00C47DF7"/>
    <w:rsid w:val="00C50F22"/>
    <w:rsid w:val="00C55303"/>
    <w:rsid w:val="00C55D61"/>
    <w:rsid w:val="00C57971"/>
    <w:rsid w:val="00C65BD7"/>
    <w:rsid w:val="00C76BA4"/>
    <w:rsid w:val="00C83A48"/>
    <w:rsid w:val="00C83CA3"/>
    <w:rsid w:val="00C85865"/>
    <w:rsid w:val="00C85E85"/>
    <w:rsid w:val="00C85F6C"/>
    <w:rsid w:val="00C87907"/>
    <w:rsid w:val="00C93ED1"/>
    <w:rsid w:val="00CA1787"/>
    <w:rsid w:val="00CA2EAE"/>
    <w:rsid w:val="00CA4AC1"/>
    <w:rsid w:val="00CB0316"/>
    <w:rsid w:val="00CB0A14"/>
    <w:rsid w:val="00CB0B11"/>
    <w:rsid w:val="00CB408E"/>
    <w:rsid w:val="00CB4D51"/>
    <w:rsid w:val="00CB5354"/>
    <w:rsid w:val="00CB68E5"/>
    <w:rsid w:val="00CB7DE8"/>
    <w:rsid w:val="00CC1784"/>
    <w:rsid w:val="00CC299E"/>
    <w:rsid w:val="00CC6236"/>
    <w:rsid w:val="00CC6A14"/>
    <w:rsid w:val="00CC70A3"/>
    <w:rsid w:val="00CD3C15"/>
    <w:rsid w:val="00CD3F78"/>
    <w:rsid w:val="00CD4442"/>
    <w:rsid w:val="00CD4FFA"/>
    <w:rsid w:val="00CD53C3"/>
    <w:rsid w:val="00CD574E"/>
    <w:rsid w:val="00CE2D1E"/>
    <w:rsid w:val="00CE4737"/>
    <w:rsid w:val="00CE4C22"/>
    <w:rsid w:val="00CF41EC"/>
    <w:rsid w:val="00CF5D04"/>
    <w:rsid w:val="00D04DE4"/>
    <w:rsid w:val="00D0546C"/>
    <w:rsid w:val="00D063F1"/>
    <w:rsid w:val="00D11FF2"/>
    <w:rsid w:val="00D13CD0"/>
    <w:rsid w:val="00D14F22"/>
    <w:rsid w:val="00D16647"/>
    <w:rsid w:val="00D22563"/>
    <w:rsid w:val="00D26E52"/>
    <w:rsid w:val="00D30C7C"/>
    <w:rsid w:val="00D31299"/>
    <w:rsid w:val="00D32C48"/>
    <w:rsid w:val="00D434F5"/>
    <w:rsid w:val="00D439EF"/>
    <w:rsid w:val="00D4741C"/>
    <w:rsid w:val="00D47ACD"/>
    <w:rsid w:val="00D51B89"/>
    <w:rsid w:val="00D5341C"/>
    <w:rsid w:val="00D57918"/>
    <w:rsid w:val="00D62899"/>
    <w:rsid w:val="00D647AE"/>
    <w:rsid w:val="00D649AA"/>
    <w:rsid w:val="00D66982"/>
    <w:rsid w:val="00D67C3F"/>
    <w:rsid w:val="00D72F55"/>
    <w:rsid w:val="00D73DC6"/>
    <w:rsid w:val="00D74C1A"/>
    <w:rsid w:val="00D754C1"/>
    <w:rsid w:val="00D77393"/>
    <w:rsid w:val="00D77A35"/>
    <w:rsid w:val="00D81B3E"/>
    <w:rsid w:val="00D84190"/>
    <w:rsid w:val="00D86695"/>
    <w:rsid w:val="00D90C70"/>
    <w:rsid w:val="00D90E49"/>
    <w:rsid w:val="00D96ADE"/>
    <w:rsid w:val="00DA0CE2"/>
    <w:rsid w:val="00DA4013"/>
    <w:rsid w:val="00DA6515"/>
    <w:rsid w:val="00DA68E9"/>
    <w:rsid w:val="00DB0C98"/>
    <w:rsid w:val="00DB29A4"/>
    <w:rsid w:val="00DB7FCC"/>
    <w:rsid w:val="00DC2DDD"/>
    <w:rsid w:val="00DC6A10"/>
    <w:rsid w:val="00DD1EFD"/>
    <w:rsid w:val="00DD2749"/>
    <w:rsid w:val="00DE2D7F"/>
    <w:rsid w:val="00DE3B55"/>
    <w:rsid w:val="00DE45BB"/>
    <w:rsid w:val="00DE657E"/>
    <w:rsid w:val="00DE7337"/>
    <w:rsid w:val="00DF3B54"/>
    <w:rsid w:val="00DF4704"/>
    <w:rsid w:val="00DF6280"/>
    <w:rsid w:val="00E024AA"/>
    <w:rsid w:val="00E04D9F"/>
    <w:rsid w:val="00E05B7A"/>
    <w:rsid w:val="00E10440"/>
    <w:rsid w:val="00E22308"/>
    <w:rsid w:val="00E250F1"/>
    <w:rsid w:val="00E33F10"/>
    <w:rsid w:val="00E3550D"/>
    <w:rsid w:val="00E3759A"/>
    <w:rsid w:val="00E377FC"/>
    <w:rsid w:val="00E41335"/>
    <w:rsid w:val="00E422A8"/>
    <w:rsid w:val="00E45BA6"/>
    <w:rsid w:val="00E469A0"/>
    <w:rsid w:val="00E51DD2"/>
    <w:rsid w:val="00E521B0"/>
    <w:rsid w:val="00E614E0"/>
    <w:rsid w:val="00E61A99"/>
    <w:rsid w:val="00E70287"/>
    <w:rsid w:val="00E718D8"/>
    <w:rsid w:val="00E73F7F"/>
    <w:rsid w:val="00E758FD"/>
    <w:rsid w:val="00E75DC8"/>
    <w:rsid w:val="00E76F8E"/>
    <w:rsid w:val="00E85409"/>
    <w:rsid w:val="00E85B4C"/>
    <w:rsid w:val="00E87D56"/>
    <w:rsid w:val="00E92362"/>
    <w:rsid w:val="00E92776"/>
    <w:rsid w:val="00E931D1"/>
    <w:rsid w:val="00E95420"/>
    <w:rsid w:val="00EA429F"/>
    <w:rsid w:val="00EA4F9E"/>
    <w:rsid w:val="00EA63CA"/>
    <w:rsid w:val="00EA6D3B"/>
    <w:rsid w:val="00EB00AD"/>
    <w:rsid w:val="00EB0D16"/>
    <w:rsid w:val="00EB136C"/>
    <w:rsid w:val="00EB2B43"/>
    <w:rsid w:val="00EB480E"/>
    <w:rsid w:val="00EB5EC6"/>
    <w:rsid w:val="00EB753B"/>
    <w:rsid w:val="00EB7FC9"/>
    <w:rsid w:val="00EC54A2"/>
    <w:rsid w:val="00ED27E8"/>
    <w:rsid w:val="00ED4065"/>
    <w:rsid w:val="00ED7137"/>
    <w:rsid w:val="00EE5C64"/>
    <w:rsid w:val="00EE66BA"/>
    <w:rsid w:val="00EE70F9"/>
    <w:rsid w:val="00EF2DBA"/>
    <w:rsid w:val="00EF525B"/>
    <w:rsid w:val="00F03016"/>
    <w:rsid w:val="00F032DE"/>
    <w:rsid w:val="00F034DF"/>
    <w:rsid w:val="00F06300"/>
    <w:rsid w:val="00F07A58"/>
    <w:rsid w:val="00F139D9"/>
    <w:rsid w:val="00F13A30"/>
    <w:rsid w:val="00F177C1"/>
    <w:rsid w:val="00F20CD8"/>
    <w:rsid w:val="00F21088"/>
    <w:rsid w:val="00F2223F"/>
    <w:rsid w:val="00F268BE"/>
    <w:rsid w:val="00F26E2B"/>
    <w:rsid w:val="00F2761F"/>
    <w:rsid w:val="00F30E21"/>
    <w:rsid w:val="00F327E7"/>
    <w:rsid w:val="00F34CD8"/>
    <w:rsid w:val="00F35746"/>
    <w:rsid w:val="00F36047"/>
    <w:rsid w:val="00F36AC1"/>
    <w:rsid w:val="00F41A40"/>
    <w:rsid w:val="00F41D79"/>
    <w:rsid w:val="00F447C7"/>
    <w:rsid w:val="00F5211B"/>
    <w:rsid w:val="00F52C7D"/>
    <w:rsid w:val="00F54EAC"/>
    <w:rsid w:val="00F554A9"/>
    <w:rsid w:val="00F568A8"/>
    <w:rsid w:val="00F5771B"/>
    <w:rsid w:val="00F614FE"/>
    <w:rsid w:val="00F6484B"/>
    <w:rsid w:val="00F64A8B"/>
    <w:rsid w:val="00F716FD"/>
    <w:rsid w:val="00F76486"/>
    <w:rsid w:val="00F80355"/>
    <w:rsid w:val="00F87C43"/>
    <w:rsid w:val="00F90889"/>
    <w:rsid w:val="00F96C8C"/>
    <w:rsid w:val="00F97C4E"/>
    <w:rsid w:val="00FA1893"/>
    <w:rsid w:val="00FA3766"/>
    <w:rsid w:val="00FA41D4"/>
    <w:rsid w:val="00FB0936"/>
    <w:rsid w:val="00FB0C81"/>
    <w:rsid w:val="00FC0159"/>
    <w:rsid w:val="00FC2200"/>
    <w:rsid w:val="00FC2540"/>
    <w:rsid w:val="00FC5488"/>
    <w:rsid w:val="00FD3201"/>
    <w:rsid w:val="00FE36FB"/>
    <w:rsid w:val="00FE7A8F"/>
    <w:rsid w:val="00FF00AB"/>
    <w:rsid w:val="00FF0204"/>
    <w:rsid w:val="00FF0F63"/>
    <w:rsid w:val="00FF3AED"/>
    <w:rsid w:val="00FF4F36"/>
    <w:rsid w:val="00FF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8FE432"/>
  <w15:docId w15:val="{496B2FF4-DE11-40E1-A463-BC42C648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E1A10"/>
    <w:rPr>
      <w:sz w:val="22"/>
      <w:szCs w:val="22"/>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link w:val="CharCharCharCharCarChar"/>
    <w:uiPriority w:val="99"/>
    <w:qFormat/>
    <w:rsid w:val="001F687B"/>
    <w:rPr>
      <w:szCs w:val="18"/>
      <w:vertAlign w:val="superscript"/>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qFormat/>
    <w:rsid w:val="001F687B"/>
    <w:pPr>
      <w:tabs>
        <w:tab w:val="left" w:pos="1247"/>
        <w:tab w:val="left" w:pos="1814"/>
        <w:tab w:val="left" w:pos="2381"/>
        <w:tab w:val="left" w:pos="2948"/>
        <w:tab w:val="left" w:pos="3515"/>
      </w:tabs>
    </w:pPr>
    <w:rPr>
      <w:sz w:val="20"/>
      <w:szCs w:val="24"/>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1F687B"/>
    <w:rPr>
      <w:szCs w:val="24"/>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1F687B"/>
    <w:pPr>
      <w:spacing w:after="160" w:line="240" w:lineRule="exact"/>
    </w:pPr>
    <w:rPr>
      <w:sz w:val="20"/>
      <w:szCs w:val="18"/>
      <w:vertAlign w:val="superscript"/>
      <w:lang w:val="en-US"/>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88681B"/>
    <w:rPr>
      <w:sz w:val="22"/>
      <w:szCs w:val="22"/>
      <w:lang w:val="en-GB"/>
    </w:rPr>
  </w:style>
  <w:style w:type="paragraph" w:styleId="ListParagraph">
    <w:name w:val="List Paragraph"/>
    <w:basedOn w:val="Normal"/>
    <w:uiPriority w:val="34"/>
    <w:qFormat/>
    <w:rsid w:val="00245AAC"/>
    <w:pPr>
      <w:ind w:left="720"/>
      <w:contextualSpacing/>
    </w:pPr>
  </w:style>
  <w:style w:type="character" w:styleId="Hyperlink">
    <w:name w:val="Hyperlink"/>
    <w:basedOn w:val="DefaultParagraphFont"/>
    <w:uiPriority w:val="99"/>
    <w:unhideWhenUsed/>
    <w:rsid w:val="0092400D"/>
    <w:rPr>
      <w:color w:val="0000FF" w:themeColor="hyperlink"/>
      <w:u w:val="single"/>
    </w:rPr>
  </w:style>
  <w:style w:type="numbering" w:customStyle="1" w:styleId="ArticleSection11">
    <w:name w:val="Article / Section11"/>
    <w:basedOn w:val="NoList"/>
    <w:next w:val="ArticleSection"/>
    <w:semiHidden/>
    <w:rsid w:val="008A1051"/>
  </w:style>
  <w:style w:type="paragraph" w:customStyle="1" w:styleId="Default">
    <w:name w:val="Default"/>
    <w:rsid w:val="00C255E9"/>
    <w:pPr>
      <w:widowControl w:val="0"/>
      <w:autoSpaceDE w:val="0"/>
      <w:autoSpaceDN w:val="0"/>
      <w:adjustRightInd w:val="0"/>
    </w:pPr>
    <w:rPr>
      <w:color w:val="000000"/>
      <w:sz w:val="24"/>
      <w:szCs w:val="24"/>
    </w:rPr>
  </w:style>
  <w:style w:type="paragraph" w:customStyle="1" w:styleId="Title2">
    <w:name w:val="Title2"/>
    <w:rsid w:val="0056523F"/>
    <w:pPr>
      <w:jc w:val="center"/>
      <w:outlineLvl w:val="0"/>
    </w:pPr>
    <w:rPr>
      <w:b/>
      <w:caps/>
      <w:sz w:val="22"/>
      <w:szCs w:val="22"/>
      <w:lang w:val="en-GB"/>
    </w:rPr>
  </w:style>
  <w:style w:type="paragraph" w:styleId="Revision">
    <w:name w:val="Revision"/>
    <w:hidden/>
    <w:uiPriority w:val="99"/>
    <w:semiHidden/>
    <w:rsid w:val="00C47DF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39488">
      <w:bodyDiv w:val="1"/>
      <w:marLeft w:val="0"/>
      <w:marRight w:val="0"/>
      <w:marTop w:val="0"/>
      <w:marBottom w:val="0"/>
      <w:divBdr>
        <w:top w:val="none" w:sz="0" w:space="0" w:color="auto"/>
        <w:left w:val="none" w:sz="0" w:space="0" w:color="auto"/>
        <w:bottom w:val="none" w:sz="0" w:space="0" w:color="auto"/>
        <w:right w:val="none" w:sz="0" w:space="0" w:color="auto"/>
      </w:divBdr>
    </w:div>
    <w:div w:id="667907931">
      <w:bodyDiv w:val="1"/>
      <w:marLeft w:val="0"/>
      <w:marRight w:val="0"/>
      <w:marTop w:val="0"/>
      <w:marBottom w:val="0"/>
      <w:divBdr>
        <w:top w:val="none" w:sz="0" w:space="0" w:color="auto"/>
        <w:left w:val="none" w:sz="0" w:space="0" w:color="auto"/>
        <w:bottom w:val="none" w:sz="0" w:space="0" w:color="auto"/>
        <w:right w:val="none" w:sz="0" w:space="0" w:color="auto"/>
      </w:divBdr>
    </w:div>
    <w:div w:id="737636179">
      <w:bodyDiv w:val="1"/>
      <w:marLeft w:val="0"/>
      <w:marRight w:val="0"/>
      <w:marTop w:val="0"/>
      <w:marBottom w:val="0"/>
      <w:divBdr>
        <w:top w:val="none" w:sz="0" w:space="0" w:color="auto"/>
        <w:left w:val="none" w:sz="0" w:space="0" w:color="auto"/>
        <w:bottom w:val="none" w:sz="0" w:space="0" w:color="auto"/>
        <w:right w:val="none" w:sz="0" w:space="0" w:color="auto"/>
      </w:divBdr>
    </w:div>
    <w:div w:id="84502472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UNEP/OzL.Pro/ExCom/84/65</Document_x0020_Number>
    <DocumentType xmlns="64e33b30-101d-41de-b951-961aab25ea29">Pre-session</DocumentType>
  </documentManagement>
</p:properties>
</file>

<file path=customXml/itemProps1.xml><?xml version="1.0" encoding="utf-8"?>
<ds:datastoreItem xmlns:ds="http://schemas.openxmlformats.org/officeDocument/2006/customXml" ds:itemID="{2C7A1A42-B752-47BE-A5C4-ED6CA483E95B}"/>
</file>

<file path=customXml/itemProps2.xml><?xml version="1.0" encoding="utf-8"?>
<ds:datastoreItem xmlns:ds="http://schemas.openxmlformats.org/officeDocument/2006/customXml" ds:itemID="{5BBB327C-AB78-48D1-A5E6-F7A95108C077}"/>
</file>

<file path=customXml/itemProps3.xml><?xml version="1.0" encoding="utf-8"?>
<ds:datastoreItem xmlns:ds="http://schemas.openxmlformats.org/officeDocument/2006/customXml" ds:itemID="{8F420AC8-E184-46C8-8138-E37233432F4D}"/>
</file>

<file path=customXml/itemProps4.xml><?xml version="1.0" encoding="utf-8"?>
<ds:datastoreItem xmlns:ds="http://schemas.openxmlformats.org/officeDocument/2006/customXml" ds:itemID="{EDCCD2ED-9824-42F7-849F-A54C1A3E54C8}"/>
</file>

<file path=docProps/app.xml><?xml version="1.0" encoding="utf-8"?>
<Properties xmlns="http://schemas.openxmlformats.org/officeDocument/2006/extended-properties" xmlns:vt="http://schemas.openxmlformats.org/officeDocument/2006/docPropsVTypes">
  <Template>Eec84G</Template>
  <TotalTime>3</TotalTime>
  <Pages>21</Pages>
  <Words>9350</Words>
  <Characters>53861</Characters>
  <Application>Microsoft Office Word</Application>
  <DocSecurity>0</DocSecurity>
  <Lines>1417</Lines>
  <Paragraphs>854</Paragraphs>
  <ScaleCrop>false</ScaleCrop>
  <HeadingPairs>
    <vt:vector size="2" baseType="variant">
      <vt:variant>
        <vt:lpstr>Title</vt:lpstr>
      </vt:variant>
      <vt:variant>
        <vt:i4>1</vt:i4>
      </vt:variant>
    </vt:vector>
  </HeadingPairs>
  <TitlesOfParts>
    <vt:vector size="1" baseType="lpstr">
      <vt:lpstr>Analysis of the implications of parallel or integrated implementation of HCFC phase-out and HFC phase-down activities</vt:lpstr>
    </vt:vector>
  </TitlesOfParts>
  <Company>UNMFS</Company>
  <LinksUpToDate>false</LinksUpToDate>
  <CharactersWithSpaces>62357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implications of parallel or integrated implementation of HCFC phase-out and HFC phase-down activities</dc:title>
  <dc:subject>84th</dc:subject>
  <dc:creator>Patricia Chau</dc:creator>
  <cp:keywords>84th</cp:keywords>
  <dc:description>FSM</dc:description>
  <cp:lastModifiedBy>Dominika Anna Suwik</cp:lastModifiedBy>
  <cp:revision>3</cp:revision>
  <cp:lastPrinted>2019-11-20T00:05:00Z</cp:lastPrinted>
  <dcterms:created xsi:type="dcterms:W3CDTF">2019-11-20T00:12:00Z</dcterms:created>
  <dcterms:modified xsi:type="dcterms:W3CDTF">2019-11-20T00:26:00Z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UNEP/OzL.Pro/ExCom/84/65</vt:lpwstr>
  </property>
  <property fmtid="{D5CDD505-2E9C-101B-9397-08002B2CF9AE}" pid="3" name="Revision date">
    <vt:lpwstr>11/19/2019</vt:lpwstr>
  </property>
  <property fmtid="{D5CDD505-2E9C-101B-9397-08002B2CF9AE}" pid="4" name="ContentTypeId">
    <vt:lpwstr>0x010100D1FC51483EAF9547AF5405F34A68D8CF</vt:lpwstr>
  </property>
</Properties>
</file>