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3193BEB6" w14:textId="77777777" w:rsidTr="00E57EA7">
        <w:trPr>
          <w:trHeight w:val="720"/>
        </w:trPr>
        <w:tc>
          <w:tcPr>
            <w:tcW w:w="5490" w:type="dxa"/>
            <w:gridSpan w:val="2"/>
            <w:tcBorders>
              <w:bottom w:val="single" w:sz="18" w:space="0" w:color="auto"/>
            </w:tcBorders>
          </w:tcPr>
          <w:p w14:paraId="2EB617E3" w14:textId="77777777" w:rsidR="00C15867" w:rsidRPr="0000434E" w:rsidRDefault="00C15867" w:rsidP="000051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1ABF224E" w14:textId="77777777" w:rsidR="00C15867" w:rsidRPr="00493D40" w:rsidRDefault="00C15867" w:rsidP="000051E7">
            <w:pPr>
              <w:jc w:val="right"/>
              <w:rPr>
                <w:sz w:val="52"/>
                <w:szCs w:val="52"/>
              </w:rPr>
            </w:pPr>
            <w:r>
              <w:rPr>
                <w:rFonts w:ascii="Univers Bold" w:hAnsi="Univers Bold"/>
                <w:b/>
                <w:sz w:val="72"/>
              </w:rPr>
              <w:t>EP</w:t>
            </w:r>
          </w:p>
        </w:tc>
      </w:tr>
      <w:tr w:rsidR="00C15867" w14:paraId="7C37450B" w14:textId="77777777" w:rsidTr="00E57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C0824B0" w14:textId="77777777" w:rsidR="00C15867" w:rsidRDefault="00DA0CE2" w:rsidP="000051E7">
            <w:pPr>
              <w:spacing w:before="120"/>
            </w:pPr>
            <w:r w:rsidRPr="00DA0CE2">
              <w:rPr>
                <w:noProof/>
                <w:lang w:val="en-CA" w:eastAsia="en-CA"/>
              </w:rPr>
              <w:drawing>
                <wp:anchor distT="0" distB="0" distL="114300" distR="114300" simplePos="0" relativeHeight="251659264" behindDoc="0" locked="0" layoutInCell="1" allowOverlap="1" wp14:anchorId="213DB5E9" wp14:editId="57787184">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42A7AA2F" wp14:editId="3538AB56">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2F741BE0" w14:textId="77777777" w:rsidR="00C15867" w:rsidRDefault="00C15867" w:rsidP="000051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145E3319" w14:textId="77777777" w:rsidR="00C15867" w:rsidRDefault="00C15867" w:rsidP="000051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7CDB0DEF" w14:textId="77777777" w:rsidR="00C15867" w:rsidRDefault="00C15867" w:rsidP="000051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7AB29171" w14:textId="77777777" w:rsidR="00C15867" w:rsidRDefault="00C15867" w:rsidP="000051E7">
            <w:pPr>
              <w:spacing w:before="720"/>
              <w:ind w:left="158"/>
            </w:pPr>
          </w:p>
        </w:tc>
        <w:tc>
          <w:tcPr>
            <w:tcW w:w="4590" w:type="dxa"/>
            <w:tcBorders>
              <w:top w:val="nil"/>
              <w:left w:val="nil"/>
              <w:bottom w:val="single" w:sz="36" w:space="0" w:color="auto"/>
              <w:right w:val="nil"/>
            </w:tcBorders>
          </w:tcPr>
          <w:p w14:paraId="2F829390" w14:textId="77777777" w:rsidR="00C15867" w:rsidRPr="0033525D" w:rsidRDefault="00C15867" w:rsidP="000051E7">
            <w:r w:rsidRPr="0033525D">
              <w:t>Distr.</w:t>
            </w:r>
          </w:p>
          <w:p w14:paraId="3F63CA5D" w14:textId="77777777" w:rsidR="00923540" w:rsidRPr="0033525D" w:rsidRDefault="00923540" w:rsidP="000051E7">
            <w:r w:rsidRPr="0033525D">
              <w:t>GENERAL</w:t>
            </w:r>
          </w:p>
          <w:p w14:paraId="72571D76" w14:textId="77777777" w:rsidR="00C15867" w:rsidRPr="0033525D" w:rsidRDefault="00C15867" w:rsidP="000051E7"/>
          <w:p w14:paraId="1312233E" w14:textId="77777777" w:rsidR="00C15867" w:rsidRPr="003F73BA" w:rsidRDefault="00C15867" w:rsidP="000051E7"/>
          <w:p w14:paraId="39DEC03D" w14:textId="61EA842D" w:rsidR="00C15867" w:rsidRPr="003F73BA" w:rsidRDefault="00D41757" w:rsidP="000051E7">
            <w:r>
              <w:fldChar w:fldCharType="begin"/>
            </w:r>
            <w:r>
              <w:instrText xml:space="preserve"> DOCPROPERTY "Document number"  \* MERGEFORMAT </w:instrText>
            </w:r>
            <w:r>
              <w:fldChar w:fldCharType="separate"/>
            </w:r>
            <w:r w:rsidR="007E2896">
              <w:t>UNEP/OzL.Pro/ExCom/84/66</w:t>
            </w:r>
            <w:r>
              <w:fldChar w:fldCharType="end"/>
            </w:r>
          </w:p>
          <w:p w14:paraId="3181BF46" w14:textId="5F5C0282" w:rsidR="00C15867" w:rsidRPr="003F73BA" w:rsidRDefault="00BC2495" w:rsidP="000051E7">
            <w:r>
              <w:fldChar w:fldCharType="begin"/>
            </w:r>
            <w:r w:rsidR="00851352">
              <w:instrText xml:space="preserve"> DOCPROPERTY "Revision date" \@ "d MMMM YYYY"  \* MERGEFORMAT </w:instrText>
            </w:r>
            <w:r>
              <w:fldChar w:fldCharType="separate"/>
            </w:r>
            <w:r w:rsidR="007E2896">
              <w:t>15 November 2019</w:t>
            </w:r>
            <w:r>
              <w:fldChar w:fldCharType="end"/>
            </w:r>
          </w:p>
          <w:p w14:paraId="5993B579" w14:textId="77777777" w:rsidR="00C15867" w:rsidRPr="00000FED" w:rsidRDefault="00C15867" w:rsidP="000051E7">
            <w:pPr>
              <w:rPr>
                <w:caps/>
              </w:rPr>
            </w:pPr>
          </w:p>
          <w:p w14:paraId="12A5C305" w14:textId="77777777" w:rsidR="00C15867" w:rsidRDefault="00C15867" w:rsidP="000051E7">
            <w:r w:rsidRPr="0033525D">
              <w:t>ORIGINAL: ENGLISH</w:t>
            </w:r>
          </w:p>
        </w:tc>
      </w:tr>
    </w:tbl>
    <w:p w14:paraId="6F60B9F8" w14:textId="76BE192D" w:rsidR="00857077" w:rsidRPr="00612F2F" w:rsidRDefault="00C15867" w:rsidP="000051E7">
      <w:pPr>
        <w:jc w:val="left"/>
      </w:pPr>
      <w:r w:rsidRPr="0033525D">
        <w:t>EXECUTIVE COMMITTEE OF</w:t>
      </w:r>
      <w:r w:rsidRPr="0033525D">
        <w:br/>
      </w:r>
      <w:r w:rsidR="00206BED">
        <w:t xml:space="preserve"> </w:t>
      </w:r>
      <w:r w:rsidRPr="0033525D">
        <w:t>THE MULTILATERAL FUND FOR THE</w:t>
      </w:r>
      <w:r w:rsidRPr="0033525D">
        <w:br/>
      </w:r>
      <w:r w:rsidR="00206BED">
        <w:t xml:space="preserve"> </w:t>
      </w:r>
      <w:r w:rsidRPr="0033525D">
        <w:t>IMPLEMENTATION OF THE MONTREAL PROTOCOL</w:t>
      </w:r>
      <w:r w:rsidRPr="0033525D">
        <w:br/>
      </w:r>
      <w:r w:rsidR="00772F5C">
        <w:rPr>
          <w:lang w:val="en-CA"/>
        </w:rPr>
        <w:t>Eighty-</w:t>
      </w:r>
      <w:r w:rsidR="00857077">
        <w:rPr>
          <w:lang w:val="en-CA"/>
        </w:rPr>
        <w:t xml:space="preserve">fourth </w:t>
      </w:r>
      <w:r w:rsidR="00857077">
        <w:t>Meeting</w:t>
      </w:r>
    </w:p>
    <w:p w14:paraId="6CCB4C69" w14:textId="77777777" w:rsidR="00857077" w:rsidRPr="006C39CE" w:rsidRDefault="00857077" w:rsidP="000051E7">
      <w:pPr>
        <w:jc w:val="left"/>
        <w:rPr>
          <w:lang w:val="en-CA"/>
        </w:rPr>
      </w:pPr>
      <w:r>
        <w:rPr>
          <w:lang w:val="en-CA"/>
        </w:rPr>
        <w:t>Montreal</w:t>
      </w:r>
      <w:r w:rsidRPr="00042E3E">
        <w:rPr>
          <w:lang w:val="en-CA"/>
        </w:rPr>
        <w:t xml:space="preserve">, </w:t>
      </w:r>
      <w:r>
        <w:rPr>
          <w:lang w:val="en-CA"/>
        </w:rPr>
        <w:t>16</w:t>
      </w:r>
      <w:r w:rsidRPr="003840E6">
        <w:rPr>
          <w:lang w:val="en-CA"/>
        </w:rPr>
        <w:t xml:space="preserve"> – </w:t>
      </w:r>
      <w:r>
        <w:rPr>
          <w:lang w:val="en-CA"/>
        </w:rPr>
        <w:t>20</w:t>
      </w:r>
      <w:r w:rsidRPr="003840E6">
        <w:rPr>
          <w:lang w:val="en-CA"/>
        </w:rPr>
        <w:t xml:space="preserve"> </w:t>
      </w:r>
      <w:r>
        <w:rPr>
          <w:lang w:val="en-CA"/>
        </w:rPr>
        <w:t>December</w:t>
      </w:r>
      <w:r w:rsidRPr="003840E6">
        <w:rPr>
          <w:lang w:val="en-CA"/>
        </w:rPr>
        <w:t xml:space="preserve"> 201</w:t>
      </w:r>
      <w:r>
        <w:rPr>
          <w:lang w:val="en-CA"/>
        </w:rPr>
        <w:t>9</w:t>
      </w:r>
    </w:p>
    <w:p w14:paraId="4E3F58F2" w14:textId="77777777" w:rsidR="00981E1E" w:rsidRDefault="00981E1E" w:rsidP="000051E7">
      <w:pPr>
        <w:tabs>
          <w:tab w:val="left" w:pos="8280"/>
        </w:tabs>
        <w:rPr>
          <w:lang w:val="en-CA"/>
        </w:rPr>
      </w:pPr>
    </w:p>
    <w:p w14:paraId="6F441F0B" w14:textId="77777777" w:rsidR="00981E1E" w:rsidRDefault="00981E1E" w:rsidP="000051E7">
      <w:pPr>
        <w:tabs>
          <w:tab w:val="left" w:pos="8280"/>
        </w:tabs>
        <w:rPr>
          <w:lang w:val="en-CA"/>
        </w:rPr>
      </w:pPr>
    </w:p>
    <w:p w14:paraId="2367CEC0" w14:textId="77777777" w:rsidR="00981E1E" w:rsidRPr="00DD1A8F" w:rsidRDefault="00981E1E" w:rsidP="000051E7">
      <w:pPr>
        <w:tabs>
          <w:tab w:val="left" w:pos="8280"/>
        </w:tabs>
        <w:jc w:val="center"/>
        <w:rPr>
          <w:b/>
          <w:lang w:val="en-CA"/>
        </w:rPr>
      </w:pPr>
      <w:r w:rsidRPr="00DD1A8F">
        <w:rPr>
          <w:b/>
          <w:lang w:val="en-CA"/>
        </w:rPr>
        <w:t>DEVELOPMENT OF THE COST GUIDELINES FOR THE PHASE-DOWN OF HFCs IN ARTICLE 5 COUNTRIES: DRAFT CRITERIA FOR FUNDING</w:t>
      </w:r>
    </w:p>
    <w:p w14:paraId="60736900" w14:textId="77777777" w:rsidR="00981E1E" w:rsidRPr="00DD1A8F" w:rsidRDefault="00981E1E" w:rsidP="000051E7">
      <w:pPr>
        <w:tabs>
          <w:tab w:val="left" w:pos="8280"/>
        </w:tabs>
        <w:jc w:val="center"/>
        <w:rPr>
          <w:b/>
          <w:lang w:val="en-CA"/>
        </w:rPr>
      </w:pPr>
      <w:r w:rsidRPr="00DD1A8F">
        <w:rPr>
          <w:b/>
          <w:lang w:val="en-CA"/>
        </w:rPr>
        <w:t>(DECISION 83/65)</w:t>
      </w:r>
    </w:p>
    <w:p w14:paraId="46900941" w14:textId="77777777" w:rsidR="00981E1E" w:rsidRPr="00DD1A8F" w:rsidRDefault="00981E1E" w:rsidP="000051E7">
      <w:pPr>
        <w:tabs>
          <w:tab w:val="left" w:pos="8280"/>
        </w:tabs>
        <w:rPr>
          <w:lang w:val="en-CA"/>
        </w:rPr>
      </w:pPr>
    </w:p>
    <w:p w14:paraId="1EBFDDCE" w14:textId="77777777" w:rsidR="00981E1E" w:rsidRPr="00DD1A8F" w:rsidRDefault="00981E1E" w:rsidP="000051E7">
      <w:pPr>
        <w:tabs>
          <w:tab w:val="left" w:pos="8280"/>
        </w:tabs>
        <w:rPr>
          <w:b/>
          <w:lang w:val="en-CA"/>
        </w:rPr>
      </w:pPr>
      <w:r w:rsidRPr="00DD1A8F">
        <w:rPr>
          <w:b/>
          <w:lang w:val="en-CA"/>
        </w:rPr>
        <w:t>Background</w:t>
      </w:r>
    </w:p>
    <w:p w14:paraId="41ACDD7C" w14:textId="77777777" w:rsidR="00981E1E" w:rsidRPr="00DD1A8F" w:rsidRDefault="00981E1E" w:rsidP="000051E7">
      <w:pPr>
        <w:tabs>
          <w:tab w:val="left" w:pos="8280"/>
        </w:tabs>
        <w:rPr>
          <w:lang w:val="en-CA"/>
        </w:rPr>
      </w:pPr>
    </w:p>
    <w:p w14:paraId="1FB9B9FC" w14:textId="77777777" w:rsidR="00981E1E" w:rsidRPr="00DD1A8F" w:rsidRDefault="00981E1E" w:rsidP="000051E7">
      <w:pPr>
        <w:pStyle w:val="Heading1"/>
        <w:rPr>
          <w:lang w:val="en-CA"/>
        </w:rPr>
      </w:pPr>
      <w:r w:rsidRPr="00DD1A8F">
        <w:rPr>
          <w:lang w:val="en-CA"/>
        </w:rPr>
        <w:t>The Twenty-eighth Meeting of the Parties adopted decision XXVIII/2 requesting the Executive Committee to develop within two years guidelines for financing the phase-down of hydrofluorocarbon (HFC) consumption and production, including cost-effectiveness thresholds, and to present those guidelines to the Meeting of the Parties for the parties’ views and input before their finalization.</w:t>
      </w:r>
      <w:r w:rsidRPr="00DD1A8F">
        <w:rPr>
          <w:rStyle w:val="FootnoteReference"/>
          <w:lang w:val="en-CA"/>
        </w:rPr>
        <w:footnoteReference w:id="1"/>
      </w:r>
      <w:r w:rsidRPr="00DD1A8F">
        <w:rPr>
          <w:lang w:val="en-CA"/>
        </w:rPr>
        <w:t xml:space="preserve"> </w:t>
      </w:r>
    </w:p>
    <w:p w14:paraId="3320CD84" w14:textId="1F4338A9" w:rsidR="00981E1E" w:rsidRPr="007804C4" w:rsidRDefault="00981E1E" w:rsidP="000051E7">
      <w:pPr>
        <w:pStyle w:val="Heading1"/>
        <w:rPr>
          <w:lang w:val="en-CA"/>
        </w:rPr>
      </w:pPr>
      <w:r w:rsidRPr="00DD1A8F">
        <w:rPr>
          <w:lang w:val="en-CA"/>
        </w:rPr>
        <w:t>At the</w:t>
      </w:r>
      <w:r w:rsidR="00BA7455">
        <w:rPr>
          <w:lang w:val="en-CA"/>
        </w:rPr>
        <w:t>ir</w:t>
      </w:r>
      <w:r w:rsidRPr="00DD1A8F">
        <w:rPr>
          <w:lang w:val="en-CA"/>
        </w:rPr>
        <w:t xml:space="preserve"> Thirtieth Meeting</w:t>
      </w:r>
      <w:r w:rsidR="00BA7455">
        <w:rPr>
          <w:lang w:val="en-CA"/>
        </w:rPr>
        <w:t>, the P</w:t>
      </w:r>
      <w:r w:rsidRPr="00DD1A8F">
        <w:rPr>
          <w:lang w:val="en-CA"/>
        </w:rPr>
        <w:t>arties requested the Executive Committee to continue its work on developing guidelines for financing the phase-down of HFC consumption and production; to provide an update on progress on the elements as part of the annual report of the Executive Committee to the Meeting of the Parties; and to present the draft guidelines developed to the Meeting of the Parties for the parties’ views and input before their finalization by the Executive Committee (decision XXX/</w:t>
      </w:r>
      <w:r w:rsidRPr="007804C4">
        <w:rPr>
          <w:lang w:val="en-CA"/>
        </w:rPr>
        <w:t>4).</w:t>
      </w:r>
    </w:p>
    <w:p w14:paraId="6D48236B" w14:textId="3343CB24" w:rsidR="00805060" w:rsidRPr="00805060" w:rsidRDefault="00981E1E" w:rsidP="00805060">
      <w:pPr>
        <w:pStyle w:val="Heading1"/>
        <w:rPr>
          <w:lang w:val="en-CA"/>
        </w:rPr>
      </w:pPr>
      <w:r w:rsidRPr="00DD1A8F">
        <w:rPr>
          <w:lang w:val="en-CA"/>
        </w:rPr>
        <w:t>Since its 77</w:t>
      </w:r>
      <w:r w:rsidRPr="00DD1A8F">
        <w:rPr>
          <w:vertAlign w:val="superscript"/>
          <w:lang w:val="en-CA"/>
        </w:rPr>
        <w:t>th</w:t>
      </w:r>
      <w:r w:rsidRPr="00DD1A8F">
        <w:rPr>
          <w:lang w:val="en-CA"/>
        </w:rPr>
        <w:t> meeting, the Executive Committee has been discussing matters related to the phase</w:t>
      </w:r>
      <w:r w:rsidRPr="00DD1A8F">
        <w:rPr>
          <w:lang w:val="en-CA"/>
        </w:rPr>
        <w:noBreakHyphen/>
        <w:t>down of HFCs in Article 5 countries, including the development of cost guidelines.</w:t>
      </w:r>
      <w:r w:rsidRPr="00DD1A8F">
        <w:rPr>
          <w:rStyle w:val="FootnoteReference"/>
          <w:lang w:val="en-CA"/>
        </w:rPr>
        <w:footnoteReference w:id="2"/>
      </w:r>
      <w:r w:rsidRPr="00DD1A8F">
        <w:rPr>
          <w:lang w:val="en-CA"/>
        </w:rPr>
        <w:t xml:space="preserve"> As of the 8</w:t>
      </w:r>
      <w:r w:rsidR="008079A8" w:rsidRPr="00DD1A8F">
        <w:rPr>
          <w:lang w:val="en-CA"/>
        </w:rPr>
        <w:t>3</w:t>
      </w:r>
      <w:r w:rsidR="008079A8" w:rsidRPr="00DD1A8F">
        <w:rPr>
          <w:vertAlign w:val="superscript"/>
          <w:lang w:val="en-CA"/>
        </w:rPr>
        <w:t>rd </w:t>
      </w:r>
      <w:r w:rsidRPr="00DD1A8F">
        <w:rPr>
          <w:lang w:val="en-CA"/>
        </w:rPr>
        <w:t>meeting, the Executive Committee adopted a draft template, which included text agreed by the Committee for some of the elements of decision XXVIII/2. Additional elements to the cost guidelines could be added to the draft template, as required, in line with decisions 80/76(b)</w:t>
      </w:r>
      <w:r w:rsidR="00CE34F9" w:rsidRPr="00DD1A8F">
        <w:rPr>
          <w:lang w:val="en-CA"/>
        </w:rPr>
        <w:t>,</w:t>
      </w:r>
      <w:r w:rsidRPr="00DD1A8F">
        <w:rPr>
          <w:lang w:val="en-CA"/>
        </w:rPr>
        <w:t xml:space="preserve"> 81/67(f)</w:t>
      </w:r>
      <w:r w:rsidR="00CE34F9" w:rsidRPr="00DD1A8F">
        <w:rPr>
          <w:lang w:val="en-CA"/>
        </w:rPr>
        <w:t xml:space="preserve"> and 83/65(d)</w:t>
      </w:r>
      <w:r w:rsidRPr="00DD1A8F">
        <w:rPr>
          <w:lang w:val="en-CA"/>
        </w:rPr>
        <w:t xml:space="preserve">. The draft template is contained in Annex I to the present document. </w:t>
      </w:r>
    </w:p>
    <w:p w14:paraId="1384D396" w14:textId="62FE6254" w:rsidR="00886EF9" w:rsidRPr="00805060" w:rsidRDefault="00886EF9" w:rsidP="00805060">
      <w:pPr>
        <w:pStyle w:val="Heading1"/>
        <w:widowControl w:val="0"/>
        <w:rPr>
          <w:lang w:val="en-CA"/>
        </w:rPr>
      </w:pPr>
      <w:r w:rsidRPr="00DD1A8F">
        <w:rPr>
          <w:lang w:val="en-CA"/>
        </w:rPr>
        <w:t>At the 83</w:t>
      </w:r>
      <w:r w:rsidRPr="00DD1A8F">
        <w:rPr>
          <w:vertAlign w:val="superscript"/>
          <w:lang w:val="en-CA"/>
        </w:rPr>
        <w:t>rd</w:t>
      </w:r>
      <w:r w:rsidRPr="00DD1A8F">
        <w:rPr>
          <w:lang w:val="en-CA"/>
        </w:rPr>
        <w:t xml:space="preserve"> meeting, the Executive Committee </w:t>
      </w:r>
      <w:r w:rsidR="00BA7455">
        <w:rPr>
          <w:lang w:val="en-CA"/>
        </w:rPr>
        <w:t>also</w:t>
      </w:r>
      <w:r w:rsidRPr="00DD1A8F">
        <w:rPr>
          <w:lang w:val="en-CA"/>
        </w:rPr>
        <w:t xml:space="preserve"> </w:t>
      </w:r>
      <w:r w:rsidRPr="00DD1A8F">
        <w:rPr>
          <w:rFonts w:eastAsia="Calibri"/>
        </w:rPr>
        <w:t>updated the working document on outstanding issues (contained in Annex XIV of the report of the 83</w:t>
      </w:r>
      <w:r w:rsidRPr="00DD1A8F">
        <w:rPr>
          <w:rFonts w:eastAsia="Calibri"/>
          <w:vertAlign w:val="superscript"/>
        </w:rPr>
        <w:t>rd</w:t>
      </w:r>
      <w:r w:rsidRPr="00DD1A8F">
        <w:rPr>
          <w:rFonts w:eastAsia="Calibri"/>
        </w:rPr>
        <w:t xml:space="preserve"> meeting)</w:t>
      </w:r>
      <w:r w:rsidR="00BA7455">
        <w:rPr>
          <w:rStyle w:val="FootnoteReference"/>
          <w:rFonts w:eastAsia="Calibri"/>
        </w:rPr>
        <w:footnoteReference w:id="3"/>
      </w:r>
      <w:r w:rsidRPr="00DD1A8F">
        <w:rPr>
          <w:rFonts w:eastAsia="Calibri"/>
        </w:rPr>
        <w:t xml:space="preserve"> by removing the text related to energy </w:t>
      </w:r>
      <w:r w:rsidRPr="00805060">
        <w:rPr>
          <w:rFonts w:eastAsia="Calibri"/>
        </w:rPr>
        <w:t xml:space="preserve">efficiency as it would be discussed </w:t>
      </w:r>
      <w:r w:rsidR="001E7215" w:rsidRPr="00805060">
        <w:rPr>
          <w:rFonts w:eastAsia="Calibri"/>
        </w:rPr>
        <w:t>separately</w:t>
      </w:r>
      <w:r w:rsidR="00683E81" w:rsidRPr="00805060">
        <w:rPr>
          <w:rFonts w:eastAsia="Calibri"/>
        </w:rPr>
        <w:t>.</w:t>
      </w:r>
    </w:p>
    <w:p w14:paraId="1CE8F0B7" w14:textId="461A3689" w:rsidR="00981E1E" w:rsidRPr="00805060" w:rsidRDefault="00981E1E" w:rsidP="00761703">
      <w:pPr>
        <w:pStyle w:val="Heading1"/>
        <w:rPr>
          <w:lang w:val="en-CA"/>
        </w:rPr>
      </w:pPr>
      <w:r w:rsidRPr="00805060">
        <w:rPr>
          <w:lang w:val="en-CA"/>
        </w:rPr>
        <w:lastRenderedPageBreak/>
        <w:t>A summary of the status of the Executive Committee’s discussions on the elements of the cost guidelines is presented in Table 1.</w:t>
      </w:r>
      <w:r w:rsidR="00BA7455" w:rsidRPr="00805060">
        <w:t xml:space="preserve"> </w:t>
      </w:r>
      <w:r w:rsidR="00BA7455" w:rsidRPr="00805060">
        <w:rPr>
          <w:lang w:val="en-CA"/>
        </w:rPr>
        <w:t>In line with decisions 80/76(b), 81/67(f) and 83/65(d), Annex II of the present document contains the list of outstanding issues for further discussion.</w:t>
      </w:r>
      <w:r w:rsidR="00BA7455" w:rsidRPr="00805060">
        <w:t xml:space="preserve"> </w:t>
      </w:r>
      <w:r w:rsidR="00C17491" w:rsidRPr="00805060">
        <w:rPr>
          <w:lang w:val="en-CA"/>
        </w:rPr>
        <w:t xml:space="preserve">To </w:t>
      </w:r>
      <w:r w:rsidR="00BA7455" w:rsidRPr="00805060">
        <w:rPr>
          <w:lang w:val="en-CA"/>
        </w:rPr>
        <w:t xml:space="preserve">facilitate </w:t>
      </w:r>
      <w:r w:rsidR="00C17491" w:rsidRPr="00805060">
        <w:rPr>
          <w:lang w:val="en-CA"/>
        </w:rPr>
        <w:t>the</w:t>
      </w:r>
      <w:r w:rsidR="00BA7455" w:rsidRPr="00805060">
        <w:rPr>
          <w:lang w:val="en-CA"/>
        </w:rPr>
        <w:t xml:space="preserve"> discussion </w:t>
      </w:r>
      <w:r w:rsidR="00C17491" w:rsidRPr="00805060">
        <w:rPr>
          <w:lang w:val="en-CA"/>
        </w:rPr>
        <w:t>by Executive Committee members</w:t>
      </w:r>
      <w:r w:rsidR="00BA7455" w:rsidRPr="00805060">
        <w:rPr>
          <w:lang w:val="en-CA"/>
        </w:rPr>
        <w:t>, the Secretariat has updated Annex II by adding text in brackets and highlighted</w:t>
      </w:r>
      <w:r w:rsidR="008A478E" w:rsidRPr="00805060">
        <w:rPr>
          <w:lang w:val="en-CA"/>
        </w:rPr>
        <w:t>,</w:t>
      </w:r>
      <w:r w:rsidR="00BA7455" w:rsidRPr="00805060">
        <w:rPr>
          <w:lang w:val="en-CA"/>
        </w:rPr>
        <w:t xml:space="preserve"> in light of the document providing an analysis of the level and modalities of funding for the HFC phase-down for the refrigeration servicing sector</w:t>
      </w:r>
      <w:r w:rsidR="00761703" w:rsidRPr="00805060">
        <w:t xml:space="preserve"> </w:t>
      </w:r>
      <w:r w:rsidR="00761703" w:rsidRPr="00805060">
        <w:rPr>
          <w:lang w:val="en-CA"/>
        </w:rPr>
        <w:t>to be submitted at the 85</w:t>
      </w:r>
      <w:r w:rsidR="00761703" w:rsidRPr="00805060">
        <w:rPr>
          <w:vertAlign w:val="superscript"/>
          <w:lang w:val="en-CA"/>
        </w:rPr>
        <w:t>th</w:t>
      </w:r>
      <w:r w:rsidR="00761703" w:rsidRPr="00805060">
        <w:rPr>
          <w:lang w:val="en-CA"/>
        </w:rPr>
        <w:t xml:space="preserve"> meeting in line with decision 83/65(b)</w:t>
      </w:r>
      <w:r w:rsidR="00BA7455" w:rsidRPr="00805060">
        <w:rPr>
          <w:lang w:val="en-CA"/>
        </w:rPr>
        <w:t>, and the discussions that will be held on energy efficiency at the 84</w:t>
      </w:r>
      <w:r w:rsidR="00BA7455" w:rsidRPr="00805060">
        <w:rPr>
          <w:vertAlign w:val="superscript"/>
          <w:lang w:val="en-CA"/>
        </w:rPr>
        <w:t>th</w:t>
      </w:r>
      <w:r w:rsidR="00BA7455" w:rsidRPr="00805060">
        <w:rPr>
          <w:lang w:val="en-CA"/>
        </w:rPr>
        <w:t> meeting.</w:t>
      </w:r>
    </w:p>
    <w:p w14:paraId="2F67525B" w14:textId="77777777" w:rsidR="00981E1E" w:rsidRPr="00D66B96" w:rsidRDefault="00981E1E" w:rsidP="000051E7">
      <w:pPr>
        <w:keepNext/>
        <w:keepLines/>
        <w:rPr>
          <w:b/>
          <w:sz w:val="21"/>
          <w:szCs w:val="21"/>
          <w:lang w:val="en-CA"/>
        </w:rPr>
      </w:pPr>
      <w:r w:rsidRPr="00D66B96">
        <w:rPr>
          <w:b/>
          <w:sz w:val="21"/>
          <w:szCs w:val="21"/>
          <w:lang w:val="en-CA"/>
        </w:rPr>
        <w:t xml:space="preserve">Table 1. Status of elements of the cost guidelines for the phase-down of HFCs in Article 5 parties </w:t>
      </w:r>
    </w:p>
    <w:tbl>
      <w:tblPr>
        <w:tblStyle w:val="TableGrid"/>
        <w:tblW w:w="5000" w:type="pct"/>
        <w:tblLook w:val="04A0" w:firstRow="1" w:lastRow="0" w:firstColumn="1" w:lastColumn="0" w:noHBand="0" w:noVBand="1"/>
      </w:tblPr>
      <w:tblGrid>
        <w:gridCol w:w="2100"/>
        <w:gridCol w:w="993"/>
        <w:gridCol w:w="3027"/>
        <w:gridCol w:w="3230"/>
      </w:tblGrid>
      <w:tr w:rsidR="00E9238E" w:rsidRPr="00E9238E" w14:paraId="390743D4" w14:textId="77777777" w:rsidTr="001E7215">
        <w:trPr>
          <w:tblHeader/>
        </w:trPr>
        <w:tc>
          <w:tcPr>
            <w:tcW w:w="1010" w:type="pct"/>
            <w:tcMar>
              <w:left w:w="58" w:type="dxa"/>
              <w:right w:w="58" w:type="dxa"/>
            </w:tcMar>
          </w:tcPr>
          <w:p w14:paraId="29CF378A" w14:textId="77777777" w:rsidR="00E9238E" w:rsidRPr="00D66B96" w:rsidRDefault="00E9238E" w:rsidP="000051E7">
            <w:pPr>
              <w:pStyle w:val="Heading1"/>
              <w:keepNext/>
              <w:keepLines/>
              <w:numPr>
                <w:ilvl w:val="0"/>
                <w:numId w:val="0"/>
              </w:numPr>
              <w:spacing w:after="0"/>
              <w:jc w:val="left"/>
              <w:outlineLvl w:val="0"/>
              <w:rPr>
                <w:b/>
                <w:sz w:val="19"/>
                <w:szCs w:val="19"/>
                <w:lang w:val="en-CA"/>
              </w:rPr>
            </w:pPr>
            <w:r w:rsidRPr="00D66B96">
              <w:rPr>
                <w:b/>
                <w:sz w:val="19"/>
                <w:szCs w:val="19"/>
                <w:lang w:val="en-CA"/>
              </w:rPr>
              <w:t>Element of decision XXVIII/2</w:t>
            </w:r>
          </w:p>
        </w:tc>
        <w:tc>
          <w:tcPr>
            <w:tcW w:w="323" w:type="pct"/>
            <w:tcMar>
              <w:left w:w="58" w:type="dxa"/>
              <w:right w:w="58" w:type="dxa"/>
            </w:tcMar>
            <w:vAlign w:val="center"/>
          </w:tcPr>
          <w:p w14:paraId="0D9271BE" w14:textId="77777777" w:rsidR="00E9238E" w:rsidRPr="00D66B96" w:rsidRDefault="00E9238E" w:rsidP="000051E7">
            <w:pPr>
              <w:pStyle w:val="Heading1"/>
              <w:keepNext/>
              <w:keepLines/>
              <w:numPr>
                <w:ilvl w:val="0"/>
                <w:numId w:val="0"/>
              </w:numPr>
              <w:spacing w:after="0"/>
              <w:jc w:val="center"/>
              <w:outlineLvl w:val="0"/>
              <w:rPr>
                <w:b/>
                <w:sz w:val="19"/>
                <w:szCs w:val="19"/>
                <w:lang w:val="en-CA"/>
              </w:rPr>
            </w:pPr>
            <w:r w:rsidRPr="00D66B96">
              <w:rPr>
                <w:b/>
                <w:sz w:val="19"/>
                <w:szCs w:val="19"/>
                <w:lang w:val="en-CA"/>
              </w:rPr>
              <w:t>Paragraph</w:t>
            </w:r>
          </w:p>
        </w:tc>
        <w:tc>
          <w:tcPr>
            <w:tcW w:w="1833" w:type="pct"/>
            <w:tcMar>
              <w:left w:w="58" w:type="dxa"/>
              <w:right w:w="58" w:type="dxa"/>
            </w:tcMar>
            <w:vAlign w:val="center"/>
          </w:tcPr>
          <w:p w14:paraId="462239E0" w14:textId="77777777" w:rsidR="00E9238E" w:rsidRPr="00D66B96" w:rsidRDefault="00E9238E" w:rsidP="000051E7">
            <w:pPr>
              <w:pStyle w:val="Heading1"/>
              <w:keepNext/>
              <w:keepLines/>
              <w:numPr>
                <w:ilvl w:val="0"/>
                <w:numId w:val="0"/>
              </w:numPr>
              <w:spacing w:after="0"/>
              <w:jc w:val="center"/>
              <w:outlineLvl w:val="0"/>
              <w:rPr>
                <w:b/>
                <w:sz w:val="19"/>
                <w:szCs w:val="19"/>
                <w:lang w:val="en-CA"/>
              </w:rPr>
            </w:pPr>
            <w:r w:rsidRPr="00D66B96">
              <w:rPr>
                <w:b/>
                <w:sz w:val="19"/>
                <w:szCs w:val="19"/>
                <w:lang w:val="en-CA"/>
              </w:rPr>
              <w:t>Status</w:t>
            </w:r>
          </w:p>
        </w:tc>
        <w:tc>
          <w:tcPr>
            <w:tcW w:w="1833" w:type="pct"/>
            <w:tcMar>
              <w:left w:w="58" w:type="dxa"/>
              <w:right w:w="58" w:type="dxa"/>
            </w:tcMar>
            <w:vAlign w:val="center"/>
          </w:tcPr>
          <w:p w14:paraId="2A131487" w14:textId="43A89730" w:rsidR="00E9238E" w:rsidRPr="00D66B96" w:rsidRDefault="00E9238E" w:rsidP="000051E7">
            <w:pPr>
              <w:pStyle w:val="Heading1"/>
              <w:keepNext/>
              <w:keepLines/>
              <w:numPr>
                <w:ilvl w:val="0"/>
                <w:numId w:val="0"/>
              </w:numPr>
              <w:spacing w:after="0"/>
              <w:jc w:val="center"/>
              <w:outlineLvl w:val="0"/>
              <w:rPr>
                <w:b/>
                <w:sz w:val="19"/>
                <w:szCs w:val="19"/>
                <w:lang w:val="en-CA"/>
              </w:rPr>
            </w:pPr>
            <w:r w:rsidRPr="00D66B96">
              <w:rPr>
                <w:b/>
                <w:sz w:val="19"/>
                <w:szCs w:val="19"/>
                <w:lang w:val="en-CA"/>
              </w:rPr>
              <w:t xml:space="preserve">Expected </w:t>
            </w:r>
            <w:r w:rsidR="00BA7455">
              <w:rPr>
                <w:b/>
                <w:sz w:val="19"/>
                <w:szCs w:val="19"/>
                <w:lang w:val="en-CA"/>
              </w:rPr>
              <w:t xml:space="preserve">additional </w:t>
            </w:r>
            <w:r w:rsidRPr="00D66B96">
              <w:rPr>
                <w:b/>
                <w:sz w:val="19"/>
                <w:szCs w:val="19"/>
                <w:lang w:val="en-CA"/>
              </w:rPr>
              <w:t>action</w:t>
            </w:r>
          </w:p>
        </w:tc>
      </w:tr>
      <w:tr w:rsidR="00E9238E" w:rsidRPr="00E9238E" w14:paraId="61CBC5AB" w14:textId="77777777" w:rsidTr="001E7215">
        <w:trPr>
          <w:cantSplit/>
        </w:trPr>
        <w:tc>
          <w:tcPr>
            <w:tcW w:w="1010" w:type="pct"/>
            <w:tcMar>
              <w:left w:w="58" w:type="dxa"/>
              <w:right w:w="58" w:type="dxa"/>
            </w:tcMar>
          </w:tcPr>
          <w:p w14:paraId="66C1EC1D" w14:textId="77777777" w:rsidR="00E9238E" w:rsidRPr="00D66B96" w:rsidRDefault="00E9238E" w:rsidP="000051E7">
            <w:pPr>
              <w:pStyle w:val="Heading1"/>
              <w:numPr>
                <w:ilvl w:val="0"/>
                <w:numId w:val="0"/>
              </w:numPr>
              <w:spacing w:after="0"/>
              <w:jc w:val="left"/>
              <w:outlineLvl w:val="0"/>
              <w:rPr>
                <w:b/>
                <w:i/>
                <w:sz w:val="19"/>
                <w:szCs w:val="19"/>
                <w:lang w:val="en-CA"/>
              </w:rPr>
            </w:pPr>
            <w:r w:rsidRPr="00D66B96">
              <w:rPr>
                <w:b/>
                <w:i/>
                <w:sz w:val="19"/>
                <w:szCs w:val="19"/>
                <w:lang w:val="en-CA"/>
              </w:rPr>
              <w:t>Discussed</w:t>
            </w:r>
          </w:p>
        </w:tc>
        <w:tc>
          <w:tcPr>
            <w:tcW w:w="323" w:type="pct"/>
            <w:tcMar>
              <w:left w:w="58" w:type="dxa"/>
              <w:right w:w="58" w:type="dxa"/>
            </w:tcMar>
          </w:tcPr>
          <w:p w14:paraId="388BF50B" w14:textId="77777777" w:rsidR="00E9238E" w:rsidRPr="00D66B96" w:rsidRDefault="00E9238E" w:rsidP="000051E7">
            <w:pPr>
              <w:pStyle w:val="Heading1"/>
              <w:numPr>
                <w:ilvl w:val="0"/>
                <w:numId w:val="0"/>
              </w:numPr>
              <w:spacing w:after="0"/>
              <w:jc w:val="left"/>
              <w:outlineLvl w:val="0"/>
              <w:rPr>
                <w:b/>
                <w:i/>
                <w:sz w:val="19"/>
                <w:szCs w:val="19"/>
                <w:lang w:val="en-CA"/>
              </w:rPr>
            </w:pPr>
          </w:p>
        </w:tc>
        <w:tc>
          <w:tcPr>
            <w:tcW w:w="1833" w:type="pct"/>
            <w:tcMar>
              <w:left w:w="58" w:type="dxa"/>
              <w:right w:w="58" w:type="dxa"/>
            </w:tcMar>
          </w:tcPr>
          <w:p w14:paraId="6C447F09" w14:textId="77777777" w:rsidR="00E9238E" w:rsidRPr="00D66B96" w:rsidRDefault="00E9238E" w:rsidP="000051E7">
            <w:pPr>
              <w:pStyle w:val="Heading1"/>
              <w:numPr>
                <w:ilvl w:val="0"/>
                <w:numId w:val="0"/>
              </w:numPr>
              <w:spacing w:after="0"/>
              <w:jc w:val="left"/>
              <w:outlineLvl w:val="0"/>
              <w:rPr>
                <w:b/>
                <w:i/>
                <w:sz w:val="19"/>
                <w:szCs w:val="19"/>
                <w:lang w:val="en-CA"/>
              </w:rPr>
            </w:pPr>
          </w:p>
        </w:tc>
        <w:tc>
          <w:tcPr>
            <w:tcW w:w="1833" w:type="pct"/>
            <w:tcMar>
              <w:left w:w="58" w:type="dxa"/>
              <w:right w:w="58" w:type="dxa"/>
            </w:tcMar>
          </w:tcPr>
          <w:p w14:paraId="1ACA6685" w14:textId="77777777" w:rsidR="00E9238E" w:rsidRPr="00D66B96" w:rsidRDefault="00E9238E" w:rsidP="000051E7">
            <w:pPr>
              <w:pStyle w:val="Heading1"/>
              <w:numPr>
                <w:ilvl w:val="0"/>
                <w:numId w:val="0"/>
              </w:numPr>
              <w:spacing w:after="0"/>
              <w:jc w:val="left"/>
              <w:outlineLvl w:val="0"/>
              <w:rPr>
                <w:b/>
                <w:i/>
                <w:sz w:val="19"/>
                <w:szCs w:val="19"/>
                <w:lang w:val="en-CA"/>
              </w:rPr>
            </w:pPr>
          </w:p>
        </w:tc>
      </w:tr>
      <w:tr w:rsidR="00E9238E" w:rsidRPr="00E9238E" w14:paraId="17A5189F" w14:textId="77777777" w:rsidTr="00886EF9">
        <w:tc>
          <w:tcPr>
            <w:tcW w:w="1010" w:type="pct"/>
            <w:tcMar>
              <w:left w:w="58" w:type="dxa"/>
              <w:right w:w="58" w:type="dxa"/>
            </w:tcMar>
          </w:tcPr>
          <w:p w14:paraId="616B2AA7"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Flexibility in implementation that enabled parties to select their own strategies and priorities in sectors and technologies</w:t>
            </w:r>
          </w:p>
        </w:tc>
        <w:tc>
          <w:tcPr>
            <w:tcW w:w="323" w:type="pct"/>
            <w:tcMar>
              <w:left w:w="58" w:type="dxa"/>
              <w:right w:w="58" w:type="dxa"/>
            </w:tcMar>
          </w:tcPr>
          <w:p w14:paraId="67503A55"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 xml:space="preserve">13 </w:t>
            </w:r>
          </w:p>
        </w:tc>
        <w:tc>
          <w:tcPr>
            <w:tcW w:w="1833" w:type="pct"/>
            <w:tcMar>
              <w:left w:w="58" w:type="dxa"/>
              <w:right w:w="58" w:type="dxa"/>
            </w:tcMar>
          </w:tcPr>
          <w:p w14:paraId="0BDABDC7"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Text included in the draft template</w:t>
            </w:r>
          </w:p>
        </w:tc>
        <w:tc>
          <w:tcPr>
            <w:tcW w:w="1833" w:type="pct"/>
            <w:tcMar>
              <w:left w:w="58" w:type="dxa"/>
              <w:right w:w="58" w:type="dxa"/>
            </w:tcMar>
          </w:tcPr>
          <w:p w14:paraId="61AF282C"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None</w:t>
            </w:r>
          </w:p>
        </w:tc>
      </w:tr>
      <w:tr w:rsidR="00E9238E" w:rsidRPr="00E9238E" w14:paraId="05259BE5" w14:textId="77777777" w:rsidTr="00886EF9">
        <w:tc>
          <w:tcPr>
            <w:tcW w:w="1010" w:type="pct"/>
            <w:tcMar>
              <w:left w:w="58" w:type="dxa"/>
              <w:right w:w="58" w:type="dxa"/>
            </w:tcMar>
          </w:tcPr>
          <w:p w14:paraId="33AE502C"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Cut-off dates for eligible capacity</w:t>
            </w:r>
          </w:p>
        </w:tc>
        <w:tc>
          <w:tcPr>
            <w:tcW w:w="323" w:type="pct"/>
            <w:tcMar>
              <w:left w:w="58" w:type="dxa"/>
              <w:right w:w="58" w:type="dxa"/>
            </w:tcMar>
          </w:tcPr>
          <w:p w14:paraId="41467B9B"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17</w:t>
            </w:r>
          </w:p>
        </w:tc>
        <w:tc>
          <w:tcPr>
            <w:tcW w:w="1833" w:type="pct"/>
            <w:tcMar>
              <w:left w:w="58" w:type="dxa"/>
              <w:right w:w="58" w:type="dxa"/>
            </w:tcMar>
          </w:tcPr>
          <w:p w14:paraId="4800B80F"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Text included in the draft template</w:t>
            </w:r>
          </w:p>
        </w:tc>
        <w:tc>
          <w:tcPr>
            <w:tcW w:w="1833" w:type="pct"/>
            <w:tcMar>
              <w:left w:w="58" w:type="dxa"/>
              <w:right w:w="58" w:type="dxa"/>
            </w:tcMar>
          </w:tcPr>
          <w:p w14:paraId="5EA1ED9D"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None</w:t>
            </w:r>
          </w:p>
        </w:tc>
      </w:tr>
      <w:tr w:rsidR="00E9238E" w:rsidRPr="00E9238E" w14:paraId="4228F0E7" w14:textId="77777777" w:rsidTr="00886EF9">
        <w:tc>
          <w:tcPr>
            <w:tcW w:w="1010" w:type="pct"/>
            <w:tcMar>
              <w:left w:w="58" w:type="dxa"/>
              <w:right w:w="58" w:type="dxa"/>
            </w:tcMar>
          </w:tcPr>
          <w:p w14:paraId="0EDA5D56"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Second and third conversions</w:t>
            </w:r>
          </w:p>
        </w:tc>
        <w:tc>
          <w:tcPr>
            <w:tcW w:w="323" w:type="pct"/>
            <w:tcMar>
              <w:left w:w="58" w:type="dxa"/>
              <w:right w:w="58" w:type="dxa"/>
            </w:tcMar>
          </w:tcPr>
          <w:p w14:paraId="6A3B681C"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18</w:t>
            </w:r>
          </w:p>
        </w:tc>
        <w:tc>
          <w:tcPr>
            <w:tcW w:w="1833" w:type="pct"/>
            <w:tcMar>
              <w:left w:w="58" w:type="dxa"/>
              <w:right w:w="58" w:type="dxa"/>
            </w:tcMar>
          </w:tcPr>
          <w:p w14:paraId="0415D909"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Text included in the draft template</w:t>
            </w:r>
          </w:p>
        </w:tc>
        <w:tc>
          <w:tcPr>
            <w:tcW w:w="1833" w:type="pct"/>
            <w:tcMar>
              <w:left w:w="58" w:type="dxa"/>
              <w:right w:w="58" w:type="dxa"/>
            </w:tcMar>
          </w:tcPr>
          <w:p w14:paraId="5533E019"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None</w:t>
            </w:r>
          </w:p>
        </w:tc>
      </w:tr>
      <w:tr w:rsidR="00E9238E" w:rsidRPr="00E9238E" w14:paraId="0DC1C081" w14:textId="77777777" w:rsidTr="00886EF9">
        <w:tc>
          <w:tcPr>
            <w:tcW w:w="1010" w:type="pct"/>
            <w:tcMar>
              <w:left w:w="58" w:type="dxa"/>
              <w:right w:w="58" w:type="dxa"/>
            </w:tcMar>
          </w:tcPr>
          <w:p w14:paraId="37AEB53F" w14:textId="719AA7EF"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Other costs</w:t>
            </w:r>
            <w:r w:rsidRPr="00D66B96">
              <w:rPr>
                <w:sz w:val="19"/>
                <w:szCs w:val="19"/>
                <w:vertAlign w:val="superscript"/>
                <w:lang w:val="en-CA"/>
              </w:rPr>
              <w:t>a</w:t>
            </w:r>
          </w:p>
        </w:tc>
        <w:tc>
          <w:tcPr>
            <w:tcW w:w="323" w:type="pct"/>
            <w:tcMar>
              <w:left w:w="58" w:type="dxa"/>
              <w:right w:w="58" w:type="dxa"/>
            </w:tcMar>
          </w:tcPr>
          <w:p w14:paraId="446BF7DF"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25</w:t>
            </w:r>
          </w:p>
        </w:tc>
        <w:tc>
          <w:tcPr>
            <w:tcW w:w="1833" w:type="pct"/>
            <w:tcMar>
              <w:left w:w="58" w:type="dxa"/>
              <w:right w:w="58" w:type="dxa"/>
            </w:tcMar>
          </w:tcPr>
          <w:p w14:paraId="7D10F283"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Text not included in the draft template</w:t>
            </w:r>
          </w:p>
        </w:tc>
        <w:tc>
          <w:tcPr>
            <w:tcW w:w="1833" w:type="pct"/>
            <w:tcMar>
              <w:left w:w="58" w:type="dxa"/>
              <w:right w:w="58" w:type="dxa"/>
            </w:tcMar>
          </w:tcPr>
          <w:p w14:paraId="0E3476E4"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None</w:t>
            </w:r>
          </w:p>
        </w:tc>
      </w:tr>
      <w:tr w:rsidR="00E9238E" w:rsidRPr="00E9238E" w14:paraId="016333FB" w14:textId="77777777" w:rsidTr="00886EF9">
        <w:tc>
          <w:tcPr>
            <w:tcW w:w="1010" w:type="pct"/>
            <w:tcMar>
              <w:left w:w="58" w:type="dxa"/>
              <w:right w:w="58" w:type="dxa"/>
            </w:tcMar>
          </w:tcPr>
          <w:p w14:paraId="5D02C6C4"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Eligibility of Annex F substances subject to high</w:t>
            </w:r>
            <w:r w:rsidRPr="00D66B96">
              <w:rPr>
                <w:sz w:val="19"/>
                <w:szCs w:val="19"/>
                <w:lang w:val="en-CA"/>
              </w:rPr>
              <w:noBreakHyphen/>
              <w:t>ambient</w:t>
            </w:r>
            <w:r w:rsidRPr="00D66B96">
              <w:rPr>
                <w:sz w:val="19"/>
                <w:szCs w:val="19"/>
                <w:lang w:val="en-CA"/>
              </w:rPr>
              <w:noBreakHyphen/>
              <w:t>temperature exemptions</w:t>
            </w:r>
          </w:p>
        </w:tc>
        <w:tc>
          <w:tcPr>
            <w:tcW w:w="323" w:type="pct"/>
            <w:tcMar>
              <w:left w:w="58" w:type="dxa"/>
              <w:right w:w="58" w:type="dxa"/>
            </w:tcMar>
          </w:tcPr>
          <w:p w14:paraId="4E9025FE"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35</w:t>
            </w:r>
          </w:p>
        </w:tc>
        <w:tc>
          <w:tcPr>
            <w:tcW w:w="1833" w:type="pct"/>
            <w:tcMar>
              <w:left w:w="58" w:type="dxa"/>
              <w:right w:w="58" w:type="dxa"/>
            </w:tcMar>
          </w:tcPr>
          <w:p w14:paraId="0B0E647B"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Text included in the draft template</w:t>
            </w:r>
          </w:p>
        </w:tc>
        <w:tc>
          <w:tcPr>
            <w:tcW w:w="1833" w:type="pct"/>
            <w:tcMar>
              <w:left w:w="58" w:type="dxa"/>
              <w:right w:w="58" w:type="dxa"/>
            </w:tcMar>
          </w:tcPr>
          <w:p w14:paraId="4231890B"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None</w:t>
            </w:r>
          </w:p>
        </w:tc>
      </w:tr>
      <w:tr w:rsidR="00E9238E" w:rsidRPr="00E9238E" w14:paraId="72785271" w14:textId="77777777" w:rsidTr="00886EF9">
        <w:tc>
          <w:tcPr>
            <w:tcW w:w="1010" w:type="pct"/>
            <w:tcMar>
              <w:left w:w="58" w:type="dxa"/>
              <w:right w:w="58" w:type="dxa"/>
            </w:tcMar>
          </w:tcPr>
          <w:p w14:paraId="55CDD483" w14:textId="77777777" w:rsidR="00E9238E" w:rsidRPr="00D66B96" w:rsidRDefault="00E9238E" w:rsidP="000051E7">
            <w:pPr>
              <w:pStyle w:val="Heading1"/>
              <w:numPr>
                <w:ilvl w:val="0"/>
                <w:numId w:val="0"/>
              </w:numPr>
              <w:spacing w:after="0"/>
              <w:jc w:val="left"/>
              <w:outlineLvl w:val="0"/>
              <w:rPr>
                <w:b/>
                <w:i/>
                <w:sz w:val="19"/>
                <w:szCs w:val="19"/>
                <w:lang w:val="en-CA"/>
              </w:rPr>
            </w:pPr>
            <w:r w:rsidRPr="00D66B96">
              <w:rPr>
                <w:b/>
                <w:i/>
                <w:sz w:val="19"/>
                <w:szCs w:val="19"/>
                <w:lang w:val="en-CA"/>
              </w:rPr>
              <w:t>Under discussion</w:t>
            </w:r>
          </w:p>
        </w:tc>
        <w:tc>
          <w:tcPr>
            <w:tcW w:w="323" w:type="pct"/>
            <w:tcMar>
              <w:left w:w="58" w:type="dxa"/>
              <w:right w:w="58" w:type="dxa"/>
            </w:tcMar>
          </w:tcPr>
          <w:p w14:paraId="545E8580" w14:textId="77777777" w:rsidR="00E9238E" w:rsidRPr="00D66B96" w:rsidRDefault="00E9238E" w:rsidP="000051E7">
            <w:pPr>
              <w:pStyle w:val="Heading1"/>
              <w:numPr>
                <w:ilvl w:val="0"/>
                <w:numId w:val="0"/>
              </w:numPr>
              <w:spacing w:after="0"/>
              <w:jc w:val="left"/>
              <w:outlineLvl w:val="0"/>
              <w:rPr>
                <w:b/>
                <w:i/>
                <w:sz w:val="19"/>
                <w:szCs w:val="19"/>
                <w:lang w:val="en-CA"/>
              </w:rPr>
            </w:pPr>
          </w:p>
        </w:tc>
        <w:tc>
          <w:tcPr>
            <w:tcW w:w="1833" w:type="pct"/>
            <w:tcMar>
              <w:left w:w="58" w:type="dxa"/>
              <w:right w:w="58" w:type="dxa"/>
            </w:tcMar>
          </w:tcPr>
          <w:p w14:paraId="4934519F" w14:textId="77777777" w:rsidR="00E9238E" w:rsidRPr="00D66B96" w:rsidRDefault="00E9238E" w:rsidP="000051E7">
            <w:pPr>
              <w:pStyle w:val="Heading1"/>
              <w:numPr>
                <w:ilvl w:val="0"/>
                <w:numId w:val="0"/>
              </w:numPr>
              <w:spacing w:after="0"/>
              <w:jc w:val="left"/>
              <w:outlineLvl w:val="0"/>
              <w:rPr>
                <w:b/>
                <w:i/>
                <w:sz w:val="19"/>
                <w:szCs w:val="19"/>
                <w:lang w:val="en-CA"/>
              </w:rPr>
            </w:pPr>
          </w:p>
        </w:tc>
        <w:tc>
          <w:tcPr>
            <w:tcW w:w="1833" w:type="pct"/>
            <w:tcMar>
              <w:left w:w="58" w:type="dxa"/>
              <w:right w:w="58" w:type="dxa"/>
            </w:tcMar>
          </w:tcPr>
          <w:p w14:paraId="772C1D98" w14:textId="77777777" w:rsidR="00E9238E" w:rsidRPr="00D66B96" w:rsidRDefault="00E9238E" w:rsidP="000051E7">
            <w:pPr>
              <w:pStyle w:val="Heading1"/>
              <w:numPr>
                <w:ilvl w:val="0"/>
                <w:numId w:val="0"/>
              </w:numPr>
              <w:spacing w:after="0"/>
              <w:jc w:val="left"/>
              <w:outlineLvl w:val="0"/>
              <w:rPr>
                <w:b/>
                <w:i/>
                <w:sz w:val="19"/>
                <w:szCs w:val="19"/>
                <w:lang w:val="en-CA"/>
              </w:rPr>
            </w:pPr>
          </w:p>
        </w:tc>
      </w:tr>
      <w:tr w:rsidR="00E9238E" w:rsidRPr="00E9238E" w14:paraId="7A8CC667" w14:textId="77777777" w:rsidTr="00886EF9">
        <w:tc>
          <w:tcPr>
            <w:tcW w:w="1010" w:type="pct"/>
            <w:tcMar>
              <w:left w:w="58" w:type="dxa"/>
              <w:right w:w="58" w:type="dxa"/>
            </w:tcMar>
          </w:tcPr>
          <w:p w14:paraId="0CFFAD91"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Sustained aggregate reductions in consumption and production</w:t>
            </w:r>
          </w:p>
        </w:tc>
        <w:tc>
          <w:tcPr>
            <w:tcW w:w="323" w:type="pct"/>
            <w:tcMar>
              <w:left w:w="58" w:type="dxa"/>
              <w:right w:w="58" w:type="dxa"/>
            </w:tcMar>
          </w:tcPr>
          <w:p w14:paraId="47B25889"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19</w:t>
            </w:r>
          </w:p>
        </w:tc>
        <w:tc>
          <w:tcPr>
            <w:tcW w:w="1833" w:type="pct"/>
            <w:tcMar>
              <w:left w:w="58" w:type="dxa"/>
              <w:right w:w="58" w:type="dxa"/>
            </w:tcMar>
          </w:tcPr>
          <w:p w14:paraId="1FFB56D7" w14:textId="041E904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Text included in the draft template</w:t>
            </w:r>
            <w:r w:rsidR="001648BF">
              <w:rPr>
                <w:sz w:val="19"/>
                <w:szCs w:val="19"/>
                <w:lang w:val="en-CA"/>
              </w:rPr>
              <w:t>,</w:t>
            </w:r>
            <w:r w:rsidRPr="00D66B96">
              <w:rPr>
                <w:sz w:val="19"/>
                <w:szCs w:val="19"/>
                <w:lang w:val="en-CA"/>
              </w:rPr>
              <w:t xml:space="preserve"> but a methodology for establishing the starting point for sustained aggregate reductions has not been developed</w:t>
            </w:r>
            <w:r w:rsidRPr="00D66B96">
              <w:rPr>
                <w:sz w:val="19"/>
                <w:szCs w:val="19"/>
                <w:vertAlign w:val="superscript"/>
                <w:lang w:val="en-CA"/>
              </w:rPr>
              <w:t>b</w:t>
            </w:r>
          </w:p>
        </w:tc>
        <w:tc>
          <w:tcPr>
            <w:tcW w:w="1833" w:type="pct"/>
            <w:tcMar>
              <w:left w:w="58" w:type="dxa"/>
              <w:right w:w="58" w:type="dxa"/>
            </w:tcMar>
          </w:tcPr>
          <w:p w14:paraId="795C8690" w14:textId="401870EA" w:rsidR="007D1617" w:rsidRPr="00DD1A8F" w:rsidRDefault="00E9238E" w:rsidP="000051E7">
            <w:pPr>
              <w:pStyle w:val="Heading1"/>
              <w:numPr>
                <w:ilvl w:val="0"/>
                <w:numId w:val="0"/>
              </w:numPr>
              <w:spacing w:after="0"/>
              <w:jc w:val="left"/>
              <w:outlineLvl w:val="0"/>
              <w:rPr>
                <w:sz w:val="19"/>
                <w:szCs w:val="19"/>
                <w:lang w:val="en-CA"/>
              </w:rPr>
            </w:pPr>
            <w:r w:rsidRPr="00DD1A8F">
              <w:rPr>
                <w:sz w:val="19"/>
                <w:szCs w:val="19"/>
                <w:lang w:val="en-CA"/>
              </w:rPr>
              <w:t>To</w:t>
            </w:r>
            <w:r w:rsidR="001D3564" w:rsidRPr="00DD1A8F">
              <w:rPr>
                <w:sz w:val="19"/>
                <w:szCs w:val="19"/>
                <w:lang w:val="en-CA"/>
              </w:rPr>
              <w:t xml:space="preserve"> </w:t>
            </w:r>
            <w:r w:rsidR="007D1617" w:rsidRPr="00DD1A8F">
              <w:rPr>
                <w:sz w:val="19"/>
                <w:szCs w:val="19"/>
                <w:lang w:val="en-CA"/>
              </w:rPr>
              <w:t xml:space="preserve">continue </w:t>
            </w:r>
            <w:r w:rsidR="001D3564" w:rsidRPr="00DD1A8F">
              <w:rPr>
                <w:sz w:val="19"/>
                <w:szCs w:val="19"/>
                <w:lang w:val="en-CA"/>
              </w:rPr>
              <w:t>discuss</w:t>
            </w:r>
            <w:r w:rsidR="007D1617" w:rsidRPr="00DD1A8F">
              <w:rPr>
                <w:sz w:val="19"/>
                <w:szCs w:val="19"/>
                <w:lang w:val="en-CA"/>
              </w:rPr>
              <w:t>ions</w:t>
            </w:r>
            <w:r w:rsidR="001D3564" w:rsidRPr="00DD1A8F">
              <w:rPr>
                <w:sz w:val="19"/>
                <w:szCs w:val="19"/>
                <w:lang w:val="en-CA"/>
              </w:rPr>
              <w:t xml:space="preserve"> at the 84</w:t>
            </w:r>
            <w:r w:rsidR="001D3564" w:rsidRPr="00DD1A8F">
              <w:rPr>
                <w:sz w:val="19"/>
                <w:szCs w:val="19"/>
                <w:vertAlign w:val="superscript"/>
                <w:lang w:val="en-CA"/>
              </w:rPr>
              <w:t>th</w:t>
            </w:r>
            <w:r w:rsidR="001E7215">
              <w:rPr>
                <w:sz w:val="19"/>
                <w:szCs w:val="19"/>
                <w:lang w:val="en-CA"/>
              </w:rPr>
              <w:t> </w:t>
            </w:r>
            <w:r w:rsidR="001D3564" w:rsidRPr="00DD1A8F">
              <w:rPr>
                <w:sz w:val="19"/>
                <w:szCs w:val="19"/>
                <w:lang w:val="en-CA"/>
              </w:rPr>
              <w:t>meeting</w:t>
            </w:r>
            <w:r w:rsidR="007D1617" w:rsidRPr="00DD1A8F">
              <w:rPr>
                <w:sz w:val="19"/>
                <w:szCs w:val="19"/>
                <w:lang w:val="en-CA"/>
              </w:rPr>
              <w:t xml:space="preserve">, </w:t>
            </w:r>
            <w:r w:rsidR="001648BF">
              <w:rPr>
                <w:sz w:val="19"/>
                <w:szCs w:val="19"/>
                <w:lang w:val="en-CA"/>
              </w:rPr>
              <w:t xml:space="preserve">and </w:t>
            </w:r>
            <w:r w:rsidR="007D1617" w:rsidRPr="00DD1A8F">
              <w:rPr>
                <w:sz w:val="19"/>
                <w:szCs w:val="19"/>
                <w:lang w:val="en-CA"/>
              </w:rPr>
              <w:t xml:space="preserve">to </w:t>
            </w:r>
            <w:r w:rsidRPr="00DD1A8F">
              <w:rPr>
                <w:sz w:val="19"/>
                <w:szCs w:val="19"/>
                <w:lang w:val="en-CA"/>
              </w:rPr>
              <w:t>propose and agree on methodology</w:t>
            </w:r>
            <w:r w:rsidR="001D3564" w:rsidRPr="00DD1A8F">
              <w:rPr>
                <w:sz w:val="19"/>
                <w:szCs w:val="19"/>
                <w:lang w:val="en-CA"/>
              </w:rPr>
              <w:t>(</w:t>
            </w:r>
            <w:r w:rsidR="001E7215">
              <w:rPr>
                <w:sz w:val="19"/>
                <w:szCs w:val="19"/>
                <w:lang w:val="en-CA"/>
              </w:rPr>
              <w:t>-</w:t>
            </w:r>
            <w:r w:rsidR="001D3564" w:rsidRPr="00DD1A8F">
              <w:rPr>
                <w:sz w:val="19"/>
                <w:szCs w:val="19"/>
                <w:lang w:val="en-CA"/>
              </w:rPr>
              <w:t>ies)</w:t>
            </w:r>
            <w:r w:rsidRPr="00DD1A8F">
              <w:rPr>
                <w:sz w:val="19"/>
                <w:szCs w:val="19"/>
                <w:lang w:val="en-CA"/>
              </w:rPr>
              <w:t xml:space="preserve"> for establishing the starting point</w:t>
            </w:r>
            <w:r w:rsidR="007D1617" w:rsidRPr="00DD1A8F">
              <w:rPr>
                <w:sz w:val="19"/>
                <w:szCs w:val="19"/>
                <w:lang w:val="en-CA"/>
              </w:rPr>
              <w:t>.</w:t>
            </w:r>
          </w:p>
          <w:p w14:paraId="083F2C22" w14:textId="410067C0" w:rsidR="00E9238E" w:rsidRPr="00DD1A8F" w:rsidRDefault="007D1617" w:rsidP="000051E7">
            <w:pPr>
              <w:pStyle w:val="Heading1"/>
              <w:numPr>
                <w:ilvl w:val="0"/>
                <w:numId w:val="0"/>
              </w:numPr>
              <w:spacing w:after="0"/>
              <w:jc w:val="left"/>
              <w:outlineLvl w:val="0"/>
              <w:rPr>
                <w:sz w:val="19"/>
                <w:szCs w:val="19"/>
                <w:lang w:val="en-CA"/>
              </w:rPr>
            </w:pPr>
            <w:r w:rsidRPr="00DD1A8F">
              <w:rPr>
                <w:sz w:val="19"/>
                <w:szCs w:val="19"/>
                <w:lang w:val="en-CA"/>
              </w:rPr>
              <w:t xml:space="preserve">Members may wish to </w:t>
            </w:r>
            <w:r w:rsidR="00E9238E" w:rsidRPr="00DD1A8F">
              <w:rPr>
                <w:sz w:val="19"/>
                <w:szCs w:val="19"/>
                <w:lang w:val="en-CA"/>
              </w:rPr>
              <w:t>refer to Annex</w:t>
            </w:r>
            <w:r w:rsidR="001E7215">
              <w:rPr>
                <w:sz w:val="19"/>
                <w:szCs w:val="19"/>
                <w:lang w:val="en-CA"/>
              </w:rPr>
              <w:t> </w:t>
            </w:r>
            <w:r w:rsidR="00E9238E" w:rsidRPr="00DD1A8F">
              <w:rPr>
                <w:sz w:val="19"/>
                <w:szCs w:val="19"/>
                <w:lang w:val="en-CA"/>
              </w:rPr>
              <w:t>II</w:t>
            </w:r>
            <w:r w:rsidR="00086798" w:rsidRPr="00DD1A8F">
              <w:rPr>
                <w:sz w:val="19"/>
                <w:szCs w:val="19"/>
                <w:lang w:val="en-CA"/>
              </w:rPr>
              <w:t xml:space="preserve"> </w:t>
            </w:r>
            <w:r w:rsidRPr="00DD1A8F">
              <w:rPr>
                <w:sz w:val="19"/>
                <w:szCs w:val="19"/>
                <w:lang w:val="en-CA"/>
              </w:rPr>
              <w:t xml:space="preserve">to the present document, </w:t>
            </w:r>
            <w:r w:rsidR="00086798" w:rsidRPr="00DD1A8F">
              <w:rPr>
                <w:sz w:val="19"/>
                <w:szCs w:val="19"/>
                <w:lang w:val="en-CA"/>
              </w:rPr>
              <w:t xml:space="preserve">and </w:t>
            </w:r>
            <w:r w:rsidRPr="00DD1A8F">
              <w:rPr>
                <w:sz w:val="19"/>
                <w:szCs w:val="19"/>
                <w:lang w:val="en-CA"/>
              </w:rPr>
              <w:t>to document</w:t>
            </w:r>
            <w:r w:rsidR="001E7215">
              <w:rPr>
                <w:sz w:val="19"/>
                <w:szCs w:val="19"/>
                <w:lang w:val="en-CA"/>
              </w:rPr>
              <w:t> </w:t>
            </w:r>
            <w:r w:rsidR="00086798" w:rsidRPr="00DD1A8F">
              <w:rPr>
                <w:sz w:val="19"/>
                <w:szCs w:val="19"/>
              </w:rPr>
              <w:t>UNEP/OzL.Pro/ExCom/82/66</w:t>
            </w:r>
          </w:p>
        </w:tc>
      </w:tr>
      <w:tr w:rsidR="00E9238E" w:rsidRPr="00E9238E" w14:paraId="7E3DFD3F" w14:textId="77777777" w:rsidTr="00886EF9">
        <w:tc>
          <w:tcPr>
            <w:tcW w:w="1010" w:type="pct"/>
            <w:tcMar>
              <w:left w:w="58" w:type="dxa"/>
              <w:right w:w="58" w:type="dxa"/>
            </w:tcMar>
          </w:tcPr>
          <w:p w14:paraId="05A44426"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Eligible incremental costs</w:t>
            </w:r>
          </w:p>
        </w:tc>
        <w:tc>
          <w:tcPr>
            <w:tcW w:w="323" w:type="pct"/>
            <w:tcMar>
              <w:left w:w="58" w:type="dxa"/>
              <w:right w:w="58" w:type="dxa"/>
            </w:tcMar>
          </w:tcPr>
          <w:p w14:paraId="09D71A7C"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15</w:t>
            </w:r>
          </w:p>
        </w:tc>
        <w:tc>
          <w:tcPr>
            <w:tcW w:w="1833" w:type="pct"/>
            <w:tcMar>
              <w:left w:w="58" w:type="dxa"/>
              <w:right w:w="58" w:type="dxa"/>
            </w:tcMar>
          </w:tcPr>
          <w:p w14:paraId="1C1FAEC3" w14:textId="77777777" w:rsidR="00E9238E" w:rsidRPr="00D66B96" w:rsidRDefault="00E9238E" w:rsidP="000051E7">
            <w:pPr>
              <w:pStyle w:val="Heading1"/>
              <w:numPr>
                <w:ilvl w:val="0"/>
                <w:numId w:val="0"/>
              </w:numPr>
              <w:spacing w:after="0"/>
              <w:jc w:val="left"/>
              <w:outlineLvl w:val="0"/>
              <w:rPr>
                <w:sz w:val="19"/>
                <w:szCs w:val="19"/>
                <w:lang w:val="en-CA"/>
              </w:rPr>
            </w:pPr>
          </w:p>
        </w:tc>
        <w:tc>
          <w:tcPr>
            <w:tcW w:w="1833" w:type="pct"/>
            <w:tcMar>
              <w:left w:w="58" w:type="dxa"/>
              <w:right w:w="58" w:type="dxa"/>
            </w:tcMar>
          </w:tcPr>
          <w:p w14:paraId="06802CA9" w14:textId="77777777" w:rsidR="00E9238E" w:rsidRPr="00D66B96" w:rsidRDefault="00E9238E" w:rsidP="000051E7">
            <w:pPr>
              <w:pStyle w:val="Heading1"/>
              <w:numPr>
                <w:ilvl w:val="0"/>
                <w:numId w:val="0"/>
              </w:numPr>
              <w:spacing w:after="0"/>
              <w:jc w:val="left"/>
              <w:outlineLvl w:val="0"/>
              <w:rPr>
                <w:sz w:val="19"/>
                <w:szCs w:val="19"/>
                <w:lang w:val="en-CA"/>
              </w:rPr>
            </w:pPr>
          </w:p>
        </w:tc>
      </w:tr>
      <w:tr w:rsidR="00E9238E" w:rsidRPr="00E9238E" w14:paraId="26CED76B" w14:textId="77777777" w:rsidTr="00886EF9">
        <w:tc>
          <w:tcPr>
            <w:tcW w:w="1010" w:type="pct"/>
            <w:tcMar>
              <w:left w:w="58" w:type="dxa"/>
              <w:right w:w="58" w:type="dxa"/>
            </w:tcMar>
          </w:tcPr>
          <w:p w14:paraId="2B296062" w14:textId="77777777" w:rsidR="00E9238E" w:rsidRPr="00D66B96" w:rsidRDefault="00E9238E" w:rsidP="000051E7">
            <w:pPr>
              <w:pStyle w:val="Heading1"/>
              <w:numPr>
                <w:ilvl w:val="0"/>
                <w:numId w:val="0"/>
              </w:numPr>
              <w:tabs>
                <w:tab w:val="left" w:pos="158"/>
              </w:tabs>
              <w:spacing w:after="0"/>
              <w:ind w:left="174"/>
              <w:jc w:val="left"/>
              <w:outlineLvl w:val="0"/>
              <w:rPr>
                <w:sz w:val="19"/>
                <w:szCs w:val="19"/>
                <w:lang w:val="en-CA"/>
              </w:rPr>
            </w:pPr>
            <w:r w:rsidRPr="00D66B96">
              <w:rPr>
                <w:sz w:val="19"/>
                <w:szCs w:val="19"/>
                <w:lang w:val="en-CA"/>
              </w:rPr>
              <w:t>Consumption manufacturing sector</w:t>
            </w:r>
          </w:p>
        </w:tc>
        <w:tc>
          <w:tcPr>
            <w:tcW w:w="323" w:type="pct"/>
            <w:tcMar>
              <w:left w:w="58" w:type="dxa"/>
              <w:right w:w="58" w:type="dxa"/>
            </w:tcMar>
          </w:tcPr>
          <w:p w14:paraId="6D636B3D"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 xml:space="preserve">15(a) </w:t>
            </w:r>
          </w:p>
        </w:tc>
        <w:tc>
          <w:tcPr>
            <w:tcW w:w="1833" w:type="pct"/>
            <w:tcMar>
              <w:left w:w="58" w:type="dxa"/>
              <w:right w:w="58" w:type="dxa"/>
            </w:tcMar>
          </w:tcPr>
          <w:p w14:paraId="4346DA3B" w14:textId="77777777" w:rsidR="007D1617" w:rsidRDefault="00E9238E" w:rsidP="000051E7">
            <w:pPr>
              <w:pStyle w:val="Heading1"/>
              <w:numPr>
                <w:ilvl w:val="0"/>
                <w:numId w:val="0"/>
              </w:numPr>
              <w:spacing w:after="0"/>
              <w:jc w:val="left"/>
              <w:outlineLvl w:val="0"/>
              <w:rPr>
                <w:sz w:val="19"/>
                <w:szCs w:val="19"/>
                <w:lang w:val="en-CA"/>
              </w:rPr>
            </w:pPr>
            <w:r w:rsidRPr="00D66B96">
              <w:rPr>
                <w:sz w:val="19"/>
                <w:szCs w:val="19"/>
                <w:lang w:val="en-CA"/>
              </w:rPr>
              <w:t xml:space="preserve">Text on categories of eligible costs included in the draft template. </w:t>
            </w:r>
          </w:p>
          <w:p w14:paraId="1A15E29F" w14:textId="4A8F22CD"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Cost-effectiveness thresholds to be established, based on data from approved HFC phase</w:t>
            </w:r>
            <w:r w:rsidRPr="00D66B96">
              <w:rPr>
                <w:sz w:val="19"/>
                <w:szCs w:val="19"/>
                <w:lang w:val="en-CA"/>
              </w:rPr>
              <w:noBreakHyphen/>
              <w:t>out investment projects</w:t>
            </w:r>
            <w:r w:rsidRPr="00D66B96">
              <w:rPr>
                <w:sz w:val="19"/>
                <w:szCs w:val="19"/>
                <w:vertAlign w:val="superscript"/>
                <w:lang w:val="en-CA"/>
              </w:rPr>
              <w:t>c</w:t>
            </w:r>
          </w:p>
        </w:tc>
        <w:tc>
          <w:tcPr>
            <w:tcW w:w="1833" w:type="pct"/>
            <w:tcMar>
              <w:left w:w="58" w:type="dxa"/>
              <w:right w:w="58" w:type="dxa"/>
            </w:tcMar>
          </w:tcPr>
          <w:p w14:paraId="379FDD19" w14:textId="52AA7FAE" w:rsidR="007D1617" w:rsidRPr="00DD1A8F" w:rsidRDefault="00E9238E" w:rsidP="000051E7">
            <w:pPr>
              <w:pStyle w:val="Heading1"/>
              <w:numPr>
                <w:ilvl w:val="0"/>
                <w:numId w:val="0"/>
              </w:numPr>
              <w:spacing w:after="0"/>
              <w:jc w:val="left"/>
              <w:outlineLvl w:val="0"/>
              <w:rPr>
                <w:sz w:val="19"/>
                <w:szCs w:val="19"/>
                <w:lang w:val="en-CA"/>
              </w:rPr>
            </w:pPr>
            <w:r w:rsidRPr="00DD1A8F">
              <w:rPr>
                <w:sz w:val="19"/>
                <w:szCs w:val="19"/>
                <w:lang w:val="en-CA"/>
              </w:rPr>
              <w:t>To consider establishing cost</w:t>
            </w:r>
            <w:r w:rsidR="001E7215">
              <w:rPr>
                <w:sz w:val="19"/>
                <w:szCs w:val="19"/>
                <w:lang w:val="en-CA"/>
              </w:rPr>
              <w:noBreakHyphen/>
            </w:r>
            <w:r w:rsidRPr="00DD1A8F">
              <w:rPr>
                <w:sz w:val="19"/>
                <w:szCs w:val="19"/>
                <w:lang w:val="en-CA"/>
              </w:rPr>
              <w:t>effectiveness thresholds once the results of HFC stand-alone investment projects are availab</w:t>
            </w:r>
            <w:r w:rsidR="00F968FD" w:rsidRPr="00DD1A8F">
              <w:rPr>
                <w:sz w:val="19"/>
                <w:szCs w:val="19"/>
                <w:lang w:val="en-CA"/>
              </w:rPr>
              <w:t>le</w:t>
            </w:r>
            <w:r w:rsidR="007D1617" w:rsidRPr="00DD1A8F">
              <w:rPr>
                <w:sz w:val="19"/>
                <w:szCs w:val="19"/>
                <w:lang w:val="en-CA"/>
              </w:rPr>
              <w:t>.</w:t>
            </w:r>
          </w:p>
          <w:p w14:paraId="54A3B11F" w14:textId="4CF9C4C5" w:rsidR="00E9238E" w:rsidRPr="00DD1A8F" w:rsidRDefault="007D1617" w:rsidP="000051E7">
            <w:pPr>
              <w:pStyle w:val="Heading1"/>
              <w:numPr>
                <w:ilvl w:val="0"/>
                <w:numId w:val="0"/>
              </w:numPr>
              <w:spacing w:after="0"/>
              <w:jc w:val="left"/>
              <w:outlineLvl w:val="0"/>
              <w:rPr>
                <w:sz w:val="19"/>
                <w:szCs w:val="19"/>
                <w:lang w:val="en-CA"/>
              </w:rPr>
            </w:pPr>
            <w:r w:rsidRPr="00DD1A8F">
              <w:rPr>
                <w:sz w:val="19"/>
                <w:szCs w:val="19"/>
                <w:lang w:val="en-CA"/>
              </w:rPr>
              <w:t>Members may wish to refer to Annex II to the present document</w:t>
            </w:r>
          </w:p>
        </w:tc>
      </w:tr>
      <w:tr w:rsidR="00E9238E" w:rsidRPr="00E9238E" w14:paraId="30AF77F3" w14:textId="77777777" w:rsidTr="00886EF9">
        <w:tc>
          <w:tcPr>
            <w:tcW w:w="1010" w:type="pct"/>
            <w:tcMar>
              <w:left w:w="58" w:type="dxa"/>
              <w:right w:w="58" w:type="dxa"/>
            </w:tcMar>
          </w:tcPr>
          <w:p w14:paraId="682ADF96" w14:textId="77777777" w:rsidR="00E9238E" w:rsidRPr="00D66B96" w:rsidRDefault="00E9238E" w:rsidP="000051E7">
            <w:pPr>
              <w:pStyle w:val="Heading1"/>
              <w:numPr>
                <w:ilvl w:val="0"/>
                <w:numId w:val="0"/>
              </w:numPr>
              <w:tabs>
                <w:tab w:val="left" w:pos="158"/>
              </w:tabs>
              <w:spacing w:after="0"/>
              <w:jc w:val="left"/>
              <w:outlineLvl w:val="0"/>
              <w:rPr>
                <w:sz w:val="19"/>
                <w:szCs w:val="19"/>
                <w:lang w:val="en-CA"/>
              </w:rPr>
            </w:pPr>
            <w:r w:rsidRPr="00D66B96">
              <w:rPr>
                <w:sz w:val="19"/>
                <w:szCs w:val="19"/>
                <w:lang w:val="en-CA"/>
              </w:rPr>
              <w:tab/>
              <w:t>Production sector</w:t>
            </w:r>
          </w:p>
        </w:tc>
        <w:tc>
          <w:tcPr>
            <w:tcW w:w="323" w:type="pct"/>
            <w:tcMar>
              <w:left w:w="58" w:type="dxa"/>
              <w:right w:w="58" w:type="dxa"/>
            </w:tcMar>
          </w:tcPr>
          <w:p w14:paraId="4FD074C7"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15(b)</w:t>
            </w:r>
          </w:p>
        </w:tc>
        <w:tc>
          <w:tcPr>
            <w:tcW w:w="1833" w:type="pct"/>
            <w:tcMar>
              <w:left w:w="58" w:type="dxa"/>
              <w:right w:w="58" w:type="dxa"/>
            </w:tcMar>
          </w:tcPr>
          <w:p w14:paraId="0B1CD6BB"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Text on categories of eligible costs included in the draft template</w:t>
            </w:r>
          </w:p>
        </w:tc>
        <w:tc>
          <w:tcPr>
            <w:tcW w:w="1833" w:type="pct"/>
            <w:tcMar>
              <w:left w:w="58" w:type="dxa"/>
              <w:right w:w="58" w:type="dxa"/>
            </w:tcMar>
          </w:tcPr>
          <w:p w14:paraId="6C666EA4" w14:textId="1DBC944B" w:rsidR="00E9238E" w:rsidRPr="00DD1A8F" w:rsidRDefault="001648BF" w:rsidP="000051E7">
            <w:pPr>
              <w:pStyle w:val="Heading1"/>
              <w:numPr>
                <w:ilvl w:val="0"/>
                <w:numId w:val="0"/>
              </w:numPr>
              <w:spacing w:after="0"/>
              <w:jc w:val="left"/>
              <w:outlineLvl w:val="0"/>
              <w:rPr>
                <w:sz w:val="19"/>
                <w:szCs w:val="19"/>
                <w:lang w:val="en-CA"/>
              </w:rPr>
            </w:pPr>
            <w:r>
              <w:rPr>
                <w:sz w:val="19"/>
                <w:szCs w:val="19"/>
              </w:rPr>
              <w:t xml:space="preserve">To consider, </w:t>
            </w:r>
            <w:r w:rsidRPr="00DD1A8F">
              <w:rPr>
                <w:sz w:val="19"/>
                <w:szCs w:val="19"/>
              </w:rPr>
              <w:t>on a case</w:t>
            </w:r>
            <w:r>
              <w:rPr>
                <w:sz w:val="19"/>
                <w:szCs w:val="19"/>
              </w:rPr>
              <w:noBreakHyphen/>
            </w:r>
            <w:r w:rsidRPr="00DD1A8F">
              <w:rPr>
                <w:sz w:val="19"/>
                <w:szCs w:val="19"/>
              </w:rPr>
              <w:t>by</w:t>
            </w:r>
            <w:r>
              <w:rPr>
                <w:sz w:val="19"/>
                <w:szCs w:val="19"/>
              </w:rPr>
              <w:noBreakHyphen/>
            </w:r>
            <w:r w:rsidRPr="00DD1A8F">
              <w:rPr>
                <w:sz w:val="19"/>
                <w:szCs w:val="19"/>
              </w:rPr>
              <w:t>case basis</w:t>
            </w:r>
            <w:r>
              <w:rPr>
                <w:sz w:val="19"/>
                <w:szCs w:val="19"/>
              </w:rPr>
              <w:t>,</w:t>
            </w:r>
            <w:r w:rsidR="007D1617" w:rsidRPr="00DD1A8F">
              <w:rPr>
                <w:sz w:val="19"/>
                <w:szCs w:val="19"/>
              </w:rPr>
              <w:t xml:space="preserve"> compensation for compliance related to control obligations for the production sector</w:t>
            </w:r>
          </w:p>
        </w:tc>
      </w:tr>
      <w:tr w:rsidR="00E9238E" w:rsidRPr="00E9238E" w14:paraId="7E8C06CB" w14:textId="77777777" w:rsidTr="00886EF9">
        <w:tc>
          <w:tcPr>
            <w:tcW w:w="1010" w:type="pct"/>
            <w:tcMar>
              <w:left w:w="58" w:type="dxa"/>
              <w:right w:w="58" w:type="dxa"/>
            </w:tcMar>
          </w:tcPr>
          <w:p w14:paraId="56996E2E" w14:textId="77777777" w:rsidR="00E9238E" w:rsidRPr="00D66B96" w:rsidRDefault="00E9238E" w:rsidP="000051E7">
            <w:pPr>
              <w:pStyle w:val="Heading1"/>
              <w:numPr>
                <w:ilvl w:val="0"/>
                <w:numId w:val="0"/>
              </w:numPr>
              <w:tabs>
                <w:tab w:val="left" w:pos="158"/>
              </w:tabs>
              <w:spacing w:after="0"/>
              <w:ind w:left="170" w:hanging="170"/>
              <w:jc w:val="left"/>
              <w:outlineLvl w:val="0"/>
              <w:rPr>
                <w:sz w:val="19"/>
                <w:szCs w:val="19"/>
                <w:lang w:val="en-CA"/>
              </w:rPr>
            </w:pPr>
            <w:r w:rsidRPr="00D66B96">
              <w:rPr>
                <w:sz w:val="19"/>
                <w:szCs w:val="19"/>
                <w:lang w:val="en-CA"/>
              </w:rPr>
              <w:tab/>
              <w:t>Refrigeration servicing sector</w:t>
            </w:r>
          </w:p>
        </w:tc>
        <w:tc>
          <w:tcPr>
            <w:tcW w:w="323" w:type="pct"/>
            <w:tcMar>
              <w:left w:w="58" w:type="dxa"/>
              <w:right w:w="58" w:type="dxa"/>
            </w:tcMar>
          </w:tcPr>
          <w:p w14:paraId="5724D0CC" w14:textId="77777777" w:rsidR="00E9238E" w:rsidRPr="00D66B96" w:rsidRDefault="00E9238E" w:rsidP="000051E7">
            <w:pPr>
              <w:pStyle w:val="Heading1"/>
              <w:numPr>
                <w:ilvl w:val="0"/>
                <w:numId w:val="0"/>
              </w:numPr>
              <w:spacing w:after="0"/>
              <w:jc w:val="left"/>
              <w:outlineLvl w:val="0"/>
              <w:rPr>
                <w:sz w:val="19"/>
                <w:szCs w:val="19"/>
                <w:lang w:val="en-CA"/>
              </w:rPr>
            </w:pPr>
            <w:r w:rsidRPr="00D66B96">
              <w:rPr>
                <w:sz w:val="19"/>
                <w:szCs w:val="19"/>
                <w:lang w:val="en-CA"/>
              </w:rPr>
              <w:t>15(c)</w:t>
            </w:r>
          </w:p>
        </w:tc>
        <w:tc>
          <w:tcPr>
            <w:tcW w:w="1833" w:type="pct"/>
            <w:tcMar>
              <w:left w:w="58" w:type="dxa"/>
              <w:right w:w="58" w:type="dxa"/>
            </w:tcMar>
          </w:tcPr>
          <w:p w14:paraId="3A6B0624" w14:textId="44B1E0CE" w:rsidR="00E9238E" w:rsidRPr="001648BF" w:rsidRDefault="00E9238E" w:rsidP="000051E7">
            <w:pPr>
              <w:pStyle w:val="Heading1"/>
              <w:numPr>
                <w:ilvl w:val="0"/>
                <w:numId w:val="0"/>
              </w:numPr>
              <w:spacing w:after="0"/>
              <w:jc w:val="left"/>
              <w:outlineLvl w:val="0"/>
              <w:rPr>
                <w:sz w:val="19"/>
                <w:szCs w:val="19"/>
                <w:vertAlign w:val="superscript"/>
                <w:lang w:val="en-CA"/>
              </w:rPr>
            </w:pPr>
            <w:r w:rsidRPr="00D66B96">
              <w:rPr>
                <w:sz w:val="19"/>
                <w:szCs w:val="19"/>
                <w:lang w:val="en-CA"/>
              </w:rPr>
              <w:t xml:space="preserve">Text on categories of eligible costs included in the draft template. </w:t>
            </w:r>
            <w:r w:rsidR="001648BF">
              <w:rPr>
                <w:sz w:val="19"/>
                <w:szCs w:val="19"/>
                <w:lang w:val="en-CA"/>
              </w:rPr>
              <w:t>Additional policy documents on the servicing sector have been considered at the 82</w:t>
            </w:r>
            <w:r w:rsidR="001648BF" w:rsidRPr="001648BF">
              <w:rPr>
                <w:sz w:val="19"/>
                <w:szCs w:val="19"/>
                <w:vertAlign w:val="superscript"/>
                <w:lang w:val="en-CA"/>
              </w:rPr>
              <w:t>nd</w:t>
            </w:r>
            <w:r w:rsidR="001648BF">
              <w:rPr>
                <w:sz w:val="19"/>
                <w:szCs w:val="19"/>
                <w:lang w:val="en-CA"/>
              </w:rPr>
              <w:t xml:space="preserve"> and 83</w:t>
            </w:r>
            <w:r w:rsidR="001648BF" w:rsidRPr="001648BF">
              <w:rPr>
                <w:sz w:val="19"/>
                <w:szCs w:val="19"/>
                <w:vertAlign w:val="superscript"/>
                <w:lang w:val="en-CA"/>
              </w:rPr>
              <w:t>rd</w:t>
            </w:r>
            <w:r w:rsidR="001648BF">
              <w:rPr>
                <w:sz w:val="19"/>
                <w:szCs w:val="19"/>
                <w:lang w:val="en-CA"/>
              </w:rPr>
              <w:t xml:space="preserve"> meetings</w:t>
            </w:r>
            <w:r w:rsidR="00487C90">
              <w:rPr>
                <w:sz w:val="19"/>
                <w:szCs w:val="19"/>
                <w:vertAlign w:val="superscript"/>
                <w:lang w:val="en-CA"/>
              </w:rPr>
              <w:t>d</w:t>
            </w:r>
          </w:p>
        </w:tc>
        <w:tc>
          <w:tcPr>
            <w:tcW w:w="1833" w:type="pct"/>
            <w:tcMar>
              <w:left w:w="58" w:type="dxa"/>
              <w:right w:w="58" w:type="dxa"/>
            </w:tcMar>
          </w:tcPr>
          <w:p w14:paraId="36D7595D" w14:textId="1A9DA337" w:rsidR="00E9238E" w:rsidRPr="00DD1A8F" w:rsidRDefault="00E9238E" w:rsidP="000051E7">
            <w:pPr>
              <w:pStyle w:val="Heading1"/>
              <w:numPr>
                <w:ilvl w:val="0"/>
                <w:numId w:val="0"/>
              </w:numPr>
              <w:spacing w:after="0"/>
              <w:jc w:val="left"/>
              <w:outlineLvl w:val="0"/>
              <w:rPr>
                <w:sz w:val="19"/>
                <w:szCs w:val="19"/>
                <w:lang w:val="en-CA"/>
              </w:rPr>
            </w:pPr>
            <w:r w:rsidRPr="00DD1A8F">
              <w:rPr>
                <w:sz w:val="19"/>
                <w:szCs w:val="19"/>
                <w:lang w:val="en-CA"/>
              </w:rPr>
              <w:t>To consider establishing cost</w:t>
            </w:r>
            <w:r w:rsidR="00FF75A9">
              <w:rPr>
                <w:sz w:val="19"/>
                <w:szCs w:val="19"/>
                <w:lang w:val="en-CA"/>
              </w:rPr>
              <w:noBreakHyphen/>
            </w:r>
            <w:r w:rsidRPr="00DD1A8F">
              <w:rPr>
                <w:sz w:val="19"/>
                <w:szCs w:val="19"/>
                <w:lang w:val="en-CA"/>
              </w:rPr>
              <w:t xml:space="preserve">effectiveness thresholds </w:t>
            </w:r>
            <w:r w:rsidR="002B1062" w:rsidRPr="00DD1A8F">
              <w:rPr>
                <w:sz w:val="19"/>
                <w:szCs w:val="19"/>
                <w:lang w:val="en-CA"/>
              </w:rPr>
              <w:t>at the 85</w:t>
            </w:r>
            <w:r w:rsidR="002B1062" w:rsidRPr="00DD1A8F">
              <w:rPr>
                <w:sz w:val="19"/>
                <w:szCs w:val="19"/>
                <w:vertAlign w:val="superscript"/>
                <w:lang w:val="en-CA"/>
              </w:rPr>
              <w:t>th</w:t>
            </w:r>
            <w:r w:rsidR="002B1062">
              <w:rPr>
                <w:sz w:val="19"/>
                <w:szCs w:val="19"/>
                <w:lang w:val="en-CA"/>
              </w:rPr>
              <w:t> </w:t>
            </w:r>
            <w:r w:rsidR="002B1062" w:rsidRPr="00DD1A8F">
              <w:rPr>
                <w:sz w:val="19"/>
                <w:szCs w:val="19"/>
                <w:lang w:val="en-CA"/>
              </w:rPr>
              <w:t xml:space="preserve">meeting </w:t>
            </w:r>
            <w:r w:rsidR="002B1062">
              <w:rPr>
                <w:sz w:val="19"/>
                <w:szCs w:val="19"/>
                <w:lang w:val="en-CA"/>
              </w:rPr>
              <w:t>based on the document submitted to the 82</w:t>
            </w:r>
            <w:r w:rsidR="002B1062" w:rsidRPr="002B1062">
              <w:rPr>
                <w:sz w:val="19"/>
                <w:szCs w:val="19"/>
                <w:vertAlign w:val="superscript"/>
                <w:lang w:val="en-CA"/>
              </w:rPr>
              <w:t>nd</w:t>
            </w:r>
            <w:r w:rsidR="002B1062">
              <w:rPr>
                <w:sz w:val="19"/>
                <w:szCs w:val="19"/>
                <w:lang w:val="en-CA"/>
              </w:rPr>
              <w:t xml:space="preserve"> meeting and to be submitted to the 85</w:t>
            </w:r>
            <w:r w:rsidR="002B1062" w:rsidRPr="002B1062">
              <w:rPr>
                <w:sz w:val="19"/>
                <w:szCs w:val="19"/>
                <w:vertAlign w:val="superscript"/>
                <w:lang w:val="en-CA"/>
              </w:rPr>
              <w:t>th</w:t>
            </w:r>
            <w:r w:rsidR="002B1062">
              <w:rPr>
                <w:sz w:val="19"/>
                <w:szCs w:val="19"/>
                <w:lang w:val="en-CA"/>
              </w:rPr>
              <w:t xml:space="preserve"> meeting</w:t>
            </w:r>
          </w:p>
        </w:tc>
      </w:tr>
      <w:tr w:rsidR="00E9238E" w:rsidRPr="00886EF9" w14:paraId="6ACB6D6A" w14:textId="77777777" w:rsidTr="00886EF9">
        <w:tc>
          <w:tcPr>
            <w:tcW w:w="1010" w:type="pct"/>
            <w:tcMar>
              <w:left w:w="58" w:type="dxa"/>
              <w:right w:w="58" w:type="dxa"/>
            </w:tcMar>
          </w:tcPr>
          <w:p w14:paraId="5CED9AEC" w14:textId="77777777" w:rsidR="00E9238E" w:rsidRPr="00D66B96" w:rsidRDefault="00E9238E" w:rsidP="000051E7">
            <w:pPr>
              <w:jc w:val="left"/>
              <w:rPr>
                <w:sz w:val="19"/>
                <w:szCs w:val="19"/>
                <w:lang w:val="en-CA"/>
              </w:rPr>
            </w:pPr>
            <w:r w:rsidRPr="00D66B96">
              <w:rPr>
                <w:sz w:val="19"/>
                <w:szCs w:val="19"/>
                <w:lang w:val="en-CA"/>
              </w:rPr>
              <w:t>Energy efficiency</w:t>
            </w:r>
          </w:p>
        </w:tc>
        <w:tc>
          <w:tcPr>
            <w:tcW w:w="323" w:type="pct"/>
            <w:tcMar>
              <w:left w:w="58" w:type="dxa"/>
              <w:right w:w="58" w:type="dxa"/>
            </w:tcMar>
          </w:tcPr>
          <w:p w14:paraId="225D2F45" w14:textId="77777777" w:rsidR="00E9238E" w:rsidRPr="00D66B96" w:rsidRDefault="00E9238E" w:rsidP="000051E7">
            <w:pPr>
              <w:jc w:val="left"/>
              <w:rPr>
                <w:sz w:val="19"/>
                <w:szCs w:val="19"/>
                <w:lang w:val="en-CA"/>
              </w:rPr>
            </w:pPr>
            <w:r w:rsidRPr="00D66B96">
              <w:rPr>
                <w:sz w:val="19"/>
                <w:szCs w:val="19"/>
                <w:lang w:val="en-CA"/>
              </w:rPr>
              <w:t xml:space="preserve">22 </w:t>
            </w:r>
          </w:p>
        </w:tc>
        <w:tc>
          <w:tcPr>
            <w:tcW w:w="1833" w:type="pct"/>
            <w:tcMar>
              <w:left w:w="58" w:type="dxa"/>
              <w:right w:w="58" w:type="dxa"/>
            </w:tcMar>
          </w:tcPr>
          <w:p w14:paraId="6BEB343E" w14:textId="21450088" w:rsidR="00E9238E" w:rsidRPr="00DD1A8F" w:rsidRDefault="00886EF9" w:rsidP="000051E7">
            <w:pPr>
              <w:jc w:val="left"/>
              <w:rPr>
                <w:sz w:val="19"/>
                <w:szCs w:val="19"/>
                <w:lang w:val="en-CA"/>
              </w:rPr>
            </w:pPr>
            <w:r w:rsidRPr="00DD1A8F">
              <w:rPr>
                <w:sz w:val="19"/>
                <w:szCs w:val="19"/>
                <w:lang w:val="en-CA"/>
              </w:rPr>
              <w:t xml:space="preserve">The </w:t>
            </w:r>
            <w:r w:rsidR="00E9238E" w:rsidRPr="00DD1A8F">
              <w:rPr>
                <w:sz w:val="19"/>
                <w:szCs w:val="19"/>
                <w:lang w:val="en-CA"/>
              </w:rPr>
              <w:t>following documents</w:t>
            </w:r>
            <w:r w:rsidRPr="00DD1A8F">
              <w:rPr>
                <w:sz w:val="19"/>
                <w:szCs w:val="19"/>
                <w:lang w:val="en-CA"/>
              </w:rPr>
              <w:t xml:space="preserve"> were submitted to the 83</w:t>
            </w:r>
            <w:r w:rsidRPr="00DD1A8F">
              <w:rPr>
                <w:sz w:val="19"/>
                <w:szCs w:val="19"/>
                <w:vertAlign w:val="superscript"/>
                <w:lang w:val="en-CA"/>
              </w:rPr>
              <w:t>rd</w:t>
            </w:r>
            <w:r w:rsidRPr="00DD1A8F">
              <w:rPr>
                <w:sz w:val="19"/>
                <w:szCs w:val="19"/>
                <w:lang w:val="en-CA"/>
              </w:rPr>
              <w:t xml:space="preserve"> meeting and are under discussion</w:t>
            </w:r>
            <w:r w:rsidR="00E9238E" w:rsidRPr="00DD1A8F">
              <w:rPr>
                <w:sz w:val="19"/>
                <w:szCs w:val="19"/>
                <w:lang w:val="en-CA"/>
              </w:rPr>
              <w:t>:</w:t>
            </w:r>
          </w:p>
          <w:p w14:paraId="394027FC" w14:textId="77777777" w:rsidR="00E9238E" w:rsidRPr="00D66B96" w:rsidRDefault="00E9238E" w:rsidP="000051E7">
            <w:pPr>
              <w:pStyle w:val="ListParagraph"/>
              <w:numPr>
                <w:ilvl w:val="0"/>
                <w:numId w:val="24"/>
              </w:numPr>
              <w:tabs>
                <w:tab w:val="left" w:pos="190"/>
              </w:tabs>
              <w:ind w:left="164" w:hanging="164"/>
              <w:jc w:val="left"/>
              <w:rPr>
                <w:rFonts w:ascii="Times New Roman" w:hAnsi="Times New Roman" w:cs="Times New Roman"/>
                <w:sz w:val="19"/>
                <w:szCs w:val="19"/>
                <w:lang w:val="en-CA"/>
              </w:rPr>
            </w:pPr>
            <w:r w:rsidRPr="00DD1A8F">
              <w:rPr>
                <w:rFonts w:ascii="Times New Roman" w:hAnsi="Times New Roman" w:cs="Times New Roman"/>
                <w:sz w:val="19"/>
                <w:szCs w:val="19"/>
                <w:lang w:val="en-CA"/>
              </w:rPr>
              <w:t>Ways to operationalize paragraph 16 of decision XXVIII/2 and</w:t>
            </w:r>
            <w:r w:rsidRPr="00D66B96">
              <w:rPr>
                <w:rFonts w:ascii="Times New Roman" w:hAnsi="Times New Roman" w:cs="Times New Roman"/>
                <w:sz w:val="19"/>
                <w:szCs w:val="19"/>
                <w:lang w:val="en-CA"/>
              </w:rPr>
              <w:t xml:space="preserve"> paragraph 2 of decision XXX/5</w:t>
            </w:r>
            <w:r w:rsidRPr="00D66B96">
              <w:rPr>
                <w:rFonts w:ascii="Times New Roman" w:hAnsi="Times New Roman" w:cs="Times New Roman"/>
                <w:sz w:val="19"/>
                <w:szCs w:val="19"/>
                <w:vertAlign w:val="superscript"/>
                <w:lang w:val="en-CA"/>
              </w:rPr>
              <w:t>e</w:t>
            </w:r>
          </w:p>
          <w:p w14:paraId="6D4AB2F4" w14:textId="688E062D" w:rsidR="00E9238E" w:rsidRPr="00D66B96" w:rsidRDefault="00E9238E" w:rsidP="000051E7">
            <w:pPr>
              <w:pStyle w:val="ListParagraph"/>
              <w:numPr>
                <w:ilvl w:val="0"/>
                <w:numId w:val="24"/>
              </w:numPr>
              <w:tabs>
                <w:tab w:val="left" w:pos="190"/>
              </w:tabs>
              <w:ind w:left="164" w:hanging="164"/>
              <w:jc w:val="left"/>
              <w:rPr>
                <w:rFonts w:ascii="Times New Roman" w:hAnsi="Times New Roman" w:cs="Times New Roman"/>
                <w:sz w:val="19"/>
                <w:szCs w:val="19"/>
                <w:lang w:val="en-CA"/>
              </w:rPr>
            </w:pPr>
            <w:r w:rsidRPr="00D66B96">
              <w:rPr>
                <w:rFonts w:ascii="Times New Roman" w:hAnsi="Times New Roman" w:cs="Times New Roman"/>
                <w:sz w:val="19"/>
                <w:szCs w:val="19"/>
                <w:lang w:val="en-CA"/>
              </w:rPr>
              <w:lastRenderedPageBreak/>
              <w:t>Information on funds and financial institutions mobilizing resources for energy efficiency that may be utilized when phasing down HFCs</w:t>
            </w:r>
            <w:r w:rsidRPr="00D66B96">
              <w:rPr>
                <w:rFonts w:ascii="Times New Roman" w:hAnsi="Times New Roman" w:cs="Times New Roman"/>
                <w:sz w:val="19"/>
                <w:szCs w:val="19"/>
                <w:vertAlign w:val="superscript"/>
                <w:lang w:val="en-CA"/>
              </w:rPr>
              <w:t>f</w:t>
            </w:r>
          </w:p>
          <w:p w14:paraId="65C0349F" w14:textId="77777777" w:rsidR="00E9238E" w:rsidRPr="00D66B96" w:rsidRDefault="00E9238E" w:rsidP="000051E7">
            <w:pPr>
              <w:pStyle w:val="ListParagraph"/>
              <w:numPr>
                <w:ilvl w:val="0"/>
                <w:numId w:val="24"/>
              </w:numPr>
              <w:tabs>
                <w:tab w:val="left" w:pos="190"/>
              </w:tabs>
              <w:ind w:left="164" w:right="246" w:hanging="164"/>
              <w:jc w:val="left"/>
              <w:rPr>
                <w:rFonts w:ascii="Times New Roman" w:hAnsi="Times New Roman" w:cs="Times New Roman"/>
                <w:sz w:val="19"/>
                <w:szCs w:val="19"/>
                <w:lang w:val="en-CA"/>
              </w:rPr>
            </w:pPr>
            <w:r w:rsidRPr="00D66B96">
              <w:rPr>
                <w:rFonts w:ascii="Times New Roman" w:hAnsi="Times New Roman" w:cs="Times New Roman"/>
                <w:sz w:val="19"/>
                <w:szCs w:val="19"/>
                <w:lang w:val="en-CA"/>
              </w:rPr>
              <w:t>Summary of the report by the Technology and Economic Assessment Panel (TEAP) on matters related to energy efficiency with regard to the issues identified in decision 82/83(e)</w:t>
            </w:r>
            <w:r w:rsidRPr="00D66B96">
              <w:rPr>
                <w:rFonts w:ascii="Times New Roman" w:hAnsi="Times New Roman" w:cs="Times New Roman"/>
                <w:sz w:val="19"/>
                <w:szCs w:val="19"/>
                <w:vertAlign w:val="superscript"/>
                <w:lang w:val="en-CA"/>
              </w:rPr>
              <w:t>g</w:t>
            </w:r>
          </w:p>
        </w:tc>
        <w:tc>
          <w:tcPr>
            <w:tcW w:w="1833" w:type="pct"/>
            <w:tcMar>
              <w:left w:w="58" w:type="dxa"/>
              <w:right w:w="58" w:type="dxa"/>
            </w:tcMar>
          </w:tcPr>
          <w:p w14:paraId="19AFACE1" w14:textId="4E01429B" w:rsidR="00F97A8E" w:rsidRPr="00805060" w:rsidRDefault="00886EF9" w:rsidP="000051E7">
            <w:pPr>
              <w:jc w:val="left"/>
              <w:rPr>
                <w:sz w:val="19"/>
                <w:szCs w:val="19"/>
                <w:lang w:val="en-CA"/>
              </w:rPr>
            </w:pPr>
            <w:r w:rsidRPr="00DD1A8F">
              <w:rPr>
                <w:sz w:val="19"/>
                <w:szCs w:val="19"/>
                <w:lang w:val="en-CA"/>
              </w:rPr>
              <w:lastRenderedPageBreak/>
              <w:t>To continue</w:t>
            </w:r>
            <w:r w:rsidR="00F97A8E" w:rsidRPr="00DD1A8F">
              <w:rPr>
                <w:sz w:val="19"/>
                <w:szCs w:val="19"/>
                <w:lang w:val="en-CA"/>
              </w:rPr>
              <w:t xml:space="preserve"> discuss</w:t>
            </w:r>
            <w:r w:rsidRPr="00DD1A8F">
              <w:rPr>
                <w:sz w:val="19"/>
                <w:szCs w:val="19"/>
                <w:lang w:val="en-CA"/>
              </w:rPr>
              <w:t>ions</w:t>
            </w:r>
            <w:r w:rsidR="00F97A8E" w:rsidRPr="00DD1A8F">
              <w:rPr>
                <w:sz w:val="19"/>
                <w:szCs w:val="19"/>
                <w:lang w:val="en-CA"/>
              </w:rPr>
              <w:t xml:space="preserve"> at the 84</w:t>
            </w:r>
            <w:r w:rsidR="00F97A8E" w:rsidRPr="00DD1A8F">
              <w:rPr>
                <w:sz w:val="19"/>
                <w:szCs w:val="19"/>
                <w:vertAlign w:val="superscript"/>
                <w:lang w:val="en-CA"/>
              </w:rPr>
              <w:t>th</w:t>
            </w:r>
            <w:r w:rsidR="00FF75A9">
              <w:rPr>
                <w:sz w:val="19"/>
                <w:szCs w:val="19"/>
                <w:lang w:val="en-CA"/>
              </w:rPr>
              <w:t> </w:t>
            </w:r>
            <w:r w:rsidR="00F97A8E" w:rsidRPr="00DD1A8F">
              <w:rPr>
                <w:sz w:val="19"/>
                <w:szCs w:val="19"/>
                <w:lang w:val="en-CA"/>
              </w:rPr>
              <w:t xml:space="preserve">meeting under </w:t>
            </w:r>
            <w:r w:rsidR="00F97A8E" w:rsidRPr="00805060">
              <w:rPr>
                <w:sz w:val="19"/>
                <w:szCs w:val="19"/>
                <w:lang w:val="en-CA"/>
              </w:rPr>
              <w:t xml:space="preserve">agenda item </w:t>
            </w:r>
            <w:r w:rsidR="0063662E" w:rsidRPr="00805060">
              <w:rPr>
                <w:sz w:val="19"/>
                <w:szCs w:val="19"/>
                <w:lang w:val="en-CA"/>
              </w:rPr>
              <w:t>13(b)</w:t>
            </w:r>
            <w:r w:rsidR="00F97A8E" w:rsidRPr="00805060">
              <w:rPr>
                <w:sz w:val="19"/>
                <w:szCs w:val="19"/>
                <w:lang w:val="en-CA"/>
              </w:rPr>
              <w:t xml:space="preserve"> on Matters related to the Kigali Amendment to the Montreal Protocol: Energy efficiency.</w:t>
            </w:r>
          </w:p>
          <w:p w14:paraId="0F3120FE" w14:textId="795C3777" w:rsidR="00E9238E" w:rsidRPr="00D66B96" w:rsidRDefault="002B1062" w:rsidP="0063662E">
            <w:pPr>
              <w:jc w:val="left"/>
              <w:rPr>
                <w:sz w:val="19"/>
                <w:szCs w:val="19"/>
                <w:highlight w:val="yellow"/>
                <w:lang w:val="en-CA"/>
              </w:rPr>
            </w:pPr>
            <w:r w:rsidRPr="00805060">
              <w:rPr>
                <w:sz w:val="19"/>
                <w:szCs w:val="19"/>
                <w:lang w:val="en-CA"/>
              </w:rPr>
              <w:t>T</w:t>
            </w:r>
            <w:r w:rsidR="00886EF9" w:rsidRPr="00805060">
              <w:rPr>
                <w:sz w:val="19"/>
                <w:szCs w:val="19"/>
                <w:lang w:val="en-CA"/>
              </w:rPr>
              <w:t xml:space="preserve">o </w:t>
            </w:r>
            <w:r w:rsidR="00F97A8E" w:rsidRPr="00805060">
              <w:rPr>
                <w:sz w:val="19"/>
                <w:szCs w:val="19"/>
                <w:lang w:val="en-CA"/>
              </w:rPr>
              <w:t xml:space="preserve">consider whether to include in the cost guidelines for phasing down HFCs </w:t>
            </w:r>
            <w:r w:rsidR="00F97A8E" w:rsidRPr="00805060">
              <w:rPr>
                <w:sz w:val="19"/>
                <w:szCs w:val="19"/>
                <w:lang w:val="en-CA"/>
              </w:rPr>
              <w:lastRenderedPageBreak/>
              <w:t xml:space="preserve">in Article 5 countries any decision it adopts on energy efficiency under agenda item </w:t>
            </w:r>
            <w:r w:rsidR="0063662E" w:rsidRPr="00805060">
              <w:rPr>
                <w:sz w:val="19"/>
                <w:szCs w:val="19"/>
                <w:lang w:val="en-CA"/>
              </w:rPr>
              <w:t>13(b)</w:t>
            </w:r>
          </w:p>
        </w:tc>
      </w:tr>
      <w:tr w:rsidR="00E9238E" w:rsidRPr="00E9238E" w14:paraId="243C54E4" w14:textId="77777777" w:rsidTr="00805060">
        <w:tc>
          <w:tcPr>
            <w:tcW w:w="1010" w:type="pct"/>
            <w:tcMar>
              <w:left w:w="58" w:type="dxa"/>
              <w:right w:w="58" w:type="dxa"/>
            </w:tcMar>
          </w:tcPr>
          <w:p w14:paraId="19315DBE" w14:textId="77777777" w:rsidR="00E9238E" w:rsidRPr="00D66B96" w:rsidRDefault="00E9238E" w:rsidP="000051E7">
            <w:pPr>
              <w:jc w:val="left"/>
              <w:rPr>
                <w:sz w:val="19"/>
                <w:szCs w:val="19"/>
                <w:lang w:val="en-CA"/>
              </w:rPr>
            </w:pPr>
            <w:r w:rsidRPr="00D66B96">
              <w:rPr>
                <w:sz w:val="19"/>
                <w:szCs w:val="19"/>
                <w:lang w:val="en-CA"/>
              </w:rPr>
              <w:lastRenderedPageBreak/>
              <w:t>Capacity building to address safety</w:t>
            </w:r>
          </w:p>
        </w:tc>
        <w:tc>
          <w:tcPr>
            <w:tcW w:w="323" w:type="pct"/>
            <w:tcMar>
              <w:left w:w="58" w:type="dxa"/>
              <w:right w:w="58" w:type="dxa"/>
            </w:tcMar>
          </w:tcPr>
          <w:p w14:paraId="15E5FA99" w14:textId="77777777" w:rsidR="00E9238E" w:rsidRPr="00D66B96" w:rsidRDefault="00E9238E" w:rsidP="000051E7">
            <w:pPr>
              <w:jc w:val="left"/>
              <w:rPr>
                <w:sz w:val="19"/>
                <w:szCs w:val="19"/>
                <w:lang w:val="en-CA"/>
              </w:rPr>
            </w:pPr>
            <w:r w:rsidRPr="00D66B96">
              <w:rPr>
                <w:sz w:val="19"/>
                <w:szCs w:val="19"/>
                <w:lang w:val="en-CA"/>
              </w:rPr>
              <w:t>23</w:t>
            </w:r>
          </w:p>
        </w:tc>
        <w:tc>
          <w:tcPr>
            <w:tcW w:w="1833" w:type="pct"/>
            <w:tcMar>
              <w:left w:w="58" w:type="dxa"/>
              <w:right w:w="58" w:type="dxa"/>
            </w:tcMar>
          </w:tcPr>
          <w:p w14:paraId="32CB7861" w14:textId="77777777" w:rsidR="00E9238E" w:rsidRPr="00DD1A8F" w:rsidRDefault="00E9238E" w:rsidP="000051E7">
            <w:pPr>
              <w:jc w:val="left"/>
              <w:rPr>
                <w:sz w:val="19"/>
                <w:szCs w:val="19"/>
                <w:lang w:val="en-CA"/>
              </w:rPr>
            </w:pPr>
            <w:r w:rsidRPr="00DD1A8F">
              <w:rPr>
                <w:sz w:val="19"/>
                <w:szCs w:val="19"/>
                <w:lang w:val="en-CA"/>
              </w:rPr>
              <w:t>Text included in the draft template</w:t>
            </w:r>
            <w:r w:rsidR="00DD0E2D" w:rsidRPr="00DD1A8F">
              <w:rPr>
                <w:sz w:val="19"/>
                <w:szCs w:val="19"/>
                <w:lang w:val="en-CA"/>
              </w:rPr>
              <w:t>. Details to be discussed</w:t>
            </w:r>
          </w:p>
        </w:tc>
        <w:tc>
          <w:tcPr>
            <w:tcW w:w="1833" w:type="pct"/>
            <w:shd w:val="clear" w:color="auto" w:fill="auto"/>
            <w:tcMar>
              <w:left w:w="58" w:type="dxa"/>
              <w:right w:w="58" w:type="dxa"/>
            </w:tcMar>
          </w:tcPr>
          <w:p w14:paraId="42D5EEF0" w14:textId="5D90378A" w:rsidR="00E9238E" w:rsidRPr="00805060" w:rsidRDefault="002B1062" w:rsidP="00805060">
            <w:pPr>
              <w:jc w:val="left"/>
              <w:rPr>
                <w:sz w:val="19"/>
                <w:szCs w:val="19"/>
                <w:lang w:val="en-CA"/>
              </w:rPr>
            </w:pPr>
            <w:r w:rsidRPr="00805060">
              <w:rPr>
                <w:sz w:val="19"/>
                <w:szCs w:val="19"/>
                <w:lang w:val="en-CA"/>
              </w:rPr>
              <w:t>T</w:t>
            </w:r>
            <w:r w:rsidR="00E628FC" w:rsidRPr="00805060">
              <w:rPr>
                <w:sz w:val="19"/>
                <w:szCs w:val="19"/>
                <w:lang w:val="en-CA"/>
              </w:rPr>
              <w:t>o</w:t>
            </w:r>
            <w:r w:rsidR="00FF75A9" w:rsidRPr="00805060">
              <w:rPr>
                <w:sz w:val="19"/>
                <w:szCs w:val="19"/>
                <w:lang w:val="en-CA"/>
              </w:rPr>
              <w:t xml:space="preserve"> </w:t>
            </w:r>
            <w:r w:rsidR="00F47236" w:rsidRPr="00805060">
              <w:rPr>
                <w:sz w:val="19"/>
                <w:szCs w:val="19"/>
                <w:lang w:val="en-CA"/>
              </w:rPr>
              <w:t>be discussed</w:t>
            </w:r>
            <w:r w:rsidR="001D3564" w:rsidRPr="00805060">
              <w:rPr>
                <w:sz w:val="19"/>
                <w:szCs w:val="19"/>
                <w:lang w:val="en-CA"/>
              </w:rPr>
              <w:t xml:space="preserve"> </w:t>
            </w:r>
            <w:r w:rsidR="00E628FC" w:rsidRPr="00805060">
              <w:rPr>
                <w:sz w:val="19"/>
                <w:szCs w:val="19"/>
                <w:lang w:val="en-CA"/>
              </w:rPr>
              <w:t>at the 85</w:t>
            </w:r>
            <w:r w:rsidR="00E628FC" w:rsidRPr="00805060">
              <w:rPr>
                <w:sz w:val="19"/>
                <w:szCs w:val="19"/>
                <w:vertAlign w:val="superscript"/>
                <w:lang w:val="en-CA"/>
              </w:rPr>
              <w:t>th</w:t>
            </w:r>
            <w:r w:rsidR="00E628FC" w:rsidRPr="00805060">
              <w:rPr>
                <w:sz w:val="19"/>
                <w:szCs w:val="19"/>
                <w:lang w:val="en-CA"/>
              </w:rPr>
              <w:t xml:space="preserve"> meeting </w:t>
            </w:r>
            <w:r w:rsidR="00D546AF" w:rsidRPr="00805060">
              <w:rPr>
                <w:sz w:val="19"/>
                <w:szCs w:val="19"/>
                <w:lang w:val="en-CA"/>
              </w:rPr>
              <w:t>together with the refrigeration servicing sector</w:t>
            </w:r>
            <w:r w:rsidR="00E628FC" w:rsidRPr="00805060">
              <w:rPr>
                <w:sz w:val="19"/>
                <w:szCs w:val="19"/>
                <w:lang w:val="en-CA"/>
              </w:rPr>
              <w:t xml:space="preserve"> </w:t>
            </w:r>
            <w:r w:rsidR="00D546AF" w:rsidRPr="00805060">
              <w:rPr>
                <w:sz w:val="19"/>
                <w:szCs w:val="19"/>
                <w:lang w:val="en-CA"/>
              </w:rPr>
              <w:t>based on the document submitted to the 82</w:t>
            </w:r>
            <w:r w:rsidR="00D546AF" w:rsidRPr="00805060">
              <w:rPr>
                <w:sz w:val="19"/>
                <w:szCs w:val="19"/>
                <w:vertAlign w:val="superscript"/>
                <w:lang w:val="en-CA"/>
              </w:rPr>
              <w:t>nd</w:t>
            </w:r>
            <w:r w:rsidR="00D546AF" w:rsidRPr="00805060">
              <w:rPr>
                <w:sz w:val="19"/>
                <w:szCs w:val="19"/>
                <w:lang w:val="en-CA"/>
              </w:rPr>
              <w:t xml:space="preserve"> meeting</w:t>
            </w:r>
            <w:r w:rsidR="00805060" w:rsidRPr="00805060">
              <w:rPr>
                <w:sz w:val="19"/>
                <w:szCs w:val="19"/>
                <w:vertAlign w:val="superscript"/>
                <w:lang w:val="en-CA"/>
              </w:rPr>
              <w:t>h</w:t>
            </w:r>
            <w:r w:rsidR="00D546AF" w:rsidRPr="00805060">
              <w:rPr>
                <w:sz w:val="19"/>
                <w:szCs w:val="19"/>
                <w:lang w:val="en-CA"/>
              </w:rPr>
              <w:t xml:space="preserve"> and to be submitted to the 85</w:t>
            </w:r>
            <w:r w:rsidR="00D546AF" w:rsidRPr="00805060">
              <w:rPr>
                <w:sz w:val="19"/>
                <w:szCs w:val="19"/>
                <w:vertAlign w:val="superscript"/>
                <w:lang w:val="en-CA"/>
              </w:rPr>
              <w:t>th</w:t>
            </w:r>
            <w:r w:rsidR="00D546AF" w:rsidRPr="00805060">
              <w:rPr>
                <w:sz w:val="19"/>
                <w:szCs w:val="19"/>
                <w:lang w:val="en-CA"/>
              </w:rPr>
              <w:t xml:space="preserve"> meeting</w:t>
            </w:r>
          </w:p>
        </w:tc>
      </w:tr>
      <w:tr w:rsidR="00E9238E" w:rsidRPr="00E9238E" w14:paraId="0CFB342E" w14:textId="77777777" w:rsidTr="00805060">
        <w:tc>
          <w:tcPr>
            <w:tcW w:w="1010" w:type="pct"/>
            <w:tcMar>
              <w:left w:w="58" w:type="dxa"/>
              <w:right w:w="58" w:type="dxa"/>
            </w:tcMar>
          </w:tcPr>
          <w:p w14:paraId="3991714A" w14:textId="77777777" w:rsidR="00E9238E" w:rsidRPr="00D66B96" w:rsidRDefault="00E9238E" w:rsidP="000051E7">
            <w:pPr>
              <w:jc w:val="left"/>
              <w:rPr>
                <w:sz w:val="19"/>
                <w:szCs w:val="19"/>
                <w:lang w:val="en-CA"/>
              </w:rPr>
            </w:pPr>
            <w:r w:rsidRPr="00D66B96">
              <w:rPr>
                <w:sz w:val="19"/>
                <w:szCs w:val="19"/>
                <w:lang w:val="en-CA"/>
              </w:rPr>
              <w:t>Disposal</w:t>
            </w:r>
          </w:p>
        </w:tc>
        <w:tc>
          <w:tcPr>
            <w:tcW w:w="323" w:type="pct"/>
            <w:tcMar>
              <w:left w:w="58" w:type="dxa"/>
              <w:right w:w="58" w:type="dxa"/>
            </w:tcMar>
          </w:tcPr>
          <w:p w14:paraId="1BB40225" w14:textId="77777777" w:rsidR="00E9238E" w:rsidRPr="00D66B96" w:rsidRDefault="00E9238E" w:rsidP="000051E7">
            <w:pPr>
              <w:jc w:val="left"/>
              <w:rPr>
                <w:sz w:val="19"/>
                <w:szCs w:val="19"/>
                <w:lang w:val="en-CA"/>
              </w:rPr>
            </w:pPr>
            <w:r w:rsidRPr="00D66B96">
              <w:rPr>
                <w:sz w:val="19"/>
                <w:szCs w:val="19"/>
                <w:lang w:val="en-CA"/>
              </w:rPr>
              <w:t>24</w:t>
            </w:r>
          </w:p>
        </w:tc>
        <w:tc>
          <w:tcPr>
            <w:tcW w:w="1833" w:type="pct"/>
            <w:tcMar>
              <w:left w:w="58" w:type="dxa"/>
              <w:right w:w="58" w:type="dxa"/>
            </w:tcMar>
          </w:tcPr>
          <w:p w14:paraId="63C30C3F" w14:textId="5A81D1D4" w:rsidR="00E9238E" w:rsidRPr="00D66B96" w:rsidRDefault="002B1062" w:rsidP="00805060">
            <w:pPr>
              <w:jc w:val="left"/>
              <w:rPr>
                <w:sz w:val="19"/>
                <w:szCs w:val="19"/>
                <w:lang w:val="en-CA"/>
              </w:rPr>
            </w:pPr>
            <w:r>
              <w:rPr>
                <w:sz w:val="19"/>
                <w:szCs w:val="19"/>
                <w:lang w:val="en-CA"/>
              </w:rPr>
              <w:t>Discussion</w:t>
            </w:r>
            <w:r w:rsidR="00631A8B" w:rsidRPr="00D66B96">
              <w:rPr>
                <w:sz w:val="19"/>
                <w:szCs w:val="19"/>
                <w:lang w:val="en-CA"/>
              </w:rPr>
              <w:t xml:space="preserve"> </w:t>
            </w:r>
            <w:r>
              <w:rPr>
                <w:sz w:val="19"/>
                <w:szCs w:val="19"/>
                <w:lang w:val="en-CA"/>
              </w:rPr>
              <w:t>started</w:t>
            </w:r>
            <w:r w:rsidRPr="00D66B96">
              <w:rPr>
                <w:sz w:val="19"/>
                <w:szCs w:val="19"/>
                <w:lang w:val="en-CA"/>
              </w:rPr>
              <w:t xml:space="preserve"> </w:t>
            </w:r>
            <w:r w:rsidR="00631A8B" w:rsidRPr="00D66B96">
              <w:rPr>
                <w:sz w:val="19"/>
                <w:szCs w:val="19"/>
                <w:lang w:val="en-CA"/>
              </w:rPr>
              <w:t>at the 8</w:t>
            </w:r>
            <w:r w:rsidR="00450693" w:rsidRPr="00D66B96">
              <w:rPr>
                <w:sz w:val="19"/>
                <w:szCs w:val="19"/>
                <w:lang w:val="en-CA"/>
              </w:rPr>
              <w:t>2</w:t>
            </w:r>
            <w:r w:rsidR="00450693" w:rsidRPr="00D66B96">
              <w:rPr>
                <w:sz w:val="19"/>
                <w:szCs w:val="19"/>
                <w:vertAlign w:val="superscript"/>
                <w:lang w:val="en-CA"/>
              </w:rPr>
              <w:t>nd</w:t>
            </w:r>
            <w:r w:rsidR="00FF75A9">
              <w:rPr>
                <w:sz w:val="19"/>
                <w:szCs w:val="19"/>
                <w:lang w:val="en-CA"/>
              </w:rPr>
              <w:t> </w:t>
            </w:r>
            <w:r w:rsidR="00631A8B" w:rsidRPr="00D66B96">
              <w:rPr>
                <w:sz w:val="19"/>
                <w:szCs w:val="19"/>
                <w:lang w:val="en-CA"/>
              </w:rPr>
              <w:t>meeting</w:t>
            </w:r>
            <w:r w:rsidR="00805060">
              <w:rPr>
                <w:sz w:val="19"/>
                <w:szCs w:val="19"/>
                <w:lang w:val="en-CA"/>
              </w:rPr>
              <w:t xml:space="preserve"> based </w:t>
            </w:r>
            <w:r w:rsidR="00664977">
              <w:rPr>
                <w:sz w:val="19"/>
                <w:szCs w:val="19"/>
                <w:lang w:val="en-CA"/>
              </w:rPr>
              <w:t xml:space="preserve">on the synthesis report on the ODS disposal projects </w:t>
            </w:r>
            <w:r w:rsidR="00664977" w:rsidRPr="00DD1A8F">
              <w:rPr>
                <w:sz w:val="19"/>
                <w:szCs w:val="19"/>
                <w:lang w:val="en-CA"/>
              </w:rPr>
              <w:t>in response to decision 79/18(e)</w:t>
            </w:r>
            <w:r w:rsidR="00FC4271">
              <w:rPr>
                <w:sz w:val="19"/>
                <w:szCs w:val="19"/>
                <w:vertAlign w:val="superscript"/>
                <w:lang w:val="en-CA"/>
              </w:rPr>
              <w:t>i</w:t>
            </w:r>
            <w:r w:rsidR="00664977">
              <w:rPr>
                <w:sz w:val="19"/>
                <w:szCs w:val="19"/>
                <w:lang w:val="en-CA"/>
              </w:rPr>
              <w:t>. F</w:t>
            </w:r>
            <w:r w:rsidR="00664977" w:rsidRPr="00DD1A8F">
              <w:rPr>
                <w:sz w:val="19"/>
                <w:szCs w:val="19"/>
                <w:lang w:val="en-CA"/>
              </w:rPr>
              <w:t xml:space="preserve">inal report on the evaluation of </w:t>
            </w:r>
            <w:r w:rsidR="00664977">
              <w:rPr>
                <w:sz w:val="19"/>
                <w:szCs w:val="19"/>
                <w:lang w:val="en-CA"/>
              </w:rPr>
              <w:t xml:space="preserve">ODS disposal projects will </w:t>
            </w:r>
            <w:r w:rsidR="00664977" w:rsidRPr="00DD1A8F">
              <w:rPr>
                <w:sz w:val="19"/>
                <w:szCs w:val="19"/>
                <w:lang w:val="en-CA"/>
              </w:rPr>
              <w:t xml:space="preserve">be submitted </w:t>
            </w:r>
            <w:r w:rsidR="00664977">
              <w:rPr>
                <w:sz w:val="19"/>
                <w:szCs w:val="19"/>
                <w:lang w:val="en-CA"/>
              </w:rPr>
              <w:t>to the 84</w:t>
            </w:r>
            <w:r w:rsidR="00664977" w:rsidRPr="002B1062">
              <w:rPr>
                <w:sz w:val="19"/>
                <w:szCs w:val="19"/>
                <w:vertAlign w:val="superscript"/>
                <w:lang w:val="en-CA"/>
              </w:rPr>
              <w:t>th</w:t>
            </w:r>
            <w:r w:rsidR="00664977">
              <w:rPr>
                <w:sz w:val="19"/>
                <w:szCs w:val="19"/>
                <w:lang w:val="en-CA"/>
              </w:rPr>
              <w:t> meeting</w:t>
            </w:r>
            <w:r w:rsidR="00664977" w:rsidRPr="00DD1A8F">
              <w:rPr>
                <w:sz w:val="19"/>
                <w:szCs w:val="19"/>
                <w:vertAlign w:val="superscript"/>
                <w:lang w:val="en-CA"/>
              </w:rPr>
              <w:t>j</w:t>
            </w:r>
          </w:p>
        </w:tc>
        <w:tc>
          <w:tcPr>
            <w:tcW w:w="1833" w:type="pct"/>
            <w:shd w:val="clear" w:color="auto" w:fill="auto"/>
            <w:tcMar>
              <w:left w:w="58" w:type="dxa"/>
              <w:right w:w="58" w:type="dxa"/>
            </w:tcMar>
          </w:tcPr>
          <w:p w14:paraId="4CB9BFAD" w14:textId="2124C021" w:rsidR="00E9238E" w:rsidRPr="00805060" w:rsidRDefault="00631A8B" w:rsidP="00FC4271">
            <w:pPr>
              <w:jc w:val="left"/>
              <w:rPr>
                <w:sz w:val="19"/>
                <w:szCs w:val="19"/>
                <w:lang w:val="en-CA"/>
              </w:rPr>
            </w:pPr>
            <w:r w:rsidRPr="00805060">
              <w:rPr>
                <w:sz w:val="19"/>
                <w:szCs w:val="19"/>
                <w:lang w:val="en-CA"/>
              </w:rPr>
              <w:t>To continue discussions at the 84</w:t>
            </w:r>
            <w:r w:rsidRPr="00805060">
              <w:rPr>
                <w:sz w:val="19"/>
                <w:szCs w:val="19"/>
                <w:vertAlign w:val="superscript"/>
                <w:lang w:val="en-CA"/>
              </w:rPr>
              <w:t>th</w:t>
            </w:r>
            <w:r w:rsidR="00FF75A9" w:rsidRPr="00805060">
              <w:rPr>
                <w:sz w:val="19"/>
                <w:szCs w:val="19"/>
                <w:lang w:val="en-CA"/>
              </w:rPr>
              <w:t> </w:t>
            </w:r>
            <w:r w:rsidRPr="00805060">
              <w:rPr>
                <w:sz w:val="19"/>
                <w:szCs w:val="19"/>
                <w:lang w:val="en-CA"/>
              </w:rPr>
              <w:t xml:space="preserve">meeting, in light of the </w:t>
            </w:r>
            <w:r w:rsidR="00664977" w:rsidRPr="00805060">
              <w:rPr>
                <w:sz w:val="19"/>
                <w:szCs w:val="19"/>
                <w:lang w:val="en-CA"/>
              </w:rPr>
              <w:t>document</w:t>
            </w:r>
            <w:r w:rsidR="00053330" w:rsidRPr="00805060">
              <w:rPr>
                <w:sz w:val="19"/>
                <w:szCs w:val="19"/>
                <w:lang w:val="en-CA"/>
              </w:rPr>
              <w:t>s on ODS disposal</w:t>
            </w:r>
            <w:r w:rsidRPr="00805060">
              <w:rPr>
                <w:sz w:val="19"/>
                <w:szCs w:val="19"/>
                <w:lang w:val="en-CA"/>
              </w:rPr>
              <w:t xml:space="preserve"> </w:t>
            </w:r>
            <w:r w:rsidR="002B1062" w:rsidRPr="00805060">
              <w:rPr>
                <w:sz w:val="19"/>
                <w:szCs w:val="19"/>
                <w:lang w:val="en-CA"/>
              </w:rPr>
              <w:t>submitted to the 82</w:t>
            </w:r>
            <w:r w:rsidR="002B1062" w:rsidRPr="00805060">
              <w:rPr>
                <w:sz w:val="19"/>
                <w:szCs w:val="19"/>
                <w:vertAlign w:val="superscript"/>
                <w:lang w:val="en-CA"/>
              </w:rPr>
              <w:t>nd</w:t>
            </w:r>
            <w:r w:rsidR="00FC4271" w:rsidRPr="00805060">
              <w:rPr>
                <w:sz w:val="19"/>
                <w:szCs w:val="19"/>
                <w:lang w:val="en-CA"/>
              </w:rPr>
              <w:t> </w:t>
            </w:r>
            <w:r w:rsidR="002B1062" w:rsidRPr="00805060">
              <w:rPr>
                <w:sz w:val="19"/>
                <w:szCs w:val="19"/>
                <w:lang w:val="en-CA"/>
              </w:rPr>
              <w:t xml:space="preserve">meeting </w:t>
            </w:r>
            <w:r w:rsidR="00664977" w:rsidRPr="00805060">
              <w:rPr>
                <w:sz w:val="19"/>
                <w:szCs w:val="19"/>
                <w:lang w:val="en-CA"/>
              </w:rPr>
              <w:t>and to be submitted to the 84</w:t>
            </w:r>
            <w:r w:rsidR="00664977" w:rsidRPr="00805060">
              <w:rPr>
                <w:sz w:val="19"/>
                <w:szCs w:val="19"/>
                <w:vertAlign w:val="superscript"/>
                <w:lang w:val="en-CA"/>
              </w:rPr>
              <w:t>th</w:t>
            </w:r>
            <w:r w:rsidR="00FC4271" w:rsidRPr="00805060">
              <w:rPr>
                <w:sz w:val="19"/>
                <w:szCs w:val="19"/>
                <w:lang w:val="en-CA"/>
              </w:rPr>
              <w:t> </w:t>
            </w:r>
            <w:r w:rsidR="00664977" w:rsidRPr="00805060">
              <w:rPr>
                <w:sz w:val="19"/>
                <w:szCs w:val="19"/>
                <w:lang w:val="en-CA"/>
              </w:rPr>
              <w:t>meeting.</w:t>
            </w:r>
          </w:p>
        </w:tc>
      </w:tr>
    </w:tbl>
    <w:p w14:paraId="1C0D8482" w14:textId="77777777" w:rsidR="00981E1E" w:rsidRPr="00303FDF" w:rsidRDefault="00981E1E" w:rsidP="000051E7">
      <w:pPr>
        <w:rPr>
          <w:sz w:val="18"/>
          <w:szCs w:val="18"/>
          <w:lang w:val="en-CA"/>
        </w:rPr>
      </w:pPr>
      <w:r w:rsidRPr="00303FDF">
        <w:rPr>
          <w:sz w:val="18"/>
          <w:szCs w:val="18"/>
          <w:lang w:val="en-CA"/>
        </w:rPr>
        <w:t>a. “Parties may identify other cost items to be added to the indicative list of incremental costs emanating as a result of the conversion to low</w:t>
      </w:r>
      <w:r w:rsidRPr="00303FDF">
        <w:rPr>
          <w:sz w:val="18"/>
          <w:szCs w:val="18"/>
          <w:lang w:val="en-CA"/>
        </w:rPr>
        <w:noBreakHyphen/>
        <w:t>GWP alternatives.”</w:t>
      </w:r>
    </w:p>
    <w:p w14:paraId="4DA120C1" w14:textId="10648585" w:rsidR="00981E1E" w:rsidRPr="00303FDF" w:rsidRDefault="00981E1E" w:rsidP="000051E7">
      <w:pPr>
        <w:rPr>
          <w:sz w:val="18"/>
          <w:szCs w:val="18"/>
          <w:lang w:val="en-CA"/>
        </w:rPr>
      </w:pPr>
      <w:r w:rsidRPr="00303FDF">
        <w:rPr>
          <w:sz w:val="18"/>
          <w:szCs w:val="18"/>
          <w:lang w:val="en-CA"/>
        </w:rPr>
        <w:t xml:space="preserve">b. </w:t>
      </w:r>
      <w:r w:rsidR="00D66B96" w:rsidRPr="00303FDF">
        <w:rPr>
          <w:sz w:val="18"/>
          <w:szCs w:val="18"/>
          <w:lang w:val="en-CA"/>
        </w:rPr>
        <w:t>UNEP/OzL.Pro/ExCom/82/66</w:t>
      </w:r>
      <w:r w:rsidR="00D66B96">
        <w:rPr>
          <w:sz w:val="18"/>
          <w:szCs w:val="18"/>
          <w:lang w:val="en-CA"/>
        </w:rPr>
        <w:t xml:space="preserve"> </w:t>
      </w:r>
      <w:r w:rsidRPr="00303FDF">
        <w:rPr>
          <w:sz w:val="18"/>
          <w:szCs w:val="18"/>
          <w:lang w:val="en-CA"/>
        </w:rPr>
        <w:t>on Key considerations for developing a methodology for establishing the starting point for sustained aggregate reductions for the consumption and production sectors under the Kigali Amendment</w:t>
      </w:r>
      <w:r w:rsidR="00D66B96">
        <w:rPr>
          <w:sz w:val="18"/>
          <w:szCs w:val="18"/>
          <w:lang w:val="en-CA"/>
        </w:rPr>
        <w:t>, was considered at the 82</w:t>
      </w:r>
      <w:r w:rsidR="00D66B96" w:rsidRPr="00D66B96">
        <w:rPr>
          <w:sz w:val="18"/>
          <w:szCs w:val="18"/>
          <w:vertAlign w:val="superscript"/>
          <w:lang w:val="en-CA"/>
        </w:rPr>
        <w:t>nd</w:t>
      </w:r>
      <w:r w:rsidR="00D66B96">
        <w:rPr>
          <w:sz w:val="18"/>
          <w:szCs w:val="18"/>
          <w:lang w:val="en-CA"/>
        </w:rPr>
        <w:t xml:space="preserve"> meeting</w:t>
      </w:r>
      <w:r w:rsidRPr="00303FDF">
        <w:rPr>
          <w:sz w:val="18"/>
          <w:szCs w:val="18"/>
          <w:lang w:val="en-CA"/>
        </w:rPr>
        <w:t>.</w:t>
      </w:r>
    </w:p>
    <w:p w14:paraId="3972686D" w14:textId="77777777" w:rsidR="00981E1E" w:rsidRPr="00303FDF" w:rsidRDefault="00981E1E" w:rsidP="000051E7">
      <w:pPr>
        <w:rPr>
          <w:sz w:val="18"/>
          <w:szCs w:val="18"/>
          <w:lang w:val="en-CA"/>
        </w:rPr>
      </w:pPr>
      <w:r w:rsidRPr="00303FDF">
        <w:rPr>
          <w:sz w:val="18"/>
          <w:szCs w:val="18"/>
          <w:lang w:val="en-CA"/>
        </w:rPr>
        <w:t>c. Investment projects could be approved up to the 84</w:t>
      </w:r>
      <w:r w:rsidRPr="00303FDF">
        <w:rPr>
          <w:sz w:val="18"/>
          <w:szCs w:val="18"/>
          <w:vertAlign w:val="superscript"/>
          <w:lang w:val="en-CA"/>
        </w:rPr>
        <w:t>th</w:t>
      </w:r>
      <w:r w:rsidRPr="00303FDF">
        <w:rPr>
          <w:sz w:val="18"/>
          <w:szCs w:val="18"/>
          <w:lang w:val="en-CA"/>
        </w:rPr>
        <w:t xml:space="preserve"> meeting in line with decision 81/53(b).</w:t>
      </w:r>
    </w:p>
    <w:p w14:paraId="645FEDCE" w14:textId="36F2B36C" w:rsidR="001648BF" w:rsidRDefault="00981E1E" w:rsidP="000051E7">
      <w:pPr>
        <w:rPr>
          <w:sz w:val="18"/>
          <w:szCs w:val="18"/>
          <w:lang w:val="en-CA"/>
        </w:rPr>
      </w:pPr>
      <w:r w:rsidRPr="00303FDF">
        <w:rPr>
          <w:sz w:val="18"/>
          <w:szCs w:val="18"/>
          <w:lang w:val="en-CA"/>
        </w:rPr>
        <w:t xml:space="preserve">d. </w:t>
      </w:r>
      <w:r w:rsidR="000051E7">
        <w:rPr>
          <w:sz w:val="18"/>
          <w:szCs w:val="18"/>
          <w:lang w:val="en-CA"/>
        </w:rPr>
        <w:t xml:space="preserve">Preliminary document </w:t>
      </w:r>
      <w:r w:rsidR="000051E7" w:rsidRPr="00303FDF">
        <w:rPr>
          <w:sz w:val="18"/>
          <w:szCs w:val="18"/>
          <w:lang w:val="en-CA"/>
        </w:rPr>
        <w:t>on all aspects related to the refrigeration servicing sector that support the HFC phase</w:t>
      </w:r>
      <w:r w:rsidR="000051E7" w:rsidRPr="00303FDF">
        <w:rPr>
          <w:sz w:val="18"/>
          <w:szCs w:val="18"/>
          <w:lang w:val="en-CA"/>
        </w:rPr>
        <w:noBreakHyphen/>
        <w:t>down</w:t>
      </w:r>
      <w:r w:rsidR="000051E7" w:rsidRPr="00487C90">
        <w:rPr>
          <w:sz w:val="18"/>
          <w:szCs w:val="18"/>
          <w:lang w:val="en-CA"/>
        </w:rPr>
        <w:t xml:space="preserve"> </w:t>
      </w:r>
      <w:r w:rsidR="000051E7">
        <w:rPr>
          <w:sz w:val="18"/>
          <w:szCs w:val="18"/>
          <w:lang w:val="en-CA"/>
        </w:rPr>
        <w:t>was considered at the 82</w:t>
      </w:r>
      <w:r w:rsidR="000051E7" w:rsidRPr="00487C90">
        <w:rPr>
          <w:sz w:val="18"/>
          <w:szCs w:val="18"/>
          <w:vertAlign w:val="superscript"/>
          <w:lang w:val="en-CA"/>
        </w:rPr>
        <w:t>nd</w:t>
      </w:r>
      <w:r w:rsidR="000051E7">
        <w:rPr>
          <w:sz w:val="18"/>
          <w:szCs w:val="18"/>
          <w:lang w:val="en-CA"/>
        </w:rPr>
        <w:t xml:space="preserve"> meeting (</w:t>
      </w:r>
      <w:r w:rsidR="000051E7" w:rsidRPr="00303FDF">
        <w:rPr>
          <w:sz w:val="18"/>
          <w:szCs w:val="18"/>
          <w:lang w:val="en-CA"/>
        </w:rPr>
        <w:t>UNEP/OzL.Pro/ExCom/82/64</w:t>
      </w:r>
      <w:r w:rsidR="000051E7">
        <w:rPr>
          <w:sz w:val="18"/>
          <w:szCs w:val="18"/>
          <w:lang w:val="en-CA"/>
        </w:rPr>
        <w:t>)</w:t>
      </w:r>
      <w:r w:rsidR="000051E7" w:rsidRPr="00E20D7D">
        <w:rPr>
          <w:sz w:val="18"/>
          <w:szCs w:val="18"/>
          <w:lang w:val="en-CA"/>
        </w:rPr>
        <w:t xml:space="preserve">. </w:t>
      </w:r>
      <w:r w:rsidR="00487C90" w:rsidRPr="00E20D7D">
        <w:rPr>
          <w:sz w:val="18"/>
          <w:szCs w:val="18"/>
          <w:lang w:val="en-CA"/>
        </w:rPr>
        <w:t>The Secretariat was requested to prepare a document for the 85</w:t>
      </w:r>
      <w:r w:rsidR="00487C90" w:rsidRPr="00E20D7D">
        <w:rPr>
          <w:sz w:val="18"/>
          <w:szCs w:val="18"/>
          <w:vertAlign w:val="superscript"/>
          <w:lang w:val="en-CA"/>
        </w:rPr>
        <w:t>th</w:t>
      </w:r>
      <w:r w:rsidR="00487C90" w:rsidRPr="00E20D7D">
        <w:rPr>
          <w:sz w:val="18"/>
          <w:szCs w:val="18"/>
          <w:lang w:val="en-CA"/>
        </w:rPr>
        <w:t xml:space="preserve"> meeting providing an analysis on the level and modalities of funding for the HFC phase-down for the sector (decision 83/65(b)).</w:t>
      </w:r>
      <w:r w:rsidR="00487C90">
        <w:rPr>
          <w:sz w:val="18"/>
          <w:szCs w:val="18"/>
          <w:lang w:val="en-CA"/>
        </w:rPr>
        <w:t xml:space="preserve"> </w:t>
      </w:r>
    </w:p>
    <w:p w14:paraId="720B63D7" w14:textId="26F747C0" w:rsidR="00981E1E" w:rsidRPr="00911A5F" w:rsidRDefault="00981E1E" w:rsidP="000051E7">
      <w:pPr>
        <w:rPr>
          <w:sz w:val="18"/>
          <w:szCs w:val="18"/>
          <w:lang w:val="en-CA"/>
        </w:rPr>
      </w:pPr>
      <w:r w:rsidRPr="00303FDF">
        <w:rPr>
          <w:sz w:val="18"/>
          <w:szCs w:val="18"/>
          <w:lang w:val="en-CA"/>
        </w:rPr>
        <w:t>e. UNEP/OzL.Pro/ExCom/83</w:t>
      </w:r>
      <w:r w:rsidRPr="00E20D7D">
        <w:rPr>
          <w:sz w:val="18"/>
          <w:szCs w:val="18"/>
          <w:lang w:val="en-CA"/>
        </w:rPr>
        <w:t>/40</w:t>
      </w:r>
      <w:r w:rsidR="00360A3E" w:rsidRPr="00E20D7D">
        <w:rPr>
          <w:sz w:val="18"/>
          <w:szCs w:val="18"/>
          <w:lang w:val="en-CA"/>
        </w:rPr>
        <w:t xml:space="preserve"> and UNEP/OzL.Pro/ExCom</w:t>
      </w:r>
      <w:r w:rsidR="00360A3E" w:rsidRPr="00911A5F">
        <w:rPr>
          <w:sz w:val="18"/>
          <w:szCs w:val="18"/>
          <w:lang w:val="en-CA"/>
        </w:rPr>
        <w:t>/84/</w:t>
      </w:r>
      <w:r w:rsidR="00960520" w:rsidRPr="00911A5F">
        <w:rPr>
          <w:sz w:val="18"/>
          <w:szCs w:val="18"/>
          <w:lang w:val="en-CA"/>
        </w:rPr>
        <w:t>67</w:t>
      </w:r>
    </w:p>
    <w:p w14:paraId="3A023035" w14:textId="785C5F39" w:rsidR="00360A3E" w:rsidRPr="00911A5F" w:rsidRDefault="00981E1E" w:rsidP="000051E7">
      <w:pPr>
        <w:rPr>
          <w:sz w:val="18"/>
          <w:szCs w:val="18"/>
          <w:lang w:val="en-CA"/>
        </w:rPr>
      </w:pPr>
      <w:r w:rsidRPr="00911A5F">
        <w:rPr>
          <w:sz w:val="18"/>
          <w:szCs w:val="18"/>
          <w:lang w:val="en-CA"/>
        </w:rPr>
        <w:t>f. UNEP/OzL.Pro/ExCom/83/41</w:t>
      </w:r>
      <w:r w:rsidR="00360A3E" w:rsidRPr="00911A5F">
        <w:rPr>
          <w:sz w:val="18"/>
          <w:szCs w:val="18"/>
          <w:lang w:val="en-CA"/>
        </w:rPr>
        <w:t xml:space="preserve"> and UNEP/OzL.Pro/ExCom/84/</w:t>
      </w:r>
      <w:r w:rsidR="00960520" w:rsidRPr="00911A5F">
        <w:rPr>
          <w:sz w:val="18"/>
          <w:szCs w:val="18"/>
          <w:lang w:val="en-CA"/>
        </w:rPr>
        <w:t>68</w:t>
      </w:r>
    </w:p>
    <w:p w14:paraId="010039E6" w14:textId="471E29C3" w:rsidR="00360A3E" w:rsidRPr="00E20D7D" w:rsidRDefault="00981E1E" w:rsidP="000051E7">
      <w:pPr>
        <w:rPr>
          <w:sz w:val="18"/>
          <w:szCs w:val="18"/>
          <w:lang w:val="en-CA"/>
        </w:rPr>
      </w:pPr>
      <w:r w:rsidRPr="00911A5F">
        <w:rPr>
          <w:sz w:val="18"/>
          <w:szCs w:val="18"/>
          <w:lang w:val="en-CA"/>
        </w:rPr>
        <w:t>g. UNEP/OzL.Pro/ExCom/83/42</w:t>
      </w:r>
      <w:r w:rsidR="00360A3E" w:rsidRPr="00911A5F">
        <w:rPr>
          <w:sz w:val="18"/>
          <w:szCs w:val="18"/>
          <w:lang w:val="en-CA"/>
        </w:rPr>
        <w:t xml:space="preserve"> and UNEP/OzL.Pro/ExCom/84/</w:t>
      </w:r>
      <w:r w:rsidR="00960520" w:rsidRPr="00911A5F">
        <w:rPr>
          <w:sz w:val="18"/>
          <w:szCs w:val="18"/>
          <w:lang w:val="en-CA"/>
        </w:rPr>
        <w:t>69</w:t>
      </w:r>
    </w:p>
    <w:p w14:paraId="00B9DB77" w14:textId="3393CD56" w:rsidR="00981E1E" w:rsidRPr="00E20D7D" w:rsidRDefault="00981E1E" w:rsidP="000051E7">
      <w:pPr>
        <w:rPr>
          <w:sz w:val="18"/>
          <w:szCs w:val="18"/>
          <w:lang w:val="en-CA"/>
        </w:rPr>
      </w:pPr>
      <w:r w:rsidRPr="00E20D7D">
        <w:rPr>
          <w:sz w:val="18"/>
          <w:szCs w:val="18"/>
          <w:lang w:val="en-CA"/>
        </w:rPr>
        <w:t>h. UNEP/OzL.Pro/ExCom/82/64</w:t>
      </w:r>
    </w:p>
    <w:p w14:paraId="75250C77" w14:textId="25AED330" w:rsidR="00981E1E" w:rsidRPr="00E20D7D" w:rsidRDefault="00981E1E" w:rsidP="000051E7">
      <w:pPr>
        <w:jc w:val="left"/>
        <w:rPr>
          <w:sz w:val="18"/>
          <w:szCs w:val="18"/>
          <w:lang w:val="en-CA"/>
        </w:rPr>
      </w:pPr>
      <w:r w:rsidRPr="00E20D7D">
        <w:rPr>
          <w:sz w:val="18"/>
          <w:szCs w:val="18"/>
          <w:lang w:val="en-CA"/>
        </w:rPr>
        <w:t>i. UNEP/OzL.Pro/ExCom/82/21</w:t>
      </w:r>
      <w:r w:rsidR="00631A8B" w:rsidRPr="00E20D7D">
        <w:rPr>
          <w:sz w:val="18"/>
          <w:szCs w:val="18"/>
          <w:lang w:val="en-CA"/>
        </w:rPr>
        <w:t xml:space="preserve"> requested by decision 81/67(d)</w:t>
      </w:r>
      <w:r w:rsidR="00D546AF">
        <w:rPr>
          <w:sz w:val="18"/>
          <w:szCs w:val="18"/>
          <w:lang w:val="en-CA"/>
        </w:rPr>
        <w:t>.</w:t>
      </w:r>
    </w:p>
    <w:p w14:paraId="295C2B53" w14:textId="7206633F" w:rsidR="00360A3E" w:rsidRPr="00E20D7D" w:rsidRDefault="00360A3E" w:rsidP="000051E7">
      <w:pPr>
        <w:jc w:val="left"/>
        <w:rPr>
          <w:sz w:val="18"/>
          <w:szCs w:val="18"/>
          <w:lang w:val="en-CA"/>
        </w:rPr>
      </w:pPr>
      <w:r w:rsidRPr="00E20D7D">
        <w:rPr>
          <w:sz w:val="18"/>
          <w:szCs w:val="18"/>
          <w:lang w:val="en-CA"/>
        </w:rPr>
        <w:t>j. UNEP/OzL.Pro/</w:t>
      </w:r>
      <w:r w:rsidRPr="00911A5F">
        <w:rPr>
          <w:sz w:val="18"/>
          <w:szCs w:val="18"/>
          <w:lang w:val="en-CA"/>
        </w:rPr>
        <w:t>ExCom/84/</w:t>
      </w:r>
      <w:r w:rsidR="00960520" w:rsidRPr="00911A5F">
        <w:rPr>
          <w:sz w:val="18"/>
          <w:szCs w:val="18"/>
          <w:lang w:val="en-CA"/>
        </w:rPr>
        <w:t>11</w:t>
      </w:r>
      <w:r w:rsidR="00631A8B" w:rsidRPr="00911A5F">
        <w:rPr>
          <w:sz w:val="18"/>
          <w:szCs w:val="18"/>
          <w:lang w:val="en-CA"/>
        </w:rPr>
        <w:t xml:space="preserve"> requested</w:t>
      </w:r>
      <w:r w:rsidR="00631A8B" w:rsidRPr="00E20D7D">
        <w:rPr>
          <w:sz w:val="18"/>
          <w:szCs w:val="18"/>
          <w:lang w:val="en-CA"/>
        </w:rPr>
        <w:t xml:space="preserve"> by decision 83/65(c)</w:t>
      </w:r>
      <w:r w:rsidR="00D546AF">
        <w:rPr>
          <w:sz w:val="18"/>
          <w:szCs w:val="18"/>
          <w:lang w:val="en-CA"/>
        </w:rPr>
        <w:t>.</w:t>
      </w:r>
    </w:p>
    <w:p w14:paraId="4FF6E4A5" w14:textId="5A965323" w:rsidR="00981E1E" w:rsidRDefault="00981E1E" w:rsidP="000051E7">
      <w:pPr>
        <w:jc w:val="left"/>
        <w:rPr>
          <w:sz w:val="18"/>
          <w:szCs w:val="18"/>
          <w:lang w:val="en-CA"/>
        </w:rPr>
      </w:pPr>
    </w:p>
    <w:p w14:paraId="580A0C5F" w14:textId="04792227" w:rsidR="00C007A0" w:rsidRPr="00911A5F" w:rsidRDefault="00C007A0" w:rsidP="00761703">
      <w:pPr>
        <w:pStyle w:val="Heading1"/>
        <w:rPr>
          <w:lang w:val="en-CA"/>
        </w:rPr>
      </w:pPr>
      <w:r w:rsidRPr="00911A5F">
        <w:rPr>
          <w:lang w:val="en-CA"/>
        </w:rPr>
        <w:t>The Executive Committee may wish to note that at their Thirty-First Meeting, the Parties</w:t>
      </w:r>
      <w:r w:rsidR="00E628FC" w:rsidRPr="00911A5F">
        <w:rPr>
          <w:lang w:val="en-CA"/>
        </w:rPr>
        <w:t xml:space="preserve"> to the Montreal Protocol agreed on the terms of reference for the study on the 2021-2023 replenishment of the Multilateral Fund for the implementation of the Montreal Protocol.</w:t>
      </w:r>
      <w:r w:rsidR="00825976" w:rsidRPr="00911A5F">
        <w:rPr>
          <w:rStyle w:val="FootnoteReference"/>
          <w:lang w:val="en-CA"/>
        </w:rPr>
        <w:footnoteReference w:id="4"/>
      </w:r>
      <w:r w:rsidR="00E628FC" w:rsidRPr="00911A5F">
        <w:rPr>
          <w:lang w:val="en-CA"/>
        </w:rPr>
        <w:t xml:space="preserve"> The Parties </w:t>
      </w:r>
      <w:r w:rsidRPr="00911A5F">
        <w:rPr>
          <w:lang w:val="en-CA"/>
        </w:rPr>
        <w:t>request</w:t>
      </w:r>
      <w:r w:rsidR="00E628FC" w:rsidRPr="00911A5F">
        <w:rPr>
          <w:lang w:val="en-CA"/>
        </w:rPr>
        <w:t xml:space="preserve">ed </w:t>
      </w:r>
      <w:r w:rsidRPr="00911A5F">
        <w:rPr>
          <w:lang w:val="en-CA"/>
        </w:rPr>
        <w:t xml:space="preserve">the </w:t>
      </w:r>
      <w:r w:rsidR="00B97150" w:rsidRPr="00911A5F">
        <w:rPr>
          <w:lang w:val="en-CA"/>
        </w:rPr>
        <w:t>TEAP</w:t>
      </w:r>
      <w:r w:rsidRPr="00911A5F">
        <w:rPr>
          <w:lang w:val="en-CA"/>
        </w:rPr>
        <w:t xml:space="preserve"> to prepare a report </w:t>
      </w:r>
      <w:r w:rsidR="00E628FC" w:rsidRPr="00911A5F">
        <w:rPr>
          <w:lang w:val="en-CA"/>
        </w:rPr>
        <w:t xml:space="preserve">for submission to the </w:t>
      </w:r>
      <w:r w:rsidR="009618A4" w:rsidRPr="00911A5F">
        <w:rPr>
          <w:lang w:val="en-CA"/>
        </w:rPr>
        <w:t>Forty-Second M</w:t>
      </w:r>
      <w:r w:rsidR="00761703" w:rsidRPr="00911A5F">
        <w:rPr>
          <w:lang w:val="en-CA"/>
        </w:rPr>
        <w:t xml:space="preserve">eeting of the Open-Ended Working Group to enable the </w:t>
      </w:r>
      <w:r w:rsidRPr="00911A5F">
        <w:rPr>
          <w:lang w:val="en-CA"/>
        </w:rPr>
        <w:t>Thirty-Second Meeting of the Parties to adopt a decision on the appropriate level of the 2021–2023 replenishment of the Multilateral Fund</w:t>
      </w:r>
      <w:r w:rsidR="00B97150" w:rsidRPr="00911A5F">
        <w:rPr>
          <w:lang w:val="en-CA"/>
        </w:rPr>
        <w:t>. I</w:t>
      </w:r>
      <w:r w:rsidRPr="00911A5F">
        <w:rPr>
          <w:lang w:val="en-CA"/>
        </w:rPr>
        <w:t xml:space="preserve">n </w:t>
      </w:r>
      <w:r w:rsidR="00825976" w:rsidRPr="00911A5F">
        <w:rPr>
          <w:lang w:val="en-CA"/>
        </w:rPr>
        <w:t xml:space="preserve">preparing the report, the TEAP </w:t>
      </w:r>
      <w:r w:rsidRPr="00911A5F">
        <w:rPr>
          <w:lang w:val="en-CA"/>
        </w:rPr>
        <w:t>should</w:t>
      </w:r>
      <w:r w:rsidR="00825976" w:rsidRPr="00911A5F">
        <w:rPr>
          <w:lang w:val="en-CA"/>
        </w:rPr>
        <w:t xml:space="preserve"> take into account, among others</w:t>
      </w:r>
      <w:r w:rsidRPr="00911A5F">
        <w:rPr>
          <w:lang w:val="en-CA"/>
        </w:rPr>
        <w:t>: the decisions, rules and guidelines agreed by the Executive Committee at its meetings, up to and including its 85</w:t>
      </w:r>
      <w:r w:rsidRPr="00911A5F">
        <w:rPr>
          <w:vertAlign w:val="superscript"/>
          <w:lang w:val="en-CA"/>
        </w:rPr>
        <w:t>th</w:t>
      </w:r>
      <w:r w:rsidRPr="00911A5F">
        <w:rPr>
          <w:lang w:val="en-CA"/>
        </w:rPr>
        <w:t xml:space="preserve"> meeting</w:t>
      </w:r>
      <w:r w:rsidR="0053185B" w:rsidRPr="00911A5F">
        <w:rPr>
          <w:lang w:val="en-CA"/>
        </w:rPr>
        <w:t xml:space="preserve">; </w:t>
      </w:r>
      <w:r w:rsidR="00B97150" w:rsidRPr="00911A5F">
        <w:t xml:space="preserve">the cost </w:t>
      </w:r>
      <w:r w:rsidR="00B97150" w:rsidRPr="00911A5F">
        <w:rPr>
          <w:lang w:val="en-CA"/>
        </w:rPr>
        <w:t xml:space="preserve">of supporting a limited number of stand-alone projects transitioning out of HFCs in accordance </w:t>
      </w:r>
      <w:r w:rsidR="00665B50" w:rsidRPr="00911A5F">
        <w:rPr>
          <w:lang w:val="en-CA"/>
        </w:rPr>
        <w:t>with</w:t>
      </w:r>
      <w:r w:rsidR="00B97150" w:rsidRPr="00911A5F">
        <w:rPr>
          <w:lang w:val="en-CA"/>
        </w:rPr>
        <w:t xml:space="preserve"> paragraph 4 of decision XXX/5</w:t>
      </w:r>
      <w:r w:rsidR="00825976" w:rsidRPr="00911A5F">
        <w:rPr>
          <w:lang w:val="en-CA"/>
        </w:rPr>
        <w:t>;</w:t>
      </w:r>
      <w:r w:rsidR="004A0B4A" w:rsidRPr="00911A5F">
        <w:rPr>
          <w:rStyle w:val="FootnoteReference"/>
          <w:lang w:val="en-CA"/>
        </w:rPr>
        <w:footnoteReference w:id="5"/>
      </w:r>
      <w:r w:rsidR="00B97150" w:rsidRPr="00911A5F">
        <w:rPr>
          <w:lang w:val="en-CA"/>
        </w:rPr>
        <w:t xml:space="preserve"> and </w:t>
      </w:r>
      <w:r w:rsidR="0053185B" w:rsidRPr="00911A5F">
        <w:rPr>
          <w:lang w:val="en-CA"/>
        </w:rPr>
        <w:t>t</w:t>
      </w:r>
      <w:r w:rsidRPr="00911A5F">
        <w:rPr>
          <w:lang w:val="en-CA"/>
        </w:rPr>
        <w:t>he need to allocate resources for Article</w:t>
      </w:r>
      <w:r w:rsidR="00665B50" w:rsidRPr="00911A5F">
        <w:rPr>
          <w:lang w:val="en-CA"/>
        </w:rPr>
        <w:t> </w:t>
      </w:r>
      <w:r w:rsidRPr="00911A5F">
        <w:rPr>
          <w:lang w:val="en-CA"/>
        </w:rPr>
        <w:t>5 parties to comply with the Kigali Amendment, including the preparation and, if needed, the implementation of phase-down plans for HFCs that could include early activities in</w:t>
      </w:r>
      <w:r w:rsidR="00825976" w:rsidRPr="00911A5F">
        <w:rPr>
          <w:lang w:val="en-CA"/>
        </w:rPr>
        <w:t xml:space="preserve"> the servicing/end</w:t>
      </w:r>
      <w:r w:rsidR="00665B50" w:rsidRPr="00911A5F">
        <w:rPr>
          <w:lang w:val="en-CA"/>
        </w:rPr>
        <w:noBreakHyphen/>
      </w:r>
      <w:r w:rsidR="00825976" w:rsidRPr="00911A5F">
        <w:rPr>
          <w:lang w:val="en-CA"/>
        </w:rPr>
        <w:t>users sector</w:t>
      </w:r>
      <w:r w:rsidR="00761703" w:rsidRPr="00911A5F">
        <w:rPr>
          <w:lang w:val="en-CA"/>
        </w:rPr>
        <w:t xml:space="preserve"> in order to comply with the Kigali Amendment by addressing the high growth rate in HFC consumption</w:t>
      </w:r>
      <w:r w:rsidR="00B97150" w:rsidRPr="00911A5F">
        <w:rPr>
          <w:lang w:val="en-CA"/>
        </w:rPr>
        <w:t xml:space="preserve">. Consequently, progress </w:t>
      </w:r>
      <w:r w:rsidR="00825976" w:rsidRPr="00911A5F">
        <w:rPr>
          <w:lang w:val="en-CA"/>
        </w:rPr>
        <w:t xml:space="preserve">on the development of the cost guidelines for the phase-down of HFCs that would be </w:t>
      </w:r>
      <w:r w:rsidR="00BB29B0" w:rsidRPr="00911A5F">
        <w:rPr>
          <w:lang w:val="en-CA"/>
        </w:rPr>
        <w:t xml:space="preserve">achieved </w:t>
      </w:r>
      <w:r w:rsidR="00825976" w:rsidRPr="00911A5F">
        <w:rPr>
          <w:lang w:val="en-CA"/>
        </w:rPr>
        <w:t xml:space="preserve">at </w:t>
      </w:r>
      <w:r w:rsidR="00BB29B0" w:rsidRPr="00911A5F">
        <w:rPr>
          <w:lang w:val="en-CA"/>
        </w:rPr>
        <w:t>the 84</w:t>
      </w:r>
      <w:r w:rsidR="00BB29B0" w:rsidRPr="00911A5F">
        <w:rPr>
          <w:vertAlign w:val="superscript"/>
          <w:lang w:val="en-CA"/>
        </w:rPr>
        <w:t>th</w:t>
      </w:r>
      <w:r w:rsidR="00BB29B0" w:rsidRPr="00911A5F">
        <w:rPr>
          <w:lang w:val="en-CA"/>
        </w:rPr>
        <w:t xml:space="preserve"> and 85</w:t>
      </w:r>
      <w:r w:rsidR="00BB29B0" w:rsidRPr="00911A5F">
        <w:rPr>
          <w:vertAlign w:val="superscript"/>
          <w:lang w:val="en-CA"/>
        </w:rPr>
        <w:t>th</w:t>
      </w:r>
      <w:r w:rsidR="00BB29B0" w:rsidRPr="00911A5F">
        <w:rPr>
          <w:lang w:val="en-CA"/>
        </w:rPr>
        <w:t xml:space="preserve"> meetings </w:t>
      </w:r>
      <w:r w:rsidR="00825976" w:rsidRPr="00911A5F">
        <w:rPr>
          <w:lang w:val="en-CA"/>
        </w:rPr>
        <w:t xml:space="preserve">would be considered by the </w:t>
      </w:r>
      <w:r w:rsidR="00B97150" w:rsidRPr="00911A5F">
        <w:rPr>
          <w:lang w:val="en-CA"/>
        </w:rPr>
        <w:t>TEAP.</w:t>
      </w:r>
    </w:p>
    <w:p w14:paraId="384304A5" w14:textId="77777777" w:rsidR="00981E1E" w:rsidRPr="0089434D" w:rsidRDefault="00981E1E" w:rsidP="000051E7">
      <w:pPr>
        <w:keepNext/>
        <w:keepLines/>
        <w:tabs>
          <w:tab w:val="left" w:pos="8280"/>
        </w:tabs>
        <w:rPr>
          <w:b/>
          <w:lang w:val="en-CA"/>
        </w:rPr>
      </w:pPr>
      <w:r w:rsidRPr="0089434D">
        <w:rPr>
          <w:b/>
          <w:lang w:val="en-CA"/>
        </w:rPr>
        <w:lastRenderedPageBreak/>
        <w:t xml:space="preserve">Outstanding issues on the cost guidelines for the phase-down of HFCs </w:t>
      </w:r>
    </w:p>
    <w:p w14:paraId="7E160CCC" w14:textId="77777777" w:rsidR="00981E1E" w:rsidRPr="00CF1E89" w:rsidRDefault="00981E1E" w:rsidP="00911A5F">
      <w:pPr>
        <w:tabs>
          <w:tab w:val="left" w:pos="8280"/>
        </w:tabs>
        <w:rPr>
          <w:highlight w:val="yellow"/>
          <w:lang w:val="en-CA"/>
        </w:rPr>
      </w:pPr>
    </w:p>
    <w:p w14:paraId="0EAB2B84" w14:textId="51016E74" w:rsidR="00F46EF1" w:rsidRPr="001028DE" w:rsidRDefault="00F46EF1" w:rsidP="00911A5F">
      <w:pPr>
        <w:pStyle w:val="Heading1"/>
        <w:rPr>
          <w:lang w:val="en-CA"/>
        </w:rPr>
      </w:pPr>
      <w:r>
        <w:rPr>
          <w:lang w:val="en-CA"/>
        </w:rPr>
        <w:t>A summary of the progress so far achieved on outstanding elements of the cost guidelines and suggestions on how to continue discussions at the 84</w:t>
      </w:r>
      <w:r w:rsidRPr="001028DE">
        <w:rPr>
          <w:vertAlign w:val="superscript"/>
          <w:lang w:val="en-CA"/>
        </w:rPr>
        <w:t>th</w:t>
      </w:r>
      <w:r>
        <w:rPr>
          <w:lang w:val="en-CA"/>
        </w:rPr>
        <w:t xml:space="preserve"> meeting, are presented below.</w:t>
      </w:r>
    </w:p>
    <w:p w14:paraId="2EF5ECAA" w14:textId="0557248C" w:rsidR="00981E1E" w:rsidRPr="0089434D" w:rsidRDefault="00981E1E" w:rsidP="00911A5F">
      <w:pPr>
        <w:tabs>
          <w:tab w:val="left" w:pos="8280"/>
        </w:tabs>
        <w:rPr>
          <w:u w:val="single"/>
          <w:lang w:val="en-CA"/>
        </w:rPr>
      </w:pPr>
      <w:r w:rsidRPr="0089434D">
        <w:rPr>
          <w:u w:val="single"/>
          <w:lang w:val="en-CA"/>
        </w:rPr>
        <w:t xml:space="preserve">Methodology for determining the starting point for </w:t>
      </w:r>
      <w:r w:rsidR="00CC26FF">
        <w:rPr>
          <w:u w:val="single"/>
          <w:lang w:val="en-CA"/>
        </w:rPr>
        <w:t xml:space="preserve">sustained </w:t>
      </w:r>
      <w:r w:rsidRPr="0089434D">
        <w:rPr>
          <w:u w:val="single"/>
          <w:lang w:val="en-CA"/>
        </w:rPr>
        <w:t>aggregate reductions</w:t>
      </w:r>
    </w:p>
    <w:p w14:paraId="2B8507A8" w14:textId="77777777" w:rsidR="00981E1E" w:rsidRPr="0089434D" w:rsidRDefault="00981E1E" w:rsidP="00911A5F">
      <w:pPr>
        <w:tabs>
          <w:tab w:val="left" w:pos="8280"/>
        </w:tabs>
        <w:rPr>
          <w:lang w:val="en-CA"/>
        </w:rPr>
      </w:pPr>
    </w:p>
    <w:p w14:paraId="29837FF7" w14:textId="627007A5" w:rsidR="00981E1E" w:rsidRPr="0089434D" w:rsidRDefault="00981E1E" w:rsidP="00911A5F">
      <w:pPr>
        <w:pStyle w:val="Heading1"/>
        <w:rPr>
          <w:lang w:val="en-CA"/>
        </w:rPr>
      </w:pPr>
      <w:r w:rsidRPr="0089434D">
        <w:rPr>
          <w:lang w:val="en-CA"/>
        </w:rPr>
        <w:t>At the 81</w:t>
      </w:r>
      <w:r w:rsidRPr="0089434D">
        <w:rPr>
          <w:vertAlign w:val="superscript"/>
          <w:lang w:val="en-CA"/>
        </w:rPr>
        <w:t>st</w:t>
      </w:r>
      <w:r w:rsidRPr="0089434D">
        <w:rPr>
          <w:lang w:val="en-CA"/>
        </w:rPr>
        <w:t xml:space="preserve"> meeting, issues related to the starting point for </w:t>
      </w:r>
      <w:r w:rsidR="00CC26FF">
        <w:rPr>
          <w:lang w:val="en-CA"/>
        </w:rPr>
        <w:t xml:space="preserve">sustained </w:t>
      </w:r>
      <w:r w:rsidRPr="0089434D">
        <w:rPr>
          <w:lang w:val="en-CA"/>
        </w:rPr>
        <w:t>aggregate reduction in consumption and production were discussed in the contact group on the cost guidelines. Some members suggested that the HFC starting point be determined by the “HFC component” of the baseline, while others suggested the HFC baseline established by the parties under the Kigali Amendment (i.e., the “HFC component” plus the “HCFC component”).</w:t>
      </w:r>
      <w:r w:rsidR="001028DE">
        <w:rPr>
          <w:rStyle w:val="FootnoteReference"/>
          <w:lang w:val="en-CA"/>
        </w:rPr>
        <w:footnoteReference w:id="6"/>
      </w:r>
      <w:r w:rsidRPr="0089434D">
        <w:rPr>
          <w:lang w:val="en-CA"/>
        </w:rPr>
        <w:t xml:space="preserve"> Subsequently, the Secretariat was requested to prepare a preliminary information document containing key considerations that could assist the Committee in developing a methodology for establishing the starting point for sustained aggregate reductions, taking into account the discussions that had taken place at the meeting (decision 81/67(e)). </w:t>
      </w:r>
    </w:p>
    <w:p w14:paraId="34D0E898" w14:textId="23A082C9" w:rsidR="00981E1E" w:rsidRPr="0089434D" w:rsidRDefault="00981E1E" w:rsidP="000051E7">
      <w:pPr>
        <w:pStyle w:val="Heading1"/>
        <w:rPr>
          <w:lang w:val="en-CA"/>
        </w:rPr>
      </w:pPr>
      <w:r w:rsidRPr="0089434D">
        <w:rPr>
          <w:lang w:val="en-CA"/>
        </w:rPr>
        <w:t>In response to decision 81/67(e), the Secretariat submitted to the 82</w:t>
      </w:r>
      <w:r w:rsidRPr="0089434D">
        <w:rPr>
          <w:vertAlign w:val="superscript"/>
          <w:lang w:val="en-CA"/>
        </w:rPr>
        <w:t>nd</w:t>
      </w:r>
      <w:r w:rsidRPr="0089434D">
        <w:rPr>
          <w:lang w:val="en-CA"/>
        </w:rPr>
        <w:t xml:space="preserve"> meeting document UNEP/OzL.Pro/ExCom/82/66. Based on the document, the Executive Committee discussed </w:t>
      </w:r>
      <w:r w:rsidRPr="0089434D">
        <w:rPr>
          <w:i/>
          <w:lang w:val="en-CA"/>
        </w:rPr>
        <w:t xml:space="preserve">inter alia </w:t>
      </w:r>
      <w:r w:rsidRPr="0089434D">
        <w:rPr>
          <w:lang w:val="en-CA"/>
        </w:rPr>
        <w:t>the units to be used to measure the reductions and the methodology for setting the starting point. Some members proposed to use metric tonnes (mt), as that unit of measurement reflected the actual production of the converted plants. Other members proposed CO</w:t>
      </w:r>
      <w:r w:rsidRPr="0089434D">
        <w:rPr>
          <w:vertAlign w:val="subscript"/>
          <w:lang w:val="en-CA"/>
        </w:rPr>
        <w:t>2</w:t>
      </w:r>
      <w:r w:rsidRPr="0089434D">
        <w:rPr>
          <w:lang w:val="en-CA"/>
        </w:rPr>
        <w:t xml:space="preserve">-equivalent tonnes in order to measure the environmental impact of the conversions. Some other members suggested using both units of measurement at first and making a definitive decision about which to use once the pros and cons of each approach had been ascertained. </w:t>
      </w:r>
      <w:r w:rsidR="0008286A">
        <w:rPr>
          <w:lang w:val="en-CA"/>
        </w:rPr>
        <w:t>Members</w:t>
      </w:r>
      <w:r w:rsidRPr="0089434D">
        <w:rPr>
          <w:lang w:val="en-CA"/>
        </w:rPr>
        <w:t xml:space="preserve"> also made suggestions on: including pre-blended polyols in the starting point, on the understanding that such consumption would be monitored and controlled by Article 5 countries; and excluding the phase-down tail (20 per cent for Article 5 group 1 countries and 15 per</w:t>
      </w:r>
      <w:r w:rsidR="00FD697C">
        <w:rPr>
          <w:lang w:val="en-CA"/>
        </w:rPr>
        <w:t> </w:t>
      </w:r>
      <w:r w:rsidRPr="0089434D">
        <w:rPr>
          <w:lang w:val="en-CA"/>
        </w:rPr>
        <w:t xml:space="preserve">cent for Article 5 group 2 countries) from the starting point because the reduction of that part of the total tonnage was not mandated by the Montreal Protocol. </w:t>
      </w:r>
    </w:p>
    <w:p w14:paraId="0A6D3E7A" w14:textId="2A8D6A8D" w:rsidR="00B325C9" w:rsidRPr="00683E81" w:rsidRDefault="00683E81" w:rsidP="000051E7">
      <w:pPr>
        <w:pStyle w:val="Heading1"/>
        <w:rPr>
          <w:rFonts w:eastAsia="Calibri"/>
          <w:noProof/>
          <w:color w:val="000000"/>
        </w:rPr>
      </w:pPr>
      <w:r>
        <w:rPr>
          <w:rFonts w:eastAsia="Calibri"/>
          <w:noProof/>
        </w:rPr>
        <w:t>Discussions on the</w:t>
      </w:r>
      <w:r w:rsidR="00B325C9" w:rsidRPr="00683E81">
        <w:rPr>
          <w:rFonts w:eastAsia="Calibri"/>
          <w:noProof/>
        </w:rPr>
        <w:t xml:space="preserve"> matter by the contact group </w:t>
      </w:r>
      <w:r w:rsidR="00B4103D">
        <w:rPr>
          <w:rFonts w:eastAsia="Calibri"/>
          <w:noProof/>
        </w:rPr>
        <w:t xml:space="preserve">continued </w:t>
      </w:r>
      <w:r w:rsidR="00B325C9" w:rsidRPr="00683E81">
        <w:rPr>
          <w:rFonts w:eastAsia="Calibri"/>
          <w:noProof/>
        </w:rPr>
        <w:t xml:space="preserve">in the margins of </w:t>
      </w:r>
      <w:r w:rsidR="00650215" w:rsidRPr="00683E81">
        <w:rPr>
          <w:rFonts w:eastAsia="Calibri"/>
          <w:noProof/>
        </w:rPr>
        <w:t>the 83</w:t>
      </w:r>
      <w:r w:rsidR="00650215" w:rsidRPr="00683E81">
        <w:rPr>
          <w:rFonts w:eastAsia="Calibri"/>
          <w:noProof/>
          <w:vertAlign w:val="superscript"/>
        </w:rPr>
        <w:t>rd</w:t>
      </w:r>
      <w:r w:rsidR="00650215" w:rsidRPr="00683E81">
        <w:rPr>
          <w:rFonts w:eastAsia="Calibri"/>
          <w:noProof/>
        </w:rPr>
        <w:t xml:space="preserve"> meeting</w:t>
      </w:r>
      <w:r w:rsidR="00B4103D">
        <w:rPr>
          <w:rFonts w:eastAsia="Calibri"/>
          <w:noProof/>
        </w:rPr>
        <w:t xml:space="preserve"> where,</w:t>
      </w:r>
      <w:r w:rsidR="00B325C9" w:rsidRPr="00683E81">
        <w:rPr>
          <w:rFonts w:eastAsia="Calibri"/>
          <w:noProof/>
        </w:rPr>
        <w:t xml:space="preserve"> </w:t>
      </w:r>
      <w:r w:rsidR="00B4103D">
        <w:rPr>
          <w:rFonts w:eastAsia="Calibri"/>
          <w:i/>
          <w:noProof/>
        </w:rPr>
        <w:t>inter alia</w:t>
      </w:r>
      <w:r w:rsidR="00B325C9" w:rsidRPr="00683E81">
        <w:rPr>
          <w:rFonts w:eastAsia="Calibri"/>
          <w:noProof/>
        </w:rPr>
        <w:t>:</w:t>
      </w:r>
    </w:p>
    <w:p w14:paraId="4D77DC18" w14:textId="0863629B" w:rsidR="00650215" w:rsidRPr="00683E81" w:rsidRDefault="00B325C9" w:rsidP="000051E7">
      <w:pPr>
        <w:pStyle w:val="Heading2"/>
        <w:rPr>
          <w:rFonts w:eastAsia="Calibri"/>
          <w:noProof/>
          <w:color w:val="000000"/>
        </w:rPr>
      </w:pPr>
      <w:r w:rsidRPr="00683E81">
        <w:rPr>
          <w:rFonts w:eastAsia="Calibri"/>
          <w:noProof/>
        </w:rPr>
        <w:t>M</w:t>
      </w:r>
      <w:r w:rsidR="006F1341" w:rsidRPr="00683E81">
        <w:rPr>
          <w:rFonts w:eastAsia="Calibri"/>
          <w:noProof/>
        </w:rPr>
        <w:t xml:space="preserve">embers proposed possible </w:t>
      </w:r>
      <w:r w:rsidR="00650215" w:rsidRPr="00683E81">
        <w:rPr>
          <w:rFonts w:eastAsia="Calibri"/>
          <w:noProof/>
        </w:rPr>
        <w:t>options for determining the starting</w:t>
      </w:r>
      <w:r w:rsidR="006F1341" w:rsidRPr="00683E81">
        <w:rPr>
          <w:rFonts w:eastAsia="Calibri"/>
          <w:noProof/>
        </w:rPr>
        <w:t xml:space="preserve"> point</w:t>
      </w:r>
      <w:r w:rsidR="00650215" w:rsidRPr="00683E81">
        <w:rPr>
          <w:rFonts w:eastAsia="Calibri"/>
          <w:noProof/>
        </w:rPr>
        <w:t>, includ</w:t>
      </w:r>
      <w:r w:rsidR="006F1341" w:rsidRPr="00683E81">
        <w:rPr>
          <w:rFonts w:eastAsia="Calibri"/>
          <w:noProof/>
        </w:rPr>
        <w:t>ing</w:t>
      </w:r>
      <w:r w:rsidR="00650215" w:rsidRPr="00683E81">
        <w:rPr>
          <w:rFonts w:eastAsia="Calibri"/>
          <w:noProof/>
        </w:rPr>
        <w:t xml:space="preserve"> the HFC baseline</w:t>
      </w:r>
      <w:r w:rsidR="006F1341" w:rsidRPr="00683E81">
        <w:rPr>
          <w:rFonts w:eastAsia="Calibri"/>
          <w:noProof/>
        </w:rPr>
        <w:t xml:space="preserve"> (including its HFC and the HCFC components)</w:t>
      </w:r>
      <w:r w:rsidR="00650215" w:rsidRPr="00683E81">
        <w:rPr>
          <w:rFonts w:eastAsia="Calibri"/>
          <w:noProof/>
        </w:rPr>
        <w:t>, the HFC component of the baseline, or an int</w:t>
      </w:r>
      <w:r w:rsidR="006F1341" w:rsidRPr="00683E81">
        <w:rPr>
          <w:rFonts w:eastAsia="Calibri"/>
          <w:noProof/>
        </w:rPr>
        <w:t>ermediate value between the two. I</w:t>
      </w:r>
      <w:r w:rsidR="00650215" w:rsidRPr="00683E81">
        <w:rPr>
          <w:rFonts w:eastAsia="Calibri"/>
          <w:noProof/>
        </w:rPr>
        <w:t>t was also proposed that Article</w:t>
      </w:r>
      <w:r w:rsidR="00FD697C">
        <w:rPr>
          <w:rFonts w:eastAsia="Calibri"/>
          <w:noProof/>
        </w:rPr>
        <w:t> </w:t>
      </w:r>
      <w:r w:rsidR="00650215" w:rsidRPr="00683E81">
        <w:rPr>
          <w:rFonts w:eastAsia="Calibri"/>
          <w:noProof/>
        </w:rPr>
        <w:t>5</w:t>
      </w:r>
      <w:r w:rsidR="0008286A" w:rsidRPr="00683E81">
        <w:rPr>
          <w:rFonts w:eastAsia="Calibri"/>
          <w:noProof/>
        </w:rPr>
        <w:t xml:space="preserve"> countries</w:t>
      </w:r>
      <w:r w:rsidR="00650215" w:rsidRPr="00683E81">
        <w:rPr>
          <w:rFonts w:eastAsia="Calibri"/>
          <w:noProof/>
        </w:rPr>
        <w:t xml:space="preserve"> could choose as the starting point the HFC consumption from a number of previous years (e.g., last year or </w:t>
      </w:r>
      <w:r w:rsidR="00D3498B">
        <w:rPr>
          <w:rFonts w:eastAsia="Calibri"/>
          <w:noProof/>
        </w:rPr>
        <w:t xml:space="preserve">the average of the </w:t>
      </w:r>
      <w:r w:rsidR="00650215" w:rsidRPr="00683E81">
        <w:rPr>
          <w:rFonts w:eastAsia="Calibri"/>
          <w:noProof/>
        </w:rPr>
        <w:t>last three years) or the year when the first HFC investment project had been approved by the Committee</w:t>
      </w:r>
      <w:r w:rsidRPr="00683E81">
        <w:rPr>
          <w:rFonts w:eastAsia="Calibri"/>
          <w:noProof/>
        </w:rPr>
        <w:t>;</w:t>
      </w:r>
    </w:p>
    <w:p w14:paraId="0A436C7F" w14:textId="62CB456A" w:rsidR="00650215" w:rsidRPr="00683E81" w:rsidRDefault="00B325C9" w:rsidP="000051E7">
      <w:pPr>
        <w:pStyle w:val="Heading2"/>
        <w:keepNext/>
        <w:keepLines/>
        <w:rPr>
          <w:rFonts w:eastAsia="Calibri"/>
          <w:noProof/>
          <w:color w:val="000000"/>
        </w:rPr>
      </w:pPr>
      <w:r w:rsidRPr="00683E81">
        <w:rPr>
          <w:rFonts w:eastAsia="Calibri"/>
          <w:noProof/>
        </w:rPr>
        <w:t>T</w:t>
      </w:r>
      <w:r w:rsidR="00650215" w:rsidRPr="00683E81">
        <w:rPr>
          <w:rFonts w:eastAsia="Calibri"/>
          <w:noProof/>
        </w:rPr>
        <w:t>he inclusion in the starting point of HFC contained in imported pre-blended polyols, and the ex</w:t>
      </w:r>
      <w:r w:rsidR="00B4103D">
        <w:rPr>
          <w:rFonts w:eastAsia="Calibri"/>
          <w:noProof/>
        </w:rPr>
        <w:t>c</w:t>
      </w:r>
      <w:r w:rsidR="00650215" w:rsidRPr="00683E81">
        <w:rPr>
          <w:rFonts w:eastAsia="Calibri"/>
          <w:noProof/>
        </w:rPr>
        <w:t>lusion of HFC contained in exported pre-blended polyols, on the understanding that such consumption would be monitored and controlled by Article 5 countries</w:t>
      </w:r>
      <w:r w:rsidRPr="00683E81">
        <w:rPr>
          <w:rFonts w:eastAsia="Calibri"/>
          <w:noProof/>
        </w:rPr>
        <w:t>. Members</w:t>
      </w:r>
      <w:r w:rsidR="0058102D" w:rsidRPr="00683E81">
        <w:rPr>
          <w:rFonts w:eastAsia="Calibri"/>
          <w:noProof/>
        </w:rPr>
        <w:t xml:space="preserve"> agreed to include </w:t>
      </w:r>
      <w:r w:rsidR="00650215" w:rsidRPr="00683E81">
        <w:rPr>
          <w:rFonts w:eastAsia="Calibri"/>
          <w:noProof/>
        </w:rPr>
        <w:t>text to reflect this proposal in the working document of the contact group, contained in Annex XIV of the report of the 83</w:t>
      </w:r>
      <w:r w:rsidR="00650215" w:rsidRPr="00683E81">
        <w:rPr>
          <w:rFonts w:eastAsia="Calibri"/>
          <w:noProof/>
          <w:vertAlign w:val="superscript"/>
        </w:rPr>
        <w:t>rd</w:t>
      </w:r>
      <w:r w:rsidR="00650215" w:rsidRPr="00683E81">
        <w:rPr>
          <w:rFonts w:eastAsia="Calibri"/>
          <w:noProof/>
        </w:rPr>
        <w:t xml:space="preserve"> meeting and Annex </w:t>
      </w:r>
      <w:r w:rsidR="006F1341" w:rsidRPr="00683E81">
        <w:rPr>
          <w:rFonts w:eastAsia="Calibri"/>
          <w:noProof/>
        </w:rPr>
        <w:t>I</w:t>
      </w:r>
      <w:r w:rsidR="00650215" w:rsidRPr="00683E81">
        <w:rPr>
          <w:rFonts w:eastAsia="Calibri"/>
          <w:noProof/>
        </w:rPr>
        <w:t>I of the present document</w:t>
      </w:r>
      <w:r w:rsidRPr="00683E81">
        <w:rPr>
          <w:rFonts w:eastAsia="Calibri"/>
          <w:noProof/>
        </w:rPr>
        <w:t>;</w:t>
      </w:r>
      <w:r w:rsidR="00650215" w:rsidRPr="00683E81">
        <w:rPr>
          <w:rFonts w:eastAsia="Calibri"/>
          <w:noProof/>
        </w:rPr>
        <w:t xml:space="preserve"> </w:t>
      </w:r>
    </w:p>
    <w:p w14:paraId="57A60D91" w14:textId="4E46F944" w:rsidR="00650215" w:rsidRPr="00683E81" w:rsidRDefault="00B325C9" w:rsidP="000051E7">
      <w:pPr>
        <w:pStyle w:val="Heading2"/>
        <w:rPr>
          <w:rFonts w:eastAsia="Calibri"/>
          <w:noProof/>
          <w:color w:val="000000"/>
        </w:rPr>
      </w:pPr>
      <w:r w:rsidRPr="00683E81">
        <w:rPr>
          <w:rFonts w:eastAsia="Calibri"/>
          <w:noProof/>
        </w:rPr>
        <w:t xml:space="preserve">The </w:t>
      </w:r>
      <w:r w:rsidR="00650215" w:rsidRPr="00683E81">
        <w:rPr>
          <w:rFonts w:eastAsia="Calibri"/>
          <w:noProof/>
        </w:rPr>
        <w:t>exclu</w:t>
      </w:r>
      <w:r w:rsidRPr="00683E81">
        <w:rPr>
          <w:rFonts w:eastAsia="Calibri"/>
          <w:noProof/>
        </w:rPr>
        <w:t>sion of</w:t>
      </w:r>
      <w:r w:rsidR="00650215" w:rsidRPr="00683E81">
        <w:rPr>
          <w:rFonts w:eastAsia="Calibri"/>
          <w:noProof/>
        </w:rPr>
        <w:t xml:space="preserve"> the HFC phase</w:t>
      </w:r>
      <w:r w:rsidR="00FF75A9">
        <w:rPr>
          <w:rFonts w:eastAsia="Calibri"/>
          <w:noProof/>
        </w:rPr>
        <w:noBreakHyphen/>
      </w:r>
      <w:r w:rsidR="00650215" w:rsidRPr="00683E81">
        <w:rPr>
          <w:rFonts w:eastAsia="Calibri"/>
          <w:noProof/>
        </w:rPr>
        <w:t xml:space="preserve">down tail from the starting point as the phase-out of that consumption was not mandated by the Montreal Protocol. While there was no consensus, some members indicated that deducting the consumption associated with the tail would imply that the starting point would be based on the HFC baseline for compliance which </w:t>
      </w:r>
      <w:r w:rsidR="00650215" w:rsidRPr="00683E81">
        <w:rPr>
          <w:rFonts w:eastAsia="Calibri"/>
          <w:noProof/>
        </w:rPr>
        <w:lastRenderedPageBreak/>
        <w:t>would include the totality of the HFC and HCFC components; and</w:t>
      </w:r>
    </w:p>
    <w:p w14:paraId="18634DD1" w14:textId="752EE3F4" w:rsidR="00650215" w:rsidRPr="00683E81" w:rsidRDefault="00650215" w:rsidP="000051E7">
      <w:pPr>
        <w:pStyle w:val="Heading2"/>
        <w:rPr>
          <w:rFonts w:eastAsia="Calibri"/>
          <w:noProof/>
        </w:rPr>
      </w:pPr>
      <w:r w:rsidRPr="00683E81">
        <w:rPr>
          <w:rFonts w:eastAsia="Calibri"/>
          <w:noProof/>
        </w:rPr>
        <w:t>Whether sustained reductions from the starting point should be accounted on a substance</w:t>
      </w:r>
      <w:r w:rsidR="00FF75A9">
        <w:rPr>
          <w:rFonts w:eastAsia="Calibri"/>
          <w:noProof/>
        </w:rPr>
        <w:noBreakHyphen/>
      </w:r>
      <w:r w:rsidRPr="00683E81">
        <w:rPr>
          <w:rFonts w:eastAsia="Calibri"/>
          <w:noProof/>
        </w:rPr>
        <w:t>by</w:t>
      </w:r>
      <w:r w:rsidR="00FF75A9">
        <w:rPr>
          <w:rFonts w:eastAsia="Calibri"/>
          <w:noProof/>
        </w:rPr>
        <w:noBreakHyphen/>
      </w:r>
      <w:r w:rsidRPr="00683E81">
        <w:rPr>
          <w:rFonts w:eastAsia="Calibri"/>
          <w:noProof/>
        </w:rPr>
        <w:t xml:space="preserve">substance basis. </w:t>
      </w:r>
      <w:r w:rsidR="0008286A" w:rsidRPr="00683E81">
        <w:rPr>
          <w:rFonts w:eastAsia="Calibri"/>
          <w:noProof/>
        </w:rPr>
        <w:t xml:space="preserve">Different views were expressed, including </w:t>
      </w:r>
      <w:r w:rsidRPr="00683E81">
        <w:rPr>
          <w:rFonts w:eastAsia="Calibri"/>
          <w:noProof/>
        </w:rPr>
        <w:t xml:space="preserve">that the starting point should be one unique number, </w:t>
      </w:r>
      <w:r w:rsidR="0008286A" w:rsidRPr="00683E81">
        <w:rPr>
          <w:rFonts w:eastAsia="Calibri"/>
          <w:noProof/>
        </w:rPr>
        <w:t>and</w:t>
      </w:r>
      <w:r w:rsidRPr="00683E81">
        <w:rPr>
          <w:rFonts w:eastAsia="Calibri"/>
          <w:noProof/>
        </w:rPr>
        <w:t xml:space="preserve"> that reductions should be made by substance, but only for the most commonly used HFCs.</w:t>
      </w:r>
    </w:p>
    <w:p w14:paraId="34AD121C" w14:textId="3CFA2ECF" w:rsidR="00981E1E" w:rsidRPr="00DE340E" w:rsidRDefault="00B325C9" w:rsidP="000051E7">
      <w:pPr>
        <w:pStyle w:val="Heading1"/>
        <w:rPr>
          <w:lang w:val="en-CA"/>
        </w:rPr>
      </w:pPr>
      <w:r w:rsidRPr="00DE340E">
        <w:rPr>
          <w:lang w:val="en-CA"/>
        </w:rPr>
        <w:t>At the 84</w:t>
      </w:r>
      <w:r w:rsidRPr="00DE340E">
        <w:rPr>
          <w:vertAlign w:val="superscript"/>
          <w:lang w:val="en-CA"/>
        </w:rPr>
        <w:t>th</w:t>
      </w:r>
      <w:r w:rsidRPr="00DE340E">
        <w:rPr>
          <w:lang w:val="en-CA"/>
        </w:rPr>
        <w:t xml:space="preserve"> meeting, t</w:t>
      </w:r>
      <w:r w:rsidR="00981E1E" w:rsidRPr="00DE340E">
        <w:rPr>
          <w:lang w:val="en-CA"/>
        </w:rPr>
        <w:t xml:space="preserve">he Executive Committee may wish </w:t>
      </w:r>
      <w:r w:rsidR="00B4103D">
        <w:rPr>
          <w:lang w:val="en-CA"/>
        </w:rPr>
        <w:t xml:space="preserve">to </w:t>
      </w:r>
      <w:r w:rsidR="00FF75A9">
        <w:rPr>
          <w:lang w:val="en-CA"/>
        </w:rPr>
        <w:t xml:space="preserve">continue </w:t>
      </w:r>
      <w:r w:rsidRPr="00DE340E">
        <w:rPr>
          <w:lang w:val="en-CA"/>
        </w:rPr>
        <w:t xml:space="preserve">discussions </w:t>
      </w:r>
      <w:r w:rsidR="00650215" w:rsidRPr="00DE340E">
        <w:rPr>
          <w:lang w:val="en-CA"/>
        </w:rPr>
        <w:t xml:space="preserve">on </w:t>
      </w:r>
      <w:r w:rsidR="00981E1E" w:rsidRPr="00DE340E">
        <w:rPr>
          <w:lang w:val="en-CA"/>
        </w:rPr>
        <w:t xml:space="preserve">this matter, taking into account the considerations </w:t>
      </w:r>
      <w:r w:rsidR="00FF75A9">
        <w:rPr>
          <w:lang w:val="en-CA"/>
        </w:rPr>
        <w:t xml:space="preserve">contained in </w:t>
      </w:r>
      <w:r w:rsidR="00981E1E" w:rsidRPr="00DE340E">
        <w:rPr>
          <w:lang w:val="en-CA"/>
        </w:rPr>
        <w:t>document UNEP/OzL.Pro/ExCom/82/66</w:t>
      </w:r>
      <w:r w:rsidR="006F1341" w:rsidRPr="00DE340E">
        <w:rPr>
          <w:lang w:val="en-CA"/>
        </w:rPr>
        <w:t xml:space="preserve"> and the discussion at the 83</w:t>
      </w:r>
      <w:r w:rsidR="006F1341" w:rsidRPr="00DE340E">
        <w:rPr>
          <w:vertAlign w:val="superscript"/>
          <w:lang w:val="en-CA"/>
        </w:rPr>
        <w:t>rd</w:t>
      </w:r>
      <w:r w:rsidR="006F1341" w:rsidRPr="00DE340E">
        <w:rPr>
          <w:lang w:val="en-CA"/>
        </w:rPr>
        <w:t xml:space="preserve"> meeting</w:t>
      </w:r>
      <w:r w:rsidR="00981E1E" w:rsidRPr="00DE340E">
        <w:rPr>
          <w:lang w:val="en-CA"/>
        </w:rPr>
        <w:t>.</w:t>
      </w:r>
    </w:p>
    <w:p w14:paraId="6E9C8513" w14:textId="77777777" w:rsidR="00981E1E" w:rsidRPr="007559F3" w:rsidRDefault="00981E1E" w:rsidP="000051E7">
      <w:pPr>
        <w:pStyle w:val="Heading1"/>
        <w:numPr>
          <w:ilvl w:val="0"/>
          <w:numId w:val="0"/>
        </w:numPr>
        <w:rPr>
          <w:lang w:val="en-CA"/>
        </w:rPr>
      </w:pPr>
      <w:r w:rsidRPr="007559F3">
        <w:rPr>
          <w:u w:val="single"/>
          <w:lang w:val="en-CA"/>
        </w:rPr>
        <w:t>Eligible incremental costs for the consumption manufacturing sector</w:t>
      </w:r>
    </w:p>
    <w:p w14:paraId="05AA1FFE" w14:textId="311E18E6" w:rsidR="00981E1E" w:rsidRPr="007559F3" w:rsidRDefault="00981E1E" w:rsidP="000051E7">
      <w:pPr>
        <w:pStyle w:val="Heading1"/>
        <w:rPr>
          <w:lang w:val="en-CA"/>
        </w:rPr>
      </w:pPr>
      <w:r w:rsidRPr="007559F3">
        <w:rPr>
          <w:lang w:val="en-CA"/>
        </w:rPr>
        <w:t>Since the 77</w:t>
      </w:r>
      <w:r w:rsidRPr="007559F3">
        <w:rPr>
          <w:vertAlign w:val="superscript"/>
          <w:lang w:val="en-CA"/>
        </w:rPr>
        <w:t>th</w:t>
      </w:r>
      <w:r w:rsidRPr="007559F3">
        <w:rPr>
          <w:lang w:val="en-CA"/>
        </w:rPr>
        <w:t xml:space="preserve"> meeting, the Executive Committee has had several discussions on cost-effectiveness thresholds for the phase-out of HFCs. It has </w:t>
      </w:r>
      <w:r w:rsidR="00FF75A9">
        <w:rPr>
          <w:lang w:val="en-CA"/>
        </w:rPr>
        <w:t xml:space="preserve">been </w:t>
      </w:r>
      <w:r w:rsidRPr="007559F3">
        <w:rPr>
          <w:lang w:val="en-CA"/>
        </w:rPr>
        <w:t>noted that the cost-effectiveness thresholds for the phase</w:t>
      </w:r>
      <w:r w:rsidR="00FF75A9">
        <w:rPr>
          <w:lang w:val="en-CA"/>
        </w:rPr>
        <w:noBreakHyphen/>
      </w:r>
      <w:r w:rsidRPr="007559F3">
        <w:rPr>
          <w:lang w:val="en-CA"/>
        </w:rPr>
        <w:t>out of CFCs and HCFCs were not necessarily applicable for HFCs; that there was limited experience at the Fund in phasing out HFCs in certain sectors; and that the associated incremental costs might differ from the costs associated with phasing out other controlled substances. Accordingly, the Committee considered that additional information was required to reach a decision on eligible incremental costs, and agreed to consider approving a limited number of stand-alone HFC investment projects, on a case-by-case basis in terms of maturity of technology, replicability and geographic distribution (decisions 78/3 and 79/45).</w:t>
      </w:r>
      <w:r w:rsidRPr="007559F3">
        <w:rPr>
          <w:rStyle w:val="FootnoteReference"/>
          <w:lang w:val="en-CA"/>
        </w:rPr>
        <w:footnoteReference w:id="7"/>
      </w:r>
      <w:r w:rsidRPr="007559F3">
        <w:rPr>
          <w:lang w:val="en-CA"/>
        </w:rPr>
        <w:t xml:space="preserve"> </w:t>
      </w:r>
    </w:p>
    <w:p w14:paraId="6A9A10F0" w14:textId="4D3D1899" w:rsidR="00981E1E" w:rsidRPr="001341E6" w:rsidRDefault="00981E1E" w:rsidP="000051E7">
      <w:pPr>
        <w:pStyle w:val="Heading1"/>
        <w:rPr>
          <w:lang w:val="en-CA"/>
        </w:rPr>
      </w:pPr>
      <w:r w:rsidRPr="0063119E">
        <w:rPr>
          <w:lang w:val="en-CA"/>
        </w:rPr>
        <w:t>As of the 8</w:t>
      </w:r>
      <w:r w:rsidR="00394025" w:rsidRPr="0063119E">
        <w:rPr>
          <w:lang w:val="en-CA"/>
        </w:rPr>
        <w:t>3</w:t>
      </w:r>
      <w:r w:rsidR="00394025" w:rsidRPr="0063119E">
        <w:rPr>
          <w:vertAlign w:val="superscript"/>
          <w:lang w:val="en-CA"/>
        </w:rPr>
        <w:t>rd</w:t>
      </w:r>
      <w:r w:rsidR="00394025" w:rsidRPr="0063119E">
        <w:rPr>
          <w:lang w:val="en-CA"/>
        </w:rPr>
        <w:t xml:space="preserve"> </w:t>
      </w:r>
      <w:r w:rsidRPr="0063119E">
        <w:rPr>
          <w:lang w:val="en-CA"/>
        </w:rPr>
        <w:t xml:space="preserve">meeting, </w:t>
      </w:r>
      <w:r w:rsidR="00B4103D">
        <w:rPr>
          <w:lang w:val="en-CA"/>
        </w:rPr>
        <w:t>10</w:t>
      </w:r>
      <w:r w:rsidRPr="0063119E">
        <w:rPr>
          <w:lang w:val="en-CA"/>
        </w:rPr>
        <w:t xml:space="preserve"> stand-alone investment projects</w:t>
      </w:r>
      <w:r w:rsidRPr="0063119E">
        <w:rPr>
          <w:rStyle w:val="FootnoteReference"/>
          <w:lang w:val="en-CA"/>
        </w:rPr>
        <w:footnoteReference w:id="8"/>
      </w:r>
      <w:r w:rsidRPr="0063119E">
        <w:rPr>
          <w:lang w:val="en-CA"/>
        </w:rPr>
        <w:t xml:space="preserve"> had been approved at a total cost of US $13,397,249 (plus agency support costs) to phase down 1,</w:t>
      </w:r>
      <w:r w:rsidR="00B4103D">
        <w:rPr>
          <w:lang w:val="en-CA"/>
        </w:rPr>
        <w:t>09</w:t>
      </w:r>
      <w:r w:rsidRPr="0063119E">
        <w:rPr>
          <w:lang w:val="en-CA"/>
        </w:rPr>
        <w:t>0 mt (1.63 million mt CO</w:t>
      </w:r>
      <w:r w:rsidRPr="0063119E">
        <w:rPr>
          <w:vertAlign w:val="subscript"/>
          <w:lang w:val="en-CA"/>
        </w:rPr>
        <w:t>2</w:t>
      </w:r>
      <w:r w:rsidRPr="0063119E">
        <w:rPr>
          <w:lang w:val="en-CA"/>
        </w:rPr>
        <w:t>-eq) of HFCs in the air</w:t>
      </w:r>
      <w:r w:rsidR="00FD697C">
        <w:rPr>
          <w:lang w:val="en-CA"/>
        </w:rPr>
        <w:noBreakHyphen/>
      </w:r>
      <w:r w:rsidRPr="0063119E">
        <w:rPr>
          <w:lang w:val="en-CA"/>
        </w:rPr>
        <w:t xml:space="preserve">conditioning, domestic and commercial refrigeration manufacturing </w:t>
      </w:r>
      <w:r w:rsidRPr="00783201">
        <w:rPr>
          <w:lang w:val="en-CA"/>
        </w:rPr>
        <w:t xml:space="preserve">sectors in nine countries. </w:t>
      </w:r>
      <w:r w:rsidR="00210C0B" w:rsidRPr="00783201">
        <w:rPr>
          <w:lang w:val="en-CA"/>
        </w:rPr>
        <w:t>At the 84</w:t>
      </w:r>
      <w:r w:rsidR="00210C0B" w:rsidRPr="00783201">
        <w:rPr>
          <w:vertAlign w:val="superscript"/>
          <w:lang w:val="en-CA"/>
        </w:rPr>
        <w:t>th</w:t>
      </w:r>
      <w:r w:rsidR="00FD697C">
        <w:rPr>
          <w:lang w:val="en-CA"/>
        </w:rPr>
        <w:t> </w:t>
      </w:r>
      <w:r w:rsidR="00210C0B" w:rsidRPr="00783201">
        <w:rPr>
          <w:lang w:val="en-CA"/>
        </w:rPr>
        <w:t xml:space="preserve">meeting, </w:t>
      </w:r>
      <w:r w:rsidR="0063119E" w:rsidRPr="00783201">
        <w:rPr>
          <w:lang w:val="en-CA"/>
        </w:rPr>
        <w:t>one</w:t>
      </w:r>
      <w:r w:rsidR="00210C0B" w:rsidRPr="00783201">
        <w:rPr>
          <w:lang w:val="en-CA"/>
        </w:rPr>
        <w:t xml:space="preserve"> additional </w:t>
      </w:r>
      <w:r w:rsidR="0063119E" w:rsidRPr="00783201">
        <w:rPr>
          <w:lang w:val="en-CA"/>
        </w:rPr>
        <w:t>p</w:t>
      </w:r>
      <w:r w:rsidR="00210C0B" w:rsidRPr="00783201">
        <w:rPr>
          <w:lang w:val="en-CA"/>
        </w:rPr>
        <w:t xml:space="preserve">roject to phase out </w:t>
      </w:r>
      <w:r w:rsidR="00783201">
        <w:rPr>
          <w:lang w:val="en-CA"/>
        </w:rPr>
        <w:t>2.24</w:t>
      </w:r>
      <w:r w:rsidR="0063119E" w:rsidRPr="00783201">
        <w:rPr>
          <w:lang w:val="en-CA"/>
        </w:rPr>
        <w:t xml:space="preserve"> </w:t>
      </w:r>
      <w:r w:rsidR="00210C0B" w:rsidRPr="00783201">
        <w:rPr>
          <w:lang w:val="en-CA"/>
        </w:rPr>
        <w:t>mt (</w:t>
      </w:r>
      <w:r w:rsidR="00783201">
        <w:rPr>
          <w:lang w:val="en-CA"/>
        </w:rPr>
        <w:t>3,200</w:t>
      </w:r>
      <w:r w:rsidR="00210C0B" w:rsidRPr="00783201">
        <w:rPr>
          <w:lang w:val="en-CA"/>
        </w:rPr>
        <w:t xml:space="preserve"> mt CO</w:t>
      </w:r>
      <w:r w:rsidR="00210C0B" w:rsidRPr="00783201">
        <w:rPr>
          <w:vertAlign w:val="subscript"/>
          <w:lang w:val="en-CA"/>
        </w:rPr>
        <w:t>2</w:t>
      </w:r>
      <w:r w:rsidR="00210C0B" w:rsidRPr="00783201">
        <w:rPr>
          <w:lang w:val="en-CA"/>
        </w:rPr>
        <w:t>-eq) of HFCs in the</w:t>
      </w:r>
      <w:r w:rsidR="0063119E" w:rsidRPr="00783201">
        <w:rPr>
          <w:lang w:val="en-CA"/>
        </w:rPr>
        <w:t xml:space="preserve"> air</w:t>
      </w:r>
      <w:r w:rsidR="00FD697C">
        <w:rPr>
          <w:lang w:val="en-CA"/>
        </w:rPr>
        <w:noBreakHyphen/>
      </w:r>
      <w:r w:rsidR="0063119E" w:rsidRPr="00783201">
        <w:rPr>
          <w:lang w:val="en-CA"/>
        </w:rPr>
        <w:t>conditioning manufacturing s</w:t>
      </w:r>
      <w:r w:rsidR="00210C0B" w:rsidRPr="00783201">
        <w:rPr>
          <w:lang w:val="en-CA"/>
        </w:rPr>
        <w:t>ector at a total cost of US $</w:t>
      </w:r>
      <w:r w:rsidR="0063119E" w:rsidRPr="00783201">
        <w:rPr>
          <w:lang w:val="en-CA"/>
        </w:rPr>
        <w:t>175,300 is</w:t>
      </w:r>
      <w:r w:rsidR="00210C0B" w:rsidRPr="00783201">
        <w:rPr>
          <w:lang w:val="en-CA"/>
        </w:rPr>
        <w:t xml:space="preserve"> being considered for funding</w:t>
      </w:r>
      <w:r w:rsidR="00026225">
        <w:rPr>
          <w:rStyle w:val="FootnoteReference"/>
          <w:lang w:val="en-CA"/>
        </w:rPr>
        <w:footnoteReference w:id="9"/>
      </w:r>
      <w:r w:rsidR="00210C0B" w:rsidRPr="00783201">
        <w:rPr>
          <w:lang w:val="en-CA"/>
        </w:rPr>
        <w:t>. The</w:t>
      </w:r>
      <w:r w:rsidR="00210C0B" w:rsidRPr="0063119E">
        <w:rPr>
          <w:lang w:val="en-CA"/>
        </w:rPr>
        <w:t xml:space="preserve"> first project approved at the 81</w:t>
      </w:r>
      <w:r w:rsidR="00210C0B" w:rsidRPr="0063119E">
        <w:rPr>
          <w:vertAlign w:val="superscript"/>
          <w:lang w:val="en-CA"/>
        </w:rPr>
        <w:t>st</w:t>
      </w:r>
      <w:r w:rsidR="00210C0B" w:rsidRPr="0063119E">
        <w:rPr>
          <w:lang w:val="en-CA"/>
        </w:rPr>
        <w:t xml:space="preserve"> meeting is expected to be completed by the end of 2019 and the relevant information on </w:t>
      </w:r>
      <w:r w:rsidR="00210C0B" w:rsidRPr="001341E6">
        <w:rPr>
          <w:lang w:val="en-CA"/>
        </w:rPr>
        <w:t>incremental cost</w:t>
      </w:r>
      <w:r w:rsidR="000577EB">
        <w:rPr>
          <w:lang w:val="en-CA"/>
        </w:rPr>
        <w:t>s</w:t>
      </w:r>
      <w:r w:rsidR="00210C0B" w:rsidRPr="001341E6">
        <w:rPr>
          <w:lang w:val="en-CA"/>
        </w:rPr>
        <w:t xml:space="preserve"> incurred to be submitted to the 85</w:t>
      </w:r>
      <w:r w:rsidR="00210C0B" w:rsidRPr="001341E6">
        <w:rPr>
          <w:vertAlign w:val="superscript"/>
          <w:lang w:val="en-CA"/>
        </w:rPr>
        <w:t>th</w:t>
      </w:r>
      <w:r w:rsidR="00210C0B" w:rsidRPr="001341E6">
        <w:rPr>
          <w:lang w:val="en-CA"/>
        </w:rPr>
        <w:t xml:space="preserve"> meeting. </w:t>
      </w:r>
    </w:p>
    <w:p w14:paraId="4136BE21" w14:textId="77777777" w:rsidR="00B4103D" w:rsidRDefault="00394025" w:rsidP="000051E7">
      <w:pPr>
        <w:pStyle w:val="Heading1"/>
        <w:rPr>
          <w:rFonts w:eastAsia="Calibri"/>
          <w:noProof/>
          <w:color w:val="000000"/>
        </w:rPr>
      </w:pPr>
      <w:r w:rsidRPr="001341E6">
        <w:rPr>
          <w:rFonts w:eastAsia="Calibri"/>
          <w:noProof/>
        </w:rPr>
        <w:t>At the 83</w:t>
      </w:r>
      <w:r w:rsidRPr="001341E6">
        <w:rPr>
          <w:rFonts w:eastAsia="Calibri"/>
          <w:noProof/>
          <w:vertAlign w:val="superscript"/>
        </w:rPr>
        <w:t>rd</w:t>
      </w:r>
      <w:r w:rsidRPr="001341E6">
        <w:rPr>
          <w:rFonts w:eastAsia="Calibri"/>
          <w:noProof/>
        </w:rPr>
        <w:t xml:space="preserve"> meeting, one </w:t>
      </w:r>
      <w:r w:rsidR="00B10D56" w:rsidRPr="001341E6">
        <w:rPr>
          <w:rFonts w:eastAsia="Calibri"/>
          <w:noProof/>
        </w:rPr>
        <w:t>member</w:t>
      </w:r>
      <w:r w:rsidRPr="001341E6">
        <w:rPr>
          <w:rFonts w:eastAsia="Calibri"/>
          <w:noProof/>
        </w:rPr>
        <w:t xml:space="preserve"> p</w:t>
      </w:r>
      <w:r w:rsidR="00072582" w:rsidRPr="001341E6">
        <w:rPr>
          <w:rFonts w:eastAsia="Calibri"/>
          <w:noProof/>
        </w:rPr>
        <w:t>r</w:t>
      </w:r>
      <w:r w:rsidRPr="001341E6">
        <w:rPr>
          <w:rFonts w:eastAsia="Calibri"/>
          <w:noProof/>
        </w:rPr>
        <w:t>o</w:t>
      </w:r>
      <w:r w:rsidR="00072582" w:rsidRPr="001341E6">
        <w:rPr>
          <w:rFonts w:eastAsia="Calibri"/>
          <w:noProof/>
        </w:rPr>
        <w:t xml:space="preserve">posed that the </w:t>
      </w:r>
      <w:r w:rsidRPr="001341E6">
        <w:rPr>
          <w:rFonts w:eastAsia="Calibri"/>
          <w:noProof/>
        </w:rPr>
        <w:t xml:space="preserve">cost-effectiveness thresholds </w:t>
      </w:r>
      <w:r w:rsidR="00072582" w:rsidRPr="001341E6">
        <w:rPr>
          <w:rFonts w:eastAsia="Calibri"/>
          <w:noProof/>
        </w:rPr>
        <w:t>should be establi</w:t>
      </w:r>
      <w:r w:rsidR="00DE7C88" w:rsidRPr="001341E6">
        <w:rPr>
          <w:rFonts w:eastAsia="Calibri"/>
          <w:noProof/>
        </w:rPr>
        <w:t>s</w:t>
      </w:r>
      <w:r w:rsidR="00072582" w:rsidRPr="001341E6">
        <w:rPr>
          <w:rFonts w:eastAsia="Calibri"/>
          <w:noProof/>
        </w:rPr>
        <w:t xml:space="preserve">hed </w:t>
      </w:r>
      <w:r w:rsidR="000577EB">
        <w:rPr>
          <w:rFonts w:eastAsia="Calibri"/>
          <w:noProof/>
        </w:rPr>
        <w:t>with</w:t>
      </w:r>
      <w:r w:rsidR="00072582" w:rsidRPr="001341E6">
        <w:rPr>
          <w:rFonts w:eastAsia="Calibri"/>
          <w:noProof/>
        </w:rPr>
        <w:t xml:space="preserve"> appropriate methodology</w:t>
      </w:r>
      <w:r w:rsidR="000577EB">
        <w:rPr>
          <w:rFonts w:eastAsia="Calibri"/>
          <w:noProof/>
        </w:rPr>
        <w:t>,</w:t>
      </w:r>
      <w:r w:rsidR="00072582" w:rsidRPr="001341E6">
        <w:rPr>
          <w:rFonts w:eastAsia="Calibri"/>
          <w:noProof/>
        </w:rPr>
        <w:t xml:space="preserve"> taking into account relevant information, decisions of the Executive Committee and results </w:t>
      </w:r>
      <w:r w:rsidR="000577EB">
        <w:rPr>
          <w:rFonts w:eastAsia="Calibri"/>
          <w:noProof/>
        </w:rPr>
        <w:t>of</w:t>
      </w:r>
      <w:r w:rsidR="00072582" w:rsidRPr="001341E6">
        <w:rPr>
          <w:rFonts w:eastAsia="Calibri"/>
          <w:noProof/>
        </w:rPr>
        <w:t xml:space="preserve"> the implementation of stand-alone HFC investment</w:t>
      </w:r>
      <w:r w:rsidR="000577EB">
        <w:rPr>
          <w:rFonts w:eastAsia="Calibri"/>
          <w:noProof/>
        </w:rPr>
        <w:t xml:space="preserve"> projects</w:t>
      </w:r>
      <w:r w:rsidR="00072582" w:rsidRPr="001341E6">
        <w:rPr>
          <w:rFonts w:eastAsia="Calibri"/>
          <w:noProof/>
        </w:rPr>
        <w:t xml:space="preserve">. </w:t>
      </w:r>
      <w:r w:rsidR="00072582" w:rsidRPr="001341E6">
        <w:rPr>
          <w:rFonts w:eastAsia="Calibri"/>
          <w:noProof/>
          <w:color w:val="000000"/>
        </w:rPr>
        <w:t>A draft text to reflect this proposal was included in the working document of the contact group, contained in Annex</w:t>
      </w:r>
      <w:r w:rsidR="000577EB">
        <w:rPr>
          <w:rFonts w:eastAsia="Calibri"/>
          <w:noProof/>
          <w:color w:val="000000"/>
        </w:rPr>
        <w:t> </w:t>
      </w:r>
      <w:r w:rsidR="00072582" w:rsidRPr="001341E6">
        <w:rPr>
          <w:rFonts w:eastAsia="Calibri"/>
          <w:noProof/>
          <w:color w:val="000000"/>
        </w:rPr>
        <w:t>XIV of the report of the 83</w:t>
      </w:r>
      <w:r w:rsidR="00072582" w:rsidRPr="001341E6">
        <w:rPr>
          <w:rFonts w:eastAsia="Calibri"/>
          <w:noProof/>
          <w:color w:val="000000"/>
          <w:vertAlign w:val="superscript"/>
        </w:rPr>
        <w:t>rd</w:t>
      </w:r>
      <w:r w:rsidR="00072582" w:rsidRPr="001341E6">
        <w:rPr>
          <w:rFonts w:eastAsia="Calibri"/>
          <w:noProof/>
          <w:color w:val="000000"/>
        </w:rPr>
        <w:t xml:space="preserve"> meeting</w:t>
      </w:r>
      <w:r w:rsidRPr="001341E6">
        <w:rPr>
          <w:rFonts w:eastAsia="Calibri"/>
          <w:noProof/>
          <w:color w:val="000000"/>
        </w:rPr>
        <w:t xml:space="preserve"> and Annex II of the present document. </w:t>
      </w:r>
    </w:p>
    <w:p w14:paraId="3388B3D6" w14:textId="4A873CDD" w:rsidR="00072582" w:rsidRPr="001341E6" w:rsidRDefault="00394025" w:rsidP="000051E7">
      <w:pPr>
        <w:pStyle w:val="Heading1"/>
        <w:rPr>
          <w:rFonts w:eastAsia="Calibri"/>
          <w:noProof/>
          <w:color w:val="000000"/>
        </w:rPr>
      </w:pPr>
      <w:r w:rsidRPr="001341E6">
        <w:rPr>
          <w:lang w:val="en-CA"/>
        </w:rPr>
        <w:t xml:space="preserve">The Executive Committee may wish to consider establishing cost-effectiveness thresholds </w:t>
      </w:r>
      <w:r w:rsidR="004E0342" w:rsidRPr="001341E6">
        <w:rPr>
          <w:lang w:val="en-CA"/>
        </w:rPr>
        <w:t xml:space="preserve">through an appropriate methodology </w:t>
      </w:r>
      <w:r w:rsidRPr="001341E6">
        <w:rPr>
          <w:lang w:val="en-CA"/>
        </w:rPr>
        <w:t>once the results of projects are available</w:t>
      </w:r>
      <w:r w:rsidR="000577EB">
        <w:rPr>
          <w:lang w:val="en-CA"/>
        </w:rPr>
        <w:t>,</w:t>
      </w:r>
      <w:r w:rsidR="004E0342" w:rsidRPr="001341E6">
        <w:rPr>
          <w:lang w:val="en-CA"/>
        </w:rPr>
        <w:t xml:space="preserve"> taking into account relevant information and decisions of the Executive Committee</w:t>
      </w:r>
      <w:r w:rsidRPr="001341E6">
        <w:rPr>
          <w:lang w:val="en-CA"/>
        </w:rPr>
        <w:t>.</w:t>
      </w:r>
    </w:p>
    <w:p w14:paraId="1E67DAC2" w14:textId="77777777" w:rsidR="00981E1E" w:rsidRPr="00394025" w:rsidRDefault="00981E1E" w:rsidP="000051E7">
      <w:pPr>
        <w:tabs>
          <w:tab w:val="left" w:pos="8280"/>
        </w:tabs>
        <w:rPr>
          <w:u w:val="single"/>
          <w:lang w:val="en-CA"/>
        </w:rPr>
      </w:pPr>
      <w:r w:rsidRPr="00394025">
        <w:rPr>
          <w:u w:val="single"/>
          <w:lang w:val="en-CA"/>
        </w:rPr>
        <w:t>Eligible incremental costs for the refrigeration servicing sector</w:t>
      </w:r>
    </w:p>
    <w:p w14:paraId="113FF8EE" w14:textId="77777777" w:rsidR="00981E1E" w:rsidRPr="00CF1E89" w:rsidRDefault="00981E1E" w:rsidP="000051E7">
      <w:pPr>
        <w:tabs>
          <w:tab w:val="left" w:pos="8280"/>
        </w:tabs>
        <w:rPr>
          <w:highlight w:val="yellow"/>
          <w:u w:val="single"/>
          <w:lang w:val="en-CA"/>
        </w:rPr>
      </w:pPr>
    </w:p>
    <w:p w14:paraId="5E3D7BA1" w14:textId="26009806" w:rsidR="00981E1E" w:rsidRPr="00394025" w:rsidRDefault="00981E1E" w:rsidP="00911A5F">
      <w:pPr>
        <w:pStyle w:val="Heading1"/>
        <w:widowControl w:val="0"/>
        <w:rPr>
          <w:lang w:val="en-CA"/>
        </w:rPr>
      </w:pPr>
      <w:r w:rsidRPr="00394025">
        <w:rPr>
          <w:lang w:val="en-CA"/>
        </w:rPr>
        <w:t xml:space="preserve">At </w:t>
      </w:r>
      <w:r w:rsidR="000577EB">
        <w:rPr>
          <w:lang w:val="en-CA"/>
        </w:rPr>
        <w:t>the</w:t>
      </w:r>
      <w:r w:rsidRPr="00394025">
        <w:rPr>
          <w:lang w:val="en-CA"/>
        </w:rPr>
        <w:t xml:space="preserve"> 80</w:t>
      </w:r>
      <w:r w:rsidRPr="00394025">
        <w:rPr>
          <w:vertAlign w:val="superscript"/>
          <w:lang w:val="en-CA"/>
        </w:rPr>
        <w:t>th</w:t>
      </w:r>
      <w:r w:rsidRPr="00394025">
        <w:rPr>
          <w:lang w:val="en-CA"/>
        </w:rPr>
        <w:t xml:space="preserve"> meeting, the Secretariat was requested to prepare, in cooperation with bilateral and implementing agencies, a preliminary document on all aspects relating to the refrigeration servicing sector </w:t>
      </w:r>
      <w:r w:rsidRPr="00394025">
        <w:rPr>
          <w:lang w:val="en-CA"/>
        </w:rPr>
        <w:lastRenderedPageBreak/>
        <w:t>that supported HFC phase-down, for submission to the 82</w:t>
      </w:r>
      <w:r w:rsidRPr="00394025">
        <w:rPr>
          <w:vertAlign w:val="superscript"/>
          <w:lang w:val="en-CA"/>
        </w:rPr>
        <w:t>nd</w:t>
      </w:r>
      <w:r w:rsidRPr="00394025">
        <w:rPr>
          <w:lang w:val="en-CA"/>
        </w:rPr>
        <w:t> meeting</w:t>
      </w:r>
      <w:r w:rsidRPr="00394025">
        <w:rPr>
          <w:rStyle w:val="FootnoteReference"/>
          <w:lang w:val="en-CA"/>
        </w:rPr>
        <w:footnoteReference w:id="10"/>
      </w:r>
      <w:r w:rsidRPr="00394025">
        <w:rPr>
          <w:lang w:val="en-CA"/>
        </w:rPr>
        <w:t xml:space="preserve"> (decision 80/76(c)). At its 81</w:t>
      </w:r>
      <w:r w:rsidRPr="00394025">
        <w:rPr>
          <w:vertAlign w:val="superscript"/>
          <w:lang w:val="en-CA"/>
        </w:rPr>
        <w:t>st</w:t>
      </w:r>
      <w:r w:rsidRPr="00394025">
        <w:rPr>
          <w:lang w:val="en-CA"/>
        </w:rPr>
        <w:t> meeting, the Committee decided to consider, at the 82</w:t>
      </w:r>
      <w:r w:rsidRPr="00394025">
        <w:rPr>
          <w:vertAlign w:val="superscript"/>
          <w:lang w:val="en-CA"/>
        </w:rPr>
        <w:t>nd</w:t>
      </w:r>
      <w:r w:rsidRPr="00394025">
        <w:rPr>
          <w:lang w:val="en-CA"/>
        </w:rPr>
        <w:t> meeting, the matter of prioritization of technical assistance and capacity building to address safety issues associated with alternatives with low- and zero</w:t>
      </w:r>
      <w:r w:rsidRPr="00394025">
        <w:rPr>
          <w:lang w:val="en-CA"/>
        </w:rPr>
        <w:noBreakHyphen/>
        <w:t>global</w:t>
      </w:r>
      <w:r w:rsidRPr="00394025">
        <w:rPr>
          <w:lang w:val="en-CA"/>
        </w:rPr>
        <w:noBreakHyphen/>
        <w:t>warming potential (GWP) for all sectors,</w:t>
      </w:r>
      <w:r w:rsidRPr="00394025">
        <w:rPr>
          <w:rStyle w:val="FootnoteReference"/>
          <w:lang w:val="en-CA"/>
        </w:rPr>
        <w:footnoteReference w:id="11"/>
      </w:r>
      <w:r w:rsidRPr="00394025">
        <w:rPr>
          <w:lang w:val="en-CA"/>
        </w:rPr>
        <w:t xml:space="preserve"> in light of the above-mentioned document on the refrigeration servicing sector (decision 81/67(c)). </w:t>
      </w:r>
    </w:p>
    <w:p w14:paraId="77BCC007" w14:textId="5FE47C20" w:rsidR="00981E1E" w:rsidRPr="00394025" w:rsidRDefault="00981E1E" w:rsidP="000051E7">
      <w:pPr>
        <w:pStyle w:val="Heading1"/>
        <w:rPr>
          <w:lang w:val="en-CA"/>
        </w:rPr>
      </w:pPr>
      <w:r w:rsidRPr="00394025">
        <w:rPr>
          <w:lang w:val="en-CA"/>
        </w:rPr>
        <w:t>In response to decisions 80/76(c) and 81/67(c), at its 82</w:t>
      </w:r>
      <w:r w:rsidRPr="00394025">
        <w:rPr>
          <w:vertAlign w:val="superscript"/>
          <w:lang w:val="en-CA"/>
        </w:rPr>
        <w:t>nd</w:t>
      </w:r>
      <w:r w:rsidRPr="00394025">
        <w:rPr>
          <w:lang w:val="en-CA"/>
        </w:rPr>
        <w:t> meeting, the Executive Committee considered document UNEP/OzL.Pro/ExCom/82/64. During the discussions members identified additional activities in the refrigeration servicing sector</w:t>
      </w:r>
      <w:r w:rsidR="00920992">
        <w:rPr>
          <w:lang w:val="en-CA"/>
        </w:rPr>
        <w:t xml:space="preserve"> that would be required under </w:t>
      </w:r>
      <w:r w:rsidR="00B4103D">
        <w:rPr>
          <w:lang w:val="en-CA"/>
        </w:rPr>
        <w:t>HFC phase-down and</w:t>
      </w:r>
      <w:r w:rsidR="00920992">
        <w:rPr>
          <w:lang w:val="en-CA"/>
        </w:rPr>
        <w:t xml:space="preserve"> were</w:t>
      </w:r>
      <w:r w:rsidRPr="00394025">
        <w:rPr>
          <w:lang w:val="en-CA"/>
        </w:rPr>
        <w:t xml:space="preserve"> beyond those already being implemented under HCFC phase-out, including: building capacity on risk assessment and management of flammable refrigerants; activities in the assembly and installation sub</w:t>
      </w:r>
      <w:r w:rsidR="00601715">
        <w:rPr>
          <w:lang w:val="en-CA"/>
        </w:rPr>
        <w:noBreakHyphen/>
      </w:r>
      <w:r w:rsidRPr="00394025">
        <w:rPr>
          <w:lang w:val="en-CA"/>
        </w:rPr>
        <w:t xml:space="preserve">sector; enhancing and/or maintaining energy efficiency during installation and servicing; and ensuring reclamation of a wider variety of refrigerants, given the possibility of larger quantities of blends for disposal. With regard to the increase in funding for low-volume-consuming (LVC) countries when replacing HCFCs in servicing in line with paragraph 16 of decision XXVIII/2, the Committee agreed to discuss this matter under energy efficiency as related to decision XXX/5. </w:t>
      </w:r>
    </w:p>
    <w:p w14:paraId="3CBB7FAB" w14:textId="4A18A6ED" w:rsidR="00644A21" w:rsidRPr="001341E6" w:rsidRDefault="00394025" w:rsidP="000051E7">
      <w:pPr>
        <w:pStyle w:val="Heading1"/>
        <w:rPr>
          <w:lang w:val="en-CA"/>
        </w:rPr>
      </w:pPr>
      <w:r w:rsidRPr="001341E6">
        <w:rPr>
          <w:rFonts w:eastAsia="Calibri"/>
          <w:noProof/>
        </w:rPr>
        <w:t xml:space="preserve">At </w:t>
      </w:r>
      <w:r w:rsidR="00601715">
        <w:rPr>
          <w:rFonts w:eastAsia="Calibri"/>
          <w:noProof/>
        </w:rPr>
        <w:t>its</w:t>
      </w:r>
      <w:r w:rsidRPr="001341E6">
        <w:rPr>
          <w:rFonts w:eastAsia="Calibri"/>
          <w:noProof/>
        </w:rPr>
        <w:t xml:space="preserve"> 83</w:t>
      </w:r>
      <w:r w:rsidRPr="001341E6">
        <w:rPr>
          <w:rFonts w:eastAsia="Calibri"/>
          <w:noProof/>
          <w:vertAlign w:val="superscript"/>
        </w:rPr>
        <w:t>rd</w:t>
      </w:r>
      <w:r w:rsidRPr="001341E6">
        <w:rPr>
          <w:rFonts w:eastAsia="Calibri"/>
          <w:noProof/>
        </w:rPr>
        <w:t xml:space="preserve"> meeting, the Executive Committee continued discussing </w:t>
      </w:r>
      <w:r w:rsidR="004D505F" w:rsidRPr="001341E6">
        <w:rPr>
          <w:rFonts w:eastAsia="Calibri"/>
          <w:noProof/>
        </w:rPr>
        <w:t>issues related to the refrigeration servicing sector</w:t>
      </w:r>
      <w:r w:rsidRPr="001341E6">
        <w:rPr>
          <w:rFonts w:eastAsia="Calibri"/>
          <w:noProof/>
        </w:rPr>
        <w:t xml:space="preserve">, including opportunities and synergies </w:t>
      </w:r>
      <w:r w:rsidR="00601715">
        <w:rPr>
          <w:rFonts w:eastAsia="Calibri"/>
          <w:noProof/>
        </w:rPr>
        <w:t>between</w:t>
      </w:r>
      <w:r w:rsidRPr="001341E6">
        <w:rPr>
          <w:rFonts w:eastAsia="Calibri"/>
          <w:noProof/>
        </w:rPr>
        <w:t xml:space="preserve"> implementing activities that will </w:t>
      </w:r>
      <w:r w:rsidR="005B11A7" w:rsidRPr="001341E6">
        <w:rPr>
          <w:rFonts w:eastAsia="Calibri"/>
          <w:noProof/>
        </w:rPr>
        <w:t xml:space="preserve">concurrently </w:t>
      </w:r>
      <w:r w:rsidR="00601715">
        <w:rPr>
          <w:rFonts w:eastAsia="Calibri"/>
          <w:noProof/>
        </w:rPr>
        <w:t xml:space="preserve">phase out HCFCs and phase </w:t>
      </w:r>
      <w:r w:rsidRPr="001341E6">
        <w:rPr>
          <w:rFonts w:eastAsia="Calibri"/>
          <w:noProof/>
        </w:rPr>
        <w:t xml:space="preserve">down HFCs; challenges </w:t>
      </w:r>
      <w:r w:rsidR="00601715">
        <w:rPr>
          <w:rFonts w:eastAsia="Calibri"/>
          <w:noProof/>
        </w:rPr>
        <w:t>in</w:t>
      </w:r>
      <w:r w:rsidRPr="001341E6">
        <w:rPr>
          <w:rFonts w:eastAsia="Calibri"/>
          <w:noProof/>
        </w:rPr>
        <w:t xml:space="preserve"> the introduction of low-GWP alternative</w:t>
      </w:r>
      <w:r w:rsidR="005B11A7" w:rsidRPr="001341E6">
        <w:rPr>
          <w:rFonts w:eastAsia="Calibri"/>
          <w:noProof/>
        </w:rPr>
        <w:t>s</w:t>
      </w:r>
      <w:r w:rsidRPr="001341E6">
        <w:rPr>
          <w:rFonts w:eastAsia="Calibri"/>
          <w:noProof/>
        </w:rPr>
        <w:t>; and the flexibility required by Article 5 countries to allocate funding to strategic priorities based on their consumption</w:t>
      </w:r>
      <w:r w:rsidR="005B11A7" w:rsidRPr="001341E6">
        <w:rPr>
          <w:rFonts w:eastAsia="Calibri"/>
          <w:noProof/>
        </w:rPr>
        <w:t xml:space="preserve"> and national circumstances</w:t>
      </w:r>
      <w:r w:rsidRPr="001341E6">
        <w:rPr>
          <w:rFonts w:eastAsia="Calibri"/>
          <w:noProof/>
        </w:rPr>
        <w:t>. As a result of th</w:t>
      </w:r>
      <w:r w:rsidR="005B11A7" w:rsidRPr="001341E6">
        <w:rPr>
          <w:rFonts w:eastAsia="Calibri"/>
          <w:noProof/>
        </w:rPr>
        <w:t>o</w:t>
      </w:r>
      <w:r w:rsidRPr="001341E6">
        <w:rPr>
          <w:rFonts w:eastAsia="Calibri"/>
          <w:noProof/>
        </w:rPr>
        <w:t>s</w:t>
      </w:r>
      <w:r w:rsidR="005B11A7" w:rsidRPr="001341E6">
        <w:rPr>
          <w:rFonts w:eastAsia="Calibri"/>
          <w:noProof/>
        </w:rPr>
        <w:t>e</w:t>
      </w:r>
      <w:r w:rsidRPr="001341E6">
        <w:rPr>
          <w:rFonts w:eastAsia="Calibri"/>
          <w:noProof/>
        </w:rPr>
        <w:t xml:space="preserve"> discussions, the </w:t>
      </w:r>
      <w:r w:rsidRPr="001341E6">
        <w:rPr>
          <w:rFonts w:eastAsia="Calibri"/>
          <w:noProof/>
          <w:color w:val="000000"/>
        </w:rPr>
        <w:t xml:space="preserve">Secretariat </w:t>
      </w:r>
      <w:r w:rsidR="00053280" w:rsidRPr="001341E6">
        <w:rPr>
          <w:rFonts w:eastAsia="Calibri"/>
          <w:noProof/>
          <w:color w:val="000000"/>
        </w:rPr>
        <w:t xml:space="preserve">was </w:t>
      </w:r>
      <w:r w:rsidR="00053280" w:rsidRPr="001341E6">
        <w:rPr>
          <w:rFonts w:eastAsia="Calibri"/>
          <w:color w:val="000000"/>
        </w:rPr>
        <w:t>requested</w:t>
      </w:r>
      <w:r w:rsidR="00053280" w:rsidRPr="001341E6">
        <w:rPr>
          <w:rFonts w:eastAsia="Calibri"/>
          <w:noProof/>
          <w:color w:val="000000"/>
        </w:rPr>
        <w:t xml:space="preserve"> </w:t>
      </w:r>
      <w:r w:rsidRPr="001341E6">
        <w:rPr>
          <w:rFonts w:eastAsia="Calibri"/>
          <w:noProof/>
          <w:color w:val="000000"/>
        </w:rPr>
        <w:t>to prepare a document for the 85</w:t>
      </w:r>
      <w:r w:rsidRPr="001341E6">
        <w:rPr>
          <w:rFonts w:eastAsia="Calibri"/>
          <w:noProof/>
          <w:color w:val="000000"/>
          <w:vertAlign w:val="superscript"/>
        </w:rPr>
        <w:t>th</w:t>
      </w:r>
      <w:r w:rsidRPr="001341E6">
        <w:rPr>
          <w:rFonts w:eastAsia="Calibri"/>
          <w:noProof/>
          <w:color w:val="000000"/>
        </w:rPr>
        <w:t xml:space="preserve"> </w:t>
      </w:r>
      <w:r w:rsidR="00601715">
        <w:rPr>
          <w:rFonts w:eastAsia="Calibri"/>
          <w:noProof/>
          <w:color w:val="000000"/>
        </w:rPr>
        <w:t>meeting providing an analysis of</w:t>
      </w:r>
      <w:r w:rsidRPr="001341E6">
        <w:rPr>
          <w:rFonts w:eastAsia="Calibri"/>
          <w:noProof/>
          <w:color w:val="000000"/>
        </w:rPr>
        <w:t xml:space="preserve"> the level an</w:t>
      </w:r>
      <w:r w:rsidR="00601715">
        <w:rPr>
          <w:rFonts w:eastAsia="Calibri"/>
          <w:noProof/>
          <w:color w:val="000000"/>
        </w:rPr>
        <w:t xml:space="preserve">d modalities of funding for </w:t>
      </w:r>
      <w:r w:rsidRPr="001341E6">
        <w:rPr>
          <w:rFonts w:eastAsia="Calibri"/>
          <w:noProof/>
          <w:color w:val="000000"/>
        </w:rPr>
        <w:t xml:space="preserve">HFC phase-down </w:t>
      </w:r>
      <w:r w:rsidR="00601715">
        <w:rPr>
          <w:rFonts w:eastAsia="Calibri"/>
          <w:noProof/>
          <w:color w:val="000000"/>
        </w:rPr>
        <w:t>in</w:t>
      </w:r>
      <w:r w:rsidRPr="001341E6">
        <w:rPr>
          <w:rFonts w:eastAsia="Calibri"/>
          <w:noProof/>
          <w:color w:val="000000"/>
        </w:rPr>
        <w:t xml:space="preserve"> the refrigeration servicing sector, in light of the information provided in document</w:t>
      </w:r>
      <w:r w:rsidR="00FD697C">
        <w:rPr>
          <w:rFonts w:eastAsia="Calibri"/>
          <w:noProof/>
          <w:color w:val="000000"/>
        </w:rPr>
        <w:t> </w:t>
      </w:r>
      <w:r w:rsidR="00B4103D" w:rsidRPr="00B4103D">
        <w:rPr>
          <w:rFonts w:eastAsia="Calibri"/>
          <w:noProof/>
          <w:color w:val="000000"/>
        </w:rPr>
        <w:t>UNEP/OzL.Pro/ExCom</w:t>
      </w:r>
      <w:r w:rsidR="00B4103D">
        <w:rPr>
          <w:rFonts w:eastAsia="Calibri"/>
          <w:noProof/>
          <w:color w:val="000000"/>
        </w:rPr>
        <w:t>/</w:t>
      </w:r>
      <w:r w:rsidRPr="001341E6">
        <w:rPr>
          <w:rFonts w:eastAsia="Calibri"/>
          <w:noProof/>
          <w:color w:val="000000"/>
        </w:rPr>
        <w:t>82/64 and guidance provided by the Executive Committee, including the flexibility Article 5 countries have in implementing their servicing sector activities in line with their national circumstances and the implementation of planned and ongoing activities in their HPMP</w:t>
      </w:r>
      <w:r w:rsidR="00B4103D">
        <w:rPr>
          <w:rFonts w:eastAsia="Calibri"/>
          <w:noProof/>
          <w:color w:val="000000"/>
        </w:rPr>
        <w:t>s</w:t>
      </w:r>
      <w:r w:rsidR="004D505F" w:rsidRPr="001341E6">
        <w:rPr>
          <w:rFonts w:eastAsia="Calibri"/>
          <w:noProof/>
          <w:color w:val="000000"/>
        </w:rPr>
        <w:t xml:space="preserve"> (</w:t>
      </w:r>
      <w:r w:rsidR="004D505F" w:rsidRPr="001341E6">
        <w:rPr>
          <w:rFonts w:eastAsia="Calibri"/>
          <w:noProof/>
        </w:rPr>
        <w:t>d</w:t>
      </w:r>
      <w:r w:rsidR="004D505F" w:rsidRPr="001341E6">
        <w:rPr>
          <w:rFonts w:eastAsia="Calibri"/>
          <w:noProof/>
          <w:color w:val="000000"/>
        </w:rPr>
        <w:t>ecision</w:t>
      </w:r>
      <w:r w:rsidR="00B4103D">
        <w:rPr>
          <w:rFonts w:eastAsia="Calibri"/>
          <w:noProof/>
          <w:color w:val="000000"/>
        </w:rPr>
        <w:t> </w:t>
      </w:r>
      <w:r w:rsidR="004D505F" w:rsidRPr="001341E6">
        <w:rPr>
          <w:rFonts w:eastAsia="Calibri"/>
          <w:noProof/>
          <w:color w:val="000000"/>
        </w:rPr>
        <w:t>83/65(b)).</w:t>
      </w:r>
    </w:p>
    <w:p w14:paraId="20FBD8C6" w14:textId="0029DF47" w:rsidR="00981E1E" w:rsidRPr="00490E36" w:rsidRDefault="00644A21" w:rsidP="000051E7">
      <w:pPr>
        <w:pStyle w:val="Heading1"/>
        <w:rPr>
          <w:lang w:val="en-CA"/>
        </w:rPr>
      </w:pPr>
      <w:r w:rsidRPr="000A3684">
        <w:rPr>
          <w:rFonts w:eastAsia="Calibri"/>
          <w:noProof/>
          <w:color w:val="000000"/>
          <w:lang w:val="en-CA"/>
        </w:rPr>
        <w:t>While t</w:t>
      </w:r>
      <w:r w:rsidR="008956A2" w:rsidRPr="000A3684">
        <w:rPr>
          <w:lang w:val="en-CA"/>
        </w:rPr>
        <w:t>he Executive Committee may wish to</w:t>
      </w:r>
      <w:bookmarkStart w:id="0" w:name="_GoBack"/>
      <w:bookmarkEnd w:id="0"/>
      <w:r w:rsidR="008956A2" w:rsidRPr="000A3684">
        <w:rPr>
          <w:lang w:val="en-CA"/>
        </w:rPr>
        <w:t xml:space="preserve"> consider establishing cost-effectiveness thresholds for the refrigerant servicing sector once this document is </w:t>
      </w:r>
      <w:r w:rsidRPr="000A3684">
        <w:rPr>
          <w:lang w:val="en-CA"/>
        </w:rPr>
        <w:t xml:space="preserve">submitted to </w:t>
      </w:r>
      <w:r w:rsidR="008956A2" w:rsidRPr="000A3684">
        <w:rPr>
          <w:lang w:val="en-CA"/>
        </w:rPr>
        <w:t>the 85</w:t>
      </w:r>
      <w:r w:rsidR="008956A2" w:rsidRPr="000A3684">
        <w:rPr>
          <w:vertAlign w:val="superscript"/>
          <w:lang w:val="en-CA"/>
        </w:rPr>
        <w:t>th</w:t>
      </w:r>
      <w:r w:rsidR="008956A2" w:rsidRPr="000A3684">
        <w:rPr>
          <w:lang w:val="en-CA"/>
        </w:rPr>
        <w:t xml:space="preserve"> meeting</w:t>
      </w:r>
      <w:r w:rsidRPr="000A3684">
        <w:rPr>
          <w:lang w:val="en-CA"/>
        </w:rPr>
        <w:t xml:space="preserve">, it </w:t>
      </w:r>
      <w:r w:rsidR="00981E1E" w:rsidRPr="000A3684">
        <w:rPr>
          <w:lang w:val="en-CA"/>
        </w:rPr>
        <w:t xml:space="preserve">may </w:t>
      </w:r>
      <w:r w:rsidRPr="000A3684">
        <w:rPr>
          <w:lang w:val="en-CA"/>
        </w:rPr>
        <w:t xml:space="preserve">also </w:t>
      </w:r>
      <w:r w:rsidR="00981E1E" w:rsidRPr="000A3684">
        <w:rPr>
          <w:lang w:val="en-CA"/>
        </w:rPr>
        <w:t>wish to</w:t>
      </w:r>
      <w:r w:rsidR="00981E1E" w:rsidRPr="00644A21">
        <w:rPr>
          <w:lang w:val="en-CA"/>
        </w:rPr>
        <w:t xml:space="preserve"> note that currently, </w:t>
      </w:r>
      <w:r w:rsidR="00DD1C3F">
        <w:rPr>
          <w:lang w:val="en-CA"/>
        </w:rPr>
        <w:t>59</w:t>
      </w:r>
      <w:r w:rsidR="00981E1E" w:rsidRPr="00644A21">
        <w:rPr>
          <w:lang w:val="en-CA"/>
        </w:rPr>
        <w:t xml:space="preserve"> LVC countries are preparing or will start preparing stage II of their </w:t>
      </w:r>
      <w:r>
        <w:rPr>
          <w:lang w:val="en-CA"/>
        </w:rPr>
        <w:t>HP</w:t>
      </w:r>
      <w:r w:rsidR="00B4103D">
        <w:rPr>
          <w:lang w:val="en-CA"/>
        </w:rPr>
        <w:t>MPs</w:t>
      </w:r>
      <w:r w:rsidR="00981E1E" w:rsidRPr="00644A21">
        <w:rPr>
          <w:lang w:val="en-CA"/>
        </w:rPr>
        <w:t xml:space="preserve">, </w:t>
      </w:r>
      <w:r>
        <w:rPr>
          <w:lang w:val="en-CA"/>
        </w:rPr>
        <w:t xml:space="preserve">and </w:t>
      </w:r>
      <w:r w:rsidR="00B4103D">
        <w:rPr>
          <w:lang w:val="en-CA"/>
        </w:rPr>
        <w:t xml:space="preserve">that </w:t>
      </w:r>
      <w:r w:rsidR="00B4103D" w:rsidRPr="00911A5F">
        <w:rPr>
          <w:lang w:val="en-CA"/>
        </w:rPr>
        <w:t>as of 31</w:t>
      </w:r>
      <w:r w:rsidRPr="00911A5F">
        <w:rPr>
          <w:lang w:val="en-CA"/>
        </w:rPr>
        <w:t xml:space="preserve"> October 2019,</w:t>
      </w:r>
      <w:r>
        <w:rPr>
          <w:lang w:val="en-CA"/>
        </w:rPr>
        <w:t xml:space="preserve"> </w:t>
      </w:r>
      <w:r w:rsidR="007F6E5D">
        <w:rPr>
          <w:lang w:val="en-CA"/>
        </w:rPr>
        <w:t>50</w:t>
      </w:r>
      <w:r w:rsidR="0073001E">
        <w:rPr>
          <w:lang w:val="en-CA"/>
        </w:rPr>
        <w:t xml:space="preserve"> </w:t>
      </w:r>
      <w:r w:rsidR="00B4103D">
        <w:rPr>
          <w:lang w:val="en-CA"/>
        </w:rPr>
        <w:t>of those</w:t>
      </w:r>
      <w:r w:rsidR="00981E1E" w:rsidRPr="00644A21">
        <w:rPr>
          <w:lang w:val="en-CA"/>
        </w:rPr>
        <w:t xml:space="preserve"> countries have ratified the Kigali Amendment </w:t>
      </w:r>
      <w:r>
        <w:rPr>
          <w:lang w:val="en-CA"/>
        </w:rPr>
        <w:t xml:space="preserve">and </w:t>
      </w:r>
      <w:r w:rsidR="00981E1E" w:rsidRPr="00644A21">
        <w:rPr>
          <w:lang w:val="en-CA"/>
        </w:rPr>
        <w:t xml:space="preserve">would </w:t>
      </w:r>
      <w:r w:rsidR="00981E1E" w:rsidRPr="000A3684">
        <w:rPr>
          <w:lang w:val="en-CA"/>
        </w:rPr>
        <w:t>be able to submit requests for preparatory funding for HFC phase-down plans</w:t>
      </w:r>
      <w:r w:rsidRPr="000A3684">
        <w:rPr>
          <w:lang w:val="en-CA"/>
        </w:rPr>
        <w:t xml:space="preserve">, in line with </w:t>
      </w:r>
      <w:r w:rsidRPr="00911A5F">
        <w:rPr>
          <w:lang w:val="en-CA"/>
        </w:rPr>
        <w:t xml:space="preserve">decision </w:t>
      </w:r>
      <w:r w:rsidR="007017E1" w:rsidRPr="00911A5F">
        <w:rPr>
          <w:lang w:val="en-CA"/>
        </w:rPr>
        <w:t>7</w:t>
      </w:r>
      <w:r w:rsidR="00F46EF1" w:rsidRPr="00911A5F">
        <w:rPr>
          <w:lang w:val="en-CA"/>
        </w:rPr>
        <w:t>9</w:t>
      </w:r>
      <w:r w:rsidRPr="00911A5F">
        <w:rPr>
          <w:lang w:val="en-CA"/>
        </w:rPr>
        <w:t>/</w:t>
      </w:r>
      <w:r w:rsidR="007017E1" w:rsidRPr="00911A5F">
        <w:rPr>
          <w:lang w:val="en-CA"/>
        </w:rPr>
        <w:t>46(b)(iii)</w:t>
      </w:r>
      <w:r w:rsidR="00981E1E" w:rsidRPr="00911A5F">
        <w:rPr>
          <w:lang w:val="en-CA"/>
        </w:rPr>
        <w:t>.</w:t>
      </w:r>
      <w:r w:rsidR="00981E1E" w:rsidRPr="00490E36">
        <w:rPr>
          <w:lang w:val="en-CA"/>
        </w:rPr>
        <w:t xml:space="preserve"> The </w:t>
      </w:r>
      <w:r w:rsidR="008956A2" w:rsidRPr="00490E36">
        <w:rPr>
          <w:lang w:val="en-CA"/>
        </w:rPr>
        <w:t>possible consideration</w:t>
      </w:r>
      <w:r w:rsidR="00981E1E" w:rsidRPr="00490E36">
        <w:rPr>
          <w:lang w:val="en-CA"/>
        </w:rPr>
        <w:t xml:space="preserve"> of a starting point for sustained reductions in HFC consumption for the refrigeration servicing sector </w:t>
      </w:r>
      <w:r w:rsidRPr="00490E36">
        <w:rPr>
          <w:lang w:val="en-CA"/>
        </w:rPr>
        <w:t>separately from a starting point in the manufacturing sector</w:t>
      </w:r>
      <w:r w:rsidRPr="00490E36">
        <w:rPr>
          <w:rStyle w:val="FootnoteReference"/>
          <w:lang w:val="en-CA"/>
        </w:rPr>
        <w:footnoteReference w:id="12"/>
      </w:r>
      <w:r w:rsidRPr="00490E36">
        <w:rPr>
          <w:lang w:val="en-CA"/>
        </w:rPr>
        <w:t xml:space="preserve"> </w:t>
      </w:r>
      <w:r w:rsidR="00AF31B8" w:rsidRPr="00490E36">
        <w:rPr>
          <w:lang w:val="en-CA"/>
        </w:rPr>
        <w:t xml:space="preserve">may </w:t>
      </w:r>
      <w:r w:rsidR="00981E1E" w:rsidRPr="00490E36">
        <w:rPr>
          <w:lang w:val="en-CA"/>
        </w:rPr>
        <w:t xml:space="preserve">also be beneficial </w:t>
      </w:r>
      <w:r w:rsidR="006851E4">
        <w:rPr>
          <w:lang w:val="en-CA"/>
        </w:rPr>
        <w:t>as</w:t>
      </w:r>
      <w:r w:rsidR="00981E1E" w:rsidRPr="00490E36">
        <w:rPr>
          <w:lang w:val="en-CA"/>
        </w:rPr>
        <w:t xml:space="preserve"> the majority of </w:t>
      </w:r>
      <w:r w:rsidR="00DD3C31" w:rsidRPr="00490E36">
        <w:rPr>
          <w:lang w:val="en-CA"/>
        </w:rPr>
        <w:t>LVC</w:t>
      </w:r>
      <w:r w:rsidR="001D205A">
        <w:rPr>
          <w:lang w:val="en-CA"/>
        </w:rPr>
        <w:t xml:space="preserve"> countrie</w:t>
      </w:r>
      <w:r w:rsidR="00DD3C31" w:rsidRPr="00490E36">
        <w:rPr>
          <w:lang w:val="en-CA"/>
        </w:rPr>
        <w:t>s and many non-LVC</w:t>
      </w:r>
      <w:r w:rsidR="001D205A">
        <w:rPr>
          <w:lang w:val="en-CA"/>
        </w:rPr>
        <w:t xml:space="preserve"> countrie</w:t>
      </w:r>
      <w:r w:rsidR="00DD3C31" w:rsidRPr="00490E36">
        <w:rPr>
          <w:lang w:val="en-CA"/>
        </w:rPr>
        <w:t>s</w:t>
      </w:r>
      <w:r w:rsidR="00981E1E" w:rsidRPr="00490E36">
        <w:rPr>
          <w:lang w:val="en-CA"/>
        </w:rPr>
        <w:t xml:space="preserve"> </w:t>
      </w:r>
      <w:r w:rsidR="00DD3C31" w:rsidRPr="00490E36">
        <w:rPr>
          <w:lang w:val="en-CA"/>
        </w:rPr>
        <w:t xml:space="preserve">may </w:t>
      </w:r>
      <w:r w:rsidR="00981E1E" w:rsidRPr="00490E36">
        <w:rPr>
          <w:lang w:val="en-CA"/>
        </w:rPr>
        <w:t>only have HFC consumption in this sector.</w:t>
      </w:r>
    </w:p>
    <w:p w14:paraId="78B7F78C" w14:textId="77777777" w:rsidR="00981E1E" w:rsidRPr="004D505F" w:rsidRDefault="00981E1E" w:rsidP="00911A5F">
      <w:pPr>
        <w:widowControl w:val="0"/>
        <w:tabs>
          <w:tab w:val="left" w:pos="8280"/>
        </w:tabs>
        <w:rPr>
          <w:u w:val="single"/>
          <w:lang w:val="en-CA"/>
        </w:rPr>
      </w:pPr>
      <w:r w:rsidRPr="004D505F">
        <w:rPr>
          <w:u w:val="single"/>
          <w:lang w:val="en-CA"/>
        </w:rPr>
        <w:t>Energy efficiency</w:t>
      </w:r>
    </w:p>
    <w:p w14:paraId="44A0AAF9" w14:textId="77777777" w:rsidR="00981E1E" w:rsidRPr="00CF1E89" w:rsidRDefault="00981E1E" w:rsidP="00911A5F">
      <w:pPr>
        <w:widowControl w:val="0"/>
        <w:tabs>
          <w:tab w:val="left" w:pos="8280"/>
        </w:tabs>
        <w:rPr>
          <w:highlight w:val="yellow"/>
          <w:lang w:val="en-CA"/>
        </w:rPr>
      </w:pPr>
    </w:p>
    <w:p w14:paraId="62CBE8B3" w14:textId="77777777" w:rsidR="00981E1E" w:rsidRPr="00495B9B" w:rsidRDefault="00981E1E" w:rsidP="00911A5F">
      <w:pPr>
        <w:pStyle w:val="Heading1"/>
        <w:widowControl w:val="0"/>
        <w:rPr>
          <w:lang w:val="en-CA"/>
        </w:rPr>
      </w:pPr>
      <w:r w:rsidRPr="00495B9B">
        <w:rPr>
          <w:lang w:val="en-CA"/>
        </w:rPr>
        <w:t>At its 81</w:t>
      </w:r>
      <w:r w:rsidRPr="00495B9B">
        <w:rPr>
          <w:vertAlign w:val="superscript"/>
          <w:lang w:val="en-CA"/>
        </w:rPr>
        <w:t>st</w:t>
      </w:r>
      <w:r w:rsidRPr="00495B9B">
        <w:rPr>
          <w:lang w:val="en-CA"/>
        </w:rPr>
        <w:t> meeting, the Executive Committee discussed matters related to energy efficiency, and requested the Secretariat to provide to the 82</w:t>
      </w:r>
      <w:r w:rsidRPr="00495B9B">
        <w:rPr>
          <w:vertAlign w:val="superscript"/>
          <w:lang w:val="en-CA"/>
        </w:rPr>
        <w:t>nd</w:t>
      </w:r>
      <w:r w:rsidRPr="00495B9B">
        <w:rPr>
          <w:lang w:val="en-CA"/>
        </w:rPr>
        <w:t> meeting the summary of the parties’ deliberations at the 40</w:t>
      </w:r>
      <w:r w:rsidRPr="00495B9B">
        <w:rPr>
          <w:vertAlign w:val="superscript"/>
          <w:lang w:val="en-CA"/>
        </w:rPr>
        <w:t>th</w:t>
      </w:r>
      <w:r w:rsidRPr="00495B9B">
        <w:rPr>
          <w:lang w:val="en-CA"/>
        </w:rPr>
        <w:t xml:space="preserve"> Meeting of the Open-Ended Working Group (OEWG) of the parties and at the Thirtieth Meeting of the Parties in relation to the report by the TEAP on issues related to energy efficiency, in response to </w:t>
      </w:r>
      <w:r w:rsidRPr="00495B9B">
        <w:rPr>
          <w:lang w:val="en-CA"/>
        </w:rPr>
        <w:lastRenderedPageBreak/>
        <w:t xml:space="preserve">decision XXIX/10 (decision 81/67(b)). </w:t>
      </w:r>
    </w:p>
    <w:p w14:paraId="43AAF77D" w14:textId="30EB8CA3" w:rsidR="00981E1E" w:rsidRPr="00495B9B" w:rsidRDefault="00981E1E" w:rsidP="000051E7">
      <w:pPr>
        <w:pStyle w:val="Heading1"/>
        <w:rPr>
          <w:lang w:val="en-CA"/>
        </w:rPr>
      </w:pPr>
      <w:r w:rsidRPr="00495B9B">
        <w:rPr>
          <w:lang w:val="en-CA"/>
        </w:rPr>
        <w:t>In response to decision 81/67(b), the Secretariat submitted to the 82</w:t>
      </w:r>
      <w:r w:rsidRPr="00495B9B">
        <w:rPr>
          <w:vertAlign w:val="superscript"/>
          <w:lang w:val="en-CA"/>
        </w:rPr>
        <w:t>nd</w:t>
      </w:r>
      <w:r w:rsidRPr="00495B9B">
        <w:rPr>
          <w:lang w:val="en-CA"/>
        </w:rPr>
        <w:t xml:space="preserve"> meeting documents UNEP/OzL.Pro/ExCom/82/65 and Add.1. At the same meeting, the Committee </w:t>
      </w:r>
      <w:r w:rsidR="005C4CEF">
        <w:rPr>
          <w:lang w:val="en-CA"/>
        </w:rPr>
        <w:t>agreed</w:t>
      </w:r>
      <w:r w:rsidR="005C4CEF" w:rsidRPr="00495B9B">
        <w:rPr>
          <w:lang w:val="en-CA"/>
        </w:rPr>
        <w:t xml:space="preserve"> </w:t>
      </w:r>
      <w:r w:rsidRPr="00495B9B">
        <w:rPr>
          <w:lang w:val="en-CA"/>
        </w:rPr>
        <w:t>to discuss energy efficiency separately from the HFC phase-down cost guidelines</w:t>
      </w:r>
      <w:r w:rsidR="005C4CEF">
        <w:rPr>
          <w:lang w:val="en-CA"/>
        </w:rPr>
        <w:t>, and</w:t>
      </w:r>
      <w:r w:rsidRPr="00495B9B">
        <w:rPr>
          <w:lang w:val="en-CA"/>
        </w:rPr>
        <w:t xml:space="preserve"> to discuss the increase in funding for LVC countries when replacing HCFCs in the servicing sector in line with paragraph 16 of decision XXVIII/2 under energy efficiency as related to paragraph 2 of decision XXX/5.</w:t>
      </w:r>
      <w:r w:rsidRPr="00495B9B">
        <w:rPr>
          <w:rStyle w:val="FootnoteReference"/>
          <w:lang w:val="en-CA"/>
        </w:rPr>
        <w:footnoteReference w:id="13"/>
      </w:r>
      <w:r w:rsidRPr="00495B9B">
        <w:rPr>
          <w:lang w:val="en-CA"/>
        </w:rPr>
        <w:t xml:space="preserve"> </w:t>
      </w:r>
    </w:p>
    <w:p w14:paraId="10E555CC" w14:textId="77777777" w:rsidR="00981E1E" w:rsidRPr="00495B9B" w:rsidRDefault="00981E1E" w:rsidP="000051E7">
      <w:pPr>
        <w:pStyle w:val="Heading1"/>
        <w:rPr>
          <w:lang w:val="en-CA"/>
        </w:rPr>
      </w:pPr>
      <w:r w:rsidRPr="00495B9B">
        <w:rPr>
          <w:lang w:val="en-CA"/>
        </w:rPr>
        <w:t xml:space="preserve">Further to its deliberations, the Executive Committee decided </w:t>
      </w:r>
      <w:r w:rsidRPr="00495B9B">
        <w:rPr>
          <w:i/>
          <w:lang w:val="en-CA"/>
        </w:rPr>
        <w:t>inter alia</w:t>
      </w:r>
      <w:r w:rsidRPr="00495B9B">
        <w:rPr>
          <w:lang w:val="en-CA"/>
        </w:rPr>
        <w:t xml:space="preserve"> to discuss at its 83</w:t>
      </w:r>
      <w:r w:rsidRPr="00495B9B">
        <w:rPr>
          <w:vertAlign w:val="superscript"/>
          <w:lang w:val="en-CA"/>
        </w:rPr>
        <w:t>rd</w:t>
      </w:r>
      <w:r w:rsidRPr="00495B9B">
        <w:rPr>
          <w:lang w:val="en-CA"/>
        </w:rPr>
        <w:t> meeting (decision 82/83):</w:t>
      </w:r>
    </w:p>
    <w:p w14:paraId="49192F5A" w14:textId="77777777" w:rsidR="00981E1E" w:rsidRPr="00495B9B" w:rsidRDefault="00981E1E" w:rsidP="000051E7">
      <w:pPr>
        <w:pStyle w:val="Heading2"/>
        <w:numPr>
          <w:ilvl w:val="1"/>
          <w:numId w:val="1"/>
        </w:numPr>
        <w:rPr>
          <w:lang w:val="en-CA"/>
        </w:rPr>
      </w:pPr>
      <w:r w:rsidRPr="00495B9B">
        <w:rPr>
          <w:lang w:val="en-CA"/>
        </w:rPr>
        <w:t>A document on ways to operationalize paragraph 16 of decision XXVIII/2, and paragraph 2 of decision XXX/5;</w:t>
      </w:r>
    </w:p>
    <w:p w14:paraId="663A6B08" w14:textId="77777777" w:rsidR="00981E1E" w:rsidRPr="00495B9B" w:rsidRDefault="00981E1E" w:rsidP="000051E7">
      <w:pPr>
        <w:pStyle w:val="Heading2"/>
        <w:numPr>
          <w:ilvl w:val="1"/>
          <w:numId w:val="1"/>
        </w:numPr>
        <w:rPr>
          <w:lang w:val="en-CA"/>
        </w:rPr>
      </w:pPr>
      <w:r w:rsidRPr="00495B9B">
        <w:rPr>
          <w:lang w:val="en-CA"/>
        </w:rPr>
        <w:t>A document providing information on relevant funds and financial institutions mobilizing resources for energy efficiency that might be utilized when phasing down HFCs under the Multilateral Fund;</w:t>
      </w:r>
    </w:p>
    <w:p w14:paraId="6A28FBDA" w14:textId="77777777" w:rsidR="00981E1E" w:rsidRPr="00495B9B" w:rsidRDefault="00981E1E" w:rsidP="000051E7">
      <w:pPr>
        <w:pStyle w:val="Heading2"/>
        <w:numPr>
          <w:ilvl w:val="1"/>
          <w:numId w:val="1"/>
        </w:numPr>
        <w:rPr>
          <w:lang w:val="en-CA"/>
        </w:rPr>
      </w:pPr>
      <w:r w:rsidRPr="00495B9B">
        <w:rPr>
          <w:lang w:val="en-CA"/>
        </w:rPr>
        <w:t>Ways to operationalize paragraph 22 of decision XXVIII/2, and paragraphs 5 and 6 of decision XXX/5; and</w:t>
      </w:r>
    </w:p>
    <w:p w14:paraId="4152D441" w14:textId="77777777" w:rsidR="00981E1E" w:rsidRPr="00911A5F" w:rsidRDefault="00981E1E" w:rsidP="000051E7">
      <w:pPr>
        <w:pStyle w:val="Heading2"/>
        <w:numPr>
          <w:ilvl w:val="1"/>
          <w:numId w:val="1"/>
        </w:numPr>
        <w:rPr>
          <w:lang w:val="en-CA"/>
        </w:rPr>
      </w:pPr>
      <w:r w:rsidRPr="00495B9B">
        <w:rPr>
          <w:lang w:val="en-CA"/>
        </w:rPr>
        <w:t xml:space="preserve">A summary of the report by the TEAP on matters related to energy efficiency with regard </w:t>
      </w:r>
      <w:r w:rsidRPr="00911A5F">
        <w:rPr>
          <w:lang w:val="en-CA"/>
        </w:rPr>
        <w:t>to the issues identified in sub-paragraph (e) of decision 82/83.</w:t>
      </w:r>
      <w:r w:rsidRPr="00911A5F">
        <w:rPr>
          <w:rStyle w:val="FootnoteReference"/>
          <w:lang w:val="en-CA"/>
        </w:rPr>
        <w:footnoteReference w:id="14"/>
      </w:r>
      <w:r w:rsidRPr="00911A5F">
        <w:rPr>
          <w:lang w:val="en-CA"/>
        </w:rPr>
        <w:t xml:space="preserve"> </w:t>
      </w:r>
    </w:p>
    <w:p w14:paraId="21A59755" w14:textId="27C78C6E" w:rsidR="00981E1E" w:rsidRPr="00911A5F" w:rsidRDefault="006851E4" w:rsidP="00911A5F">
      <w:pPr>
        <w:pStyle w:val="Heading1"/>
        <w:widowControl w:val="0"/>
        <w:rPr>
          <w:lang w:val="en-CA"/>
        </w:rPr>
      </w:pPr>
      <w:r w:rsidRPr="00911A5F">
        <w:rPr>
          <w:lang w:val="en-CA"/>
        </w:rPr>
        <w:t>At the 83</w:t>
      </w:r>
      <w:r w:rsidRPr="00911A5F">
        <w:rPr>
          <w:vertAlign w:val="superscript"/>
          <w:lang w:val="en-CA"/>
        </w:rPr>
        <w:t>rd</w:t>
      </w:r>
      <w:r w:rsidRPr="00911A5F">
        <w:rPr>
          <w:lang w:val="en-CA"/>
        </w:rPr>
        <w:t> meeting, the Executive Committee considered documents</w:t>
      </w:r>
      <w:r w:rsidRPr="00911A5F">
        <w:rPr>
          <w:rStyle w:val="FootnoteReference"/>
          <w:lang w:val="en-CA"/>
        </w:rPr>
        <w:footnoteReference w:id="15"/>
      </w:r>
      <w:r w:rsidRPr="00911A5F">
        <w:rPr>
          <w:lang w:val="en-CA"/>
        </w:rPr>
        <w:t xml:space="preserve"> prepared by the Secretariat in response to decision 82/83 under agenda item 12(a), Matters related to the Kigali Amendment to the Montreal Protocol: Energy efficiency</w:t>
      </w:r>
      <w:r w:rsidR="00165AC9" w:rsidRPr="00911A5F">
        <w:rPr>
          <w:lang w:val="en-CA"/>
        </w:rPr>
        <w:t>.</w:t>
      </w:r>
      <w:r w:rsidR="00165AC9" w:rsidRPr="00911A5F">
        <w:rPr>
          <w:rStyle w:val="FootnoteReference"/>
          <w:lang w:val="en-CA"/>
        </w:rPr>
        <w:footnoteReference w:id="16"/>
      </w:r>
      <w:r w:rsidR="00F41E8F" w:rsidRPr="00911A5F">
        <w:rPr>
          <w:lang w:val="en-CA"/>
        </w:rPr>
        <w:t xml:space="preserve"> Issues related to energy efficiency will continue to be discussed at the 84</w:t>
      </w:r>
      <w:r w:rsidR="00F41E8F" w:rsidRPr="00911A5F">
        <w:rPr>
          <w:vertAlign w:val="superscript"/>
          <w:lang w:val="en-CA"/>
        </w:rPr>
        <w:t>th</w:t>
      </w:r>
      <w:r w:rsidR="00F41E8F" w:rsidRPr="00911A5F">
        <w:rPr>
          <w:lang w:val="en-CA"/>
        </w:rPr>
        <w:t xml:space="preserve"> meeting under agenda item </w:t>
      </w:r>
      <w:r w:rsidRPr="00911A5F">
        <w:rPr>
          <w:lang w:val="en-CA"/>
        </w:rPr>
        <w:t>13(b)</w:t>
      </w:r>
      <w:r w:rsidR="00F41E8F" w:rsidRPr="00911A5F">
        <w:rPr>
          <w:lang w:val="en-CA"/>
        </w:rPr>
        <w:t>.</w:t>
      </w:r>
      <w:r w:rsidR="00165AC9" w:rsidRPr="00911A5F">
        <w:rPr>
          <w:rStyle w:val="FootnoteReference"/>
          <w:rFonts w:eastAsia="Calibri"/>
          <w:noProof/>
        </w:rPr>
        <w:footnoteReference w:id="17"/>
      </w:r>
    </w:p>
    <w:p w14:paraId="68AB69EC" w14:textId="40589AE5" w:rsidR="00981E1E" w:rsidRPr="006851E4" w:rsidRDefault="00981E1E" w:rsidP="00911A5F">
      <w:pPr>
        <w:pStyle w:val="Heading1"/>
        <w:widowControl w:val="0"/>
        <w:rPr>
          <w:lang w:val="en-CA"/>
        </w:rPr>
      </w:pPr>
      <w:r w:rsidRPr="006851E4">
        <w:rPr>
          <w:lang w:val="en-CA"/>
        </w:rPr>
        <w:t>The</w:t>
      </w:r>
      <w:r w:rsidRPr="004469A0">
        <w:rPr>
          <w:lang w:val="en-CA"/>
        </w:rPr>
        <w:t xml:space="preserve"> Executive Committee may wish to consider whether to include in the cost guidelines for phasing down HFCs in Article 5 countries any decision it adopts on energy efficiency under agenda </w:t>
      </w:r>
      <w:r w:rsidRPr="006851E4">
        <w:rPr>
          <w:lang w:val="en-CA"/>
        </w:rPr>
        <w:t>item</w:t>
      </w:r>
      <w:r w:rsidR="004469A0" w:rsidRPr="006851E4">
        <w:rPr>
          <w:lang w:val="en-CA"/>
        </w:rPr>
        <w:t> </w:t>
      </w:r>
      <w:r w:rsidR="006851E4">
        <w:rPr>
          <w:lang w:val="en-CA"/>
        </w:rPr>
        <w:t>13(b)</w:t>
      </w:r>
      <w:r w:rsidRPr="006851E4">
        <w:rPr>
          <w:lang w:val="en-CA"/>
        </w:rPr>
        <w:t>.</w:t>
      </w:r>
    </w:p>
    <w:p w14:paraId="130B7EF8" w14:textId="77777777" w:rsidR="00981E1E" w:rsidRPr="00495B9B" w:rsidRDefault="00981E1E" w:rsidP="000051E7">
      <w:pPr>
        <w:tabs>
          <w:tab w:val="left" w:pos="8280"/>
        </w:tabs>
        <w:rPr>
          <w:u w:val="single"/>
          <w:lang w:val="en-CA"/>
        </w:rPr>
      </w:pPr>
      <w:r w:rsidRPr="00495B9B">
        <w:rPr>
          <w:u w:val="single"/>
          <w:lang w:val="en-CA"/>
        </w:rPr>
        <w:t>Disposal</w:t>
      </w:r>
    </w:p>
    <w:p w14:paraId="3B12A9B7" w14:textId="77777777" w:rsidR="00981E1E" w:rsidRPr="00495B9B" w:rsidRDefault="00981E1E" w:rsidP="000051E7">
      <w:pPr>
        <w:tabs>
          <w:tab w:val="left" w:pos="8280"/>
        </w:tabs>
        <w:rPr>
          <w:lang w:val="en-CA"/>
        </w:rPr>
      </w:pPr>
    </w:p>
    <w:p w14:paraId="56059F1B" w14:textId="77AF07EC" w:rsidR="00981E1E" w:rsidRPr="00495B9B" w:rsidRDefault="00981E1E" w:rsidP="000051E7">
      <w:pPr>
        <w:pStyle w:val="Heading1"/>
        <w:rPr>
          <w:lang w:val="en-CA"/>
        </w:rPr>
      </w:pPr>
      <w:r w:rsidRPr="00495B9B">
        <w:rPr>
          <w:lang w:val="en-CA"/>
        </w:rPr>
        <w:t xml:space="preserve">At </w:t>
      </w:r>
      <w:r w:rsidR="006851E4">
        <w:rPr>
          <w:lang w:val="en-CA"/>
        </w:rPr>
        <w:t>its</w:t>
      </w:r>
      <w:r w:rsidRPr="00495B9B">
        <w:rPr>
          <w:lang w:val="en-CA"/>
        </w:rPr>
        <w:t xml:space="preserve"> 81</w:t>
      </w:r>
      <w:r w:rsidRPr="00495B9B">
        <w:rPr>
          <w:vertAlign w:val="superscript"/>
          <w:lang w:val="en-CA"/>
        </w:rPr>
        <w:t>st</w:t>
      </w:r>
      <w:r w:rsidRPr="00495B9B">
        <w:rPr>
          <w:lang w:val="en-CA"/>
        </w:rPr>
        <w:t> meeting, the Executive Committee decided to consider, at its 82</w:t>
      </w:r>
      <w:r w:rsidRPr="00495B9B">
        <w:rPr>
          <w:vertAlign w:val="superscript"/>
          <w:lang w:val="en-CA"/>
        </w:rPr>
        <w:t>nd</w:t>
      </w:r>
      <w:r w:rsidRPr="00495B9B">
        <w:rPr>
          <w:lang w:val="en-CA"/>
        </w:rPr>
        <w:t xml:space="preserve"> meeting, issues related to funding the cost-effective management of stockpiles of used or unwanted controlled substances, </w:t>
      </w:r>
      <w:r w:rsidRPr="00495B9B">
        <w:rPr>
          <w:lang w:val="en-CA"/>
        </w:rPr>
        <w:lastRenderedPageBreak/>
        <w:t>including through destruction, in light of the paper on ODS disposal being prepared by the Secretariat in response to decision 79/18(e) (decision 81/67(d)).</w:t>
      </w:r>
    </w:p>
    <w:p w14:paraId="30B5AF8B" w14:textId="107144EE" w:rsidR="00981E1E" w:rsidRPr="00222A5B" w:rsidRDefault="00981E1E" w:rsidP="000051E7">
      <w:pPr>
        <w:pStyle w:val="Heading1"/>
        <w:rPr>
          <w:lang w:val="en-CA"/>
        </w:rPr>
      </w:pPr>
      <w:r w:rsidRPr="00495B9B">
        <w:rPr>
          <w:lang w:val="en-CA"/>
        </w:rPr>
        <w:t>In response to decision 81/67(d), the Secretariat submitted to the 82</w:t>
      </w:r>
      <w:r w:rsidRPr="00495B9B">
        <w:rPr>
          <w:vertAlign w:val="superscript"/>
          <w:lang w:val="en-CA"/>
        </w:rPr>
        <w:t>nd</w:t>
      </w:r>
      <w:r w:rsidRPr="00495B9B">
        <w:rPr>
          <w:lang w:val="en-CA"/>
        </w:rPr>
        <w:t> meeting document UNEP/OzL.Pro/ExCom/82/21.</w:t>
      </w:r>
      <w:r w:rsidRPr="00495B9B">
        <w:rPr>
          <w:rStyle w:val="FootnoteReference"/>
          <w:lang w:val="en-CA"/>
        </w:rPr>
        <w:footnoteReference w:id="18"/>
      </w:r>
      <w:r w:rsidRPr="00495B9B">
        <w:rPr>
          <w:lang w:val="en-CA"/>
        </w:rPr>
        <w:t xml:space="preserve"> During the discussions, some members, while cognizant that disposal was important and mandated by decision XXVIII/2, were of the view that, as disposal was not required for compliance and was not an incremental cost, it should not be discussed as part of the HFC phase-down cost guidelines. Other members considered disposal to be of fundamental importance, particularly for LVC countries, and saw it </w:t>
      </w:r>
      <w:r w:rsidRPr="00222A5B">
        <w:rPr>
          <w:lang w:val="en-CA"/>
        </w:rPr>
        <w:t xml:space="preserve">as an integral part of the cost guidelines. </w:t>
      </w:r>
    </w:p>
    <w:p w14:paraId="451C2E14" w14:textId="012154DF" w:rsidR="00072582" w:rsidRPr="00222A5B" w:rsidRDefault="006851E4" w:rsidP="000051E7">
      <w:pPr>
        <w:pStyle w:val="Heading1"/>
        <w:rPr>
          <w:rFonts w:eastAsia="Calibri"/>
          <w:noProof/>
        </w:rPr>
      </w:pPr>
      <w:r>
        <w:rPr>
          <w:rFonts w:eastAsia="Calibri"/>
          <w:noProof/>
        </w:rPr>
        <w:t>D</w:t>
      </w:r>
      <w:r w:rsidR="00495B9B" w:rsidRPr="00222A5B">
        <w:rPr>
          <w:rFonts w:eastAsia="Calibri"/>
          <w:noProof/>
        </w:rPr>
        <w:t>iscussion</w:t>
      </w:r>
      <w:r w:rsidR="00165AC9">
        <w:rPr>
          <w:rFonts w:eastAsia="Calibri"/>
          <w:noProof/>
        </w:rPr>
        <w:t>s</w:t>
      </w:r>
      <w:r w:rsidR="00495B9B" w:rsidRPr="00222A5B">
        <w:rPr>
          <w:rFonts w:eastAsia="Calibri"/>
          <w:noProof/>
        </w:rPr>
        <w:t xml:space="preserve"> </w:t>
      </w:r>
      <w:r>
        <w:rPr>
          <w:rFonts w:eastAsia="Calibri"/>
          <w:noProof/>
        </w:rPr>
        <w:t xml:space="preserve">continued </w:t>
      </w:r>
      <w:r w:rsidR="00495B9B" w:rsidRPr="00222A5B">
        <w:rPr>
          <w:rFonts w:eastAsia="Calibri"/>
          <w:noProof/>
        </w:rPr>
        <w:t>at the 83</w:t>
      </w:r>
      <w:r w:rsidR="00495B9B" w:rsidRPr="00222A5B">
        <w:rPr>
          <w:rFonts w:eastAsia="Calibri"/>
          <w:noProof/>
          <w:vertAlign w:val="superscript"/>
        </w:rPr>
        <w:t>rd</w:t>
      </w:r>
      <w:r w:rsidR="00495B9B" w:rsidRPr="00222A5B">
        <w:rPr>
          <w:rFonts w:eastAsia="Calibri"/>
          <w:noProof/>
        </w:rPr>
        <w:t xml:space="preserve"> meeting,</w:t>
      </w:r>
      <w:r>
        <w:rPr>
          <w:rFonts w:eastAsia="Calibri"/>
          <w:noProof/>
        </w:rPr>
        <w:t xml:space="preserve"> where</w:t>
      </w:r>
      <w:r w:rsidR="00495B9B" w:rsidRPr="00222A5B">
        <w:rPr>
          <w:rFonts w:eastAsia="Calibri"/>
          <w:noProof/>
        </w:rPr>
        <w:t xml:space="preserve"> s</w:t>
      </w:r>
      <w:r w:rsidR="00072582" w:rsidRPr="00222A5B">
        <w:rPr>
          <w:rFonts w:eastAsia="Calibri"/>
          <w:noProof/>
        </w:rPr>
        <w:t xml:space="preserve">ome members </w:t>
      </w:r>
      <w:r w:rsidR="005A78DD" w:rsidRPr="00222A5B">
        <w:rPr>
          <w:rFonts w:eastAsia="Calibri"/>
          <w:noProof/>
        </w:rPr>
        <w:t>reiterated the view that while</w:t>
      </w:r>
      <w:r w:rsidR="00072582" w:rsidRPr="00222A5B">
        <w:rPr>
          <w:rFonts w:eastAsia="Calibri"/>
          <w:noProof/>
        </w:rPr>
        <w:t xml:space="preserve"> disposal of unwanted ODS was important and mandated by decision XXVIII/2, </w:t>
      </w:r>
      <w:r w:rsidR="00206BED" w:rsidRPr="00222A5B">
        <w:rPr>
          <w:rFonts w:eastAsia="Calibri"/>
          <w:noProof/>
        </w:rPr>
        <w:t xml:space="preserve">it </w:t>
      </w:r>
      <w:r w:rsidR="00072582" w:rsidRPr="00222A5B">
        <w:rPr>
          <w:rFonts w:eastAsia="Calibri"/>
          <w:noProof/>
        </w:rPr>
        <w:t>should not be discussed as part of the HFC phase-down cost guidelines</w:t>
      </w:r>
      <w:r w:rsidR="005A78DD" w:rsidRPr="00222A5B">
        <w:rPr>
          <w:rFonts w:eastAsia="Calibri"/>
          <w:noProof/>
        </w:rPr>
        <w:t xml:space="preserve">, while other members reiterated the view </w:t>
      </w:r>
      <w:r w:rsidR="00072582" w:rsidRPr="00222A5B">
        <w:rPr>
          <w:rFonts w:eastAsia="Calibri"/>
          <w:noProof/>
        </w:rPr>
        <w:t xml:space="preserve">that disposal was </w:t>
      </w:r>
      <w:r w:rsidR="001D205A" w:rsidRPr="00222A5B">
        <w:rPr>
          <w:rFonts w:eastAsia="Calibri"/>
          <w:noProof/>
        </w:rPr>
        <w:t xml:space="preserve">particularly </w:t>
      </w:r>
      <w:r w:rsidR="00072582" w:rsidRPr="00222A5B">
        <w:rPr>
          <w:rFonts w:eastAsia="Calibri"/>
          <w:noProof/>
        </w:rPr>
        <w:t xml:space="preserve">important for LVC countries. </w:t>
      </w:r>
      <w:r>
        <w:rPr>
          <w:rFonts w:eastAsia="Calibri"/>
          <w:noProof/>
        </w:rPr>
        <w:t>It was</w:t>
      </w:r>
      <w:r w:rsidR="00072582" w:rsidRPr="00222A5B">
        <w:rPr>
          <w:rFonts w:eastAsia="Calibri"/>
          <w:noProof/>
        </w:rPr>
        <w:t xml:space="preserve"> agreed to</w:t>
      </w:r>
      <w:r w:rsidR="005A78DD" w:rsidRPr="00222A5B">
        <w:rPr>
          <w:rFonts w:eastAsia="Calibri"/>
          <w:noProof/>
        </w:rPr>
        <w:t xml:space="preserve"> further</w:t>
      </w:r>
      <w:r w:rsidR="00072582" w:rsidRPr="00222A5B">
        <w:rPr>
          <w:rFonts w:eastAsia="Calibri"/>
          <w:noProof/>
        </w:rPr>
        <w:t xml:space="preserve"> discuss this matter at the 84</w:t>
      </w:r>
      <w:r w:rsidR="00072582" w:rsidRPr="00222A5B">
        <w:rPr>
          <w:rFonts w:eastAsia="Calibri"/>
          <w:noProof/>
          <w:vertAlign w:val="superscript"/>
        </w:rPr>
        <w:t>th</w:t>
      </w:r>
      <w:r w:rsidR="00072582" w:rsidRPr="00222A5B">
        <w:rPr>
          <w:rFonts w:eastAsia="Calibri"/>
          <w:noProof/>
        </w:rPr>
        <w:t xml:space="preserve"> meeting, in light of the final report on the evaluation of pilot demonstration projects on ODS disposal and destruction to be submitted by the Senior Monitoring and Evaluation Officer</w:t>
      </w:r>
      <w:r w:rsidR="00165AC9">
        <w:rPr>
          <w:rFonts w:eastAsia="Calibri"/>
          <w:noProof/>
        </w:rPr>
        <w:t>.</w:t>
      </w:r>
      <w:r w:rsidR="00165AC9">
        <w:rPr>
          <w:rStyle w:val="FootnoteReference"/>
          <w:rFonts w:eastAsia="Calibri"/>
          <w:noProof/>
        </w:rPr>
        <w:footnoteReference w:id="19"/>
      </w:r>
    </w:p>
    <w:p w14:paraId="65209326" w14:textId="6FA207E4" w:rsidR="00495B9B" w:rsidRPr="00495B9B" w:rsidRDefault="00495B9B" w:rsidP="000051E7">
      <w:pPr>
        <w:pStyle w:val="Heading1"/>
        <w:rPr>
          <w:lang w:val="en-CA"/>
        </w:rPr>
      </w:pPr>
      <w:r w:rsidRPr="00222A5B">
        <w:rPr>
          <w:lang w:val="en-CA"/>
        </w:rPr>
        <w:t xml:space="preserve">The Executive </w:t>
      </w:r>
      <w:r w:rsidR="001D205A">
        <w:rPr>
          <w:lang w:val="en-CA"/>
        </w:rPr>
        <w:t xml:space="preserve">Committee may wish to continue </w:t>
      </w:r>
      <w:r w:rsidRPr="00222A5B">
        <w:rPr>
          <w:lang w:val="en-CA"/>
        </w:rPr>
        <w:t>discussion</w:t>
      </w:r>
      <w:r w:rsidR="001D205A">
        <w:rPr>
          <w:lang w:val="en-CA"/>
        </w:rPr>
        <w:t>s</w:t>
      </w:r>
      <w:r w:rsidRPr="00222A5B">
        <w:rPr>
          <w:lang w:val="en-CA"/>
        </w:rPr>
        <w:t xml:space="preserve"> on this matter during</w:t>
      </w:r>
      <w:r w:rsidRPr="00495B9B">
        <w:rPr>
          <w:lang w:val="en-CA"/>
        </w:rPr>
        <w:t xml:space="preserve"> the 8</w:t>
      </w:r>
      <w:r w:rsidR="00A7760D">
        <w:rPr>
          <w:lang w:val="en-CA"/>
        </w:rPr>
        <w:t>4</w:t>
      </w:r>
      <w:r w:rsidR="00A7760D" w:rsidRPr="00A7760D">
        <w:rPr>
          <w:vertAlign w:val="superscript"/>
          <w:lang w:val="en-CA"/>
        </w:rPr>
        <w:t>th</w:t>
      </w:r>
      <w:r w:rsidR="00222A5B">
        <w:rPr>
          <w:lang w:val="en-CA"/>
        </w:rPr>
        <w:t> </w:t>
      </w:r>
      <w:r w:rsidRPr="00495B9B">
        <w:rPr>
          <w:lang w:val="en-CA"/>
        </w:rPr>
        <w:t>meeting</w:t>
      </w:r>
      <w:r w:rsidR="00206BED">
        <w:rPr>
          <w:lang w:val="en-CA"/>
        </w:rPr>
        <w:t xml:space="preserve">, in light of </w:t>
      </w:r>
      <w:r w:rsidR="00206BED" w:rsidRPr="00206BED">
        <w:rPr>
          <w:lang w:val="en-CA"/>
        </w:rPr>
        <w:t>decision 83/65(c)</w:t>
      </w:r>
      <w:r w:rsidRPr="00495B9B">
        <w:rPr>
          <w:lang w:val="en-CA"/>
        </w:rPr>
        <w:t xml:space="preserve">. </w:t>
      </w:r>
    </w:p>
    <w:p w14:paraId="2DBA0980" w14:textId="77777777" w:rsidR="00981E1E" w:rsidRPr="00450693" w:rsidRDefault="00981E1E" w:rsidP="000051E7">
      <w:pPr>
        <w:keepNext/>
        <w:keepLines/>
        <w:widowControl w:val="0"/>
        <w:tabs>
          <w:tab w:val="left" w:pos="8280"/>
        </w:tabs>
        <w:rPr>
          <w:u w:val="single"/>
          <w:lang w:val="en-CA"/>
        </w:rPr>
      </w:pPr>
      <w:r w:rsidRPr="00450693">
        <w:rPr>
          <w:u w:val="single"/>
          <w:lang w:val="en-CA"/>
        </w:rPr>
        <w:t xml:space="preserve">Other general matters related to HFC phase-down </w:t>
      </w:r>
    </w:p>
    <w:p w14:paraId="550B2E2B" w14:textId="77777777" w:rsidR="00981E1E" w:rsidRPr="00450693" w:rsidRDefault="00981E1E" w:rsidP="000051E7">
      <w:pPr>
        <w:keepNext/>
        <w:keepLines/>
        <w:widowControl w:val="0"/>
        <w:tabs>
          <w:tab w:val="left" w:pos="8280"/>
        </w:tabs>
        <w:rPr>
          <w:lang w:val="en-CA"/>
        </w:rPr>
      </w:pPr>
    </w:p>
    <w:p w14:paraId="28F70A14" w14:textId="1C30E1A0" w:rsidR="00981E1E" w:rsidRPr="00450693" w:rsidRDefault="00981E1E" w:rsidP="000051E7">
      <w:pPr>
        <w:pStyle w:val="Heading1"/>
        <w:keepNext/>
        <w:keepLines/>
        <w:widowControl w:val="0"/>
        <w:rPr>
          <w:lang w:val="en-CA"/>
        </w:rPr>
      </w:pPr>
      <w:r w:rsidRPr="00450693">
        <w:rPr>
          <w:lang w:val="en-CA"/>
        </w:rPr>
        <w:t>The document on the cost guidelines for the phase-down of HFCs submitted to the 80</w:t>
      </w:r>
      <w:r w:rsidRPr="00450693">
        <w:rPr>
          <w:vertAlign w:val="superscript"/>
          <w:lang w:val="en-CA"/>
        </w:rPr>
        <w:t>th</w:t>
      </w:r>
      <w:r w:rsidRPr="00450693">
        <w:rPr>
          <w:lang w:val="en-CA"/>
        </w:rPr>
        <w:t> meeting included overarching aspects</w:t>
      </w:r>
      <w:r w:rsidRPr="00450693">
        <w:rPr>
          <w:rStyle w:val="FootnoteReference"/>
          <w:lang w:val="en-CA"/>
        </w:rPr>
        <w:footnoteReference w:id="20"/>
      </w:r>
      <w:r w:rsidRPr="00450693">
        <w:rPr>
          <w:lang w:val="en-CA"/>
        </w:rPr>
        <w:t xml:space="preserve"> that were already being applied in the context of enabling activities and stand-alone HFC </w:t>
      </w:r>
      <w:r w:rsidRPr="00206BED">
        <w:rPr>
          <w:lang w:val="en-CA"/>
        </w:rPr>
        <w:t>investment projects currently under implementation (these aspects are contained in Part III of Annex II to the present document). However, the Executive Committee has not reached an agreement on th</w:t>
      </w:r>
      <w:r w:rsidR="00112A03" w:rsidRPr="00206BED">
        <w:rPr>
          <w:lang w:val="en-CA"/>
        </w:rPr>
        <w:t>o</w:t>
      </w:r>
      <w:r w:rsidR="00450693" w:rsidRPr="00206BED">
        <w:rPr>
          <w:lang w:val="en-CA"/>
        </w:rPr>
        <w:t>se</w:t>
      </w:r>
      <w:r w:rsidRPr="00206BED">
        <w:rPr>
          <w:lang w:val="en-CA"/>
        </w:rPr>
        <w:t xml:space="preserve"> overarching aspects</w:t>
      </w:r>
      <w:r w:rsidRPr="00450693">
        <w:rPr>
          <w:lang w:val="en-CA"/>
        </w:rPr>
        <w:t xml:space="preserve">. </w:t>
      </w:r>
    </w:p>
    <w:p w14:paraId="34C26B56" w14:textId="50DB653F" w:rsidR="00703E6D" w:rsidRPr="00911A5F" w:rsidRDefault="00981E1E" w:rsidP="00911A5F">
      <w:pPr>
        <w:pStyle w:val="Heading1"/>
        <w:widowControl w:val="0"/>
        <w:rPr>
          <w:lang w:val="en-CA"/>
        </w:rPr>
      </w:pPr>
      <w:r w:rsidRPr="00450693">
        <w:rPr>
          <w:lang w:val="en-CA"/>
        </w:rPr>
        <w:t xml:space="preserve">Noting that the overarching aspects are being applied, the Executive Committee may wish to consider whether to incorporate the text contained in </w:t>
      </w:r>
      <w:r w:rsidR="00470D9B">
        <w:rPr>
          <w:lang w:val="en-CA"/>
        </w:rPr>
        <w:t xml:space="preserve">Part III of </w:t>
      </w:r>
      <w:r w:rsidRPr="00450693">
        <w:rPr>
          <w:lang w:val="en-CA"/>
        </w:rPr>
        <w:t>Annex II to the present document into the Draft template of the cost guidelines for the phase-down of HFCs contained in Annex I to the present document.</w:t>
      </w:r>
    </w:p>
    <w:p w14:paraId="4A8461F3" w14:textId="50E4AE1F" w:rsidR="00981E1E" w:rsidRPr="002611BD" w:rsidRDefault="00703E6D" w:rsidP="00911A5F">
      <w:pPr>
        <w:widowControl w:val="0"/>
        <w:tabs>
          <w:tab w:val="left" w:pos="8280"/>
        </w:tabs>
        <w:rPr>
          <w:b/>
          <w:lang w:val="en-CA"/>
        </w:rPr>
      </w:pPr>
      <w:r>
        <w:rPr>
          <w:b/>
          <w:lang w:val="en-CA"/>
        </w:rPr>
        <w:t>R</w:t>
      </w:r>
      <w:r w:rsidR="00981E1E" w:rsidRPr="002611BD">
        <w:rPr>
          <w:b/>
          <w:lang w:val="en-CA"/>
        </w:rPr>
        <w:t>ecommendation</w:t>
      </w:r>
    </w:p>
    <w:p w14:paraId="53AE7A39" w14:textId="77777777" w:rsidR="00981E1E" w:rsidRPr="00894FC4" w:rsidRDefault="00981E1E" w:rsidP="00911A5F">
      <w:pPr>
        <w:widowControl w:val="0"/>
        <w:tabs>
          <w:tab w:val="left" w:pos="8280"/>
        </w:tabs>
        <w:rPr>
          <w:highlight w:val="red"/>
          <w:lang w:val="en-CA"/>
        </w:rPr>
      </w:pPr>
    </w:p>
    <w:p w14:paraId="6793B977" w14:textId="77777777" w:rsidR="00981E1E" w:rsidRPr="00450693" w:rsidRDefault="00981E1E" w:rsidP="00911A5F">
      <w:pPr>
        <w:pStyle w:val="Heading1"/>
        <w:widowControl w:val="0"/>
        <w:rPr>
          <w:lang w:val="en-CA"/>
        </w:rPr>
      </w:pPr>
      <w:r w:rsidRPr="00450693">
        <w:rPr>
          <w:lang w:val="en-CA"/>
        </w:rPr>
        <w:t>The Executive Committee may wish:</w:t>
      </w:r>
    </w:p>
    <w:p w14:paraId="293F057D" w14:textId="4772324E" w:rsidR="00981E1E" w:rsidRPr="00CE25D2" w:rsidRDefault="00981E1E" w:rsidP="00911A5F">
      <w:pPr>
        <w:pStyle w:val="Heading2"/>
        <w:numPr>
          <w:ilvl w:val="1"/>
          <w:numId w:val="1"/>
        </w:numPr>
        <w:rPr>
          <w:lang w:val="en-CA"/>
        </w:rPr>
      </w:pPr>
      <w:r w:rsidRPr="00450693">
        <w:rPr>
          <w:lang w:val="en-CA"/>
        </w:rPr>
        <w:t>To note document UNEP/OzL.Pro/ExCom/</w:t>
      </w:r>
      <w:r w:rsidRPr="00911A5F">
        <w:rPr>
          <w:lang w:val="en-CA"/>
        </w:rPr>
        <w:t>8</w:t>
      </w:r>
      <w:r w:rsidR="00450693" w:rsidRPr="00911A5F">
        <w:rPr>
          <w:lang w:val="en-CA"/>
        </w:rPr>
        <w:t>4</w:t>
      </w:r>
      <w:r w:rsidRPr="00911A5F">
        <w:rPr>
          <w:lang w:val="en-CA"/>
        </w:rPr>
        <w:t>/</w:t>
      </w:r>
      <w:r w:rsidR="00565BF1" w:rsidRPr="00911A5F">
        <w:rPr>
          <w:lang w:val="en-CA"/>
        </w:rPr>
        <w:t>66</w:t>
      </w:r>
      <w:r w:rsidRPr="00911A5F">
        <w:rPr>
          <w:lang w:val="en-CA"/>
        </w:rPr>
        <w:t xml:space="preserve"> on</w:t>
      </w:r>
      <w:r w:rsidRPr="00450693">
        <w:rPr>
          <w:lang w:val="en-CA"/>
        </w:rPr>
        <w:t xml:space="preserve"> the development of the cost guidelines for the phase-down of HFCs in Article 5 countries: Draft criteria for funding; </w:t>
      </w:r>
      <w:r w:rsidR="00391B2A" w:rsidRPr="00CE25D2">
        <w:rPr>
          <w:lang w:val="en-CA"/>
        </w:rPr>
        <w:t xml:space="preserve">and </w:t>
      </w:r>
    </w:p>
    <w:p w14:paraId="71C25E87" w14:textId="4785467A" w:rsidR="00E84EB0" w:rsidRDefault="00450693" w:rsidP="00911A5F">
      <w:pPr>
        <w:pStyle w:val="Heading2"/>
        <w:numPr>
          <w:ilvl w:val="1"/>
          <w:numId w:val="1"/>
        </w:numPr>
        <w:rPr>
          <w:lang w:val="en-CA"/>
        </w:rPr>
      </w:pPr>
      <w:r w:rsidRPr="00CE25D2">
        <w:rPr>
          <w:lang w:val="en-CA"/>
        </w:rPr>
        <w:t xml:space="preserve">To </w:t>
      </w:r>
      <w:r w:rsidR="00981E1E" w:rsidRPr="00CE25D2">
        <w:rPr>
          <w:lang w:val="en-CA"/>
        </w:rPr>
        <w:t>continu</w:t>
      </w:r>
      <w:r w:rsidRPr="00CE25D2">
        <w:rPr>
          <w:lang w:val="en-CA"/>
        </w:rPr>
        <w:t>e</w:t>
      </w:r>
      <w:r w:rsidR="00981E1E" w:rsidRPr="00CE25D2">
        <w:rPr>
          <w:lang w:val="en-CA"/>
        </w:rPr>
        <w:t xml:space="preserve"> its deliberation of the cost guidelines for the phase-down of HFCs in Article 5 countries</w:t>
      </w:r>
      <w:r w:rsidR="00E84EB0" w:rsidRPr="00CE25D2">
        <w:rPr>
          <w:lang w:val="en-CA"/>
        </w:rPr>
        <w:t xml:space="preserve"> using as reference Annex II of the present </w:t>
      </w:r>
      <w:r w:rsidR="006A53A3" w:rsidRPr="00CE25D2">
        <w:rPr>
          <w:lang w:val="en-CA"/>
        </w:rPr>
        <w:t>document</w:t>
      </w:r>
      <w:r w:rsidR="005B665D" w:rsidRPr="00CE25D2">
        <w:rPr>
          <w:lang w:val="en-CA"/>
        </w:rPr>
        <w:t xml:space="preserve">, noting the </w:t>
      </w:r>
      <w:r w:rsidR="00470D9B" w:rsidRPr="00CE25D2">
        <w:rPr>
          <w:lang w:val="en-CA"/>
        </w:rPr>
        <w:t xml:space="preserve">highlighted blue </w:t>
      </w:r>
      <w:r w:rsidR="005B665D" w:rsidRPr="00CE25D2">
        <w:rPr>
          <w:lang w:val="en-CA"/>
        </w:rPr>
        <w:t xml:space="preserve">text in brackets </w:t>
      </w:r>
      <w:r w:rsidR="00470D9B">
        <w:rPr>
          <w:lang w:val="en-CA"/>
        </w:rPr>
        <w:t>added by</w:t>
      </w:r>
      <w:r w:rsidR="0013572C" w:rsidRPr="00CE25D2">
        <w:rPr>
          <w:lang w:val="en-CA"/>
        </w:rPr>
        <w:t xml:space="preserve"> the Secretariat</w:t>
      </w:r>
      <w:r w:rsidR="00470D9B">
        <w:rPr>
          <w:lang w:val="en-CA"/>
        </w:rPr>
        <w:t xml:space="preserve"> to facilitate discussion</w:t>
      </w:r>
      <w:r w:rsidR="00CE25D2">
        <w:rPr>
          <w:lang w:val="en-CA"/>
        </w:rPr>
        <w:t>.</w:t>
      </w:r>
      <w:r w:rsidR="006A53A3" w:rsidRPr="00CE25D2">
        <w:rPr>
          <w:lang w:val="en-CA"/>
        </w:rPr>
        <w:t xml:space="preserve"> </w:t>
      </w:r>
    </w:p>
    <w:p w14:paraId="5EEDA331" w14:textId="77777777" w:rsidR="00911A5F" w:rsidRPr="00911A5F" w:rsidRDefault="00911A5F" w:rsidP="00911A5F">
      <w:pPr>
        <w:rPr>
          <w:lang w:val="en-CA"/>
        </w:rPr>
      </w:pPr>
    </w:p>
    <w:p w14:paraId="41BC240F" w14:textId="77777777" w:rsidR="00981E1E" w:rsidRPr="00CF1E89" w:rsidRDefault="00981E1E" w:rsidP="000051E7">
      <w:pPr>
        <w:tabs>
          <w:tab w:val="left" w:pos="8280"/>
        </w:tabs>
        <w:rPr>
          <w:highlight w:val="yellow"/>
          <w:lang w:val="en-CA"/>
        </w:rPr>
        <w:sectPr w:rsidR="00981E1E" w:rsidRPr="00CF1E89" w:rsidSect="00E57EA7">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69C0196E" w14:textId="77777777" w:rsidR="00981E1E" w:rsidRPr="00391B2A" w:rsidRDefault="00981E1E" w:rsidP="000051E7">
      <w:pPr>
        <w:tabs>
          <w:tab w:val="left" w:pos="8280"/>
        </w:tabs>
        <w:jc w:val="center"/>
        <w:rPr>
          <w:b/>
          <w:lang w:val="en-CA"/>
        </w:rPr>
      </w:pPr>
      <w:r w:rsidRPr="00391B2A">
        <w:rPr>
          <w:b/>
          <w:lang w:val="en-CA"/>
        </w:rPr>
        <w:lastRenderedPageBreak/>
        <w:t>Annex I</w:t>
      </w:r>
    </w:p>
    <w:p w14:paraId="099C83D4" w14:textId="77777777" w:rsidR="00981E1E" w:rsidRPr="00391B2A" w:rsidRDefault="00981E1E" w:rsidP="000051E7">
      <w:pPr>
        <w:tabs>
          <w:tab w:val="left" w:pos="8280"/>
        </w:tabs>
        <w:jc w:val="center"/>
        <w:rPr>
          <w:b/>
          <w:lang w:val="en-CA"/>
        </w:rPr>
      </w:pPr>
    </w:p>
    <w:p w14:paraId="547A20F3" w14:textId="77777777" w:rsidR="00331FDE" w:rsidRPr="00391B2A" w:rsidRDefault="00331FDE" w:rsidP="000051E7">
      <w:pPr>
        <w:tabs>
          <w:tab w:val="left" w:pos="8280"/>
        </w:tabs>
        <w:jc w:val="center"/>
        <w:rPr>
          <w:b/>
          <w:lang w:val="en-CA"/>
        </w:rPr>
      </w:pPr>
      <w:r w:rsidRPr="00391B2A">
        <w:rPr>
          <w:b/>
          <w:lang w:val="en-CA"/>
        </w:rPr>
        <w:t>DRAFT TEMPLATE OF THE COST GUIDELINES FOR THE PHASE-DOWN OF HFCs</w:t>
      </w:r>
    </w:p>
    <w:p w14:paraId="6C4EE84F" w14:textId="77777777" w:rsidR="00331FDE" w:rsidRPr="00391B2A" w:rsidRDefault="00331FDE" w:rsidP="000051E7">
      <w:pPr>
        <w:tabs>
          <w:tab w:val="left" w:pos="8280"/>
        </w:tabs>
        <w:jc w:val="center"/>
        <w:rPr>
          <w:b/>
          <w:lang w:val="en-CA"/>
        </w:rPr>
      </w:pPr>
      <w:r w:rsidRPr="00391B2A">
        <w:rPr>
          <w:b/>
          <w:lang w:val="en-CA"/>
        </w:rPr>
        <w:t>(As of the 83</w:t>
      </w:r>
      <w:r w:rsidRPr="00391B2A">
        <w:rPr>
          <w:b/>
          <w:vertAlign w:val="superscript"/>
          <w:lang w:val="en-CA"/>
        </w:rPr>
        <w:t>rd</w:t>
      </w:r>
      <w:r w:rsidRPr="00391B2A">
        <w:rPr>
          <w:b/>
          <w:lang w:val="en-CA"/>
        </w:rPr>
        <w:t> meeting)</w:t>
      </w:r>
    </w:p>
    <w:p w14:paraId="2A331D54" w14:textId="77777777" w:rsidR="00331FDE" w:rsidRPr="00391B2A" w:rsidRDefault="00331FDE" w:rsidP="000051E7">
      <w:pPr>
        <w:tabs>
          <w:tab w:val="left" w:pos="8280"/>
        </w:tabs>
        <w:rPr>
          <w:lang w:val="en-CA"/>
        </w:rPr>
      </w:pPr>
    </w:p>
    <w:p w14:paraId="05F8F876" w14:textId="77777777" w:rsidR="00331FDE" w:rsidRPr="00391B2A" w:rsidRDefault="00331FDE" w:rsidP="000051E7">
      <w:pPr>
        <w:tabs>
          <w:tab w:val="left" w:pos="8280"/>
        </w:tabs>
        <w:rPr>
          <w:u w:val="single"/>
          <w:lang w:val="en-CA"/>
        </w:rPr>
      </w:pPr>
      <w:r w:rsidRPr="00391B2A">
        <w:rPr>
          <w:u w:val="single"/>
          <w:lang w:val="en-CA"/>
        </w:rPr>
        <w:t>Background</w:t>
      </w:r>
    </w:p>
    <w:p w14:paraId="3B606B48" w14:textId="77777777" w:rsidR="00331FDE" w:rsidRPr="00391B2A" w:rsidRDefault="00331FDE" w:rsidP="000051E7">
      <w:pPr>
        <w:tabs>
          <w:tab w:val="left" w:pos="8280"/>
        </w:tabs>
        <w:rPr>
          <w:lang w:val="en-CA"/>
        </w:rPr>
      </w:pPr>
    </w:p>
    <w:p w14:paraId="7D008DA2" w14:textId="77777777" w:rsidR="00331FDE" w:rsidRPr="00391B2A" w:rsidRDefault="00331FDE" w:rsidP="000051E7">
      <w:pPr>
        <w:numPr>
          <w:ilvl w:val="0"/>
          <w:numId w:val="25"/>
        </w:numPr>
        <w:spacing w:after="240"/>
        <w:outlineLvl w:val="0"/>
        <w:rPr>
          <w:lang w:val="en-CA"/>
        </w:rPr>
      </w:pPr>
      <w:r w:rsidRPr="00391B2A">
        <w:rPr>
          <w:lang w:val="en-CA"/>
        </w:rPr>
        <w:t>The present Annex contains the draft cost guidelines for the phase-down of HFCs based on the relevant elements of decision XXVIII/2 agreed by the Parties at their Twenty-Eighth Meeting. These draft cost guidelines contain elements agreed at the 78</w:t>
      </w:r>
      <w:r w:rsidRPr="00391B2A">
        <w:rPr>
          <w:vertAlign w:val="superscript"/>
          <w:lang w:val="en-CA"/>
        </w:rPr>
        <w:t>th</w:t>
      </w:r>
      <w:r w:rsidRPr="00391B2A">
        <w:rPr>
          <w:lang w:val="en-CA"/>
        </w:rPr>
        <w:t xml:space="preserve"> and 80</w:t>
      </w:r>
      <w:r w:rsidRPr="00391B2A">
        <w:rPr>
          <w:vertAlign w:val="superscript"/>
          <w:lang w:val="en-CA"/>
        </w:rPr>
        <w:t>th</w:t>
      </w:r>
      <w:r w:rsidRPr="00391B2A">
        <w:rPr>
          <w:lang w:val="en-CA"/>
        </w:rPr>
        <w:t> meetings of the Executive Committee, and will be updated pursuant to further discussions at future meetings of the Executive Committee.</w:t>
      </w:r>
    </w:p>
    <w:p w14:paraId="19466FF2" w14:textId="77777777" w:rsidR="00331FDE" w:rsidRPr="00391B2A" w:rsidRDefault="00331FDE" w:rsidP="000051E7">
      <w:pPr>
        <w:tabs>
          <w:tab w:val="left" w:pos="8280"/>
        </w:tabs>
        <w:rPr>
          <w:u w:val="single"/>
          <w:lang w:val="en-CA"/>
        </w:rPr>
      </w:pPr>
      <w:r w:rsidRPr="00391B2A">
        <w:rPr>
          <w:u w:val="single"/>
          <w:lang w:val="en-CA"/>
        </w:rPr>
        <w:t xml:space="preserve">Draft cost guidelines for the phase-down of HFCs </w:t>
      </w:r>
    </w:p>
    <w:p w14:paraId="3E416690" w14:textId="77777777" w:rsidR="00331FDE" w:rsidRPr="00391B2A" w:rsidRDefault="00331FDE" w:rsidP="000051E7">
      <w:pPr>
        <w:tabs>
          <w:tab w:val="left" w:pos="8280"/>
        </w:tabs>
        <w:rPr>
          <w:lang w:val="en-CA"/>
        </w:rPr>
      </w:pPr>
    </w:p>
    <w:p w14:paraId="6E087F5F" w14:textId="77777777" w:rsidR="00331FDE" w:rsidRPr="00391B2A" w:rsidRDefault="00331FDE" w:rsidP="000051E7">
      <w:pPr>
        <w:tabs>
          <w:tab w:val="left" w:pos="8280"/>
        </w:tabs>
        <w:rPr>
          <w:b/>
          <w:lang w:val="en-CA"/>
        </w:rPr>
      </w:pPr>
      <w:r w:rsidRPr="00391B2A">
        <w:rPr>
          <w:b/>
          <w:lang w:val="en-CA"/>
        </w:rPr>
        <w:t>Flexibility in implementation that enables Parties to select their own strategies and priorities in sectors and technologies</w:t>
      </w:r>
    </w:p>
    <w:p w14:paraId="570B5047" w14:textId="77777777" w:rsidR="00331FDE" w:rsidRPr="00391B2A" w:rsidRDefault="00331FDE" w:rsidP="000051E7">
      <w:pPr>
        <w:tabs>
          <w:tab w:val="left" w:pos="8280"/>
        </w:tabs>
        <w:rPr>
          <w:lang w:val="en-CA"/>
        </w:rPr>
      </w:pPr>
    </w:p>
    <w:p w14:paraId="68139BDE" w14:textId="77777777" w:rsidR="00331FDE" w:rsidRPr="00391B2A" w:rsidRDefault="00331FDE" w:rsidP="000051E7">
      <w:pPr>
        <w:numPr>
          <w:ilvl w:val="0"/>
          <w:numId w:val="1"/>
        </w:numPr>
        <w:spacing w:after="240"/>
        <w:outlineLvl w:val="0"/>
        <w:rPr>
          <w:lang w:val="en-CA"/>
        </w:rPr>
      </w:pPr>
      <w:r w:rsidRPr="00391B2A">
        <w:rPr>
          <w:lang w:val="en-CA"/>
        </w:rPr>
        <w:t>Article 5 countries will have flexibility to prioritize HFCs, define sectors, select technologies and alternatives and elaborate and implement their strategies to meet agreed HFC obligations, based on their specific needs and national circumstances, following a country-driven approach.</w:t>
      </w:r>
    </w:p>
    <w:p w14:paraId="534F78F3" w14:textId="77777777" w:rsidR="00331FDE" w:rsidRPr="00391B2A" w:rsidRDefault="00331FDE" w:rsidP="000051E7">
      <w:pPr>
        <w:tabs>
          <w:tab w:val="left" w:pos="8280"/>
        </w:tabs>
        <w:rPr>
          <w:b/>
          <w:lang w:val="en-CA"/>
        </w:rPr>
      </w:pPr>
      <w:r w:rsidRPr="00391B2A">
        <w:rPr>
          <w:b/>
          <w:lang w:val="en-CA"/>
        </w:rPr>
        <w:t>Cut-off date for eligible capacity</w:t>
      </w:r>
    </w:p>
    <w:p w14:paraId="2ADFF24C" w14:textId="77777777" w:rsidR="00331FDE" w:rsidRPr="00391B2A" w:rsidRDefault="00331FDE" w:rsidP="000051E7">
      <w:pPr>
        <w:tabs>
          <w:tab w:val="left" w:pos="8280"/>
        </w:tabs>
        <w:rPr>
          <w:lang w:val="en-CA"/>
        </w:rPr>
      </w:pPr>
    </w:p>
    <w:p w14:paraId="6C5F164A" w14:textId="77777777" w:rsidR="00331FDE" w:rsidRPr="00391B2A" w:rsidRDefault="00331FDE" w:rsidP="000051E7">
      <w:pPr>
        <w:numPr>
          <w:ilvl w:val="0"/>
          <w:numId w:val="1"/>
        </w:numPr>
        <w:spacing w:after="240"/>
        <w:outlineLvl w:val="0"/>
        <w:rPr>
          <w:lang w:val="en-CA"/>
        </w:rPr>
      </w:pPr>
      <w:r w:rsidRPr="00391B2A">
        <w:rPr>
          <w:lang w:val="en-CA"/>
        </w:rPr>
        <w:t>The cut-off date for eligible capacity is 1 January 2020 for those Parties with baseline years from 2020 to 2022, and 1 January 2024 for those Parties with baseline years from 2024 to 2026.</w:t>
      </w:r>
    </w:p>
    <w:p w14:paraId="16E6F611" w14:textId="77777777" w:rsidR="00331FDE" w:rsidRPr="00391B2A" w:rsidRDefault="00331FDE" w:rsidP="000051E7">
      <w:pPr>
        <w:tabs>
          <w:tab w:val="left" w:pos="8280"/>
        </w:tabs>
        <w:rPr>
          <w:b/>
          <w:lang w:val="en-CA"/>
        </w:rPr>
      </w:pPr>
      <w:r w:rsidRPr="00391B2A">
        <w:rPr>
          <w:b/>
          <w:lang w:val="en-CA"/>
        </w:rPr>
        <w:t>Second and third conversions</w:t>
      </w:r>
    </w:p>
    <w:p w14:paraId="357AB448" w14:textId="77777777" w:rsidR="00331FDE" w:rsidRPr="00391B2A" w:rsidRDefault="00331FDE" w:rsidP="000051E7">
      <w:pPr>
        <w:tabs>
          <w:tab w:val="left" w:pos="8280"/>
        </w:tabs>
        <w:rPr>
          <w:lang w:val="en-CA"/>
        </w:rPr>
      </w:pPr>
    </w:p>
    <w:p w14:paraId="3F62FA49" w14:textId="77777777" w:rsidR="00331FDE" w:rsidRPr="00391B2A" w:rsidRDefault="00331FDE" w:rsidP="000051E7">
      <w:pPr>
        <w:numPr>
          <w:ilvl w:val="0"/>
          <w:numId w:val="1"/>
        </w:numPr>
        <w:spacing w:after="240"/>
        <w:outlineLvl w:val="0"/>
        <w:rPr>
          <w:lang w:val="en-CA"/>
        </w:rPr>
      </w:pPr>
      <w:r w:rsidRPr="00391B2A">
        <w:rPr>
          <w:lang w:val="en-CA"/>
        </w:rPr>
        <w:t>To apply the following principles for second and third conversion projects:</w:t>
      </w:r>
    </w:p>
    <w:p w14:paraId="53288AF9" w14:textId="77777777" w:rsidR="00331FDE" w:rsidRPr="00391B2A" w:rsidRDefault="00331FDE" w:rsidP="000051E7">
      <w:pPr>
        <w:widowControl w:val="0"/>
        <w:numPr>
          <w:ilvl w:val="1"/>
          <w:numId w:val="1"/>
        </w:numPr>
        <w:spacing w:after="240"/>
        <w:outlineLvl w:val="1"/>
        <w:rPr>
          <w:lang w:val="en-CA"/>
        </w:rPr>
      </w:pPr>
      <w:r w:rsidRPr="00391B2A">
        <w:rPr>
          <w:lang w:val="en-CA"/>
        </w:rPr>
        <w:t xml:space="preserve">First conversions, in the context of a phase-down of HFCs, are defined as conversions to low-global-warming potential (GWP) or zero-GWP alternatives of enterprises that have never received any direct or indirect support, in part or in full, from the Multilateral Fund, including enterprises that converted to HFCs with their own resources; </w:t>
      </w:r>
    </w:p>
    <w:p w14:paraId="55686519" w14:textId="77777777" w:rsidR="00331FDE" w:rsidRPr="00391B2A" w:rsidRDefault="00331FDE" w:rsidP="000051E7">
      <w:pPr>
        <w:widowControl w:val="0"/>
        <w:numPr>
          <w:ilvl w:val="1"/>
          <w:numId w:val="1"/>
        </w:numPr>
        <w:spacing w:after="240"/>
        <w:outlineLvl w:val="1"/>
        <w:rPr>
          <w:lang w:val="en-CA"/>
        </w:rPr>
      </w:pPr>
      <w:r w:rsidRPr="00391B2A">
        <w:rPr>
          <w:lang w:val="en-CA"/>
        </w:rPr>
        <w:t>Enterprises that have already converted to HFCs in phasing out CFCs and/or HCFCs will be eligible to receive funding from the Multilateral Fund to meet agreed incremental costs in the same manner as enterprises eligible for first conversions;</w:t>
      </w:r>
    </w:p>
    <w:p w14:paraId="20FB467A" w14:textId="77777777" w:rsidR="00331FDE" w:rsidRPr="00391B2A" w:rsidRDefault="00331FDE" w:rsidP="000051E7">
      <w:pPr>
        <w:widowControl w:val="0"/>
        <w:numPr>
          <w:ilvl w:val="1"/>
          <w:numId w:val="1"/>
        </w:numPr>
        <w:spacing w:after="240"/>
        <w:outlineLvl w:val="1"/>
        <w:rPr>
          <w:lang w:val="en-CA"/>
        </w:rPr>
      </w:pPr>
      <w:r w:rsidRPr="00391B2A">
        <w:rPr>
          <w:lang w:val="en-CA"/>
        </w:rPr>
        <w:t xml:space="preserve">Enterprises that convert from HCFCs to high-GWP HFCs, after the date of adoption of the Amendment, under HCFC phase-out management plans already approved by the Executive Committee will be eligible to receive funding from the Multilateral Fund for a subsequent conversion to low-GWP or zero-GWP alternatives to meet agreed incremental costs in the same manner as enterprises eligible for first conversions; </w:t>
      </w:r>
    </w:p>
    <w:p w14:paraId="62CB7A5A" w14:textId="77777777" w:rsidR="00331FDE" w:rsidRPr="00391B2A" w:rsidRDefault="00331FDE" w:rsidP="000051E7">
      <w:pPr>
        <w:widowControl w:val="0"/>
        <w:numPr>
          <w:ilvl w:val="1"/>
          <w:numId w:val="1"/>
        </w:numPr>
        <w:spacing w:after="240"/>
        <w:outlineLvl w:val="1"/>
        <w:rPr>
          <w:lang w:val="en-CA"/>
        </w:rPr>
      </w:pPr>
      <w:r w:rsidRPr="00391B2A">
        <w:rPr>
          <w:lang w:val="en-CA"/>
        </w:rPr>
        <w:t>Enterprises that convert from HCFCs to high-GWP HFCs with their own resources before 2025 under the Amendment will be eligible to receive funding from the Multilateral Fund to meet agreed incremental costs in the same manner as enterprises eligible for first conversions; and</w:t>
      </w:r>
    </w:p>
    <w:p w14:paraId="3321CC34" w14:textId="77777777" w:rsidR="00331FDE" w:rsidRPr="00391B2A" w:rsidRDefault="00331FDE" w:rsidP="000051E7">
      <w:pPr>
        <w:keepNext/>
        <w:keepLines/>
        <w:widowControl w:val="0"/>
        <w:numPr>
          <w:ilvl w:val="1"/>
          <w:numId w:val="1"/>
        </w:numPr>
        <w:spacing w:after="240"/>
        <w:outlineLvl w:val="1"/>
        <w:rPr>
          <w:lang w:val="en-CA"/>
        </w:rPr>
      </w:pPr>
      <w:r w:rsidRPr="00391B2A">
        <w:rPr>
          <w:lang w:val="en-CA"/>
        </w:rPr>
        <w:lastRenderedPageBreak/>
        <w:t>Enterprises that convert from HFCs to lower-GWP HFCs with Multilateral Fund support when no other alternatives are available will be eligible to receive funding from the Multilateral Fund for a subsequent conversion to low-GWP or zero-GWP alternatives if necessary to meet the final HFC phase-down step.</w:t>
      </w:r>
    </w:p>
    <w:p w14:paraId="32A3A3E2" w14:textId="77777777" w:rsidR="00331FDE" w:rsidRPr="00391B2A" w:rsidRDefault="00331FDE" w:rsidP="000051E7">
      <w:pPr>
        <w:tabs>
          <w:tab w:val="left" w:pos="8280"/>
        </w:tabs>
        <w:rPr>
          <w:b/>
          <w:lang w:val="en-CA"/>
        </w:rPr>
      </w:pPr>
      <w:r w:rsidRPr="00391B2A">
        <w:rPr>
          <w:b/>
          <w:lang w:val="en-CA"/>
        </w:rPr>
        <w:t>Sustained aggregate reductions</w:t>
      </w:r>
    </w:p>
    <w:p w14:paraId="4AD2E965" w14:textId="77777777" w:rsidR="00331FDE" w:rsidRPr="00391B2A" w:rsidRDefault="00331FDE" w:rsidP="000051E7">
      <w:pPr>
        <w:tabs>
          <w:tab w:val="left" w:pos="8280"/>
        </w:tabs>
        <w:rPr>
          <w:lang w:val="en-CA"/>
        </w:rPr>
      </w:pPr>
    </w:p>
    <w:p w14:paraId="1850AECC" w14:textId="77777777" w:rsidR="00331FDE" w:rsidRPr="00391B2A" w:rsidRDefault="00331FDE" w:rsidP="000051E7">
      <w:pPr>
        <w:numPr>
          <w:ilvl w:val="0"/>
          <w:numId w:val="1"/>
        </w:numPr>
        <w:spacing w:after="240"/>
        <w:outlineLvl w:val="0"/>
        <w:rPr>
          <w:lang w:val="en-CA"/>
        </w:rPr>
      </w:pPr>
      <w:r w:rsidRPr="00391B2A">
        <w:rPr>
          <w:lang w:val="en-CA"/>
        </w:rPr>
        <w:t>The remaining eligible consumption for funding in tonnage will be determined on the basis of the starting point of national aggregate consumption less the amount funded by previously approved projects in future multi-year agreement templates for HFC phase-down plans.</w:t>
      </w:r>
    </w:p>
    <w:p w14:paraId="6A4E792F" w14:textId="77777777" w:rsidR="00331FDE" w:rsidRPr="00391B2A" w:rsidRDefault="00331FDE" w:rsidP="000051E7">
      <w:pPr>
        <w:tabs>
          <w:tab w:val="left" w:pos="8280"/>
        </w:tabs>
        <w:rPr>
          <w:b/>
          <w:lang w:val="en-CA"/>
        </w:rPr>
      </w:pPr>
      <w:r w:rsidRPr="00391B2A">
        <w:rPr>
          <w:b/>
          <w:lang w:val="en-CA"/>
        </w:rPr>
        <w:t>Eligible incremental costs</w:t>
      </w:r>
    </w:p>
    <w:p w14:paraId="5F8BFF4D" w14:textId="77777777" w:rsidR="00331FDE" w:rsidRPr="00391B2A" w:rsidRDefault="00331FDE" w:rsidP="000051E7">
      <w:pPr>
        <w:tabs>
          <w:tab w:val="left" w:pos="8280"/>
        </w:tabs>
        <w:rPr>
          <w:lang w:val="en-CA"/>
        </w:rPr>
      </w:pPr>
    </w:p>
    <w:p w14:paraId="18CE1726" w14:textId="77777777" w:rsidR="00331FDE" w:rsidRPr="00391B2A" w:rsidRDefault="00331FDE" w:rsidP="000051E7">
      <w:pPr>
        <w:tabs>
          <w:tab w:val="left" w:pos="8280"/>
        </w:tabs>
        <w:ind w:left="720"/>
        <w:rPr>
          <w:i/>
          <w:lang w:val="en-CA"/>
        </w:rPr>
      </w:pPr>
      <w:r w:rsidRPr="00391B2A">
        <w:rPr>
          <w:i/>
          <w:lang w:val="en-CA"/>
        </w:rPr>
        <w:t>Consumption manufacturing sector</w:t>
      </w:r>
    </w:p>
    <w:p w14:paraId="355ACF0B" w14:textId="77777777" w:rsidR="00331FDE" w:rsidRPr="00391B2A" w:rsidRDefault="00331FDE" w:rsidP="000051E7">
      <w:pPr>
        <w:tabs>
          <w:tab w:val="left" w:pos="8280"/>
        </w:tabs>
        <w:rPr>
          <w:lang w:val="en-CA"/>
        </w:rPr>
      </w:pPr>
    </w:p>
    <w:p w14:paraId="77C5A259" w14:textId="77777777" w:rsidR="00331FDE" w:rsidRPr="00391B2A" w:rsidRDefault="00331FDE" w:rsidP="000051E7">
      <w:pPr>
        <w:numPr>
          <w:ilvl w:val="0"/>
          <w:numId w:val="1"/>
        </w:numPr>
        <w:spacing w:after="240"/>
        <w:outlineLvl w:val="0"/>
        <w:rPr>
          <w:lang w:val="en-CA"/>
        </w:rPr>
      </w:pPr>
      <w:r w:rsidRPr="00391B2A">
        <w:rPr>
          <w:lang w:val="en-CA"/>
        </w:rPr>
        <w:t>To make the following categories of costs eligible and to include them in the cost calculation associated with the phase-down of HFCs in the consumption manufacturing sector:</w:t>
      </w:r>
    </w:p>
    <w:p w14:paraId="73F229DD" w14:textId="77777777" w:rsidR="00331FDE" w:rsidRPr="00391B2A" w:rsidRDefault="00331FDE" w:rsidP="000051E7">
      <w:pPr>
        <w:widowControl w:val="0"/>
        <w:numPr>
          <w:ilvl w:val="1"/>
          <w:numId w:val="1"/>
        </w:numPr>
        <w:spacing w:after="240"/>
        <w:outlineLvl w:val="1"/>
        <w:rPr>
          <w:lang w:val="en-CA"/>
        </w:rPr>
      </w:pPr>
      <w:r w:rsidRPr="00391B2A">
        <w:rPr>
          <w:lang w:val="en-CA"/>
        </w:rPr>
        <w:t>Incremental capital costs;</w:t>
      </w:r>
    </w:p>
    <w:p w14:paraId="2C3CF51A" w14:textId="77777777" w:rsidR="00331FDE" w:rsidRPr="00391B2A" w:rsidRDefault="00331FDE" w:rsidP="000051E7">
      <w:pPr>
        <w:widowControl w:val="0"/>
        <w:numPr>
          <w:ilvl w:val="1"/>
          <w:numId w:val="1"/>
        </w:numPr>
        <w:spacing w:after="240"/>
        <w:outlineLvl w:val="1"/>
        <w:rPr>
          <w:lang w:val="en-CA"/>
        </w:rPr>
      </w:pPr>
      <w:r w:rsidRPr="00391B2A">
        <w:rPr>
          <w:lang w:val="en-CA"/>
        </w:rPr>
        <w:t>Incremental operating costs for a duration to be determined by the Executive Committee;</w:t>
      </w:r>
    </w:p>
    <w:p w14:paraId="3993BCFD" w14:textId="77777777" w:rsidR="00331FDE" w:rsidRPr="00391B2A" w:rsidRDefault="00331FDE" w:rsidP="000051E7">
      <w:pPr>
        <w:widowControl w:val="0"/>
        <w:numPr>
          <w:ilvl w:val="1"/>
          <w:numId w:val="1"/>
        </w:numPr>
        <w:spacing w:after="240"/>
        <w:outlineLvl w:val="1"/>
        <w:rPr>
          <w:lang w:val="en-CA"/>
        </w:rPr>
      </w:pPr>
      <w:r w:rsidRPr="00391B2A">
        <w:rPr>
          <w:lang w:val="en-CA"/>
        </w:rPr>
        <w:t xml:space="preserve">Technical assistance activities; </w:t>
      </w:r>
    </w:p>
    <w:p w14:paraId="73C607E1" w14:textId="77777777" w:rsidR="00331FDE" w:rsidRPr="00391B2A" w:rsidRDefault="00331FDE" w:rsidP="000051E7">
      <w:pPr>
        <w:widowControl w:val="0"/>
        <w:numPr>
          <w:ilvl w:val="1"/>
          <w:numId w:val="1"/>
        </w:numPr>
        <w:spacing w:after="240"/>
        <w:outlineLvl w:val="1"/>
        <w:rPr>
          <w:lang w:val="en-CA"/>
        </w:rPr>
      </w:pPr>
      <w:r w:rsidRPr="00391B2A">
        <w:rPr>
          <w:lang w:val="en-CA"/>
        </w:rPr>
        <w:t>Research and development, when required to adapt and optimize alternatives to HFCs with low or zero GWP;</w:t>
      </w:r>
    </w:p>
    <w:p w14:paraId="0F293801" w14:textId="77777777" w:rsidR="00331FDE" w:rsidRPr="00391B2A" w:rsidRDefault="00331FDE" w:rsidP="000051E7">
      <w:pPr>
        <w:widowControl w:val="0"/>
        <w:numPr>
          <w:ilvl w:val="1"/>
          <w:numId w:val="1"/>
        </w:numPr>
        <w:spacing w:after="240"/>
        <w:outlineLvl w:val="1"/>
        <w:rPr>
          <w:lang w:val="en-CA"/>
        </w:rPr>
      </w:pPr>
      <w:r w:rsidRPr="00391B2A">
        <w:rPr>
          <w:lang w:val="en-CA"/>
        </w:rPr>
        <w:t>Costs of patents and designs, and incremental costs of royalties, when necessary and cost</w:t>
      </w:r>
      <w:r w:rsidRPr="00391B2A">
        <w:rPr>
          <w:lang w:val="en-CA"/>
        </w:rPr>
        <w:noBreakHyphen/>
        <w:t>effective; and</w:t>
      </w:r>
    </w:p>
    <w:p w14:paraId="3B563C2E" w14:textId="77777777" w:rsidR="00331FDE" w:rsidRPr="00391B2A" w:rsidRDefault="00331FDE" w:rsidP="000051E7">
      <w:pPr>
        <w:widowControl w:val="0"/>
        <w:numPr>
          <w:ilvl w:val="1"/>
          <w:numId w:val="1"/>
        </w:numPr>
        <w:spacing w:after="240"/>
        <w:outlineLvl w:val="1"/>
        <w:rPr>
          <w:lang w:val="en-CA"/>
        </w:rPr>
      </w:pPr>
      <w:r w:rsidRPr="00391B2A">
        <w:rPr>
          <w:lang w:val="en-CA"/>
        </w:rPr>
        <w:t>Costs of the safe introduction of flammable and toxic alternatives.</w:t>
      </w:r>
    </w:p>
    <w:p w14:paraId="764F84ED" w14:textId="77777777" w:rsidR="00331FDE" w:rsidRPr="00391B2A" w:rsidRDefault="00331FDE" w:rsidP="000051E7">
      <w:pPr>
        <w:tabs>
          <w:tab w:val="left" w:pos="8280"/>
        </w:tabs>
        <w:ind w:left="720"/>
        <w:rPr>
          <w:i/>
          <w:lang w:val="en-CA"/>
        </w:rPr>
      </w:pPr>
      <w:r w:rsidRPr="00391B2A">
        <w:rPr>
          <w:i/>
          <w:lang w:val="en-CA"/>
        </w:rPr>
        <w:t>Production sector</w:t>
      </w:r>
    </w:p>
    <w:p w14:paraId="63AB7E98" w14:textId="77777777" w:rsidR="00331FDE" w:rsidRPr="00391B2A" w:rsidRDefault="00331FDE" w:rsidP="000051E7">
      <w:pPr>
        <w:tabs>
          <w:tab w:val="left" w:pos="8280"/>
        </w:tabs>
        <w:rPr>
          <w:lang w:val="en-CA"/>
        </w:rPr>
      </w:pPr>
    </w:p>
    <w:p w14:paraId="452468DB" w14:textId="77777777" w:rsidR="00331FDE" w:rsidRPr="00391B2A" w:rsidRDefault="00331FDE" w:rsidP="000051E7">
      <w:pPr>
        <w:numPr>
          <w:ilvl w:val="0"/>
          <w:numId w:val="1"/>
        </w:numPr>
        <w:spacing w:after="240"/>
        <w:outlineLvl w:val="0"/>
        <w:rPr>
          <w:lang w:val="en-CA"/>
        </w:rPr>
      </w:pPr>
      <w:r w:rsidRPr="00391B2A">
        <w:rPr>
          <w:lang w:val="en-CA"/>
        </w:rPr>
        <w:t>To make the following categories of costs eligible and to include them in the cost calculation associated with the phase-down of HFCs in the production sector:</w:t>
      </w:r>
    </w:p>
    <w:p w14:paraId="20D77905" w14:textId="77777777" w:rsidR="00331FDE" w:rsidRPr="00391B2A" w:rsidRDefault="00331FDE" w:rsidP="000051E7">
      <w:pPr>
        <w:widowControl w:val="0"/>
        <w:numPr>
          <w:ilvl w:val="1"/>
          <w:numId w:val="1"/>
        </w:numPr>
        <w:spacing w:after="240"/>
        <w:outlineLvl w:val="1"/>
        <w:rPr>
          <w:lang w:val="en-CA"/>
        </w:rPr>
      </w:pPr>
      <w:r w:rsidRPr="00391B2A">
        <w:rPr>
          <w:lang w:val="en-CA"/>
        </w:rPr>
        <w:t>Lost profit due to the shutdown/closure of production facilities, as well as production reduction;</w:t>
      </w:r>
    </w:p>
    <w:p w14:paraId="054A7808" w14:textId="77777777" w:rsidR="00331FDE" w:rsidRPr="00391B2A" w:rsidRDefault="00331FDE" w:rsidP="000051E7">
      <w:pPr>
        <w:widowControl w:val="0"/>
        <w:numPr>
          <w:ilvl w:val="1"/>
          <w:numId w:val="1"/>
        </w:numPr>
        <w:spacing w:after="240"/>
        <w:outlineLvl w:val="1"/>
        <w:rPr>
          <w:lang w:val="en-CA"/>
        </w:rPr>
      </w:pPr>
      <w:r w:rsidRPr="00391B2A">
        <w:rPr>
          <w:lang w:val="en-CA"/>
        </w:rPr>
        <w:t>Compensation for displaced workers;</w:t>
      </w:r>
    </w:p>
    <w:p w14:paraId="14EB7BC3" w14:textId="77777777" w:rsidR="00331FDE" w:rsidRPr="00391B2A" w:rsidRDefault="00331FDE" w:rsidP="000051E7">
      <w:pPr>
        <w:widowControl w:val="0"/>
        <w:numPr>
          <w:ilvl w:val="1"/>
          <w:numId w:val="1"/>
        </w:numPr>
        <w:spacing w:after="240"/>
        <w:outlineLvl w:val="1"/>
        <w:rPr>
          <w:lang w:val="en-CA"/>
        </w:rPr>
      </w:pPr>
      <w:r w:rsidRPr="00391B2A">
        <w:rPr>
          <w:lang w:val="en-CA"/>
        </w:rPr>
        <w:t>Dismantling of production facilities;</w:t>
      </w:r>
    </w:p>
    <w:p w14:paraId="28F7ABCD" w14:textId="77777777" w:rsidR="00331FDE" w:rsidRPr="00391B2A" w:rsidRDefault="00331FDE" w:rsidP="000051E7">
      <w:pPr>
        <w:widowControl w:val="0"/>
        <w:numPr>
          <w:ilvl w:val="1"/>
          <w:numId w:val="1"/>
        </w:numPr>
        <w:spacing w:after="240"/>
        <w:outlineLvl w:val="1"/>
        <w:rPr>
          <w:lang w:val="en-CA"/>
        </w:rPr>
      </w:pPr>
      <w:r w:rsidRPr="00391B2A">
        <w:rPr>
          <w:lang w:val="en-CA"/>
        </w:rPr>
        <w:t>Technical assistance activities;</w:t>
      </w:r>
    </w:p>
    <w:p w14:paraId="4086A7A5" w14:textId="77777777" w:rsidR="00331FDE" w:rsidRPr="00391B2A" w:rsidRDefault="00331FDE" w:rsidP="000051E7">
      <w:pPr>
        <w:widowControl w:val="0"/>
        <w:numPr>
          <w:ilvl w:val="1"/>
          <w:numId w:val="1"/>
        </w:numPr>
        <w:spacing w:after="240"/>
        <w:outlineLvl w:val="1"/>
        <w:rPr>
          <w:lang w:val="en-CA"/>
        </w:rPr>
      </w:pPr>
      <w:r w:rsidRPr="00391B2A">
        <w:rPr>
          <w:lang w:val="en-CA"/>
        </w:rPr>
        <w:t xml:space="preserve">Research and development related to the production of low-GWP or zero-GWP alternatives to HFCs with a view to lowering the costs of alternatives; </w:t>
      </w:r>
    </w:p>
    <w:p w14:paraId="08DA4C6C" w14:textId="77777777" w:rsidR="00331FDE" w:rsidRPr="00391B2A" w:rsidRDefault="00331FDE" w:rsidP="000051E7">
      <w:pPr>
        <w:widowControl w:val="0"/>
        <w:numPr>
          <w:ilvl w:val="1"/>
          <w:numId w:val="1"/>
        </w:numPr>
        <w:spacing w:after="240"/>
        <w:outlineLvl w:val="1"/>
        <w:rPr>
          <w:lang w:val="en-CA"/>
        </w:rPr>
      </w:pPr>
      <w:r w:rsidRPr="00391B2A">
        <w:rPr>
          <w:lang w:val="en-CA"/>
        </w:rPr>
        <w:t>Costs of patents and designs or incremental costs of royalties;</w:t>
      </w:r>
    </w:p>
    <w:p w14:paraId="39B278CB" w14:textId="77777777" w:rsidR="00331FDE" w:rsidRPr="00391B2A" w:rsidRDefault="00331FDE" w:rsidP="000051E7">
      <w:pPr>
        <w:keepNext/>
        <w:keepLines/>
        <w:widowControl w:val="0"/>
        <w:numPr>
          <w:ilvl w:val="1"/>
          <w:numId w:val="1"/>
        </w:numPr>
        <w:spacing w:after="240"/>
        <w:outlineLvl w:val="1"/>
        <w:rPr>
          <w:lang w:val="en-CA"/>
        </w:rPr>
      </w:pPr>
      <w:r w:rsidRPr="00391B2A">
        <w:rPr>
          <w:lang w:val="en-CA"/>
        </w:rPr>
        <w:lastRenderedPageBreak/>
        <w:t>Costs of converting facilities to produce low-GWP or zero-GWP alternatives to HFCs when technically feasible and cost-effective; and</w:t>
      </w:r>
    </w:p>
    <w:p w14:paraId="0ED0C802" w14:textId="77777777" w:rsidR="00331FDE" w:rsidRPr="00391B2A" w:rsidRDefault="00331FDE" w:rsidP="000051E7">
      <w:pPr>
        <w:widowControl w:val="0"/>
        <w:numPr>
          <w:ilvl w:val="1"/>
          <w:numId w:val="1"/>
        </w:numPr>
        <w:spacing w:after="240"/>
        <w:outlineLvl w:val="1"/>
        <w:rPr>
          <w:lang w:val="en-CA"/>
        </w:rPr>
      </w:pPr>
      <w:r w:rsidRPr="00391B2A">
        <w:rPr>
          <w:lang w:val="en-CA"/>
        </w:rPr>
        <w:t>Costs of reducing emissions of HFC-23, a by-product from the production process of HCFC-22, by reducing its emission rate in the process, destroying it from the off-gas, or by collecting and converting it to other environmentally safe chemicals; such costs should be funded by the Multilateral Fund to meet the obligations of Article 5 Parties specified under the Amendment.</w:t>
      </w:r>
    </w:p>
    <w:p w14:paraId="7A95BA68" w14:textId="77777777" w:rsidR="00331FDE" w:rsidRPr="00391B2A" w:rsidRDefault="00331FDE" w:rsidP="000051E7">
      <w:pPr>
        <w:tabs>
          <w:tab w:val="left" w:pos="8280"/>
        </w:tabs>
        <w:ind w:left="720"/>
        <w:rPr>
          <w:i/>
          <w:lang w:val="en-CA"/>
        </w:rPr>
      </w:pPr>
      <w:r w:rsidRPr="00391B2A">
        <w:rPr>
          <w:i/>
          <w:lang w:val="en-CA"/>
        </w:rPr>
        <w:t>Refrigeration servicing sector</w:t>
      </w:r>
    </w:p>
    <w:p w14:paraId="5D1D2523" w14:textId="77777777" w:rsidR="00331FDE" w:rsidRPr="00391B2A" w:rsidRDefault="00331FDE" w:rsidP="000051E7">
      <w:pPr>
        <w:tabs>
          <w:tab w:val="left" w:pos="8280"/>
        </w:tabs>
        <w:rPr>
          <w:lang w:val="en-CA"/>
        </w:rPr>
      </w:pPr>
    </w:p>
    <w:p w14:paraId="42268535" w14:textId="77777777" w:rsidR="00331FDE" w:rsidRPr="00391B2A" w:rsidRDefault="00331FDE" w:rsidP="000051E7">
      <w:pPr>
        <w:numPr>
          <w:ilvl w:val="0"/>
          <w:numId w:val="1"/>
        </w:numPr>
        <w:spacing w:after="240"/>
        <w:outlineLvl w:val="0"/>
        <w:rPr>
          <w:lang w:val="en-CA"/>
        </w:rPr>
      </w:pPr>
      <w:r w:rsidRPr="00391B2A">
        <w:rPr>
          <w:lang w:val="en-CA"/>
        </w:rPr>
        <w:t>To make the following categories of costs eligible and to include them in the cost calculation associated with the phase-down of HFCs in the refrigeration servicing sector:</w:t>
      </w:r>
    </w:p>
    <w:p w14:paraId="5AD125C2" w14:textId="77777777" w:rsidR="00331FDE" w:rsidRPr="00391B2A" w:rsidRDefault="00331FDE" w:rsidP="000051E7">
      <w:pPr>
        <w:widowControl w:val="0"/>
        <w:numPr>
          <w:ilvl w:val="1"/>
          <w:numId w:val="1"/>
        </w:numPr>
        <w:spacing w:after="240"/>
        <w:outlineLvl w:val="1"/>
        <w:rPr>
          <w:lang w:val="en-CA"/>
        </w:rPr>
      </w:pPr>
      <w:r w:rsidRPr="00391B2A">
        <w:rPr>
          <w:lang w:val="en-CA"/>
        </w:rPr>
        <w:t>Public awareness activities;</w:t>
      </w:r>
    </w:p>
    <w:p w14:paraId="24A265B6" w14:textId="77777777" w:rsidR="00331FDE" w:rsidRPr="00391B2A" w:rsidRDefault="00331FDE" w:rsidP="000051E7">
      <w:pPr>
        <w:widowControl w:val="0"/>
        <w:numPr>
          <w:ilvl w:val="1"/>
          <w:numId w:val="1"/>
        </w:numPr>
        <w:spacing w:after="240"/>
        <w:outlineLvl w:val="1"/>
        <w:rPr>
          <w:lang w:val="en-CA"/>
        </w:rPr>
      </w:pPr>
      <w:r w:rsidRPr="00391B2A">
        <w:rPr>
          <w:lang w:val="en-CA"/>
        </w:rPr>
        <w:t>Policy development and implementation;</w:t>
      </w:r>
    </w:p>
    <w:p w14:paraId="0524AF9E" w14:textId="6F118C9D" w:rsidR="00331FDE" w:rsidRPr="00391B2A" w:rsidRDefault="00331FDE" w:rsidP="000051E7">
      <w:pPr>
        <w:widowControl w:val="0"/>
        <w:numPr>
          <w:ilvl w:val="1"/>
          <w:numId w:val="1"/>
        </w:numPr>
        <w:spacing w:after="240"/>
        <w:outlineLvl w:val="1"/>
        <w:rPr>
          <w:lang w:val="en-CA"/>
        </w:rPr>
      </w:pPr>
      <w:r w:rsidRPr="00391B2A">
        <w:rPr>
          <w:lang w:val="en-CA"/>
        </w:rPr>
        <w:t>Certification programmes and training of technicians on safe handling, good practice</w:t>
      </w:r>
      <w:r w:rsidR="005E6567">
        <w:rPr>
          <w:lang w:val="en-CA"/>
        </w:rPr>
        <w:t>s</w:t>
      </w:r>
      <w:r w:rsidRPr="00391B2A">
        <w:rPr>
          <w:lang w:val="en-CA"/>
        </w:rPr>
        <w:t xml:space="preserve"> and safety in respect of alternatives, including training equipment;</w:t>
      </w:r>
    </w:p>
    <w:p w14:paraId="6B71F239" w14:textId="77777777" w:rsidR="00331FDE" w:rsidRPr="00391B2A" w:rsidRDefault="00331FDE" w:rsidP="000051E7">
      <w:pPr>
        <w:widowControl w:val="0"/>
        <w:numPr>
          <w:ilvl w:val="1"/>
          <w:numId w:val="1"/>
        </w:numPr>
        <w:spacing w:after="240"/>
        <w:outlineLvl w:val="1"/>
        <w:rPr>
          <w:lang w:val="en-CA"/>
        </w:rPr>
      </w:pPr>
      <w:r w:rsidRPr="00391B2A">
        <w:rPr>
          <w:lang w:val="en-CA"/>
        </w:rPr>
        <w:t>Training of customs officers;</w:t>
      </w:r>
    </w:p>
    <w:p w14:paraId="0D666CE5" w14:textId="77777777" w:rsidR="00331FDE" w:rsidRPr="00391B2A" w:rsidRDefault="00331FDE" w:rsidP="000051E7">
      <w:pPr>
        <w:widowControl w:val="0"/>
        <w:numPr>
          <w:ilvl w:val="1"/>
          <w:numId w:val="1"/>
        </w:numPr>
        <w:spacing w:after="240"/>
        <w:outlineLvl w:val="1"/>
        <w:rPr>
          <w:lang w:val="en-CA"/>
        </w:rPr>
      </w:pPr>
      <w:r w:rsidRPr="00391B2A">
        <w:rPr>
          <w:lang w:val="en-CA"/>
        </w:rPr>
        <w:t>Prevention of illegal trade of HFCs;</w:t>
      </w:r>
    </w:p>
    <w:p w14:paraId="2D6C4E28" w14:textId="77777777" w:rsidR="00331FDE" w:rsidRPr="00391B2A" w:rsidRDefault="00331FDE" w:rsidP="000051E7">
      <w:pPr>
        <w:widowControl w:val="0"/>
        <w:numPr>
          <w:ilvl w:val="1"/>
          <w:numId w:val="1"/>
        </w:numPr>
        <w:spacing w:after="240"/>
        <w:outlineLvl w:val="1"/>
        <w:rPr>
          <w:lang w:val="en-CA"/>
        </w:rPr>
      </w:pPr>
      <w:r w:rsidRPr="00391B2A">
        <w:rPr>
          <w:lang w:val="en-CA"/>
        </w:rPr>
        <w:t xml:space="preserve">Servicing tools; </w:t>
      </w:r>
    </w:p>
    <w:p w14:paraId="2EFF1A84" w14:textId="77777777" w:rsidR="00331FDE" w:rsidRPr="00391B2A" w:rsidRDefault="00331FDE" w:rsidP="000051E7">
      <w:pPr>
        <w:widowControl w:val="0"/>
        <w:numPr>
          <w:ilvl w:val="1"/>
          <w:numId w:val="1"/>
        </w:numPr>
        <w:spacing w:after="240"/>
        <w:outlineLvl w:val="1"/>
        <w:rPr>
          <w:lang w:val="en-CA"/>
        </w:rPr>
      </w:pPr>
      <w:r w:rsidRPr="00391B2A">
        <w:rPr>
          <w:lang w:val="en-CA"/>
        </w:rPr>
        <w:t>Refrigerant testing equipment for the refrigeration and air-conditioning sector; and</w:t>
      </w:r>
    </w:p>
    <w:p w14:paraId="0BA90675" w14:textId="77777777" w:rsidR="00331FDE" w:rsidRPr="00391B2A" w:rsidRDefault="00331FDE" w:rsidP="000051E7">
      <w:pPr>
        <w:widowControl w:val="0"/>
        <w:numPr>
          <w:ilvl w:val="1"/>
          <w:numId w:val="1"/>
        </w:numPr>
        <w:spacing w:after="240"/>
        <w:outlineLvl w:val="1"/>
        <w:rPr>
          <w:lang w:val="en-CA"/>
        </w:rPr>
      </w:pPr>
      <w:r w:rsidRPr="00391B2A">
        <w:rPr>
          <w:lang w:val="en-CA"/>
        </w:rPr>
        <w:t>Recycling and recovery of HFCs.</w:t>
      </w:r>
    </w:p>
    <w:p w14:paraId="6E697B6F" w14:textId="77777777" w:rsidR="00331FDE" w:rsidRPr="00391B2A" w:rsidRDefault="00331FDE" w:rsidP="000051E7">
      <w:pPr>
        <w:tabs>
          <w:tab w:val="left" w:pos="8280"/>
        </w:tabs>
        <w:rPr>
          <w:b/>
          <w:lang w:val="en-CA"/>
        </w:rPr>
      </w:pPr>
      <w:r w:rsidRPr="00391B2A">
        <w:rPr>
          <w:b/>
          <w:lang w:val="en-CA"/>
        </w:rPr>
        <w:t>Energy efficiency</w:t>
      </w:r>
    </w:p>
    <w:p w14:paraId="5FB155B9" w14:textId="77777777" w:rsidR="00331FDE" w:rsidRPr="00391B2A" w:rsidRDefault="00331FDE" w:rsidP="000051E7">
      <w:pPr>
        <w:tabs>
          <w:tab w:val="left" w:pos="8280"/>
        </w:tabs>
        <w:rPr>
          <w:b/>
          <w:lang w:val="en-CA"/>
        </w:rPr>
      </w:pPr>
    </w:p>
    <w:p w14:paraId="3132728C" w14:textId="77777777" w:rsidR="00331FDE" w:rsidRPr="00391B2A" w:rsidRDefault="00331FDE" w:rsidP="000051E7">
      <w:pPr>
        <w:tabs>
          <w:tab w:val="left" w:pos="8280"/>
        </w:tabs>
        <w:rPr>
          <w:b/>
          <w:lang w:val="en-CA"/>
        </w:rPr>
      </w:pPr>
      <w:r w:rsidRPr="00391B2A">
        <w:rPr>
          <w:b/>
          <w:lang w:val="en-CA"/>
        </w:rPr>
        <w:t>Capacity building to address safety</w:t>
      </w:r>
    </w:p>
    <w:p w14:paraId="7761449D" w14:textId="77777777" w:rsidR="00331FDE" w:rsidRPr="00391B2A" w:rsidRDefault="00331FDE" w:rsidP="000051E7">
      <w:pPr>
        <w:tabs>
          <w:tab w:val="left" w:pos="8280"/>
        </w:tabs>
        <w:rPr>
          <w:b/>
          <w:lang w:val="en-CA"/>
        </w:rPr>
      </w:pPr>
    </w:p>
    <w:p w14:paraId="6992407B" w14:textId="77777777" w:rsidR="00331FDE" w:rsidRPr="00391B2A" w:rsidRDefault="00331FDE" w:rsidP="000051E7">
      <w:pPr>
        <w:tabs>
          <w:tab w:val="left" w:pos="8280"/>
        </w:tabs>
        <w:rPr>
          <w:b/>
          <w:lang w:val="en-CA"/>
        </w:rPr>
      </w:pPr>
      <w:r w:rsidRPr="00391B2A">
        <w:rPr>
          <w:b/>
          <w:lang w:val="en-CA"/>
        </w:rPr>
        <w:t>Disposal</w:t>
      </w:r>
    </w:p>
    <w:p w14:paraId="2AC09BDB" w14:textId="77777777" w:rsidR="00331FDE" w:rsidRPr="00391B2A" w:rsidRDefault="00331FDE" w:rsidP="000051E7">
      <w:pPr>
        <w:tabs>
          <w:tab w:val="left" w:pos="8280"/>
        </w:tabs>
        <w:rPr>
          <w:b/>
          <w:lang w:val="en-CA"/>
        </w:rPr>
      </w:pPr>
    </w:p>
    <w:p w14:paraId="3A27ECFC" w14:textId="77777777" w:rsidR="00331FDE" w:rsidRPr="00391B2A" w:rsidRDefault="00331FDE" w:rsidP="000051E7">
      <w:pPr>
        <w:tabs>
          <w:tab w:val="left" w:pos="8280"/>
        </w:tabs>
        <w:rPr>
          <w:b/>
          <w:lang w:val="en-CA"/>
        </w:rPr>
      </w:pPr>
      <w:r w:rsidRPr="00391B2A">
        <w:rPr>
          <w:b/>
          <w:lang w:val="en-CA"/>
        </w:rPr>
        <w:t>Eligibility of Annex F substances subject to high-ambient-temperature exemption</w:t>
      </w:r>
    </w:p>
    <w:p w14:paraId="28BB63E1" w14:textId="77777777" w:rsidR="00331FDE" w:rsidRPr="00391B2A" w:rsidRDefault="00331FDE" w:rsidP="000051E7">
      <w:pPr>
        <w:tabs>
          <w:tab w:val="left" w:pos="8280"/>
        </w:tabs>
        <w:rPr>
          <w:lang w:val="en-CA"/>
        </w:rPr>
      </w:pPr>
    </w:p>
    <w:p w14:paraId="37F36A88" w14:textId="77777777" w:rsidR="00331FDE" w:rsidRPr="00391B2A" w:rsidRDefault="00331FDE" w:rsidP="000051E7">
      <w:pPr>
        <w:numPr>
          <w:ilvl w:val="0"/>
          <w:numId w:val="1"/>
        </w:numPr>
        <w:spacing w:after="240"/>
        <w:outlineLvl w:val="0"/>
        <w:rPr>
          <w:lang w:val="en-CA"/>
        </w:rPr>
      </w:pPr>
      <w:r w:rsidRPr="00391B2A">
        <w:rPr>
          <w:lang w:val="en-CA"/>
        </w:rPr>
        <w:t>That amounts of Annex F substances that are subject to the high-ambient-temperature exemption are not eligible for funding under the Multilateral Fund while they are exempted for that Party.</w:t>
      </w:r>
    </w:p>
    <w:p w14:paraId="104ABB4D" w14:textId="77777777" w:rsidR="00331FDE" w:rsidRPr="00331FDE" w:rsidRDefault="00331FDE" w:rsidP="000051E7">
      <w:pPr>
        <w:jc w:val="left"/>
        <w:rPr>
          <w:highlight w:val="yellow"/>
          <w:lang w:val="en-CA"/>
        </w:rPr>
      </w:pPr>
    </w:p>
    <w:p w14:paraId="1E002EEC" w14:textId="77777777" w:rsidR="00981E1E" w:rsidRPr="00331FDE" w:rsidRDefault="00981E1E" w:rsidP="000051E7">
      <w:pPr>
        <w:tabs>
          <w:tab w:val="left" w:pos="8280"/>
        </w:tabs>
        <w:rPr>
          <w:highlight w:val="yellow"/>
          <w:lang w:val="en-CA"/>
        </w:rPr>
      </w:pPr>
    </w:p>
    <w:p w14:paraId="0814E52F" w14:textId="77777777" w:rsidR="00981E1E" w:rsidRPr="00331FDE" w:rsidRDefault="00981E1E" w:rsidP="000051E7">
      <w:pPr>
        <w:tabs>
          <w:tab w:val="left" w:pos="8280"/>
        </w:tabs>
        <w:rPr>
          <w:highlight w:val="yellow"/>
          <w:lang w:val="en-CA"/>
        </w:rPr>
        <w:sectPr w:rsidR="00981E1E" w:rsidRPr="00331FDE" w:rsidSect="00E57EA7">
          <w:headerReference w:type="even" r:id="rId15"/>
          <w:headerReference w:type="default" r:id="rId16"/>
          <w:footerReference w:type="even" r:id="rId17"/>
          <w:footnotePr>
            <w:numRestart w:val="eachSect"/>
          </w:footnotePr>
          <w:pgSz w:w="12240" w:h="15840" w:code="1"/>
          <w:pgMar w:top="720" w:right="1440" w:bottom="864" w:left="1440" w:header="720" w:footer="475" w:gutter="0"/>
          <w:pgNumType w:start="1"/>
          <w:cols w:space="720"/>
          <w:docGrid w:linePitch="299"/>
        </w:sectPr>
      </w:pPr>
    </w:p>
    <w:p w14:paraId="24A90090" w14:textId="77777777" w:rsidR="00981E1E" w:rsidRPr="00222A5B" w:rsidRDefault="00981E1E" w:rsidP="000051E7">
      <w:pPr>
        <w:jc w:val="center"/>
        <w:rPr>
          <w:b/>
          <w:lang w:val="en-CA"/>
        </w:rPr>
      </w:pPr>
      <w:r w:rsidRPr="00222A5B">
        <w:rPr>
          <w:b/>
          <w:lang w:val="en-CA"/>
        </w:rPr>
        <w:lastRenderedPageBreak/>
        <w:t>Annex II</w:t>
      </w:r>
    </w:p>
    <w:p w14:paraId="0287488B" w14:textId="77777777" w:rsidR="00A13C2C" w:rsidRPr="00222A5B" w:rsidRDefault="00A13C2C" w:rsidP="000051E7">
      <w:pPr>
        <w:jc w:val="center"/>
        <w:rPr>
          <w:b/>
          <w:lang w:val="en-CA"/>
        </w:rPr>
      </w:pPr>
    </w:p>
    <w:p w14:paraId="1AF6A0C4" w14:textId="77777777" w:rsidR="00A13C2C" w:rsidRPr="00222A5B" w:rsidRDefault="00A13C2C" w:rsidP="000051E7">
      <w:pPr>
        <w:widowControl w:val="0"/>
        <w:jc w:val="center"/>
        <w:rPr>
          <w:b/>
          <w:caps/>
          <w:lang w:val="en-CA"/>
        </w:rPr>
      </w:pPr>
      <w:r w:rsidRPr="00222A5B">
        <w:rPr>
          <w:b/>
          <w:caps/>
          <w:lang w:val="en-CA"/>
        </w:rPr>
        <w:t>Outstanding issues for further discussion by the Executive Committee ON THE COST GUIDELINES FOR THE PHASE-DOWN OF HFC</w:t>
      </w:r>
      <w:r w:rsidRPr="00222A5B">
        <w:rPr>
          <w:b/>
          <w:lang w:val="en-CA"/>
        </w:rPr>
        <w:t>s</w:t>
      </w:r>
    </w:p>
    <w:p w14:paraId="02822F63" w14:textId="77777777" w:rsidR="00A13C2C" w:rsidRPr="00222A5B" w:rsidRDefault="00A13C2C" w:rsidP="000051E7">
      <w:pPr>
        <w:widowControl w:val="0"/>
        <w:jc w:val="center"/>
        <w:rPr>
          <w:b/>
          <w:caps/>
          <w:lang w:val="en-CA"/>
        </w:rPr>
      </w:pPr>
      <w:r w:rsidRPr="00222A5B">
        <w:rPr>
          <w:b/>
          <w:lang w:val="en-CA"/>
        </w:rPr>
        <w:t>(As of the 83</w:t>
      </w:r>
      <w:r w:rsidRPr="00222A5B">
        <w:rPr>
          <w:b/>
          <w:vertAlign w:val="superscript"/>
          <w:lang w:val="en-CA"/>
        </w:rPr>
        <w:t>rd</w:t>
      </w:r>
      <w:r w:rsidRPr="00222A5B">
        <w:rPr>
          <w:b/>
          <w:lang w:val="en-CA"/>
        </w:rPr>
        <w:t xml:space="preserve"> meeting)</w:t>
      </w:r>
    </w:p>
    <w:p w14:paraId="602F75C7" w14:textId="77777777" w:rsidR="005B665D" w:rsidRPr="00391B2A" w:rsidRDefault="005B665D" w:rsidP="000051E7">
      <w:pPr>
        <w:widowControl w:val="0"/>
        <w:tabs>
          <w:tab w:val="left" w:pos="5196"/>
        </w:tabs>
        <w:jc w:val="left"/>
        <w:rPr>
          <w:b/>
          <w:highlight w:val="yellow"/>
          <w:lang w:val="en-CA"/>
        </w:rPr>
      </w:pPr>
    </w:p>
    <w:p w14:paraId="7E021899" w14:textId="6CEBF76D" w:rsidR="005B665D" w:rsidRPr="00391B2A" w:rsidRDefault="00391B2A" w:rsidP="000051E7">
      <w:pPr>
        <w:widowControl w:val="0"/>
        <w:tabs>
          <w:tab w:val="left" w:pos="5196"/>
        </w:tabs>
        <w:rPr>
          <w:b/>
          <w:highlight w:val="yellow"/>
          <w:lang w:val="en-CA"/>
        </w:rPr>
      </w:pPr>
      <w:r w:rsidRPr="00391B2A">
        <w:rPr>
          <w:highlight w:val="cyan"/>
          <w:u w:val="single"/>
          <w:lang w:val="en-CA"/>
        </w:rPr>
        <w:t>Note by the Secretariat</w:t>
      </w:r>
      <w:r w:rsidRPr="00391B2A">
        <w:rPr>
          <w:highlight w:val="cyan"/>
          <w:lang w:val="en-CA"/>
        </w:rPr>
        <w:t>: The Executive Committee may wish to note that to facilitate its discussion on the outstanding issues on the cost guidelines for the phase-down of HFCs</w:t>
      </w:r>
      <w:r w:rsidR="00BA7455">
        <w:rPr>
          <w:highlight w:val="cyan"/>
          <w:lang w:val="en-CA"/>
        </w:rPr>
        <w:t>,</w:t>
      </w:r>
      <w:r w:rsidRPr="00391B2A">
        <w:rPr>
          <w:highlight w:val="cyan"/>
          <w:lang w:val="en-CA"/>
        </w:rPr>
        <w:t xml:space="preserve"> t</w:t>
      </w:r>
      <w:r w:rsidR="005B665D" w:rsidRPr="00391B2A">
        <w:rPr>
          <w:highlight w:val="cyan"/>
          <w:lang w:val="en-CA"/>
        </w:rPr>
        <w:t xml:space="preserve">he Secretariat has added some text in brackets and highlighted </w:t>
      </w:r>
      <w:r w:rsidR="005E6567" w:rsidRPr="00391B2A">
        <w:rPr>
          <w:highlight w:val="cyan"/>
          <w:lang w:val="en-CA"/>
        </w:rPr>
        <w:t>[</w:t>
      </w:r>
      <w:r w:rsidR="005B665D" w:rsidRPr="00391B2A">
        <w:rPr>
          <w:highlight w:val="cyan"/>
          <w:lang w:val="en-CA"/>
        </w:rPr>
        <w:t xml:space="preserve">in </w:t>
      </w:r>
      <w:r w:rsidRPr="00391B2A">
        <w:rPr>
          <w:highlight w:val="cyan"/>
          <w:lang w:val="en-CA"/>
        </w:rPr>
        <w:t>blue</w:t>
      </w:r>
      <w:r w:rsidR="005B665D" w:rsidRPr="00391B2A">
        <w:rPr>
          <w:highlight w:val="cyan"/>
          <w:lang w:val="en-CA"/>
        </w:rPr>
        <w:t>] in light of the d</w:t>
      </w:r>
      <w:r w:rsidR="005E6567">
        <w:rPr>
          <w:highlight w:val="cyan"/>
          <w:lang w:val="en-CA"/>
        </w:rPr>
        <w:t>ocument providing an analysis of</w:t>
      </w:r>
      <w:r w:rsidR="005B665D" w:rsidRPr="00391B2A">
        <w:rPr>
          <w:highlight w:val="cyan"/>
          <w:lang w:val="en-CA"/>
        </w:rPr>
        <w:t xml:space="preserve"> the level and modalities of funding for the HFC phase-down for the refrigeration servicing sector, and the discussions that will be held on energy efficiency at the 84</w:t>
      </w:r>
      <w:r w:rsidR="005B665D" w:rsidRPr="00391B2A">
        <w:rPr>
          <w:highlight w:val="cyan"/>
          <w:vertAlign w:val="superscript"/>
          <w:lang w:val="en-CA"/>
        </w:rPr>
        <w:t>th</w:t>
      </w:r>
      <w:r>
        <w:rPr>
          <w:highlight w:val="cyan"/>
          <w:lang w:val="en-CA"/>
        </w:rPr>
        <w:t> </w:t>
      </w:r>
      <w:r w:rsidR="005B665D" w:rsidRPr="00391B2A">
        <w:rPr>
          <w:highlight w:val="cyan"/>
          <w:lang w:val="en-CA"/>
        </w:rPr>
        <w:t>meeting.</w:t>
      </w:r>
    </w:p>
    <w:p w14:paraId="57AECC83" w14:textId="77777777" w:rsidR="00422A57" w:rsidRDefault="00422A57" w:rsidP="000051E7">
      <w:pPr>
        <w:widowControl w:val="0"/>
        <w:tabs>
          <w:tab w:val="left" w:pos="5196"/>
        </w:tabs>
        <w:jc w:val="left"/>
        <w:rPr>
          <w:lang w:val="en-CA"/>
        </w:rPr>
      </w:pPr>
    </w:p>
    <w:p w14:paraId="5760AB93" w14:textId="7BFF879A" w:rsidR="00A13C2C" w:rsidRDefault="00422A57" w:rsidP="000051E7">
      <w:pPr>
        <w:widowControl w:val="0"/>
        <w:tabs>
          <w:tab w:val="left" w:pos="5196"/>
        </w:tabs>
        <w:jc w:val="left"/>
        <w:rPr>
          <w:highlight w:val="cyan"/>
          <w:lang w:val="en-CA"/>
        </w:rPr>
      </w:pPr>
      <w:r w:rsidRPr="00081AED">
        <w:rPr>
          <w:highlight w:val="cyan"/>
          <w:lang w:val="en-CA"/>
        </w:rPr>
        <w:t xml:space="preserve">The outstanding issues for further discussion are presented in the following three parts: </w:t>
      </w:r>
    </w:p>
    <w:p w14:paraId="15021303" w14:textId="77777777" w:rsidR="00911A5F" w:rsidRPr="00081AED" w:rsidRDefault="00911A5F" w:rsidP="000051E7">
      <w:pPr>
        <w:widowControl w:val="0"/>
        <w:tabs>
          <w:tab w:val="left" w:pos="5196"/>
        </w:tabs>
        <w:jc w:val="left"/>
        <w:rPr>
          <w:highlight w:val="cyan"/>
          <w:lang w:val="en-CA"/>
        </w:rPr>
      </w:pPr>
    </w:p>
    <w:p w14:paraId="741E4F22" w14:textId="204FDA15" w:rsidR="00422A57" w:rsidRPr="00081AED" w:rsidRDefault="00422A57" w:rsidP="000051E7">
      <w:pPr>
        <w:widowControl w:val="0"/>
        <w:tabs>
          <w:tab w:val="left" w:pos="5196"/>
        </w:tabs>
        <w:ind w:left="720"/>
        <w:jc w:val="left"/>
        <w:rPr>
          <w:highlight w:val="cyan"/>
          <w:lang w:val="en-CA"/>
        </w:rPr>
      </w:pPr>
      <w:r w:rsidRPr="00081AED">
        <w:rPr>
          <w:highlight w:val="cyan"/>
          <w:lang w:val="en-CA"/>
        </w:rPr>
        <w:t>I. In relation to the cost guidelines</w:t>
      </w:r>
    </w:p>
    <w:p w14:paraId="326E1C90" w14:textId="159E832F" w:rsidR="00422A57" w:rsidRPr="00081AED" w:rsidRDefault="00422A57" w:rsidP="000051E7">
      <w:pPr>
        <w:widowControl w:val="0"/>
        <w:tabs>
          <w:tab w:val="left" w:pos="5196"/>
        </w:tabs>
        <w:ind w:left="720"/>
        <w:jc w:val="left"/>
        <w:rPr>
          <w:highlight w:val="cyan"/>
          <w:lang w:val="en-CA"/>
        </w:rPr>
      </w:pPr>
      <w:r w:rsidRPr="00081AED">
        <w:rPr>
          <w:highlight w:val="cyan"/>
          <w:lang w:val="en-CA"/>
        </w:rPr>
        <w:t>II. Additional work to be requested from the Secretariat</w:t>
      </w:r>
    </w:p>
    <w:p w14:paraId="7D1B655B" w14:textId="6DED18BE" w:rsidR="00422A57" w:rsidRDefault="00422A57" w:rsidP="000051E7">
      <w:pPr>
        <w:widowControl w:val="0"/>
        <w:tabs>
          <w:tab w:val="left" w:pos="5196"/>
        </w:tabs>
        <w:ind w:left="720"/>
        <w:jc w:val="left"/>
        <w:rPr>
          <w:lang w:val="en-CA"/>
        </w:rPr>
      </w:pPr>
      <w:r w:rsidRPr="00081AED">
        <w:rPr>
          <w:highlight w:val="cyan"/>
          <w:lang w:val="en-CA"/>
        </w:rPr>
        <w:t>III. Other general matters related to HFC phase-down</w:t>
      </w:r>
    </w:p>
    <w:p w14:paraId="3BDB1FC5" w14:textId="77777777" w:rsidR="00422A57" w:rsidRPr="00422A57" w:rsidRDefault="00422A57" w:rsidP="000051E7">
      <w:pPr>
        <w:widowControl w:val="0"/>
        <w:tabs>
          <w:tab w:val="left" w:pos="5196"/>
        </w:tabs>
        <w:jc w:val="left"/>
        <w:rPr>
          <w:lang w:val="en-CA"/>
        </w:rPr>
      </w:pPr>
    </w:p>
    <w:p w14:paraId="32A3129A" w14:textId="77777777" w:rsidR="00A13C2C" w:rsidRPr="00222A5B" w:rsidRDefault="00A13C2C" w:rsidP="000051E7">
      <w:pPr>
        <w:widowControl w:val="0"/>
        <w:numPr>
          <w:ilvl w:val="0"/>
          <w:numId w:val="23"/>
        </w:numPr>
        <w:ind w:left="709" w:hanging="709"/>
        <w:contextualSpacing/>
        <w:jc w:val="left"/>
        <w:rPr>
          <w:b/>
          <w:lang w:val="en-CA"/>
        </w:rPr>
      </w:pPr>
      <w:r w:rsidRPr="00222A5B">
        <w:rPr>
          <w:b/>
          <w:lang w:val="en-CA"/>
        </w:rPr>
        <w:t>IN RELATION TO THE COST GUIDELINES</w:t>
      </w:r>
    </w:p>
    <w:p w14:paraId="350D7384" w14:textId="77777777" w:rsidR="00A13C2C" w:rsidRPr="00222A5B" w:rsidRDefault="00A13C2C" w:rsidP="000051E7">
      <w:pPr>
        <w:widowControl w:val="0"/>
        <w:jc w:val="left"/>
        <w:rPr>
          <w:b/>
          <w:lang w:val="en-CA"/>
        </w:rPr>
      </w:pPr>
    </w:p>
    <w:p w14:paraId="60155310" w14:textId="77777777" w:rsidR="00A13C2C" w:rsidRPr="00222A5B" w:rsidRDefault="00A13C2C" w:rsidP="000051E7">
      <w:pPr>
        <w:widowControl w:val="0"/>
        <w:jc w:val="left"/>
        <w:rPr>
          <w:b/>
          <w:lang w:val="en-CA"/>
        </w:rPr>
      </w:pPr>
      <w:r w:rsidRPr="00222A5B">
        <w:rPr>
          <w:b/>
          <w:lang w:val="en-CA"/>
        </w:rPr>
        <w:t xml:space="preserve">Sustained aggregate reductions </w:t>
      </w:r>
    </w:p>
    <w:p w14:paraId="2D206AED" w14:textId="77777777" w:rsidR="00A13C2C" w:rsidRPr="00222A5B" w:rsidRDefault="00A13C2C" w:rsidP="000051E7">
      <w:pPr>
        <w:outlineLvl w:val="0"/>
        <w:rPr>
          <w:lang w:val="en-CA"/>
        </w:rPr>
      </w:pPr>
    </w:p>
    <w:p w14:paraId="4FB2BEF8" w14:textId="1DF45931" w:rsidR="00A13C2C" w:rsidRPr="00222A5B" w:rsidRDefault="00A13C2C" w:rsidP="000051E7">
      <w:pPr>
        <w:widowControl w:val="0"/>
        <w:numPr>
          <w:ilvl w:val="1"/>
          <w:numId w:val="1"/>
        </w:numPr>
        <w:spacing w:after="240"/>
        <w:outlineLvl w:val="1"/>
        <w:rPr>
          <w:lang w:val="en-CA"/>
        </w:rPr>
      </w:pPr>
      <w:r w:rsidRPr="00222A5B">
        <w:rPr>
          <w:lang w:val="en-CA"/>
        </w:rPr>
        <w:t>To use the following methodology [to be proposed by the Executive Committee] for determining the starting point for sustained aggregate reduction in HFC consumption and production, noting that the starting point should be expressed in [[CO</w:t>
      </w:r>
      <w:r w:rsidRPr="00222A5B">
        <w:rPr>
          <w:vertAlign w:val="subscript"/>
          <w:lang w:val="en-CA"/>
        </w:rPr>
        <w:t>2</w:t>
      </w:r>
      <w:r w:rsidR="00C5797B">
        <w:rPr>
          <w:lang w:val="en-CA"/>
        </w:rPr>
        <w:t>-</w:t>
      </w:r>
      <w:r w:rsidRPr="00222A5B">
        <w:rPr>
          <w:lang w:val="en-CA"/>
        </w:rPr>
        <w:t>equivalent] and/or [metric tonnes]];</w:t>
      </w:r>
    </w:p>
    <w:p w14:paraId="175504C4" w14:textId="77777777" w:rsidR="00A13C2C" w:rsidRPr="00222A5B" w:rsidRDefault="00A13C2C" w:rsidP="000051E7">
      <w:pPr>
        <w:widowControl w:val="0"/>
        <w:numPr>
          <w:ilvl w:val="1"/>
          <w:numId w:val="1"/>
        </w:numPr>
        <w:spacing w:after="240"/>
        <w:outlineLvl w:val="1"/>
        <w:rPr>
          <w:lang w:val="en-CA"/>
        </w:rPr>
      </w:pPr>
      <w:r w:rsidRPr="00222A5B">
        <w:rPr>
          <w:lang w:val="en-CA"/>
        </w:rPr>
        <w:t>[add text for production];</w:t>
      </w:r>
    </w:p>
    <w:p w14:paraId="33A4906C" w14:textId="77777777" w:rsidR="00A13C2C" w:rsidRPr="00222A5B" w:rsidRDefault="00A13C2C" w:rsidP="000051E7">
      <w:pPr>
        <w:pStyle w:val="Heading2"/>
        <w:numPr>
          <w:ilvl w:val="1"/>
          <w:numId w:val="1"/>
        </w:numPr>
      </w:pPr>
      <w:r w:rsidRPr="00222A5B">
        <w:rPr>
          <w:lang w:val="en-CA"/>
        </w:rPr>
        <w:t>[</w:t>
      </w:r>
      <w:r w:rsidRPr="00222A5B">
        <w:t>When determining the starting point for aggregate reduction in HFC consumption, the following approach will be followed with regard to the import and export of HFCs contained in pre-blended polyols, which had not been counted as consumption under Article 7 of the Montreal Protocol:</w:t>
      </w:r>
    </w:p>
    <w:p w14:paraId="4B454212" w14:textId="77777777" w:rsidR="00A13C2C" w:rsidRPr="00222A5B" w:rsidRDefault="00A13C2C" w:rsidP="000051E7">
      <w:pPr>
        <w:pStyle w:val="Heading3"/>
        <w:numPr>
          <w:ilvl w:val="2"/>
          <w:numId w:val="1"/>
        </w:numPr>
      </w:pPr>
      <w:r w:rsidRPr="00222A5B">
        <w:t>[Paragraph about internal production of pre-blended polyols];</w:t>
      </w:r>
    </w:p>
    <w:p w14:paraId="3B048747" w14:textId="77777777" w:rsidR="00A13C2C" w:rsidRPr="00222A5B" w:rsidRDefault="00A13C2C" w:rsidP="000051E7">
      <w:pPr>
        <w:pStyle w:val="Heading3"/>
        <w:numPr>
          <w:ilvl w:val="2"/>
          <w:numId w:val="1"/>
        </w:numPr>
      </w:pPr>
      <w:r w:rsidRPr="00222A5B">
        <w:t>To request Article 5 countries to report under the country programme implementation report imports and exports of HFCs contained in pre-blended polyols;</w:t>
      </w:r>
    </w:p>
    <w:p w14:paraId="37C6875C" w14:textId="77777777" w:rsidR="00A13C2C" w:rsidRPr="00222A5B" w:rsidRDefault="00A13C2C" w:rsidP="000051E7">
      <w:pPr>
        <w:pStyle w:val="Heading3"/>
        <w:numPr>
          <w:ilvl w:val="2"/>
          <w:numId w:val="1"/>
        </w:numPr>
      </w:pPr>
      <w:r w:rsidRPr="00222A5B">
        <w:t>To request Article 5 countries that wished to seek assistance for the phase-out of imports of HFCs contained in pre-blended polyols to include in the starting point for aggregate reduction in HFC consumption the amount of HFC imported contained in polyol systems during the years used as reference to determine the starting point; and</w:t>
      </w:r>
    </w:p>
    <w:p w14:paraId="5643A2B9" w14:textId="77777777" w:rsidR="00A13C2C" w:rsidRPr="00222A5B" w:rsidRDefault="00A13C2C" w:rsidP="000051E7">
      <w:pPr>
        <w:pStyle w:val="Heading3"/>
        <w:numPr>
          <w:ilvl w:val="2"/>
          <w:numId w:val="1"/>
        </w:numPr>
      </w:pPr>
      <w:r w:rsidRPr="00222A5B">
        <w:t>To request Article 5 countries that export HFC contained in pre-blended polyols to deduct from the starting point for aggregate reduction in HFC consumption the amount of HFC exported contained in polyol systems during the years used as reference to determine the starting point.</w:t>
      </w:r>
      <w:r w:rsidRPr="00222A5B">
        <w:rPr>
          <w:lang w:val="en-CA"/>
        </w:rPr>
        <w:t>]</w:t>
      </w:r>
    </w:p>
    <w:p w14:paraId="7BC665ED" w14:textId="77777777" w:rsidR="00A13C2C" w:rsidRPr="00222A5B" w:rsidRDefault="00A13C2C" w:rsidP="000051E7">
      <w:pPr>
        <w:keepNext/>
        <w:jc w:val="left"/>
        <w:rPr>
          <w:b/>
          <w:lang w:val="en-CA"/>
        </w:rPr>
      </w:pPr>
      <w:r w:rsidRPr="00222A5B">
        <w:rPr>
          <w:b/>
          <w:lang w:val="en-CA"/>
        </w:rPr>
        <w:lastRenderedPageBreak/>
        <w:t>Eligible incremental costs</w:t>
      </w:r>
    </w:p>
    <w:p w14:paraId="2FDB274B" w14:textId="77777777" w:rsidR="00C5797B" w:rsidRDefault="00C5797B" w:rsidP="000051E7">
      <w:pPr>
        <w:ind w:firstLine="720"/>
        <w:jc w:val="left"/>
        <w:rPr>
          <w:i/>
          <w:lang w:val="en-CA"/>
        </w:rPr>
      </w:pPr>
    </w:p>
    <w:p w14:paraId="2EF4BBC2" w14:textId="640F090D" w:rsidR="00A13C2C" w:rsidRPr="00222A5B" w:rsidRDefault="00A13C2C" w:rsidP="000051E7">
      <w:pPr>
        <w:ind w:firstLine="720"/>
        <w:jc w:val="left"/>
        <w:rPr>
          <w:i/>
          <w:lang w:val="en-CA"/>
        </w:rPr>
      </w:pPr>
      <w:r w:rsidRPr="00222A5B">
        <w:rPr>
          <w:i/>
          <w:lang w:val="en-CA"/>
        </w:rPr>
        <w:t>Consumption manufacturing sector</w:t>
      </w:r>
    </w:p>
    <w:p w14:paraId="7DD3D970" w14:textId="77777777" w:rsidR="00A13C2C" w:rsidRPr="00222A5B" w:rsidRDefault="00A13C2C" w:rsidP="000051E7">
      <w:pPr>
        <w:jc w:val="left"/>
        <w:rPr>
          <w:lang w:val="en-CA"/>
        </w:rPr>
      </w:pPr>
    </w:p>
    <w:p w14:paraId="4349A755" w14:textId="0725503B" w:rsidR="00A13C2C" w:rsidRPr="00222A5B" w:rsidRDefault="00A13C2C" w:rsidP="000051E7">
      <w:pPr>
        <w:pStyle w:val="Heading2"/>
        <w:numPr>
          <w:ilvl w:val="1"/>
          <w:numId w:val="1"/>
        </w:numPr>
        <w:rPr>
          <w:lang w:val="en-CA"/>
        </w:rPr>
      </w:pPr>
      <w:r w:rsidRPr="00222A5B">
        <w:rPr>
          <w:lang w:val="en-CA"/>
        </w:rPr>
        <w:t>[To continue discussing the cost guidelines for the phase</w:t>
      </w:r>
      <w:r w:rsidR="00C5797B">
        <w:rPr>
          <w:lang w:val="en-CA"/>
        </w:rPr>
        <w:noBreakHyphen/>
      </w:r>
      <w:r w:rsidRPr="00222A5B">
        <w:rPr>
          <w:lang w:val="en-CA"/>
        </w:rPr>
        <w:t xml:space="preserve">down of HFCs in Article 5 Parties, </w:t>
      </w:r>
      <w:r w:rsidRPr="00222A5B">
        <w:rPr>
          <w:i/>
          <w:lang w:val="en-CA"/>
        </w:rPr>
        <w:t>inter alia</w:t>
      </w:r>
      <w:r w:rsidRPr="00222A5B">
        <w:rPr>
          <w:lang w:val="en-CA"/>
        </w:rPr>
        <w:t xml:space="preserve"> including establishment of cost-effectiveness thresholds, through an appropriate methodology in relation to consumption manufacturing sector, taking into account relevant information, decisions of the Executive Committee and results from the implementation of stand-alone HFC investment projects in all sectors of HFCs;]</w:t>
      </w:r>
    </w:p>
    <w:p w14:paraId="7BA53547" w14:textId="77777777" w:rsidR="00A13C2C" w:rsidRPr="00222A5B" w:rsidRDefault="00A13C2C" w:rsidP="000051E7">
      <w:pPr>
        <w:ind w:left="720"/>
        <w:jc w:val="left"/>
        <w:rPr>
          <w:i/>
          <w:lang w:val="en-CA"/>
        </w:rPr>
      </w:pPr>
      <w:r w:rsidRPr="00222A5B">
        <w:rPr>
          <w:i/>
          <w:lang w:val="en-CA"/>
        </w:rPr>
        <w:t>Refrigeration servicing sector</w:t>
      </w:r>
    </w:p>
    <w:p w14:paraId="0BF9D6FD" w14:textId="0FF34333" w:rsidR="00A13C2C" w:rsidRDefault="00A13C2C" w:rsidP="000051E7">
      <w:pPr>
        <w:jc w:val="left"/>
        <w:rPr>
          <w:highlight w:val="yellow"/>
          <w:lang w:val="en-CA"/>
        </w:rPr>
      </w:pPr>
    </w:p>
    <w:p w14:paraId="72E61140" w14:textId="04EFABCC" w:rsidR="007A4DD3" w:rsidRDefault="00391B2A" w:rsidP="000051E7">
      <w:pPr>
        <w:pStyle w:val="Heading2"/>
        <w:numPr>
          <w:ilvl w:val="0"/>
          <w:numId w:val="0"/>
        </w:numPr>
        <w:rPr>
          <w:lang w:val="en-CA"/>
        </w:rPr>
      </w:pPr>
      <w:r w:rsidRPr="0073001E">
        <w:rPr>
          <w:highlight w:val="cyan"/>
          <w:u w:val="single"/>
          <w:lang w:val="en-CA"/>
        </w:rPr>
        <w:t>Note by the Secretariat</w:t>
      </w:r>
      <w:r>
        <w:rPr>
          <w:highlight w:val="cyan"/>
          <w:lang w:val="en-CA"/>
        </w:rPr>
        <w:t xml:space="preserve">: </w:t>
      </w:r>
      <w:r w:rsidR="00222A5B">
        <w:rPr>
          <w:highlight w:val="cyan"/>
          <w:lang w:val="en-CA"/>
        </w:rPr>
        <w:t>[</w:t>
      </w:r>
      <w:r w:rsidRPr="00391B2A">
        <w:rPr>
          <w:highlight w:val="cyan"/>
          <w:lang w:val="en-CA"/>
        </w:rPr>
        <w:t>At the 83</w:t>
      </w:r>
      <w:r w:rsidRPr="00391B2A">
        <w:rPr>
          <w:highlight w:val="cyan"/>
          <w:vertAlign w:val="superscript"/>
          <w:lang w:val="en-CA"/>
        </w:rPr>
        <w:t>rd</w:t>
      </w:r>
      <w:r w:rsidRPr="00391B2A">
        <w:rPr>
          <w:highlight w:val="cyan"/>
          <w:lang w:val="en-CA"/>
        </w:rPr>
        <w:t xml:space="preserve"> meeting, the Executive Committee requested the Secretariat to prepare a document for the 85</w:t>
      </w:r>
      <w:r w:rsidRPr="00391B2A">
        <w:rPr>
          <w:highlight w:val="cyan"/>
          <w:vertAlign w:val="superscript"/>
          <w:lang w:val="en-CA"/>
        </w:rPr>
        <w:t>th</w:t>
      </w:r>
      <w:r w:rsidRPr="00391B2A">
        <w:rPr>
          <w:highlight w:val="cyan"/>
          <w:lang w:val="en-CA"/>
        </w:rPr>
        <w:t xml:space="preserve"> </w:t>
      </w:r>
      <w:r w:rsidR="00C5797B">
        <w:rPr>
          <w:highlight w:val="cyan"/>
          <w:lang w:val="en-CA"/>
        </w:rPr>
        <w:t>meeting providing an analysis of</w:t>
      </w:r>
      <w:r w:rsidRPr="00391B2A">
        <w:rPr>
          <w:highlight w:val="cyan"/>
          <w:lang w:val="en-CA"/>
        </w:rPr>
        <w:t xml:space="preserve"> the level and modalities of funding for the HFC phase-down for the refrigeration servicing sector, in light of the information provided in document</w:t>
      </w:r>
      <w:r w:rsidR="00C5797B">
        <w:rPr>
          <w:highlight w:val="cyan"/>
          <w:lang w:val="en-CA"/>
        </w:rPr>
        <w:t> </w:t>
      </w:r>
      <w:r w:rsidR="0073001E">
        <w:rPr>
          <w:highlight w:val="cyan"/>
          <w:lang w:val="en-CA"/>
        </w:rPr>
        <w:t>UNEP/OzL.Pro/ExCom/</w:t>
      </w:r>
      <w:r w:rsidRPr="00391B2A">
        <w:rPr>
          <w:highlight w:val="cyan"/>
          <w:lang w:val="en-CA"/>
        </w:rPr>
        <w:t>82/64 and guidance provided by the Committee, including the flexibility Article 5 countries have in implementing their servicing sector activities in line with their national circumstances and the implementation of planned and ongoing activities in their HPMP (decision 83/65(b)). The Executive Committee may wish to consider establishing cost-effectiveness thresholds for the refrigeration servicing sector once this document is presented by the Secretariat at the 85</w:t>
      </w:r>
      <w:r w:rsidRPr="00391B2A">
        <w:rPr>
          <w:highlight w:val="cyan"/>
          <w:vertAlign w:val="superscript"/>
          <w:lang w:val="en-CA"/>
        </w:rPr>
        <w:t>th</w:t>
      </w:r>
      <w:r w:rsidRPr="00391B2A">
        <w:rPr>
          <w:highlight w:val="cyan"/>
          <w:lang w:val="en-CA"/>
        </w:rPr>
        <w:t xml:space="preserve"> meeting</w:t>
      </w:r>
      <w:r w:rsidR="0073001E">
        <w:rPr>
          <w:highlight w:val="cyan"/>
          <w:lang w:val="en-CA"/>
        </w:rPr>
        <w:t>.</w:t>
      </w:r>
      <w:r w:rsidR="00222A5B">
        <w:rPr>
          <w:highlight w:val="cyan"/>
          <w:lang w:val="en-CA"/>
        </w:rPr>
        <w:t>]</w:t>
      </w:r>
    </w:p>
    <w:p w14:paraId="799E5FC9" w14:textId="2BB7BFC6" w:rsidR="00081AED" w:rsidRPr="00742682" w:rsidRDefault="00081AED" w:rsidP="00742682">
      <w:pPr>
        <w:pStyle w:val="Heading2"/>
        <w:rPr>
          <w:highlight w:val="cyan"/>
          <w:lang w:val="en-CA"/>
        </w:rPr>
      </w:pPr>
      <w:r w:rsidRPr="00081AED">
        <w:rPr>
          <w:highlight w:val="cyan"/>
          <w:lang w:val="en-CA"/>
        </w:rPr>
        <w:t>[Consideration of paragraph 16 of decision XXVIII/2, [including consideration of maintaining energy efficiency in the servicing/end-user sector]];</w:t>
      </w:r>
      <w:r>
        <w:rPr>
          <w:highlight w:val="cyan"/>
          <w:lang w:val="en-CA"/>
        </w:rPr>
        <w:t xml:space="preserve"> </w:t>
      </w:r>
      <w:r w:rsidRPr="00081AED">
        <w:rPr>
          <w:highlight w:val="cyan"/>
          <w:lang w:val="en-CA"/>
        </w:rPr>
        <w:t>[</w:t>
      </w:r>
      <w:r>
        <w:rPr>
          <w:highlight w:val="cyan"/>
          <w:lang w:val="en-CA"/>
        </w:rPr>
        <w:t xml:space="preserve">It is proposed to delete </w:t>
      </w:r>
      <w:r w:rsidRPr="00742682">
        <w:rPr>
          <w:highlight w:val="cyan"/>
          <w:lang w:val="en-CA"/>
        </w:rPr>
        <w:t xml:space="preserve">this paragraph as this issue is already being discussed separately </w:t>
      </w:r>
      <w:r w:rsidR="000726F5" w:rsidRPr="00742682">
        <w:rPr>
          <w:highlight w:val="cyan"/>
          <w:lang w:val="en-CA"/>
        </w:rPr>
        <w:t>under agenda item</w:t>
      </w:r>
      <w:r w:rsidR="00791EA7">
        <w:rPr>
          <w:highlight w:val="cyan"/>
          <w:lang w:val="en-CA"/>
        </w:rPr>
        <w:t> </w:t>
      </w:r>
      <w:r w:rsidR="000726F5" w:rsidRPr="00742682">
        <w:rPr>
          <w:highlight w:val="cyan"/>
          <w:lang w:val="en-CA"/>
        </w:rPr>
        <w:t>13(b)</w:t>
      </w:r>
      <w:r w:rsidR="00742682" w:rsidRPr="00742682">
        <w:rPr>
          <w:highlight w:val="cyan"/>
        </w:rPr>
        <w:t xml:space="preserve"> </w:t>
      </w:r>
      <w:r w:rsidR="00742682" w:rsidRPr="00742682">
        <w:rPr>
          <w:highlight w:val="cyan"/>
          <w:lang w:val="en-CA"/>
        </w:rPr>
        <w:t>on Matters related to the Kigali Amendment to the Montreal Protocol: Energy efficiency</w:t>
      </w:r>
      <w:r w:rsidRPr="00742682">
        <w:rPr>
          <w:highlight w:val="cyan"/>
          <w:lang w:val="en-CA"/>
        </w:rPr>
        <w:t>]</w:t>
      </w:r>
    </w:p>
    <w:p w14:paraId="166456AB" w14:textId="1DC7D520" w:rsidR="00A13C2C" w:rsidRPr="007A4DD3" w:rsidRDefault="00A13C2C" w:rsidP="000051E7">
      <w:pPr>
        <w:pStyle w:val="Heading2"/>
        <w:numPr>
          <w:ilvl w:val="0"/>
          <w:numId w:val="0"/>
        </w:numPr>
        <w:rPr>
          <w:highlight w:val="cyan"/>
          <w:lang w:val="en-CA"/>
        </w:rPr>
      </w:pPr>
      <w:r w:rsidRPr="00222A5B">
        <w:rPr>
          <w:b/>
          <w:lang w:val="en-CA"/>
        </w:rPr>
        <w:t>Energy efficiency</w:t>
      </w:r>
    </w:p>
    <w:p w14:paraId="797F7093" w14:textId="6F9E11BA" w:rsidR="00E57EA7" w:rsidRPr="0073001E" w:rsidRDefault="0073001E" w:rsidP="000051E7">
      <w:pPr>
        <w:rPr>
          <w:highlight w:val="cyan"/>
          <w:lang w:val="en-CA"/>
        </w:rPr>
      </w:pPr>
      <w:r w:rsidRPr="0073001E">
        <w:rPr>
          <w:highlight w:val="cyan"/>
          <w:u w:val="single"/>
          <w:lang w:val="en-CA"/>
        </w:rPr>
        <w:t>Note by the Secretariat</w:t>
      </w:r>
      <w:r w:rsidR="00E57EA7" w:rsidRPr="0073001E">
        <w:rPr>
          <w:highlight w:val="cyan"/>
          <w:lang w:val="en-CA"/>
        </w:rPr>
        <w:t xml:space="preserve">: </w:t>
      </w:r>
      <w:r w:rsidR="00222A5B">
        <w:rPr>
          <w:highlight w:val="cyan"/>
          <w:lang w:val="en-CA"/>
        </w:rPr>
        <w:t>[</w:t>
      </w:r>
      <w:r w:rsidR="00E57EA7" w:rsidRPr="0073001E">
        <w:rPr>
          <w:highlight w:val="cyan"/>
          <w:lang w:val="en-CA"/>
        </w:rPr>
        <w:t>Issues related to energy efficiency will continue to be discussed at the 84</w:t>
      </w:r>
      <w:r w:rsidR="00E57EA7" w:rsidRPr="0073001E">
        <w:rPr>
          <w:highlight w:val="cyan"/>
          <w:vertAlign w:val="superscript"/>
          <w:lang w:val="en-CA"/>
        </w:rPr>
        <w:t>th</w:t>
      </w:r>
      <w:r w:rsidR="00791EA7">
        <w:rPr>
          <w:highlight w:val="cyan"/>
          <w:lang w:val="en-CA"/>
        </w:rPr>
        <w:t> </w:t>
      </w:r>
      <w:r w:rsidR="00E57EA7" w:rsidRPr="0073001E">
        <w:rPr>
          <w:highlight w:val="cyan"/>
          <w:lang w:val="en-CA"/>
        </w:rPr>
        <w:t xml:space="preserve">meeting under agenda item </w:t>
      </w:r>
      <w:r w:rsidR="007A4DD3">
        <w:rPr>
          <w:highlight w:val="cyan"/>
          <w:lang w:val="en-CA"/>
        </w:rPr>
        <w:t>13(b)</w:t>
      </w:r>
      <w:r w:rsidR="00E57EA7" w:rsidRPr="0073001E">
        <w:rPr>
          <w:highlight w:val="cyan"/>
          <w:lang w:val="en-CA"/>
        </w:rPr>
        <w:t xml:space="preserve"> on Matters related to the Kigali Amendment to the Montreal Protocol: Energy efficiency. The Executive Committee may wish to consider whether to include in the cost guidelines for phasing down HFCs in Article 5 countries any decision it adopts on energy efficiency under agenda </w:t>
      </w:r>
      <w:r w:rsidR="00E57EA7" w:rsidRPr="007A4DD3">
        <w:rPr>
          <w:highlight w:val="cyan"/>
          <w:lang w:val="en-CA"/>
        </w:rPr>
        <w:t>item</w:t>
      </w:r>
      <w:r w:rsidR="00C5797B" w:rsidRPr="007A4DD3">
        <w:rPr>
          <w:highlight w:val="cyan"/>
          <w:lang w:val="en-CA"/>
        </w:rPr>
        <w:t> </w:t>
      </w:r>
      <w:r w:rsidR="007A4DD3" w:rsidRPr="007A4DD3">
        <w:rPr>
          <w:highlight w:val="cyan"/>
          <w:lang w:val="en-CA"/>
        </w:rPr>
        <w:t>13(b)</w:t>
      </w:r>
      <w:r w:rsidRPr="007A4DD3">
        <w:rPr>
          <w:highlight w:val="cyan"/>
          <w:lang w:val="en-CA"/>
        </w:rPr>
        <w:t>.</w:t>
      </w:r>
      <w:r w:rsidR="00222A5B" w:rsidRPr="007A4DD3">
        <w:rPr>
          <w:highlight w:val="cyan"/>
          <w:lang w:val="en-CA"/>
        </w:rPr>
        <w:t>]</w:t>
      </w:r>
    </w:p>
    <w:p w14:paraId="290EB090" w14:textId="77777777" w:rsidR="00E57EA7" w:rsidRDefault="00E57EA7" w:rsidP="000051E7">
      <w:pPr>
        <w:jc w:val="left"/>
        <w:rPr>
          <w:b/>
          <w:highlight w:val="yellow"/>
          <w:lang w:val="en-CA"/>
        </w:rPr>
      </w:pPr>
    </w:p>
    <w:p w14:paraId="33985337" w14:textId="77777777" w:rsidR="00A13C2C" w:rsidRPr="00222A5B" w:rsidRDefault="00A13C2C" w:rsidP="000051E7">
      <w:pPr>
        <w:jc w:val="left"/>
        <w:rPr>
          <w:b/>
          <w:lang w:val="en-CA"/>
        </w:rPr>
      </w:pPr>
      <w:r w:rsidRPr="00222A5B">
        <w:rPr>
          <w:b/>
          <w:lang w:val="en-CA"/>
        </w:rPr>
        <w:t>Capacity building to address safety</w:t>
      </w:r>
    </w:p>
    <w:p w14:paraId="75BD22B8" w14:textId="77777777" w:rsidR="00A13C2C" w:rsidRDefault="00A13C2C" w:rsidP="000051E7">
      <w:pPr>
        <w:jc w:val="left"/>
        <w:rPr>
          <w:highlight w:val="yellow"/>
          <w:lang w:val="en-CA"/>
        </w:rPr>
      </w:pPr>
    </w:p>
    <w:p w14:paraId="73E9E075" w14:textId="44C920C1" w:rsidR="00E57EA7" w:rsidRPr="0073001E" w:rsidRDefault="0073001E" w:rsidP="000051E7">
      <w:pPr>
        <w:rPr>
          <w:highlight w:val="cyan"/>
          <w:lang w:val="en-CA"/>
        </w:rPr>
      </w:pPr>
      <w:r w:rsidRPr="00222A5B">
        <w:rPr>
          <w:highlight w:val="cyan"/>
          <w:u w:val="single"/>
          <w:lang w:val="en-CA"/>
        </w:rPr>
        <w:t>Note by the Secretariat</w:t>
      </w:r>
      <w:r w:rsidR="00E57EA7" w:rsidRPr="00222A5B">
        <w:rPr>
          <w:highlight w:val="cyan"/>
          <w:u w:val="single"/>
          <w:lang w:val="en-CA"/>
        </w:rPr>
        <w:t>:</w:t>
      </w:r>
      <w:r w:rsidR="00E57EA7" w:rsidRPr="0073001E">
        <w:rPr>
          <w:highlight w:val="cyan"/>
          <w:lang w:val="en-CA"/>
        </w:rPr>
        <w:t xml:space="preserve"> </w:t>
      </w:r>
      <w:r w:rsidR="00222A5B">
        <w:rPr>
          <w:highlight w:val="cyan"/>
          <w:lang w:val="en-CA"/>
        </w:rPr>
        <w:t>[</w:t>
      </w:r>
      <w:r>
        <w:rPr>
          <w:highlight w:val="cyan"/>
          <w:lang w:val="en-CA"/>
        </w:rPr>
        <w:t xml:space="preserve">The Committee decided that this matter </w:t>
      </w:r>
      <w:r w:rsidR="00C5797B" w:rsidRPr="00932079">
        <w:rPr>
          <w:highlight w:val="cyan"/>
          <w:lang w:val="en-CA"/>
        </w:rPr>
        <w:t xml:space="preserve">should </w:t>
      </w:r>
      <w:r w:rsidR="00DD56A4" w:rsidRPr="00932079">
        <w:rPr>
          <w:highlight w:val="cyan"/>
          <w:lang w:val="en-CA"/>
        </w:rPr>
        <w:t xml:space="preserve">be discussed along with </w:t>
      </w:r>
      <w:r w:rsidR="0088429A" w:rsidRPr="00932079">
        <w:rPr>
          <w:highlight w:val="cyan"/>
          <w:lang w:val="en-CA"/>
        </w:rPr>
        <w:t xml:space="preserve">matters related to </w:t>
      </w:r>
      <w:r w:rsidR="00DD56A4" w:rsidRPr="00932079">
        <w:rPr>
          <w:highlight w:val="cyan"/>
          <w:lang w:val="en-CA"/>
        </w:rPr>
        <w:t xml:space="preserve">the refrigeration servicing sector in light of the </w:t>
      </w:r>
      <w:r w:rsidR="005B665D" w:rsidRPr="00932079">
        <w:rPr>
          <w:highlight w:val="cyan"/>
          <w:lang w:val="en-CA"/>
        </w:rPr>
        <w:t>document</w:t>
      </w:r>
      <w:r w:rsidR="00DD56A4" w:rsidRPr="00932079">
        <w:rPr>
          <w:highlight w:val="cyan"/>
          <w:lang w:val="en-CA"/>
        </w:rPr>
        <w:t xml:space="preserve"> </w:t>
      </w:r>
      <w:r w:rsidR="0088429A" w:rsidRPr="00932079">
        <w:rPr>
          <w:highlight w:val="cyan"/>
          <w:lang w:val="en-CA"/>
        </w:rPr>
        <w:t xml:space="preserve">on all </w:t>
      </w:r>
      <w:r w:rsidR="00DD56A4" w:rsidRPr="00932079">
        <w:rPr>
          <w:highlight w:val="cyan"/>
          <w:lang w:val="en-CA"/>
        </w:rPr>
        <w:t>aspects of the refrigeration servicing sector that support HFC phase-down</w:t>
      </w:r>
      <w:r w:rsidR="00932079" w:rsidRPr="00932079">
        <w:rPr>
          <w:highlight w:val="cyan"/>
          <w:lang w:val="en-CA"/>
        </w:rPr>
        <w:t>.</w:t>
      </w:r>
      <w:r w:rsidR="00932079" w:rsidRPr="00932079">
        <w:rPr>
          <w:rStyle w:val="FootnoteReference"/>
          <w:highlight w:val="cyan"/>
          <w:lang w:val="en-CA"/>
        </w:rPr>
        <w:footnoteReference w:id="21"/>
      </w:r>
      <w:r w:rsidR="007A4DD3" w:rsidRPr="00932079">
        <w:rPr>
          <w:highlight w:val="cyan"/>
          <w:lang w:val="en-CA"/>
        </w:rPr>
        <w:t xml:space="preserve"> Noting</w:t>
      </w:r>
      <w:r w:rsidRPr="00932079">
        <w:rPr>
          <w:highlight w:val="cyan"/>
          <w:lang w:val="en-CA"/>
        </w:rPr>
        <w:t xml:space="preserve"> that </w:t>
      </w:r>
      <w:r w:rsidR="007A4DD3" w:rsidRPr="00932079">
        <w:rPr>
          <w:highlight w:val="cyan"/>
          <w:lang w:val="en-CA"/>
        </w:rPr>
        <w:t xml:space="preserve">a document providing an </w:t>
      </w:r>
      <w:r w:rsidR="007A4DD3" w:rsidRPr="00630E46">
        <w:rPr>
          <w:highlight w:val="cyan"/>
          <w:lang w:val="en-CA"/>
        </w:rPr>
        <w:t xml:space="preserve">analysis of </w:t>
      </w:r>
      <w:r w:rsidR="00932079" w:rsidRPr="00630E46">
        <w:rPr>
          <w:highlight w:val="cyan"/>
          <w:lang w:val="en-CA"/>
        </w:rPr>
        <w:t xml:space="preserve">the level and modalities of funding for HFC phase-down in the refrigeration servicing sector </w:t>
      </w:r>
      <w:r w:rsidRPr="00630E46">
        <w:rPr>
          <w:highlight w:val="cyan"/>
          <w:lang w:val="en-CA"/>
        </w:rPr>
        <w:t>will be submitted to the 85</w:t>
      </w:r>
      <w:r w:rsidRPr="00630E46">
        <w:rPr>
          <w:highlight w:val="cyan"/>
          <w:vertAlign w:val="superscript"/>
          <w:lang w:val="en-CA"/>
        </w:rPr>
        <w:t>th</w:t>
      </w:r>
      <w:r w:rsidR="00C5797B" w:rsidRPr="00630E46">
        <w:rPr>
          <w:highlight w:val="cyan"/>
          <w:lang w:val="en-CA"/>
        </w:rPr>
        <w:t> </w:t>
      </w:r>
      <w:r w:rsidRPr="00630E46">
        <w:rPr>
          <w:highlight w:val="cyan"/>
          <w:lang w:val="en-CA"/>
        </w:rPr>
        <w:t>meeting</w:t>
      </w:r>
      <w:r w:rsidR="007A4DD3" w:rsidRPr="00630E46">
        <w:rPr>
          <w:highlight w:val="cyan"/>
          <w:lang w:val="en-CA"/>
        </w:rPr>
        <w:t>,</w:t>
      </w:r>
      <w:r w:rsidR="0088429A" w:rsidRPr="00630E46">
        <w:rPr>
          <w:highlight w:val="cyan"/>
          <w:lang w:val="en-CA"/>
        </w:rPr>
        <w:t xml:space="preserve"> </w:t>
      </w:r>
      <w:r w:rsidR="007A4DD3" w:rsidRPr="00630E46">
        <w:rPr>
          <w:highlight w:val="cyan"/>
          <w:lang w:val="en-CA"/>
        </w:rPr>
        <w:t>t</w:t>
      </w:r>
      <w:r w:rsidR="0088429A" w:rsidRPr="00630E46">
        <w:rPr>
          <w:highlight w:val="cyan"/>
          <w:lang w:val="en-CA"/>
        </w:rPr>
        <w:t xml:space="preserve">he Committee may wish to consider this element once </w:t>
      </w:r>
      <w:r w:rsidRPr="00630E46">
        <w:rPr>
          <w:highlight w:val="cyan"/>
          <w:lang w:val="en-CA"/>
        </w:rPr>
        <w:t xml:space="preserve">the </w:t>
      </w:r>
      <w:r w:rsidR="0088429A" w:rsidRPr="00630E46">
        <w:rPr>
          <w:highlight w:val="cyan"/>
          <w:lang w:val="en-CA"/>
        </w:rPr>
        <w:t xml:space="preserve">document is </w:t>
      </w:r>
      <w:r w:rsidRPr="00630E46">
        <w:rPr>
          <w:highlight w:val="cyan"/>
          <w:lang w:val="en-CA"/>
        </w:rPr>
        <w:t xml:space="preserve">submitted </w:t>
      </w:r>
      <w:r>
        <w:rPr>
          <w:highlight w:val="cyan"/>
          <w:lang w:val="en-CA"/>
        </w:rPr>
        <w:t>for its consideration</w:t>
      </w:r>
      <w:r w:rsidR="0088429A" w:rsidRPr="0073001E">
        <w:rPr>
          <w:highlight w:val="cyan"/>
          <w:lang w:val="en-CA"/>
        </w:rPr>
        <w:t>.</w:t>
      </w:r>
      <w:r w:rsidR="00222A5B">
        <w:rPr>
          <w:highlight w:val="cyan"/>
          <w:lang w:val="en-CA"/>
        </w:rPr>
        <w:t>]</w:t>
      </w:r>
    </w:p>
    <w:p w14:paraId="6E54CCD5" w14:textId="77777777" w:rsidR="00E57EA7" w:rsidRDefault="00E57EA7" w:rsidP="000051E7">
      <w:pPr>
        <w:jc w:val="left"/>
        <w:rPr>
          <w:b/>
          <w:highlight w:val="yellow"/>
          <w:lang w:val="en-CA"/>
        </w:rPr>
      </w:pPr>
    </w:p>
    <w:p w14:paraId="4642E99C" w14:textId="77777777" w:rsidR="00A13C2C" w:rsidRPr="00222A5B" w:rsidRDefault="00A13C2C" w:rsidP="000051E7">
      <w:pPr>
        <w:jc w:val="left"/>
        <w:rPr>
          <w:b/>
          <w:lang w:val="en-CA"/>
        </w:rPr>
      </w:pPr>
      <w:r w:rsidRPr="00222A5B">
        <w:rPr>
          <w:b/>
          <w:lang w:val="en-CA"/>
        </w:rPr>
        <w:t>Disposal</w:t>
      </w:r>
    </w:p>
    <w:p w14:paraId="1008E49C" w14:textId="77777777" w:rsidR="00A13C2C" w:rsidRPr="00222A5B" w:rsidRDefault="00A13C2C" w:rsidP="000051E7">
      <w:pPr>
        <w:rPr>
          <w:lang w:val="en-CA"/>
        </w:rPr>
      </w:pPr>
    </w:p>
    <w:p w14:paraId="4036ED78" w14:textId="24C1C6C6" w:rsidR="00A13C2C" w:rsidRDefault="00A13C2C" w:rsidP="000051E7">
      <w:pPr>
        <w:pStyle w:val="Heading2"/>
        <w:numPr>
          <w:ilvl w:val="1"/>
          <w:numId w:val="1"/>
        </w:numPr>
        <w:rPr>
          <w:lang w:val="en-CA"/>
        </w:rPr>
      </w:pPr>
      <w:r w:rsidRPr="00222A5B">
        <w:rPr>
          <w:lang w:val="en-CA"/>
        </w:rPr>
        <w:t>To consider, at the 84</w:t>
      </w:r>
      <w:r w:rsidRPr="00222A5B">
        <w:rPr>
          <w:vertAlign w:val="superscript"/>
          <w:lang w:val="en-CA"/>
        </w:rPr>
        <w:t>th</w:t>
      </w:r>
      <w:r w:rsidRPr="00222A5B">
        <w:rPr>
          <w:lang w:val="en-CA"/>
        </w:rPr>
        <w:t xml:space="preserve"> meeting, the matter of disposal of controlled substances, in light of the final report on the evaluation of pilot demonstration projects on ODS disposal and destruction to be submitted by the Senior Monitoring and Evaluation Officer;</w:t>
      </w:r>
    </w:p>
    <w:p w14:paraId="38F36FB9" w14:textId="442AB228" w:rsidR="00742682" w:rsidRDefault="00742682" w:rsidP="00742682">
      <w:pPr>
        <w:rPr>
          <w:lang w:val="en-CA"/>
        </w:rPr>
      </w:pPr>
    </w:p>
    <w:p w14:paraId="3501812C" w14:textId="77777777" w:rsidR="00742682" w:rsidRPr="00742682" w:rsidRDefault="00742682" w:rsidP="00742682">
      <w:pPr>
        <w:rPr>
          <w:lang w:val="en-CA"/>
        </w:rPr>
      </w:pPr>
    </w:p>
    <w:p w14:paraId="52363EF2" w14:textId="77777777" w:rsidR="00A13C2C" w:rsidRPr="00222A5B" w:rsidRDefault="00A13C2C" w:rsidP="000051E7">
      <w:pPr>
        <w:widowControl w:val="0"/>
        <w:numPr>
          <w:ilvl w:val="0"/>
          <w:numId w:val="23"/>
        </w:numPr>
        <w:ind w:left="709" w:hanging="709"/>
        <w:contextualSpacing/>
        <w:rPr>
          <w:u w:val="single"/>
          <w:lang w:val="en-CA"/>
        </w:rPr>
      </w:pPr>
      <w:r w:rsidRPr="00222A5B">
        <w:rPr>
          <w:b/>
          <w:lang w:val="en-CA"/>
        </w:rPr>
        <w:lastRenderedPageBreak/>
        <w:t xml:space="preserve">ADDITIONAL WORK TO BE REQUESTED FROM THE SECRETARIAT </w:t>
      </w:r>
      <w:r w:rsidRPr="00222A5B">
        <w:rPr>
          <w:b/>
          <w:vertAlign w:val="superscript"/>
          <w:lang w:val="en-CA"/>
        </w:rPr>
        <w:footnoteReference w:id="22"/>
      </w:r>
    </w:p>
    <w:p w14:paraId="3BBD4E7D" w14:textId="77777777" w:rsidR="007A4DD3" w:rsidRDefault="007A4DD3" w:rsidP="000051E7">
      <w:pPr>
        <w:rPr>
          <w:u w:val="single"/>
          <w:lang w:val="en-CA"/>
        </w:rPr>
      </w:pPr>
    </w:p>
    <w:p w14:paraId="22EADAEC" w14:textId="251BEF6F" w:rsidR="00A13C2C" w:rsidRPr="00222A5B" w:rsidRDefault="00A13C2C" w:rsidP="000051E7">
      <w:pPr>
        <w:rPr>
          <w:u w:val="single"/>
          <w:lang w:val="en-CA"/>
        </w:rPr>
      </w:pPr>
      <w:r w:rsidRPr="00222A5B">
        <w:rPr>
          <w:u w:val="single"/>
          <w:lang w:val="en-CA"/>
        </w:rPr>
        <w:t>In relation to the consumption manufacturing sector</w:t>
      </w:r>
    </w:p>
    <w:p w14:paraId="26DD568B" w14:textId="77777777" w:rsidR="00A13C2C" w:rsidRPr="00222A5B" w:rsidRDefault="00A13C2C" w:rsidP="000051E7">
      <w:pPr>
        <w:rPr>
          <w:lang w:val="en-CA"/>
        </w:rPr>
      </w:pPr>
    </w:p>
    <w:p w14:paraId="144DDEED" w14:textId="77777777" w:rsidR="00A13C2C" w:rsidRPr="00222A5B" w:rsidRDefault="00A13C2C" w:rsidP="000051E7">
      <w:pPr>
        <w:widowControl w:val="0"/>
        <w:numPr>
          <w:ilvl w:val="1"/>
          <w:numId w:val="22"/>
        </w:numPr>
        <w:spacing w:after="240"/>
        <w:outlineLvl w:val="1"/>
        <w:rPr>
          <w:lang w:val="en-CA"/>
        </w:rPr>
      </w:pPr>
      <w:r w:rsidRPr="00222A5B">
        <w:rPr>
          <w:lang w:val="en-CA"/>
        </w:rPr>
        <w:t xml:space="preserve">[The Executive Committee decided to consider at a future meeting to request the Secretariat to undertake additional work, including to determine cost-effectiveness thresholds and thresholds for incremental operational costs for HFC-phase-down activities in the consumption manufacturing sector once progress in the implementation of HFC investment projects has been made;] </w:t>
      </w:r>
    </w:p>
    <w:p w14:paraId="356C8FF8" w14:textId="77777777" w:rsidR="00A13C2C" w:rsidRPr="00222A5B" w:rsidRDefault="00A13C2C" w:rsidP="000051E7">
      <w:pPr>
        <w:keepNext/>
        <w:keepLines/>
        <w:widowControl w:val="0"/>
        <w:numPr>
          <w:ilvl w:val="0"/>
          <w:numId w:val="23"/>
        </w:numPr>
        <w:contextualSpacing/>
        <w:rPr>
          <w:b/>
          <w:lang w:val="en-CA"/>
        </w:rPr>
      </w:pPr>
      <w:r w:rsidRPr="00222A5B">
        <w:rPr>
          <w:b/>
          <w:lang w:val="en-CA"/>
        </w:rPr>
        <w:t xml:space="preserve">OTHER GENERAL MATTERS RELATED TO HFC PHASE-DOWN </w:t>
      </w:r>
      <w:r w:rsidRPr="00222A5B">
        <w:rPr>
          <w:b/>
          <w:vertAlign w:val="superscript"/>
          <w:lang w:val="en-CA"/>
        </w:rPr>
        <w:footnoteReference w:id="23"/>
      </w:r>
      <w:r w:rsidRPr="00222A5B">
        <w:rPr>
          <w:b/>
          <w:lang w:val="en-CA"/>
        </w:rPr>
        <w:t xml:space="preserve"> </w:t>
      </w:r>
    </w:p>
    <w:p w14:paraId="20DBF4FD" w14:textId="77777777" w:rsidR="00A13C2C" w:rsidRPr="00222A5B" w:rsidRDefault="00A13C2C" w:rsidP="000051E7">
      <w:pPr>
        <w:keepNext/>
        <w:keepLines/>
        <w:tabs>
          <w:tab w:val="left" w:pos="624"/>
          <w:tab w:val="left" w:pos="1247"/>
          <w:tab w:val="left" w:pos="1814"/>
          <w:tab w:val="left" w:pos="2381"/>
          <w:tab w:val="left" w:pos="2948"/>
          <w:tab w:val="left" w:pos="3515"/>
        </w:tabs>
        <w:jc w:val="left"/>
        <w:rPr>
          <w:lang w:val="en-CA"/>
        </w:rPr>
      </w:pPr>
    </w:p>
    <w:p w14:paraId="315243DC" w14:textId="77777777" w:rsidR="00A13C2C" w:rsidRPr="00222A5B" w:rsidRDefault="00A13C2C" w:rsidP="000051E7">
      <w:pPr>
        <w:keepNext/>
        <w:keepLines/>
        <w:widowControl w:val="0"/>
        <w:numPr>
          <w:ilvl w:val="1"/>
          <w:numId w:val="27"/>
        </w:numPr>
        <w:spacing w:after="240"/>
        <w:outlineLvl w:val="1"/>
        <w:rPr>
          <w:lang w:val="en-CA"/>
        </w:rPr>
      </w:pPr>
      <w:r w:rsidRPr="00222A5B">
        <w:rPr>
          <w:lang w:val="en-CA"/>
        </w:rPr>
        <w:t>To agree on the following prerequisites for an Article 5 country to access Multilateral Fund funding other than for enabling activities for the phase-down of HFC consumption and production:</w:t>
      </w:r>
    </w:p>
    <w:p w14:paraId="3C02205F" w14:textId="77777777" w:rsidR="00A13C2C" w:rsidRPr="00222A5B" w:rsidRDefault="00A13C2C" w:rsidP="000051E7">
      <w:pPr>
        <w:keepNext/>
        <w:numPr>
          <w:ilvl w:val="2"/>
          <w:numId w:val="1"/>
        </w:numPr>
        <w:spacing w:after="240"/>
        <w:outlineLvl w:val="2"/>
        <w:rPr>
          <w:lang w:val="en-CA"/>
        </w:rPr>
      </w:pPr>
      <w:r w:rsidRPr="00222A5B">
        <w:rPr>
          <w:lang w:val="en-CA"/>
        </w:rPr>
        <w:t>Ratification, acceptance, or accession to the Kigali Amendment;</w:t>
      </w:r>
    </w:p>
    <w:p w14:paraId="38A0A0FF" w14:textId="77777777" w:rsidR="00A13C2C" w:rsidRPr="00222A5B" w:rsidRDefault="00A13C2C" w:rsidP="000051E7">
      <w:pPr>
        <w:numPr>
          <w:ilvl w:val="2"/>
          <w:numId w:val="1"/>
        </w:numPr>
        <w:spacing w:after="240"/>
        <w:outlineLvl w:val="2"/>
        <w:rPr>
          <w:lang w:val="en-CA"/>
        </w:rPr>
      </w:pPr>
      <w:r w:rsidRPr="00222A5B">
        <w:rPr>
          <w:lang w:val="en-CA"/>
        </w:rPr>
        <w:t>Establishment of an agreed starting point for a sustained aggregate reduction in HFC consumption and production, on the understanding that any phase-down of HFCs resulting from any project that might be approved by the Executive Committee would be deducted from the country’s starting point;</w:t>
      </w:r>
    </w:p>
    <w:p w14:paraId="054D313B" w14:textId="77777777" w:rsidR="00A13C2C" w:rsidRPr="00222A5B" w:rsidRDefault="00A13C2C" w:rsidP="000051E7">
      <w:pPr>
        <w:numPr>
          <w:ilvl w:val="1"/>
          <w:numId w:val="1"/>
        </w:numPr>
        <w:tabs>
          <w:tab w:val="clear" w:pos="0"/>
          <w:tab w:val="num" w:pos="131"/>
        </w:tabs>
        <w:spacing w:after="240"/>
        <w:outlineLvl w:val="1"/>
        <w:rPr>
          <w:lang w:val="en-CA"/>
        </w:rPr>
      </w:pPr>
      <w:r w:rsidRPr="00222A5B">
        <w:rPr>
          <w:lang w:val="en-CA"/>
        </w:rPr>
        <w:t>[To agree that institutions and capacities in Article 5 countries developed with Multilateral Fund assistance for the phase-out of ODS should be used to the extent possible for the phase</w:t>
      </w:r>
      <w:r w:rsidRPr="00222A5B">
        <w:rPr>
          <w:lang w:val="en-CA"/>
        </w:rPr>
        <w:noBreakHyphen/>
        <w:t>down of HFCs]; and</w:t>
      </w:r>
    </w:p>
    <w:p w14:paraId="7D6648B2" w14:textId="77777777" w:rsidR="00A13C2C" w:rsidRPr="00222A5B" w:rsidRDefault="00A13C2C" w:rsidP="000051E7">
      <w:pPr>
        <w:widowControl w:val="0"/>
        <w:numPr>
          <w:ilvl w:val="1"/>
          <w:numId w:val="1"/>
        </w:numPr>
        <w:tabs>
          <w:tab w:val="clear" w:pos="0"/>
          <w:tab w:val="num" w:pos="131"/>
        </w:tabs>
        <w:spacing w:after="240"/>
        <w:outlineLvl w:val="1"/>
        <w:rPr>
          <w:lang w:val="en-CA"/>
        </w:rPr>
      </w:pPr>
      <w:r w:rsidRPr="00222A5B">
        <w:rPr>
          <w:lang w:val="en-CA"/>
        </w:rPr>
        <w:t>[To agree that the existing policies and guidelines of the Multilateral Fund [where applicable] for funding the phase</w:t>
      </w:r>
      <w:r w:rsidRPr="00222A5B">
        <w:rPr>
          <w:lang w:val="en-CA"/>
        </w:rPr>
        <w:noBreakHyphen/>
        <w:t>out of ODS would be applicable to the funding of HFC phase-down [unless decided otherwise] [as long as agreed upon] by the Executive Committee [taking into account in particular decision XXVIII/2].]</w:t>
      </w:r>
    </w:p>
    <w:p w14:paraId="249C74E8" w14:textId="77777777" w:rsidR="008C5738" w:rsidRDefault="008C5738" w:rsidP="000051E7">
      <w:pPr>
        <w:pStyle w:val="StyleHeader4Para4Left0Firstline0"/>
        <w:numPr>
          <w:ilvl w:val="0"/>
          <w:numId w:val="0"/>
        </w:numPr>
      </w:pPr>
    </w:p>
    <w:sectPr w:rsidR="008C5738" w:rsidSect="00422A57">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F745" w14:textId="77777777" w:rsidR="00EC3589" w:rsidRDefault="00EC3589" w:rsidP="004A504B">
      <w:r>
        <w:separator/>
      </w:r>
    </w:p>
  </w:endnote>
  <w:endnote w:type="continuationSeparator" w:id="0">
    <w:p w14:paraId="45233B7A" w14:textId="77777777" w:rsidR="00EC3589" w:rsidRDefault="00EC358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E6EC" w14:textId="4423F17F" w:rsidR="0013572C" w:rsidRPr="0033525D" w:rsidRDefault="0013572C">
    <w:pPr>
      <w:jc w:val="center"/>
    </w:pPr>
    <w:r>
      <w:fldChar w:fldCharType="begin"/>
    </w:r>
    <w:r>
      <w:instrText xml:space="preserve"> PAGE </w:instrText>
    </w:r>
    <w:r>
      <w:fldChar w:fldCharType="separate"/>
    </w:r>
    <w:r w:rsidR="00D41757">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EFC5" w14:textId="63D227BF" w:rsidR="0013572C" w:rsidRPr="0033525D" w:rsidRDefault="0013572C">
    <w:pPr>
      <w:jc w:val="center"/>
    </w:pPr>
    <w:r>
      <w:fldChar w:fldCharType="begin"/>
    </w:r>
    <w:r>
      <w:instrText xml:space="preserve"> PAGE </w:instrText>
    </w:r>
    <w:r>
      <w:fldChar w:fldCharType="separate"/>
    </w:r>
    <w:r w:rsidR="00D41757">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E64B" w14:textId="77777777" w:rsidR="0013572C" w:rsidRDefault="0013572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3A89042" w14:textId="77777777" w:rsidR="0013572C" w:rsidRDefault="0013572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9058" w14:textId="11122CA4" w:rsidR="0013572C" w:rsidRPr="0033525D" w:rsidRDefault="0013572C">
    <w:pPr>
      <w:jc w:val="center"/>
    </w:pPr>
    <w:r>
      <w:fldChar w:fldCharType="begin"/>
    </w:r>
    <w:r>
      <w:instrText xml:space="preserve"> PAGE </w:instrText>
    </w:r>
    <w:r>
      <w:fldChar w:fldCharType="separate"/>
    </w:r>
    <w:r w:rsidR="00D41757">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C2CF" w14:textId="2500586B" w:rsidR="0013572C" w:rsidRPr="0033525D" w:rsidRDefault="0013572C">
    <w:pPr>
      <w:jc w:val="center"/>
    </w:pPr>
    <w:r>
      <w:fldChar w:fldCharType="begin"/>
    </w:r>
    <w:r>
      <w:instrText xml:space="preserve"> PAGE </w:instrText>
    </w:r>
    <w:r>
      <w:fldChar w:fldCharType="separate"/>
    </w:r>
    <w:r w:rsidR="00D41757">
      <w:rPr>
        <w:noProof/>
      </w:rPr>
      <w:t>2</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97B6" w14:textId="5623FD35" w:rsidR="0013572C" w:rsidRPr="0033525D" w:rsidRDefault="0013572C">
    <w:pPr>
      <w:jc w:val="center"/>
    </w:pPr>
    <w:r>
      <w:fldChar w:fldCharType="begin"/>
    </w:r>
    <w:r>
      <w:instrText xml:space="preserve"> PAGE </w:instrText>
    </w:r>
    <w:r>
      <w:fldChar w:fldCharType="separate"/>
    </w:r>
    <w:r w:rsidR="00D41757">
      <w:rPr>
        <w:noProof/>
      </w:rPr>
      <w:t>3</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96750"/>
      <w:docPartObj>
        <w:docPartGallery w:val="Page Numbers (Bottom of Page)"/>
        <w:docPartUnique/>
      </w:docPartObj>
    </w:sdtPr>
    <w:sdtEndPr>
      <w:rPr>
        <w:noProof/>
      </w:rPr>
    </w:sdtEndPr>
    <w:sdtContent>
      <w:p w14:paraId="008A00C2" w14:textId="77777777" w:rsidR="007A4DD3" w:rsidRDefault="007A4DD3">
        <w:pPr>
          <w:pStyle w:val="Footer"/>
          <w:jc w:val="center"/>
        </w:pPr>
      </w:p>
      <w:p w14:paraId="2E19A6DF" w14:textId="2DB496BF" w:rsidR="00422A57" w:rsidRDefault="00422A57">
        <w:pPr>
          <w:pStyle w:val="Footer"/>
          <w:jc w:val="center"/>
        </w:pPr>
        <w:r>
          <w:fldChar w:fldCharType="begin"/>
        </w:r>
        <w:r>
          <w:instrText xml:space="preserve"> PAGE   \* MERGEFORMAT </w:instrText>
        </w:r>
        <w:r>
          <w:fldChar w:fldCharType="separate"/>
        </w:r>
        <w:r w:rsidR="00D41757">
          <w:rPr>
            <w:noProof/>
          </w:rPr>
          <w:t>1</w:t>
        </w:r>
        <w:r>
          <w:rPr>
            <w:noProof/>
          </w:rPr>
          <w:fldChar w:fldCharType="end"/>
        </w:r>
      </w:p>
    </w:sdtContent>
  </w:sdt>
  <w:p w14:paraId="4D671F38" w14:textId="77777777" w:rsidR="0013572C" w:rsidRPr="00C5797B" w:rsidRDefault="0013572C" w:rsidP="00C579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EF86" w14:textId="77777777" w:rsidR="00EC3589" w:rsidRDefault="00EC3589" w:rsidP="004A504B">
      <w:r>
        <w:separator/>
      </w:r>
    </w:p>
  </w:footnote>
  <w:footnote w:type="continuationSeparator" w:id="0">
    <w:p w14:paraId="420BE850" w14:textId="77777777" w:rsidR="00EC3589" w:rsidRDefault="00EC3589" w:rsidP="004A504B">
      <w:r>
        <w:continuationSeparator/>
      </w:r>
    </w:p>
  </w:footnote>
  <w:footnote w:id="1">
    <w:p w14:paraId="5DF2A0F3" w14:textId="77777777" w:rsidR="0013572C" w:rsidRPr="006100BE" w:rsidRDefault="0013572C">
      <w:pPr>
        <w:pStyle w:val="FootnoteText"/>
        <w:rPr>
          <w:lang w:val="en-US"/>
        </w:rPr>
      </w:pPr>
      <w:r>
        <w:rPr>
          <w:rStyle w:val="FootnoteReference"/>
        </w:rPr>
        <w:footnoteRef/>
      </w:r>
      <w:r>
        <w:t xml:space="preserve"> </w:t>
      </w:r>
      <w:r w:rsidRPr="006E36BE">
        <w:rPr>
          <w:lang w:val="en-US"/>
        </w:rPr>
        <w:t>Paragraph 1</w:t>
      </w:r>
      <w:r>
        <w:rPr>
          <w:lang w:val="en-US"/>
        </w:rPr>
        <w:t>0 of decision XXVIII/2.</w:t>
      </w:r>
    </w:p>
  </w:footnote>
  <w:footnote w:id="2">
    <w:p w14:paraId="137FF89A" w14:textId="0919EDF6" w:rsidR="0013572C" w:rsidRPr="00911A5F" w:rsidRDefault="0013572C">
      <w:pPr>
        <w:pStyle w:val="FootnoteText"/>
        <w:rPr>
          <w:rFonts w:eastAsiaTheme="majorEastAsia"/>
          <w:lang w:val="en-US"/>
        </w:rPr>
      </w:pPr>
      <w:r>
        <w:rPr>
          <w:rStyle w:val="FootnoteReference"/>
        </w:rPr>
        <w:footnoteRef/>
      </w:r>
      <w:r w:rsidRPr="00CF1E89">
        <w:rPr>
          <w:lang w:val="en-US"/>
        </w:rPr>
        <w:t xml:space="preserve"> </w:t>
      </w:r>
      <w:r w:rsidRPr="00CF1E89">
        <w:rPr>
          <w:rStyle w:val="FootnoteReference"/>
          <w:rFonts w:eastAsiaTheme="majorEastAsia"/>
          <w:vertAlign w:val="baseline"/>
          <w:lang w:val="en-US"/>
        </w:rPr>
        <w:t xml:space="preserve">UNEP/OzL.Pro/ExCom/77/70, </w:t>
      </w:r>
      <w:r w:rsidRPr="00CF1E89">
        <w:rPr>
          <w:rFonts w:eastAsiaTheme="majorEastAsia"/>
          <w:lang w:val="en-US"/>
        </w:rPr>
        <w:t>UNE</w:t>
      </w:r>
      <w:r w:rsidRPr="00CF1E89">
        <w:rPr>
          <w:rStyle w:val="FootnoteReference"/>
          <w:rFonts w:eastAsiaTheme="majorEastAsia"/>
          <w:vertAlign w:val="baseline"/>
          <w:lang w:val="en-US"/>
        </w:rPr>
        <w:t>P/OzL.Pro/ExCom/78/5 and Corr.1, UNEP/OzL.Pro/ExCom/79/46, UNEP/OzL.Pro/ExCom/80/55, UNEP/OzL.Pro/ExCom/81/53</w:t>
      </w:r>
      <w:r w:rsidRPr="00CF1E89">
        <w:rPr>
          <w:lang w:val="en-US"/>
        </w:rPr>
        <w:t xml:space="preserve">, </w:t>
      </w:r>
      <w:r w:rsidRPr="00CF1E89">
        <w:rPr>
          <w:rStyle w:val="FootnoteReference"/>
          <w:rFonts w:eastAsiaTheme="majorEastAsia"/>
          <w:vertAlign w:val="baseline"/>
          <w:lang w:val="en-US"/>
        </w:rPr>
        <w:t>UNEP/OzL.Pro/ExCom/8</w:t>
      </w:r>
      <w:r w:rsidRPr="00CF1E89">
        <w:rPr>
          <w:rFonts w:eastAsiaTheme="majorEastAsia"/>
          <w:lang w:val="en-US"/>
        </w:rPr>
        <w:t>2</w:t>
      </w:r>
      <w:r w:rsidRPr="00CF1E89">
        <w:rPr>
          <w:rStyle w:val="FootnoteReference"/>
          <w:rFonts w:eastAsiaTheme="majorEastAsia"/>
          <w:vertAlign w:val="baseline"/>
          <w:lang w:val="en-US"/>
        </w:rPr>
        <w:t>/6</w:t>
      </w:r>
      <w:r w:rsidRPr="00CF1E89">
        <w:rPr>
          <w:rFonts w:eastAsiaTheme="majorEastAsia"/>
          <w:lang w:val="en-US"/>
        </w:rPr>
        <w:t>7</w:t>
      </w:r>
      <w:r>
        <w:rPr>
          <w:rFonts w:eastAsiaTheme="majorEastAsia"/>
          <w:lang w:val="en-US"/>
        </w:rPr>
        <w:t xml:space="preserve">, </w:t>
      </w:r>
      <w:r w:rsidR="00BA7455">
        <w:rPr>
          <w:rFonts w:eastAsiaTheme="majorEastAsia"/>
          <w:lang w:val="en-US"/>
        </w:rPr>
        <w:t>and UNEP/OzL.Pro/ExCom</w:t>
      </w:r>
      <w:r w:rsidR="00BA7455" w:rsidRPr="00BA7455">
        <w:rPr>
          <w:rFonts w:eastAsiaTheme="majorEastAsia"/>
          <w:lang w:val="en-US"/>
        </w:rPr>
        <w:t>/83/43</w:t>
      </w:r>
    </w:p>
  </w:footnote>
  <w:footnote w:id="3">
    <w:p w14:paraId="540F222F" w14:textId="3ACF770E" w:rsidR="00BA7455" w:rsidRPr="00BA7455" w:rsidRDefault="00BA7455">
      <w:pPr>
        <w:pStyle w:val="FootnoteText"/>
      </w:pPr>
      <w:r>
        <w:rPr>
          <w:rStyle w:val="FootnoteReference"/>
        </w:rPr>
        <w:footnoteRef/>
      </w:r>
      <w:r>
        <w:t xml:space="preserve"> UNEP/</w:t>
      </w:r>
      <w:r w:rsidR="001648BF">
        <w:t>OzL.Pro/ExCom/83/48</w:t>
      </w:r>
    </w:p>
  </w:footnote>
  <w:footnote w:id="4">
    <w:p w14:paraId="643C67AB" w14:textId="619984DB" w:rsidR="00825976" w:rsidRPr="00825976" w:rsidRDefault="00825976">
      <w:pPr>
        <w:pStyle w:val="FootnoteText"/>
        <w:rPr>
          <w:lang w:val="en-CA"/>
        </w:rPr>
      </w:pPr>
      <w:r>
        <w:rPr>
          <w:rStyle w:val="FootnoteReference"/>
        </w:rPr>
        <w:footnoteRef/>
      </w:r>
      <w:r>
        <w:t xml:space="preserve"> </w:t>
      </w:r>
      <w:r w:rsidRPr="00825976">
        <w:t>UNEP/OzL.Pro.31/L.2/Add.2</w:t>
      </w:r>
    </w:p>
  </w:footnote>
  <w:footnote w:id="5">
    <w:p w14:paraId="2060150E" w14:textId="605D6723" w:rsidR="004A0B4A" w:rsidRPr="004A0B4A" w:rsidRDefault="004A0B4A" w:rsidP="004A0B4A">
      <w:pPr>
        <w:pStyle w:val="FootnoteText"/>
        <w:rPr>
          <w:lang w:val="en-CA"/>
        </w:rPr>
      </w:pPr>
      <w:r w:rsidRPr="00911A5F">
        <w:rPr>
          <w:rStyle w:val="FootnoteReference"/>
        </w:rPr>
        <w:footnoteRef/>
      </w:r>
      <w:r w:rsidRPr="00911A5F">
        <w:t xml:space="preserve"> To continue supporting stand-alone projects in Article 5 </w:t>
      </w:r>
      <w:r w:rsidR="00911A5F" w:rsidRPr="00911A5F">
        <w:t xml:space="preserve">countries </w:t>
      </w:r>
      <w:r w:rsidRPr="00911A5F">
        <w:t>in accordance with decision 79/45.</w:t>
      </w:r>
    </w:p>
  </w:footnote>
  <w:footnote w:id="6">
    <w:p w14:paraId="7EE2351B" w14:textId="26249D25" w:rsidR="001028DE" w:rsidRPr="001028DE" w:rsidRDefault="001028DE">
      <w:pPr>
        <w:pStyle w:val="FootnoteText"/>
      </w:pPr>
      <w:r>
        <w:rPr>
          <w:rStyle w:val="FootnoteReference"/>
        </w:rPr>
        <w:footnoteRef/>
      </w:r>
      <w:r>
        <w:t xml:space="preserve"> Discussion on the “HFC component” and the “HCFC component” is presented in paragraphs 28 to 32 of document </w:t>
      </w:r>
      <w:r w:rsidRPr="001028DE">
        <w:t>UNEP/OzL.Pro/ExCom/82/66</w:t>
      </w:r>
      <w:r>
        <w:t>.</w:t>
      </w:r>
    </w:p>
  </w:footnote>
  <w:footnote w:id="7">
    <w:p w14:paraId="2F70F141" w14:textId="77777777" w:rsidR="0013572C" w:rsidRPr="006100BE" w:rsidRDefault="0013572C">
      <w:pPr>
        <w:pStyle w:val="FootnoteText"/>
      </w:pPr>
      <w:r>
        <w:rPr>
          <w:rStyle w:val="FootnoteReference"/>
        </w:rPr>
        <w:footnoteRef/>
      </w:r>
      <w:r>
        <w:t xml:space="preserve"> </w:t>
      </w:r>
      <w:r w:rsidRPr="00D57242">
        <w:t>Projects could be submitted up to and including the 84</w:t>
      </w:r>
      <w:r w:rsidRPr="005024AB">
        <w:rPr>
          <w:vertAlign w:val="superscript"/>
        </w:rPr>
        <w:t>th</w:t>
      </w:r>
      <w:r w:rsidRPr="00D57242">
        <w:t xml:space="preserve"> meeting, especially in sectors and regions that were not covered by projects approved up to and including </w:t>
      </w:r>
      <w:r w:rsidRPr="001D2990">
        <w:t>the 81</w:t>
      </w:r>
      <w:r w:rsidRPr="001D2990">
        <w:rPr>
          <w:vertAlign w:val="superscript"/>
        </w:rPr>
        <w:t>st</w:t>
      </w:r>
      <w:r w:rsidRPr="001D2990">
        <w:t xml:space="preserve"> meeting (decision 81/53(b)).</w:t>
      </w:r>
    </w:p>
  </w:footnote>
  <w:footnote w:id="8">
    <w:p w14:paraId="1AE42521" w14:textId="77777777" w:rsidR="0013572C" w:rsidRPr="006100BE" w:rsidRDefault="0013572C">
      <w:pPr>
        <w:pStyle w:val="FootnoteText"/>
        <w:rPr>
          <w:lang w:val="en-US"/>
        </w:rPr>
      </w:pPr>
      <w:r>
        <w:rPr>
          <w:rStyle w:val="FootnoteReference"/>
        </w:rPr>
        <w:footnoteRef/>
      </w:r>
      <w:r>
        <w:t xml:space="preserve"> HFC </w:t>
      </w:r>
      <w:r w:rsidRPr="001D2990">
        <w:t xml:space="preserve">investment projects have been approved for Argentina, Bangladesh, China, </w:t>
      </w:r>
      <w:r>
        <w:t xml:space="preserve">the </w:t>
      </w:r>
      <w:r w:rsidRPr="001D2990">
        <w:t>Dominican Republic, Jordan, Lebanon, Mexico (two), Thailand and Zimbabwe.</w:t>
      </w:r>
    </w:p>
  </w:footnote>
  <w:footnote w:id="9">
    <w:p w14:paraId="19A881C5" w14:textId="3EFD1713" w:rsidR="00026225" w:rsidRPr="00026225" w:rsidRDefault="00026225">
      <w:pPr>
        <w:pStyle w:val="FootnoteText"/>
        <w:rPr>
          <w:lang w:val="en-CA"/>
        </w:rPr>
      </w:pPr>
      <w:r w:rsidRPr="00911A5F">
        <w:rPr>
          <w:rStyle w:val="FootnoteReference"/>
        </w:rPr>
        <w:footnoteRef/>
      </w:r>
      <w:r w:rsidRPr="00911A5F">
        <w:t xml:space="preserve"> A request of </w:t>
      </w:r>
      <w:r w:rsidRPr="00911A5F">
        <w:rPr>
          <w:lang w:val="en-CA"/>
        </w:rPr>
        <w:t>preparatory funding for the phase out of HFC-227a in fire-fighting equipment assembly sector in Egypt was submitted to the 84</w:t>
      </w:r>
      <w:r w:rsidRPr="00911A5F">
        <w:rPr>
          <w:vertAlign w:val="superscript"/>
          <w:lang w:val="en-CA"/>
        </w:rPr>
        <w:t>th</w:t>
      </w:r>
      <w:r w:rsidRPr="00911A5F">
        <w:rPr>
          <w:lang w:val="en-CA"/>
        </w:rPr>
        <w:t xml:space="preserve"> meeting.</w:t>
      </w:r>
    </w:p>
  </w:footnote>
  <w:footnote w:id="10">
    <w:p w14:paraId="3D7126A6" w14:textId="77777777" w:rsidR="0013572C" w:rsidRPr="006100BE" w:rsidRDefault="0013572C">
      <w:pPr>
        <w:pStyle w:val="FootnoteText"/>
      </w:pPr>
      <w:r>
        <w:rPr>
          <w:rStyle w:val="FootnoteReference"/>
        </w:rPr>
        <w:footnoteRef/>
      </w:r>
      <w:r>
        <w:t xml:space="preserve"> </w:t>
      </w:r>
      <w:r w:rsidRPr="002834FC">
        <w:t>The document needed to take into account previous policy documents, case studies, monitoring and evaluation reviews, and the work undertaken in developing and implementing training and technical assistance programmes; an analysis of the existing capacities in Article 5 countries funded under the refrigeration servicing sector and how those capacities could be utilized for HFC phase-down; and information needed for the development of training and competency</w:t>
      </w:r>
      <w:r>
        <w:t>-</w:t>
      </w:r>
      <w:r w:rsidRPr="002834FC">
        <w:t>based certification programmes and modules for service technicians and customs officers for the transition to alternatives</w:t>
      </w:r>
      <w:r>
        <w:t>.</w:t>
      </w:r>
    </w:p>
  </w:footnote>
  <w:footnote w:id="11">
    <w:p w14:paraId="38E488F8" w14:textId="5D4DD7B3" w:rsidR="0013572C" w:rsidRPr="006100BE" w:rsidRDefault="0013572C">
      <w:pPr>
        <w:pStyle w:val="FootnoteText"/>
      </w:pPr>
      <w:r>
        <w:rPr>
          <w:rStyle w:val="FootnoteReference"/>
        </w:rPr>
        <w:footnoteRef/>
      </w:r>
      <w:r>
        <w:t xml:space="preserve"> P</w:t>
      </w:r>
      <w:r w:rsidRPr="0016151F">
        <w:t>aragraph 23 of decision XXVIII/2</w:t>
      </w:r>
    </w:p>
  </w:footnote>
  <w:footnote w:id="12">
    <w:p w14:paraId="55692B96" w14:textId="5378E189" w:rsidR="00644A21" w:rsidRPr="00644A21" w:rsidRDefault="00644A21" w:rsidP="00FD697C">
      <w:pPr>
        <w:pStyle w:val="FootnoteText"/>
      </w:pPr>
      <w:r>
        <w:rPr>
          <w:rStyle w:val="FootnoteReference"/>
        </w:rPr>
        <w:footnoteRef/>
      </w:r>
      <w:r>
        <w:t xml:space="preserve"> This issue is discussed in paragraphs 67 to 71 of document </w:t>
      </w:r>
      <w:r w:rsidRPr="00644A21">
        <w:t>UNEP/OzL.Pro/ExCom/82/66</w:t>
      </w:r>
      <w:r>
        <w:t>.</w:t>
      </w:r>
    </w:p>
  </w:footnote>
  <w:footnote w:id="13">
    <w:p w14:paraId="326763B1" w14:textId="64345F3B" w:rsidR="0013572C" w:rsidRPr="006100BE" w:rsidRDefault="0013572C" w:rsidP="00FD697C">
      <w:pPr>
        <w:pStyle w:val="FootnoteText"/>
      </w:pPr>
      <w:r>
        <w:rPr>
          <w:rStyle w:val="FootnoteReference"/>
        </w:rPr>
        <w:footnoteRef/>
      </w:r>
      <w:r>
        <w:t xml:space="preserve"> Paragraph 2 of decision XXX/5 </w:t>
      </w:r>
      <w:r w:rsidRPr="00CE6938">
        <w:t>request</w:t>
      </w:r>
      <w:r>
        <w:t>ed</w:t>
      </w:r>
      <w:r w:rsidRPr="00CE6938">
        <w:t xml:space="preserve"> the Executive Committee to consider, within the context of paragraph</w:t>
      </w:r>
      <w:r>
        <w:t> </w:t>
      </w:r>
      <w:r w:rsidRPr="00CE6938">
        <w:t xml:space="preserve">16 of decision XXVIII/2, increasing the funding provided to </w:t>
      </w:r>
      <w:r>
        <w:t xml:space="preserve">LVC </w:t>
      </w:r>
      <w:r w:rsidRPr="00CE6938">
        <w:t>countries to assist them in implementing the activities outlined in paragraph 1 of this decision</w:t>
      </w:r>
      <w:r>
        <w:t xml:space="preserve"> (i.e.,</w:t>
      </w:r>
      <w:r>
        <w:tab/>
        <w:t xml:space="preserve">developing and enforcing policies and regulations to avoid the market penetration of energy-inefficient refrigeration, air-conditioning and heat-pump equipment; promoting access to energy-efficient technologies in these sectors; and targeted training on certification, </w:t>
      </w:r>
      <w:r w:rsidR="001D205A">
        <w:t xml:space="preserve">safety and standards, raising awareness and building capacity </w:t>
      </w:r>
      <w:r>
        <w:t xml:space="preserve">aimed </w:t>
      </w:r>
      <w:r w:rsidR="001D205A">
        <w:t>at maintaining and enhancing</w:t>
      </w:r>
      <w:r>
        <w:t xml:space="preserve"> energy efficiency).</w:t>
      </w:r>
    </w:p>
  </w:footnote>
  <w:footnote w:id="14">
    <w:p w14:paraId="13C73E8E" w14:textId="21CFB9A4" w:rsidR="0013572C" w:rsidRPr="006100BE" w:rsidRDefault="0013572C" w:rsidP="00FD697C">
      <w:pPr>
        <w:pStyle w:val="FootnoteText"/>
        <w:rPr>
          <w:lang w:val="en-CA"/>
        </w:rPr>
      </w:pPr>
      <w:r>
        <w:rPr>
          <w:rStyle w:val="FootnoteReference"/>
        </w:rPr>
        <w:footnoteRef/>
      </w:r>
      <w:r>
        <w:t xml:space="preserve"> </w:t>
      </w:r>
      <w:r w:rsidRPr="004B7B23">
        <w:t>To discuss, at its 83</w:t>
      </w:r>
      <w:r w:rsidRPr="004B7B23">
        <w:rPr>
          <w:vertAlign w:val="superscript"/>
        </w:rPr>
        <w:t>rd</w:t>
      </w:r>
      <w:r>
        <w:t xml:space="preserve"> </w:t>
      </w:r>
      <w:r w:rsidRPr="004B7B23">
        <w:t>meeting, ways to operationalize paragraph 22 of decision XXVIII/2, and paragraph</w:t>
      </w:r>
      <w:r>
        <w:t>s </w:t>
      </w:r>
      <w:r w:rsidRPr="004B7B23">
        <w:t>5 and 6 of decision XXX/5, including: (i) Initiatives associated with maintaining and/or enhancing the energy efficiency of replacement technologies with low</w:t>
      </w:r>
      <w:r>
        <w:t>-</w:t>
      </w:r>
      <w:r w:rsidRPr="004B7B23">
        <w:t xml:space="preserve"> or zero</w:t>
      </w:r>
      <w:r>
        <w:t>-GWP</w:t>
      </w:r>
      <w:r w:rsidRPr="004B7B23">
        <w:t xml:space="preserve"> in the refrigeration, air-conditioning and heat-pump sector, such as: a. Methodologies to quantify changes in energy efficiency; and b. Technical interventions associated with maintaining and/or enhancing energy efficiency; (ii) Cost-related issues such as associated incremental costs, payback opportunities and costs of monitoring and verification; (iii) Possible environmental benefits, particularly those associated with climate.</w:t>
      </w:r>
    </w:p>
  </w:footnote>
  <w:footnote w:id="15">
    <w:p w14:paraId="3CEBE71F" w14:textId="1267974A" w:rsidR="006851E4" w:rsidRPr="006100BE" w:rsidRDefault="006851E4" w:rsidP="00FD697C">
      <w:pPr>
        <w:pStyle w:val="FootnoteText"/>
      </w:pPr>
      <w:r w:rsidRPr="00834009">
        <w:rPr>
          <w:rStyle w:val="FootnoteReference"/>
        </w:rPr>
        <w:footnoteRef/>
      </w:r>
      <w:r w:rsidRPr="00834009">
        <w:t xml:space="preserve"> UNEP/OzL.Pro/ExCom/83/40, UNEP/OzL.Pro/ExCom/83/41, and UNEP/OzL.Pro/ExCom/83/42</w:t>
      </w:r>
    </w:p>
  </w:footnote>
  <w:footnote w:id="16">
    <w:p w14:paraId="1BD38859" w14:textId="77777777" w:rsidR="00165AC9" w:rsidRPr="002A4C4C" w:rsidRDefault="00165AC9" w:rsidP="00165AC9">
      <w:pPr>
        <w:pStyle w:val="FootnoteText"/>
        <w:rPr>
          <w:lang w:val="en-CA"/>
        </w:rPr>
      </w:pPr>
      <w:r w:rsidRPr="00911A5F">
        <w:rPr>
          <w:rStyle w:val="FootnoteReference"/>
        </w:rPr>
        <w:footnoteRef/>
      </w:r>
      <w:r w:rsidRPr="00911A5F">
        <w:t xml:space="preserve"> </w:t>
      </w:r>
      <w:r w:rsidRPr="00911A5F">
        <w:rPr>
          <w:lang w:val="en-CA"/>
        </w:rPr>
        <w:t>The discussion at the 83</w:t>
      </w:r>
      <w:r w:rsidRPr="00911A5F">
        <w:rPr>
          <w:vertAlign w:val="superscript"/>
          <w:lang w:val="en-CA"/>
        </w:rPr>
        <w:t>rd</w:t>
      </w:r>
      <w:r w:rsidRPr="00911A5F">
        <w:rPr>
          <w:lang w:val="en-CA"/>
        </w:rPr>
        <w:t xml:space="preserve"> meeting is reflected in paragraphs 233 to 254 of document UNEP/OzL.Pro/ExCom/83/48.</w:t>
      </w:r>
    </w:p>
  </w:footnote>
  <w:footnote w:id="17">
    <w:p w14:paraId="40229E60" w14:textId="5C141A24" w:rsidR="00165AC9" w:rsidRPr="006851E4" w:rsidRDefault="00165AC9" w:rsidP="00165AC9">
      <w:pPr>
        <w:pStyle w:val="FootnoteText"/>
        <w:rPr>
          <w:lang w:val="en-CA"/>
        </w:rPr>
      </w:pPr>
      <w:r>
        <w:rPr>
          <w:rStyle w:val="FootnoteReference"/>
        </w:rPr>
        <w:footnoteRef/>
      </w:r>
      <w:r>
        <w:t xml:space="preserve"> UNEP/OzL.Pro/</w:t>
      </w:r>
      <w:r w:rsidRPr="00911A5F">
        <w:t>ExCom/84/</w:t>
      </w:r>
      <w:r w:rsidR="001E5134" w:rsidRPr="00911A5F">
        <w:t>67</w:t>
      </w:r>
      <w:r w:rsidRPr="00911A5F">
        <w:t>, UNEP/OzL.Pro/ExCom/84/</w:t>
      </w:r>
      <w:r w:rsidR="001E5134" w:rsidRPr="00911A5F">
        <w:t>68</w:t>
      </w:r>
      <w:r w:rsidRPr="00911A5F">
        <w:t>, and UNEP/OzL.Pro/ExCom/84</w:t>
      </w:r>
      <w:r w:rsidR="001E5134" w:rsidRPr="00911A5F">
        <w:t>/69</w:t>
      </w:r>
    </w:p>
  </w:footnote>
  <w:footnote w:id="18">
    <w:p w14:paraId="67740B3A" w14:textId="77777777" w:rsidR="0013572C" w:rsidRPr="006100BE" w:rsidRDefault="0013572C">
      <w:pPr>
        <w:pStyle w:val="FootnoteText"/>
      </w:pPr>
      <w:r>
        <w:rPr>
          <w:rStyle w:val="FootnoteReference"/>
        </w:rPr>
        <w:footnoteRef/>
      </w:r>
      <w:r>
        <w:t xml:space="preserve"> </w:t>
      </w:r>
      <w:r w:rsidRPr="007134E4">
        <w:t xml:space="preserve">The document </w:t>
      </w:r>
      <w:r>
        <w:t xml:space="preserve">is based on the implementation of </w:t>
      </w:r>
      <w:r w:rsidRPr="007134E4">
        <w:t xml:space="preserve">11 projects, </w:t>
      </w:r>
      <w:r>
        <w:t xml:space="preserve">and </w:t>
      </w:r>
      <w:r w:rsidRPr="007134E4">
        <w:t xml:space="preserve">includes issues related to project design, synergy with other projects, opportunities for resource mobilization, cost-effectiveness </w:t>
      </w:r>
      <w:r>
        <w:t>and</w:t>
      </w:r>
      <w:r w:rsidRPr="007134E4">
        <w:t xml:space="preserve"> </w:t>
      </w:r>
      <w:r>
        <w:t>lessons learned.</w:t>
      </w:r>
    </w:p>
  </w:footnote>
  <w:footnote w:id="19">
    <w:p w14:paraId="459C1883" w14:textId="02158625" w:rsidR="00165AC9" w:rsidRPr="00165AC9" w:rsidRDefault="00165AC9">
      <w:pPr>
        <w:pStyle w:val="FootnoteText"/>
        <w:rPr>
          <w:lang w:val="en-CA"/>
        </w:rPr>
      </w:pPr>
      <w:r>
        <w:rPr>
          <w:rStyle w:val="FootnoteReference"/>
        </w:rPr>
        <w:footnoteRef/>
      </w:r>
      <w:r>
        <w:t xml:space="preserve"> D</w:t>
      </w:r>
      <w:r w:rsidRPr="00165AC9">
        <w:t>ecision 83/65(c)</w:t>
      </w:r>
    </w:p>
  </w:footnote>
  <w:footnote w:id="20">
    <w:p w14:paraId="69DFA58E" w14:textId="0690AAB3" w:rsidR="0013572C" w:rsidRPr="002E03A7" w:rsidRDefault="0013572C">
      <w:pPr>
        <w:pStyle w:val="FootnoteText"/>
      </w:pPr>
      <w:r>
        <w:rPr>
          <w:rStyle w:val="FootnoteReference"/>
        </w:rPr>
        <w:footnoteRef/>
      </w:r>
      <w:r>
        <w:t xml:space="preserve"> P</w:t>
      </w:r>
      <w:r w:rsidRPr="00FF26E1">
        <w:t>aragraph 43 of do</w:t>
      </w:r>
      <w:r w:rsidR="00470D9B">
        <w:t>cument UNEP/OzL.Pro/ExCom/80/55</w:t>
      </w:r>
    </w:p>
  </w:footnote>
  <w:footnote w:id="21">
    <w:p w14:paraId="4B1B1D1A" w14:textId="5CFAA9AE" w:rsidR="00932079" w:rsidRPr="00932079" w:rsidRDefault="00932079">
      <w:pPr>
        <w:pStyle w:val="FootnoteText"/>
        <w:rPr>
          <w:lang w:val="en-CA"/>
        </w:rPr>
      </w:pPr>
      <w:r>
        <w:rPr>
          <w:rStyle w:val="FootnoteReference"/>
        </w:rPr>
        <w:footnoteRef/>
      </w:r>
      <w:r>
        <w:t xml:space="preserve"> D</w:t>
      </w:r>
      <w:r w:rsidRPr="00932079">
        <w:t>ecision 81/67(c)</w:t>
      </w:r>
    </w:p>
  </w:footnote>
  <w:footnote w:id="22">
    <w:p w14:paraId="43DF3198" w14:textId="032B2D0B" w:rsidR="0013572C" w:rsidRPr="002E62F5" w:rsidRDefault="0013572C" w:rsidP="00A13C2C">
      <w:pPr>
        <w:pStyle w:val="FootnoteText"/>
      </w:pPr>
      <w:r>
        <w:rPr>
          <w:rStyle w:val="FootnoteReference"/>
        </w:rPr>
        <w:footnoteRef/>
      </w:r>
      <w:r>
        <w:t xml:space="preserve"> As c</w:t>
      </w:r>
      <w:r w:rsidRPr="002E62F5">
        <w:t>ontained in paragraph 46 of do</w:t>
      </w:r>
      <w:r w:rsidR="007A4DD3">
        <w:t>cument UNEP/OzL.Pro/ExCom/80/55</w:t>
      </w:r>
    </w:p>
  </w:footnote>
  <w:footnote w:id="23">
    <w:p w14:paraId="647E7B78" w14:textId="6ADDC946" w:rsidR="0013572C" w:rsidRPr="00FF26E1" w:rsidRDefault="0013572C" w:rsidP="00A13C2C">
      <w:pPr>
        <w:pStyle w:val="FootnoteText"/>
        <w:rPr>
          <w:lang w:val="en-CA"/>
        </w:rPr>
      </w:pPr>
      <w:r w:rsidRPr="00FF26E1">
        <w:rPr>
          <w:rStyle w:val="FootnoteReference"/>
        </w:rPr>
        <w:footnoteRef/>
      </w:r>
      <w:r w:rsidRPr="00FF26E1">
        <w:t xml:space="preserve"> As contained in </w:t>
      </w:r>
      <w:r>
        <w:t>paragraph </w:t>
      </w:r>
      <w:r w:rsidRPr="00FF26E1">
        <w:t xml:space="preserve">43 of </w:t>
      </w:r>
      <w:r>
        <w:t>document </w:t>
      </w:r>
      <w:r w:rsidR="007A4DD3">
        <w:t>UNEP/OzL.Pro/ExCom/80/55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4585" w14:textId="4945B804" w:rsidR="0013572C" w:rsidRPr="0033525D" w:rsidRDefault="00D41757">
    <w:r>
      <w:fldChar w:fldCharType="begin"/>
    </w:r>
    <w:r>
      <w:instrText xml:space="preserve"> DOCPROPERTY "Document number"  \* MERGEFORMAT </w:instrText>
    </w:r>
    <w:r>
      <w:fldChar w:fldCharType="separate"/>
    </w:r>
    <w:r w:rsidR="00482BC4">
      <w:t>UNEP/OzL.Pro/ExCom/84/66</w:t>
    </w:r>
    <w:r>
      <w:fldChar w:fldCharType="end"/>
    </w:r>
  </w:p>
  <w:p w14:paraId="337BE3A5" w14:textId="77777777" w:rsidR="0013572C" w:rsidRPr="0033525D" w:rsidRDefault="0013572C"/>
  <w:p w14:paraId="32D91319" w14:textId="77777777" w:rsidR="0013572C" w:rsidRPr="0033525D" w:rsidRDefault="0013572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95C5" w14:textId="3480267E" w:rsidR="0013572C" w:rsidRPr="0033525D" w:rsidRDefault="00D41757">
    <w:pPr>
      <w:jc w:val="right"/>
    </w:pPr>
    <w:r>
      <w:fldChar w:fldCharType="begin"/>
    </w:r>
    <w:r>
      <w:instrText xml:space="preserve"> DOCPROPERTY "Document number"  \* MERGEFORMAT </w:instrText>
    </w:r>
    <w:r>
      <w:fldChar w:fldCharType="separate"/>
    </w:r>
    <w:r w:rsidR="00482BC4">
      <w:t>UNEP/OzL.Pro/ExCom/84/66</w:t>
    </w:r>
    <w:r>
      <w:fldChar w:fldCharType="end"/>
    </w:r>
  </w:p>
  <w:p w14:paraId="15C57804" w14:textId="77777777" w:rsidR="0013572C" w:rsidRPr="0033525D" w:rsidRDefault="0013572C"/>
  <w:p w14:paraId="5399F5F0" w14:textId="77777777" w:rsidR="0013572C" w:rsidRPr="0033525D" w:rsidRDefault="001357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A7B1" w14:textId="56A3C58A" w:rsidR="0013572C" w:rsidRPr="0033525D" w:rsidRDefault="00D41757" w:rsidP="00E57EA7">
    <w:pPr>
      <w:jc w:val="left"/>
    </w:pPr>
    <w:r>
      <w:fldChar w:fldCharType="begin"/>
    </w:r>
    <w:r>
      <w:instrText xml:space="preserve"> DOCPROPERTY "Document number"  \* MERGEFORMAT </w:instrText>
    </w:r>
    <w:r>
      <w:fldChar w:fldCharType="separate"/>
    </w:r>
    <w:r w:rsidR="00482BC4">
      <w:t>UNEP/OzL.Pro/ExCom/84/66</w:t>
    </w:r>
    <w:r>
      <w:fldChar w:fldCharType="end"/>
    </w:r>
  </w:p>
  <w:p w14:paraId="3CED0AEA" w14:textId="77777777" w:rsidR="0013572C" w:rsidRDefault="0013572C" w:rsidP="00E57EA7">
    <w:pPr>
      <w:jc w:val="left"/>
    </w:pPr>
    <w:r>
      <w:t>Annex I</w:t>
    </w:r>
  </w:p>
  <w:p w14:paraId="6CC89623" w14:textId="77777777" w:rsidR="0013572C" w:rsidRPr="0033525D" w:rsidRDefault="0013572C" w:rsidP="00E57EA7">
    <w:pPr>
      <w:jc w:val="left"/>
    </w:pPr>
  </w:p>
  <w:p w14:paraId="6634A277" w14:textId="77777777" w:rsidR="0013572C" w:rsidRPr="0033525D" w:rsidRDefault="0013572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1CB8" w14:textId="5ADE1537" w:rsidR="0013572C" w:rsidRPr="0033525D" w:rsidRDefault="00D41757">
    <w:pPr>
      <w:jc w:val="right"/>
    </w:pPr>
    <w:r>
      <w:fldChar w:fldCharType="begin"/>
    </w:r>
    <w:r>
      <w:instrText xml:space="preserve"> DOCPROPERTY "Document number"  \* MERGEFORMAT </w:instrText>
    </w:r>
    <w:r>
      <w:fldChar w:fldCharType="separate"/>
    </w:r>
    <w:r w:rsidR="00482BC4">
      <w:t>UNEP/OzL.Pro/ExCom/84/66</w:t>
    </w:r>
    <w:r>
      <w:fldChar w:fldCharType="end"/>
    </w:r>
  </w:p>
  <w:p w14:paraId="12CFC066" w14:textId="77777777" w:rsidR="0013572C" w:rsidRDefault="0013572C" w:rsidP="00E57EA7">
    <w:pPr>
      <w:jc w:val="right"/>
    </w:pPr>
    <w:r>
      <w:t>Annex I</w:t>
    </w:r>
  </w:p>
  <w:p w14:paraId="4714BEC7" w14:textId="77777777" w:rsidR="0013572C" w:rsidRPr="0033525D" w:rsidRDefault="0013572C" w:rsidP="00E57EA7">
    <w:pPr>
      <w:jc w:val="right"/>
    </w:pPr>
  </w:p>
  <w:p w14:paraId="01E7BB34" w14:textId="77777777" w:rsidR="0013572C" w:rsidRPr="0033525D" w:rsidRDefault="0013572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0E81" w14:textId="0B95282C" w:rsidR="0013572C" w:rsidRDefault="00D41757">
    <w:r>
      <w:fldChar w:fldCharType="begin"/>
    </w:r>
    <w:r>
      <w:instrText xml:space="preserve"> DOCPROPERTY "Document number"  \* MERGEFORMAT </w:instrText>
    </w:r>
    <w:r>
      <w:fldChar w:fldCharType="separate"/>
    </w:r>
    <w:r w:rsidR="00482BC4">
      <w:t>UNEP/OzL.Pro/ExCom/84/66</w:t>
    </w:r>
    <w:r>
      <w:fldChar w:fldCharType="end"/>
    </w:r>
  </w:p>
  <w:p w14:paraId="7016AACD" w14:textId="5EBC6F61" w:rsidR="007E2896" w:rsidRDefault="007E2896">
    <w:r>
      <w:t>Annex II</w:t>
    </w:r>
  </w:p>
  <w:p w14:paraId="5FF34288" w14:textId="77777777" w:rsidR="007A4DD3" w:rsidRPr="0033525D" w:rsidRDefault="007A4DD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621F" w14:textId="5DBBDDF8" w:rsidR="0013572C" w:rsidRDefault="00D41757" w:rsidP="00C5797B">
    <w:pPr>
      <w:jc w:val="right"/>
    </w:pPr>
    <w:r>
      <w:fldChar w:fldCharType="begin"/>
    </w:r>
    <w:r>
      <w:instrText xml:space="preserve"> DOCPROPERTY "Document number"  \* MERGEFORMAT </w:instrText>
    </w:r>
    <w:r>
      <w:fldChar w:fldCharType="separate"/>
    </w:r>
    <w:r w:rsidR="00482BC4">
      <w:t>UNEP/OzL.Pro/ExCom/84/66</w:t>
    </w:r>
    <w:r>
      <w:fldChar w:fldCharType="end"/>
    </w:r>
  </w:p>
  <w:p w14:paraId="550793C1" w14:textId="17C6230B" w:rsidR="007E2896" w:rsidRDefault="007E2896" w:rsidP="00C5797B">
    <w:pPr>
      <w:jc w:val="right"/>
    </w:pPr>
    <w:r>
      <w:t>Annex II</w:t>
    </w:r>
  </w:p>
  <w:p w14:paraId="4086F5A5" w14:textId="77777777" w:rsidR="007A4DD3" w:rsidRPr="0033525D" w:rsidRDefault="007A4DD3" w:rsidP="00C5797B">
    <w:pP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49A9" w14:textId="57C01AE4" w:rsidR="00C5797B" w:rsidRDefault="00C5797B" w:rsidP="00C5797B">
    <w:pPr>
      <w:pStyle w:val="Header"/>
      <w:jc w:val="right"/>
    </w:pPr>
    <w:r>
      <w:t>UNEP/OzL.Pro/ExCom/84/</w:t>
    </w:r>
    <w:r w:rsidR="007E2896">
      <w:t>66</w:t>
    </w:r>
  </w:p>
  <w:p w14:paraId="0CB51B58" w14:textId="57887723" w:rsidR="0013572C" w:rsidRDefault="00C5797B" w:rsidP="00C5797B">
    <w:pPr>
      <w:pStyle w:val="Header"/>
      <w:jc w:val="right"/>
    </w:pPr>
    <w:r>
      <w:t>Annex II</w:t>
    </w:r>
  </w:p>
  <w:p w14:paraId="22713254" w14:textId="0ABACE4E" w:rsidR="00C5797B" w:rsidRDefault="00C5797B" w:rsidP="00C5797B">
    <w:pPr>
      <w:pStyle w:val="Header"/>
      <w:jc w:val="right"/>
    </w:pPr>
  </w:p>
  <w:p w14:paraId="3B8940AB" w14:textId="77777777" w:rsidR="007A4DD3" w:rsidRDefault="007A4DD3" w:rsidP="00C5797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0F2CAA2"/>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672705F"/>
    <w:multiLevelType w:val="hybridMultilevel"/>
    <w:tmpl w:val="1AE045CE"/>
    <w:lvl w:ilvl="0" w:tplc="9ABA42CC">
      <w:start w:val="1"/>
      <w:numFmt w:val="upperRoman"/>
      <w:lvlText w:val="%1."/>
      <w:lvlJc w:val="left"/>
      <w:pPr>
        <w:ind w:left="720" w:hanging="72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FF31F3C"/>
    <w:multiLevelType w:val="hybridMultilevel"/>
    <w:tmpl w:val="AAA29428"/>
    <w:lvl w:ilvl="0" w:tplc="296EC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9591B"/>
    <w:multiLevelType w:val="hybridMultilevel"/>
    <w:tmpl w:val="4B7091D8"/>
    <w:lvl w:ilvl="0" w:tplc="C87022E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7"/>
  </w:num>
  <w:num w:numId="19">
    <w:abstractNumId w:val="18"/>
  </w:num>
  <w:num w:numId="20">
    <w:abstractNumId w:val="12"/>
  </w:num>
  <w:num w:numId="21">
    <w:abstractNumId w:val="18"/>
    <w:lvlOverride w:ilvl="0">
      <w:startOverride w:val="1"/>
    </w:lvlOverride>
  </w:num>
  <w:num w:numId="22">
    <w:abstractNumId w:val="1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772F5C"/>
    <w:rsid w:val="00000FED"/>
    <w:rsid w:val="0000434E"/>
    <w:rsid w:val="000051E7"/>
    <w:rsid w:val="000211A9"/>
    <w:rsid w:val="00026225"/>
    <w:rsid w:val="00031260"/>
    <w:rsid w:val="0003681A"/>
    <w:rsid w:val="00053280"/>
    <w:rsid w:val="00053330"/>
    <w:rsid w:val="000577EB"/>
    <w:rsid w:val="00061EC2"/>
    <w:rsid w:val="00072582"/>
    <w:rsid w:val="000726F5"/>
    <w:rsid w:val="00080ED0"/>
    <w:rsid w:val="00081AED"/>
    <w:rsid w:val="0008286A"/>
    <w:rsid w:val="00085B8F"/>
    <w:rsid w:val="00086798"/>
    <w:rsid w:val="0008710F"/>
    <w:rsid w:val="00090481"/>
    <w:rsid w:val="000A3684"/>
    <w:rsid w:val="000A6C26"/>
    <w:rsid w:val="000B303E"/>
    <w:rsid w:val="000D52A4"/>
    <w:rsid w:val="000E07BC"/>
    <w:rsid w:val="000F1CD4"/>
    <w:rsid w:val="000F4103"/>
    <w:rsid w:val="000F70A7"/>
    <w:rsid w:val="001028DE"/>
    <w:rsid w:val="00112A03"/>
    <w:rsid w:val="00113CCA"/>
    <w:rsid w:val="00122F25"/>
    <w:rsid w:val="001341E6"/>
    <w:rsid w:val="0013572C"/>
    <w:rsid w:val="00135980"/>
    <w:rsid w:val="00164719"/>
    <w:rsid w:val="001648BF"/>
    <w:rsid w:val="00165AC9"/>
    <w:rsid w:val="00166FC4"/>
    <w:rsid w:val="001677AC"/>
    <w:rsid w:val="00177F96"/>
    <w:rsid w:val="001804EA"/>
    <w:rsid w:val="00183F2B"/>
    <w:rsid w:val="00190A61"/>
    <w:rsid w:val="00194D6B"/>
    <w:rsid w:val="001A3342"/>
    <w:rsid w:val="001A3E3D"/>
    <w:rsid w:val="001A7049"/>
    <w:rsid w:val="001B1E40"/>
    <w:rsid w:val="001C764E"/>
    <w:rsid w:val="001D205A"/>
    <w:rsid w:val="001D3564"/>
    <w:rsid w:val="001E1052"/>
    <w:rsid w:val="001E21B1"/>
    <w:rsid w:val="001E2F93"/>
    <w:rsid w:val="001E5134"/>
    <w:rsid w:val="001E61E5"/>
    <w:rsid w:val="001E7215"/>
    <w:rsid w:val="001E7E85"/>
    <w:rsid w:val="001F2159"/>
    <w:rsid w:val="00206BED"/>
    <w:rsid w:val="00210C0B"/>
    <w:rsid w:val="00214863"/>
    <w:rsid w:val="002156B4"/>
    <w:rsid w:val="00222A5B"/>
    <w:rsid w:val="00253222"/>
    <w:rsid w:val="002611BD"/>
    <w:rsid w:val="00262847"/>
    <w:rsid w:val="00281BB2"/>
    <w:rsid w:val="00286792"/>
    <w:rsid w:val="002A4C4C"/>
    <w:rsid w:val="002B1062"/>
    <w:rsid w:val="002B72E9"/>
    <w:rsid w:val="002C7998"/>
    <w:rsid w:val="002D5952"/>
    <w:rsid w:val="002F1E53"/>
    <w:rsid w:val="002F2CAA"/>
    <w:rsid w:val="0030052C"/>
    <w:rsid w:val="00303FDF"/>
    <w:rsid w:val="003306E1"/>
    <w:rsid w:val="00331FDE"/>
    <w:rsid w:val="003320E4"/>
    <w:rsid w:val="0033525D"/>
    <w:rsid w:val="003414F3"/>
    <w:rsid w:val="00351586"/>
    <w:rsid w:val="0035613E"/>
    <w:rsid w:val="003564B6"/>
    <w:rsid w:val="00360A3E"/>
    <w:rsid w:val="00360F60"/>
    <w:rsid w:val="00363EE9"/>
    <w:rsid w:val="00376128"/>
    <w:rsid w:val="0037742E"/>
    <w:rsid w:val="00377D56"/>
    <w:rsid w:val="0038245A"/>
    <w:rsid w:val="003840E6"/>
    <w:rsid w:val="00385CFC"/>
    <w:rsid w:val="00391B2A"/>
    <w:rsid w:val="0039337A"/>
    <w:rsid w:val="00394025"/>
    <w:rsid w:val="00396F10"/>
    <w:rsid w:val="003A3189"/>
    <w:rsid w:val="003A3CA7"/>
    <w:rsid w:val="003B33BD"/>
    <w:rsid w:val="003B569D"/>
    <w:rsid w:val="003C3C0E"/>
    <w:rsid w:val="003D42A6"/>
    <w:rsid w:val="003D4FAC"/>
    <w:rsid w:val="003E7906"/>
    <w:rsid w:val="003F3C50"/>
    <w:rsid w:val="003F5EAF"/>
    <w:rsid w:val="00406A6A"/>
    <w:rsid w:val="00406B22"/>
    <w:rsid w:val="00422A57"/>
    <w:rsid w:val="004328A7"/>
    <w:rsid w:val="00434C74"/>
    <w:rsid w:val="004469A0"/>
    <w:rsid w:val="00446E5E"/>
    <w:rsid w:val="00450693"/>
    <w:rsid w:val="00456EB4"/>
    <w:rsid w:val="00470D9B"/>
    <w:rsid w:val="004718F3"/>
    <w:rsid w:val="00475040"/>
    <w:rsid w:val="00482BC4"/>
    <w:rsid w:val="00487C90"/>
    <w:rsid w:val="00490E36"/>
    <w:rsid w:val="00493D40"/>
    <w:rsid w:val="00495B9B"/>
    <w:rsid w:val="004967B6"/>
    <w:rsid w:val="004A0B4A"/>
    <w:rsid w:val="004A504B"/>
    <w:rsid w:val="004A6911"/>
    <w:rsid w:val="004B54E0"/>
    <w:rsid w:val="004B7384"/>
    <w:rsid w:val="004C4269"/>
    <w:rsid w:val="004D2805"/>
    <w:rsid w:val="004D3327"/>
    <w:rsid w:val="004D505F"/>
    <w:rsid w:val="004D6236"/>
    <w:rsid w:val="004D7F90"/>
    <w:rsid w:val="004E0342"/>
    <w:rsid w:val="004E4DBB"/>
    <w:rsid w:val="004E4E41"/>
    <w:rsid w:val="004E7F9C"/>
    <w:rsid w:val="004F3493"/>
    <w:rsid w:val="004F5143"/>
    <w:rsid w:val="00512B09"/>
    <w:rsid w:val="0053185B"/>
    <w:rsid w:val="00533796"/>
    <w:rsid w:val="00537343"/>
    <w:rsid w:val="005475EB"/>
    <w:rsid w:val="00555D75"/>
    <w:rsid w:val="00560DF0"/>
    <w:rsid w:val="00565BF1"/>
    <w:rsid w:val="0056759C"/>
    <w:rsid w:val="00580D5E"/>
    <w:rsid w:val="0058102D"/>
    <w:rsid w:val="0059513E"/>
    <w:rsid w:val="005A78DD"/>
    <w:rsid w:val="005B11A7"/>
    <w:rsid w:val="005B48FF"/>
    <w:rsid w:val="005B665D"/>
    <w:rsid w:val="005C4CEF"/>
    <w:rsid w:val="005E5AC1"/>
    <w:rsid w:val="005E6567"/>
    <w:rsid w:val="00601715"/>
    <w:rsid w:val="00604C15"/>
    <w:rsid w:val="00605887"/>
    <w:rsid w:val="006158D5"/>
    <w:rsid w:val="00625D83"/>
    <w:rsid w:val="00630E46"/>
    <w:rsid w:val="0063119E"/>
    <w:rsid w:val="00631A8B"/>
    <w:rsid w:val="0063662E"/>
    <w:rsid w:val="00644A21"/>
    <w:rsid w:val="00650215"/>
    <w:rsid w:val="006623E7"/>
    <w:rsid w:val="00662B80"/>
    <w:rsid w:val="00664977"/>
    <w:rsid w:val="00665B50"/>
    <w:rsid w:val="00670F6C"/>
    <w:rsid w:val="00683E81"/>
    <w:rsid w:val="006851E4"/>
    <w:rsid w:val="006852C7"/>
    <w:rsid w:val="006852CE"/>
    <w:rsid w:val="006A53A3"/>
    <w:rsid w:val="006C1727"/>
    <w:rsid w:val="006C1F4C"/>
    <w:rsid w:val="006C32FD"/>
    <w:rsid w:val="006C39CE"/>
    <w:rsid w:val="006D0FCC"/>
    <w:rsid w:val="006E1FC3"/>
    <w:rsid w:val="006F1341"/>
    <w:rsid w:val="007017E1"/>
    <w:rsid w:val="00703E6D"/>
    <w:rsid w:val="0070616B"/>
    <w:rsid w:val="00706FDA"/>
    <w:rsid w:val="00711F9A"/>
    <w:rsid w:val="00713810"/>
    <w:rsid w:val="0073001E"/>
    <w:rsid w:val="007303A5"/>
    <w:rsid w:val="00730B3E"/>
    <w:rsid w:val="0073420B"/>
    <w:rsid w:val="00742682"/>
    <w:rsid w:val="0074760E"/>
    <w:rsid w:val="00754ABA"/>
    <w:rsid w:val="007559F3"/>
    <w:rsid w:val="00761703"/>
    <w:rsid w:val="00772F5C"/>
    <w:rsid w:val="00774E2E"/>
    <w:rsid w:val="007804C4"/>
    <w:rsid w:val="00783201"/>
    <w:rsid w:val="00791EA7"/>
    <w:rsid w:val="007A1546"/>
    <w:rsid w:val="007A228C"/>
    <w:rsid w:val="007A368E"/>
    <w:rsid w:val="007A4DD3"/>
    <w:rsid w:val="007A5868"/>
    <w:rsid w:val="007A6179"/>
    <w:rsid w:val="007B04CE"/>
    <w:rsid w:val="007B6871"/>
    <w:rsid w:val="007B7A2F"/>
    <w:rsid w:val="007C3D33"/>
    <w:rsid w:val="007D1617"/>
    <w:rsid w:val="007D294A"/>
    <w:rsid w:val="007D47D2"/>
    <w:rsid w:val="007D6EC0"/>
    <w:rsid w:val="007D74D4"/>
    <w:rsid w:val="007D7E1D"/>
    <w:rsid w:val="007E0273"/>
    <w:rsid w:val="007E2896"/>
    <w:rsid w:val="007F6E5D"/>
    <w:rsid w:val="00805060"/>
    <w:rsid w:val="008079A8"/>
    <w:rsid w:val="00825976"/>
    <w:rsid w:val="00831979"/>
    <w:rsid w:val="00851352"/>
    <w:rsid w:val="00853252"/>
    <w:rsid w:val="00857077"/>
    <w:rsid w:val="00860A76"/>
    <w:rsid w:val="00861A15"/>
    <w:rsid w:val="00863230"/>
    <w:rsid w:val="008717D8"/>
    <w:rsid w:val="0087215C"/>
    <w:rsid w:val="00880E35"/>
    <w:rsid w:val="0088429A"/>
    <w:rsid w:val="00886EF9"/>
    <w:rsid w:val="008875FE"/>
    <w:rsid w:val="00887F8E"/>
    <w:rsid w:val="0089434D"/>
    <w:rsid w:val="00894FC4"/>
    <w:rsid w:val="008956A2"/>
    <w:rsid w:val="00896234"/>
    <w:rsid w:val="00897E43"/>
    <w:rsid w:val="008A478E"/>
    <w:rsid w:val="008B2A68"/>
    <w:rsid w:val="008C5738"/>
    <w:rsid w:val="008C7EAD"/>
    <w:rsid w:val="008D0CFE"/>
    <w:rsid w:val="008D6152"/>
    <w:rsid w:val="008F0F81"/>
    <w:rsid w:val="008F27BF"/>
    <w:rsid w:val="00911A5F"/>
    <w:rsid w:val="009142EC"/>
    <w:rsid w:val="009154C3"/>
    <w:rsid w:val="00915D03"/>
    <w:rsid w:val="00916014"/>
    <w:rsid w:val="00920992"/>
    <w:rsid w:val="00923540"/>
    <w:rsid w:val="00926767"/>
    <w:rsid w:val="00932079"/>
    <w:rsid w:val="009361D5"/>
    <w:rsid w:val="009428A4"/>
    <w:rsid w:val="00960520"/>
    <w:rsid w:val="009618A4"/>
    <w:rsid w:val="009659F4"/>
    <w:rsid w:val="00970D60"/>
    <w:rsid w:val="00971411"/>
    <w:rsid w:val="00981E1E"/>
    <w:rsid w:val="0099235B"/>
    <w:rsid w:val="009960E5"/>
    <w:rsid w:val="009A7ADC"/>
    <w:rsid w:val="009C19B7"/>
    <w:rsid w:val="009D7C51"/>
    <w:rsid w:val="009E196C"/>
    <w:rsid w:val="009E43D5"/>
    <w:rsid w:val="009F36BF"/>
    <w:rsid w:val="00A111B6"/>
    <w:rsid w:val="00A1304D"/>
    <w:rsid w:val="00A13C2C"/>
    <w:rsid w:val="00A26D27"/>
    <w:rsid w:val="00A376EE"/>
    <w:rsid w:val="00A42A99"/>
    <w:rsid w:val="00A507C2"/>
    <w:rsid w:val="00A5151A"/>
    <w:rsid w:val="00A574CF"/>
    <w:rsid w:val="00A57E0A"/>
    <w:rsid w:val="00A72274"/>
    <w:rsid w:val="00A7231C"/>
    <w:rsid w:val="00A7760D"/>
    <w:rsid w:val="00A823F6"/>
    <w:rsid w:val="00A94AD3"/>
    <w:rsid w:val="00AA0A89"/>
    <w:rsid w:val="00AA6429"/>
    <w:rsid w:val="00AC01AA"/>
    <w:rsid w:val="00AC4F72"/>
    <w:rsid w:val="00AF31B8"/>
    <w:rsid w:val="00AF741A"/>
    <w:rsid w:val="00B01ADB"/>
    <w:rsid w:val="00B04161"/>
    <w:rsid w:val="00B056F9"/>
    <w:rsid w:val="00B07A04"/>
    <w:rsid w:val="00B10D56"/>
    <w:rsid w:val="00B11E3D"/>
    <w:rsid w:val="00B17E82"/>
    <w:rsid w:val="00B27154"/>
    <w:rsid w:val="00B325C9"/>
    <w:rsid w:val="00B4103D"/>
    <w:rsid w:val="00B449F7"/>
    <w:rsid w:val="00B4575A"/>
    <w:rsid w:val="00B575BA"/>
    <w:rsid w:val="00B76429"/>
    <w:rsid w:val="00B956D4"/>
    <w:rsid w:val="00B97150"/>
    <w:rsid w:val="00B97446"/>
    <w:rsid w:val="00BA7432"/>
    <w:rsid w:val="00BA7455"/>
    <w:rsid w:val="00BB29B0"/>
    <w:rsid w:val="00BC1AA0"/>
    <w:rsid w:val="00BC2495"/>
    <w:rsid w:val="00BC7EB9"/>
    <w:rsid w:val="00BD2643"/>
    <w:rsid w:val="00BD56B1"/>
    <w:rsid w:val="00BD6558"/>
    <w:rsid w:val="00BD69CA"/>
    <w:rsid w:val="00BF3022"/>
    <w:rsid w:val="00BF3214"/>
    <w:rsid w:val="00BF5573"/>
    <w:rsid w:val="00C007A0"/>
    <w:rsid w:val="00C03F0E"/>
    <w:rsid w:val="00C15867"/>
    <w:rsid w:val="00C17491"/>
    <w:rsid w:val="00C2296D"/>
    <w:rsid w:val="00C23155"/>
    <w:rsid w:val="00C40C41"/>
    <w:rsid w:val="00C45885"/>
    <w:rsid w:val="00C50F22"/>
    <w:rsid w:val="00C57971"/>
    <w:rsid w:val="00C5797B"/>
    <w:rsid w:val="00C65BD7"/>
    <w:rsid w:val="00C76BA4"/>
    <w:rsid w:val="00C83A48"/>
    <w:rsid w:val="00C85865"/>
    <w:rsid w:val="00C85E85"/>
    <w:rsid w:val="00CA2EAE"/>
    <w:rsid w:val="00CA4AC1"/>
    <w:rsid w:val="00CB0316"/>
    <w:rsid w:val="00CB0B11"/>
    <w:rsid w:val="00CB5354"/>
    <w:rsid w:val="00CC26FF"/>
    <w:rsid w:val="00CC55E2"/>
    <w:rsid w:val="00CC6A14"/>
    <w:rsid w:val="00CC70A3"/>
    <w:rsid w:val="00CD4442"/>
    <w:rsid w:val="00CD5171"/>
    <w:rsid w:val="00CD53C3"/>
    <w:rsid w:val="00CD574E"/>
    <w:rsid w:val="00CE25D2"/>
    <w:rsid w:val="00CE34F9"/>
    <w:rsid w:val="00CE4C22"/>
    <w:rsid w:val="00CF1E89"/>
    <w:rsid w:val="00CF41EC"/>
    <w:rsid w:val="00CF59C0"/>
    <w:rsid w:val="00CF5D04"/>
    <w:rsid w:val="00D04DE4"/>
    <w:rsid w:val="00D063F1"/>
    <w:rsid w:val="00D14F22"/>
    <w:rsid w:val="00D3498B"/>
    <w:rsid w:val="00D41757"/>
    <w:rsid w:val="00D4741C"/>
    <w:rsid w:val="00D546AF"/>
    <w:rsid w:val="00D57918"/>
    <w:rsid w:val="00D66B96"/>
    <w:rsid w:val="00D73DC6"/>
    <w:rsid w:val="00D74C1A"/>
    <w:rsid w:val="00D754C1"/>
    <w:rsid w:val="00D77393"/>
    <w:rsid w:val="00D77A35"/>
    <w:rsid w:val="00D81B3E"/>
    <w:rsid w:val="00D90C70"/>
    <w:rsid w:val="00D90E49"/>
    <w:rsid w:val="00D96ADE"/>
    <w:rsid w:val="00DA0CE2"/>
    <w:rsid w:val="00DC2241"/>
    <w:rsid w:val="00DC6A10"/>
    <w:rsid w:val="00DD0E2D"/>
    <w:rsid w:val="00DD1A8F"/>
    <w:rsid w:val="00DD1C3F"/>
    <w:rsid w:val="00DD3C31"/>
    <w:rsid w:val="00DD4F24"/>
    <w:rsid w:val="00DD56A4"/>
    <w:rsid w:val="00DE340E"/>
    <w:rsid w:val="00DE657E"/>
    <w:rsid w:val="00DE7C88"/>
    <w:rsid w:val="00DF4704"/>
    <w:rsid w:val="00E024AA"/>
    <w:rsid w:val="00E20D7D"/>
    <w:rsid w:val="00E250F1"/>
    <w:rsid w:val="00E3550D"/>
    <w:rsid w:val="00E372CC"/>
    <w:rsid w:val="00E406BB"/>
    <w:rsid w:val="00E57EA7"/>
    <w:rsid w:val="00E614E0"/>
    <w:rsid w:val="00E628FC"/>
    <w:rsid w:val="00E73F7F"/>
    <w:rsid w:val="00E8327C"/>
    <w:rsid w:val="00E84EB0"/>
    <w:rsid w:val="00E85409"/>
    <w:rsid w:val="00E86D8D"/>
    <w:rsid w:val="00E8741D"/>
    <w:rsid w:val="00E9238E"/>
    <w:rsid w:val="00EA429F"/>
    <w:rsid w:val="00EA4F9E"/>
    <w:rsid w:val="00EA63CA"/>
    <w:rsid w:val="00EA6D3B"/>
    <w:rsid w:val="00EB00AD"/>
    <w:rsid w:val="00EB136C"/>
    <w:rsid w:val="00EB480E"/>
    <w:rsid w:val="00EB5EC6"/>
    <w:rsid w:val="00EB7FC9"/>
    <w:rsid w:val="00EC3589"/>
    <w:rsid w:val="00ED27E8"/>
    <w:rsid w:val="00ED7137"/>
    <w:rsid w:val="00EE1E5E"/>
    <w:rsid w:val="00F21088"/>
    <w:rsid w:val="00F225A4"/>
    <w:rsid w:val="00F327E7"/>
    <w:rsid w:val="00F35746"/>
    <w:rsid w:val="00F41E8F"/>
    <w:rsid w:val="00F447C7"/>
    <w:rsid w:val="00F46EF1"/>
    <w:rsid w:val="00F47236"/>
    <w:rsid w:val="00F5211B"/>
    <w:rsid w:val="00F554A9"/>
    <w:rsid w:val="00F716FD"/>
    <w:rsid w:val="00F80355"/>
    <w:rsid w:val="00F87C43"/>
    <w:rsid w:val="00F968FD"/>
    <w:rsid w:val="00F97A8E"/>
    <w:rsid w:val="00FB0C81"/>
    <w:rsid w:val="00FC2200"/>
    <w:rsid w:val="00FC2540"/>
    <w:rsid w:val="00FC4271"/>
    <w:rsid w:val="00FD697C"/>
    <w:rsid w:val="00FE5636"/>
    <w:rsid w:val="00FF0204"/>
    <w:rsid w:val="00FF3AED"/>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A2E30"/>
  <w15:docId w15:val="{0D94FEB0-92D5-4710-94A1-0831697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2"/>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2"/>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
      </w:numPr>
      <w:spacing w:before="240" w:after="60"/>
      <w:outlineLvl w:val="5"/>
    </w:pPr>
    <w:rPr>
      <w:rFonts w:ascii="Arial" w:hAnsi="Arial"/>
      <w:i/>
    </w:rPr>
  </w:style>
  <w:style w:type="paragraph" w:styleId="Heading7">
    <w:name w:val="heading 7"/>
    <w:basedOn w:val="Normal"/>
    <w:next w:val="Normal"/>
    <w:qFormat/>
    <w:rsid w:val="00A5151A"/>
    <w:pPr>
      <w:numPr>
        <w:ilvl w:val="6"/>
        <w:numId w:val="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981E1E"/>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981E1E"/>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981E1E"/>
    <w:rPr>
      <w:vertAlign w:val="superscript"/>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981E1E"/>
    <w:pPr>
      <w:ind w:left="720"/>
      <w:contextualSpacing/>
    </w:pPr>
    <w:rPr>
      <w:rFonts w:ascii="Calibri" w:hAnsi="Calibri" w:cs="Calibri"/>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981E1E"/>
    <w:rPr>
      <w:rFonts w:ascii="Calibri" w:hAnsi="Calibri" w:cs="Calibri"/>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981E1E"/>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981E1E"/>
    <w:rPr>
      <w:sz w:val="22"/>
      <w:szCs w:val="22"/>
      <w:lang w:val="en-GB"/>
    </w:rPr>
  </w:style>
  <w:style w:type="character" w:customStyle="1" w:styleId="HeaderChar">
    <w:name w:val="Header Char"/>
    <w:basedOn w:val="DefaultParagraphFont"/>
    <w:link w:val="Header"/>
    <w:uiPriority w:val="99"/>
    <w:rsid w:val="00C5797B"/>
    <w:rPr>
      <w:sz w:val="22"/>
      <w:szCs w:val="22"/>
      <w:lang w:val="en-GB"/>
    </w:rPr>
  </w:style>
  <w:style w:type="character" w:customStyle="1" w:styleId="FooterChar">
    <w:name w:val="Footer Char"/>
    <w:basedOn w:val="DefaultParagraphFont"/>
    <w:link w:val="Footer"/>
    <w:uiPriority w:val="99"/>
    <w:rsid w:val="00422A5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UNEP/OzL.Pro/ExCom/84/66</Document_x0020_Number>
    <DocumentType xmlns="64e33b30-101d-41de-b951-961aab25ea29">Pre-session</DocumentType>
  </documentManagement>
</p:properties>
</file>

<file path=customXml/itemProps1.xml><?xml version="1.0" encoding="utf-8"?>
<ds:datastoreItem xmlns:ds="http://schemas.openxmlformats.org/officeDocument/2006/customXml" ds:itemID="{1181A74D-AF97-4506-9975-1848FB06BF27}"/>
</file>

<file path=customXml/itemProps2.xml><?xml version="1.0" encoding="utf-8"?>
<ds:datastoreItem xmlns:ds="http://schemas.openxmlformats.org/officeDocument/2006/customXml" ds:itemID="{4AE34A3B-E257-4D78-B179-575A3A924DF1}"/>
</file>

<file path=customXml/itemProps3.xml><?xml version="1.0" encoding="utf-8"?>
<ds:datastoreItem xmlns:ds="http://schemas.openxmlformats.org/officeDocument/2006/customXml" ds:itemID="{64719E53-FE71-4412-B8C1-023B85EBA4BC}"/>
</file>

<file path=customXml/itemProps4.xml><?xml version="1.0" encoding="utf-8"?>
<ds:datastoreItem xmlns:ds="http://schemas.openxmlformats.org/officeDocument/2006/customXml" ds:itemID="{FE24AFDD-9819-4A41-B990-F4D7DFC4FE61}"/>
</file>

<file path=docProps/app.xml><?xml version="1.0" encoding="utf-8"?>
<Properties xmlns="http://schemas.openxmlformats.org/officeDocument/2006/extended-properties" xmlns:vt="http://schemas.openxmlformats.org/officeDocument/2006/docPropsVTypes">
  <Template>normal</Template>
  <TotalTime>0</TotalTime>
  <Pages>15</Pages>
  <Words>5662</Words>
  <Characters>31897</Characters>
  <Application>Microsoft Office Word</Application>
  <DocSecurity>0</DocSecurity>
  <Lines>652</Lines>
  <Paragraphs>229</Paragraphs>
  <ScaleCrop>false</ScaleCrop>
  <HeadingPairs>
    <vt:vector size="2" baseType="variant">
      <vt:variant>
        <vt:lpstr>Title</vt:lpstr>
      </vt:variant>
      <vt:variant>
        <vt:i4>1</vt:i4>
      </vt:variant>
    </vt:vector>
  </HeadingPairs>
  <TitlesOfParts>
    <vt:vector size="1" baseType="lpstr">
      <vt:lpstr>Development of the cost guidelines for the phase-down of HFCs in Article 5 countries: Draft criteria for funding</vt:lpstr>
    </vt:vector>
  </TitlesOfParts>
  <Company>UNMFS</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cost guidelines for the phase-down of HFCs in Article 5 countries: Draft criteria for funding</dc:title>
  <dc:creator>Dominika Anna Suwik</dc:creator>
  <cp:lastModifiedBy>Dominika Anna Suwik</cp:lastModifiedBy>
  <cp:revision>2</cp:revision>
  <cp:lastPrinted>2019-11-16T00:47:00Z</cp:lastPrinted>
  <dcterms:created xsi:type="dcterms:W3CDTF">2019-11-16T01:00:00Z</dcterms:created>
  <dcterms:modified xsi:type="dcterms:W3CDTF">2019-11-16T01:00:00Z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UNEP/OzL.Pro/ExCom/84/66</vt:lpwstr>
  </property>
  <property fmtid="{D5CDD505-2E9C-101B-9397-08002B2CF9AE}" pid="3" name="Revision date">
    <vt:lpwstr>11/15/2019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