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5" w:type="dxa"/>
        <w:tblInd w:w="-432" w:type="dxa"/>
        <w:tblLayout w:type="fixed"/>
        <w:tblLook w:val="0000" w:firstRow="0" w:lastRow="0" w:firstColumn="0" w:lastColumn="0" w:noHBand="0" w:noVBand="0"/>
      </w:tblPr>
      <w:tblGrid>
        <w:gridCol w:w="2070"/>
        <w:gridCol w:w="4991"/>
        <w:gridCol w:w="3544"/>
      </w:tblGrid>
      <w:tr w:rsidR="00441083">
        <w:trPr>
          <w:trHeight w:val="720"/>
        </w:trPr>
        <w:tc>
          <w:tcPr>
            <w:tcW w:w="7061" w:type="dxa"/>
            <w:gridSpan w:val="2"/>
            <w:tcBorders>
              <w:bottom w:val="single" w:sz="18" w:space="0" w:color="auto"/>
            </w:tcBorders>
          </w:tcPr>
          <w:p w:rsidR="00441083"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rPr>
            </w:pPr>
            <w:r>
              <w:rPr>
                <w:rFonts w:ascii="Univers" w:hAnsi="Univers"/>
                <w:b/>
                <w:sz w:val="28"/>
                <w:szCs w:val="28"/>
              </w:rPr>
              <w:t>NATIONS</w:t>
            </w:r>
          </w:p>
          <w:p w:rsidR="00441083"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Pr>
                <w:rFonts w:ascii="Univers" w:hAnsi="Univers"/>
                <w:b/>
                <w:sz w:val="28"/>
                <w:szCs w:val="28"/>
              </w:rPr>
              <w:t xml:space="preserve">UNIES </w:t>
            </w:r>
          </w:p>
        </w:tc>
        <w:tc>
          <w:tcPr>
            <w:tcW w:w="3544" w:type="dxa"/>
            <w:tcBorders>
              <w:bottom w:val="single" w:sz="18" w:space="0" w:color="auto"/>
            </w:tcBorders>
          </w:tcPr>
          <w:p w:rsidR="00441083" w:rsidRDefault="00E60D9C">
            <w:pPr>
              <w:tabs>
                <w:tab w:val="left" w:pos="3010"/>
              </w:tabs>
              <w:jc w:val="center"/>
              <w:rPr>
                <w:sz w:val="52"/>
                <w:szCs w:val="52"/>
              </w:rPr>
            </w:pPr>
            <w:r>
              <w:rPr>
                <w:rFonts w:ascii="Univers Bold" w:hAnsi="Univers Bold"/>
                <w:b/>
                <w:sz w:val="72"/>
                <w:lang w:val="fr-CA"/>
              </w:rPr>
              <w:t xml:space="preserve">          EP</w:t>
            </w:r>
          </w:p>
        </w:tc>
      </w:tr>
      <w:tr w:rsidR="004410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441083" w:rsidRDefault="00C6443E">
            <w:pPr>
              <w:spacing w:before="120"/>
            </w:pPr>
            <w:bookmarkStart w:id="0" w:name="_GoBack"/>
            <w:r>
              <w:rPr>
                <w:noProof/>
                <w:lang w:val="en-CA" w:eastAsia="en-CA"/>
              </w:rPr>
              <w:drawing>
                <wp:anchor distT="0" distB="0" distL="114300" distR="114300" simplePos="0" relativeHeight="251660288" behindDoc="0" locked="0" layoutInCell="1" allowOverlap="1">
                  <wp:simplePos x="0" y="0"/>
                  <wp:positionH relativeFrom="column">
                    <wp:posOffset>353620</wp:posOffset>
                  </wp:positionH>
                  <wp:positionV relativeFrom="paragraph">
                    <wp:posOffset>920115</wp:posOffset>
                  </wp:positionV>
                  <wp:extent cx="800100" cy="705485"/>
                  <wp:effectExtent l="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bookmarkEnd w:id="0"/>
            <w:r w:rsidR="001C3D0C">
              <w:rPr>
                <w:noProof/>
                <w:lang w:val="en-CA" w:eastAsia="en-CA"/>
              </w:rPr>
              <w:drawing>
                <wp:anchor distT="0" distB="0" distL="114300" distR="114300" simplePos="0" relativeHeight="251661312" behindDoc="1" locked="0" layoutInCell="0" allowOverlap="1">
                  <wp:simplePos x="0" y="0"/>
                  <wp:positionH relativeFrom="column">
                    <wp:posOffset>72390</wp:posOffset>
                  </wp:positionH>
                  <wp:positionV relativeFrom="paragraph">
                    <wp:posOffset>112395</wp:posOffset>
                  </wp:positionV>
                  <wp:extent cx="760809" cy="67627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60809" cy="676275"/>
                          </a:xfrm>
                          <a:prstGeom prst="rect">
                            <a:avLst/>
                          </a:prstGeom>
                          <a:noFill/>
                        </pic:spPr>
                      </pic:pic>
                    </a:graphicData>
                  </a:graphic>
                </wp:anchor>
              </w:drawing>
            </w:r>
          </w:p>
        </w:tc>
        <w:tc>
          <w:tcPr>
            <w:tcW w:w="4991" w:type="dxa"/>
            <w:tcBorders>
              <w:top w:val="nil"/>
              <w:left w:val="nil"/>
              <w:bottom w:val="single" w:sz="36" w:space="0" w:color="auto"/>
              <w:right w:val="nil"/>
            </w:tcBorders>
          </w:tcPr>
          <w:p w:rsidR="00441083" w:rsidRDefault="0044108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p>
          <w:p w:rsidR="00441083"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r>
              <w:rPr>
                <w:rFonts w:ascii="Univers" w:hAnsi="Univers"/>
                <w:b/>
                <w:sz w:val="32"/>
                <w:lang w:val="fr-CA"/>
              </w:rPr>
              <w:t>Programme des</w:t>
            </w:r>
          </w:p>
          <w:p w:rsidR="00441083" w:rsidRDefault="00E60D9C">
            <w:pPr>
              <w:rPr>
                <w:rFonts w:ascii="Univers" w:hAnsi="Univers"/>
                <w:b/>
                <w:sz w:val="32"/>
                <w:lang w:val="fr-CA"/>
              </w:rPr>
            </w:pPr>
            <w:r>
              <w:rPr>
                <w:rFonts w:ascii="Univers" w:hAnsi="Univers"/>
                <w:b/>
                <w:sz w:val="32"/>
                <w:lang w:val="fr-CA"/>
              </w:rPr>
              <w:t>Nations Unies pour</w:t>
            </w:r>
          </w:p>
          <w:p w:rsidR="00441083" w:rsidRDefault="00E60D9C">
            <w:pPr>
              <w:rPr>
                <w:rFonts w:ascii="Univers" w:hAnsi="Univers"/>
                <w:b/>
                <w:sz w:val="32"/>
                <w:lang w:val="fr-CA"/>
              </w:rPr>
            </w:pPr>
            <w:r>
              <w:rPr>
                <w:rFonts w:ascii="Univers" w:hAnsi="Univers"/>
                <w:b/>
                <w:sz w:val="32"/>
                <w:lang w:val="fr-CA"/>
              </w:rPr>
              <w:t>l’environnement</w:t>
            </w:r>
          </w:p>
          <w:p w:rsidR="00441083" w:rsidRDefault="00E60D9C">
            <w:pPr>
              <w:spacing w:before="720"/>
              <w:ind w:left="158"/>
              <w:rPr>
                <w:lang w:val="fr-FR"/>
              </w:rPr>
            </w:pPr>
            <w:r>
              <w:rPr>
                <w:lang w:val="fr-FR"/>
              </w:rPr>
              <w:t xml:space="preserve"> </w:t>
            </w:r>
          </w:p>
        </w:tc>
        <w:tc>
          <w:tcPr>
            <w:tcW w:w="3544" w:type="dxa"/>
            <w:tcBorders>
              <w:top w:val="nil"/>
              <w:left w:val="nil"/>
              <w:bottom w:val="single" w:sz="36" w:space="0" w:color="auto"/>
              <w:right w:val="nil"/>
            </w:tcBorders>
          </w:tcPr>
          <w:p w:rsidR="00441083" w:rsidRDefault="00441083">
            <w:pPr>
              <w:rPr>
                <w:lang w:val="fr-FR"/>
              </w:rPr>
            </w:pPr>
          </w:p>
          <w:p w:rsidR="00441083" w:rsidRPr="00DD3433" w:rsidRDefault="00E60D9C">
            <w:pPr>
              <w:rPr>
                <w:lang w:val="fr-FR"/>
              </w:rPr>
            </w:pPr>
            <w:r w:rsidRPr="00DD3433">
              <w:rPr>
                <w:lang w:val="fr-FR"/>
              </w:rPr>
              <w:t>Distr.</w:t>
            </w:r>
          </w:p>
          <w:p w:rsidR="00441083" w:rsidRPr="00DD3433" w:rsidRDefault="00E60D9C" w:rsidP="00DD3433">
            <w:pPr>
              <w:rPr>
                <w:lang w:val="fr-FR"/>
              </w:rPr>
            </w:pPr>
            <w:r w:rsidRPr="00DD3433">
              <w:rPr>
                <w:lang w:val="fr-FR"/>
              </w:rPr>
              <w:t>G</w:t>
            </w:r>
            <w:r w:rsidR="00DD3433" w:rsidRPr="00DD3433">
              <w:rPr>
                <w:lang w:val="fr-FR"/>
              </w:rPr>
              <w:t>É</w:t>
            </w:r>
            <w:r w:rsidRPr="00DD3433">
              <w:rPr>
                <w:lang w:val="fr-FR"/>
              </w:rPr>
              <w:t>N</w:t>
            </w:r>
            <w:r w:rsidR="00DD3433" w:rsidRPr="00DD3433">
              <w:rPr>
                <w:lang w:val="fr-FR"/>
              </w:rPr>
              <w:t>É</w:t>
            </w:r>
            <w:r w:rsidRPr="00DD3433">
              <w:rPr>
                <w:lang w:val="fr-FR"/>
              </w:rPr>
              <w:t>RAL</w:t>
            </w:r>
            <w:r w:rsidR="00FF3CF1" w:rsidRPr="00DD3433">
              <w:rPr>
                <w:lang w:val="fr-FR"/>
              </w:rPr>
              <w:t>E</w:t>
            </w:r>
          </w:p>
          <w:p w:rsidR="00441083" w:rsidRPr="00DD3433" w:rsidRDefault="00441083">
            <w:pPr>
              <w:rPr>
                <w:lang w:val="fr-FR"/>
              </w:rPr>
            </w:pPr>
          </w:p>
          <w:p w:rsidR="00441083" w:rsidRPr="00FF3CF1" w:rsidRDefault="00310B60">
            <w:pPr>
              <w:rPr>
                <w:lang w:val="fr-FR"/>
              </w:rPr>
            </w:pPr>
            <w:r>
              <w:fldChar w:fldCharType="begin"/>
            </w:r>
            <w:r w:rsidR="00E60D9C" w:rsidRPr="00DD3433">
              <w:rPr>
                <w:lang w:val="fr-FR"/>
              </w:rPr>
              <w:instrText xml:space="preserve"> DOCPROPERTY "Document number"  \* MERGEFORMAT </w:instrText>
            </w:r>
            <w:r>
              <w:fldChar w:fldCharType="separate"/>
            </w:r>
            <w:r w:rsidR="001B7CF6">
              <w:rPr>
                <w:lang w:val="fr-FR"/>
              </w:rPr>
              <w:t>UNEP/OzL.Pro/ExCom/84/15</w:t>
            </w:r>
            <w:r>
              <w:fldChar w:fldCharType="end"/>
            </w:r>
          </w:p>
          <w:p w:rsidR="002F0B57" w:rsidRPr="00FF3CF1" w:rsidRDefault="00310B60" w:rsidP="000F6C8E">
            <w:pPr>
              <w:rPr>
                <w:lang w:val="fr-FR"/>
              </w:rPr>
            </w:pPr>
            <w:r>
              <w:fldChar w:fldCharType="begin"/>
            </w:r>
            <w:r w:rsidR="002F0B57" w:rsidRPr="00FF3CF1">
              <w:rPr>
                <w:lang w:val="fr-FR"/>
              </w:rPr>
              <w:instrText xml:space="preserve"> DOCPROPERTY "Revision date" \@ "d MMMM YYYY"  \* MERGEFORMAT </w:instrText>
            </w:r>
            <w:r>
              <w:fldChar w:fldCharType="separate"/>
            </w:r>
            <w:r w:rsidR="001B7CF6">
              <w:rPr>
                <w:lang w:val="fr-FR"/>
              </w:rPr>
              <w:t>25 novembre 2019</w:t>
            </w:r>
            <w:r>
              <w:fldChar w:fldCharType="end"/>
            </w:r>
          </w:p>
          <w:p w:rsidR="00441083" w:rsidRDefault="00FC5578">
            <w:pPr>
              <w:rPr>
                <w:caps/>
                <w:lang w:val="fr-FR"/>
              </w:rPr>
            </w:pPr>
            <w:r w:rsidRPr="00FF3CF1">
              <w:rPr>
                <w:caps/>
                <w:lang w:val="fr-FR"/>
              </w:rPr>
              <w:br/>
            </w:r>
            <w:r w:rsidR="00E60D9C">
              <w:rPr>
                <w:caps/>
                <w:lang w:val="fr-FR"/>
              </w:rPr>
              <w:t>FRANÇAIS</w:t>
            </w:r>
          </w:p>
          <w:p w:rsidR="00441083" w:rsidRDefault="00E60D9C">
            <w:r>
              <w:t xml:space="preserve">ORIGINAL: </w:t>
            </w:r>
            <w:r w:rsidR="0091161A">
              <w:t>ANGLAIS</w:t>
            </w:r>
          </w:p>
        </w:tc>
      </w:tr>
    </w:tbl>
    <w:p w:rsidR="00441083" w:rsidRDefault="00441083">
      <w:pPr>
        <w:jc w:val="left"/>
        <w:rPr>
          <w:lang w:val="fr-CA"/>
        </w:rPr>
      </w:pPr>
    </w:p>
    <w:p w:rsidR="00441083" w:rsidRDefault="00E60D9C" w:rsidP="00DD3433">
      <w:pPr>
        <w:jc w:val="left"/>
        <w:rPr>
          <w:lang w:val="fr-CA"/>
        </w:rPr>
      </w:pPr>
      <w:r>
        <w:rPr>
          <w:lang w:val="fr-CA"/>
        </w:rPr>
        <w:t>COMIT</w:t>
      </w:r>
      <w:r w:rsidR="00DD3433">
        <w:rPr>
          <w:lang w:val="fr-CA"/>
        </w:rPr>
        <w:t>É</w:t>
      </w:r>
      <w:r>
        <w:rPr>
          <w:lang w:val="fr-CA"/>
        </w:rPr>
        <w:t xml:space="preserve"> EX</w:t>
      </w:r>
      <w:r w:rsidR="00DD3433">
        <w:rPr>
          <w:lang w:val="fr-CA"/>
        </w:rPr>
        <w:t xml:space="preserve">ÉCUTIF </w:t>
      </w:r>
      <w:r w:rsidR="00DD3433">
        <w:rPr>
          <w:lang w:val="fr-CA"/>
        </w:rPr>
        <w:br/>
        <w:t xml:space="preserve">  DU FONDS MULTILATÉ</w:t>
      </w:r>
      <w:r>
        <w:rPr>
          <w:lang w:val="fr-CA"/>
        </w:rPr>
        <w:t xml:space="preserve">RAL AUX FINS </w:t>
      </w:r>
      <w:r>
        <w:rPr>
          <w:lang w:val="fr-CA"/>
        </w:rPr>
        <w:br/>
        <w:t xml:space="preserve">  D’APPLICATION DU PROTOCOLE DE MONTR</w:t>
      </w:r>
      <w:r w:rsidR="00DD3433">
        <w:rPr>
          <w:lang w:val="fr-CA"/>
        </w:rPr>
        <w:t>É</w:t>
      </w:r>
      <w:r>
        <w:rPr>
          <w:lang w:val="fr-CA"/>
        </w:rPr>
        <w:t>AL</w:t>
      </w:r>
      <w:r>
        <w:rPr>
          <w:lang w:val="fr-CA"/>
        </w:rPr>
        <w:br/>
      </w:r>
      <w:r w:rsidR="00E54871">
        <w:rPr>
          <w:lang w:val="fr-CA"/>
        </w:rPr>
        <w:t>Quatre</w:t>
      </w:r>
      <w:r>
        <w:rPr>
          <w:lang w:val="fr-CA"/>
        </w:rPr>
        <w:t>-</w:t>
      </w:r>
      <w:r w:rsidR="00E54871">
        <w:rPr>
          <w:lang w:val="fr-CA"/>
        </w:rPr>
        <w:t>vingt</w:t>
      </w:r>
      <w:r w:rsidR="00AE63D8">
        <w:rPr>
          <w:lang w:val="fr-CA"/>
        </w:rPr>
        <w:t>-</w:t>
      </w:r>
      <w:r w:rsidR="00AC013C">
        <w:rPr>
          <w:lang w:val="fr-CA"/>
        </w:rPr>
        <w:t>quat</w:t>
      </w:r>
      <w:r w:rsidR="004C2C87">
        <w:rPr>
          <w:lang w:val="fr-CA"/>
        </w:rPr>
        <w:t>ri</w:t>
      </w:r>
      <w:r w:rsidR="00E54871">
        <w:rPr>
          <w:lang w:val="fr-CA"/>
        </w:rPr>
        <w:t>ème</w:t>
      </w:r>
      <w:r w:rsidR="00FC5578" w:rsidRPr="00FC5578">
        <w:rPr>
          <w:lang w:val="fr-CA"/>
        </w:rPr>
        <w:t xml:space="preserve"> </w:t>
      </w:r>
      <w:r>
        <w:rPr>
          <w:lang w:val="fr-CA"/>
        </w:rPr>
        <w:t>réunion</w:t>
      </w:r>
    </w:p>
    <w:p w:rsidR="00441083" w:rsidRDefault="00E54871" w:rsidP="00AC013C">
      <w:pPr>
        <w:jc w:val="left"/>
        <w:rPr>
          <w:lang w:val="fr-CA"/>
        </w:rPr>
      </w:pPr>
      <w:r>
        <w:rPr>
          <w:lang w:val="fr-CA"/>
        </w:rPr>
        <w:t>Montr</w:t>
      </w:r>
      <w:r w:rsidRPr="008213E5">
        <w:rPr>
          <w:lang w:val="fr-FR"/>
        </w:rPr>
        <w:t>é</w:t>
      </w:r>
      <w:r>
        <w:rPr>
          <w:lang w:val="fr-CA"/>
        </w:rPr>
        <w:t>al,</w:t>
      </w:r>
      <w:r w:rsidR="00FC5578">
        <w:rPr>
          <w:lang w:val="fr-CA"/>
        </w:rPr>
        <w:t xml:space="preserve"> </w:t>
      </w:r>
      <w:r w:rsidR="00AC013C">
        <w:rPr>
          <w:lang w:val="fr-CA"/>
        </w:rPr>
        <w:t xml:space="preserve">16 </w:t>
      </w:r>
      <w:r w:rsidR="00E60D9C">
        <w:rPr>
          <w:lang w:val="fr-CA"/>
        </w:rPr>
        <w:t xml:space="preserve">– </w:t>
      </w:r>
      <w:r w:rsidR="00AC013C">
        <w:rPr>
          <w:lang w:val="fr-CA"/>
        </w:rPr>
        <w:t>20 décembre</w:t>
      </w:r>
      <w:r w:rsidR="004C2C87">
        <w:rPr>
          <w:lang w:val="fr-CA"/>
        </w:rPr>
        <w:t xml:space="preserve"> 2019</w:t>
      </w:r>
    </w:p>
    <w:p w:rsidR="00441083" w:rsidRDefault="00441083">
      <w:pPr>
        <w:jc w:val="left"/>
        <w:rPr>
          <w:lang w:val="fr-CA"/>
        </w:rPr>
      </w:pPr>
    </w:p>
    <w:p w:rsidR="00441083" w:rsidRDefault="00441083">
      <w:pPr>
        <w:pStyle w:val="Heading3"/>
        <w:numPr>
          <w:ilvl w:val="0"/>
          <w:numId w:val="0"/>
        </w:numPr>
        <w:spacing w:after="0"/>
        <w:rPr>
          <w:lang w:val="fr-FR"/>
        </w:rPr>
      </w:pPr>
    </w:p>
    <w:p w:rsidR="003F64C1" w:rsidRDefault="008213E5" w:rsidP="003F64C1">
      <w:pPr>
        <w:jc w:val="center"/>
        <w:rPr>
          <w:b/>
          <w:caps/>
          <w:lang w:val="fr-FR"/>
        </w:rPr>
      </w:pPr>
      <w:r w:rsidRPr="008213E5">
        <w:rPr>
          <w:b/>
          <w:caps/>
          <w:lang w:val="fr-FR"/>
        </w:rPr>
        <w:t>Projet de programme de travail de SUIVI ET ÉVALUATION</w:t>
      </w:r>
    </w:p>
    <w:p w:rsidR="008213E5" w:rsidRDefault="008213E5" w:rsidP="003F64C1">
      <w:pPr>
        <w:jc w:val="center"/>
        <w:rPr>
          <w:b/>
          <w:caps/>
          <w:lang w:val="fr-FR"/>
        </w:rPr>
      </w:pPr>
      <w:r w:rsidRPr="008213E5">
        <w:rPr>
          <w:b/>
          <w:caps/>
          <w:lang w:val="fr-FR"/>
        </w:rPr>
        <w:t xml:space="preserve"> pour L’ANNÉE 2020</w:t>
      </w:r>
    </w:p>
    <w:p w:rsidR="003F64C1" w:rsidRDefault="003F64C1" w:rsidP="003F64C1">
      <w:pPr>
        <w:jc w:val="center"/>
        <w:rPr>
          <w:b/>
          <w:caps/>
          <w:lang w:val="fr-FR"/>
        </w:rPr>
      </w:pPr>
    </w:p>
    <w:p w:rsidR="003F64C1" w:rsidRPr="008213E5" w:rsidRDefault="003F64C1" w:rsidP="003F64C1">
      <w:pPr>
        <w:jc w:val="center"/>
        <w:rPr>
          <w:b/>
          <w:caps/>
          <w:lang w:val="fr-FR"/>
        </w:rPr>
      </w:pPr>
    </w:p>
    <w:p w:rsidR="008213E5" w:rsidRPr="003C0C08" w:rsidRDefault="008213E5" w:rsidP="008213E5">
      <w:pPr>
        <w:spacing w:after="240"/>
        <w:rPr>
          <w:b/>
        </w:rPr>
      </w:pPr>
      <w:r>
        <w:rPr>
          <w:b/>
        </w:rPr>
        <w:t>Introduction</w:t>
      </w:r>
    </w:p>
    <w:p w:rsidR="008213E5" w:rsidRPr="008213E5" w:rsidRDefault="008213E5" w:rsidP="008213E5">
      <w:pPr>
        <w:pStyle w:val="Heading1"/>
        <w:rPr>
          <w:lang w:val="fr-FR"/>
        </w:rPr>
      </w:pPr>
      <w:r w:rsidRPr="008213E5">
        <w:rPr>
          <w:lang w:val="fr-FR"/>
        </w:rPr>
        <w:t>Le présent document présente le projet de programme de travail de suivi et évaluation pour 2020 qui est soumis à l’examen du Comité exécutif. Les activités de suivi et évaluation figurant dans le programme de travail ont été proposées suite aux précédentes délibérations du Comité exécutif sur les enjeux liés au suivi et à l’évaluation ; l’examen des rapports périodiques des projets en cours et des rapports d’achèvement des projets ; et les délibérations avec les agences bilatérales, les agences d’exécution et le Secrétariat. Le programme de travail tient également compte des délibérations du Comité exécutif concernant plusieurs points de l’ordre du jour à propos des activités de suivi et évaluation.</w:t>
      </w:r>
    </w:p>
    <w:p w:rsidR="008213E5" w:rsidRPr="008213E5" w:rsidRDefault="008213E5" w:rsidP="008213E5">
      <w:pPr>
        <w:pStyle w:val="Heading1"/>
        <w:widowControl w:val="0"/>
        <w:rPr>
          <w:lang w:val="fr-FR"/>
        </w:rPr>
      </w:pPr>
      <w:r w:rsidRPr="008213E5">
        <w:rPr>
          <w:lang w:val="fr-FR"/>
        </w:rPr>
        <w:t>En particulier, le projet de programme de travail de suivi et évaluation s’inscrit dans la continuité du programme de travail pour 2019</w:t>
      </w:r>
      <w:r>
        <w:rPr>
          <w:rStyle w:val="FootnoteReference"/>
        </w:rPr>
        <w:footnoteReference w:id="1"/>
      </w:r>
      <w:r w:rsidRPr="008213E5">
        <w:rPr>
          <w:lang w:val="fr-FR"/>
        </w:rPr>
        <w:t xml:space="preserve"> approuvé à la 82</w:t>
      </w:r>
      <w:r w:rsidRPr="008213E5">
        <w:rPr>
          <w:vertAlign w:val="superscript"/>
          <w:lang w:val="fr-FR"/>
        </w:rPr>
        <w:t>e</w:t>
      </w:r>
      <w:r w:rsidRPr="008213E5">
        <w:rPr>
          <w:lang w:val="fr-FR"/>
        </w:rPr>
        <w:t> réunion et comprend les parties suivantes :</w:t>
      </w:r>
    </w:p>
    <w:p w:rsidR="008213E5" w:rsidRPr="00FE7422" w:rsidRDefault="008213E5" w:rsidP="008213E5">
      <w:pPr>
        <w:autoSpaceDE w:val="0"/>
        <w:autoSpaceDN w:val="0"/>
        <w:adjustRightInd w:val="0"/>
        <w:spacing w:after="240"/>
        <w:rPr>
          <w:u w:val="single"/>
        </w:rPr>
      </w:pPr>
      <w:r>
        <w:rPr>
          <w:u w:val="single"/>
        </w:rPr>
        <w:t>Activités d’évaluation</w:t>
      </w:r>
    </w:p>
    <w:p w:rsidR="008213E5" w:rsidRPr="008213E5" w:rsidRDefault="008213E5" w:rsidP="008213E5">
      <w:pPr>
        <w:pStyle w:val="Heading2"/>
        <w:numPr>
          <w:ilvl w:val="0"/>
          <w:numId w:val="23"/>
        </w:numPr>
        <w:tabs>
          <w:tab w:val="left" w:pos="720"/>
        </w:tabs>
        <w:spacing w:after="120"/>
        <w:ind w:left="1440" w:hanging="720"/>
        <w:rPr>
          <w:lang w:val="fr-FR"/>
        </w:rPr>
      </w:pPr>
      <w:r w:rsidRPr="008213E5">
        <w:rPr>
          <w:lang w:val="fr-FR"/>
        </w:rPr>
        <w:t>Seconde phase de l’évaluation de la pérennité des avancées réalisées dans le cadre du Protocole de Montréal : présentation d’une étude théorique à la 84</w:t>
      </w:r>
      <w:r w:rsidRPr="008213E5">
        <w:rPr>
          <w:vertAlign w:val="superscript"/>
          <w:lang w:val="fr-FR"/>
        </w:rPr>
        <w:t>e</w:t>
      </w:r>
      <w:r w:rsidRPr="008213E5">
        <w:rPr>
          <w:lang w:val="fr-FR"/>
        </w:rPr>
        <w:t> réunion.</w:t>
      </w:r>
      <w:r>
        <w:rPr>
          <w:rStyle w:val="FootnoteReference"/>
          <w:lang w:val="en-US"/>
        </w:rPr>
        <w:footnoteReference w:id="2"/>
      </w:r>
      <w:r w:rsidRPr="008213E5">
        <w:rPr>
          <w:lang w:val="fr-FR"/>
        </w:rPr>
        <w:t xml:space="preserve"> Une seconde phase de l’évaluation, fondée sur les résultats obtenus, propose d’évaluer, </w:t>
      </w:r>
      <w:r w:rsidRPr="008213E5">
        <w:rPr>
          <w:i/>
          <w:lang w:val="fr-FR"/>
        </w:rPr>
        <w:t>inter alia</w:t>
      </w:r>
      <w:r w:rsidRPr="008213E5">
        <w:rPr>
          <w:lang w:val="fr-FR"/>
        </w:rPr>
        <w:t xml:space="preserve">, le rôle des Bureaux nationaux Ozone et des groupes de gestion de projets dans le suivi de l’élimination des SAO ; les forces et les faiblesses des institutions nationales engagées dans l’élimination des SAO ; et les défis liés à la sécurisation des avancées </w:t>
      </w:r>
      <w:r w:rsidRPr="008213E5">
        <w:rPr>
          <w:lang w:val="fr-FR"/>
        </w:rPr>
        <w:lastRenderedPageBreak/>
        <w:t>réalisées dans le cadre du Protocole de Montréal. Des missions sur le terrain auront lieu dans cinq pays visés à l’Article 5 durant cette seconde phase ; leur objectif sera de recueillir des données supplémentaires et de tirer des enseignements détaillés. L</w:t>
      </w:r>
      <w:r w:rsidR="00D40550">
        <w:rPr>
          <w:lang w:val="fr-FR"/>
        </w:rPr>
        <w:t>a sélection</w:t>
      </w:r>
      <w:r w:rsidRPr="008213E5">
        <w:rPr>
          <w:lang w:val="fr-FR"/>
        </w:rPr>
        <w:t xml:space="preserve"> des pays sera suggéré</w:t>
      </w:r>
      <w:r w:rsidR="00D40550">
        <w:rPr>
          <w:lang w:val="fr-FR"/>
        </w:rPr>
        <w:t>e</w:t>
      </w:r>
      <w:r w:rsidRPr="008213E5">
        <w:rPr>
          <w:lang w:val="fr-FR"/>
        </w:rPr>
        <w:t xml:space="preserve"> au Comité via le mandat de la seconde phase de l’évaluation qui sera exposé à la 85</w:t>
      </w:r>
      <w:r w:rsidRPr="008213E5">
        <w:rPr>
          <w:vertAlign w:val="superscript"/>
          <w:lang w:val="fr-FR"/>
        </w:rPr>
        <w:t>e</w:t>
      </w:r>
      <w:r w:rsidRPr="008213E5">
        <w:rPr>
          <w:lang w:val="fr-FR"/>
        </w:rPr>
        <w:t> réunion. Un rapport final sera présenté à la 86</w:t>
      </w:r>
      <w:r w:rsidRPr="008213E5">
        <w:rPr>
          <w:vertAlign w:val="superscript"/>
          <w:lang w:val="fr-FR"/>
        </w:rPr>
        <w:t>e</w:t>
      </w:r>
      <w:r w:rsidRPr="008213E5">
        <w:rPr>
          <w:lang w:val="fr-FR"/>
        </w:rPr>
        <w:t> réunion. Le Comité exécutif peut décider que le rapport final soit divisé en plusieurs documents ;</w:t>
      </w:r>
    </w:p>
    <w:p w:rsidR="008213E5" w:rsidRPr="008213E5" w:rsidRDefault="008213E5" w:rsidP="008213E5">
      <w:pPr>
        <w:pStyle w:val="Heading2"/>
        <w:numPr>
          <w:ilvl w:val="0"/>
          <w:numId w:val="23"/>
        </w:numPr>
        <w:tabs>
          <w:tab w:val="left" w:pos="720"/>
        </w:tabs>
        <w:spacing w:after="120"/>
        <w:ind w:left="1440" w:hanging="720"/>
        <w:rPr>
          <w:lang w:val="fr-FR"/>
        </w:rPr>
      </w:pPr>
      <w:r w:rsidRPr="008213E5">
        <w:rPr>
          <w:lang w:val="fr-FR"/>
        </w:rPr>
        <w:t>Seconde phase de l’évaluation des réseaux régionaux des agents des Bureaux nationaux Ozone : le mandat de l’étude théorique est présenté à la 84</w:t>
      </w:r>
      <w:r w:rsidRPr="008213E5">
        <w:rPr>
          <w:vertAlign w:val="superscript"/>
          <w:lang w:val="fr-FR"/>
        </w:rPr>
        <w:t>e</w:t>
      </w:r>
      <w:r w:rsidRPr="008213E5">
        <w:rPr>
          <w:lang w:val="fr-FR"/>
        </w:rPr>
        <w:t> réunion,</w:t>
      </w:r>
      <w:r>
        <w:rPr>
          <w:rStyle w:val="FootnoteReference"/>
          <w:lang w:val="en-US"/>
        </w:rPr>
        <w:footnoteReference w:id="3"/>
      </w:r>
      <w:r w:rsidRPr="008213E5">
        <w:rPr>
          <w:lang w:val="fr-FR"/>
        </w:rPr>
        <w:t xml:space="preserve"> une étude théorique sera exposée à la 85</w:t>
      </w:r>
      <w:r w:rsidRPr="008213E5">
        <w:rPr>
          <w:vertAlign w:val="superscript"/>
          <w:lang w:val="fr-FR"/>
        </w:rPr>
        <w:t>e</w:t>
      </w:r>
      <w:r w:rsidRPr="008213E5">
        <w:rPr>
          <w:lang w:val="fr-FR"/>
        </w:rPr>
        <w:t> réunion, et un rapport d’évaluation final sera soumis à la 88</w:t>
      </w:r>
      <w:r w:rsidRPr="008213E5">
        <w:rPr>
          <w:vertAlign w:val="superscript"/>
          <w:lang w:val="fr-FR"/>
        </w:rPr>
        <w:t>e</w:t>
      </w:r>
      <w:r w:rsidRPr="008213E5">
        <w:rPr>
          <w:lang w:val="fr-FR"/>
        </w:rPr>
        <w:t> réunion. L’évaluation s’appuiera sur les évaluations précédemment réalisées</w:t>
      </w:r>
      <w:r>
        <w:rPr>
          <w:rStyle w:val="FootnoteReference"/>
        </w:rPr>
        <w:footnoteReference w:id="4"/>
      </w:r>
      <w:r w:rsidRPr="008213E5">
        <w:rPr>
          <w:lang w:val="fr-FR"/>
        </w:rPr>
        <w:t xml:space="preserve"> et examinera en détails les réseaux régionaux, notamment : leur rôle dans la mise en œuvre du Protocole de Montréal, leur évolution dans le temps, leur influence à différents niveaux afin d’identifier les opportunités et les écarts susceptibles de renforcer les réunions de réseau pour faire face aux défis actuellement rencontrés par le Protocole de Montréal. Le mandat de la seconde phase de l’évaluation, fondé sur les résultats de l’étude théorique, sera présenté à la 85</w:t>
      </w:r>
      <w:r w:rsidRPr="008213E5">
        <w:rPr>
          <w:vertAlign w:val="superscript"/>
          <w:lang w:val="fr-FR"/>
        </w:rPr>
        <w:t>e</w:t>
      </w:r>
      <w:r w:rsidRPr="008213E5">
        <w:rPr>
          <w:lang w:val="fr-FR"/>
        </w:rPr>
        <w:t> réunion ; et</w:t>
      </w:r>
    </w:p>
    <w:p w:rsidR="008213E5" w:rsidRPr="008213E5" w:rsidRDefault="008213E5" w:rsidP="008213E5">
      <w:pPr>
        <w:pStyle w:val="Heading2"/>
        <w:numPr>
          <w:ilvl w:val="0"/>
          <w:numId w:val="23"/>
        </w:numPr>
        <w:tabs>
          <w:tab w:val="left" w:pos="720"/>
        </w:tabs>
        <w:ind w:left="1440" w:hanging="720"/>
        <w:rPr>
          <w:lang w:val="fr-FR"/>
        </w:rPr>
      </w:pPr>
      <w:r w:rsidRPr="008213E5">
        <w:rPr>
          <w:lang w:val="fr-FR"/>
        </w:rPr>
        <w:t>Évaluation de l’efficacité énergétique dans le secteur de l’entretien : un rapport périodique est présenté à la 84</w:t>
      </w:r>
      <w:r w:rsidRPr="008213E5">
        <w:rPr>
          <w:vertAlign w:val="superscript"/>
          <w:lang w:val="fr-FR"/>
        </w:rPr>
        <w:t>e</w:t>
      </w:r>
      <w:r w:rsidRPr="008213E5">
        <w:rPr>
          <w:lang w:val="fr-FR"/>
        </w:rPr>
        <w:t> réunion</w:t>
      </w:r>
      <w:r>
        <w:rPr>
          <w:rStyle w:val="FootnoteReference"/>
          <w:lang w:val="en-US"/>
        </w:rPr>
        <w:footnoteReference w:id="5"/>
      </w:r>
      <w:r w:rsidRPr="008213E5">
        <w:rPr>
          <w:lang w:val="fr-FR"/>
        </w:rPr>
        <w:t xml:space="preserve"> et une étude théorique sera exposée à la 86</w:t>
      </w:r>
      <w:r w:rsidRPr="008213E5">
        <w:rPr>
          <w:vertAlign w:val="superscript"/>
          <w:lang w:val="fr-FR"/>
        </w:rPr>
        <w:t>e</w:t>
      </w:r>
      <w:r w:rsidRPr="008213E5">
        <w:rPr>
          <w:lang w:val="fr-FR"/>
        </w:rPr>
        <w:t> réunion, l’objectif étant d’identifier et d’évaluer, dans la mesure du possible, les meilleures pratiques, les enseignements tirés et des opportunités supplémentaires pour maintenir l’efficacité énergétique dans le secteur de l’entretien. L’étude théorique examinera les projets financés antérieurement afin de déterminer des activités liées à l’efficacité énergétique dans le secteur de l’entretien, et leurs applications dans les politiques et les régl</w:t>
      </w:r>
      <w:r w:rsidR="00FE3C98">
        <w:rPr>
          <w:lang w:val="fr-FR"/>
        </w:rPr>
        <w:t>ementations au niveau national.</w:t>
      </w:r>
    </w:p>
    <w:p w:rsidR="008213E5" w:rsidRPr="00FE7422" w:rsidRDefault="008213E5" w:rsidP="008213E5">
      <w:pPr>
        <w:autoSpaceDE w:val="0"/>
        <w:autoSpaceDN w:val="0"/>
        <w:adjustRightInd w:val="0"/>
        <w:spacing w:after="240"/>
        <w:rPr>
          <w:u w:val="single"/>
        </w:rPr>
      </w:pPr>
      <w:r>
        <w:rPr>
          <w:u w:val="single"/>
        </w:rPr>
        <w:t>Activités de suivi</w:t>
      </w:r>
    </w:p>
    <w:p w:rsidR="008213E5" w:rsidRPr="008213E5" w:rsidRDefault="008213E5" w:rsidP="008213E5">
      <w:pPr>
        <w:pStyle w:val="Heading2"/>
        <w:numPr>
          <w:ilvl w:val="0"/>
          <w:numId w:val="24"/>
        </w:numPr>
        <w:tabs>
          <w:tab w:val="left" w:pos="720"/>
        </w:tabs>
        <w:ind w:left="1418" w:hanging="709"/>
        <w:rPr>
          <w:lang w:val="fr-FR"/>
        </w:rPr>
      </w:pPr>
      <w:r w:rsidRPr="008213E5">
        <w:rPr>
          <w:lang w:val="fr-FR"/>
        </w:rPr>
        <w:t>Rapport d’achèvement de projets (RAP) global pour les projets individuels ainsi que les projets liés à des accords pluriannuels.</w:t>
      </w:r>
    </w:p>
    <w:p w:rsidR="008213E5" w:rsidRPr="008213E5" w:rsidRDefault="008213E5" w:rsidP="008213E5">
      <w:pPr>
        <w:pStyle w:val="Heading1"/>
        <w:rPr>
          <w:lang w:val="fr-FR"/>
        </w:rPr>
      </w:pPr>
      <w:r w:rsidRPr="008213E5">
        <w:rPr>
          <w:lang w:val="fr-FR"/>
        </w:rPr>
        <w:t>L’Administrateur principal, Suivi et évaluation (SMEO) travaillera en étroite collaboration avec les agences bilatétales et les agences d’exécution applicables afin de soumettre à la 85</w:t>
      </w:r>
      <w:r w:rsidRPr="008213E5">
        <w:rPr>
          <w:vertAlign w:val="superscript"/>
          <w:lang w:val="fr-FR"/>
        </w:rPr>
        <w:t>e</w:t>
      </w:r>
      <w:r w:rsidRPr="008213E5">
        <w:rPr>
          <w:lang w:val="fr-FR"/>
        </w:rPr>
        <w:t xml:space="preserve"> et à la 86</w:t>
      </w:r>
      <w:r w:rsidRPr="008213E5">
        <w:rPr>
          <w:vertAlign w:val="superscript"/>
          <w:lang w:val="fr-FR"/>
        </w:rPr>
        <w:t>e</w:t>
      </w:r>
      <w:r w:rsidRPr="008213E5">
        <w:rPr>
          <w:lang w:val="fr-FR"/>
        </w:rPr>
        <w:t xml:space="preserve"> réunions tous les RAP en retard relatifs aux projets individuels et aux projets liés à des accords pluriannuels, et d’identifier différentes options </w:t>
      </w:r>
      <w:r w:rsidR="00D40550">
        <w:rPr>
          <w:lang w:val="fr-FR"/>
        </w:rPr>
        <w:t>permettant de</w:t>
      </w:r>
      <w:r w:rsidRPr="008213E5">
        <w:rPr>
          <w:lang w:val="fr-FR"/>
        </w:rPr>
        <w:t xml:space="preserve"> rationaliser l’élaboration et la soumission des RAP.</w:t>
      </w:r>
    </w:p>
    <w:p w:rsidR="008213E5" w:rsidRPr="008213E5" w:rsidRDefault="008213E5" w:rsidP="008213E5">
      <w:pPr>
        <w:pStyle w:val="Heading1"/>
        <w:rPr>
          <w:lang w:val="fr-FR"/>
        </w:rPr>
      </w:pPr>
      <w:r w:rsidRPr="008213E5">
        <w:rPr>
          <w:lang w:val="fr-FR"/>
        </w:rPr>
        <w:t>Le RAP global fournira au Comité exécutif un aperçu des résultats obtenus et des enseignements tirés figurant dans les rapports d’achèvement.</w:t>
      </w:r>
    </w:p>
    <w:p w:rsidR="008213E5" w:rsidRPr="008213E5" w:rsidRDefault="008213E5" w:rsidP="008213E5">
      <w:pPr>
        <w:pStyle w:val="Heading1"/>
        <w:keepNext/>
        <w:keepLines/>
        <w:widowControl w:val="0"/>
        <w:rPr>
          <w:lang w:val="fr-FR"/>
        </w:rPr>
      </w:pPr>
      <w:r w:rsidRPr="008213E5">
        <w:rPr>
          <w:lang w:val="fr-FR"/>
        </w:rPr>
        <w:t xml:space="preserve">Il se peut que d’autres questions d’intérêt surgissent durant la mise en œuvre du programme de travail </w:t>
      </w:r>
      <w:r w:rsidR="007037AE">
        <w:rPr>
          <w:lang w:val="fr-FR"/>
        </w:rPr>
        <w:t>pour</w:t>
      </w:r>
      <w:r w:rsidRPr="008213E5">
        <w:rPr>
          <w:lang w:val="fr-FR"/>
        </w:rPr>
        <w:t xml:space="preserve"> 2020 et nécessitent l’intervention du Comité exécutif. La gestion de ces questions pourrait donc requérir un certain niveau de souplesse </w:t>
      </w:r>
      <w:r w:rsidR="007037AE">
        <w:rPr>
          <w:lang w:val="fr-FR"/>
        </w:rPr>
        <w:t xml:space="preserve">dans </w:t>
      </w:r>
      <w:r w:rsidRPr="008213E5">
        <w:rPr>
          <w:lang w:val="fr-FR"/>
        </w:rPr>
        <w:t xml:space="preserve">la mise en œuvre du programme </w:t>
      </w:r>
      <w:r w:rsidR="00FE3C98">
        <w:rPr>
          <w:lang w:val="fr-FR"/>
        </w:rPr>
        <w:t>et l’affectation de son budget.</w:t>
      </w:r>
    </w:p>
    <w:p w:rsidR="003F64C1" w:rsidRPr="00BE1136" w:rsidRDefault="003F64C1">
      <w:pPr>
        <w:jc w:val="left"/>
        <w:rPr>
          <w:b/>
          <w:lang w:val="fr-FR"/>
        </w:rPr>
      </w:pPr>
      <w:r w:rsidRPr="00BE1136">
        <w:rPr>
          <w:b/>
          <w:lang w:val="fr-FR"/>
        </w:rPr>
        <w:br w:type="page"/>
      </w:r>
    </w:p>
    <w:p w:rsidR="008213E5" w:rsidRPr="005809E9" w:rsidRDefault="008213E5" w:rsidP="008213E5">
      <w:pPr>
        <w:pStyle w:val="Heading1"/>
        <w:keepNext/>
        <w:numPr>
          <w:ilvl w:val="0"/>
          <w:numId w:val="0"/>
        </w:numPr>
        <w:rPr>
          <w:b/>
        </w:rPr>
      </w:pPr>
      <w:r>
        <w:rPr>
          <w:b/>
        </w:rPr>
        <w:lastRenderedPageBreak/>
        <w:t>Calendrier de soumission</w:t>
      </w:r>
    </w:p>
    <w:p w:rsidR="008213E5" w:rsidRPr="008213E5" w:rsidRDefault="008213E5" w:rsidP="008213E5">
      <w:pPr>
        <w:pStyle w:val="Heading1"/>
        <w:tabs>
          <w:tab w:val="clear" w:pos="0"/>
        </w:tabs>
        <w:rPr>
          <w:lang w:val="fr-FR"/>
        </w:rPr>
      </w:pPr>
      <w:r w:rsidRPr="008213E5">
        <w:rPr>
          <w:lang w:val="fr-FR"/>
        </w:rPr>
        <w:t>Un aperçu des activités figurant dans la proposition de projet de programme de travail de suivi et évaluation pour 2020 est présenté au tableau 1.</w:t>
      </w:r>
    </w:p>
    <w:p w:rsidR="008213E5" w:rsidRPr="008213E5" w:rsidRDefault="008213E5" w:rsidP="008213E5">
      <w:pPr>
        <w:keepNext/>
        <w:keepLines/>
        <w:spacing w:after="240"/>
        <w:contextualSpacing/>
        <w:rPr>
          <w:b/>
          <w:lang w:val="fr-FR"/>
        </w:rPr>
      </w:pPr>
      <w:r w:rsidRPr="008213E5">
        <w:rPr>
          <w:b/>
          <w:lang w:val="fr-FR"/>
        </w:rPr>
        <w:t>Tableau 1. Calendrier de soumission des activités figurant dans le programme de travail de suivi et évaluation pour 2020</w:t>
      </w:r>
    </w:p>
    <w:tbl>
      <w:tblPr>
        <w:tblStyle w:val="TableGrid"/>
        <w:tblW w:w="9450" w:type="dxa"/>
        <w:tblInd w:w="-5" w:type="dxa"/>
        <w:tblLook w:val="04A0" w:firstRow="1" w:lastRow="0" w:firstColumn="1" w:lastColumn="0" w:noHBand="0" w:noVBand="1"/>
      </w:tblPr>
      <w:tblGrid>
        <w:gridCol w:w="4725"/>
        <w:gridCol w:w="4725"/>
      </w:tblGrid>
      <w:tr w:rsidR="008213E5" w:rsidRPr="00220566" w:rsidTr="000A24DD">
        <w:tc>
          <w:tcPr>
            <w:tcW w:w="4725" w:type="dxa"/>
          </w:tcPr>
          <w:p w:rsidR="008213E5" w:rsidRPr="00220566" w:rsidRDefault="008213E5" w:rsidP="000A24DD">
            <w:pPr>
              <w:jc w:val="center"/>
              <w:rPr>
                <w:sz w:val="20"/>
                <w:szCs w:val="21"/>
              </w:rPr>
            </w:pPr>
            <w:r>
              <w:rPr>
                <w:b/>
                <w:sz w:val="20"/>
                <w:szCs w:val="21"/>
              </w:rPr>
              <w:t>85</w:t>
            </w:r>
            <w:r>
              <w:rPr>
                <w:b/>
                <w:sz w:val="20"/>
                <w:szCs w:val="21"/>
                <w:vertAlign w:val="superscript"/>
              </w:rPr>
              <w:t>e</w:t>
            </w:r>
            <w:r>
              <w:rPr>
                <w:b/>
                <w:sz w:val="20"/>
                <w:szCs w:val="21"/>
              </w:rPr>
              <w:t> réunion</w:t>
            </w:r>
          </w:p>
        </w:tc>
        <w:tc>
          <w:tcPr>
            <w:tcW w:w="4725" w:type="dxa"/>
          </w:tcPr>
          <w:p w:rsidR="008213E5" w:rsidRPr="00220566" w:rsidRDefault="008213E5" w:rsidP="000A24DD">
            <w:pPr>
              <w:pStyle w:val="Heading4"/>
              <w:keepNext w:val="0"/>
              <w:numPr>
                <w:ilvl w:val="0"/>
                <w:numId w:val="0"/>
              </w:numPr>
              <w:spacing w:before="0" w:after="0"/>
              <w:jc w:val="center"/>
              <w:outlineLvl w:val="3"/>
              <w:rPr>
                <w:sz w:val="20"/>
                <w:szCs w:val="21"/>
              </w:rPr>
            </w:pPr>
            <w:r>
              <w:rPr>
                <w:b/>
                <w:sz w:val="20"/>
                <w:szCs w:val="21"/>
              </w:rPr>
              <w:t>86</w:t>
            </w:r>
            <w:r>
              <w:rPr>
                <w:b/>
                <w:sz w:val="20"/>
                <w:szCs w:val="21"/>
                <w:vertAlign w:val="superscript"/>
              </w:rPr>
              <w:t>e</w:t>
            </w:r>
            <w:r>
              <w:rPr>
                <w:b/>
                <w:sz w:val="20"/>
                <w:szCs w:val="21"/>
              </w:rPr>
              <w:t> réunion</w:t>
            </w:r>
          </w:p>
        </w:tc>
      </w:tr>
      <w:tr w:rsidR="008213E5" w:rsidRPr="001B7CF6" w:rsidTr="000A24DD">
        <w:tc>
          <w:tcPr>
            <w:tcW w:w="4725" w:type="dxa"/>
          </w:tcPr>
          <w:p w:rsidR="008213E5" w:rsidRPr="008213E5" w:rsidRDefault="008213E5" w:rsidP="000A24DD">
            <w:pPr>
              <w:jc w:val="left"/>
              <w:rPr>
                <w:b/>
                <w:sz w:val="20"/>
                <w:szCs w:val="21"/>
                <w:lang w:val="fr-FR"/>
              </w:rPr>
            </w:pPr>
            <w:r w:rsidRPr="008213E5">
              <w:rPr>
                <w:sz w:val="20"/>
                <w:szCs w:val="21"/>
                <w:lang w:val="fr-FR"/>
              </w:rPr>
              <w:t xml:space="preserve">RAP global pour les projets individuels et les projets liés à des accords pluriannuels </w:t>
            </w:r>
          </w:p>
        </w:tc>
        <w:tc>
          <w:tcPr>
            <w:tcW w:w="4725" w:type="dxa"/>
          </w:tcPr>
          <w:p w:rsidR="008213E5" w:rsidRPr="008213E5" w:rsidRDefault="008213E5" w:rsidP="000A24DD">
            <w:pPr>
              <w:pStyle w:val="Heading4"/>
              <w:keepNext w:val="0"/>
              <w:numPr>
                <w:ilvl w:val="0"/>
                <w:numId w:val="0"/>
              </w:numPr>
              <w:spacing w:before="0" w:after="0"/>
              <w:jc w:val="left"/>
              <w:outlineLvl w:val="3"/>
              <w:rPr>
                <w:b/>
                <w:sz w:val="20"/>
                <w:szCs w:val="21"/>
                <w:lang w:val="fr-FR"/>
              </w:rPr>
            </w:pPr>
            <w:r w:rsidRPr="008213E5">
              <w:rPr>
                <w:sz w:val="20"/>
                <w:szCs w:val="21"/>
                <w:lang w:val="fr-FR"/>
              </w:rPr>
              <w:t>RAP global pour les projets individuels et les projets liés à des accords pluriannuels</w:t>
            </w:r>
          </w:p>
        </w:tc>
      </w:tr>
      <w:tr w:rsidR="008213E5" w:rsidRPr="001B7CF6" w:rsidTr="000A24DD">
        <w:tc>
          <w:tcPr>
            <w:tcW w:w="4725" w:type="dxa"/>
          </w:tcPr>
          <w:p w:rsidR="008213E5" w:rsidRPr="008213E5" w:rsidRDefault="008213E5" w:rsidP="000A24DD">
            <w:pPr>
              <w:rPr>
                <w:sz w:val="20"/>
                <w:szCs w:val="21"/>
                <w:lang w:val="fr-FR"/>
              </w:rPr>
            </w:pPr>
            <w:r w:rsidRPr="008213E5">
              <w:rPr>
                <w:sz w:val="20"/>
                <w:szCs w:val="21"/>
                <w:lang w:val="fr-FR"/>
              </w:rPr>
              <w:t>Étude théorique pour l’évaluation des réseaux régionaux des agents des Bureaux nationaux Ozone</w:t>
            </w:r>
          </w:p>
        </w:tc>
        <w:tc>
          <w:tcPr>
            <w:tcW w:w="4725" w:type="dxa"/>
          </w:tcPr>
          <w:p w:rsidR="008213E5" w:rsidRPr="008213E5" w:rsidRDefault="008213E5" w:rsidP="000A24DD">
            <w:pPr>
              <w:pStyle w:val="Heading4"/>
              <w:keepNext w:val="0"/>
              <w:numPr>
                <w:ilvl w:val="0"/>
                <w:numId w:val="0"/>
              </w:numPr>
              <w:spacing w:before="0" w:after="0"/>
              <w:outlineLvl w:val="3"/>
              <w:rPr>
                <w:sz w:val="20"/>
                <w:szCs w:val="21"/>
                <w:lang w:val="fr-FR"/>
              </w:rPr>
            </w:pPr>
            <w:r w:rsidRPr="008213E5">
              <w:rPr>
                <w:sz w:val="20"/>
                <w:szCs w:val="21"/>
                <w:lang w:val="fr-FR"/>
              </w:rPr>
              <w:t>Rapport final de l’évaluation de la pérennité des avancées réalisées dans le cadre du Protocole de Montréal</w:t>
            </w:r>
          </w:p>
        </w:tc>
      </w:tr>
      <w:tr w:rsidR="008213E5" w:rsidRPr="001B7CF6" w:rsidTr="000A24DD">
        <w:tc>
          <w:tcPr>
            <w:tcW w:w="4725" w:type="dxa"/>
          </w:tcPr>
          <w:p w:rsidR="008213E5" w:rsidRPr="008213E5" w:rsidRDefault="008213E5" w:rsidP="000A24DD">
            <w:pPr>
              <w:rPr>
                <w:sz w:val="20"/>
                <w:szCs w:val="21"/>
                <w:lang w:val="fr-FR"/>
              </w:rPr>
            </w:pPr>
            <w:r w:rsidRPr="008213E5">
              <w:rPr>
                <w:sz w:val="20"/>
                <w:szCs w:val="21"/>
                <w:lang w:val="fr-FR"/>
              </w:rPr>
              <w:t>Mandat de la seconde phase de l’évaluation de la pérennité des avancées réalisées dans le cadre du Protocole de Montréal</w:t>
            </w:r>
          </w:p>
        </w:tc>
        <w:tc>
          <w:tcPr>
            <w:tcW w:w="4725" w:type="dxa"/>
          </w:tcPr>
          <w:p w:rsidR="008213E5" w:rsidRPr="008213E5" w:rsidRDefault="008213E5" w:rsidP="000A24DD">
            <w:pPr>
              <w:pStyle w:val="Heading4"/>
              <w:keepNext w:val="0"/>
              <w:numPr>
                <w:ilvl w:val="0"/>
                <w:numId w:val="0"/>
              </w:numPr>
              <w:spacing w:before="0" w:after="0"/>
              <w:outlineLvl w:val="3"/>
              <w:rPr>
                <w:sz w:val="20"/>
                <w:szCs w:val="21"/>
                <w:lang w:val="fr-FR"/>
              </w:rPr>
            </w:pPr>
            <w:r w:rsidRPr="008213E5">
              <w:rPr>
                <w:sz w:val="20"/>
                <w:szCs w:val="21"/>
                <w:lang w:val="fr-FR"/>
              </w:rPr>
              <w:t>Étude théorique pour l’évaluation de l’efficacité énergétique dans le secteur de l’entretien</w:t>
            </w:r>
          </w:p>
        </w:tc>
      </w:tr>
      <w:tr w:rsidR="008213E5" w:rsidRPr="001B7CF6" w:rsidTr="000A24DD">
        <w:tc>
          <w:tcPr>
            <w:tcW w:w="4725" w:type="dxa"/>
          </w:tcPr>
          <w:p w:rsidR="008213E5" w:rsidRPr="008213E5" w:rsidRDefault="008213E5" w:rsidP="000A24DD">
            <w:pPr>
              <w:rPr>
                <w:sz w:val="20"/>
                <w:szCs w:val="21"/>
                <w:lang w:val="fr-FR"/>
              </w:rPr>
            </w:pPr>
            <w:r w:rsidRPr="008213E5">
              <w:rPr>
                <w:sz w:val="20"/>
                <w:szCs w:val="21"/>
                <w:lang w:val="fr-FR"/>
              </w:rPr>
              <w:t>Mandat de la seconde phase de l’évaluation des réseaux régionaux des agents des Bureaux nationaux Ozone</w:t>
            </w:r>
          </w:p>
        </w:tc>
        <w:tc>
          <w:tcPr>
            <w:tcW w:w="4725" w:type="dxa"/>
          </w:tcPr>
          <w:p w:rsidR="008213E5" w:rsidRPr="006260E8" w:rsidRDefault="008213E5" w:rsidP="000A24DD">
            <w:pPr>
              <w:pStyle w:val="Heading4"/>
              <w:keepNext w:val="0"/>
              <w:numPr>
                <w:ilvl w:val="0"/>
                <w:numId w:val="0"/>
              </w:numPr>
              <w:spacing w:before="0" w:after="0"/>
              <w:outlineLvl w:val="3"/>
              <w:rPr>
                <w:sz w:val="20"/>
                <w:szCs w:val="21"/>
                <w:lang w:val="fr-FR"/>
              </w:rPr>
            </w:pPr>
          </w:p>
        </w:tc>
      </w:tr>
    </w:tbl>
    <w:p w:rsidR="008213E5" w:rsidRPr="00955FE0" w:rsidRDefault="008213E5" w:rsidP="008213E5">
      <w:pPr>
        <w:keepNext/>
        <w:keepLines/>
        <w:spacing w:before="240" w:after="240"/>
        <w:rPr>
          <w:b/>
        </w:rPr>
      </w:pPr>
      <w:r>
        <w:rPr>
          <w:b/>
        </w:rPr>
        <w:t>Budget</w:t>
      </w:r>
    </w:p>
    <w:p w:rsidR="008213E5" w:rsidRPr="008213E5" w:rsidRDefault="008213E5" w:rsidP="008213E5">
      <w:pPr>
        <w:pStyle w:val="Heading1"/>
        <w:keepNext/>
        <w:keepLines/>
        <w:rPr>
          <w:lang w:val="fr-FR"/>
        </w:rPr>
      </w:pPr>
      <w:r w:rsidRPr="008213E5">
        <w:rPr>
          <w:lang w:val="fr-FR"/>
        </w:rPr>
        <w:t>Le tableau 2 détaille le budget alloué au programme de travail de suivi et évaluation pour 2020. Il comprend les honoraires et les frais de déplacements des consultants et de l’Administrateur principal, Suivi et évaluation participant à une par</w:t>
      </w:r>
      <w:r w:rsidR="00FE3C98">
        <w:rPr>
          <w:lang w:val="fr-FR"/>
        </w:rPr>
        <w:t>tie des visites sur le terrain.</w:t>
      </w:r>
    </w:p>
    <w:p w:rsidR="008213E5" w:rsidRPr="008213E5" w:rsidRDefault="008213E5" w:rsidP="008213E5">
      <w:pPr>
        <w:keepNext/>
        <w:contextualSpacing/>
        <w:jc w:val="left"/>
        <w:rPr>
          <w:b/>
          <w:lang w:val="fr-FR"/>
        </w:rPr>
      </w:pPr>
      <w:r w:rsidRPr="008213E5">
        <w:rPr>
          <w:b/>
          <w:lang w:val="fr-FR"/>
        </w:rPr>
        <w:t>Tableau 2. Budget proposé pour le programme de travail de suivi et évaluation pour 2020</w:t>
      </w:r>
    </w:p>
    <w:tbl>
      <w:tblPr>
        <w:tblStyle w:val="TableGrid"/>
        <w:tblW w:w="5000" w:type="pct"/>
        <w:tblInd w:w="-5" w:type="dxa"/>
        <w:tblLook w:val="04A0" w:firstRow="1" w:lastRow="0" w:firstColumn="1" w:lastColumn="0" w:noHBand="0" w:noVBand="1"/>
      </w:tblPr>
      <w:tblGrid>
        <w:gridCol w:w="7843"/>
        <w:gridCol w:w="1733"/>
      </w:tblGrid>
      <w:tr w:rsidR="008213E5" w:rsidRPr="00FA017A" w:rsidTr="000A24DD">
        <w:trPr>
          <w:tblHeader/>
        </w:trPr>
        <w:tc>
          <w:tcPr>
            <w:tcW w:w="4095" w:type="pct"/>
            <w:vAlign w:val="center"/>
          </w:tcPr>
          <w:p w:rsidR="008213E5" w:rsidRPr="008E2089" w:rsidRDefault="008213E5" w:rsidP="000A24DD">
            <w:pPr>
              <w:pStyle w:val="Heading1"/>
              <w:numPr>
                <w:ilvl w:val="0"/>
                <w:numId w:val="0"/>
              </w:numPr>
              <w:spacing w:after="0"/>
              <w:outlineLvl w:val="0"/>
              <w:rPr>
                <w:sz w:val="20"/>
                <w:szCs w:val="20"/>
              </w:rPr>
            </w:pPr>
            <w:r>
              <w:rPr>
                <w:b/>
                <w:sz w:val="20"/>
                <w:szCs w:val="20"/>
              </w:rPr>
              <w:t>Description</w:t>
            </w:r>
          </w:p>
        </w:tc>
        <w:tc>
          <w:tcPr>
            <w:tcW w:w="905" w:type="pct"/>
            <w:vAlign w:val="center"/>
          </w:tcPr>
          <w:p w:rsidR="008213E5" w:rsidRPr="008E2089" w:rsidRDefault="008213E5" w:rsidP="000A24DD">
            <w:pPr>
              <w:pStyle w:val="Heading1"/>
              <w:numPr>
                <w:ilvl w:val="0"/>
                <w:numId w:val="0"/>
              </w:numPr>
              <w:spacing w:after="0"/>
              <w:jc w:val="center"/>
              <w:outlineLvl w:val="0"/>
              <w:rPr>
                <w:sz w:val="20"/>
                <w:szCs w:val="20"/>
              </w:rPr>
            </w:pPr>
            <w:r>
              <w:rPr>
                <w:b/>
                <w:sz w:val="20"/>
                <w:szCs w:val="20"/>
              </w:rPr>
              <w:t>Montant ($ US)</w:t>
            </w:r>
          </w:p>
        </w:tc>
      </w:tr>
      <w:tr w:rsidR="008213E5" w:rsidRPr="001B7CF6" w:rsidTr="000A24DD">
        <w:tc>
          <w:tcPr>
            <w:tcW w:w="4095" w:type="pct"/>
          </w:tcPr>
          <w:p w:rsidR="008213E5" w:rsidRPr="008213E5" w:rsidRDefault="008213E5" w:rsidP="000A24DD">
            <w:pPr>
              <w:pStyle w:val="Heading1"/>
              <w:numPr>
                <w:ilvl w:val="0"/>
                <w:numId w:val="0"/>
              </w:numPr>
              <w:spacing w:after="0"/>
              <w:jc w:val="left"/>
              <w:outlineLvl w:val="0"/>
              <w:rPr>
                <w:b/>
                <w:sz w:val="20"/>
                <w:szCs w:val="20"/>
                <w:lang w:val="fr-FR"/>
              </w:rPr>
            </w:pPr>
            <w:r w:rsidRPr="008213E5">
              <w:rPr>
                <w:b/>
                <w:sz w:val="20"/>
                <w:szCs w:val="20"/>
                <w:lang w:val="fr-FR"/>
              </w:rPr>
              <w:t>Seconde phase de l’évaluation de la pérennité des avancées réalisées dans le cadre du Protocole de Montréal</w:t>
            </w:r>
          </w:p>
        </w:tc>
        <w:tc>
          <w:tcPr>
            <w:tcW w:w="905" w:type="pct"/>
            <w:vAlign w:val="center"/>
          </w:tcPr>
          <w:p w:rsidR="008213E5" w:rsidRPr="008213E5" w:rsidRDefault="008213E5" w:rsidP="000A24DD">
            <w:pPr>
              <w:pStyle w:val="Heading1"/>
              <w:numPr>
                <w:ilvl w:val="0"/>
                <w:numId w:val="0"/>
              </w:numPr>
              <w:spacing w:after="0"/>
              <w:jc w:val="right"/>
              <w:outlineLvl w:val="0"/>
              <w:rPr>
                <w:sz w:val="20"/>
                <w:szCs w:val="20"/>
                <w:lang w:val="fr-FR"/>
              </w:rPr>
            </w:pPr>
          </w:p>
        </w:tc>
      </w:tr>
      <w:tr w:rsidR="008213E5" w:rsidRPr="001B7CF6" w:rsidTr="000A24DD">
        <w:tc>
          <w:tcPr>
            <w:tcW w:w="4095" w:type="pct"/>
            <w:shd w:val="clear" w:color="auto" w:fill="auto"/>
          </w:tcPr>
          <w:p w:rsidR="008213E5" w:rsidRPr="008213E5" w:rsidRDefault="008213E5" w:rsidP="000A24DD">
            <w:pPr>
              <w:pStyle w:val="Heading1"/>
              <w:numPr>
                <w:ilvl w:val="0"/>
                <w:numId w:val="0"/>
              </w:numPr>
              <w:spacing w:after="0"/>
              <w:jc w:val="left"/>
              <w:outlineLvl w:val="0"/>
              <w:rPr>
                <w:sz w:val="20"/>
                <w:szCs w:val="20"/>
                <w:lang w:val="fr-FR"/>
              </w:rPr>
            </w:pPr>
            <w:r w:rsidRPr="008213E5">
              <w:rPr>
                <w:sz w:val="20"/>
                <w:szCs w:val="20"/>
                <w:lang w:val="fr-FR"/>
              </w:rPr>
              <w:t>Visites sur le terrain (5 pays, 7 jours/pays)</w:t>
            </w:r>
          </w:p>
        </w:tc>
        <w:tc>
          <w:tcPr>
            <w:tcW w:w="905" w:type="pct"/>
            <w:shd w:val="clear" w:color="auto" w:fill="auto"/>
            <w:vAlign w:val="center"/>
          </w:tcPr>
          <w:p w:rsidR="008213E5" w:rsidRPr="008213E5" w:rsidRDefault="008213E5" w:rsidP="000A24DD">
            <w:pPr>
              <w:pStyle w:val="Heading1"/>
              <w:numPr>
                <w:ilvl w:val="0"/>
                <w:numId w:val="0"/>
              </w:numPr>
              <w:spacing w:after="0"/>
              <w:jc w:val="right"/>
              <w:outlineLvl w:val="0"/>
              <w:rPr>
                <w:sz w:val="20"/>
                <w:szCs w:val="20"/>
                <w:lang w:val="fr-FR"/>
              </w:rPr>
            </w:pPr>
          </w:p>
        </w:tc>
      </w:tr>
      <w:tr w:rsidR="008213E5" w:rsidRPr="00FA017A" w:rsidTr="000A24DD">
        <w:tc>
          <w:tcPr>
            <w:tcW w:w="4095" w:type="pct"/>
            <w:shd w:val="clear" w:color="auto" w:fill="auto"/>
          </w:tcPr>
          <w:p w:rsidR="008213E5" w:rsidRPr="008E2089" w:rsidRDefault="008213E5" w:rsidP="000A24DD">
            <w:pPr>
              <w:pStyle w:val="Heading1"/>
              <w:numPr>
                <w:ilvl w:val="0"/>
                <w:numId w:val="0"/>
              </w:numPr>
              <w:spacing w:after="0"/>
              <w:jc w:val="left"/>
              <w:outlineLvl w:val="0"/>
              <w:rPr>
                <w:sz w:val="20"/>
                <w:szCs w:val="20"/>
              </w:rPr>
            </w:pPr>
            <w:r>
              <w:rPr>
                <w:sz w:val="20"/>
                <w:szCs w:val="20"/>
              </w:rPr>
              <w:t>Personnel :</w:t>
            </w:r>
          </w:p>
        </w:tc>
        <w:tc>
          <w:tcPr>
            <w:tcW w:w="905" w:type="pct"/>
            <w:shd w:val="clear" w:color="auto" w:fill="auto"/>
            <w:vAlign w:val="center"/>
          </w:tcPr>
          <w:p w:rsidR="008213E5" w:rsidRPr="008E2089" w:rsidRDefault="008213E5" w:rsidP="000A24DD">
            <w:pPr>
              <w:pStyle w:val="Heading1"/>
              <w:numPr>
                <w:ilvl w:val="0"/>
                <w:numId w:val="0"/>
              </w:numPr>
              <w:spacing w:after="0"/>
              <w:jc w:val="right"/>
              <w:outlineLvl w:val="0"/>
              <w:rPr>
                <w:sz w:val="20"/>
                <w:szCs w:val="20"/>
              </w:rPr>
            </w:pPr>
          </w:p>
        </w:tc>
      </w:tr>
      <w:tr w:rsidR="008213E5" w:rsidRPr="00FA017A" w:rsidTr="000A24DD">
        <w:tc>
          <w:tcPr>
            <w:tcW w:w="4095" w:type="pct"/>
            <w:shd w:val="clear" w:color="auto" w:fill="auto"/>
          </w:tcPr>
          <w:p w:rsidR="008213E5" w:rsidRPr="008E2089" w:rsidRDefault="008213E5" w:rsidP="008213E5">
            <w:pPr>
              <w:pStyle w:val="Heading1"/>
              <w:numPr>
                <w:ilvl w:val="0"/>
                <w:numId w:val="25"/>
              </w:numPr>
              <w:spacing w:after="0"/>
              <w:jc w:val="left"/>
              <w:outlineLvl w:val="0"/>
              <w:rPr>
                <w:sz w:val="20"/>
                <w:szCs w:val="20"/>
              </w:rPr>
            </w:pPr>
            <w:r>
              <w:rPr>
                <w:sz w:val="20"/>
                <w:szCs w:val="20"/>
              </w:rPr>
              <w:t>Déplacements (4 pays*6 000 $ US)</w:t>
            </w:r>
          </w:p>
        </w:tc>
        <w:tc>
          <w:tcPr>
            <w:tcW w:w="905" w:type="pct"/>
            <w:shd w:val="clear" w:color="auto" w:fill="auto"/>
            <w:vAlign w:val="center"/>
          </w:tcPr>
          <w:p w:rsidR="008213E5" w:rsidRPr="008E2089" w:rsidRDefault="008213E5" w:rsidP="000A24DD">
            <w:pPr>
              <w:pStyle w:val="Heading1"/>
              <w:numPr>
                <w:ilvl w:val="0"/>
                <w:numId w:val="0"/>
              </w:numPr>
              <w:spacing w:after="0"/>
              <w:jc w:val="right"/>
              <w:outlineLvl w:val="0"/>
              <w:rPr>
                <w:sz w:val="20"/>
                <w:szCs w:val="20"/>
              </w:rPr>
            </w:pPr>
            <w:r>
              <w:rPr>
                <w:sz w:val="20"/>
                <w:szCs w:val="20"/>
              </w:rPr>
              <w:t>24 000</w:t>
            </w:r>
          </w:p>
        </w:tc>
      </w:tr>
      <w:tr w:rsidR="008213E5" w:rsidRPr="00FA017A" w:rsidTr="000A24DD">
        <w:tc>
          <w:tcPr>
            <w:tcW w:w="4095" w:type="pct"/>
            <w:shd w:val="clear" w:color="auto" w:fill="auto"/>
          </w:tcPr>
          <w:p w:rsidR="008213E5" w:rsidRPr="008213E5" w:rsidRDefault="008213E5" w:rsidP="008213E5">
            <w:pPr>
              <w:pStyle w:val="Heading1"/>
              <w:numPr>
                <w:ilvl w:val="0"/>
                <w:numId w:val="25"/>
              </w:numPr>
              <w:spacing w:after="0"/>
              <w:jc w:val="left"/>
              <w:outlineLvl w:val="0"/>
              <w:rPr>
                <w:sz w:val="20"/>
                <w:szCs w:val="20"/>
                <w:lang w:val="fr-FR"/>
              </w:rPr>
            </w:pPr>
            <w:r w:rsidRPr="008213E5">
              <w:rPr>
                <w:sz w:val="20"/>
                <w:szCs w:val="20"/>
                <w:lang w:val="fr-FR"/>
              </w:rPr>
              <w:t>Indemnités journalières (28 jours*350 $ US/jour)</w:t>
            </w:r>
          </w:p>
        </w:tc>
        <w:tc>
          <w:tcPr>
            <w:tcW w:w="905" w:type="pct"/>
            <w:shd w:val="clear" w:color="auto" w:fill="auto"/>
            <w:vAlign w:val="center"/>
          </w:tcPr>
          <w:p w:rsidR="008213E5" w:rsidRPr="008E2089" w:rsidRDefault="008213E5" w:rsidP="000A24DD">
            <w:pPr>
              <w:pStyle w:val="Heading1"/>
              <w:numPr>
                <w:ilvl w:val="0"/>
                <w:numId w:val="0"/>
              </w:numPr>
              <w:spacing w:after="0"/>
              <w:jc w:val="right"/>
              <w:outlineLvl w:val="0"/>
              <w:rPr>
                <w:sz w:val="20"/>
                <w:szCs w:val="20"/>
              </w:rPr>
            </w:pPr>
            <w:r>
              <w:rPr>
                <w:sz w:val="20"/>
                <w:szCs w:val="20"/>
              </w:rPr>
              <w:t>9 800</w:t>
            </w:r>
          </w:p>
        </w:tc>
      </w:tr>
      <w:tr w:rsidR="008213E5" w:rsidRPr="00FA017A" w:rsidTr="000A24DD">
        <w:tc>
          <w:tcPr>
            <w:tcW w:w="4095" w:type="pct"/>
          </w:tcPr>
          <w:p w:rsidR="008213E5" w:rsidRPr="008E2089" w:rsidRDefault="008213E5" w:rsidP="000A24DD">
            <w:pPr>
              <w:pStyle w:val="Heading1"/>
              <w:numPr>
                <w:ilvl w:val="0"/>
                <w:numId w:val="0"/>
              </w:numPr>
              <w:spacing w:after="0"/>
              <w:jc w:val="left"/>
              <w:outlineLvl w:val="0"/>
              <w:rPr>
                <w:sz w:val="20"/>
                <w:szCs w:val="20"/>
              </w:rPr>
            </w:pPr>
            <w:r>
              <w:rPr>
                <w:sz w:val="20"/>
                <w:szCs w:val="20"/>
              </w:rPr>
              <w:t xml:space="preserve">Consultants </w:t>
            </w:r>
          </w:p>
        </w:tc>
        <w:tc>
          <w:tcPr>
            <w:tcW w:w="905" w:type="pct"/>
            <w:vAlign w:val="center"/>
          </w:tcPr>
          <w:p w:rsidR="008213E5" w:rsidRPr="008E2089" w:rsidRDefault="008213E5" w:rsidP="000A24DD">
            <w:pPr>
              <w:pStyle w:val="Heading1"/>
              <w:numPr>
                <w:ilvl w:val="0"/>
                <w:numId w:val="0"/>
              </w:numPr>
              <w:spacing w:after="0"/>
              <w:jc w:val="right"/>
              <w:outlineLvl w:val="0"/>
              <w:rPr>
                <w:sz w:val="20"/>
                <w:szCs w:val="20"/>
                <w:highlight w:val="green"/>
              </w:rPr>
            </w:pPr>
          </w:p>
        </w:tc>
      </w:tr>
      <w:tr w:rsidR="008213E5" w:rsidRPr="00FA017A" w:rsidTr="000A24DD">
        <w:tc>
          <w:tcPr>
            <w:tcW w:w="4095" w:type="pct"/>
          </w:tcPr>
          <w:p w:rsidR="008213E5" w:rsidRPr="008213E5" w:rsidRDefault="008213E5" w:rsidP="008213E5">
            <w:pPr>
              <w:pStyle w:val="Heading1"/>
              <w:numPr>
                <w:ilvl w:val="0"/>
                <w:numId w:val="25"/>
              </w:numPr>
              <w:spacing w:after="0"/>
              <w:jc w:val="left"/>
              <w:outlineLvl w:val="0"/>
              <w:rPr>
                <w:sz w:val="20"/>
                <w:szCs w:val="20"/>
                <w:lang w:val="fr-FR"/>
              </w:rPr>
            </w:pPr>
            <w:r w:rsidRPr="008213E5">
              <w:rPr>
                <w:sz w:val="20"/>
                <w:szCs w:val="20"/>
                <w:lang w:val="fr-FR"/>
              </w:rPr>
              <w:t>Honoraires (7 jours*5 pays*500 $ US/jour)</w:t>
            </w:r>
          </w:p>
        </w:tc>
        <w:tc>
          <w:tcPr>
            <w:tcW w:w="905" w:type="pct"/>
            <w:vAlign w:val="center"/>
          </w:tcPr>
          <w:p w:rsidR="008213E5" w:rsidRPr="008E2089" w:rsidRDefault="008213E5" w:rsidP="000A24DD">
            <w:pPr>
              <w:pStyle w:val="Heading1"/>
              <w:numPr>
                <w:ilvl w:val="0"/>
                <w:numId w:val="0"/>
              </w:numPr>
              <w:spacing w:after="0"/>
              <w:jc w:val="right"/>
              <w:outlineLvl w:val="0"/>
              <w:rPr>
                <w:sz w:val="20"/>
                <w:szCs w:val="20"/>
              </w:rPr>
            </w:pPr>
            <w:r>
              <w:rPr>
                <w:sz w:val="20"/>
                <w:szCs w:val="20"/>
              </w:rPr>
              <w:t>17 500</w:t>
            </w:r>
          </w:p>
        </w:tc>
      </w:tr>
      <w:tr w:rsidR="008213E5" w:rsidRPr="00FA017A" w:rsidTr="000A24DD">
        <w:tc>
          <w:tcPr>
            <w:tcW w:w="4095" w:type="pct"/>
          </w:tcPr>
          <w:p w:rsidR="008213E5" w:rsidRPr="008E2089" w:rsidRDefault="008213E5" w:rsidP="008213E5">
            <w:pPr>
              <w:pStyle w:val="Heading1"/>
              <w:numPr>
                <w:ilvl w:val="0"/>
                <w:numId w:val="25"/>
              </w:numPr>
              <w:spacing w:after="0"/>
              <w:jc w:val="left"/>
              <w:outlineLvl w:val="0"/>
              <w:rPr>
                <w:sz w:val="20"/>
                <w:szCs w:val="20"/>
              </w:rPr>
            </w:pPr>
            <w:r>
              <w:rPr>
                <w:sz w:val="20"/>
                <w:szCs w:val="20"/>
              </w:rPr>
              <w:t>Déplacements (5 pays*3 000 $ US)</w:t>
            </w:r>
          </w:p>
        </w:tc>
        <w:tc>
          <w:tcPr>
            <w:tcW w:w="905" w:type="pct"/>
            <w:vAlign w:val="center"/>
          </w:tcPr>
          <w:p w:rsidR="008213E5" w:rsidRPr="008E2089" w:rsidRDefault="008213E5" w:rsidP="000A24DD">
            <w:pPr>
              <w:pStyle w:val="Heading1"/>
              <w:numPr>
                <w:ilvl w:val="0"/>
                <w:numId w:val="0"/>
              </w:numPr>
              <w:spacing w:after="0"/>
              <w:jc w:val="right"/>
              <w:outlineLvl w:val="0"/>
              <w:rPr>
                <w:sz w:val="20"/>
                <w:szCs w:val="20"/>
              </w:rPr>
            </w:pPr>
            <w:r>
              <w:rPr>
                <w:sz w:val="20"/>
                <w:szCs w:val="20"/>
              </w:rPr>
              <w:t>15 000</w:t>
            </w:r>
          </w:p>
        </w:tc>
      </w:tr>
      <w:tr w:rsidR="008213E5" w:rsidRPr="00FA017A" w:rsidTr="000A24DD">
        <w:tc>
          <w:tcPr>
            <w:tcW w:w="4095" w:type="pct"/>
          </w:tcPr>
          <w:p w:rsidR="008213E5" w:rsidRPr="008213E5" w:rsidRDefault="008213E5" w:rsidP="008213E5">
            <w:pPr>
              <w:pStyle w:val="Heading1"/>
              <w:numPr>
                <w:ilvl w:val="0"/>
                <w:numId w:val="25"/>
              </w:numPr>
              <w:spacing w:after="0"/>
              <w:jc w:val="left"/>
              <w:outlineLvl w:val="0"/>
              <w:rPr>
                <w:sz w:val="20"/>
                <w:szCs w:val="20"/>
                <w:lang w:val="fr-FR"/>
              </w:rPr>
            </w:pPr>
            <w:r w:rsidRPr="008213E5">
              <w:rPr>
                <w:sz w:val="20"/>
                <w:szCs w:val="20"/>
                <w:lang w:val="fr-FR"/>
              </w:rPr>
              <w:t>Indemnités journalières (35 jours*350 $ US/jour)</w:t>
            </w:r>
          </w:p>
        </w:tc>
        <w:tc>
          <w:tcPr>
            <w:tcW w:w="905" w:type="pct"/>
            <w:vAlign w:val="center"/>
          </w:tcPr>
          <w:p w:rsidR="008213E5" w:rsidRPr="008E2089" w:rsidRDefault="008213E5" w:rsidP="000A24DD">
            <w:pPr>
              <w:pStyle w:val="Heading1"/>
              <w:numPr>
                <w:ilvl w:val="0"/>
                <w:numId w:val="0"/>
              </w:numPr>
              <w:spacing w:after="0"/>
              <w:jc w:val="right"/>
              <w:outlineLvl w:val="0"/>
              <w:rPr>
                <w:sz w:val="20"/>
                <w:szCs w:val="20"/>
              </w:rPr>
            </w:pPr>
            <w:r>
              <w:rPr>
                <w:sz w:val="20"/>
                <w:szCs w:val="20"/>
              </w:rPr>
              <w:t>12 250</w:t>
            </w:r>
          </w:p>
        </w:tc>
      </w:tr>
      <w:tr w:rsidR="008213E5" w:rsidRPr="00FA017A" w:rsidTr="000A24DD">
        <w:tc>
          <w:tcPr>
            <w:tcW w:w="4095" w:type="pct"/>
          </w:tcPr>
          <w:p w:rsidR="008213E5" w:rsidRPr="008213E5" w:rsidRDefault="008213E5" w:rsidP="000A24DD">
            <w:pPr>
              <w:pStyle w:val="Heading1"/>
              <w:numPr>
                <w:ilvl w:val="0"/>
                <w:numId w:val="0"/>
              </w:numPr>
              <w:spacing w:after="0"/>
              <w:jc w:val="left"/>
              <w:outlineLvl w:val="0"/>
              <w:rPr>
                <w:sz w:val="20"/>
                <w:szCs w:val="20"/>
                <w:highlight w:val="yellow"/>
                <w:lang w:val="fr-FR"/>
              </w:rPr>
            </w:pPr>
            <w:r w:rsidRPr="008213E5">
              <w:rPr>
                <w:sz w:val="20"/>
                <w:szCs w:val="20"/>
                <w:lang w:val="fr-FR"/>
              </w:rPr>
              <w:t>Rédaction des rapports</w:t>
            </w:r>
            <w:r w:rsidRPr="008213E5">
              <w:rPr>
                <w:b/>
                <w:sz w:val="20"/>
                <w:szCs w:val="20"/>
                <w:lang w:val="fr-FR"/>
              </w:rPr>
              <w:t xml:space="preserve"> </w:t>
            </w:r>
            <w:r w:rsidRPr="008213E5">
              <w:rPr>
                <w:sz w:val="20"/>
                <w:szCs w:val="20"/>
                <w:lang w:val="fr-FR"/>
              </w:rPr>
              <w:t>(5 pays*7 jours*500 $ US/jour)</w:t>
            </w:r>
          </w:p>
        </w:tc>
        <w:tc>
          <w:tcPr>
            <w:tcW w:w="905" w:type="pct"/>
            <w:vAlign w:val="center"/>
          </w:tcPr>
          <w:p w:rsidR="008213E5" w:rsidRPr="008E2089" w:rsidRDefault="008213E5" w:rsidP="000A24DD">
            <w:pPr>
              <w:pStyle w:val="Heading1"/>
              <w:numPr>
                <w:ilvl w:val="0"/>
                <w:numId w:val="0"/>
              </w:numPr>
              <w:spacing w:after="0"/>
              <w:jc w:val="right"/>
              <w:outlineLvl w:val="0"/>
              <w:rPr>
                <w:sz w:val="20"/>
                <w:szCs w:val="20"/>
              </w:rPr>
            </w:pPr>
            <w:r>
              <w:rPr>
                <w:sz w:val="20"/>
                <w:szCs w:val="20"/>
              </w:rPr>
              <w:t>17 500</w:t>
            </w:r>
          </w:p>
        </w:tc>
      </w:tr>
      <w:tr w:rsidR="008213E5" w:rsidRPr="00FA017A" w:rsidTr="000A24DD">
        <w:tc>
          <w:tcPr>
            <w:tcW w:w="4095" w:type="pct"/>
          </w:tcPr>
          <w:p w:rsidR="008213E5" w:rsidRPr="008213E5" w:rsidRDefault="008213E5" w:rsidP="000A24DD">
            <w:pPr>
              <w:pStyle w:val="Heading1"/>
              <w:numPr>
                <w:ilvl w:val="0"/>
                <w:numId w:val="0"/>
              </w:numPr>
              <w:spacing w:after="0"/>
              <w:jc w:val="left"/>
              <w:outlineLvl w:val="0"/>
              <w:rPr>
                <w:sz w:val="20"/>
                <w:szCs w:val="20"/>
                <w:lang w:val="fr-FR"/>
              </w:rPr>
            </w:pPr>
            <w:r w:rsidRPr="008213E5">
              <w:rPr>
                <w:sz w:val="20"/>
                <w:szCs w:val="20"/>
                <w:lang w:val="fr-FR"/>
              </w:rPr>
              <w:t>Rapport de synthèse (12 jours*500 $ US/jour)</w:t>
            </w:r>
          </w:p>
        </w:tc>
        <w:tc>
          <w:tcPr>
            <w:tcW w:w="905" w:type="pct"/>
            <w:vAlign w:val="center"/>
          </w:tcPr>
          <w:p w:rsidR="008213E5" w:rsidRPr="008E2089" w:rsidRDefault="008213E5" w:rsidP="000A24DD">
            <w:pPr>
              <w:pStyle w:val="Heading1"/>
              <w:numPr>
                <w:ilvl w:val="0"/>
                <w:numId w:val="0"/>
              </w:numPr>
              <w:spacing w:after="0"/>
              <w:jc w:val="right"/>
              <w:outlineLvl w:val="0"/>
              <w:rPr>
                <w:sz w:val="20"/>
                <w:szCs w:val="20"/>
              </w:rPr>
            </w:pPr>
            <w:r>
              <w:rPr>
                <w:sz w:val="20"/>
                <w:szCs w:val="20"/>
              </w:rPr>
              <w:t>6 000</w:t>
            </w:r>
          </w:p>
        </w:tc>
      </w:tr>
      <w:tr w:rsidR="008213E5" w:rsidRPr="001B7CF6" w:rsidTr="000A24DD">
        <w:tc>
          <w:tcPr>
            <w:tcW w:w="4095" w:type="pct"/>
          </w:tcPr>
          <w:p w:rsidR="008213E5" w:rsidRPr="008213E5" w:rsidRDefault="008213E5" w:rsidP="000A24DD">
            <w:pPr>
              <w:pStyle w:val="Heading1"/>
              <w:numPr>
                <w:ilvl w:val="0"/>
                <w:numId w:val="0"/>
              </w:numPr>
              <w:spacing w:after="0"/>
              <w:jc w:val="left"/>
              <w:outlineLvl w:val="0"/>
              <w:rPr>
                <w:b/>
                <w:sz w:val="20"/>
                <w:szCs w:val="20"/>
                <w:lang w:val="fr-FR"/>
              </w:rPr>
            </w:pPr>
            <w:r w:rsidRPr="008213E5">
              <w:rPr>
                <w:b/>
                <w:sz w:val="20"/>
                <w:szCs w:val="20"/>
                <w:lang w:val="fr-FR"/>
              </w:rPr>
              <w:t>Étude théorique pour l’évaluation des réseaux régionaux des agents des Bureaux nationaux Ozone</w:t>
            </w:r>
          </w:p>
        </w:tc>
        <w:tc>
          <w:tcPr>
            <w:tcW w:w="905" w:type="pct"/>
            <w:vAlign w:val="center"/>
          </w:tcPr>
          <w:p w:rsidR="008213E5" w:rsidRPr="008213E5" w:rsidRDefault="008213E5" w:rsidP="000A24DD">
            <w:pPr>
              <w:pStyle w:val="Heading1"/>
              <w:numPr>
                <w:ilvl w:val="0"/>
                <w:numId w:val="0"/>
              </w:numPr>
              <w:spacing w:after="0"/>
              <w:jc w:val="right"/>
              <w:outlineLvl w:val="0"/>
              <w:rPr>
                <w:sz w:val="20"/>
                <w:szCs w:val="20"/>
                <w:lang w:val="fr-FR"/>
              </w:rPr>
            </w:pPr>
          </w:p>
        </w:tc>
      </w:tr>
      <w:tr w:rsidR="008213E5" w:rsidRPr="00FA017A" w:rsidTr="000A24DD">
        <w:tc>
          <w:tcPr>
            <w:tcW w:w="4095" w:type="pct"/>
          </w:tcPr>
          <w:p w:rsidR="008213E5" w:rsidRPr="008213E5" w:rsidRDefault="008213E5" w:rsidP="000A24DD">
            <w:pPr>
              <w:pStyle w:val="Heading1"/>
              <w:numPr>
                <w:ilvl w:val="0"/>
                <w:numId w:val="0"/>
              </w:numPr>
              <w:spacing w:after="0"/>
              <w:jc w:val="left"/>
              <w:outlineLvl w:val="0"/>
              <w:rPr>
                <w:sz w:val="20"/>
                <w:szCs w:val="20"/>
                <w:lang w:val="fr-FR"/>
              </w:rPr>
            </w:pPr>
            <w:r w:rsidRPr="008213E5">
              <w:rPr>
                <w:sz w:val="20"/>
                <w:szCs w:val="20"/>
                <w:lang w:val="fr-FR"/>
              </w:rPr>
              <w:t>Rédaction des rapports (30 jours*500 $ US/jour)</w:t>
            </w:r>
          </w:p>
        </w:tc>
        <w:tc>
          <w:tcPr>
            <w:tcW w:w="905" w:type="pct"/>
            <w:vAlign w:val="center"/>
          </w:tcPr>
          <w:p w:rsidR="008213E5" w:rsidRPr="008E2089" w:rsidRDefault="008213E5" w:rsidP="000A24DD">
            <w:pPr>
              <w:pStyle w:val="Heading1"/>
              <w:numPr>
                <w:ilvl w:val="0"/>
                <w:numId w:val="0"/>
              </w:numPr>
              <w:spacing w:after="0"/>
              <w:jc w:val="right"/>
              <w:outlineLvl w:val="0"/>
              <w:rPr>
                <w:sz w:val="20"/>
                <w:szCs w:val="20"/>
              </w:rPr>
            </w:pPr>
            <w:r>
              <w:rPr>
                <w:sz w:val="20"/>
                <w:szCs w:val="20"/>
              </w:rPr>
              <w:t>15 000</w:t>
            </w:r>
          </w:p>
        </w:tc>
      </w:tr>
      <w:tr w:rsidR="008213E5" w:rsidRPr="001B7CF6" w:rsidTr="000A24DD">
        <w:tc>
          <w:tcPr>
            <w:tcW w:w="4095" w:type="pct"/>
          </w:tcPr>
          <w:p w:rsidR="008213E5" w:rsidRPr="008213E5" w:rsidRDefault="008213E5" w:rsidP="000A24DD">
            <w:pPr>
              <w:pStyle w:val="Heading1"/>
              <w:numPr>
                <w:ilvl w:val="0"/>
                <w:numId w:val="0"/>
              </w:numPr>
              <w:spacing w:after="0"/>
              <w:jc w:val="left"/>
              <w:outlineLvl w:val="0"/>
              <w:rPr>
                <w:sz w:val="20"/>
                <w:szCs w:val="20"/>
                <w:lang w:val="fr-FR"/>
              </w:rPr>
            </w:pPr>
            <w:r w:rsidRPr="008213E5">
              <w:rPr>
                <w:b/>
                <w:sz w:val="20"/>
                <w:szCs w:val="20"/>
                <w:lang w:val="fr-FR"/>
              </w:rPr>
              <w:t xml:space="preserve">Étude théorique pour l’évaluation de l’efficacité énergétique dans le secteur de l’entretien </w:t>
            </w:r>
          </w:p>
        </w:tc>
        <w:tc>
          <w:tcPr>
            <w:tcW w:w="905" w:type="pct"/>
            <w:vAlign w:val="center"/>
          </w:tcPr>
          <w:p w:rsidR="008213E5" w:rsidRPr="008213E5" w:rsidRDefault="008213E5" w:rsidP="000A24DD">
            <w:pPr>
              <w:pStyle w:val="Heading1"/>
              <w:numPr>
                <w:ilvl w:val="0"/>
                <w:numId w:val="0"/>
              </w:numPr>
              <w:spacing w:after="0"/>
              <w:jc w:val="right"/>
              <w:outlineLvl w:val="0"/>
              <w:rPr>
                <w:sz w:val="20"/>
                <w:szCs w:val="20"/>
                <w:lang w:val="fr-FR"/>
              </w:rPr>
            </w:pPr>
          </w:p>
        </w:tc>
      </w:tr>
      <w:tr w:rsidR="008213E5" w:rsidRPr="00FA017A" w:rsidTr="000A24DD">
        <w:tc>
          <w:tcPr>
            <w:tcW w:w="4095" w:type="pct"/>
          </w:tcPr>
          <w:p w:rsidR="008213E5" w:rsidRPr="008213E5" w:rsidRDefault="008213E5" w:rsidP="000A24DD">
            <w:pPr>
              <w:pStyle w:val="Heading1"/>
              <w:numPr>
                <w:ilvl w:val="0"/>
                <w:numId w:val="0"/>
              </w:numPr>
              <w:spacing w:after="0"/>
              <w:jc w:val="left"/>
              <w:outlineLvl w:val="0"/>
              <w:rPr>
                <w:sz w:val="20"/>
                <w:szCs w:val="20"/>
                <w:lang w:val="fr-FR"/>
              </w:rPr>
            </w:pPr>
            <w:r w:rsidRPr="008213E5">
              <w:rPr>
                <w:sz w:val="20"/>
                <w:szCs w:val="20"/>
                <w:lang w:val="fr-FR"/>
              </w:rPr>
              <w:t>Rédaction des rapports (30 jours*500 $ US/jour)</w:t>
            </w:r>
          </w:p>
        </w:tc>
        <w:tc>
          <w:tcPr>
            <w:tcW w:w="905" w:type="pct"/>
            <w:vAlign w:val="center"/>
          </w:tcPr>
          <w:p w:rsidR="008213E5" w:rsidRPr="008E2089" w:rsidRDefault="008213E5" w:rsidP="000A24DD">
            <w:pPr>
              <w:pStyle w:val="Heading1"/>
              <w:numPr>
                <w:ilvl w:val="0"/>
                <w:numId w:val="0"/>
              </w:numPr>
              <w:spacing w:after="0"/>
              <w:jc w:val="right"/>
              <w:outlineLvl w:val="0"/>
              <w:rPr>
                <w:sz w:val="20"/>
                <w:szCs w:val="20"/>
              </w:rPr>
            </w:pPr>
            <w:r>
              <w:rPr>
                <w:sz w:val="20"/>
                <w:szCs w:val="20"/>
              </w:rPr>
              <w:t>0</w:t>
            </w:r>
            <w:r>
              <w:rPr>
                <w:sz w:val="20"/>
                <w:szCs w:val="20"/>
                <w:vertAlign w:val="superscript"/>
              </w:rPr>
              <w:t>*</w:t>
            </w:r>
          </w:p>
        </w:tc>
      </w:tr>
      <w:tr w:rsidR="008213E5" w:rsidRPr="00FA017A" w:rsidTr="000A24DD">
        <w:tc>
          <w:tcPr>
            <w:tcW w:w="4095" w:type="pct"/>
          </w:tcPr>
          <w:p w:rsidR="008213E5" w:rsidRPr="008E2089" w:rsidRDefault="008213E5" w:rsidP="000A24DD">
            <w:pPr>
              <w:pStyle w:val="Heading1"/>
              <w:numPr>
                <w:ilvl w:val="0"/>
                <w:numId w:val="0"/>
              </w:numPr>
              <w:spacing w:after="0"/>
              <w:jc w:val="left"/>
              <w:outlineLvl w:val="0"/>
              <w:rPr>
                <w:sz w:val="20"/>
                <w:szCs w:val="20"/>
              </w:rPr>
            </w:pPr>
            <w:r>
              <w:rPr>
                <w:b/>
                <w:sz w:val="20"/>
                <w:szCs w:val="20"/>
              </w:rPr>
              <w:t>Sous-total</w:t>
            </w:r>
          </w:p>
        </w:tc>
        <w:tc>
          <w:tcPr>
            <w:tcW w:w="905" w:type="pct"/>
            <w:vAlign w:val="center"/>
          </w:tcPr>
          <w:p w:rsidR="008213E5" w:rsidRPr="008E2089" w:rsidRDefault="008213E5" w:rsidP="000A24DD">
            <w:pPr>
              <w:pStyle w:val="Heading1"/>
              <w:numPr>
                <w:ilvl w:val="0"/>
                <w:numId w:val="0"/>
              </w:numPr>
              <w:spacing w:after="0"/>
              <w:jc w:val="right"/>
              <w:outlineLvl w:val="0"/>
              <w:rPr>
                <w:sz w:val="20"/>
                <w:szCs w:val="20"/>
              </w:rPr>
            </w:pPr>
            <w:r>
              <w:rPr>
                <w:b/>
                <w:sz w:val="20"/>
                <w:szCs w:val="20"/>
              </w:rPr>
              <w:t>117 050</w:t>
            </w:r>
          </w:p>
        </w:tc>
      </w:tr>
      <w:tr w:rsidR="008213E5" w:rsidRPr="00FA017A" w:rsidTr="000A24DD">
        <w:tc>
          <w:tcPr>
            <w:tcW w:w="4095" w:type="pct"/>
          </w:tcPr>
          <w:p w:rsidR="008213E5" w:rsidRPr="008E2089" w:rsidRDefault="008213E5" w:rsidP="000A24DD">
            <w:pPr>
              <w:pStyle w:val="Heading1"/>
              <w:keepNext/>
              <w:keepLines/>
              <w:numPr>
                <w:ilvl w:val="0"/>
                <w:numId w:val="0"/>
              </w:numPr>
              <w:spacing w:after="0"/>
              <w:jc w:val="left"/>
              <w:outlineLvl w:val="0"/>
              <w:rPr>
                <w:sz w:val="20"/>
                <w:szCs w:val="20"/>
              </w:rPr>
            </w:pPr>
            <w:r>
              <w:rPr>
                <w:sz w:val="20"/>
                <w:szCs w:val="20"/>
              </w:rPr>
              <w:t>Divers</w:t>
            </w:r>
            <w:r>
              <w:rPr>
                <w:sz w:val="20"/>
                <w:szCs w:val="20"/>
                <w:vertAlign w:val="superscript"/>
              </w:rPr>
              <w:t>**</w:t>
            </w:r>
          </w:p>
        </w:tc>
        <w:tc>
          <w:tcPr>
            <w:tcW w:w="905" w:type="pct"/>
            <w:vAlign w:val="center"/>
          </w:tcPr>
          <w:p w:rsidR="008213E5" w:rsidRPr="008E2089" w:rsidRDefault="008213E5" w:rsidP="000A24DD">
            <w:pPr>
              <w:pStyle w:val="Heading1"/>
              <w:numPr>
                <w:ilvl w:val="0"/>
                <w:numId w:val="0"/>
              </w:numPr>
              <w:spacing w:after="0"/>
              <w:jc w:val="right"/>
              <w:outlineLvl w:val="0"/>
              <w:rPr>
                <w:sz w:val="20"/>
                <w:szCs w:val="20"/>
              </w:rPr>
            </w:pPr>
            <w:r>
              <w:rPr>
                <w:sz w:val="20"/>
                <w:szCs w:val="20"/>
              </w:rPr>
              <w:t>4 000</w:t>
            </w:r>
          </w:p>
        </w:tc>
      </w:tr>
      <w:tr w:rsidR="008213E5" w:rsidRPr="00FA017A" w:rsidTr="000A24DD">
        <w:tc>
          <w:tcPr>
            <w:tcW w:w="4095" w:type="pct"/>
          </w:tcPr>
          <w:p w:rsidR="008213E5" w:rsidRPr="008E2089" w:rsidRDefault="008213E5" w:rsidP="000A24DD">
            <w:pPr>
              <w:pStyle w:val="Heading1"/>
              <w:numPr>
                <w:ilvl w:val="0"/>
                <w:numId w:val="0"/>
              </w:numPr>
              <w:spacing w:after="0"/>
              <w:jc w:val="left"/>
              <w:outlineLvl w:val="0"/>
              <w:rPr>
                <w:sz w:val="20"/>
                <w:szCs w:val="20"/>
                <w:highlight w:val="green"/>
              </w:rPr>
            </w:pPr>
            <w:r>
              <w:rPr>
                <w:b/>
                <w:sz w:val="20"/>
                <w:szCs w:val="20"/>
              </w:rPr>
              <w:t>Total</w:t>
            </w:r>
          </w:p>
        </w:tc>
        <w:tc>
          <w:tcPr>
            <w:tcW w:w="905" w:type="pct"/>
            <w:vAlign w:val="center"/>
          </w:tcPr>
          <w:p w:rsidR="008213E5" w:rsidRPr="008E2089" w:rsidRDefault="008213E5" w:rsidP="000A24DD">
            <w:pPr>
              <w:pStyle w:val="Heading1"/>
              <w:numPr>
                <w:ilvl w:val="0"/>
                <w:numId w:val="0"/>
              </w:numPr>
              <w:spacing w:after="0"/>
              <w:jc w:val="right"/>
              <w:outlineLvl w:val="0"/>
              <w:rPr>
                <w:b/>
                <w:sz w:val="20"/>
                <w:szCs w:val="20"/>
              </w:rPr>
            </w:pPr>
            <w:r>
              <w:rPr>
                <w:b/>
                <w:sz w:val="20"/>
                <w:szCs w:val="20"/>
              </w:rPr>
              <w:t>121 050</w:t>
            </w:r>
          </w:p>
        </w:tc>
      </w:tr>
    </w:tbl>
    <w:p w:rsidR="008213E5" w:rsidRPr="008213E5" w:rsidRDefault="008213E5" w:rsidP="008213E5">
      <w:pPr>
        <w:pStyle w:val="Heading1"/>
        <w:numPr>
          <w:ilvl w:val="0"/>
          <w:numId w:val="0"/>
        </w:numPr>
        <w:spacing w:after="0"/>
        <w:rPr>
          <w:sz w:val="20"/>
          <w:szCs w:val="20"/>
          <w:lang w:val="fr-FR"/>
        </w:rPr>
      </w:pPr>
      <w:r w:rsidRPr="008213E5">
        <w:rPr>
          <w:sz w:val="20"/>
          <w:szCs w:val="20"/>
          <w:lang w:val="fr-FR"/>
        </w:rPr>
        <w:t>* Les 15 000 $ US initialement alloués à l’étude théorique pour l’évaluation de l’efficacité énergétique dans le secteur de l’entretien</w:t>
      </w:r>
      <w:r w:rsidRPr="008213E5">
        <w:rPr>
          <w:b/>
          <w:sz w:val="20"/>
          <w:szCs w:val="20"/>
          <w:lang w:val="fr-FR"/>
        </w:rPr>
        <w:t xml:space="preserve"> </w:t>
      </w:r>
      <w:r w:rsidRPr="008213E5">
        <w:rPr>
          <w:sz w:val="20"/>
          <w:szCs w:val="20"/>
          <w:lang w:val="fr-FR"/>
        </w:rPr>
        <w:t xml:space="preserve">dans le programme de travail pour 2019 seront réaffectés au programme de travail pour 2020. </w:t>
      </w:r>
    </w:p>
    <w:p w:rsidR="008213E5" w:rsidRPr="008213E5" w:rsidRDefault="008213E5" w:rsidP="008213E5">
      <w:pPr>
        <w:contextualSpacing/>
        <w:rPr>
          <w:sz w:val="20"/>
          <w:szCs w:val="20"/>
          <w:lang w:val="fr-FR"/>
        </w:rPr>
      </w:pPr>
      <w:r w:rsidRPr="008213E5">
        <w:rPr>
          <w:sz w:val="20"/>
          <w:szCs w:val="20"/>
          <w:vertAlign w:val="superscript"/>
          <w:lang w:val="fr-FR"/>
        </w:rPr>
        <w:t xml:space="preserve">** </w:t>
      </w:r>
      <w:r w:rsidRPr="008213E5">
        <w:rPr>
          <w:sz w:val="20"/>
          <w:szCs w:val="20"/>
          <w:lang w:val="fr-FR"/>
        </w:rPr>
        <w:t xml:space="preserve">Divers fonds sont prévus pour couvrir les frais de déplacements en mission non planifiés ainsi que le remplacement imprévu du matériel du </w:t>
      </w:r>
      <w:r w:rsidR="00BB1554">
        <w:rPr>
          <w:sz w:val="20"/>
          <w:szCs w:val="20"/>
          <w:lang w:val="fr-FR"/>
        </w:rPr>
        <w:t>B</w:t>
      </w:r>
      <w:r w:rsidRPr="008213E5">
        <w:rPr>
          <w:sz w:val="20"/>
          <w:szCs w:val="20"/>
          <w:lang w:val="fr-FR"/>
        </w:rPr>
        <w:t xml:space="preserve">ureau de </w:t>
      </w:r>
      <w:r w:rsidR="00BB1554">
        <w:rPr>
          <w:sz w:val="20"/>
          <w:szCs w:val="20"/>
          <w:lang w:val="fr-FR"/>
        </w:rPr>
        <w:t>S</w:t>
      </w:r>
      <w:r w:rsidRPr="008213E5">
        <w:rPr>
          <w:sz w:val="20"/>
          <w:szCs w:val="20"/>
          <w:lang w:val="fr-FR"/>
        </w:rPr>
        <w:t>uivi et évaluation.</w:t>
      </w:r>
    </w:p>
    <w:p w:rsidR="008213E5" w:rsidRPr="008213E5" w:rsidRDefault="008213E5" w:rsidP="008213E5">
      <w:pPr>
        <w:spacing w:after="240"/>
        <w:rPr>
          <w:sz w:val="20"/>
          <w:szCs w:val="20"/>
          <w:lang w:val="fr-FR" w:eastAsia="ja-JP"/>
        </w:rPr>
      </w:pPr>
    </w:p>
    <w:p w:rsidR="003F64C1" w:rsidRPr="00BE1136" w:rsidRDefault="003F64C1">
      <w:pPr>
        <w:jc w:val="left"/>
        <w:rPr>
          <w:b/>
          <w:lang w:val="fr-FR"/>
        </w:rPr>
      </w:pPr>
      <w:r w:rsidRPr="00BE1136">
        <w:rPr>
          <w:b/>
          <w:lang w:val="fr-FR"/>
        </w:rPr>
        <w:br w:type="page"/>
      </w:r>
    </w:p>
    <w:p w:rsidR="008213E5" w:rsidRPr="003F64C1" w:rsidRDefault="008213E5" w:rsidP="008213E5">
      <w:pPr>
        <w:keepNext/>
        <w:keepLines/>
        <w:spacing w:before="120" w:after="240"/>
        <w:rPr>
          <w:b/>
          <w:lang w:val="fr-FR"/>
        </w:rPr>
      </w:pPr>
      <w:r w:rsidRPr="003F64C1">
        <w:rPr>
          <w:b/>
          <w:lang w:val="fr-FR"/>
        </w:rPr>
        <w:lastRenderedPageBreak/>
        <w:t>Action attendue du Comité exécutif</w:t>
      </w:r>
    </w:p>
    <w:p w:rsidR="008213E5" w:rsidRPr="008213E5" w:rsidRDefault="008213E5" w:rsidP="008213E5">
      <w:pPr>
        <w:pStyle w:val="Heading1"/>
        <w:keepNext/>
        <w:keepLines/>
        <w:rPr>
          <w:lang w:val="fr-FR"/>
        </w:rPr>
      </w:pPr>
      <w:r w:rsidRPr="008213E5">
        <w:rPr>
          <w:lang w:val="fr-FR"/>
        </w:rPr>
        <w:t>Le Comité exécutif pourrait souhaiter :</w:t>
      </w:r>
    </w:p>
    <w:p w:rsidR="008213E5" w:rsidRPr="008213E5" w:rsidRDefault="008213E5" w:rsidP="008213E5">
      <w:pPr>
        <w:pStyle w:val="Heading2"/>
        <w:numPr>
          <w:ilvl w:val="1"/>
          <w:numId w:val="1"/>
        </w:numPr>
        <w:rPr>
          <w:lang w:val="fr-FR"/>
        </w:rPr>
      </w:pPr>
      <w:r w:rsidRPr="008213E5">
        <w:rPr>
          <w:lang w:val="fr-FR"/>
        </w:rPr>
        <w:t>Approuver la proposition de programme de travail de suivi et évaluation pour 2020 figurant dans le document UNEP/OzL.Pro/ExCom/84/15 ainsi que le budget associé de 121 050 $ US détaillé au tableau 2 de ce document ; et</w:t>
      </w:r>
    </w:p>
    <w:p w:rsidR="008213E5" w:rsidRPr="008213E5" w:rsidRDefault="008213E5" w:rsidP="008213E5">
      <w:pPr>
        <w:pStyle w:val="Heading2"/>
        <w:numPr>
          <w:ilvl w:val="1"/>
          <w:numId w:val="1"/>
        </w:numPr>
        <w:rPr>
          <w:lang w:val="fr-FR"/>
        </w:rPr>
      </w:pPr>
      <w:r w:rsidRPr="008213E5">
        <w:rPr>
          <w:lang w:val="fr-FR"/>
        </w:rPr>
        <w:t>Réallouer au budget de 2020 le montant de 15 000 $ US prévu pour l’étude théorique pour l’évaluation de l’efficacité énergétique dans le secteur de l’entretien dans le cadre du programme de travail de suivi et évaluation pour 2019.</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7"/>
        <w:gridCol w:w="1915"/>
        <w:gridCol w:w="1915"/>
        <w:gridCol w:w="1915"/>
        <w:gridCol w:w="1808"/>
      </w:tblGrid>
      <w:tr w:rsidR="008213E5" w:rsidRPr="001B7CF6" w:rsidTr="000A24DD">
        <w:tc>
          <w:tcPr>
            <w:tcW w:w="1807" w:type="dxa"/>
          </w:tcPr>
          <w:p w:rsidR="008213E5" w:rsidRPr="008213E5" w:rsidRDefault="008213E5" w:rsidP="000A24DD">
            <w:pPr>
              <w:rPr>
                <w:lang w:val="fr-FR"/>
              </w:rPr>
            </w:pPr>
          </w:p>
        </w:tc>
        <w:tc>
          <w:tcPr>
            <w:tcW w:w="1915" w:type="dxa"/>
          </w:tcPr>
          <w:p w:rsidR="008213E5" w:rsidRPr="008213E5" w:rsidRDefault="008213E5" w:rsidP="000A24DD">
            <w:pPr>
              <w:rPr>
                <w:lang w:val="fr-FR"/>
              </w:rPr>
            </w:pPr>
          </w:p>
        </w:tc>
        <w:tc>
          <w:tcPr>
            <w:tcW w:w="1915" w:type="dxa"/>
            <w:tcBorders>
              <w:bottom w:val="single" w:sz="4" w:space="0" w:color="auto"/>
            </w:tcBorders>
          </w:tcPr>
          <w:p w:rsidR="008213E5" w:rsidRPr="008213E5" w:rsidRDefault="008213E5" w:rsidP="000A24DD">
            <w:pPr>
              <w:rPr>
                <w:lang w:val="fr-FR"/>
              </w:rPr>
            </w:pPr>
          </w:p>
        </w:tc>
        <w:tc>
          <w:tcPr>
            <w:tcW w:w="1915" w:type="dxa"/>
          </w:tcPr>
          <w:p w:rsidR="008213E5" w:rsidRPr="008213E5" w:rsidRDefault="008213E5" w:rsidP="000A24DD">
            <w:pPr>
              <w:rPr>
                <w:lang w:val="fr-FR"/>
              </w:rPr>
            </w:pPr>
          </w:p>
        </w:tc>
        <w:tc>
          <w:tcPr>
            <w:tcW w:w="1808" w:type="dxa"/>
          </w:tcPr>
          <w:p w:rsidR="008213E5" w:rsidRPr="008213E5" w:rsidRDefault="008213E5" w:rsidP="000A24DD">
            <w:pPr>
              <w:rPr>
                <w:lang w:val="fr-FR"/>
              </w:rPr>
            </w:pPr>
          </w:p>
        </w:tc>
      </w:tr>
    </w:tbl>
    <w:p w:rsidR="00441083" w:rsidRDefault="00441083">
      <w:pPr>
        <w:rPr>
          <w:lang w:val="fr-FR"/>
        </w:rPr>
        <w:sectPr w:rsidR="00441083">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864" w:left="1440" w:header="720" w:footer="475" w:gutter="0"/>
          <w:cols w:space="720"/>
          <w:titlePg/>
        </w:sectPr>
      </w:pPr>
    </w:p>
    <w:p w:rsidR="00441083" w:rsidRDefault="00441083">
      <w:pPr>
        <w:rPr>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441083" w:rsidRPr="001B7CF6">
        <w:tc>
          <w:tcPr>
            <w:tcW w:w="1915" w:type="dxa"/>
          </w:tcPr>
          <w:p w:rsidR="00441083" w:rsidRPr="003F64C1" w:rsidRDefault="00441083">
            <w:pPr>
              <w:rPr>
                <w:lang w:val="fr-FR"/>
              </w:rPr>
            </w:pPr>
          </w:p>
        </w:tc>
        <w:tc>
          <w:tcPr>
            <w:tcW w:w="1915" w:type="dxa"/>
          </w:tcPr>
          <w:p w:rsidR="00441083" w:rsidRPr="003F64C1" w:rsidRDefault="00441083">
            <w:pPr>
              <w:rPr>
                <w:lang w:val="fr-FR"/>
              </w:rPr>
            </w:pPr>
          </w:p>
        </w:tc>
        <w:tc>
          <w:tcPr>
            <w:tcW w:w="1915" w:type="dxa"/>
            <w:tcBorders>
              <w:bottom w:val="single" w:sz="4" w:space="0" w:color="auto"/>
            </w:tcBorders>
          </w:tcPr>
          <w:p w:rsidR="00441083" w:rsidRPr="003F64C1" w:rsidRDefault="00441083">
            <w:pPr>
              <w:rPr>
                <w:b/>
                <w:bCs/>
                <w:lang w:val="fr-FR"/>
              </w:rPr>
            </w:pPr>
          </w:p>
        </w:tc>
        <w:tc>
          <w:tcPr>
            <w:tcW w:w="1915" w:type="dxa"/>
          </w:tcPr>
          <w:p w:rsidR="00441083" w:rsidRPr="003F64C1" w:rsidRDefault="00441083">
            <w:pPr>
              <w:rPr>
                <w:lang w:val="fr-FR"/>
              </w:rPr>
            </w:pPr>
          </w:p>
        </w:tc>
        <w:tc>
          <w:tcPr>
            <w:tcW w:w="1916" w:type="dxa"/>
          </w:tcPr>
          <w:p w:rsidR="00441083" w:rsidRPr="003F64C1" w:rsidRDefault="00441083">
            <w:pPr>
              <w:rPr>
                <w:lang w:val="fr-FR"/>
              </w:rPr>
            </w:pPr>
          </w:p>
        </w:tc>
      </w:tr>
    </w:tbl>
    <w:p w:rsidR="00441083" w:rsidRDefault="00441083">
      <w:pPr>
        <w:rPr>
          <w:lang w:val="fr-FR"/>
        </w:rPr>
      </w:pPr>
    </w:p>
    <w:sectPr w:rsidR="00441083" w:rsidSect="00310B60">
      <w:headerReference w:type="first" r:id="rId16"/>
      <w:footerReference w:type="first" r:id="rId17"/>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C98" w:rsidRDefault="00731C98">
      <w:r>
        <w:separator/>
      </w:r>
    </w:p>
  </w:endnote>
  <w:endnote w:type="continuationSeparator" w:id="0">
    <w:p w:rsidR="00731C98" w:rsidRDefault="00731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default"/>
    <w:sig w:usb0="00000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083" w:rsidRDefault="00310B60">
    <w:pPr>
      <w:jc w:val="center"/>
    </w:pPr>
    <w:r>
      <w:fldChar w:fldCharType="begin"/>
    </w:r>
    <w:r w:rsidR="00E60D9C">
      <w:instrText xml:space="preserve"> PAGE </w:instrText>
    </w:r>
    <w:r>
      <w:fldChar w:fldCharType="separate"/>
    </w:r>
    <w:r w:rsidR="003F75DA">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083" w:rsidRDefault="00310B60">
    <w:pPr>
      <w:jc w:val="center"/>
    </w:pPr>
    <w:r>
      <w:fldChar w:fldCharType="begin"/>
    </w:r>
    <w:r w:rsidR="00E60D9C">
      <w:instrText xml:space="preserve"> PAGE </w:instrText>
    </w:r>
    <w:r>
      <w:fldChar w:fldCharType="separate"/>
    </w:r>
    <w:r w:rsidR="003F75DA">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083" w:rsidRDefault="00E60D9C">
    <w:pPr>
      <w:pBdr>
        <w:top w:val="single" w:sz="4" w:space="1" w:color="auto"/>
        <w:left w:val="single" w:sz="4" w:space="4" w:color="auto"/>
        <w:bottom w:val="single" w:sz="4" w:space="1" w:color="auto"/>
        <w:right w:val="single" w:sz="4" w:space="4" w:color="auto"/>
      </w:pBdr>
      <w:jc w:val="center"/>
      <w:rPr>
        <w:rFonts w:cs="MS Serif"/>
        <w:sz w:val="20"/>
        <w:lang w:val="fr-FR"/>
      </w:rPr>
    </w:pPr>
    <w:r>
      <w:rPr>
        <w:rFonts w:cs="MS Serif"/>
        <w:sz w:val="20"/>
        <w:lang w:val="fr-FR"/>
      </w:rPr>
      <w:t xml:space="preserve">Les documents de présession du Comité exécutif du Fonds multilatéral aux fins d’application du Protocole de </w:t>
    </w:r>
  </w:p>
  <w:p w:rsidR="00441083" w:rsidRDefault="00E60D9C">
    <w:pPr>
      <w:pBdr>
        <w:top w:val="single" w:sz="4" w:space="1" w:color="auto"/>
        <w:left w:val="single" w:sz="4" w:space="4" w:color="auto"/>
        <w:bottom w:val="single" w:sz="4" w:space="1" w:color="auto"/>
        <w:right w:val="single" w:sz="4" w:space="4" w:color="auto"/>
      </w:pBdr>
      <w:jc w:val="center"/>
      <w:rPr>
        <w:rFonts w:cs="MS Serif"/>
        <w:sz w:val="20"/>
        <w:lang w:val="fr-FR"/>
      </w:rPr>
    </w:pPr>
    <w:r>
      <w:rPr>
        <w:rFonts w:cs="MS Serif"/>
        <w:sz w:val="20"/>
        <w:lang w:val="fr-FR"/>
      </w:rPr>
      <w:t xml:space="preserve">Montréal sont présentés sous réserve des décisions pouvant être prises par le Comité exécutif après </w:t>
    </w:r>
    <w:r w:rsidR="005B3CAD">
      <w:rPr>
        <w:rFonts w:cs="MS Serif"/>
        <w:sz w:val="20"/>
        <w:lang w:val="fr-FR"/>
      </w:rPr>
      <w:t>leur publication</w:t>
    </w:r>
    <w:r>
      <w:rPr>
        <w:rFonts w:cs="MS Serif"/>
        <w:sz w:val="20"/>
        <w:lang w:val="fr-FR"/>
      </w:rPr>
      <w:t>.</w:t>
    </w:r>
  </w:p>
  <w:p w:rsidR="00441083" w:rsidRDefault="00441083">
    <w:pPr>
      <w:pStyle w:val="Footer"/>
      <w:rPr>
        <w:lang w:val="fr-FR"/>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08631"/>
      <w:docPartObj>
        <w:docPartGallery w:val="Page Numbers (Bottom of Page)"/>
        <w:docPartUnique/>
      </w:docPartObj>
    </w:sdtPr>
    <w:sdtEndPr>
      <w:rPr>
        <w:noProof/>
      </w:rPr>
    </w:sdtEndPr>
    <w:sdtContent>
      <w:p w:rsidR="00441083" w:rsidRDefault="00310B60">
        <w:pPr>
          <w:pStyle w:val="Footer"/>
          <w:jc w:val="center"/>
        </w:pPr>
        <w:r>
          <w:fldChar w:fldCharType="begin"/>
        </w:r>
        <w:r w:rsidR="00E60D9C">
          <w:instrText xml:space="preserve"> PAGE   \* MERGEFORMAT </w:instrText>
        </w:r>
        <w:r>
          <w:fldChar w:fldCharType="separate"/>
        </w:r>
        <w:r w:rsidR="003F75DA">
          <w:rPr>
            <w:noProof/>
          </w:rPr>
          <w:t>1</w:t>
        </w:r>
        <w:r>
          <w:rPr>
            <w:noProof/>
          </w:rPr>
          <w:fldChar w:fldCharType="end"/>
        </w:r>
      </w:p>
    </w:sdtContent>
  </w:sdt>
  <w:p w:rsidR="00441083" w:rsidRDefault="00441083">
    <w:pP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C98" w:rsidRDefault="00731C98">
      <w:r>
        <w:separator/>
      </w:r>
    </w:p>
  </w:footnote>
  <w:footnote w:type="continuationSeparator" w:id="0">
    <w:p w:rsidR="00731C98" w:rsidRDefault="00731C98">
      <w:r>
        <w:continuationSeparator/>
      </w:r>
    </w:p>
  </w:footnote>
  <w:footnote w:id="1">
    <w:p w:rsidR="008213E5" w:rsidRPr="006260E8" w:rsidRDefault="008213E5" w:rsidP="008213E5">
      <w:pPr>
        <w:pStyle w:val="FootnoteText"/>
        <w:rPr>
          <w:lang w:val="en-US"/>
        </w:rPr>
      </w:pPr>
      <w:r>
        <w:rPr>
          <w:rStyle w:val="FootnoteReference"/>
        </w:rPr>
        <w:footnoteRef/>
      </w:r>
      <w:r w:rsidRPr="006260E8">
        <w:rPr>
          <w:lang w:val="en-US"/>
        </w:rPr>
        <w:t xml:space="preserve"> UNEP/OzL.Pro/ExCom/82/13/Rev.1</w:t>
      </w:r>
    </w:p>
  </w:footnote>
  <w:footnote w:id="2">
    <w:p w:rsidR="008213E5" w:rsidRDefault="008213E5" w:rsidP="008213E5">
      <w:pPr>
        <w:pStyle w:val="FootnoteText"/>
        <w:rPr>
          <w:lang w:val="en-US"/>
        </w:rPr>
      </w:pPr>
      <w:r>
        <w:rPr>
          <w:rStyle w:val="FootnoteReference"/>
        </w:rPr>
        <w:footnoteRef/>
      </w:r>
      <w:r w:rsidRPr="006260E8">
        <w:rPr>
          <w:lang w:val="en-US"/>
        </w:rPr>
        <w:t xml:space="preserve"> UNEP/OzL.Pro/ExCom/84/12</w:t>
      </w:r>
    </w:p>
    <w:p w:rsidR="00BE1136" w:rsidRDefault="00BE1136" w:rsidP="008213E5">
      <w:pPr>
        <w:pStyle w:val="FootnoteText"/>
        <w:rPr>
          <w:lang w:val="en-US"/>
        </w:rPr>
      </w:pPr>
    </w:p>
    <w:p w:rsidR="00BE1136" w:rsidRPr="006260E8" w:rsidRDefault="00BE1136" w:rsidP="008213E5">
      <w:pPr>
        <w:pStyle w:val="FootnoteText"/>
        <w:rPr>
          <w:lang w:val="en-US"/>
        </w:rPr>
      </w:pPr>
    </w:p>
  </w:footnote>
  <w:footnote w:id="3">
    <w:p w:rsidR="008213E5" w:rsidRPr="006260E8" w:rsidRDefault="008213E5" w:rsidP="008213E5">
      <w:pPr>
        <w:pStyle w:val="FootnoteText"/>
        <w:rPr>
          <w:lang w:val="en-US"/>
        </w:rPr>
      </w:pPr>
      <w:r>
        <w:rPr>
          <w:rStyle w:val="FootnoteReference"/>
        </w:rPr>
        <w:footnoteRef/>
      </w:r>
      <w:r w:rsidRPr="006260E8">
        <w:rPr>
          <w:lang w:val="en-US"/>
        </w:rPr>
        <w:t xml:space="preserve"> UNEP/OzL.Pro/ExCom/84/13</w:t>
      </w:r>
    </w:p>
  </w:footnote>
  <w:footnote w:id="4">
    <w:p w:rsidR="008213E5" w:rsidRPr="00774F0F" w:rsidRDefault="008213E5" w:rsidP="008213E5">
      <w:pPr>
        <w:pStyle w:val="FootnoteText"/>
      </w:pPr>
      <w:r>
        <w:rPr>
          <w:rStyle w:val="FootnoteReference"/>
        </w:rPr>
        <w:footnoteRef/>
      </w:r>
      <w:r>
        <w:t xml:space="preserve"> UNEP/OzL.Pro/ExCom/33/7 et Corr.1</w:t>
      </w:r>
    </w:p>
  </w:footnote>
  <w:footnote w:id="5">
    <w:p w:rsidR="008213E5" w:rsidRPr="0007148B" w:rsidRDefault="008213E5" w:rsidP="008213E5">
      <w:pPr>
        <w:pStyle w:val="FootnoteText"/>
      </w:pPr>
      <w:r>
        <w:rPr>
          <w:rStyle w:val="FootnoteReference"/>
        </w:rPr>
        <w:footnoteRef/>
      </w:r>
      <w:r>
        <w:t xml:space="preserve"> UNEP/OzL.Pro/ExCom/84/14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083" w:rsidRDefault="00310B60">
    <w:r>
      <w:fldChar w:fldCharType="begin"/>
    </w:r>
    <w:r w:rsidR="00FE431D">
      <w:instrText xml:space="preserve"> DOCPROPERTY "Document number"  \* MERGEFORMAT </w:instrText>
    </w:r>
    <w:r>
      <w:fldChar w:fldCharType="separate"/>
    </w:r>
    <w:r w:rsidR="008213E5">
      <w:t>UNEP/OzL.Pro/ExCom/84/15</w:t>
    </w:r>
    <w:r>
      <w:fldChar w:fldCharType="end"/>
    </w:r>
  </w:p>
  <w:p w:rsidR="00441083" w:rsidRDefault="00441083"/>
  <w:p w:rsidR="00441083" w:rsidRDefault="0044108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083" w:rsidRDefault="00310B60">
    <w:pPr>
      <w:jc w:val="right"/>
    </w:pPr>
    <w:r>
      <w:fldChar w:fldCharType="begin"/>
    </w:r>
    <w:r w:rsidR="00FE431D">
      <w:instrText xml:space="preserve"> DOCPROPERTY "Document number"  \* MERGEFORMAT </w:instrText>
    </w:r>
    <w:r>
      <w:fldChar w:fldCharType="separate"/>
    </w:r>
    <w:r w:rsidR="008213E5">
      <w:t>UNEP/OzL.Pro/ExCom/84/15</w:t>
    </w:r>
    <w:r>
      <w:fldChar w:fldCharType="end"/>
    </w:r>
  </w:p>
  <w:p w:rsidR="00441083" w:rsidRDefault="00441083"/>
  <w:p w:rsidR="00441083" w:rsidRDefault="0044108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CF6" w:rsidRDefault="001B7CF6">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083" w:rsidRDefault="00310B60">
    <w:pPr>
      <w:jc w:val="right"/>
    </w:pPr>
    <w:r>
      <w:fldChar w:fldCharType="begin"/>
    </w:r>
    <w:r w:rsidR="00FE431D">
      <w:instrText xml:space="preserve"> DOCPROPERTY "Document number"  \* MERGEFORMAT </w:instrText>
    </w:r>
    <w:r>
      <w:fldChar w:fldCharType="separate"/>
    </w:r>
    <w:r w:rsidR="008213E5">
      <w:t>UNEP/OzL.Pro/ExCom/84/15</w:t>
    </w:r>
    <w:r>
      <w:fldChar w:fldCharType="end"/>
    </w:r>
  </w:p>
  <w:p w:rsidR="00441083" w:rsidRDefault="00441083">
    <w:pPr>
      <w:jc w:val="right"/>
    </w:pPr>
  </w:p>
  <w:p w:rsidR="00441083" w:rsidRDefault="00441083">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5E00F85"/>
    <w:multiLevelType w:val="hybridMultilevel"/>
    <w:tmpl w:val="0262C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7A837CD"/>
    <w:multiLevelType w:val="hybridMultilevel"/>
    <w:tmpl w:val="EA7412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BBE6D3F"/>
    <w:multiLevelType w:val="hybridMultilevel"/>
    <w:tmpl w:val="1BECB3C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6"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16A6190"/>
    <w:multiLevelType w:val="hybridMultilevel"/>
    <w:tmpl w:val="024A4708"/>
    <w:lvl w:ilvl="0" w:tplc="10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49012E3"/>
    <w:multiLevelType w:val="hybridMultilevel"/>
    <w:tmpl w:val="A320761E"/>
    <w:lvl w:ilvl="0" w:tplc="AC1E84E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6"/>
  </w:num>
  <w:num w:numId="18">
    <w:abstractNumId w:val="17"/>
  </w:num>
  <w:num w:numId="19">
    <w:abstractNumId w:val="20"/>
  </w:num>
  <w:num w:numId="20">
    <w:abstractNumId w:val="15"/>
  </w:num>
  <w:num w:numId="21">
    <w:abstractNumId w:val="11"/>
  </w:num>
  <w:num w:numId="22">
    <w:abstractNumId w:val="12"/>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E3C98"/>
    <w:rsid w:val="000F6C8E"/>
    <w:rsid w:val="001B367C"/>
    <w:rsid w:val="001B7CF6"/>
    <w:rsid w:val="001C3D0C"/>
    <w:rsid w:val="001D4CE7"/>
    <w:rsid w:val="00265AF0"/>
    <w:rsid w:val="002F0B57"/>
    <w:rsid w:val="00310B60"/>
    <w:rsid w:val="003A0CA4"/>
    <w:rsid w:val="003F64C1"/>
    <w:rsid w:val="003F75DA"/>
    <w:rsid w:val="00441083"/>
    <w:rsid w:val="004C2C87"/>
    <w:rsid w:val="004E3A36"/>
    <w:rsid w:val="005B3CAD"/>
    <w:rsid w:val="005B5F9B"/>
    <w:rsid w:val="005C278F"/>
    <w:rsid w:val="00605093"/>
    <w:rsid w:val="007034FA"/>
    <w:rsid w:val="007037AE"/>
    <w:rsid w:val="00731C98"/>
    <w:rsid w:val="0075750B"/>
    <w:rsid w:val="008213E5"/>
    <w:rsid w:val="0091161A"/>
    <w:rsid w:val="00972E99"/>
    <w:rsid w:val="009A5180"/>
    <w:rsid w:val="00AC013C"/>
    <w:rsid w:val="00AE63D8"/>
    <w:rsid w:val="00B25597"/>
    <w:rsid w:val="00B811F2"/>
    <w:rsid w:val="00BB1554"/>
    <w:rsid w:val="00BC3C7D"/>
    <w:rsid w:val="00BE1136"/>
    <w:rsid w:val="00C6443E"/>
    <w:rsid w:val="00D40550"/>
    <w:rsid w:val="00D7654A"/>
    <w:rsid w:val="00DB4E64"/>
    <w:rsid w:val="00DD3433"/>
    <w:rsid w:val="00E15B6C"/>
    <w:rsid w:val="00E348C6"/>
    <w:rsid w:val="00E54871"/>
    <w:rsid w:val="00E60D9C"/>
    <w:rsid w:val="00EB2067"/>
    <w:rsid w:val="00EC2BDB"/>
    <w:rsid w:val="00F37A42"/>
    <w:rsid w:val="00F557F5"/>
    <w:rsid w:val="00FC0D87"/>
    <w:rsid w:val="00FC5578"/>
    <w:rsid w:val="00FD22FE"/>
    <w:rsid w:val="00FE3C98"/>
    <w:rsid w:val="00FE431D"/>
    <w:rsid w:val="00FF3CF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45EC4E-1306-4FE7-9CD3-3A3E83F1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B60"/>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10B60"/>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10B60"/>
    <w:pPr>
      <w:widowControl w:val="0"/>
      <w:numPr>
        <w:ilvl w:val="1"/>
        <w:numId w:val="2"/>
      </w:numPr>
      <w:spacing w:after="240"/>
      <w:outlineLvl w:val="1"/>
    </w:pPr>
  </w:style>
  <w:style w:type="paragraph" w:styleId="Heading3">
    <w:name w:val="heading 3"/>
    <w:aliases w:val="Char,Heading 3 Char,Char Char,Heading 3 Char1,Heading 3 Char Char,Char Char Char,Char Char1,Heading 3 Char1 Char,Heading 3 Char Char Char,Char Char Char Char,Char Char1 Char,Heading 3 Char2,Char Char2,Char Char Char1,Heading 3 Char Char1 Char"/>
    <w:basedOn w:val="Normal"/>
    <w:next w:val="Normal"/>
    <w:qFormat/>
    <w:rsid w:val="00310B60"/>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rsid w:val="00310B60"/>
    <w:pPr>
      <w:keepNext/>
      <w:numPr>
        <w:ilvl w:val="3"/>
        <w:numId w:val="4"/>
      </w:numPr>
      <w:spacing w:before="240" w:after="60"/>
      <w:outlineLvl w:val="3"/>
    </w:pPr>
  </w:style>
  <w:style w:type="paragraph" w:styleId="Heading5">
    <w:name w:val="heading 5"/>
    <w:basedOn w:val="Normal"/>
    <w:next w:val="Normal"/>
    <w:qFormat/>
    <w:rsid w:val="00310B60"/>
    <w:pPr>
      <w:keepNext/>
      <w:numPr>
        <w:numId w:val="20"/>
      </w:numPr>
      <w:spacing w:after="240"/>
      <w:ind w:left="3600" w:hanging="720"/>
      <w:outlineLvl w:val="4"/>
    </w:pPr>
  </w:style>
  <w:style w:type="paragraph" w:styleId="Heading6">
    <w:name w:val="heading 6"/>
    <w:basedOn w:val="Normal"/>
    <w:next w:val="Normal"/>
    <w:qFormat/>
    <w:rsid w:val="00310B60"/>
    <w:pPr>
      <w:numPr>
        <w:ilvl w:val="5"/>
        <w:numId w:val="1"/>
      </w:numPr>
      <w:spacing w:before="240" w:after="60"/>
      <w:outlineLvl w:val="5"/>
    </w:pPr>
    <w:rPr>
      <w:rFonts w:ascii="Arial" w:hAnsi="Arial"/>
      <w:i/>
    </w:rPr>
  </w:style>
  <w:style w:type="paragraph" w:styleId="Heading7">
    <w:name w:val="heading 7"/>
    <w:basedOn w:val="Normal"/>
    <w:next w:val="Normal"/>
    <w:qFormat/>
    <w:rsid w:val="00310B60"/>
    <w:pPr>
      <w:numPr>
        <w:ilvl w:val="6"/>
        <w:numId w:val="1"/>
      </w:numPr>
      <w:spacing w:before="240" w:after="60"/>
      <w:outlineLvl w:val="6"/>
    </w:pPr>
    <w:rPr>
      <w:rFonts w:ascii="Arial" w:hAnsi="Arial"/>
    </w:rPr>
  </w:style>
  <w:style w:type="paragraph" w:styleId="Heading8">
    <w:name w:val="heading 8"/>
    <w:basedOn w:val="Normal"/>
    <w:next w:val="Normal"/>
    <w:qFormat/>
    <w:rsid w:val="00310B60"/>
    <w:pPr>
      <w:outlineLvl w:val="7"/>
    </w:pPr>
    <w:rPr>
      <w:b/>
    </w:rPr>
  </w:style>
  <w:style w:type="paragraph" w:styleId="Heading9">
    <w:name w:val="heading 9"/>
    <w:basedOn w:val="Normal"/>
    <w:next w:val="Normal"/>
    <w:qFormat/>
    <w:rsid w:val="00310B60"/>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310B60"/>
    <w:pPr>
      <w:numPr>
        <w:numId w:val="16"/>
      </w:numPr>
    </w:pPr>
  </w:style>
  <w:style w:type="paragraph" w:styleId="Header">
    <w:name w:val="header"/>
    <w:basedOn w:val="Normal"/>
    <w:rsid w:val="00310B60"/>
    <w:pPr>
      <w:tabs>
        <w:tab w:val="center" w:pos="4320"/>
        <w:tab w:val="right" w:pos="8640"/>
      </w:tabs>
    </w:pPr>
  </w:style>
  <w:style w:type="paragraph" w:customStyle="1" w:styleId="sub-title">
    <w:name w:val="sub-title"/>
    <w:rsid w:val="00310B60"/>
    <w:pPr>
      <w:jc w:val="both"/>
      <w:outlineLvl w:val="0"/>
    </w:pPr>
    <w:rPr>
      <w:b/>
      <w:noProof/>
      <w:sz w:val="22"/>
      <w:szCs w:val="22"/>
    </w:rPr>
  </w:style>
  <w:style w:type="paragraph" w:customStyle="1" w:styleId="Title1">
    <w:name w:val="Title1"/>
    <w:rsid w:val="00310B60"/>
    <w:pPr>
      <w:jc w:val="center"/>
      <w:outlineLvl w:val="0"/>
    </w:pPr>
    <w:rPr>
      <w:b/>
      <w:caps/>
      <w:sz w:val="22"/>
      <w:szCs w:val="22"/>
      <w:lang w:val="en-GB"/>
    </w:rPr>
  </w:style>
  <w:style w:type="paragraph" w:customStyle="1" w:styleId="Decision">
    <w:name w:val="Decision"/>
    <w:basedOn w:val="Normal"/>
    <w:rsid w:val="00310B60"/>
    <w:pPr>
      <w:keepLines/>
      <w:jc w:val="right"/>
    </w:pPr>
    <w:rPr>
      <w:b/>
    </w:rPr>
  </w:style>
  <w:style w:type="paragraph" w:customStyle="1" w:styleId="0Heading0">
    <w:name w:val="0 Heading 0"/>
    <w:rsid w:val="00310B60"/>
    <w:rPr>
      <w:sz w:val="22"/>
      <w:szCs w:val="22"/>
      <w:lang w:val="en-GB"/>
    </w:rPr>
  </w:style>
  <w:style w:type="paragraph" w:styleId="Footer">
    <w:name w:val="footer"/>
    <w:basedOn w:val="Normal"/>
    <w:link w:val="FooterChar"/>
    <w:uiPriority w:val="99"/>
    <w:rsid w:val="00310B60"/>
    <w:pPr>
      <w:tabs>
        <w:tab w:val="center" w:pos="4320"/>
        <w:tab w:val="right" w:pos="8640"/>
      </w:tabs>
    </w:pPr>
  </w:style>
  <w:style w:type="numbering" w:styleId="1ai">
    <w:name w:val="Outline List 1"/>
    <w:basedOn w:val="NoList"/>
    <w:semiHidden/>
    <w:rsid w:val="00310B60"/>
    <w:pPr>
      <w:numPr>
        <w:numId w:val="17"/>
      </w:numPr>
    </w:pPr>
  </w:style>
  <w:style w:type="numbering" w:styleId="ArticleSection">
    <w:name w:val="Outline List 3"/>
    <w:basedOn w:val="NoList"/>
    <w:semiHidden/>
    <w:rsid w:val="00310B60"/>
    <w:pPr>
      <w:numPr>
        <w:numId w:val="18"/>
      </w:numPr>
    </w:pPr>
  </w:style>
  <w:style w:type="paragraph" w:styleId="BlockText">
    <w:name w:val="Block Text"/>
    <w:basedOn w:val="Normal"/>
    <w:semiHidden/>
    <w:rsid w:val="00310B60"/>
    <w:pPr>
      <w:spacing w:after="120"/>
      <w:ind w:left="1440" w:right="1440"/>
    </w:pPr>
  </w:style>
  <w:style w:type="paragraph" w:styleId="BodyText3">
    <w:name w:val="Body Text 3"/>
    <w:basedOn w:val="Normal"/>
    <w:semiHidden/>
    <w:rsid w:val="00310B60"/>
    <w:pPr>
      <w:spacing w:after="120"/>
    </w:pPr>
    <w:rPr>
      <w:sz w:val="16"/>
      <w:szCs w:val="16"/>
    </w:rPr>
  </w:style>
  <w:style w:type="paragraph" w:styleId="BodyTextIndent3">
    <w:name w:val="Body Text Indent 3"/>
    <w:basedOn w:val="Normal"/>
    <w:semiHidden/>
    <w:rsid w:val="00310B60"/>
    <w:pPr>
      <w:spacing w:after="120"/>
      <w:ind w:left="360"/>
    </w:pPr>
    <w:rPr>
      <w:sz w:val="16"/>
      <w:szCs w:val="16"/>
    </w:rPr>
  </w:style>
  <w:style w:type="paragraph" w:styleId="PlainText">
    <w:name w:val="Plain Text"/>
    <w:basedOn w:val="Normal"/>
    <w:semiHidden/>
    <w:rsid w:val="00310B60"/>
    <w:rPr>
      <w:rFonts w:ascii="Courier New" w:hAnsi="Courier New" w:cs="Courier New"/>
      <w:sz w:val="20"/>
    </w:rPr>
  </w:style>
  <w:style w:type="table" w:styleId="Table3Deffects1">
    <w:name w:val="Table 3D effects 1"/>
    <w:basedOn w:val="TableNormal"/>
    <w:semiHidden/>
    <w:rsid w:val="00310B6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0B6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0B6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10B6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0B6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0B6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0B6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10B6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0B6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0B6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10B6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0B6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0B6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0B6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0B6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10B6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10B6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10B6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10B6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0B6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0B6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0B6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0B6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0B6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0B6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0B6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10B6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0B6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0B6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0B6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0B6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0B6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0B6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0B6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10B6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10B6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0B6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0B6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0B6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0B6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10B6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10B6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0B6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0B6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10B60"/>
    <w:rPr>
      <w:sz w:val="22"/>
      <w:szCs w:val="22"/>
      <w:lang w:val="en-GB"/>
    </w:rPr>
  </w:style>
  <w:style w:type="paragraph" w:customStyle="1" w:styleId="Header4">
    <w:name w:val="Header4"/>
    <w:aliases w:val="Para 4"/>
    <w:basedOn w:val="Normal"/>
    <w:next w:val="Normal"/>
    <w:rsid w:val="00310B6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310B60"/>
    <w:rPr>
      <w:sz w:val="16"/>
      <w:szCs w:val="16"/>
    </w:rPr>
  </w:style>
  <w:style w:type="paragraph" w:styleId="Subtitle">
    <w:name w:val="Subtitle"/>
    <w:basedOn w:val="Normal"/>
    <w:qFormat/>
    <w:rsid w:val="00310B60"/>
    <w:pPr>
      <w:spacing w:after="60"/>
      <w:jc w:val="center"/>
      <w:outlineLvl w:val="1"/>
    </w:pPr>
    <w:rPr>
      <w:rFonts w:ascii="Arial" w:hAnsi="Arial" w:cs="Arial"/>
    </w:rPr>
  </w:style>
  <w:style w:type="paragraph" w:styleId="Title">
    <w:name w:val="Title"/>
    <w:basedOn w:val="Normal"/>
    <w:qFormat/>
    <w:rsid w:val="00310B60"/>
    <w:pPr>
      <w:spacing w:before="240" w:after="60"/>
      <w:jc w:val="center"/>
      <w:outlineLvl w:val="0"/>
    </w:pPr>
    <w:rPr>
      <w:rFonts w:ascii="Arial" w:hAnsi="Arial" w:cs="Arial"/>
      <w:b/>
      <w:bCs/>
      <w:kern w:val="28"/>
    </w:rPr>
  </w:style>
  <w:style w:type="paragraph" w:styleId="Date">
    <w:name w:val="Date"/>
    <w:basedOn w:val="Normal"/>
    <w:next w:val="Normal"/>
    <w:rsid w:val="00310B60"/>
  </w:style>
  <w:style w:type="character" w:styleId="PlaceholderText">
    <w:name w:val="Placeholder Text"/>
    <w:basedOn w:val="DefaultParagraphFont"/>
    <w:uiPriority w:val="99"/>
    <w:semiHidden/>
    <w:rsid w:val="00310B60"/>
    <w:rPr>
      <w:color w:val="808080"/>
    </w:rPr>
  </w:style>
  <w:style w:type="paragraph" w:styleId="BalloonText">
    <w:name w:val="Balloon Text"/>
    <w:basedOn w:val="Normal"/>
    <w:link w:val="BalloonTextChar"/>
    <w:uiPriority w:val="99"/>
    <w:semiHidden/>
    <w:unhideWhenUsed/>
    <w:rsid w:val="00310B60"/>
    <w:rPr>
      <w:rFonts w:ascii="Tahoma" w:hAnsi="Tahoma" w:cs="Tahoma"/>
      <w:sz w:val="16"/>
      <w:szCs w:val="16"/>
    </w:rPr>
  </w:style>
  <w:style w:type="character" w:customStyle="1" w:styleId="BalloonTextChar">
    <w:name w:val="Balloon Text Char"/>
    <w:basedOn w:val="DefaultParagraphFont"/>
    <w:link w:val="BalloonText"/>
    <w:uiPriority w:val="99"/>
    <w:semiHidden/>
    <w:rsid w:val="00310B60"/>
    <w:rPr>
      <w:rFonts w:ascii="Tahoma" w:hAnsi="Tahoma" w:cs="Tahoma"/>
      <w:sz w:val="16"/>
      <w:szCs w:val="16"/>
      <w:lang w:val="en-GB"/>
    </w:rPr>
  </w:style>
  <w:style w:type="paragraph" w:styleId="CommentText">
    <w:name w:val="annotation text"/>
    <w:basedOn w:val="Normal"/>
    <w:link w:val="CommentTextChar"/>
    <w:uiPriority w:val="99"/>
    <w:semiHidden/>
    <w:unhideWhenUsed/>
    <w:rsid w:val="00310B60"/>
    <w:rPr>
      <w:sz w:val="20"/>
      <w:szCs w:val="20"/>
    </w:rPr>
  </w:style>
  <w:style w:type="character" w:customStyle="1" w:styleId="CommentTextChar">
    <w:name w:val="Comment Text Char"/>
    <w:basedOn w:val="DefaultParagraphFont"/>
    <w:link w:val="CommentText"/>
    <w:uiPriority w:val="99"/>
    <w:semiHidden/>
    <w:rsid w:val="00310B60"/>
    <w:rPr>
      <w:lang w:val="en-GB"/>
    </w:rPr>
  </w:style>
  <w:style w:type="paragraph" w:styleId="CommentSubject">
    <w:name w:val="annotation subject"/>
    <w:basedOn w:val="CommentText"/>
    <w:next w:val="CommentText"/>
    <w:link w:val="CommentSubjectChar"/>
    <w:uiPriority w:val="99"/>
    <w:semiHidden/>
    <w:unhideWhenUsed/>
    <w:rsid w:val="00310B60"/>
    <w:rPr>
      <w:b/>
      <w:bCs/>
    </w:rPr>
  </w:style>
  <w:style w:type="character" w:customStyle="1" w:styleId="CommentSubjectChar">
    <w:name w:val="Comment Subject Char"/>
    <w:basedOn w:val="CommentTextChar"/>
    <w:link w:val="CommentSubject"/>
    <w:uiPriority w:val="99"/>
    <w:semiHidden/>
    <w:rsid w:val="00310B60"/>
    <w:rPr>
      <w:b/>
      <w:bCs/>
      <w:lang w:val="en-GB"/>
    </w:rPr>
  </w:style>
  <w:style w:type="paragraph" w:customStyle="1" w:styleId="StyleHeader4Para4Left0Firstline0">
    <w:name w:val="Style Header4Para 4 + Left:  0&quot; First line:  0&quot;"/>
    <w:basedOn w:val="Header4"/>
    <w:rsid w:val="00310B60"/>
    <w:pPr>
      <w:ind w:left="0" w:firstLine="0"/>
    </w:pPr>
    <w:rPr>
      <w:sz w:val="20"/>
    </w:rPr>
  </w:style>
  <w:style w:type="paragraph" w:customStyle="1" w:styleId="StyleHeading1Para1Heading1CharHeading1Char3CharHeadin">
    <w:name w:val="Style Heading 1Para (1)Heading 1 CharHeading 1 Char3 CharHeadin..."/>
    <w:basedOn w:val="Heading1"/>
    <w:rsid w:val="00310B60"/>
    <w:pPr>
      <w:numPr>
        <w:numId w:val="0"/>
      </w:numPr>
      <w:tabs>
        <w:tab w:val="left" w:pos="720"/>
      </w:tabs>
    </w:pPr>
    <w:rPr>
      <w:szCs w:val="20"/>
    </w:rPr>
  </w:style>
  <w:style w:type="character" w:customStyle="1" w:styleId="FooterChar">
    <w:name w:val="Footer Char"/>
    <w:basedOn w:val="DefaultParagraphFont"/>
    <w:link w:val="Footer"/>
    <w:uiPriority w:val="99"/>
    <w:rsid w:val="00310B60"/>
    <w:rPr>
      <w:sz w:val="22"/>
      <w:szCs w:val="22"/>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8213E5"/>
    <w:rPr>
      <w:sz w:val="22"/>
      <w:szCs w:val="22"/>
      <w:lang w:val="en-GB"/>
    </w:rPr>
  </w:style>
  <w:style w:type="paragraph" w:styleId="FootnoteText">
    <w:name w:val="footnote text"/>
    <w:basedOn w:val="Normal"/>
    <w:link w:val="FootnoteTextChar"/>
    <w:uiPriority w:val="99"/>
    <w:semiHidden/>
    <w:unhideWhenUsed/>
    <w:rsid w:val="008213E5"/>
    <w:rPr>
      <w:sz w:val="20"/>
      <w:szCs w:val="20"/>
      <w:lang w:val="fr-FR"/>
    </w:rPr>
  </w:style>
  <w:style w:type="character" w:customStyle="1" w:styleId="FootnoteTextChar">
    <w:name w:val="Footnote Text Char"/>
    <w:basedOn w:val="DefaultParagraphFont"/>
    <w:link w:val="FootnoteText"/>
    <w:uiPriority w:val="99"/>
    <w:semiHidden/>
    <w:rsid w:val="008213E5"/>
    <w:rPr>
      <w:lang w:val="fr-FR"/>
    </w:rPr>
  </w:style>
  <w:style w:type="character" w:styleId="FootnoteReference">
    <w:name w:val="footnote reference"/>
    <w:basedOn w:val="DefaultParagraphFont"/>
    <w:uiPriority w:val="99"/>
    <w:semiHidden/>
    <w:unhideWhenUsed/>
    <w:rsid w:val="008213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D:\Mon%20travail\traducteur\travaux\ONU\2019-11-12\F84-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09683CADC4F284EA5F0B82357B5BF3A" ma:contentTypeVersion="2" ma:contentTypeDescription="Create a new document." ma:contentTypeScope="" ma:versionID="068ecf6b82cce04dbb15b641d5edd95a">
  <xsd:schema xmlns:xsd="http://www.w3.org/2001/XMLSchema" xmlns:p="http://schemas.microsoft.com/office/2006/metadata/properties" xmlns:ns2="8662b4aa-cf42-4f00-a3f0-9d3b4acad230" xmlns:ns3="310e179b-1379-4e79-9b74-d5a32b1812d3" targetNamespace="http://schemas.microsoft.com/office/2006/metadata/properties" ma:root="true" ma:fieldsID="ec3297cc96d292a79aedb3c4ee5cf4fc" ns2:_="" ns3:_="">
    <xsd:import namespace="8662b4aa-cf42-4f00-a3f0-9d3b4acad230"/>
    <xsd:import namespace="310e179b-1379-4e79-9b74-d5a32b1812d3"/>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Type xmlns="310e179b-1379-4e79-9b74-d5a32b1812d3">Pre-session</DocumentType>
    <Document_x0020_Number xmlns="8662b4aa-cf42-4f00-a3f0-9d3b4acad230">UNEP/OzL.Pro/ExCom/84/15</Document_x0020_Number>
  </documentManagement>
</p:properties>
</file>

<file path=customXml/itemProps1.xml><?xml version="1.0" encoding="utf-8"?>
<ds:datastoreItem xmlns:ds="http://schemas.openxmlformats.org/officeDocument/2006/customXml" ds:itemID="{49BCD16D-0FFD-4CD2-86CE-576F8FFF93EB}"/>
</file>

<file path=customXml/itemProps2.xml><?xml version="1.0" encoding="utf-8"?>
<ds:datastoreItem xmlns:ds="http://schemas.openxmlformats.org/officeDocument/2006/customXml" ds:itemID="{A140B01B-2B27-4FB8-803F-8E934FEB899B}"/>
</file>

<file path=customXml/itemProps3.xml><?xml version="1.0" encoding="utf-8"?>
<ds:datastoreItem xmlns:ds="http://schemas.openxmlformats.org/officeDocument/2006/customXml" ds:itemID="{02B71657-0989-4BC0-B344-E8CF1E730552}"/>
</file>

<file path=customXml/itemProps4.xml><?xml version="1.0" encoding="utf-8"?>
<ds:datastoreItem xmlns:ds="http://schemas.openxmlformats.org/officeDocument/2006/customXml" ds:itemID="{AD20F908-A038-4B56-A0A2-B38858D84732}"/>
</file>

<file path=docProps/app.xml><?xml version="1.0" encoding="utf-8"?>
<Properties xmlns="http://schemas.openxmlformats.org/officeDocument/2006/extended-properties" xmlns:vt="http://schemas.openxmlformats.org/officeDocument/2006/docPropsVTypes">
  <Template>F84-Template</Template>
  <TotalTime>24</TotalTime>
  <Pages>5</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Projet de programme de travail de suivi et évaluation pour l'année 2020</vt:lpstr>
    </vt:vector>
  </TitlesOfParts>
  <Company>UNMFS</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programme de travail de suivi et évaluation pour l'année 2020</dc:title>
  <dc:creator>Magali Mourdon-Bertrand</dc:creator>
  <cp:lastModifiedBy>HBE</cp:lastModifiedBy>
  <cp:revision>13</cp:revision>
  <cp:lastPrinted>2001-05-26T16:40:00Z</cp:lastPrinted>
  <dcterms:created xsi:type="dcterms:W3CDTF">2019-11-27T14:46:00Z</dcterms:created>
  <dcterms:modified xsi:type="dcterms:W3CDTF">2019-11-27T16:52:00Z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UNEP/OzL.Pro/ExCom/84/15</vt:lpwstr>
  </property>
  <property fmtid="{D5CDD505-2E9C-101B-9397-08002B2CF9AE}" pid="3" name="Revision date">
    <vt:lpwstr>11/25/2019</vt:lpwstr>
  </property>
  <property fmtid="{D5CDD505-2E9C-101B-9397-08002B2CF9AE}" pid="4" name="ContentTypeId">
    <vt:lpwstr>0x010100109683CADC4F284EA5F0B82357B5BF3A</vt:lpwstr>
  </property>
</Properties>
</file>