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5" w:type="dxa"/>
        <w:tblInd w:w="-432" w:type="dxa"/>
        <w:tblLayout w:type="fixed"/>
        <w:tblLook w:val="0000" w:firstRow="0" w:lastRow="0" w:firstColumn="0" w:lastColumn="0" w:noHBand="0" w:noVBand="0"/>
      </w:tblPr>
      <w:tblGrid>
        <w:gridCol w:w="2070"/>
        <w:gridCol w:w="4991"/>
        <w:gridCol w:w="3544"/>
      </w:tblGrid>
      <w:tr w:rsidR="00441083">
        <w:trPr>
          <w:trHeight w:val="720"/>
        </w:trPr>
        <w:tc>
          <w:tcPr>
            <w:tcW w:w="7061" w:type="dxa"/>
            <w:gridSpan w:val="2"/>
            <w:tcBorders>
              <w:bottom w:val="single" w:sz="18" w:space="0" w:color="auto"/>
            </w:tcBorders>
          </w:tcPr>
          <w:p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rPr>
            </w:pPr>
            <w:r>
              <w:rPr>
                <w:rFonts w:ascii="Univers" w:hAnsi="Univers"/>
                <w:b/>
                <w:sz w:val="28"/>
                <w:szCs w:val="28"/>
              </w:rPr>
              <w:t>NATIONS</w:t>
            </w:r>
          </w:p>
          <w:p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Univers" w:hAnsi="Univers"/>
                <w:b/>
                <w:sz w:val="28"/>
                <w:szCs w:val="28"/>
              </w:rPr>
              <w:t xml:space="preserve">UNIES </w:t>
            </w:r>
          </w:p>
        </w:tc>
        <w:tc>
          <w:tcPr>
            <w:tcW w:w="3544" w:type="dxa"/>
            <w:tcBorders>
              <w:bottom w:val="single" w:sz="18" w:space="0" w:color="auto"/>
            </w:tcBorders>
          </w:tcPr>
          <w:p w:rsidR="00441083" w:rsidRDefault="00E60D9C">
            <w:pPr>
              <w:tabs>
                <w:tab w:val="left" w:pos="3010"/>
              </w:tabs>
              <w:jc w:val="center"/>
              <w:rPr>
                <w:sz w:val="52"/>
                <w:szCs w:val="52"/>
              </w:rPr>
            </w:pPr>
            <w:r>
              <w:rPr>
                <w:rFonts w:ascii="Univers Bold" w:hAnsi="Univers Bold"/>
                <w:b/>
                <w:sz w:val="72"/>
                <w:lang w:val="fr-CA"/>
              </w:rPr>
              <w:t xml:space="preserve">          EP</w:t>
            </w:r>
          </w:p>
        </w:tc>
      </w:tr>
      <w:tr w:rsidR="00441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441083" w:rsidRDefault="00C6443E">
            <w:pPr>
              <w:spacing w:before="120"/>
            </w:pPr>
            <w:r>
              <w:rPr>
                <w:noProof/>
                <w:lang w:val="en-CA" w:eastAsia="en-CA"/>
              </w:rPr>
              <w:drawing>
                <wp:anchor distT="0" distB="0" distL="114300" distR="114300" simplePos="0" relativeHeight="251660288" behindDoc="0" locked="0" layoutInCell="1" allowOverlap="1" wp14:anchorId="75D1E401" wp14:editId="1024F88C">
                  <wp:simplePos x="0" y="0"/>
                  <wp:positionH relativeFrom="column">
                    <wp:posOffset>57785</wp:posOffset>
                  </wp:positionH>
                  <wp:positionV relativeFrom="paragraph">
                    <wp:posOffset>920115</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001C3D0C">
              <w:rPr>
                <w:noProof/>
                <w:lang w:val="en-CA" w:eastAsia="en-CA"/>
              </w:rPr>
              <w:drawing>
                <wp:anchor distT="0" distB="0" distL="114300" distR="114300" simplePos="0" relativeHeight="251661312" behindDoc="1" locked="0" layoutInCell="0" allowOverlap="1" wp14:anchorId="244C4231" wp14:editId="1C9406B4">
                  <wp:simplePos x="0" y="0"/>
                  <wp:positionH relativeFrom="column">
                    <wp:posOffset>72390</wp:posOffset>
                  </wp:positionH>
                  <wp:positionV relativeFrom="paragraph">
                    <wp:posOffset>112395</wp:posOffset>
                  </wp:positionV>
                  <wp:extent cx="760809" cy="6762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60809" cy="676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991" w:type="dxa"/>
            <w:tcBorders>
              <w:top w:val="nil"/>
              <w:left w:val="nil"/>
              <w:bottom w:val="single" w:sz="36" w:space="0" w:color="auto"/>
              <w:right w:val="nil"/>
            </w:tcBorders>
          </w:tcPr>
          <w:p w:rsidR="00441083" w:rsidRDefault="0044108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p>
          <w:p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r>
              <w:rPr>
                <w:rFonts w:ascii="Univers" w:hAnsi="Univers"/>
                <w:b/>
                <w:sz w:val="32"/>
                <w:lang w:val="fr-CA"/>
              </w:rPr>
              <w:t>Programme des</w:t>
            </w:r>
          </w:p>
          <w:p w:rsidR="00441083" w:rsidRDefault="00E60D9C">
            <w:pPr>
              <w:rPr>
                <w:rFonts w:ascii="Univers" w:hAnsi="Univers"/>
                <w:b/>
                <w:sz w:val="32"/>
                <w:lang w:val="fr-CA"/>
              </w:rPr>
            </w:pPr>
            <w:r>
              <w:rPr>
                <w:rFonts w:ascii="Univers" w:hAnsi="Univers"/>
                <w:b/>
                <w:sz w:val="32"/>
                <w:lang w:val="fr-CA"/>
              </w:rPr>
              <w:t>Nations Unies pour</w:t>
            </w:r>
          </w:p>
          <w:p w:rsidR="00441083" w:rsidRDefault="00E60D9C">
            <w:pPr>
              <w:rPr>
                <w:rFonts w:ascii="Univers" w:hAnsi="Univers"/>
                <w:b/>
                <w:sz w:val="32"/>
                <w:lang w:val="fr-CA"/>
              </w:rPr>
            </w:pPr>
            <w:proofErr w:type="gramStart"/>
            <w:r>
              <w:rPr>
                <w:rFonts w:ascii="Univers" w:hAnsi="Univers"/>
                <w:b/>
                <w:sz w:val="32"/>
                <w:lang w:val="fr-CA"/>
              </w:rPr>
              <w:t>l’environnement</w:t>
            </w:r>
            <w:proofErr w:type="gramEnd"/>
          </w:p>
          <w:p w:rsidR="00441083" w:rsidRDefault="00E60D9C">
            <w:pPr>
              <w:spacing w:before="720"/>
              <w:ind w:left="158"/>
              <w:rPr>
                <w:lang w:val="fr-FR"/>
              </w:rPr>
            </w:pPr>
            <w:r>
              <w:rPr>
                <w:lang w:val="fr-FR"/>
              </w:rPr>
              <w:t xml:space="preserve"> </w:t>
            </w:r>
          </w:p>
        </w:tc>
        <w:tc>
          <w:tcPr>
            <w:tcW w:w="3544" w:type="dxa"/>
            <w:tcBorders>
              <w:top w:val="nil"/>
              <w:left w:val="nil"/>
              <w:bottom w:val="single" w:sz="36" w:space="0" w:color="auto"/>
              <w:right w:val="nil"/>
            </w:tcBorders>
          </w:tcPr>
          <w:p w:rsidR="00441083" w:rsidRDefault="00441083">
            <w:pPr>
              <w:rPr>
                <w:lang w:val="fr-FR"/>
              </w:rPr>
            </w:pPr>
          </w:p>
          <w:p w:rsidR="00441083" w:rsidRPr="00DD3433" w:rsidRDefault="00E60D9C">
            <w:pPr>
              <w:rPr>
                <w:lang w:val="fr-FR"/>
              </w:rPr>
            </w:pPr>
            <w:proofErr w:type="spellStart"/>
            <w:r w:rsidRPr="00DD3433">
              <w:rPr>
                <w:lang w:val="fr-FR"/>
              </w:rPr>
              <w:t>Distr</w:t>
            </w:r>
            <w:proofErr w:type="spellEnd"/>
            <w:r w:rsidRPr="00DD3433">
              <w:rPr>
                <w:lang w:val="fr-FR"/>
              </w:rPr>
              <w:t>.</w:t>
            </w:r>
          </w:p>
          <w:p w:rsidR="00441083" w:rsidRPr="00DD3433" w:rsidRDefault="00E60D9C" w:rsidP="00DD3433">
            <w:pPr>
              <w:rPr>
                <w:lang w:val="fr-FR"/>
              </w:rPr>
            </w:pPr>
            <w:r w:rsidRPr="00DD3433">
              <w:rPr>
                <w:lang w:val="fr-FR"/>
              </w:rPr>
              <w:t>G</w:t>
            </w:r>
            <w:r w:rsidR="00DD3433" w:rsidRPr="00DD3433">
              <w:rPr>
                <w:lang w:val="fr-FR"/>
              </w:rPr>
              <w:t>É</w:t>
            </w:r>
            <w:r w:rsidRPr="00DD3433">
              <w:rPr>
                <w:lang w:val="fr-FR"/>
              </w:rPr>
              <w:t>N</w:t>
            </w:r>
            <w:r w:rsidR="00DD3433" w:rsidRPr="00DD3433">
              <w:rPr>
                <w:lang w:val="fr-FR"/>
              </w:rPr>
              <w:t>É</w:t>
            </w:r>
            <w:r w:rsidRPr="00DD3433">
              <w:rPr>
                <w:lang w:val="fr-FR"/>
              </w:rPr>
              <w:t>RAL</w:t>
            </w:r>
            <w:r w:rsidR="00FF3CF1" w:rsidRPr="00DD3433">
              <w:rPr>
                <w:lang w:val="fr-FR"/>
              </w:rPr>
              <w:t>E</w:t>
            </w:r>
          </w:p>
          <w:p w:rsidR="00441083" w:rsidRPr="00DD3433" w:rsidRDefault="00441083">
            <w:pPr>
              <w:rPr>
                <w:lang w:val="fr-FR"/>
              </w:rPr>
            </w:pPr>
          </w:p>
          <w:p w:rsidR="00441083" w:rsidRPr="00FF3CF1" w:rsidRDefault="00E60D9C">
            <w:pPr>
              <w:rPr>
                <w:lang w:val="fr-FR"/>
              </w:rPr>
            </w:pPr>
            <w:r>
              <w:fldChar w:fldCharType="begin"/>
            </w:r>
            <w:r w:rsidRPr="00DD3433">
              <w:rPr>
                <w:lang w:val="fr-FR"/>
              </w:rPr>
              <w:instrText xml:space="preserve"> DOCPROPERTY "Document number"  \* MERGEFORMAT </w:instrText>
            </w:r>
            <w:r>
              <w:fldChar w:fldCharType="separate"/>
            </w:r>
            <w:r w:rsidR="0061637B">
              <w:rPr>
                <w:lang w:val="fr-FR"/>
              </w:rPr>
              <w:t>UNEP/</w:t>
            </w:r>
            <w:proofErr w:type="spellStart"/>
            <w:r w:rsidR="0061637B">
              <w:rPr>
                <w:lang w:val="fr-FR"/>
              </w:rPr>
              <w:t>OzL.Pro</w:t>
            </w:r>
            <w:proofErr w:type="spellEnd"/>
            <w:r w:rsidR="0061637B">
              <w:rPr>
                <w:lang w:val="fr-FR"/>
              </w:rPr>
              <w:t>/</w:t>
            </w:r>
            <w:proofErr w:type="spellStart"/>
            <w:r w:rsidR="0061637B">
              <w:rPr>
                <w:lang w:val="fr-FR"/>
              </w:rPr>
              <w:t>ExCom</w:t>
            </w:r>
            <w:proofErr w:type="spellEnd"/>
            <w:r w:rsidR="0061637B">
              <w:rPr>
                <w:lang w:val="fr-FR"/>
              </w:rPr>
              <w:t>/84/21</w:t>
            </w:r>
            <w:r>
              <w:fldChar w:fldCharType="end"/>
            </w:r>
          </w:p>
          <w:p w:rsidR="002F0B57" w:rsidRPr="00FF3CF1" w:rsidRDefault="002F0B57" w:rsidP="000F6C8E">
            <w:pPr>
              <w:rPr>
                <w:lang w:val="fr-FR"/>
              </w:rPr>
            </w:pPr>
            <w:r>
              <w:fldChar w:fldCharType="begin"/>
            </w:r>
            <w:r w:rsidRPr="00FF3CF1">
              <w:rPr>
                <w:lang w:val="fr-FR"/>
              </w:rPr>
              <w:instrText xml:space="preserve"> DOCPROPERTY "Revision date" \@ "d MMMM YYYY"  \* MERGEFORMAT </w:instrText>
            </w:r>
            <w:r>
              <w:fldChar w:fldCharType="separate"/>
            </w:r>
            <w:r w:rsidR="00D6551C">
              <w:rPr>
                <w:lang w:val="fr-FR"/>
              </w:rPr>
              <w:t>19 novembre 2019</w:t>
            </w:r>
            <w:r>
              <w:fldChar w:fldCharType="end"/>
            </w:r>
          </w:p>
          <w:p w:rsidR="00441083" w:rsidRDefault="00FC5578">
            <w:pPr>
              <w:rPr>
                <w:caps/>
                <w:lang w:val="fr-FR"/>
              </w:rPr>
            </w:pPr>
            <w:r w:rsidRPr="00FF3CF1">
              <w:rPr>
                <w:caps/>
                <w:lang w:val="fr-FR"/>
              </w:rPr>
              <w:br/>
            </w:r>
            <w:r w:rsidR="00E60D9C">
              <w:rPr>
                <w:caps/>
                <w:lang w:val="fr-FR"/>
              </w:rPr>
              <w:t>FRANÇAIS</w:t>
            </w:r>
          </w:p>
          <w:p w:rsidR="00441083" w:rsidRDefault="00E60D9C">
            <w:r>
              <w:t>ORIGINAL</w:t>
            </w:r>
            <w:r w:rsidR="00E41F0B">
              <w:t xml:space="preserve"> </w:t>
            </w:r>
            <w:r>
              <w:t xml:space="preserve">: </w:t>
            </w:r>
            <w:r w:rsidR="0091161A">
              <w:t>ANGLAIS</w:t>
            </w:r>
          </w:p>
        </w:tc>
      </w:tr>
    </w:tbl>
    <w:p w:rsidR="00441083" w:rsidRDefault="00441083">
      <w:pPr>
        <w:jc w:val="left"/>
        <w:rPr>
          <w:lang w:val="fr-CA"/>
        </w:rPr>
      </w:pPr>
    </w:p>
    <w:p w:rsidR="00441083" w:rsidRPr="003079FB" w:rsidRDefault="00E60D9C" w:rsidP="00DD3433">
      <w:pPr>
        <w:jc w:val="left"/>
        <w:rPr>
          <w:lang w:val="fr-CA"/>
        </w:rPr>
      </w:pPr>
      <w:r w:rsidRPr="003079FB">
        <w:rPr>
          <w:lang w:val="fr-CA"/>
        </w:rPr>
        <w:t>COMIT</w:t>
      </w:r>
      <w:r w:rsidR="00DD3433" w:rsidRPr="003079FB">
        <w:rPr>
          <w:lang w:val="fr-CA"/>
        </w:rPr>
        <w:t>É</w:t>
      </w:r>
      <w:r w:rsidRPr="003079FB">
        <w:rPr>
          <w:lang w:val="fr-CA"/>
        </w:rPr>
        <w:t xml:space="preserve"> EX</w:t>
      </w:r>
      <w:r w:rsidR="00DD3433" w:rsidRPr="003079FB">
        <w:rPr>
          <w:lang w:val="fr-CA"/>
        </w:rPr>
        <w:t xml:space="preserve">ÉCUTIF </w:t>
      </w:r>
      <w:r w:rsidR="00DD3433" w:rsidRPr="003079FB">
        <w:rPr>
          <w:lang w:val="fr-CA"/>
        </w:rPr>
        <w:br/>
        <w:t xml:space="preserve">  DU FONDS MULTILATÉ</w:t>
      </w:r>
      <w:r w:rsidRPr="003079FB">
        <w:rPr>
          <w:lang w:val="fr-CA"/>
        </w:rPr>
        <w:t xml:space="preserve">RAL AUX FINS </w:t>
      </w:r>
      <w:r w:rsidRPr="003079FB">
        <w:rPr>
          <w:lang w:val="fr-CA"/>
        </w:rPr>
        <w:br/>
        <w:t xml:space="preserve">  D’APPLICATION DU PROTOCOLE DE MONTR</w:t>
      </w:r>
      <w:r w:rsidR="00DD3433" w:rsidRPr="003079FB">
        <w:rPr>
          <w:lang w:val="fr-CA"/>
        </w:rPr>
        <w:t>É</w:t>
      </w:r>
      <w:r w:rsidRPr="003079FB">
        <w:rPr>
          <w:lang w:val="fr-CA"/>
        </w:rPr>
        <w:t>AL</w:t>
      </w:r>
      <w:r w:rsidRPr="003079FB">
        <w:rPr>
          <w:lang w:val="fr-CA"/>
        </w:rPr>
        <w:br/>
      </w:r>
      <w:r w:rsidR="00E54871" w:rsidRPr="003079FB">
        <w:rPr>
          <w:lang w:val="fr-CA"/>
        </w:rPr>
        <w:t>Quatre</w:t>
      </w:r>
      <w:r w:rsidRPr="003079FB">
        <w:rPr>
          <w:lang w:val="fr-CA"/>
        </w:rPr>
        <w:t>-</w:t>
      </w:r>
      <w:r w:rsidR="00E54871" w:rsidRPr="003079FB">
        <w:rPr>
          <w:lang w:val="fr-CA"/>
        </w:rPr>
        <w:t>vingt</w:t>
      </w:r>
      <w:r w:rsidR="00AE63D8" w:rsidRPr="003079FB">
        <w:rPr>
          <w:lang w:val="fr-CA"/>
        </w:rPr>
        <w:t>-</w:t>
      </w:r>
      <w:r w:rsidR="00AC013C" w:rsidRPr="003079FB">
        <w:rPr>
          <w:lang w:val="fr-CA"/>
        </w:rPr>
        <w:t>quat</w:t>
      </w:r>
      <w:r w:rsidR="004C2C87" w:rsidRPr="003079FB">
        <w:rPr>
          <w:lang w:val="fr-CA"/>
        </w:rPr>
        <w:t>ri</w:t>
      </w:r>
      <w:r w:rsidR="00E54871" w:rsidRPr="003079FB">
        <w:rPr>
          <w:lang w:val="fr-CA"/>
        </w:rPr>
        <w:t>ème</w:t>
      </w:r>
      <w:r w:rsidR="00FC5578" w:rsidRPr="003079FB">
        <w:rPr>
          <w:lang w:val="fr-CA"/>
        </w:rPr>
        <w:t xml:space="preserve"> </w:t>
      </w:r>
      <w:r w:rsidRPr="003079FB">
        <w:rPr>
          <w:lang w:val="fr-CA"/>
        </w:rPr>
        <w:t>réunion</w:t>
      </w:r>
    </w:p>
    <w:p w:rsidR="00441083" w:rsidRPr="003079FB" w:rsidRDefault="00E54871" w:rsidP="00AC013C">
      <w:pPr>
        <w:jc w:val="left"/>
        <w:rPr>
          <w:lang w:val="fr-CA"/>
        </w:rPr>
      </w:pPr>
      <w:r w:rsidRPr="003079FB">
        <w:rPr>
          <w:lang w:val="fr-CA"/>
        </w:rPr>
        <w:t>Montréal,</w:t>
      </w:r>
      <w:r w:rsidR="00FC5578" w:rsidRPr="003079FB">
        <w:rPr>
          <w:lang w:val="fr-CA"/>
        </w:rPr>
        <w:t xml:space="preserve"> </w:t>
      </w:r>
      <w:r w:rsidR="00AC013C" w:rsidRPr="003079FB">
        <w:rPr>
          <w:lang w:val="fr-CA"/>
        </w:rPr>
        <w:t xml:space="preserve">16 </w:t>
      </w:r>
      <w:r w:rsidR="00E60D9C" w:rsidRPr="003079FB">
        <w:rPr>
          <w:lang w:val="fr-CA"/>
        </w:rPr>
        <w:t xml:space="preserve">– </w:t>
      </w:r>
      <w:r w:rsidR="00AC013C" w:rsidRPr="003079FB">
        <w:rPr>
          <w:lang w:val="fr-CA"/>
        </w:rPr>
        <w:t>20 décembre</w:t>
      </w:r>
      <w:r w:rsidR="004C2C87" w:rsidRPr="003079FB">
        <w:rPr>
          <w:lang w:val="fr-CA"/>
        </w:rPr>
        <w:t xml:space="preserve"> 2019</w:t>
      </w:r>
    </w:p>
    <w:p w:rsidR="00441083" w:rsidRPr="003079FB" w:rsidRDefault="00441083">
      <w:pPr>
        <w:jc w:val="left"/>
        <w:rPr>
          <w:lang w:val="fr-CA"/>
        </w:rPr>
      </w:pPr>
    </w:p>
    <w:p w:rsidR="00441083" w:rsidRPr="003079FB" w:rsidRDefault="00441083" w:rsidP="00CF6D70">
      <w:pPr>
        <w:pStyle w:val="Title1"/>
        <w:jc w:val="both"/>
        <w:rPr>
          <w:lang w:val="fr-FR"/>
        </w:rPr>
      </w:pPr>
    </w:p>
    <w:p w:rsidR="002D74D2" w:rsidRDefault="00603529">
      <w:pPr>
        <w:jc w:val="center"/>
        <w:rPr>
          <w:b/>
          <w:bCs/>
          <w:lang w:val="fr-CA"/>
        </w:rPr>
      </w:pPr>
      <w:r w:rsidRPr="003079FB">
        <w:rPr>
          <w:b/>
          <w:bCs/>
          <w:lang w:val="fr-CA"/>
        </w:rPr>
        <w:t xml:space="preserve">RAPPORT PÉRIODIQUE DE LA BANQUE MONDIALE </w:t>
      </w:r>
    </w:p>
    <w:p w:rsidR="00441083" w:rsidRPr="003079FB" w:rsidRDefault="00603529">
      <w:pPr>
        <w:jc w:val="center"/>
        <w:rPr>
          <w:lang w:val="fr-CA"/>
        </w:rPr>
      </w:pPr>
      <w:r w:rsidRPr="003079FB">
        <w:rPr>
          <w:b/>
          <w:bCs/>
          <w:lang w:val="fr-CA"/>
        </w:rPr>
        <w:t>AU 31 DÉCEMBRE 2018</w:t>
      </w:r>
    </w:p>
    <w:p w:rsidR="00441083" w:rsidRDefault="00441083" w:rsidP="00603529">
      <w:pPr>
        <w:rPr>
          <w:lang w:val="fr-CA"/>
        </w:rPr>
      </w:pPr>
    </w:p>
    <w:p w:rsidR="002D74D2" w:rsidRPr="003079FB" w:rsidRDefault="002D74D2" w:rsidP="00603529">
      <w:pPr>
        <w:rPr>
          <w:lang w:val="fr-CA"/>
        </w:rPr>
      </w:pPr>
    </w:p>
    <w:p w:rsidR="00441083" w:rsidRPr="003079FB" w:rsidRDefault="00603529" w:rsidP="00603529">
      <w:pPr>
        <w:pStyle w:val="StyleHeading1Para1Heading1CharHeading1Char3CharHeadin"/>
        <w:numPr>
          <w:ilvl w:val="0"/>
          <w:numId w:val="24"/>
        </w:numPr>
        <w:tabs>
          <w:tab w:val="clear" w:pos="720"/>
        </w:tabs>
        <w:ind w:left="0" w:firstLine="0"/>
        <w:rPr>
          <w:szCs w:val="22"/>
          <w:lang w:val="fr-CA"/>
        </w:rPr>
      </w:pPr>
      <w:r w:rsidRPr="003079FB">
        <w:rPr>
          <w:szCs w:val="22"/>
          <w:lang w:val="fr-CA"/>
        </w:rPr>
        <w:t>Ce document présente le rapport périodique de la Banque mondiale au 31 décembre 2018.</w:t>
      </w:r>
      <w:r w:rsidRPr="003079FB">
        <w:rPr>
          <w:rStyle w:val="FootnoteReference"/>
          <w:sz w:val="22"/>
          <w:szCs w:val="22"/>
          <w:lang w:val="fr-CA"/>
        </w:rPr>
        <w:footnoteReference w:id="1"/>
      </w:r>
    </w:p>
    <w:p w:rsidR="00441083" w:rsidRPr="003079FB" w:rsidRDefault="00603529" w:rsidP="004E3A36">
      <w:pPr>
        <w:pStyle w:val="Heading1"/>
        <w:numPr>
          <w:ilvl w:val="0"/>
          <w:numId w:val="0"/>
        </w:numPr>
        <w:rPr>
          <w:lang w:val="fr-CA"/>
        </w:rPr>
      </w:pPr>
      <w:r w:rsidRPr="003079FB">
        <w:rPr>
          <w:u w:val="single"/>
          <w:lang w:val="fr-CA"/>
        </w:rPr>
        <w:t>Portée du document</w:t>
      </w:r>
    </w:p>
    <w:p w:rsidR="00603529" w:rsidRPr="003079FB" w:rsidRDefault="00603529" w:rsidP="00603529">
      <w:pPr>
        <w:pStyle w:val="ListParagraph"/>
        <w:numPr>
          <w:ilvl w:val="0"/>
          <w:numId w:val="24"/>
        </w:numPr>
        <w:ind w:left="0" w:firstLine="0"/>
        <w:rPr>
          <w:lang w:val="fr-CA"/>
        </w:rPr>
      </w:pPr>
      <w:r w:rsidRPr="003079FB">
        <w:rPr>
          <w:lang w:val="fr-CA"/>
        </w:rPr>
        <w:t>Ce document réunit les parties suivantes :</w:t>
      </w:r>
    </w:p>
    <w:p w:rsidR="00603529" w:rsidRPr="003079FB" w:rsidRDefault="00603529" w:rsidP="00603529">
      <w:pPr>
        <w:rPr>
          <w:lang w:val="fr-CA"/>
        </w:rPr>
      </w:pPr>
    </w:p>
    <w:p w:rsidR="00A477C6" w:rsidRPr="003079FB" w:rsidRDefault="00603529" w:rsidP="00603529">
      <w:pPr>
        <w:ind w:left="1800" w:hanging="1080"/>
        <w:rPr>
          <w:lang w:val="fr-CA"/>
        </w:rPr>
      </w:pPr>
      <w:r w:rsidRPr="003079FB">
        <w:rPr>
          <w:lang w:val="fr-CA"/>
        </w:rPr>
        <w:t>Partie I :</w:t>
      </w:r>
      <w:r w:rsidR="00155540" w:rsidRPr="003079FB">
        <w:rPr>
          <w:lang w:val="fr-CA"/>
        </w:rPr>
        <w:tab/>
        <w:t>Projets approu</w:t>
      </w:r>
      <w:r w:rsidR="00A477C6" w:rsidRPr="003079FB">
        <w:rPr>
          <w:lang w:val="fr-CA"/>
        </w:rPr>
        <w:t>vés au titre des contributions régulières au Fonds multilatéral. Elle présente un sommaire des progrès accomplis dans la mise en œuvre des projets en 2018 et un état cumulatif depuis 1991; elle offre une analyse de l’état de la mise en œuvre de tous les projets en cours au pays</w:t>
      </w:r>
      <w:r w:rsidR="00A477C6" w:rsidRPr="003079FB">
        <w:rPr>
          <w:rStyle w:val="FootnoteReference"/>
          <w:sz w:val="22"/>
          <w:szCs w:val="22"/>
          <w:lang w:val="fr-CA"/>
        </w:rPr>
        <w:footnoteReference w:id="2"/>
      </w:r>
      <w:r w:rsidR="00A477C6" w:rsidRPr="003079FB">
        <w:rPr>
          <w:lang w:val="fr-CA"/>
        </w:rPr>
        <w:t xml:space="preserve"> et met</w:t>
      </w:r>
      <w:r w:rsidR="00C340DD">
        <w:rPr>
          <w:lang w:val="fr-CA"/>
        </w:rPr>
        <w:t xml:space="preserve"> en évidence les projets dont la</w:t>
      </w:r>
      <w:r w:rsidR="00A477C6" w:rsidRPr="003079FB">
        <w:rPr>
          <w:lang w:val="fr-CA"/>
        </w:rPr>
        <w:t xml:space="preserve"> mise en œuvre accuse un retard et les conséquences possibles </w:t>
      </w:r>
      <w:r w:rsidR="00C340DD">
        <w:rPr>
          <w:lang w:val="fr-CA"/>
        </w:rPr>
        <w:t xml:space="preserve">de ces retards </w:t>
      </w:r>
      <w:r w:rsidR="00A477C6" w:rsidRPr="003079FB">
        <w:rPr>
          <w:lang w:val="fr-CA"/>
        </w:rPr>
        <w:t>sur l’élimination des substances réglementées, ainsi que les projets compor</w:t>
      </w:r>
      <w:r w:rsidR="00335174" w:rsidRPr="003079FB">
        <w:rPr>
          <w:lang w:val="fr-CA"/>
        </w:rPr>
        <w:t>tant des questi</w:t>
      </w:r>
      <w:r w:rsidR="00A477C6" w:rsidRPr="003079FB">
        <w:rPr>
          <w:lang w:val="fr-CA"/>
        </w:rPr>
        <w:t>ons en instance pour examen par le Comité exécutif.</w:t>
      </w:r>
    </w:p>
    <w:p w:rsidR="00A477C6" w:rsidRPr="003079FB" w:rsidRDefault="00A477C6" w:rsidP="00603529">
      <w:pPr>
        <w:ind w:left="1800" w:hanging="1080"/>
        <w:rPr>
          <w:lang w:val="fr-CA"/>
        </w:rPr>
      </w:pPr>
    </w:p>
    <w:p w:rsidR="00441083" w:rsidRPr="003079FB" w:rsidRDefault="00A477C6" w:rsidP="005858DC">
      <w:pPr>
        <w:ind w:left="1800" w:hanging="1080"/>
        <w:rPr>
          <w:lang w:val="fr-CA"/>
        </w:rPr>
      </w:pPr>
      <w:r w:rsidRPr="003079FB">
        <w:rPr>
          <w:lang w:val="fr-CA"/>
        </w:rPr>
        <w:t>Partie II :</w:t>
      </w:r>
      <w:r w:rsidRPr="003079FB">
        <w:rPr>
          <w:lang w:val="fr-CA"/>
        </w:rPr>
        <w:tab/>
      </w:r>
      <w:r w:rsidR="00335174" w:rsidRPr="003079FB">
        <w:rPr>
          <w:lang w:val="fr-CA"/>
        </w:rPr>
        <w:t>Projets approuvés au titre des contributions s</w:t>
      </w:r>
      <w:r w:rsidR="00C15AEA">
        <w:rPr>
          <w:lang w:val="fr-CA"/>
        </w:rPr>
        <w:t xml:space="preserve">upplémentaires volontaires en appui </w:t>
      </w:r>
      <w:r w:rsidR="00033B19">
        <w:rPr>
          <w:lang w:val="fr-CA"/>
        </w:rPr>
        <w:t xml:space="preserve">au démarrage rapide de la </w:t>
      </w:r>
      <w:r w:rsidR="00335174" w:rsidRPr="003079FB">
        <w:rPr>
          <w:lang w:val="fr-CA"/>
        </w:rPr>
        <w:t>réduction progressive des HFC</w:t>
      </w:r>
      <w:r w:rsidR="00335174" w:rsidRPr="003079FB">
        <w:rPr>
          <w:rStyle w:val="FootnoteReference"/>
          <w:sz w:val="22"/>
          <w:szCs w:val="22"/>
          <w:lang w:val="fr-CA"/>
        </w:rPr>
        <w:footnoteReference w:id="3"/>
      </w:r>
      <w:r w:rsidR="00335174" w:rsidRPr="003079FB">
        <w:rPr>
          <w:lang w:val="fr-CA"/>
        </w:rPr>
        <w:t xml:space="preserve">. Elle offre un état de la mise </w:t>
      </w:r>
      <w:r w:rsidR="00335174" w:rsidRPr="003079FB">
        <w:rPr>
          <w:lang w:val="fr-CA"/>
        </w:rPr>
        <w:lastRenderedPageBreak/>
        <w:t>en œuvre des projets de réduction progressive des HFC financés à partir des contributions volontaires.</w:t>
      </w:r>
      <w:r w:rsidRPr="003079FB">
        <w:rPr>
          <w:lang w:val="fr-CA"/>
        </w:rPr>
        <w:t xml:space="preserve"> </w:t>
      </w:r>
    </w:p>
    <w:p w:rsidR="002D74D2" w:rsidRDefault="00335174" w:rsidP="00335174">
      <w:pPr>
        <w:pStyle w:val="StyleHeader4Para4Left0Firstline0"/>
        <w:numPr>
          <w:ilvl w:val="0"/>
          <w:numId w:val="0"/>
        </w:numPr>
        <w:tabs>
          <w:tab w:val="clear" w:pos="2880"/>
          <w:tab w:val="clear" w:pos="5760"/>
        </w:tabs>
        <w:rPr>
          <w:sz w:val="22"/>
          <w:lang w:val="fr-CA"/>
        </w:rPr>
      </w:pPr>
      <w:r w:rsidRPr="003079FB">
        <w:rPr>
          <w:sz w:val="22"/>
          <w:lang w:val="fr-CA"/>
        </w:rPr>
        <w:tab/>
      </w:r>
    </w:p>
    <w:p w:rsidR="00335174" w:rsidRPr="003079FB" w:rsidRDefault="00335174" w:rsidP="00335174">
      <w:pPr>
        <w:pStyle w:val="StyleHeader4Para4Left0Firstline0"/>
        <w:numPr>
          <w:ilvl w:val="0"/>
          <w:numId w:val="0"/>
        </w:numPr>
        <w:tabs>
          <w:tab w:val="clear" w:pos="2880"/>
          <w:tab w:val="clear" w:pos="5760"/>
        </w:tabs>
        <w:rPr>
          <w:sz w:val="22"/>
          <w:lang w:val="fr-CA"/>
        </w:rPr>
      </w:pPr>
      <w:r w:rsidRPr="003079FB">
        <w:rPr>
          <w:sz w:val="22"/>
          <w:lang w:val="fr-CA"/>
        </w:rPr>
        <w:t>Recommandation</w:t>
      </w:r>
      <w:r w:rsidR="0027080E">
        <w:rPr>
          <w:sz w:val="22"/>
          <w:lang w:val="fr-CA"/>
        </w:rPr>
        <w:t>.</w:t>
      </w:r>
    </w:p>
    <w:p w:rsidR="00335174" w:rsidRPr="003079FB" w:rsidRDefault="00335174" w:rsidP="00335174">
      <w:pPr>
        <w:pStyle w:val="StyleHeader4Para4Left0Firstline0"/>
        <w:numPr>
          <w:ilvl w:val="0"/>
          <w:numId w:val="24"/>
        </w:numPr>
        <w:tabs>
          <w:tab w:val="clear" w:pos="2880"/>
          <w:tab w:val="clear" w:pos="5760"/>
        </w:tabs>
        <w:ind w:left="0" w:firstLine="0"/>
        <w:rPr>
          <w:sz w:val="22"/>
          <w:lang w:val="fr-CA"/>
        </w:rPr>
      </w:pPr>
      <w:r w:rsidRPr="003079FB">
        <w:rPr>
          <w:sz w:val="22"/>
          <w:lang w:val="fr-CA"/>
        </w:rPr>
        <w:t>L’annexe I au présent document contient une analyse du rapport périodique.</w:t>
      </w:r>
    </w:p>
    <w:p w:rsidR="005858DC" w:rsidRPr="003079FB" w:rsidRDefault="005858DC">
      <w:pPr>
        <w:pStyle w:val="StyleHeader4Para4Left0Firstline0"/>
        <w:numPr>
          <w:ilvl w:val="0"/>
          <w:numId w:val="0"/>
        </w:numPr>
        <w:rPr>
          <w:sz w:val="22"/>
          <w:lang w:val="fr-CA"/>
        </w:rPr>
      </w:pPr>
      <w:r w:rsidRPr="003079FB">
        <w:rPr>
          <w:sz w:val="22"/>
          <w:u w:val="single"/>
          <w:lang w:val="fr-CA"/>
        </w:rPr>
        <w:t>Mesures utilisées dans les rapports périodiques</w:t>
      </w:r>
    </w:p>
    <w:p w:rsidR="00441083" w:rsidRPr="003079FB" w:rsidRDefault="0013520B" w:rsidP="0013520B">
      <w:pPr>
        <w:pStyle w:val="StyleHeader4Para4Left0Firstline0"/>
        <w:numPr>
          <w:ilvl w:val="0"/>
          <w:numId w:val="24"/>
        </w:numPr>
        <w:tabs>
          <w:tab w:val="clear" w:pos="2880"/>
          <w:tab w:val="clear" w:pos="5760"/>
        </w:tabs>
        <w:ind w:left="0" w:firstLine="0"/>
        <w:rPr>
          <w:sz w:val="22"/>
          <w:lang w:val="fr-CA"/>
        </w:rPr>
      </w:pPr>
      <w:r w:rsidRPr="003079FB">
        <w:rPr>
          <w:sz w:val="22"/>
          <w:lang w:val="fr-CA"/>
        </w:rPr>
        <w:t>Avant l’Amendement de Kigali, toutes les substances réglementées au titre du Protocole de Montréal étaient des substances qui appauvrissaient la couche d’ozones</w:t>
      </w:r>
      <w:r w:rsidR="00007010">
        <w:rPr>
          <w:sz w:val="22"/>
          <w:lang w:val="fr-CA"/>
        </w:rPr>
        <w:t xml:space="preserve">. Les mesures </w:t>
      </w:r>
      <w:r w:rsidR="00A464C8">
        <w:rPr>
          <w:sz w:val="22"/>
          <w:lang w:val="fr-CA"/>
        </w:rPr>
        <w:t>relatives à</w:t>
      </w:r>
      <w:r w:rsidR="00007010">
        <w:rPr>
          <w:sz w:val="22"/>
          <w:lang w:val="fr-CA"/>
        </w:rPr>
        <w:t xml:space="preserve"> ces substances étaient exprimées </w:t>
      </w:r>
      <w:r w:rsidRPr="003079FB">
        <w:rPr>
          <w:sz w:val="22"/>
          <w:lang w:val="fr-CA"/>
        </w:rPr>
        <w:t>en tonnes PAO. Les substances réglementées au titre de l’Amendement de Kigali ne sont pas des substances qui appauvrissent la couche d’ozone et les cibles de r</w:t>
      </w:r>
      <w:r w:rsidR="0027080E">
        <w:rPr>
          <w:sz w:val="22"/>
          <w:lang w:val="fr-CA"/>
        </w:rPr>
        <w:t>églementation de ces substances</w:t>
      </w:r>
      <w:r w:rsidRPr="003079FB">
        <w:rPr>
          <w:sz w:val="22"/>
          <w:lang w:val="fr-CA"/>
        </w:rPr>
        <w:t xml:space="preserve"> sont mesurées en tonnes métriques d’équivalent de CO</w:t>
      </w:r>
      <w:r w:rsidRPr="0027080E">
        <w:rPr>
          <w:sz w:val="22"/>
          <w:vertAlign w:val="subscript"/>
          <w:lang w:val="fr-CA"/>
        </w:rPr>
        <w:t>2</w:t>
      </w:r>
      <w:r w:rsidRPr="003079FB">
        <w:rPr>
          <w:sz w:val="22"/>
          <w:lang w:val="fr-CA"/>
        </w:rPr>
        <w:t xml:space="preserve"> (tm éq-CO</w:t>
      </w:r>
      <w:r w:rsidRPr="003079FB">
        <w:rPr>
          <w:sz w:val="22"/>
          <w:vertAlign w:val="subscript"/>
          <w:lang w:val="fr-CA"/>
        </w:rPr>
        <w:t>2</w:t>
      </w:r>
      <w:r w:rsidRPr="003079FB">
        <w:rPr>
          <w:sz w:val="22"/>
          <w:lang w:val="fr-CA"/>
        </w:rPr>
        <w:t xml:space="preserve">) (c’est-à-dire, la consommation en tonnes métriques </w:t>
      </w:r>
      <w:r w:rsidR="002E2E88" w:rsidRPr="003079FB">
        <w:rPr>
          <w:sz w:val="22"/>
          <w:lang w:val="fr-CA"/>
        </w:rPr>
        <w:t>(tm)</w:t>
      </w:r>
      <w:r w:rsidRPr="003079FB">
        <w:rPr>
          <w:sz w:val="22"/>
          <w:lang w:val="fr-CA"/>
        </w:rPr>
        <w:t xml:space="preserve"> multipliée par le potentiel de réchauffement de la planète (PRG) de la substance). </w:t>
      </w:r>
      <w:r w:rsidR="002E2E88" w:rsidRPr="003079FB">
        <w:rPr>
          <w:sz w:val="22"/>
          <w:lang w:val="fr-CA"/>
        </w:rPr>
        <w:t>Nonobstant les deux différentes mesures utilisées dans les rapports sur les substances réglementées, le rapport périodique de la Banque mondiale présenté à la 84</w:t>
      </w:r>
      <w:r w:rsidR="002E2E88" w:rsidRPr="003079FB">
        <w:rPr>
          <w:sz w:val="22"/>
          <w:vertAlign w:val="superscript"/>
          <w:lang w:val="fr-CA"/>
        </w:rPr>
        <w:t>e</w:t>
      </w:r>
      <w:r w:rsidR="002E2E88" w:rsidRPr="003079FB">
        <w:rPr>
          <w:sz w:val="22"/>
          <w:lang w:val="fr-CA"/>
        </w:rPr>
        <w:t xml:space="preserve"> réunion est fondé sur les tonnes PAO pour toutes les substances réglementées.</w:t>
      </w:r>
      <w:r w:rsidR="002E2E88" w:rsidRPr="003079FB">
        <w:rPr>
          <w:rStyle w:val="FootnoteReference"/>
          <w:sz w:val="22"/>
          <w:szCs w:val="22"/>
          <w:lang w:val="fr-CA"/>
        </w:rPr>
        <w:footnoteReference w:id="4"/>
      </w:r>
    </w:p>
    <w:p w:rsidR="002E2E88" w:rsidRPr="003079FB" w:rsidRDefault="002E2E88" w:rsidP="002E2E88">
      <w:pPr>
        <w:pStyle w:val="StyleHeader4Para4Left0Firstline0"/>
        <w:numPr>
          <w:ilvl w:val="0"/>
          <w:numId w:val="0"/>
        </w:numPr>
        <w:tabs>
          <w:tab w:val="clear" w:pos="2880"/>
          <w:tab w:val="clear" w:pos="5760"/>
        </w:tabs>
        <w:rPr>
          <w:b/>
          <w:sz w:val="22"/>
          <w:lang w:val="fr-CA"/>
        </w:rPr>
      </w:pPr>
      <w:r w:rsidRPr="003079FB">
        <w:rPr>
          <w:b/>
          <w:sz w:val="22"/>
          <w:lang w:val="fr-CA"/>
        </w:rPr>
        <w:t>Aperçu des activités de réduction progressive des HFC</w:t>
      </w:r>
    </w:p>
    <w:p w:rsidR="002E2E88" w:rsidRPr="003079FB" w:rsidRDefault="00F737F9" w:rsidP="002E2E88">
      <w:pPr>
        <w:pStyle w:val="StyleHeader4Para4Left0Firstline0"/>
        <w:numPr>
          <w:ilvl w:val="0"/>
          <w:numId w:val="24"/>
        </w:numPr>
        <w:tabs>
          <w:tab w:val="clear" w:pos="2880"/>
          <w:tab w:val="clear" w:pos="5760"/>
        </w:tabs>
        <w:ind w:left="0" w:firstLine="0"/>
        <w:rPr>
          <w:sz w:val="22"/>
          <w:lang w:val="fr-CA"/>
        </w:rPr>
      </w:pPr>
      <w:r w:rsidRPr="003079FB">
        <w:rPr>
          <w:sz w:val="22"/>
          <w:lang w:val="fr-CA"/>
        </w:rPr>
        <w:t>Le Comité exécutif avait approuvé six projets en lien avec les HFC au titre des contributions supplémentaires volontaires au 31 décembre 2018</w:t>
      </w:r>
      <w:r w:rsidR="00262096">
        <w:rPr>
          <w:sz w:val="22"/>
          <w:lang w:val="fr-CA"/>
        </w:rPr>
        <w:t>,</w:t>
      </w:r>
      <w:r w:rsidRPr="003079FB">
        <w:rPr>
          <w:sz w:val="22"/>
          <w:lang w:val="fr-CA"/>
        </w:rPr>
        <w:t xml:space="preserve"> pour la somme de 1 213 514 $US (coûts d’appui </w:t>
      </w:r>
      <w:r w:rsidR="00262096">
        <w:rPr>
          <w:sz w:val="22"/>
          <w:lang w:val="fr-CA"/>
        </w:rPr>
        <w:t>à l’agence</w:t>
      </w:r>
      <w:r w:rsidRPr="003079FB">
        <w:rPr>
          <w:sz w:val="22"/>
          <w:lang w:val="fr-CA"/>
        </w:rPr>
        <w:t xml:space="preserve"> en sus). Le Comité exécutif a approuvé le report de la date d’achèvement des activités de facilitation de deux de ces projets à la 83</w:t>
      </w:r>
      <w:r w:rsidRPr="003079FB">
        <w:rPr>
          <w:sz w:val="22"/>
          <w:vertAlign w:val="superscript"/>
          <w:lang w:val="fr-CA"/>
        </w:rPr>
        <w:t>e</w:t>
      </w:r>
      <w:r w:rsidRPr="003079FB">
        <w:rPr>
          <w:sz w:val="22"/>
          <w:lang w:val="fr-CA"/>
        </w:rPr>
        <w:t xml:space="preserve"> réunion, et la demande de prolongation </w:t>
      </w:r>
      <w:r w:rsidR="00262096">
        <w:rPr>
          <w:sz w:val="22"/>
          <w:lang w:val="fr-CA"/>
        </w:rPr>
        <w:t>des activités de facilitation d’un</w:t>
      </w:r>
      <w:r w:rsidRPr="003079FB">
        <w:rPr>
          <w:sz w:val="22"/>
          <w:lang w:val="fr-CA"/>
        </w:rPr>
        <w:t xml:space="preserve"> projet est présentée à la 84</w:t>
      </w:r>
      <w:r w:rsidRPr="003079FB">
        <w:rPr>
          <w:sz w:val="22"/>
          <w:vertAlign w:val="superscript"/>
          <w:lang w:val="fr-CA"/>
        </w:rPr>
        <w:t>e</w:t>
      </w:r>
      <w:r w:rsidRPr="003079FB">
        <w:rPr>
          <w:sz w:val="22"/>
          <w:lang w:val="fr-CA"/>
        </w:rPr>
        <w:t xml:space="preserve"> réunion. </w:t>
      </w:r>
    </w:p>
    <w:p w:rsidR="00F737F9" w:rsidRPr="003079FB" w:rsidRDefault="00F737F9" w:rsidP="00F737F9">
      <w:pPr>
        <w:pStyle w:val="StyleHeader4Para4Left0Firstline0"/>
        <w:numPr>
          <w:ilvl w:val="0"/>
          <w:numId w:val="0"/>
        </w:numPr>
        <w:tabs>
          <w:tab w:val="clear" w:pos="2880"/>
          <w:tab w:val="clear" w:pos="5760"/>
        </w:tabs>
        <w:rPr>
          <w:b/>
          <w:sz w:val="22"/>
          <w:lang w:val="fr-CA"/>
        </w:rPr>
      </w:pPr>
      <w:r w:rsidRPr="003079FB">
        <w:rPr>
          <w:b/>
          <w:sz w:val="22"/>
          <w:lang w:val="fr-CA"/>
        </w:rPr>
        <w:t>Processus d’examen des progrès par le Secrétariat</w:t>
      </w:r>
    </w:p>
    <w:p w:rsidR="00F737F9" w:rsidRPr="003079FB" w:rsidRDefault="00873DC1" w:rsidP="005A5C56">
      <w:pPr>
        <w:pStyle w:val="StyleHeader4Para4Left0Firstline0"/>
        <w:numPr>
          <w:ilvl w:val="0"/>
          <w:numId w:val="24"/>
        </w:numPr>
        <w:tabs>
          <w:tab w:val="clear" w:pos="2880"/>
          <w:tab w:val="clear" w:pos="5760"/>
        </w:tabs>
        <w:ind w:left="0" w:firstLine="0"/>
        <w:rPr>
          <w:sz w:val="22"/>
          <w:lang w:val="fr-CA"/>
        </w:rPr>
      </w:pPr>
      <w:r w:rsidRPr="003079FB">
        <w:rPr>
          <w:sz w:val="22"/>
          <w:lang w:val="fr-CA"/>
        </w:rPr>
        <w:t>Le Secrétariat a examiné l’état de la mise en œuvre de tous les projets en cours par pays en tenant compte des retards dans la mise en œuvre par rapport à la date d’achèv</w:t>
      </w:r>
      <w:r w:rsidR="00A464C8">
        <w:rPr>
          <w:sz w:val="22"/>
          <w:lang w:val="fr-CA"/>
        </w:rPr>
        <w:t>ement prévue déclarée en 2018, d</w:t>
      </w:r>
      <w:r w:rsidRPr="003079FB">
        <w:rPr>
          <w:sz w:val="22"/>
          <w:lang w:val="fr-CA"/>
        </w:rPr>
        <w:t xml:space="preserve">es conséquences possibles </w:t>
      </w:r>
      <w:r w:rsidR="004F1304" w:rsidRPr="003079FB">
        <w:rPr>
          <w:sz w:val="22"/>
          <w:lang w:val="fr-CA"/>
        </w:rPr>
        <w:t xml:space="preserve">de ces retards sur </w:t>
      </w:r>
      <w:r w:rsidR="00262096">
        <w:rPr>
          <w:sz w:val="22"/>
          <w:lang w:val="fr-CA"/>
        </w:rPr>
        <w:t>la réduction progressive</w:t>
      </w:r>
      <w:r w:rsidR="004F1304" w:rsidRPr="003079FB">
        <w:rPr>
          <w:sz w:val="22"/>
          <w:lang w:val="fr-CA"/>
        </w:rPr>
        <w:t xml:space="preserve"> </w:t>
      </w:r>
      <w:r w:rsidR="00A464C8">
        <w:rPr>
          <w:sz w:val="22"/>
          <w:lang w:val="fr-CA"/>
        </w:rPr>
        <w:t>des substances réglementées et d</w:t>
      </w:r>
      <w:r w:rsidR="004F1304" w:rsidRPr="003079FB">
        <w:rPr>
          <w:sz w:val="22"/>
          <w:lang w:val="fr-CA"/>
        </w:rPr>
        <w:t>e</w:t>
      </w:r>
      <w:r w:rsidR="00262096">
        <w:rPr>
          <w:sz w:val="22"/>
          <w:lang w:val="fr-CA"/>
        </w:rPr>
        <w:t>s</w:t>
      </w:r>
      <w:r w:rsidR="004F1304" w:rsidRPr="003079FB">
        <w:rPr>
          <w:sz w:val="22"/>
          <w:lang w:val="fr-CA"/>
        </w:rPr>
        <w:t xml:space="preserve"> taux de décaissement prévus. Le Secrétariat a s’est entretenu à plusieurs reprises avec la Banque mondiale afin de discuter de</w:t>
      </w:r>
      <w:r w:rsidR="00262096">
        <w:rPr>
          <w:sz w:val="22"/>
          <w:lang w:val="fr-CA"/>
        </w:rPr>
        <w:t>s</w:t>
      </w:r>
      <w:r w:rsidR="004F1304" w:rsidRPr="003079FB">
        <w:rPr>
          <w:sz w:val="22"/>
          <w:lang w:val="fr-CA"/>
        </w:rPr>
        <w:t xml:space="preserve"> questions concernant les projets en cours, avant d’en arriver à une solution satisfaisante.</w:t>
      </w:r>
    </w:p>
    <w:p w:rsidR="002D74D2" w:rsidRDefault="002D74D2" w:rsidP="004F1304">
      <w:pPr>
        <w:pStyle w:val="StyleHeader4Para4Left0Firstline0"/>
        <w:numPr>
          <w:ilvl w:val="0"/>
          <w:numId w:val="0"/>
        </w:numPr>
        <w:tabs>
          <w:tab w:val="clear" w:pos="2880"/>
          <w:tab w:val="clear" w:pos="5760"/>
        </w:tabs>
        <w:ind w:left="1620" w:hanging="1620"/>
        <w:rPr>
          <w:b/>
          <w:sz w:val="22"/>
          <w:lang w:val="fr-CA"/>
        </w:rPr>
      </w:pPr>
    </w:p>
    <w:p w:rsidR="004F1304" w:rsidRPr="003079FB" w:rsidRDefault="004F1304" w:rsidP="004F1304">
      <w:pPr>
        <w:pStyle w:val="StyleHeader4Para4Left0Firstline0"/>
        <w:numPr>
          <w:ilvl w:val="0"/>
          <w:numId w:val="0"/>
        </w:numPr>
        <w:tabs>
          <w:tab w:val="clear" w:pos="2880"/>
          <w:tab w:val="clear" w:pos="5760"/>
        </w:tabs>
        <w:ind w:left="1620" w:hanging="1620"/>
        <w:rPr>
          <w:b/>
          <w:sz w:val="22"/>
          <w:lang w:val="fr-CA"/>
        </w:rPr>
      </w:pPr>
      <w:r w:rsidRPr="003079FB">
        <w:rPr>
          <w:b/>
          <w:sz w:val="22"/>
          <w:lang w:val="fr-CA"/>
        </w:rPr>
        <w:t>PARTIE I :</w:t>
      </w:r>
      <w:r w:rsidRPr="003079FB">
        <w:rPr>
          <w:b/>
          <w:sz w:val="22"/>
          <w:lang w:val="fr-CA"/>
        </w:rPr>
        <w:tab/>
        <w:t>PROJETS APPROUVÉS AU TITRE DES CONTRIBUTIONS RÉGULIÈRES AU FONDS MULTILATÉRAL</w:t>
      </w:r>
    </w:p>
    <w:p w:rsidR="004F1304" w:rsidRPr="003079FB" w:rsidRDefault="004F1304" w:rsidP="004F1304">
      <w:pPr>
        <w:pStyle w:val="StyleHeader4Para4Left0Firstline0"/>
        <w:numPr>
          <w:ilvl w:val="0"/>
          <w:numId w:val="0"/>
        </w:numPr>
        <w:tabs>
          <w:tab w:val="clear" w:pos="2880"/>
          <w:tab w:val="clear" w:pos="5760"/>
        </w:tabs>
        <w:ind w:left="1620" w:hanging="1620"/>
        <w:rPr>
          <w:b/>
          <w:sz w:val="22"/>
          <w:lang w:val="fr-CA"/>
        </w:rPr>
      </w:pPr>
      <w:r w:rsidRPr="003079FB">
        <w:rPr>
          <w:b/>
          <w:sz w:val="22"/>
          <w:lang w:val="fr-CA"/>
        </w:rPr>
        <w:t>Sommaire des progrès accomplis dans la mise en œuvre des projets en 2018 et cumul</w:t>
      </w:r>
    </w:p>
    <w:p w:rsidR="004F1304" w:rsidRPr="003079FB" w:rsidRDefault="00A70BB3" w:rsidP="00A70BB3">
      <w:pPr>
        <w:pStyle w:val="StyleHeader4Para4Left0Firstline0"/>
        <w:numPr>
          <w:ilvl w:val="0"/>
          <w:numId w:val="24"/>
        </w:numPr>
        <w:tabs>
          <w:tab w:val="clear" w:pos="2880"/>
          <w:tab w:val="clear" w:pos="5760"/>
        </w:tabs>
        <w:ind w:left="0" w:firstLine="0"/>
        <w:rPr>
          <w:sz w:val="22"/>
          <w:lang w:val="fr-CA"/>
        </w:rPr>
      </w:pPr>
      <w:r w:rsidRPr="003079FB">
        <w:rPr>
          <w:sz w:val="22"/>
          <w:lang w:val="fr-CA"/>
        </w:rPr>
        <w:t>La mise en œuvre des projets et activités par la Banque mondiale en 2018 et le cumul depuis 1991 jusqu’au 31 décembre 2018 sont résumés ci-dessous :</w:t>
      </w:r>
    </w:p>
    <w:p w:rsidR="00A70BB3" w:rsidRPr="003079FB" w:rsidRDefault="00A70BB3" w:rsidP="00A70BB3">
      <w:pPr>
        <w:pStyle w:val="StyleHeader4Para4Left0Firstline0"/>
        <w:numPr>
          <w:ilvl w:val="0"/>
          <w:numId w:val="25"/>
        </w:numPr>
        <w:tabs>
          <w:tab w:val="clear" w:pos="2880"/>
          <w:tab w:val="clear" w:pos="5760"/>
        </w:tabs>
        <w:ind w:left="1440" w:hanging="720"/>
        <w:rPr>
          <w:sz w:val="22"/>
          <w:lang w:val="fr-CA"/>
        </w:rPr>
      </w:pPr>
      <w:r w:rsidRPr="003079FB">
        <w:rPr>
          <w:b/>
          <w:sz w:val="22"/>
          <w:lang w:val="fr-CA"/>
        </w:rPr>
        <w:t>Élimination</w:t>
      </w:r>
      <w:r w:rsidRPr="003079FB">
        <w:rPr>
          <w:rStyle w:val="FootnoteReference"/>
          <w:bCs/>
          <w:sz w:val="22"/>
          <w:szCs w:val="22"/>
          <w:lang w:val="fr-CA"/>
        </w:rPr>
        <w:footnoteReference w:id="5"/>
      </w:r>
      <w:r w:rsidRPr="003079FB">
        <w:rPr>
          <w:sz w:val="22"/>
          <w:lang w:val="fr-CA"/>
        </w:rPr>
        <w:t xml:space="preserve"> : </w:t>
      </w:r>
      <w:r w:rsidR="00AF79A8">
        <w:rPr>
          <w:sz w:val="22"/>
          <w:lang w:val="fr-CA"/>
        </w:rPr>
        <w:t>Une quantité totale de</w:t>
      </w:r>
      <w:r w:rsidRPr="003079FB">
        <w:rPr>
          <w:sz w:val="22"/>
          <w:lang w:val="fr-CA"/>
        </w:rPr>
        <w:t xml:space="preserve"> 98,1 tonnes PAO </w:t>
      </w:r>
      <w:r w:rsidR="00AF79A8">
        <w:rPr>
          <w:sz w:val="22"/>
          <w:lang w:val="fr-CA"/>
        </w:rPr>
        <w:t>a</w:t>
      </w:r>
      <w:r w:rsidRPr="003079FB">
        <w:rPr>
          <w:sz w:val="22"/>
          <w:lang w:val="fr-CA"/>
        </w:rPr>
        <w:t xml:space="preserve"> été éliminée au titre de la consommation de substances réglementées en 2018, et l’élimination d’une consommation supplémentaire de 32,2 tonnes PAO de substanc</w:t>
      </w:r>
      <w:r w:rsidR="00DD7026" w:rsidRPr="003079FB">
        <w:rPr>
          <w:sz w:val="22"/>
          <w:lang w:val="fr-CA"/>
        </w:rPr>
        <w:t xml:space="preserve">es réglementées a été approuvée. </w:t>
      </w:r>
      <w:r w:rsidR="00AF79A8">
        <w:rPr>
          <w:sz w:val="22"/>
          <w:lang w:val="fr-CA"/>
        </w:rPr>
        <w:t>U</w:t>
      </w:r>
      <w:r w:rsidR="00DD7026" w:rsidRPr="003079FB">
        <w:rPr>
          <w:sz w:val="22"/>
          <w:lang w:val="fr-CA"/>
        </w:rPr>
        <w:t xml:space="preserve">ne </w:t>
      </w:r>
      <w:r w:rsidR="00DD7026" w:rsidRPr="003079FB">
        <w:rPr>
          <w:sz w:val="22"/>
          <w:lang w:val="fr-CA"/>
        </w:rPr>
        <w:lastRenderedPageBreak/>
        <w:t xml:space="preserve">consommation de 146 006 tonnes PAO et </w:t>
      </w:r>
      <w:r w:rsidR="00AF79A8">
        <w:rPr>
          <w:sz w:val="22"/>
          <w:lang w:val="fr-CA"/>
        </w:rPr>
        <w:t>une</w:t>
      </w:r>
      <w:r w:rsidR="00DD7026" w:rsidRPr="003079FB">
        <w:rPr>
          <w:sz w:val="22"/>
          <w:lang w:val="fr-CA"/>
        </w:rPr>
        <w:t xml:space="preserve"> production de 186 808 tonnes PAO de substances réglementées ont été </w:t>
      </w:r>
      <w:r w:rsidR="00D61B7A">
        <w:rPr>
          <w:sz w:val="22"/>
          <w:lang w:val="fr-CA"/>
        </w:rPr>
        <w:t>éliminées</w:t>
      </w:r>
      <w:r w:rsidR="00DD7026" w:rsidRPr="003079FB">
        <w:rPr>
          <w:sz w:val="22"/>
          <w:lang w:val="fr-CA"/>
        </w:rPr>
        <w:t xml:space="preserve"> </w:t>
      </w:r>
      <w:r w:rsidR="00AF79A8">
        <w:rPr>
          <w:sz w:val="22"/>
          <w:lang w:val="fr-CA"/>
        </w:rPr>
        <w:t xml:space="preserve">depuis 1991 </w:t>
      </w:r>
      <w:r w:rsidR="00DD7026" w:rsidRPr="003079FB">
        <w:rPr>
          <w:sz w:val="22"/>
          <w:lang w:val="fr-CA"/>
        </w:rPr>
        <w:t>sur</w:t>
      </w:r>
      <w:r w:rsidR="00D61B7A">
        <w:rPr>
          <w:sz w:val="22"/>
          <w:lang w:val="fr-CA"/>
        </w:rPr>
        <w:t xml:space="preserve"> une quantité totale de 304 578 </w:t>
      </w:r>
      <w:r w:rsidR="00DD7026" w:rsidRPr="003079FB">
        <w:rPr>
          <w:sz w:val="22"/>
          <w:lang w:val="fr-CA"/>
        </w:rPr>
        <w:t xml:space="preserve">tonnes PAO </w:t>
      </w:r>
      <w:r w:rsidR="00AF79A8">
        <w:rPr>
          <w:sz w:val="22"/>
          <w:lang w:val="fr-CA"/>
        </w:rPr>
        <w:t xml:space="preserve">prévue </w:t>
      </w:r>
      <w:r w:rsidR="00DD7026" w:rsidRPr="003079FB">
        <w:rPr>
          <w:sz w:val="22"/>
          <w:lang w:val="fr-CA"/>
        </w:rPr>
        <w:t>dans le cadre de projets approuvés (ne comprenant pas les projets annulés et transférés</w:t>
      </w:r>
      <w:proofErr w:type="gramStart"/>
      <w:r w:rsidR="00DD7026" w:rsidRPr="003079FB">
        <w:rPr>
          <w:sz w:val="22"/>
          <w:lang w:val="fr-CA"/>
        </w:rPr>
        <w:t>);</w:t>
      </w:r>
      <w:proofErr w:type="gramEnd"/>
    </w:p>
    <w:p w:rsidR="00DD7026" w:rsidRPr="003079FB" w:rsidRDefault="00DD7026" w:rsidP="00A70BB3">
      <w:pPr>
        <w:pStyle w:val="StyleHeader4Para4Left0Firstline0"/>
        <w:numPr>
          <w:ilvl w:val="0"/>
          <w:numId w:val="25"/>
        </w:numPr>
        <w:tabs>
          <w:tab w:val="clear" w:pos="2880"/>
          <w:tab w:val="clear" w:pos="5760"/>
        </w:tabs>
        <w:ind w:left="1440" w:hanging="720"/>
        <w:rPr>
          <w:sz w:val="22"/>
          <w:lang w:val="fr-CA"/>
        </w:rPr>
      </w:pPr>
      <w:r w:rsidRPr="003079FB">
        <w:rPr>
          <w:b/>
          <w:sz w:val="22"/>
          <w:lang w:val="fr-CA"/>
        </w:rPr>
        <w:t>Décaissements/approbations </w:t>
      </w:r>
      <w:r w:rsidRPr="003079FB">
        <w:rPr>
          <w:sz w:val="22"/>
          <w:lang w:val="fr-CA"/>
        </w:rPr>
        <w:t>:</w:t>
      </w:r>
      <w:r w:rsidRPr="003079FB">
        <w:rPr>
          <w:b/>
          <w:sz w:val="22"/>
          <w:lang w:val="fr-CA"/>
        </w:rPr>
        <w:t xml:space="preserve"> </w:t>
      </w:r>
      <w:r w:rsidRPr="003079FB">
        <w:rPr>
          <w:sz w:val="22"/>
          <w:lang w:val="fr-CA"/>
        </w:rPr>
        <w:t xml:space="preserve">Une somme de 9,33 millions $US a été décaissée en 2018 et un décaissement de 13,74 millions $US a été prévu dans le rapport périodique de 2017, pour un taux de décaissement de 68 pour cent de la somme prévue. Au total, 1,13 milliard $US ont été décaissés sur </w:t>
      </w:r>
      <w:r w:rsidR="00D61B7A">
        <w:rPr>
          <w:sz w:val="22"/>
          <w:lang w:val="fr-CA"/>
        </w:rPr>
        <w:t>les</w:t>
      </w:r>
      <w:r w:rsidRPr="003079FB">
        <w:rPr>
          <w:sz w:val="22"/>
          <w:lang w:val="fr-CA"/>
        </w:rPr>
        <w:t xml:space="preserve"> 1,16 milliard $US</w:t>
      </w:r>
      <w:r w:rsidR="00D61B7A">
        <w:rPr>
          <w:sz w:val="22"/>
          <w:lang w:val="fr-CA"/>
        </w:rPr>
        <w:t xml:space="preserve"> approuvés aux fins de décaissement (coû</w:t>
      </w:r>
      <w:r w:rsidR="00DF2450" w:rsidRPr="003079FB">
        <w:rPr>
          <w:sz w:val="22"/>
          <w:lang w:val="fr-CA"/>
        </w:rPr>
        <w:t xml:space="preserve">ts d’appui </w:t>
      </w:r>
      <w:r w:rsidR="00D61B7A">
        <w:rPr>
          <w:sz w:val="22"/>
          <w:lang w:val="fr-CA"/>
        </w:rPr>
        <w:t>à l’agence</w:t>
      </w:r>
      <w:r w:rsidR="00DF2450" w:rsidRPr="003079FB">
        <w:rPr>
          <w:sz w:val="22"/>
          <w:lang w:val="fr-CA"/>
        </w:rPr>
        <w:t xml:space="preserve"> en sus), ce qui représente un taux de décaissement de 97 pour cent. </w:t>
      </w:r>
      <w:r w:rsidR="004002F0">
        <w:rPr>
          <w:sz w:val="22"/>
          <w:lang w:val="fr-CA"/>
        </w:rPr>
        <w:t>Une</w:t>
      </w:r>
      <w:r w:rsidR="00DF2450" w:rsidRPr="003079FB">
        <w:rPr>
          <w:sz w:val="22"/>
          <w:lang w:val="fr-CA"/>
        </w:rPr>
        <w:t xml:space="preserve"> somme de 26,41 millions $US a été approuvée pour la mise en œuvre en 2018.</w:t>
      </w:r>
    </w:p>
    <w:p w:rsidR="00DF2450" w:rsidRPr="003079FB" w:rsidRDefault="003B148E" w:rsidP="00A70BB3">
      <w:pPr>
        <w:pStyle w:val="StyleHeader4Para4Left0Firstline0"/>
        <w:numPr>
          <w:ilvl w:val="0"/>
          <w:numId w:val="25"/>
        </w:numPr>
        <w:tabs>
          <w:tab w:val="clear" w:pos="2880"/>
          <w:tab w:val="clear" w:pos="5760"/>
        </w:tabs>
        <w:ind w:left="1440" w:hanging="720"/>
        <w:rPr>
          <w:b/>
          <w:sz w:val="22"/>
          <w:lang w:val="fr-CA"/>
        </w:rPr>
      </w:pPr>
      <w:r w:rsidRPr="003079FB">
        <w:rPr>
          <w:b/>
          <w:sz w:val="22"/>
          <w:lang w:val="fr-CA"/>
        </w:rPr>
        <w:t xml:space="preserve">Rapport coût-efficacité (en </w:t>
      </w:r>
      <w:r w:rsidR="00D61B7A">
        <w:rPr>
          <w:b/>
          <w:sz w:val="22"/>
          <w:lang w:val="fr-CA"/>
        </w:rPr>
        <w:t xml:space="preserve">tonnes </w:t>
      </w:r>
      <w:r w:rsidRPr="003079FB">
        <w:rPr>
          <w:b/>
          <w:sz w:val="22"/>
          <w:lang w:val="fr-CA"/>
        </w:rPr>
        <w:t>PAO)</w:t>
      </w:r>
      <w:r w:rsidRPr="003079FB">
        <w:rPr>
          <w:rStyle w:val="FootnoteReference"/>
          <w:bCs/>
          <w:sz w:val="22"/>
          <w:szCs w:val="22"/>
          <w:lang w:val="fr-CA"/>
        </w:rPr>
        <w:footnoteReference w:id="6"/>
      </w:r>
      <w:r w:rsidRPr="003079FB">
        <w:rPr>
          <w:b/>
          <w:sz w:val="22"/>
          <w:lang w:val="fr-CA"/>
        </w:rPr>
        <w:t xml:space="preserve"> : </w:t>
      </w:r>
      <w:r w:rsidRPr="003079FB">
        <w:rPr>
          <w:sz w:val="22"/>
          <w:lang w:val="fr-CA"/>
        </w:rPr>
        <w:t xml:space="preserve">Le rapport coût-efficacité moyen des projets d’investissement approuvés menant à une réduction permanente de la consommation </w:t>
      </w:r>
      <w:r w:rsidR="004002F0">
        <w:rPr>
          <w:sz w:val="22"/>
          <w:lang w:val="fr-CA"/>
        </w:rPr>
        <w:t>est</w:t>
      </w:r>
      <w:r w:rsidRPr="003079FB">
        <w:rPr>
          <w:sz w:val="22"/>
          <w:lang w:val="fr-CA"/>
        </w:rPr>
        <w:t xml:space="preserve"> de 5,48 $US/kg depui</w:t>
      </w:r>
      <w:r w:rsidR="00107AAA">
        <w:rPr>
          <w:sz w:val="22"/>
          <w:lang w:val="fr-CA"/>
        </w:rPr>
        <w:t>s 1991 et de 4,91 $US/kg pour le secteur de la</w:t>
      </w:r>
      <w:r w:rsidRPr="003079FB">
        <w:rPr>
          <w:sz w:val="22"/>
          <w:lang w:val="fr-CA"/>
        </w:rPr>
        <w:t xml:space="preserve"> production. Le rap</w:t>
      </w:r>
      <w:r w:rsidR="00C8311C" w:rsidRPr="003079FB">
        <w:rPr>
          <w:sz w:val="22"/>
          <w:lang w:val="fr-CA"/>
        </w:rPr>
        <w:t>p</w:t>
      </w:r>
      <w:r w:rsidRPr="003079FB">
        <w:rPr>
          <w:sz w:val="22"/>
          <w:lang w:val="fr-CA"/>
        </w:rPr>
        <w:t>ort coût-efficac</w:t>
      </w:r>
      <w:r w:rsidR="00C8311C" w:rsidRPr="003079FB">
        <w:rPr>
          <w:sz w:val="22"/>
          <w:lang w:val="fr-CA"/>
        </w:rPr>
        <w:t>ité moyen par tonne PAO des projet</w:t>
      </w:r>
      <w:r w:rsidRPr="003079FB">
        <w:rPr>
          <w:sz w:val="22"/>
          <w:lang w:val="fr-CA"/>
        </w:rPr>
        <w:t xml:space="preserve">s d’investissement </w:t>
      </w:r>
      <w:r w:rsidR="004002F0">
        <w:rPr>
          <w:sz w:val="22"/>
          <w:lang w:val="fr-CA"/>
        </w:rPr>
        <w:t>est</w:t>
      </w:r>
      <w:r w:rsidRPr="003079FB">
        <w:rPr>
          <w:sz w:val="22"/>
          <w:lang w:val="fr-CA"/>
        </w:rPr>
        <w:t xml:space="preserve"> de 3 $US/kg pour les projets </w:t>
      </w:r>
      <w:r w:rsidR="00C8311C" w:rsidRPr="003079FB">
        <w:rPr>
          <w:sz w:val="22"/>
          <w:lang w:val="fr-CA"/>
        </w:rPr>
        <w:t>achevés</w:t>
      </w:r>
      <w:r w:rsidRPr="003079FB">
        <w:rPr>
          <w:sz w:val="22"/>
          <w:lang w:val="fr-CA"/>
        </w:rPr>
        <w:t xml:space="preserve"> et de 95,55 $US/kg pour les projets en cours</w:t>
      </w:r>
      <w:r w:rsidR="00C8311C" w:rsidRPr="003079FB">
        <w:rPr>
          <w:rStyle w:val="FootnoteReference"/>
          <w:sz w:val="22"/>
          <w:szCs w:val="22"/>
          <w:lang w:val="fr-CA"/>
        </w:rPr>
        <w:footnoteReference w:id="7"/>
      </w:r>
      <w:r w:rsidR="00C8311C" w:rsidRPr="003079FB">
        <w:rPr>
          <w:sz w:val="22"/>
          <w:lang w:val="fr-CA"/>
        </w:rPr>
        <w:t xml:space="preserve"> ; </w:t>
      </w:r>
    </w:p>
    <w:p w:rsidR="00C8311C" w:rsidRPr="003079FB" w:rsidRDefault="00C8311C" w:rsidP="00A70BB3">
      <w:pPr>
        <w:pStyle w:val="StyleHeader4Para4Left0Firstline0"/>
        <w:numPr>
          <w:ilvl w:val="0"/>
          <w:numId w:val="25"/>
        </w:numPr>
        <w:tabs>
          <w:tab w:val="clear" w:pos="2880"/>
          <w:tab w:val="clear" w:pos="5760"/>
        </w:tabs>
        <w:ind w:left="1440" w:hanging="720"/>
        <w:rPr>
          <w:b/>
          <w:sz w:val="22"/>
          <w:lang w:val="fr-CA"/>
        </w:rPr>
      </w:pPr>
      <w:r w:rsidRPr="003079FB">
        <w:rPr>
          <w:b/>
          <w:sz w:val="22"/>
          <w:lang w:val="fr-CA"/>
        </w:rPr>
        <w:t>Nombre de projets achevés :</w:t>
      </w:r>
      <w:r w:rsidRPr="003079FB">
        <w:rPr>
          <w:sz w:val="22"/>
          <w:lang w:val="fr-CA"/>
        </w:rPr>
        <w:t xml:space="preserve"> Vingt et un projets ont été menés à terme en 2018. Au total, 1 063 des 1 087 projets approuvés (à l’exception des projets fermés ou transférés) ont été achevés depuis 1991, ce qui représente un taux d’achèvement de 98 pour cent ;</w:t>
      </w:r>
    </w:p>
    <w:p w:rsidR="00C8311C" w:rsidRPr="003079FB" w:rsidRDefault="00BB1B18" w:rsidP="00A70BB3">
      <w:pPr>
        <w:pStyle w:val="StyleHeader4Para4Left0Firstline0"/>
        <w:numPr>
          <w:ilvl w:val="0"/>
          <w:numId w:val="25"/>
        </w:numPr>
        <w:tabs>
          <w:tab w:val="clear" w:pos="2880"/>
          <w:tab w:val="clear" w:pos="5760"/>
        </w:tabs>
        <w:ind w:left="1440" w:hanging="720"/>
        <w:rPr>
          <w:b/>
          <w:sz w:val="22"/>
          <w:lang w:val="fr-CA"/>
        </w:rPr>
      </w:pPr>
      <w:r w:rsidRPr="003079FB">
        <w:rPr>
          <w:b/>
          <w:sz w:val="22"/>
          <w:lang w:val="fr-CA"/>
        </w:rPr>
        <w:t>Rapidité d’exécution, projets d’investissement :</w:t>
      </w:r>
      <w:r w:rsidRPr="003079FB">
        <w:rPr>
          <w:sz w:val="22"/>
          <w:lang w:val="fr-CA"/>
        </w:rPr>
        <w:t xml:space="preserve"> Neuf projets d’investissement ont été achevés en 2018. La durée moyenne d’achèvement des pro</w:t>
      </w:r>
      <w:r w:rsidR="00107AAA">
        <w:rPr>
          <w:sz w:val="22"/>
          <w:lang w:val="fr-CA"/>
        </w:rPr>
        <w:t xml:space="preserve">jets d’investissement </w:t>
      </w:r>
      <w:r w:rsidR="004002F0">
        <w:rPr>
          <w:sz w:val="22"/>
          <w:lang w:val="fr-CA"/>
        </w:rPr>
        <w:t xml:space="preserve">depuis 1991 </w:t>
      </w:r>
      <w:r w:rsidR="00107AAA">
        <w:rPr>
          <w:sz w:val="22"/>
          <w:lang w:val="fr-CA"/>
        </w:rPr>
        <w:t>est de 40 </w:t>
      </w:r>
      <w:r w:rsidRPr="003079FB">
        <w:rPr>
          <w:sz w:val="22"/>
          <w:lang w:val="fr-CA"/>
        </w:rPr>
        <w:t>mois après l’approbation</w:t>
      </w:r>
      <w:r w:rsidR="004002F0">
        <w:rPr>
          <w:sz w:val="22"/>
          <w:lang w:val="fr-CA"/>
        </w:rPr>
        <w:t xml:space="preserve"> et l</w:t>
      </w:r>
      <w:r w:rsidRPr="003079FB">
        <w:rPr>
          <w:sz w:val="22"/>
          <w:lang w:val="fr-CA"/>
        </w:rPr>
        <w:t>es premiers décaissements pour ces projets a eu lieu 24 mois, en moyenne, après leur approbation ;</w:t>
      </w:r>
    </w:p>
    <w:p w:rsidR="00BB1B18" w:rsidRPr="003079FB" w:rsidRDefault="00BB1B18" w:rsidP="00A70BB3">
      <w:pPr>
        <w:pStyle w:val="StyleHeader4Para4Left0Firstline0"/>
        <w:numPr>
          <w:ilvl w:val="0"/>
          <w:numId w:val="25"/>
        </w:numPr>
        <w:tabs>
          <w:tab w:val="clear" w:pos="2880"/>
          <w:tab w:val="clear" w:pos="5760"/>
        </w:tabs>
        <w:ind w:left="1440" w:hanging="720"/>
        <w:rPr>
          <w:b/>
          <w:sz w:val="22"/>
          <w:lang w:val="fr-CA"/>
        </w:rPr>
      </w:pPr>
      <w:r w:rsidRPr="003079FB">
        <w:rPr>
          <w:b/>
          <w:sz w:val="22"/>
          <w:lang w:val="fr-CA"/>
        </w:rPr>
        <w:t>Rapidité d’exécution</w:t>
      </w:r>
      <w:r w:rsidR="00107AAA">
        <w:rPr>
          <w:b/>
          <w:sz w:val="22"/>
          <w:lang w:val="fr-CA"/>
        </w:rPr>
        <w:t>,</w:t>
      </w:r>
      <w:r w:rsidRPr="003079FB">
        <w:rPr>
          <w:b/>
          <w:sz w:val="22"/>
          <w:lang w:val="fr-CA"/>
        </w:rPr>
        <w:t xml:space="preserve"> projets ne portant pas sur des investissements :</w:t>
      </w:r>
      <w:r w:rsidRPr="003079FB">
        <w:rPr>
          <w:sz w:val="22"/>
          <w:lang w:val="fr-CA"/>
        </w:rPr>
        <w:t xml:space="preserve"> La durée moyenne des projets achevés en 2018 a tété de 42 mois après l’approbation. Depuis 1991, la durée</w:t>
      </w:r>
      <w:r w:rsidR="001C58D6" w:rsidRPr="003079FB">
        <w:rPr>
          <w:sz w:val="22"/>
          <w:lang w:val="fr-CA"/>
        </w:rPr>
        <w:t xml:space="preserve"> moyenne d’achèvement des projets ne portant pas sur des investissements a été de 36 mo</w:t>
      </w:r>
      <w:r w:rsidR="00107AAA">
        <w:rPr>
          <w:sz w:val="22"/>
          <w:lang w:val="fr-CA"/>
        </w:rPr>
        <w:t xml:space="preserve">is après leur approbation. Les </w:t>
      </w:r>
      <w:r w:rsidR="001C58D6" w:rsidRPr="003079FB">
        <w:rPr>
          <w:sz w:val="22"/>
          <w:lang w:val="fr-CA"/>
        </w:rPr>
        <w:t xml:space="preserve">premiers décaissements pour ces projets </w:t>
      </w:r>
      <w:r w:rsidR="00107AAA">
        <w:rPr>
          <w:sz w:val="22"/>
          <w:lang w:val="fr-CA"/>
        </w:rPr>
        <w:t>ont été effectués</w:t>
      </w:r>
      <w:r w:rsidR="001C58D6" w:rsidRPr="003079FB">
        <w:rPr>
          <w:sz w:val="22"/>
          <w:lang w:val="fr-CA"/>
        </w:rPr>
        <w:t xml:space="preserve"> 22 mois après leur approbation ;</w:t>
      </w:r>
      <w:r w:rsidRPr="003079FB">
        <w:rPr>
          <w:sz w:val="22"/>
          <w:lang w:val="fr-CA"/>
        </w:rPr>
        <w:t xml:space="preserve"> </w:t>
      </w:r>
    </w:p>
    <w:p w:rsidR="001C58D6" w:rsidRPr="003079FB" w:rsidRDefault="001C58D6" w:rsidP="00A70BB3">
      <w:pPr>
        <w:pStyle w:val="StyleHeader4Para4Left0Firstline0"/>
        <w:numPr>
          <w:ilvl w:val="0"/>
          <w:numId w:val="25"/>
        </w:numPr>
        <w:tabs>
          <w:tab w:val="clear" w:pos="2880"/>
          <w:tab w:val="clear" w:pos="5760"/>
        </w:tabs>
        <w:ind w:left="1440" w:hanging="720"/>
        <w:rPr>
          <w:b/>
          <w:sz w:val="22"/>
          <w:lang w:val="fr-CA"/>
        </w:rPr>
      </w:pPr>
      <w:r w:rsidRPr="003079FB">
        <w:rPr>
          <w:b/>
          <w:sz w:val="22"/>
          <w:lang w:val="fr-CA"/>
        </w:rPr>
        <w:t xml:space="preserve">Préparation des projets : </w:t>
      </w:r>
      <w:r w:rsidRPr="003079FB">
        <w:rPr>
          <w:sz w:val="22"/>
          <w:lang w:val="fr-CA"/>
        </w:rPr>
        <w:t xml:space="preserve">Au total, 290 des 291 activités de préparation de projets ont été achevées </w:t>
      </w:r>
      <w:r w:rsidR="00107AAA">
        <w:rPr>
          <w:sz w:val="22"/>
          <w:lang w:val="fr-CA"/>
        </w:rPr>
        <w:t xml:space="preserve">en date de </w:t>
      </w:r>
      <w:r w:rsidRPr="003079FB">
        <w:rPr>
          <w:sz w:val="22"/>
          <w:lang w:val="fr-CA"/>
        </w:rPr>
        <w:t>la fin 2018, ce qui en laisse une en cours ;</w:t>
      </w:r>
    </w:p>
    <w:p w:rsidR="001C58D6" w:rsidRPr="003079FB" w:rsidRDefault="001C58D6" w:rsidP="00A70BB3">
      <w:pPr>
        <w:pStyle w:val="StyleHeader4Para4Left0Firstline0"/>
        <w:numPr>
          <w:ilvl w:val="0"/>
          <w:numId w:val="25"/>
        </w:numPr>
        <w:tabs>
          <w:tab w:val="clear" w:pos="2880"/>
          <w:tab w:val="clear" w:pos="5760"/>
        </w:tabs>
        <w:ind w:left="1440" w:hanging="720"/>
        <w:rPr>
          <w:b/>
          <w:sz w:val="22"/>
          <w:lang w:val="fr-CA"/>
        </w:rPr>
      </w:pPr>
      <w:r w:rsidRPr="003079FB">
        <w:rPr>
          <w:b/>
          <w:sz w:val="22"/>
          <w:lang w:val="fr-CA"/>
        </w:rPr>
        <w:t xml:space="preserve">Retards dans la mise en œuvre : </w:t>
      </w:r>
      <w:r w:rsidRPr="003079FB">
        <w:rPr>
          <w:sz w:val="22"/>
          <w:lang w:val="fr-CA"/>
        </w:rPr>
        <w:t xml:space="preserve">Dix-sept projets d’investissement étaient en cours de mise en œuvre à la fin de 2018. </w:t>
      </w:r>
      <w:r w:rsidR="00BD2B7F" w:rsidRPr="003079FB">
        <w:rPr>
          <w:sz w:val="22"/>
          <w:lang w:val="fr-CA"/>
        </w:rPr>
        <w:t>Ces projets connaissen</w:t>
      </w:r>
      <w:r w:rsidRPr="003079FB">
        <w:rPr>
          <w:sz w:val="22"/>
          <w:lang w:val="fr-CA"/>
        </w:rPr>
        <w:t>t un retard moyen de 45 mois</w:t>
      </w:r>
      <w:r w:rsidR="00BD2B7F" w:rsidRPr="003079FB">
        <w:rPr>
          <w:sz w:val="22"/>
          <w:lang w:val="fr-CA"/>
        </w:rPr>
        <w:t xml:space="preserve">. Il n’y a toutefois aucun projet classé parmi les « projets dont la mise en œuvre accuse un retard » visés par des procédures d’annulation de projet (car </w:t>
      </w:r>
      <w:r w:rsidR="004002F0">
        <w:rPr>
          <w:sz w:val="22"/>
          <w:lang w:val="fr-CA"/>
        </w:rPr>
        <w:t xml:space="preserve">cette procédure ne </w:t>
      </w:r>
      <w:r w:rsidR="00182D2E">
        <w:rPr>
          <w:sz w:val="22"/>
          <w:lang w:val="fr-CA"/>
        </w:rPr>
        <w:t>s</w:t>
      </w:r>
      <w:r w:rsidR="004002F0">
        <w:rPr>
          <w:sz w:val="22"/>
          <w:lang w:val="fr-CA"/>
        </w:rPr>
        <w:t>’applique pas aux accords pluriannuels</w:t>
      </w:r>
      <w:r w:rsidR="00BD2B7F" w:rsidRPr="003079FB">
        <w:rPr>
          <w:sz w:val="22"/>
          <w:lang w:val="fr-CA"/>
        </w:rPr>
        <w:t>) ;</w:t>
      </w:r>
    </w:p>
    <w:p w:rsidR="00507E36" w:rsidRPr="003079FB" w:rsidRDefault="00BD2B7F" w:rsidP="00A70BB3">
      <w:pPr>
        <w:pStyle w:val="StyleHeader4Para4Left0Firstline0"/>
        <w:numPr>
          <w:ilvl w:val="0"/>
          <w:numId w:val="25"/>
        </w:numPr>
        <w:tabs>
          <w:tab w:val="clear" w:pos="2880"/>
          <w:tab w:val="clear" w:pos="5760"/>
        </w:tabs>
        <w:ind w:left="1440" w:hanging="720"/>
        <w:rPr>
          <w:b/>
          <w:sz w:val="22"/>
          <w:lang w:val="fr-CA"/>
        </w:rPr>
      </w:pPr>
      <w:r w:rsidRPr="003079FB">
        <w:rPr>
          <w:b/>
          <w:sz w:val="22"/>
          <w:lang w:val="fr-CA"/>
        </w:rPr>
        <w:t xml:space="preserve">Accords pluriannuels : </w:t>
      </w:r>
      <w:r w:rsidRPr="003079FB">
        <w:rPr>
          <w:sz w:val="22"/>
          <w:lang w:val="fr-CA"/>
        </w:rPr>
        <w:t xml:space="preserve">La Banque mondiale </w:t>
      </w:r>
      <w:r w:rsidR="00507E36" w:rsidRPr="003079FB">
        <w:rPr>
          <w:sz w:val="22"/>
          <w:lang w:val="fr-CA"/>
        </w:rPr>
        <w:t>assurait la mise en œuvre de huit accords pluriannuels portant sur des plans de gestion de l’élimination des HCFC (PGEH) en 2018. Trente-neuf accords pluriannuels ont été approuvés depuis 1991 et 31 accords pluriannuels ont été menés à terme.</w:t>
      </w:r>
    </w:p>
    <w:p w:rsidR="00507E36" w:rsidRPr="003079FB" w:rsidRDefault="00507E36" w:rsidP="002D74D2">
      <w:pPr>
        <w:pStyle w:val="StyleHeader4Para4Left0Firstline0"/>
        <w:keepNext/>
        <w:keepLines/>
        <w:numPr>
          <w:ilvl w:val="0"/>
          <w:numId w:val="0"/>
        </w:numPr>
        <w:tabs>
          <w:tab w:val="clear" w:pos="2880"/>
          <w:tab w:val="clear" w:pos="5760"/>
        </w:tabs>
        <w:rPr>
          <w:b/>
          <w:sz w:val="22"/>
          <w:lang w:val="fr-CA"/>
        </w:rPr>
      </w:pPr>
      <w:r w:rsidRPr="003079FB">
        <w:rPr>
          <w:b/>
          <w:sz w:val="22"/>
          <w:lang w:val="fr-CA"/>
        </w:rPr>
        <w:lastRenderedPageBreak/>
        <w:t>Progrès dans la mise en œuvre en 2018</w:t>
      </w:r>
    </w:p>
    <w:p w:rsidR="00BD2B7F" w:rsidRPr="003079FB" w:rsidRDefault="00BD2B7F" w:rsidP="002D74D2">
      <w:pPr>
        <w:pStyle w:val="StyleHeader4Para4Left0Firstline0"/>
        <w:keepNext/>
        <w:keepLines/>
        <w:numPr>
          <w:ilvl w:val="0"/>
          <w:numId w:val="24"/>
        </w:numPr>
        <w:tabs>
          <w:tab w:val="clear" w:pos="2880"/>
          <w:tab w:val="clear" w:pos="5760"/>
        </w:tabs>
        <w:ind w:left="0" w:firstLine="0"/>
        <w:rPr>
          <w:b/>
          <w:sz w:val="22"/>
          <w:lang w:val="fr-CA"/>
        </w:rPr>
      </w:pPr>
      <w:r w:rsidRPr="003079FB">
        <w:rPr>
          <w:sz w:val="22"/>
          <w:lang w:val="fr-CA"/>
        </w:rPr>
        <w:t xml:space="preserve">Quatre </w:t>
      </w:r>
      <w:r w:rsidR="00630B8F">
        <w:rPr>
          <w:sz w:val="22"/>
          <w:lang w:val="fr-CA"/>
        </w:rPr>
        <w:t>d</w:t>
      </w:r>
      <w:r w:rsidRPr="003079FB">
        <w:rPr>
          <w:sz w:val="22"/>
          <w:lang w:val="fr-CA"/>
        </w:rPr>
        <w:t>es 20 projets en cours</w:t>
      </w:r>
      <w:r w:rsidR="00D149BB" w:rsidRPr="00A051CF">
        <w:rPr>
          <w:rStyle w:val="FootnoteReference"/>
          <w:lang w:val="en-CA"/>
        </w:rPr>
        <w:footnoteReference w:id="8"/>
      </w:r>
      <w:r w:rsidRPr="003079FB">
        <w:rPr>
          <w:sz w:val="22"/>
          <w:lang w:val="fr-CA"/>
        </w:rPr>
        <w:t>, à l’exception des projets de renforcement des institutions et de la préparation de projets, présentent une date d’ach</w:t>
      </w:r>
      <w:r w:rsidR="00507E36" w:rsidRPr="003079FB">
        <w:rPr>
          <w:sz w:val="22"/>
          <w:lang w:val="fr-CA"/>
        </w:rPr>
        <w:t>èvement rév</w:t>
      </w:r>
      <w:r w:rsidRPr="003079FB">
        <w:rPr>
          <w:sz w:val="22"/>
          <w:lang w:val="fr-CA"/>
        </w:rPr>
        <w:t xml:space="preserve">isée depuis le rapport </w:t>
      </w:r>
      <w:r w:rsidR="00507E36" w:rsidRPr="003079FB">
        <w:rPr>
          <w:sz w:val="22"/>
          <w:lang w:val="fr-CA"/>
        </w:rPr>
        <w:t>périodique</w:t>
      </w:r>
      <w:r w:rsidRPr="003079FB">
        <w:rPr>
          <w:sz w:val="22"/>
          <w:lang w:val="fr-CA"/>
        </w:rPr>
        <w:t xml:space="preserve"> de 2017.</w:t>
      </w:r>
    </w:p>
    <w:p w:rsidR="00C87CBC" w:rsidRPr="003079FB" w:rsidRDefault="00C87CBC" w:rsidP="00507E36">
      <w:pPr>
        <w:pStyle w:val="StyleHeader4Para4Left0Firstline0"/>
        <w:numPr>
          <w:ilvl w:val="0"/>
          <w:numId w:val="24"/>
        </w:numPr>
        <w:tabs>
          <w:tab w:val="clear" w:pos="2880"/>
          <w:tab w:val="clear" w:pos="5760"/>
        </w:tabs>
        <w:ind w:left="0" w:firstLine="0"/>
        <w:rPr>
          <w:b/>
          <w:sz w:val="22"/>
          <w:lang w:val="fr-CA"/>
        </w:rPr>
      </w:pPr>
      <w:r w:rsidRPr="003079FB">
        <w:rPr>
          <w:sz w:val="22"/>
          <w:lang w:val="fr-CA"/>
        </w:rPr>
        <w:t>Les détails des progrès dans la mise en œuvre des projets associé</w:t>
      </w:r>
      <w:r w:rsidR="00630B8F">
        <w:rPr>
          <w:sz w:val="22"/>
          <w:lang w:val="fr-CA"/>
        </w:rPr>
        <w:t>s aux PGEH pour la Chine (phase </w:t>
      </w:r>
      <w:r w:rsidRPr="003079FB">
        <w:rPr>
          <w:sz w:val="22"/>
          <w:lang w:val="fr-CA"/>
        </w:rPr>
        <w:t>II du plan du secteur de la mousse de polyuréthanne)</w:t>
      </w:r>
      <w:r w:rsidR="00D149BB" w:rsidRPr="00A051CF">
        <w:rPr>
          <w:rStyle w:val="FootnoteReference"/>
          <w:lang w:val="en-CA"/>
        </w:rPr>
        <w:footnoteReference w:id="9"/>
      </w:r>
      <w:r w:rsidRPr="003079FB">
        <w:rPr>
          <w:sz w:val="22"/>
          <w:lang w:val="fr-CA"/>
        </w:rPr>
        <w:t>, la Jordanie</w:t>
      </w:r>
      <w:r w:rsidR="00D149BB" w:rsidRPr="00A051CF">
        <w:rPr>
          <w:rStyle w:val="FootnoteReference"/>
          <w:lang w:val="en-CA"/>
        </w:rPr>
        <w:footnoteReference w:id="10"/>
      </w:r>
      <w:r w:rsidRPr="003079FB">
        <w:rPr>
          <w:sz w:val="22"/>
          <w:lang w:val="fr-CA"/>
        </w:rPr>
        <w:t xml:space="preserve"> et le Viet Nam</w:t>
      </w:r>
      <w:r w:rsidR="00D149BB" w:rsidRPr="00A051CF">
        <w:rPr>
          <w:rStyle w:val="FootnoteReference"/>
          <w:lang w:val="en-CA"/>
        </w:rPr>
        <w:footnoteReference w:id="11"/>
      </w:r>
      <w:r w:rsidRPr="003079FB">
        <w:rPr>
          <w:sz w:val="22"/>
          <w:lang w:val="fr-CA"/>
        </w:rPr>
        <w:t>, et les rapports sur les projets comportant des exigences particulières pour la remise des rapports</w:t>
      </w:r>
      <w:r w:rsidR="00D149BB" w:rsidRPr="00A051CF">
        <w:rPr>
          <w:rStyle w:val="FootnoteReference"/>
          <w:lang w:val="en-CA"/>
        </w:rPr>
        <w:footnoteReference w:id="12"/>
      </w:r>
      <w:r w:rsidR="00D149BB" w:rsidRPr="00D149BB">
        <w:rPr>
          <w:lang w:val="fr-CA"/>
        </w:rPr>
        <w:t xml:space="preserve"> </w:t>
      </w:r>
      <w:r w:rsidRPr="003079FB">
        <w:rPr>
          <w:sz w:val="22"/>
          <w:lang w:val="fr-CA"/>
        </w:rPr>
        <w:t xml:space="preserve">associés à la Chine (élimination de production de CFC, agents de transformation, élimination des CFC et des </w:t>
      </w:r>
      <w:r w:rsidR="003079FB" w:rsidRPr="003079FB">
        <w:rPr>
          <w:sz w:val="22"/>
          <w:lang w:val="fr-CA"/>
        </w:rPr>
        <w:t>halons, et PGEH) et l’Indonésie (PGEH) ont été présentés à la 84</w:t>
      </w:r>
      <w:r w:rsidR="003079FB" w:rsidRPr="003079FB">
        <w:rPr>
          <w:sz w:val="22"/>
          <w:vertAlign w:val="superscript"/>
          <w:lang w:val="fr-CA"/>
        </w:rPr>
        <w:t>e</w:t>
      </w:r>
      <w:r w:rsidR="003079FB" w:rsidRPr="003079FB">
        <w:rPr>
          <w:sz w:val="22"/>
          <w:lang w:val="fr-CA"/>
        </w:rPr>
        <w:t xml:space="preserve"> réunion. Les recommandations sur les questions en instance pour ces projets, y compris l’approbation </w:t>
      </w:r>
      <w:r w:rsidR="00630B8F">
        <w:rPr>
          <w:sz w:val="22"/>
          <w:lang w:val="fr-CA"/>
        </w:rPr>
        <w:t>des demandes de prorogation</w:t>
      </w:r>
      <w:r w:rsidR="003079FB" w:rsidRPr="003079FB">
        <w:rPr>
          <w:sz w:val="22"/>
          <w:lang w:val="fr-CA"/>
        </w:rPr>
        <w:t>, s’il y a lieu, sont abordées dans les parties pertinentes de ces documents. Il n’y a aucune question en instance pour les autres projets en cours.</w:t>
      </w:r>
    </w:p>
    <w:p w:rsidR="003079FB" w:rsidRDefault="00D149BB" w:rsidP="00D149BB">
      <w:pPr>
        <w:pStyle w:val="StyleHeader4Para4Left0Firstline0"/>
        <w:numPr>
          <w:ilvl w:val="0"/>
          <w:numId w:val="0"/>
        </w:numPr>
        <w:tabs>
          <w:tab w:val="clear" w:pos="2880"/>
          <w:tab w:val="clear" w:pos="5760"/>
        </w:tabs>
        <w:ind w:left="1620" w:hanging="1620"/>
        <w:rPr>
          <w:sz w:val="22"/>
          <w:lang w:val="fr-CA"/>
        </w:rPr>
      </w:pPr>
      <w:r>
        <w:rPr>
          <w:b/>
          <w:sz w:val="22"/>
          <w:lang w:val="fr-CA"/>
        </w:rPr>
        <w:t>PARTIE II :</w:t>
      </w:r>
      <w:r w:rsidR="00914DDE">
        <w:rPr>
          <w:b/>
          <w:sz w:val="22"/>
          <w:lang w:val="fr-CA"/>
        </w:rPr>
        <w:tab/>
        <w:t xml:space="preserve">PROJETS APPROUVÉS AU TITRE DES </w:t>
      </w:r>
      <w:r>
        <w:rPr>
          <w:b/>
          <w:sz w:val="22"/>
          <w:lang w:val="fr-CA"/>
        </w:rPr>
        <w:t xml:space="preserve">CONTRIBUTIONS SUPPLÉMENTAIRES VOLONTAIRES </w:t>
      </w:r>
      <w:r w:rsidR="00AB1213" w:rsidRPr="00AB1213">
        <w:rPr>
          <w:b/>
          <w:sz w:val="22"/>
          <w:lang w:val="fr-CA"/>
        </w:rPr>
        <w:t>EN APPUI AU DÉMARRAGE RAPIDE DE LA RÉDUCTION PROGRESSIVE DES HFC</w:t>
      </w:r>
    </w:p>
    <w:p w:rsidR="00C15AEA" w:rsidRDefault="00C15AEA" w:rsidP="00C15AEA">
      <w:pPr>
        <w:pStyle w:val="StyleHeader4Para4Left0Firstline0"/>
        <w:numPr>
          <w:ilvl w:val="0"/>
          <w:numId w:val="24"/>
        </w:numPr>
        <w:tabs>
          <w:tab w:val="clear" w:pos="2880"/>
          <w:tab w:val="clear" w:pos="5760"/>
        </w:tabs>
        <w:ind w:left="0" w:firstLine="0"/>
        <w:rPr>
          <w:sz w:val="22"/>
          <w:lang w:val="fr-CA"/>
        </w:rPr>
      </w:pPr>
      <w:r>
        <w:rPr>
          <w:sz w:val="22"/>
          <w:lang w:val="fr-CA"/>
        </w:rPr>
        <w:t xml:space="preserve">Le Comité </w:t>
      </w:r>
      <w:r w:rsidR="00FC3199">
        <w:rPr>
          <w:sz w:val="22"/>
          <w:lang w:val="fr-CA"/>
        </w:rPr>
        <w:t xml:space="preserve">exécutif avait approuvé six projets en lien avec les HFC au 31 décembre, comme résumé dans le tableau </w:t>
      </w:r>
      <w:r w:rsidR="0066596F">
        <w:rPr>
          <w:sz w:val="22"/>
          <w:lang w:val="fr-CA"/>
        </w:rPr>
        <w:t>1</w:t>
      </w:r>
      <w:r w:rsidR="00FC3199">
        <w:rPr>
          <w:sz w:val="22"/>
          <w:lang w:val="fr-CA"/>
        </w:rPr>
        <w:t> :</w:t>
      </w:r>
    </w:p>
    <w:p w:rsidR="00FC3199" w:rsidRDefault="0066596F" w:rsidP="0066596F">
      <w:pPr>
        <w:pStyle w:val="StyleHeader4Para4Left0Firstline0"/>
        <w:numPr>
          <w:ilvl w:val="0"/>
          <w:numId w:val="0"/>
        </w:numPr>
        <w:tabs>
          <w:tab w:val="clear" w:pos="2880"/>
          <w:tab w:val="clear" w:pos="5760"/>
        </w:tabs>
        <w:spacing w:after="0"/>
        <w:rPr>
          <w:b/>
          <w:sz w:val="22"/>
          <w:lang w:val="fr-CA"/>
        </w:rPr>
      </w:pPr>
      <w:r>
        <w:rPr>
          <w:b/>
          <w:sz w:val="22"/>
          <w:lang w:val="fr-CA"/>
        </w:rPr>
        <w:t>Tableau 1 : Projets en lien avec les HFC approuvés en 2018</w:t>
      </w:r>
    </w:p>
    <w:tbl>
      <w:tblPr>
        <w:tblW w:w="9360" w:type="dxa"/>
        <w:tblInd w:w="-5" w:type="dxa"/>
        <w:tblLayout w:type="fixed"/>
        <w:tblLook w:val="04A0" w:firstRow="1" w:lastRow="0" w:firstColumn="1" w:lastColumn="0" w:noHBand="0" w:noVBand="1"/>
      </w:tblPr>
      <w:tblGrid>
        <w:gridCol w:w="1710"/>
        <w:gridCol w:w="990"/>
        <w:gridCol w:w="900"/>
        <w:gridCol w:w="1350"/>
        <w:gridCol w:w="990"/>
        <w:gridCol w:w="1260"/>
        <w:gridCol w:w="990"/>
        <w:gridCol w:w="1170"/>
      </w:tblGrid>
      <w:tr w:rsidR="0066596F" w:rsidRPr="0066596F" w:rsidTr="009A0953">
        <w:tc>
          <w:tcPr>
            <w:tcW w:w="1710" w:type="dxa"/>
            <w:vMerge w:val="restart"/>
            <w:tcBorders>
              <w:top w:val="single" w:sz="4" w:space="0" w:color="auto"/>
              <w:left w:val="single" w:sz="4" w:space="0" w:color="auto"/>
              <w:right w:val="single" w:sz="4" w:space="0" w:color="auto"/>
            </w:tcBorders>
            <w:shd w:val="clear" w:color="auto" w:fill="auto"/>
            <w:noWrap/>
            <w:tcMar>
              <w:left w:w="29" w:type="dxa"/>
              <w:right w:w="0" w:type="dxa"/>
            </w:tcMar>
            <w:vAlign w:val="center"/>
            <w:hideMark/>
          </w:tcPr>
          <w:p w:rsidR="0066596F" w:rsidRPr="0066596F" w:rsidRDefault="0066596F" w:rsidP="00B26E23">
            <w:pPr>
              <w:jc w:val="left"/>
              <w:rPr>
                <w:b/>
                <w:bCs/>
                <w:sz w:val="20"/>
                <w:szCs w:val="20"/>
                <w:lang w:val="fr-CA" w:eastAsia="en-CA"/>
              </w:rPr>
            </w:pPr>
            <w:r w:rsidRPr="0066596F">
              <w:rPr>
                <w:b/>
                <w:bCs/>
                <w:sz w:val="20"/>
                <w:szCs w:val="20"/>
                <w:lang w:val="fr-CA" w:eastAsia="en-CA"/>
              </w:rPr>
              <w:t>Type</w:t>
            </w:r>
          </w:p>
        </w:tc>
        <w:tc>
          <w:tcPr>
            <w:tcW w:w="3240" w:type="dxa"/>
            <w:gridSpan w:val="3"/>
            <w:tcBorders>
              <w:top w:val="single" w:sz="4" w:space="0" w:color="auto"/>
              <w:left w:val="nil"/>
              <w:bottom w:val="single" w:sz="4" w:space="0" w:color="auto"/>
              <w:right w:val="single" w:sz="4" w:space="0" w:color="auto"/>
            </w:tcBorders>
            <w:shd w:val="clear" w:color="auto" w:fill="auto"/>
            <w:noWrap/>
            <w:hideMark/>
          </w:tcPr>
          <w:p w:rsidR="0066596F" w:rsidRPr="0066596F" w:rsidRDefault="0066596F" w:rsidP="00B26E23">
            <w:pPr>
              <w:jc w:val="center"/>
              <w:rPr>
                <w:b/>
                <w:bCs/>
                <w:sz w:val="20"/>
                <w:szCs w:val="20"/>
                <w:lang w:val="fr-CA" w:eastAsia="en-CA"/>
              </w:rPr>
            </w:pPr>
            <w:r>
              <w:rPr>
                <w:b/>
                <w:bCs/>
                <w:sz w:val="20"/>
                <w:szCs w:val="20"/>
                <w:lang w:val="fr-CA" w:eastAsia="en-CA"/>
              </w:rPr>
              <w:t>Nombre de projets</w:t>
            </w:r>
          </w:p>
        </w:tc>
        <w:tc>
          <w:tcPr>
            <w:tcW w:w="4410" w:type="dxa"/>
            <w:gridSpan w:val="4"/>
            <w:tcBorders>
              <w:top w:val="single" w:sz="4" w:space="0" w:color="auto"/>
              <w:left w:val="nil"/>
              <w:bottom w:val="single" w:sz="4" w:space="0" w:color="auto"/>
              <w:right w:val="single" w:sz="4" w:space="0" w:color="auto"/>
            </w:tcBorders>
            <w:shd w:val="clear" w:color="auto" w:fill="auto"/>
            <w:noWrap/>
            <w:hideMark/>
          </w:tcPr>
          <w:p w:rsidR="0066596F" w:rsidRPr="0066596F" w:rsidRDefault="0066596F" w:rsidP="00B26E23">
            <w:pPr>
              <w:jc w:val="center"/>
              <w:rPr>
                <w:b/>
                <w:bCs/>
                <w:sz w:val="20"/>
                <w:szCs w:val="20"/>
                <w:lang w:val="fr-CA" w:eastAsia="en-CA"/>
              </w:rPr>
            </w:pPr>
            <w:r>
              <w:rPr>
                <w:b/>
                <w:bCs/>
                <w:sz w:val="20"/>
                <w:szCs w:val="20"/>
                <w:lang w:val="fr-CA" w:eastAsia="en-CA"/>
              </w:rPr>
              <w:t>Financement ($US)*</w:t>
            </w:r>
          </w:p>
        </w:tc>
      </w:tr>
      <w:tr w:rsidR="0066596F" w:rsidRPr="0066596F" w:rsidTr="009A0953">
        <w:tc>
          <w:tcPr>
            <w:tcW w:w="1710" w:type="dxa"/>
            <w:vMerge/>
            <w:tcBorders>
              <w:left w:val="single" w:sz="4" w:space="0" w:color="auto"/>
              <w:bottom w:val="single" w:sz="4" w:space="0" w:color="auto"/>
              <w:right w:val="single" w:sz="4" w:space="0" w:color="auto"/>
            </w:tcBorders>
            <w:tcMar>
              <w:left w:w="29" w:type="dxa"/>
              <w:right w:w="0" w:type="dxa"/>
            </w:tcMar>
            <w:hideMark/>
          </w:tcPr>
          <w:p w:rsidR="0066596F" w:rsidRPr="0066596F" w:rsidRDefault="0066596F" w:rsidP="00B26E23">
            <w:pPr>
              <w:jc w:val="left"/>
              <w:rPr>
                <w:b/>
                <w:bCs/>
                <w:sz w:val="20"/>
                <w:szCs w:val="20"/>
                <w:lang w:val="fr-CA" w:eastAsia="en-CA"/>
              </w:rPr>
            </w:pPr>
          </w:p>
        </w:tc>
        <w:tc>
          <w:tcPr>
            <w:tcW w:w="990" w:type="dxa"/>
            <w:tcBorders>
              <w:top w:val="nil"/>
              <w:left w:val="nil"/>
              <w:bottom w:val="single" w:sz="4" w:space="0" w:color="auto"/>
              <w:right w:val="single" w:sz="4" w:space="0" w:color="auto"/>
            </w:tcBorders>
            <w:shd w:val="clear" w:color="auto" w:fill="auto"/>
            <w:tcMar>
              <w:left w:w="0" w:type="dxa"/>
              <w:right w:w="43" w:type="dxa"/>
            </w:tcMar>
            <w:vAlign w:val="center"/>
            <w:hideMark/>
          </w:tcPr>
          <w:p w:rsidR="0066596F" w:rsidRPr="0066596F" w:rsidRDefault="0066596F" w:rsidP="00B26E23">
            <w:pPr>
              <w:jc w:val="center"/>
              <w:rPr>
                <w:b/>
                <w:bCs/>
                <w:sz w:val="20"/>
                <w:szCs w:val="20"/>
                <w:lang w:val="fr-CA" w:eastAsia="en-CA"/>
              </w:rPr>
            </w:pPr>
            <w:r>
              <w:rPr>
                <w:b/>
                <w:bCs/>
                <w:sz w:val="20"/>
                <w:szCs w:val="20"/>
                <w:lang w:val="fr-CA" w:eastAsia="en-CA"/>
              </w:rPr>
              <w:t>Approuvés</w:t>
            </w:r>
          </w:p>
        </w:tc>
        <w:tc>
          <w:tcPr>
            <w:tcW w:w="900" w:type="dxa"/>
            <w:tcBorders>
              <w:top w:val="nil"/>
              <w:left w:val="nil"/>
              <w:bottom w:val="single" w:sz="4" w:space="0" w:color="auto"/>
              <w:right w:val="single" w:sz="4" w:space="0" w:color="auto"/>
            </w:tcBorders>
            <w:shd w:val="clear" w:color="auto" w:fill="auto"/>
            <w:tcMar>
              <w:left w:w="0" w:type="dxa"/>
              <w:right w:w="43" w:type="dxa"/>
            </w:tcMar>
            <w:vAlign w:val="center"/>
            <w:hideMark/>
          </w:tcPr>
          <w:p w:rsidR="0066596F" w:rsidRPr="0066596F" w:rsidRDefault="0066596F" w:rsidP="00B26E23">
            <w:pPr>
              <w:jc w:val="center"/>
              <w:rPr>
                <w:b/>
                <w:bCs/>
                <w:sz w:val="20"/>
                <w:szCs w:val="20"/>
                <w:lang w:val="fr-CA" w:eastAsia="en-CA"/>
              </w:rPr>
            </w:pPr>
            <w:r>
              <w:rPr>
                <w:b/>
                <w:bCs/>
                <w:sz w:val="20"/>
                <w:szCs w:val="20"/>
                <w:lang w:val="fr-CA" w:eastAsia="en-CA"/>
              </w:rPr>
              <w:t>Achevés</w:t>
            </w:r>
          </w:p>
        </w:tc>
        <w:tc>
          <w:tcPr>
            <w:tcW w:w="13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66596F" w:rsidRPr="0066596F" w:rsidRDefault="0066596F" w:rsidP="009A0953">
            <w:pPr>
              <w:jc w:val="center"/>
              <w:rPr>
                <w:b/>
                <w:bCs/>
                <w:sz w:val="20"/>
                <w:szCs w:val="20"/>
                <w:lang w:val="fr-CA" w:eastAsia="en-CA"/>
              </w:rPr>
            </w:pPr>
            <w:r w:rsidRPr="0066596F">
              <w:rPr>
                <w:b/>
                <w:bCs/>
                <w:sz w:val="20"/>
                <w:szCs w:val="20"/>
                <w:lang w:val="fr-CA" w:eastAsia="en-CA"/>
              </w:rPr>
              <w:t xml:space="preserve">% </w:t>
            </w:r>
            <w:r w:rsidR="009A0953">
              <w:rPr>
                <w:b/>
                <w:bCs/>
                <w:sz w:val="20"/>
                <w:szCs w:val="20"/>
                <w:lang w:val="fr-CA" w:eastAsia="en-CA"/>
              </w:rPr>
              <w:t>d’achèvement</w:t>
            </w:r>
          </w:p>
        </w:tc>
        <w:tc>
          <w:tcPr>
            <w:tcW w:w="990" w:type="dxa"/>
            <w:tcBorders>
              <w:top w:val="nil"/>
              <w:left w:val="nil"/>
              <w:bottom w:val="single" w:sz="4" w:space="0" w:color="auto"/>
              <w:right w:val="single" w:sz="4" w:space="0" w:color="auto"/>
            </w:tcBorders>
            <w:shd w:val="clear" w:color="auto" w:fill="auto"/>
            <w:tcMar>
              <w:left w:w="0" w:type="dxa"/>
              <w:right w:w="43" w:type="dxa"/>
            </w:tcMar>
            <w:vAlign w:val="center"/>
            <w:hideMark/>
          </w:tcPr>
          <w:p w:rsidR="0066596F" w:rsidRPr="0066596F" w:rsidRDefault="0066596F" w:rsidP="00B26E23">
            <w:pPr>
              <w:jc w:val="left"/>
              <w:rPr>
                <w:b/>
                <w:bCs/>
                <w:sz w:val="20"/>
                <w:szCs w:val="20"/>
                <w:lang w:val="fr-CA" w:eastAsia="en-CA"/>
              </w:rPr>
            </w:pPr>
            <w:r>
              <w:rPr>
                <w:b/>
                <w:bCs/>
                <w:sz w:val="20"/>
                <w:szCs w:val="20"/>
                <w:lang w:val="fr-CA" w:eastAsia="en-CA"/>
              </w:rPr>
              <w:t>Approuvés</w:t>
            </w:r>
          </w:p>
        </w:tc>
        <w:tc>
          <w:tcPr>
            <w:tcW w:w="1260" w:type="dxa"/>
            <w:tcBorders>
              <w:top w:val="nil"/>
              <w:left w:val="nil"/>
              <w:bottom w:val="single" w:sz="4" w:space="0" w:color="auto"/>
              <w:right w:val="single" w:sz="4" w:space="0" w:color="auto"/>
            </w:tcBorders>
            <w:shd w:val="clear" w:color="auto" w:fill="auto"/>
            <w:tcMar>
              <w:left w:w="0" w:type="dxa"/>
              <w:right w:w="43" w:type="dxa"/>
            </w:tcMar>
            <w:vAlign w:val="center"/>
            <w:hideMark/>
          </w:tcPr>
          <w:p w:rsidR="0066596F" w:rsidRPr="0066596F" w:rsidRDefault="0066596F" w:rsidP="00B26E23">
            <w:pPr>
              <w:jc w:val="center"/>
              <w:rPr>
                <w:b/>
                <w:bCs/>
                <w:sz w:val="20"/>
                <w:szCs w:val="20"/>
                <w:lang w:val="fr-CA" w:eastAsia="en-CA"/>
              </w:rPr>
            </w:pPr>
            <w:r>
              <w:rPr>
                <w:b/>
                <w:bCs/>
                <w:sz w:val="20"/>
                <w:szCs w:val="20"/>
                <w:lang w:val="fr-CA" w:eastAsia="en-CA"/>
              </w:rPr>
              <w:t>Décaissement</w:t>
            </w:r>
          </w:p>
        </w:tc>
        <w:tc>
          <w:tcPr>
            <w:tcW w:w="990" w:type="dxa"/>
            <w:tcBorders>
              <w:top w:val="nil"/>
              <w:left w:val="nil"/>
              <w:bottom w:val="single" w:sz="4" w:space="0" w:color="auto"/>
              <w:right w:val="single" w:sz="4" w:space="0" w:color="auto"/>
            </w:tcBorders>
            <w:shd w:val="clear" w:color="auto" w:fill="auto"/>
            <w:tcMar>
              <w:left w:w="0" w:type="dxa"/>
              <w:right w:w="43" w:type="dxa"/>
            </w:tcMar>
            <w:vAlign w:val="center"/>
            <w:hideMark/>
          </w:tcPr>
          <w:p w:rsidR="0066596F" w:rsidRPr="0066596F" w:rsidRDefault="0066596F" w:rsidP="00B26E23">
            <w:pPr>
              <w:jc w:val="center"/>
              <w:rPr>
                <w:b/>
                <w:bCs/>
                <w:sz w:val="20"/>
                <w:szCs w:val="20"/>
                <w:lang w:val="fr-CA" w:eastAsia="en-CA"/>
              </w:rPr>
            </w:pPr>
            <w:r>
              <w:rPr>
                <w:b/>
                <w:bCs/>
                <w:sz w:val="20"/>
                <w:szCs w:val="20"/>
                <w:lang w:val="fr-CA" w:eastAsia="en-CA"/>
              </w:rPr>
              <w:t>Solde</w:t>
            </w:r>
          </w:p>
        </w:tc>
        <w:tc>
          <w:tcPr>
            <w:tcW w:w="117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66596F" w:rsidRPr="0066596F" w:rsidRDefault="0066596F" w:rsidP="0066596F">
            <w:pPr>
              <w:jc w:val="center"/>
              <w:rPr>
                <w:b/>
                <w:bCs/>
                <w:sz w:val="20"/>
                <w:szCs w:val="20"/>
                <w:lang w:val="fr-CA" w:eastAsia="en-CA"/>
              </w:rPr>
            </w:pPr>
            <w:r>
              <w:rPr>
                <w:b/>
                <w:bCs/>
                <w:sz w:val="20"/>
                <w:szCs w:val="20"/>
                <w:lang w:val="fr-CA" w:eastAsia="en-CA"/>
              </w:rPr>
              <w:t>% de décaissement</w:t>
            </w:r>
          </w:p>
        </w:tc>
      </w:tr>
      <w:tr w:rsidR="0066596F" w:rsidRPr="0066596F" w:rsidTr="009A0953">
        <w:tc>
          <w:tcPr>
            <w:tcW w:w="171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66596F" w:rsidRPr="0066596F" w:rsidRDefault="009A0953" w:rsidP="00B26E23">
            <w:pPr>
              <w:jc w:val="left"/>
              <w:rPr>
                <w:sz w:val="20"/>
                <w:szCs w:val="20"/>
                <w:lang w:val="fr-CA" w:eastAsia="en-CA"/>
              </w:rPr>
            </w:pPr>
            <w:r>
              <w:rPr>
                <w:sz w:val="20"/>
                <w:szCs w:val="20"/>
                <w:lang w:val="fr-CA" w:eastAsia="en-CA"/>
              </w:rPr>
              <w:t>Investissement</w:t>
            </w:r>
          </w:p>
        </w:tc>
        <w:tc>
          <w:tcPr>
            <w:tcW w:w="990" w:type="dxa"/>
            <w:tcBorders>
              <w:top w:val="nil"/>
              <w:left w:val="nil"/>
              <w:bottom w:val="single" w:sz="4" w:space="0" w:color="auto"/>
              <w:right w:val="single" w:sz="4" w:space="0" w:color="auto"/>
            </w:tcBorders>
            <w:shd w:val="clear" w:color="auto" w:fill="auto"/>
            <w:noWrap/>
            <w:tcMar>
              <w:left w:w="0" w:type="dxa"/>
              <w:right w:w="144" w:type="dxa"/>
            </w:tcMar>
            <w:hideMark/>
          </w:tcPr>
          <w:p w:rsidR="0066596F" w:rsidRPr="0066596F" w:rsidRDefault="0066596F" w:rsidP="00B26E23">
            <w:pPr>
              <w:jc w:val="right"/>
              <w:rPr>
                <w:sz w:val="20"/>
                <w:szCs w:val="20"/>
                <w:lang w:val="fr-CA" w:eastAsia="en-CA"/>
              </w:rPr>
            </w:pPr>
            <w:r w:rsidRPr="0066596F">
              <w:rPr>
                <w:sz w:val="20"/>
                <w:szCs w:val="20"/>
                <w:lang w:val="fr-CA" w:eastAsia="en-CA"/>
              </w:rPr>
              <w:t>1</w:t>
            </w:r>
          </w:p>
        </w:tc>
        <w:tc>
          <w:tcPr>
            <w:tcW w:w="900" w:type="dxa"/>
            <w:tcBorders>
              <w:top w:val="nil"/>
              <w:left w:val="nil"/>
              <w:bottom w:val="single" w:sz="4" w:space="0" w:color="auto"/>
              <w:right w:val="single" w:sz="4" w:space="0" w:color="auto"/>
            </w:tcBorders>
            <w:shd w:val="clear" w:color="auto" w:fill="auto"/>
            <w:noWrap/>
            <w:tcMar>
              <w:left w:w="0" w:type="dxa"/>
              <w:right w:w="144" w:type="dxa"/>
            </w:tcMar>
            <w:hideMark/>
          </w:tcPr>
          <w:p w:rsidR="0066596F" w:rsidRPr="0066596F" w:rsidRDefault="0066596F" w:rsidP="00B26E23">
            <w:pPr>
              <w:jc w:val="right"/>
              <w:rPr>
                <w:sz w:val="20"/>
                <w:szCs w:val="20"/>
                <w:lang w:val="fr-CA" w:eastAsia="en-CA"/>
              </w:rPr>
            </w:pPr>
            <w:r w:rsidRPr="0066596F">
              <w:rPr>
                <w:sz w:val="20"/>
                <w:szCs w:val="20"/>
                <w:lang w:val="fr-CA" w:eastAsia="en-CA"/>
              </w:rPr>
              <w:t>0</w:t>
            </w:r>
          </w:p>
        </w:tc>
        <w:tc>
          <w:tcPr>
            <w:tcW w:w="1350" w:type="dxa"/>
            <w:tcBorders>
              <w:top w:val="nil"/>
              <w:left w:val="nil"/>
              <w:bottom w:val="single" w:sz="4" w:space="0" w:color="auto"/>
              <w:right w:val="single" w:sz="4" w:space="0" w:color="auto"/>
            </w:tcBorders>
            <w:shd w:val="clear" w:color="auto" w:fill="auto"/>
            <w:noWrap/>
            <w:tcMar>
              <w:left w:w="0" w:type="dxa"/>
              <w:right w:w="144" w:type="dxa"/>
            </w:tcMar>
            <w:hideMark/>
          </w:tcPr>
          <w:p w:rsidR="0066596F" w:rsidRPr="0066596F" w:rsidRDefault="0066596F" w:rsidP="00B26E23">
            <w:pPr>
              <w:jc w:val="right"/>
              <w:rPr>
                <w:sz w:val="20"/>
                <w:szCs w:val="20"/>
                <w:lang w:val="fr-CA" w:eastAsia="en-CA"/>
              </w:rPr>
            </w:pPr>
            <w:r w:rsidRPr="0066596F">
              <w:rPr>
                <w:sz w:val="20"/>
                <w:szCs w:val="20"/>
                <w:lang w:val="fr-CA" w:eastAsia="en-CA"/>
              </w:rPr>
              <w:t>0</w:t>
            </w:r>
          </w:p>
        </w:tc>
        <w:tc>
          <w:tcPr>
            <w:tcW w:w="990" w:type="dxa"/>
            <w:tcBorders>
              <w:top w:val="nil"/>
              <w:left w:val="nil"/>
              <w:bottom w:val="single" w:sz="4" w:space="0" w:color="auto"/>
              <w:right w:val="single" w:sz="4" w:space="0" w:color="auto"/>
            </w:tcBorders>
            <w:shd w:val="clear" w:color="auto" w:fill="auto"/>
            <w:noWrap/>
            <w:tcMar>
              <w:left w:w="0" w:type="dxa"/>
              <w:right w:w="144" w:type="dxa"/>
            </w:tcMar>
            <w:hideMark/>
          </w:tcPr>
          <w:p w:rsidR="0066596F" w:rsidRPr="0066596F" w:rsidRDefault="0066596F" w:rsidP="00B26E23">
            <w:pPr>
              <w:jc w:val="right"/>
              <w:rPr>
                <w:sz w:val="20"/>
                <w:szCs w:val="20"/>
                <w:lang w:val="fr-CA" w:eastAsia="en-CA"/>
              </w:rPr>
            </w:pPr>
            <w:r w:rsidRPr="0066596F">
              <w:rPr>
                <w:sz w:val="20"/>
                <w:szCs w:val="20"/>
                <w:lang w:val="fr-CA" w:eastAsia="en-CA"/>
              </w:rPr>
              <w:t>183</w:t>
            </w:r>
            <w:r w:rsidR="009A0953">
              <w:rPr>
                <w:sz w:val="20"/>
                <w:szCs w:val="20"/>
                <w:lang w:val="fr-CA" w:eastAsia="en-CA"/>
              </w:rPr>
              <w:t xml:space="preserve"> </w:t>
            </w:r>
            <w:r w:rsidRPr="0066596F">
              <w:rPr>
                <w:sz w:val="20"/>
                <w:szCs w:val="20"/>
                <w:lang w:val="fr-CA" w:eastAsia="en-CA"/>
              </w:rPr>
              <w:t>514</w:t>
            </w:r>
          </w:p>
        </w:tc>
        <w:tc>
          <w:tcPr>
            <w:tcW w:w="1260" w:type="dxa"/>
            <w:tcBorders>
              <w:top w:val="nil"/>
              <w:left w:val="nil"/>
              <w:bottom w:val="single" w:sz="4" w:space="0" w:color="auto"/>
              <w:right w:val="single" w:sz="4" w:space="0" w:color="auto"/>
            </w:tcBorders>
            <w:shd w:val="clear" w:color="auto" w:fill="auto"/>
            <w:noWrap/>
            <w:tcMar>
              <w:left w:w="0" w:type="dxa"/>
              <w:right w:w="144" w:type="dxa"/>
            </w:tcMar>
            <w:hideMark/>
          </w:tcPr>
          <w:p w:rsidR="0066596F" w:rsidRPr="0066596F" w:rsidRDefault="0066596F" w:rsidP="00B26E23">
            <w:pPr>
              <w:jc w:val="right"/>
              <w:rPr>
                <w:sz w:val="20"/>
                <w:szCs w:val="20"/>
                <w:lang w:val="fr-CA" w:eastAsia="en-CA"/>
              </w:rPr>
            </w:pPr>
            <w:r w:rsidRPr="0066596F">
              <w:rPr>
                <w:sz w:val="20"/>
                <w:szCs w:val="20"/>
                <w:lang w:val="fr-CA" w:eastAsia="en-CA"/>
              </w:rPr>
              <w:t>0</w:t>
            </w:r>
          </w:p>
        </w:tc>
        <w:tc>
          <w:tcPr>
            <w:tcW w:w="990" w:type="dxa"/>
            <w:tcBorders>
              <w:top w:val="nil"/>
              <w:left w:val="nil"/>
              <w:bottom w:val="single" w:sz="4" w:space="0" w:color="auto"/>
              <w:right w:val="single" w:sz="4" w:space="0" w:color="auto"/>
            </w:tcBorders>
            <w:shd w:val="clear" w:color="auto" w:fill="auto"/>
            <w:noWrap/>
            <w:tcMar>
              <w:left w:w="0" w:type="dxa"/>
              <w:right w:w="144" w:type="dxa"/>
            </w:tcMar>
            <w:hideMark/>
          </w:tcPr>
          <w:p w:rsidR="0066596F" w:rsidRPr="0066596F" w:rsidRDefault="0066596F" w:rsidP="00B26E23">
            <w:pPr>
              <w:jc w:val="right"/>
              <w:rPr>
                <w:sz w:val="20"/>
                <w:szCs w:val="20"/>
                <w:lang w:val="fr-CA" w:eastAsia="en-CA"/>
              </w:rPr>
            </w:pPr>
            <w:r w:rsidRPr="0066596F">
              <w:rPr>
                <w:sz w:val="20"/>
                <w:szCs w:val="20"/>
                <w:lang w:val="fr-CA" w:eastAsia="en-CA"/>
              </w:rPr>
              <w:t>183</w:t>
            </w:r>
            <w:r w:rsidR="009A0953">
              <w:rPr>
                <w:sz w:val="20"/>
                <w:szCs w:val="20"/>
                <w:lang w:val="fr-CA" w:eastAsia="en-CA"/>
              </w:rPr>
              <w:t xml:space="preserve"> </w:t>
            </w:r>
            <w:r w:rsidRPr="0066596F">
              <w:rPr>
                <w:sz w:val="20"/>
                <w:szCs w:val="20"/>
                <w:lang w:val="fr-CA" w:eastAsia="en-CA"/>
              </w:rPr>
              <w:t>514</w:t>
            </w:r>
          </w:p>
        </w:tc>
        <w:tc>
          <w:tcPr>
            <w:tcW w:w="1170" w:type="dxa"/>
            <w:tcBorders>
              <w:top w:val="nil"/>
              <w:left w:val="nil"/>
              <w:bottom w:val="single" w:sz="4" w:space="0" w:color="auto"/>
              <w:right w:val="single" w:sz="4" w:space="0" w:color="auto"/>
            </w:tcBorders>
            <w:shd w:val="clear" w:color="auto" w:fill="auto"/>
            <w:noWrap/>
            <w:tcMar>
              <w:left w:w="0" w:type="dxa"/>
              <w:right w:w="144" w:type="dxa"/>
            </w:tcMar>
            <w:hideMark/>
          </w:tcPr>
          <w:p w:rsidR="0066596F" w:rsidRPr="0066596F" w:rsidRDefault="0066596F" w:rsidP="00B26E23">
            <w:pPr>
              <w:jc w:val="right"/>
              <w:rPr>
                <w:sz w:val="20"/>
                <w:szCs w:val="20"/>
                <w:lang w:val="fr-CA" w:eastAsia="en-CA"/>
              </w:rPr>
            </w:pPr>
            <w:r w:rsidRPr="0066596F">
              <w:rPr>
                <w:sz w:val="20"/>
                <w:szCs w:val="20"/>
                <w:lang w:val="fr-CA" w:eastAsia="en-CA"/>
              </w:rPr>
              <w:t>0</w:t>
            </w:r>
          </w:p>
        </w:tc>
      </w:tr>
      <w:tr w:rsidR="0066596F" w:rsidRPr="0066596F" w:rsidTr="009A0953">
        <w:tc>
          <w:tcPr>
            <w:tcW w:w="171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66596F" w:rsidRPr="0066596F" w:rsidRDefault="009A0953" w:rsidP="00B26E23">
            <w:pPr>
              <w:jc w:val="left"/>
              <w:rPr>
                <w:sz w:val="20"/>
                <w:szCs w:val="20"/>
                <w:lang w:val="fr-CA" w:eastAsia="en-CA"/>
              </w:rPr>
            </w:pPr>
            <w:r>
              <w:rPr>
                <w:sz w:val="20"/>
                <w:szCs w:val="20"/>
                <w:lang w:val="fr-CA" w:eastAsia="en-CA"/>
              </w:rPr>
              <w:t>Préparation de projets</w:t>
            </w:r>
          </w:p>
        </w:tc>
        <w:tc>
          <w:tcPr>
            <w:tcW w:w="990" w:type="dxa"/>
            <w:tcBorders>
              <w:top w:val="nil"/>
              <w:left w:val="nil"/>
              <w:bottom w:val="single" w:sz="4" w:space="0" w:color="auto"/>
              <w:right w:val="single" w:sz="4" w:space="0" w:color="auto"/>
            </w:tcBorders>
            <w:shd w:val="clear" w:color="auto" w:fill="auto"/>
            <w:noWrap/>
            <w:tcMar>
              <w:left w:w="0" w:type="dxa"/>
              <w:right w:w="144" w:type="dxa"/>
            </w:tcMar>
            <w:hideMark/>
          </w:tcPr>
          <w:p w:rsidR="0066596F" w:rsidRPr="0066596F" w:rsidRDefault="0066596F" w:rsidP="00B26E23">
            <w:pPr>
              <w:jc w:val="right"/>
              <w:rPr>
                <w:sz w:val="20"/>
                <w:szCs w:val="20"/>
                <w:lang w:val="fr-CA" w:eastAsia="en-CA"/>
              </w:rPr>
            </w:pPr>
            <w:r w:rsidRPr="0066596F">
              <w:rPr>
                <w:sz w:val="20"/>
                <w:szCs w:val="20"/>
                <w:lang w:val="fr-CA" w:eastAsia="en-CA"/>
              </w:rPr>
              <w:t>1</w:t>
            </w:r>
          </w:p>
        </w:tc>
        <w:tc>
          <w:tcPr>
            <w:tcW w:w="900" w:type="dxa"/>
            <w:tcBorders>
              <w:top w:val="nil"/>
              <w:left w:val="nil"/>
              <w:bottom w:val="single" w:sz="4" w:space="0" w:color="auto"/>
              <w:right w:val="single" w:sz="4" w:space="0" w:color="auto"/>
            </w:tcBorders>
            <w:shd w:val="clear" w:color="auto" w:fill="auto"/>
            <w:noWrap/>
            <w:tcMar>
              <w:left w:w="0" w:type="dxa"/>
              <w:right w:w="144" w:type="dxa"/>
            </w:tcMar>
            <w:hideMark/>
          </w:tcPr>
          <w:p w:rsidR="0066596F" w:rsidRPr="0066596F" w:rsidRDefault="0066596F" w:rsidP="00B26E23">
            <w:pPr>
              <w:jc w:val="right"/>
              <w:rPr>
                <w:sz w:val="20"/>
                <w:szCs w:val="20"/>
                <w:lang w:val="fr-CA" w:eastAsia="en-CA"/>
              </w:rPr>
            </w:pPr>
            <w:r w:rsidRPr="0066596F">
              <w:rPr>
                <w:sz w:val="20"/>
                <w:szCs w:val="20"/>
                <w:lang w:val="fr-CA" w:eastAsia="en-CA"/>
              </w:rPr>
              <w:t>1</w:t>
            </w:r>
          </w:p>
        </w:tc>
        <w:tc>
          <w:tcPr>
            <w:tcW w:w="1350" w:type="dxa"/>
            <w:tcBorders>
              <w:top w:val="nil"/>
              <w:left w:val="nil"/>
              <w:bottom w:val="single" w:sz="4" w:space="0" w:color="auto"/>
              <w:right w:val="single" w:sz="4" w:space="0" w:color="auto"/>
            </w:tcBorders>
            <w:shd w:val="clear" w:color="auto" w:fill="auto"/>
            <w:noWrap/>
            <w:tcMar>
              <w:left w:w="0" w:type="dxa"/>
              <w:right w:w="144" w:type="dxa"/>
            </w:tcMar>
            <w:hideMark/>
          </w:tcPr>
          <w:p w:rsidR="0066596F" w:rsidRPr="0066596F" w:rsidRDefault="0066596F" w:rsidP="00B26E23">
            <w:pPr>
              <w:jc w:val="right"/>
              <w:rPr>
                <w:sz w:val="20"/>
                <w:szCs w:val="20"/>
                <w:lang w:val="fr-CA" w:eastAsia="en-CA"/>
              </w:rPr>
            </w:pPr>
            <w:r w:rsidRPr="0066596F">
              <w:rPr>
                <w:sz w:val="20"/>
                <w:szCs w:val="20"/>
                <w:lang w:val="fr-CA" w:eastAsia="en-CA"/>
              </w:rPr>
              <w:t>100</w:t>
            </w:r>
          </w:p>
        </w:tc>
        <w:tc>
          <w:tcPr>
            <w:tcW w:w="990" w:type="dxa"/>
            <w:tcBorders>
              <w:top w:val="nil"/>
              <w:left w:val="nil"/>
              <w:bottom w:val="single" w:sz="4" w:space="0" w:color="auto"/>
              <w:right w:val="single" w:sz="4" w:space="0" w:color="auto"/>
            </w:tcBorders>
            <w:shd w:val="clear" w:color="auto" w:fill="auto"/>
            <w:noWrap/>
            <w:tcMar>
              <w:left w:w="0" w:type="dxa"/>
              <w:right w:w="144" w:type="dxa"/>
            </w:tcMar>
            <w:hideMark/>
          </w:tcPr>
          <w:p w:rsidR="0066596F" w:rsidRPr="0066596F" w:rsidRDefault="0066596F" w:rsidP="00B26E23">
            <w:pPr>
              <w:jc w:val="right"/>
              <w:rPr>
                <w:sz w:val="20"/>
                <w:szCs w:val="20"/>
                <w:lang w:val="fr-CA" w:eastAsia="en-CA"/>
              </w:rPr>
            </w:pPr>
            <w:r w:rsidRPr="0066596F">
              <w:rPr>
                <w:sz w:val="20"/>
                <w:szCs w:val="20"/>
                <w:lang w:val="fr-CA" w:eastAsia="en-CA"/>
              </w:rPr>
              <w:t>30</w:t>
            </w:r>
            <w:r w:rsidR="009A0953">
              <w:rPr>
                <w:sz w:val="20"/>
                <w:szCs w:val="20"/>
                <w:lang w:val="fr-CA" w:eastAsia="en-CA"/>
              </w:rPr>
              <w:t xml:space="preserve"> </w:t>
            </w:r>
            <w:r w:rsidRPr="0066596F">
              <w:rPr>
                <w:sz w:val="20"/>
                <w:szCs w:val="20"/>
                <w:lang w:val="fr-CA" w:eastAsia="en-CA"/>
              </w:rPr>
              <w:t>000</w:t>
            </w:r>
          </w:p>
        </w:tc>
        <w:tc>
          <w:tcPr>
            <w:tcW w:w="1260" w:type="dxa"/>
            <w:tcBorders>
              <w:top w:val="nil"/>
              <w:left w:val="nil"/>
              <w:bottom w:val="single" w:sz="4" w:space="0" w:color="auto"/>
              <w:right w:val="single" w:sz="4" w:space="0" w:color="auto"/>
            </w:tcBorders>
            <w:shd w:val="clear" w:color="auto" w:fill="auto"/>
            <w:noWrap/>
            <w:tcMar>
              <w:left w:w="0" w:type="dxa"/>
              <w:right w:w="144" w:type="dxa"/>
            </w:tcMar>
            <w:hideMark/>
          </w:tcPr>
          <w:p w:rsidR="0066596F" w:rsidRPr="0066596F" w:rsidRDefault="0066596F" w:rsidP="00B26E23">
            <w:pPr>
              <w:jc w:val="right"/>
              <w:rPr>
                <w:sz w:val="20"/>
                <w:szCs w:val="20"/>
                <w:lang w:val="fr-CA" w:eastAsia="en-CA"/>
              </w:rPr>
            </w:pPr>
            <w:r w:rsidRPr="0066596F">
              <w:rPr>
                <w:sz w:val="20"/>
                <w:szCs w:val="20"/>
                <w:lang w:val="fr-CA" w:eastAsia="en-CA"/>
              </w:rPr>
              <w:t>30</w:t>
            </w:r>
            <w:r w:rsidR="009A0953">
              <w:rPr>
                <w:sz w:val="20"/>
                <w:szCs w:val="20"/>
                <w:lang w:val="fr-CA" w:eastAsia="en-CA"/>
              </w:rPr>
              <w:t xml:space="preserve"> </w:t>
            </w:r>
            <w:r w:rsidRPr="0066596F">
              <w:rPr>
                <w:sz w:val="20"/>
                <w:szCs w:val="20"/>
                <w:lang w:val="fr-CA" w:eastAsia="en-CA"/>
              </w:rPr>
              <w:t>000</w:t>
            </w:r>
          </w:p>
        </w:tc>
        <w:tc>
          <w:tcPr>
            <w:tcW w:w="990" w:type="dxa"/>
            <w:tcBorders>
              <w:top w:val="nil"/>
              <w:left w:val="nil"/>
              <w:bottom w:val="single" w:sz="4" w:space="0" w:color="auto"/>
              <w:right w:val="single" w:sz="4" w:space="0" w:color="auto"/>
            </w:tcBorders>
            <w:shd w:val="clear" w:color="auto" w:fill="auto"/>
            <w:noWrap/>
            <w:tcMar>
              <w:left w:w="0" w:type="dxa"/>
              <w:right w:w="144" w:type="dxa"/>
            </w:tcMar>
            <w:hideMark/>
          </w:tcPr>
          <w:p w:rsidR="0066596F" w:rsidRPr="0066596F" w:rsidRDefault="0066596F" w:rsidP="00B26E23">
            <w:pPr>
              <w:jc w:val="right"/>
              <w:rPr>
                <w:sz w:val="20"/>
                <w:szCs w:val="20"/>
                <w:lang w:val="fr-CA" w:eastAsia="en-CA"/>
              </w:rPr>
            </w:pPr>
            <w:r w:rsidRPr="0066596F">
              <w:rPr>
                <w:sz w:val="20"/>
                <w:szCs w:val="20"/>
                <w:lang w:val="fr-CA" w:eastAsia="en-CA"/>
              </w:rPr>
              <w:t>0</w:t>
            </w:r>
          </w:p>
        </w:tc>
        <w:tc>
          <w:tcPr>
            <w:tcW w:w="1170" w:type="dxa"/>
            <w:tcBorders>
              <w:top w:val="nil"/>
              <w:left w:val="nil"/>
              <w:bottom w:val="single" w:sz="4" w:space="0" w:color="auto"/>
              <w:right w:val="single" w:sz="4" w:space="0" w:color="auto"/>
            </w:tcBorders>
            <w:shd w:val="clear" w:color="auto" w:fill="auto"/>
            <w:noWrap/>
            <w:tcMar>
              <w:left w:w="0" w:type="dxa"/>
              <w:right w:w="144" w:type="dxa"/>
            </w:tcMar>
            <w:hideMark/>
          </w:tcPr>
          <w:p w:rsidR="0066596F" w:rsidRPr="0066596F" w:rsidRDefault="0066596F" w:rsidP="00B26E23">
            <w:pPr>
              <w:jc w:val="right"/>
              <w:rPr>
                <w:sz w:val="20"/>
                <w:szCs w:val="20"/>
                <w:lang w:val="fr-CA" w:eastAsia="en-CA"/>
              </w:rPr>
            </w:pPr>
            <w:r w:rsidRPr="0066596F">
              <w:rPr>
                <w:sz w:val="20"/>
                <w:szCs w:val="20"/>
                <w:lang w:val="fr-CA" w:eastAsia="en-CA"/>
              </w:rPr>
              <w:t>100</w:t>
            </w:r>
          </w:p>
        </w:tc>
      </w:tr>
      <w:tr w:rsidR="0066596F" w:rsidRPr="0066596F" w:rsidTr="009A0953">
        <w:tc>
          <w:tcPr>
            <w:tcW w:w="1710"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rsidR="0066596F" w:rsidRPr="0066596F" w:rsidRDefault="009A0953" w:rsidP="00B26E23">
            <w:pPr>
              <w:jc w:val="left"/>
              <w:rPr>
                <w:sz w:val="20"/>
                <w:szCs w:val="20"/>
                <w:lang w:val="fr-CA" w:eastAsia="en-CA"/>
              </w:rPr>
            </w:pPr>
            <w:r>
              <w:rPr>
                <w:sz w:val="20"/>
                <w:szCs w:val="20"/>
                <w:lang w:val="fr-CA" w:eastAsia="en-CA"/>
              </w:rPr>
              <w:t>Assistance technique, activités de facilitation</w:t>
            </w:r>
          </w:p>
        </w:tc>
        <w:tc>
          <w:tcPr>
            <w:tcW w:w="990" w:type="dxa"/>
            <w:tcBorders>
              <w:top w:val="nil"/>
              <w:left w:val="nil"/>
              <w:bottom w:val="single" w:sz="4" w:space="0" w:color="auto"/>
              <w:right w:val="single" w:sz="4" w:space="0" w:color="auto"/>
            </w:tcBorders>
            <w:shd w:val="clear" w:color="auto" w:fill="auto"/>
            <w:tcMar>
              <w:left w:w="0" w:type="dxa"/>
              <w:right w:w="144" w:type="dxa"/>
            </w:tcMar>
            <w:hideMark/>
          </w:tcPr>
          <w:p w:rsidR="0066596F" w:rsidRPr="0066596F" w:rsidRDefault="0066596F" w:rsidP="00B26E23">
            <w:pPr>
              <w:jc w:val="right"/>
              <w:rPr>
                <w:sz w:val="20"/>
                <w:szCs w:val="20"/>
                <w:lang w:val="fr-CA" w:eastAsia="en-CA"/>
              </w:rPr>
            </w:pPr>
            <w:r w:rsidRPr="0066596F">
              <w:rPr>
                <w:sz w:val="20"/>
                <w:szCs w:val="20"/>
                <w:lang w:val="fr-CA" w:eastAsia="en-CA"/>
              </w:rPr>
              <w:t>4</w:t>
            </w:r>
          </w:p>
        </w:tc>
        <w:tc>
          <w:tcPr>
            <w:tcW w:w="900" w:type="dxa"/>
            <w:tcBorders>
              <w:top w:val="nil"/>
              <w:left w:val="nil"/>
              <w:bottom w:val="single" w:sz="4" w:space="0" w:color="auto"/>
              <w:right w:val="single" w:sz="4" w:space="0" w:color="auto"/>
            </w:tcBorders>
            <w:shd w:val="clear" w:color="auto" w:fill="auto"/>
            <w:tcMar>
              <w:left w:w="0" w:type="dxa"/>
              <w:right w:w="144" w:type="dxa"/>
            </w:tcMar>
            <w:hideMark/>
          </w:tcPr>
          <w:p w:rsidR="0066596F" w:rsidRPr="0066596F" w:rsidRDefault="0066596F" w:rsidP="00B26E23">
            <w:pPr>
              <w:jc w:val="right"/>
              <w:rPr>
                <w:sz w:val="20"/>
                <w:szCs w:val="20"/>
                <w:lang w:val="fr-CA" w:eastAsia="en-CA"/>
              </w:rPr>
            </w:pPr>
            <w:r w:rsidRPr="0066596F">
              <w:rPr>
                <w:sz w:val="20"/>
                <w:szCs w:val="20"/>
                <w:lang w:val="fr-CA" w:eastAsia="en-CA"/>
              </w:rPr>
              <w:t>0</w:t>
            </w:r>
          </w:p>
        </w:tc>
        <w:tc>
          <w:tcPr>
            <w:tcW w:w="1350" w:type="dxa"/>
            <w:tcBorders>
              <w:top w:val="nil"/>
              <w:left w:val="nil"/>
              <w:bottom w:val="single" w:sz="4" w:space="0" w:color="auto"/>
              <w:right w:val="single" w:sz="4" w:space="0" w:color="auto"/>
            </w:tcBorders>
            <w:shd w:val="clear" w:color="auto" w:fill="auto"/>
            <w:noWrap/>
            <w:tcMar>
              <w:left w:w="0" w:type="dxa"/>
              <w:right w:w="144" w:type="dxa"/>
            </w:tcMar>
            <w:hideMark/>
          </w:tcPr>
          <w:p w:rsidR="0066596F" w:rsidRPr="0066596F" w:rsidRDefault="0066596F" w:rsidP="00B26E23">
            <w:pPr>
              <w:jc w:val="right"/>
              <w:rPr>
                <w:sz w:val="20"/>
                <w:szCs w:val="20"/>
                <w:lang w:val="fr-CA" w:eastAsia="en-CA"/>
              </w:rPr>
            </w:pPr>
            <w:r w:rsidRPr="0066596F">
              <w:rPr>
                <w:sz w:val="20"/>
                <w:szCs w:val="20"/>
                <w:lang w:val="fr-CA" w:eastAsia="en-CA"/>
              </w:rPr>
              <w:t>0</w:t>
            </w:r>
          </w:p>
        </w:tc>
        <w:tc>
          <w:tcPr>
            <w:tcW w:w="990" w:type="dxa"/>
            <w:tcBorders>
              <w:top w:val="nil"/>
              <w:left w:val="nil"/>
              <w:bottom w:val="single" w:sz="4" w:space="0" w:color="auto"/>
              <w:right w:val="single" w:sz="4" w:space="0" w:color="auto"/>
            </w:tcBorders>
            <w:shd w:val="clear" w:color="auto" w:fill="auto"/>
            <w:tcMar>
              <w:left w:w="0" w:type="dxa"/>
              <w:right w:w="144" w:type="dxa"/>
            </w:tcMar>
            <w:hideMark/>
          </w:tcPr>
          <w:p w:rsidR="0066596F" w:rsidRPr="0066596F" w:rsidRDefault="0066596F" w:rsidP="00B26E23">
            <w:pPr>
              <w:jc w:val="right"/>
              <w:rPr>
                <w:sz w:val="20"/>
                <w:szCs w:val="20"/>
                <w:lang w:val="fr-CA" w:eastAsia="en-CA"/>
              </w:rPr>
            </w:pPr>
            <w:r w:rsidRPr="0066596F">
              <w:rPr>
                <w:sz w:val="20"/>
                <w:szCs w:val="20"/>
                <w:lang w:val="fr-CA" w:eastAsia="en-CA"/>
              </w:rPr>
              <w:t>1</w:t>
            </w:r>
            <w:r w:rsidR="009A0953">
              <w:rPr>
                <w:sz w:val="20"/>
                <w:szCs w:val="20"/>
                <w:lang w:val="fr-CA" w:eastAsia="en-CA"/>
              </w:rPr>
              <w:t xml:space="preserve"> </w:t>
            </w:r>
            <w:r w:rsidRPr="0066596F">
              <w:rPr>
                <w:sz w:val="20"/>
                <w:szCs w:val="20"/>
                <w:lang w:val="fr-CA" w:eastAsia="en-CA"/>
              </w:rPr>
              <w:t>000</w:t>
            </w:r>
            <w:r w:rsidR="009A0953">
              <w:rPr>
                <w:sz w:val="20"/>
                <w:szCs w:val="20"/>
                <w:lang w:val="fr-CA" w:eastAsia="en-CA"/>
              </w:rPr>
              <w:t xml:space="preserve"> </w:t>
            </w:r>
            <w:r w:rsidRPr="0066596F">
              <w:rPr>
                <w:sz w:val="20"/>
                <w:szCs w:val="20"/>
                <w:lang w:val="fr-CA" w:eastAsia="en-CA"/>
              </w:rPr>
              <w:t>000</w:t>
            </w:r>
          </w:p>
        </w:tc>
        <w:tc>
          <w:tcPr>
            <w:tcW w:w="1260" w:type="dxa"/>
            <w:tcBorders>
              <w:top w:val="nil"/>
              <w:left w:val="nil"/>
              <w:bottom w:val="single" w:sz="4" w:space="0" w:color="auto"/>
              <w:right w:val="single" w:sz="4" w:space="0" w:color="auto"/>
            </w:tcBorders>
            <w:shd w:val="clear" w:color="auto" w:fill="auto"/>
            <w:tcMar>
              <w:left w:w="0" w:type="dxa"/>
              <w:right w:w="144" w:type="dxa"/>
            </w:tcMar>
            <w:hideMark/>
          </w:tcPr>
          <w:p w:rsidR="0066596F" w:rsidRPr="0066596F" w:rsidRDefault="0066596F" w:rsidP="00B26E23">
            <w:pPr>
              <w:jc w:val="right"/>
              <w:rPr>
                <w:sz w:val="20"/>
                <w:szCs w:val="20"/>
                <w:lang w:val="fr-CA" w:eastAsia="en-CA"/>
              </w:rPr>
            </w:pPr>
            <w:r w:rsidRPr="0066596F">
              <w:rPr>
                <w:sz w:val="20"/>
                <w:szCs w:val="20"/>
                <w:lang w:val="fr-CA" w:eastAsia="en-CA"/>
              </w:rPr>
              <w:t>113</w:t>
            </w:r>
            <w:r w:rsidR="009A0953">
              <w:rPr>
                <w:sz w:val="20"/>
                <w:szCs w:val="20"/>
                <w:lang w:val="fr-CA" w:eastAsia="en-CA"/>
              </w:rPr>
              <w:t xml:space="preserve"> </w:t>
            </w:r>
            <w:r w:rsidRPr="0066596F">
              <w:rPr>
                <w:sz w:val="20"/>
                <w:szCs w:val="20"/>
                <w:lang w:val="fr-CA" w:eastAsia="en-CA"/>
              </w:rPr>
              <w:t>390</w:t>
            </w:r>
          </w:p>
        </w:tc>
        <w:tc>
          <w:tcPr>
            <w:tcW w:w="990" w:type="dxa"/>
            <w:tcBorders>
              <w:top w:val="nil"/>
              <w:left w:val="nil"/>
              <w:bottom w:val="single" w:sz="4" w:space="0" w:color="auto"/>
              <w:right w:val="single" w:sz="4" w:space="0" w:color="auto"/>
            </w:tcBorders>
            <w:shd w:val="clear" w:color="auto" w:fill="auto"/>
            <w:tcMar>
              <w:left w:w="0" w:type="dxa"/>
              <w:right w:w="144" w:type="dxa"/>
            </w:tcMar>
            <w:hideMark/>
          </w:tcPr>
          <w:p w:rsidR="0066596F" w:rsidRPr="0066596F" w:rsidRDefault="0066596F" w:rsidP="00B26E23">
            <w:pPr>
              <w:jc w:val="right"/>
              <w:rPr>
                <w:sz w:val="20"/>
                <w:szCs w:val="20"/>
                <w:lang w:val="fr-CA" w:eastAsia="en-CA"/>
              </w:rPr>
            </w:pPr>
            <w:r w:rsidRPr="0066596F">
              <w:rPr>
                <w:sz w:val="20"/>
                <w:szCs w:val="20"/>
                <w:lang w:val="fr-CA" w:eastAsia="en-CA"/>
              </w:rPr>
              <w:t>886</w:t>
            </w:r>
            <w:r w:rsidR="009A0953">
              <w:rPr>
                <w:sz w:val="20"/>
                <w:szCs w:val="20"/>
                <w:lang w:val="fr-CA" w:eastAsia="en-CA"/>
              </w:rPr>
              <w:t xml:space="preserve"> </w:t>
            </w:r>
            <w:r w:rsidRPr="0066596F">
              <w:rPr>
                <w:sz w:val="20"/>
                <w:szCs w:val="20"/>
                <w:lang w:val="fr-CA" w:eastAsia="en-CA"/>
              </w:rPr>
              <w:t>610</w:t>
            </w:r>
          </w:p>
        </w:tc>
        <w:tc>
          <w:tcPr>
            <w:tcW w:w="1170" w:type="dxa"/>
            <w:tcBorders>
              <w:top w:val="nil"/>
              <w:left w:val="nil"/>
              <w:bottom w:val="single" w:sz="4" w:space="0" w:color="auto"/>
              <w:right w:val="single" w:sz="4" w:space="0" w:color="auto"/>
            </w:tcBorders>
            <w:shd w:val="clear" w:color="auto" w:fill="auto"/>
            <w:noWrap/>
            <w:tcMar>
              <w:left w:w="0" w:type="dxa"/>
              <w:right w:w="144" w:type="dxa"/>
            </w:tcMar>
            <w:hideMark/>
          </w:tcPr>
          <w:p w:rsidR="0066596F" w:rsidRPr="0066596F" w:rsidRDefault="0066596F" w:rsidP="00B26E23">
            <w:pPr>
              <w:jc w:val="right"/>
              <w:rPr>
                <w:sz w:val="20"/>
                <w:szCs w:val="20"/>
                <w:lang w:val="fr-CA" w:eastAsia="en-CA"/>
              </w:rPr>
            </w:pPr>
            <w:r w:rsidRPr="0066596F">
              <w:rPr>
                <w:sz w:val="20"/>
                <w:szCs w:val="20"/>
                <w:lang w:val="fr-CA" w:eastAsia="en-CA"/>
              </w:rPr>
              <w:t>11</w:t>
            </w:r>
          </w:p>
        </w:tc>
      </w:tr>
      <w:tr w:rsidR="0066596F" w:rsidRPr="0066596F" w:rsidTr="009A0953">
        <w:tc>
          <w:tcPr>
            <w:tcW w:w="171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66596F" w:rsidRPr="0066596F" w:rsidRDefault="0066596F" w:rsidP="00B26E23">
            <w:pPr>
              <w:jc w:val="left"/>
              <w:rPr>
                <w:b/>
                <w:bCs/>
                <w:sz w:val="20"/>
                <w:szCs w:val="20"/>
                <w:lang w:val="fr-CA" w:eastAsia="en-CA"/>
              </w:rPr>
            </w:pPr>
            <w:r w:rsidRPr="0066596F">
              <w:rPr>
                <w:b/>
                <w:bCs/>
                <w:sz w:val="20"/>
                <w:szCs w:val="20"/>
                <w:lang w:val="fr-CA" w:eastAsia="en-CA"/>
              </w:rPr>
              <w:t>Total</w:t>
            </w:r>
          </w:p>
        </w:tc>
        <w:tc>
          <w:tcPr>
            <w:tcW w:w="990" w:type="dxa"/>
            <w:tcBorders>
              <w:top w:val="nil"/>
              <w:left w:val="nil"/>
              <w:bottom w:val="single" w:sz="4" w:space="0" w:color="auto"/>
              <w:right w:val="single" w:sz="4" w:space="0" w:color="auto"/>
            </w:tcBorders>
            <w:shd w:val="clear" w:color="auto" w:fill="auto"/>
            <w:noWrap/>
            <w:tcMar>
              <w:left w:w="0" w:type="dxa"/>
              <w:right w:w="144" w:type="dxa"/>
            </w:tcMar>
            <w:hideMark/>
          </w:tcPr>
          <w:p w:rsidR="0066596F" w:rsidRPr="0066596F" w:rsidRDefault="0066596F" w:rsidP="00B26E23">
            <w:pPr>
              <w:jc w:val="right"/>
              <w:rPr>
                <w:b/>
                <w:bCs/>
                <w:sz w:val="20"/>
                <w:szCs w:val="20"/>
                <w:lang w:val="fr-CA" w:eastAsia="en-CA"/>
              </w:rPr>
            </w:pPr>
            <w:r w:rsidRPr="0066596F">
              <w:rPr>
                <w:b/>
                <w:bCs/>
                <w:sz w:val="20"/>
                <w:szCs w:val="20"/>
                <w:lang w:val="fr-CA" w:eastAsia="en-CA"/>
              </w:rPr>
              <w:t>6</w:t>
            </w:r>
          </w:p>
        </w:tc>
        <w:tc>
          <w:tcPr>
            <w:tcW w:w="900" w:type="dxa"/>
            <w:tcBorders>
              <w:top w:val="nil"/>
              <w:left w:val="nil"/>
              <w:bottom w:val="single" w:sz="4" w:space="0" w:color="auto"/>
              <w:right w:val="single" w:sz="4" w:space="0" w:color="auto"/>
            </w:tcBorders>
            <w:shd w:val="clear" w:color="auto" w:fill="auto"/>
            <w:noWrap/>
            <w:tcMar>
              <w:left w:w="0" w:type="dxa"/>
              <w:right w:w="144" w:type="dxa"/>
            </w:tcMar>
            <w:hideMark/>
          </w:tcPr>
          <w:p w:rsidR="0066596F" w:rsidRPr="0066596F" w:rsidRDefault="0066596F" w:rsidP="00B26E23">
            <w:pPr>
              <w:jc w:val="right"/>
              <w:rPr>
                <w:b/>
                <w:bCs/>
                <w:sz w:val="20"/>
                <w:szCs w:val="20"/>
                <w:lang w:val="fr-CA" w:eastAsia="en-CA"/>
              </w:rPr>
            </w:pPr>
            <w:r w:rsidRPr="0066596F">
              <w:rPr>
                <w:b/>
                <w:bCs/>
                <w:sz w:val="20"/>
                <w:szCs w:val="20"/>
                <w:lang w:val="fr-CA" w:eastAsia="en-CA"/>
              </w:rPr>
              <w:t>1</w:t>
            </w:r>
          </w:p>
        </w:tc>
        <w:tc>
          <w:tcPr>
            <w:tcW w:w="1350" w:type="dxa"/>
            <w:tcBorders>
              <w:top w:val="nil"/>
              <w:left w:val="nil"/>
              <w:bottom w:val="single" w:sz="4" w:space="0" w:color="auto"/>
              <w:right w:val="single" w:sz="4" w:space="0" w:color="auto"/>
            </w:tcBorders>
            <w:shd w:val="clear" w:color="auto" w:fill="auto"/>
            <w:noWrap/>
            <w:tcMar>
              <w:left w:w="0" w:type="dxa"/>
              <w:right w:w="144" w:type="dxa"/>
            </w:tcMar>
            <w:hideMark/>
          </w:tcPr>
          <w:p w:rsidR="0066596F" w:rsidRPr="0066596F" w:rsidRDefault="0066596F" w:rsidP="00B26E23">
            <w:pPr>
              <w:jc w:val="right"/>
              <w:rPr>
                <w:b/>
                <w:sz w:val="20"/>
                <w:szCs w:val="20"/>
                <w:lang w:val="fr-CA" w:eastAsia="en-CA"/>
              </w:rPr>
            </w:pPr>
            <w:r w:rsidRPr="0066596F">
              <w:rPr>
                <w:b/>
                <w:sz w:val="20"/>
                <w:szCs w:val="20"/>
                <w:lang w:val="fr-CA" w:eastAsia="en-CA"/>
              </w:rPr>
              <w:t>17</w:t>
            </w:r>
          </w:p>
        </w:tc>
        <w:tc>
          <w:tcPr>
            <w:tcW w:w="990" w:type="dxa"/>
            <w:tcBorders>
              <w:top w:val="nil"/>
              <w:left w:val="nil"/>
              <w:bottom w:val="single" w:sz="4" w:space="0" w:color="auto"/>
              <w:right w:val="single" w:sz="4" w:space="0" w:color="auto"/>
            </w:tcBorders>
            <w:shd w:val="clear" w:color="auto" w:fill="auto"/>
            <w:noWrap/>
            <w:tcMar>
              <w:left w:w="0" w:type="dxa"/>
              <w:right w:w="144" w:type="dxa"/>
            </w:tcMar>
            <w:hideMark/>
          </w:tcPr>
          <w:p w:rsidR="0066596F" w:rsidRPr="0066596F" w:rsidRDefault="0066596F" w:rsidP="00B26E23">
            <w:pPr>
              <w:jc w:val="right"/>
              <w:rPr>
                <w:b/>
                <w:bCs/>
                <w:sz w:val="20"/>
                <w:szCs w:val="20"/>
                <w:lang w:val="fr-CA" w:eastAsia="en-CA"/>
              </w:rPr>
            </w:pPr>
            <w:r w:rsidRPr="0066596F">
              <w:rPr>
                <w:b/>
                <w:bCs/>
                <w:sz w:val="20"/>
                <w:szCs w:val="20"/>
                <w:lang w:val="fr-CA" w:eastAsia="en-CA"/>
              </w:rPr>
              <w:t>1</w:t>
            </w:r>
            <w:r w:rsidR="009A0953">
              <w:rPr>
                <w:b/>
                <w:bCs/>
                <w:sz w:val="20"/>
                <w:szCs w:val="20"/>
                <w:lang w:val="fr-CA" w:eastAsia="en-CA"/>
              </w:rPr>
              <w:t xml:space="preserve"> </w:t>
            </w:r>
            <w:r w:rsidRPr="0066596F">
              <w:rPr>
                <w:b/>
                <w:bCs/>
                <w:sz w:val="20"/>
                <w:szCs w:val="20"/>
                <w:lang w:val="fr-CA" w:eastAsia="en-CA"/>
              </w:rPr>
              <w:t>213</w:t>
            </w:r>
            <w:r w:rsidR="009A0953">
              <w:rPr>
                <w:b/>
                <w:bCs/>
                <w:sz w:val="20"/>
                <w:szCs w:val="20"/>
                <w:lang w:val="fr-CA" w:eastAsia="en-CA"/>
              </w:rPr>
              <w:t xml:space="preserve"> </w:t>
            </w:r>
            <w:r w:rsidRPr="0066596F">
              <w:rPr>
                <w:b/>
                <w:bCs/>
                <w:sz w:val="20"/>
                <w:szCs w:val="20"/>
                <w:lang w:val="fr-CA" w:eastAsia="en-CA"/>
              </w:rPr>
              <w:t>514</w:t>
            </w:r>
          </w:p>
        </w:tc>
        <w:tc>
          <w:tcPr>
            <w:tcW w:w="1260" w:type="dxa"/>
            <w:tcBorders>
              <w:top w:val="nil"/>
              <w:left w:val="nil"/>
              <w:bottom w:val="single" w:sz="4" w:space="0" w:color="auto"/>
              <w:right w:val="single" w:sz="4" w:space="0" w:color="auto"/>
            </w:tcBorders>
            <w:shd w:val="clear" w:color="auto" w:fill="auto"/>
            <w:noWrap/>
            <w:tcMar>
              <w:left w:w="0" w:type="dxa"/>
              <w:right w:w="144" w:type="dxa"/>
            </w:tcMar>
            <w:hideMark/>
          </w:tcPr>
          <w:p w:rsidR="0066596F" w:rsidRPr="0066596F" w:rsidRDefault="0066596F" w:rsidP="00B26E23">
            <w:pPr>
              <w:jc w:val="right"/>
              <w:rPr>
                <w:b/>
                <w:bCs/>
                <w:sz w:val="20"/>
                <w:szCs w:val="20"/>
                <w:lang w:val="fr-CA" w:eastAsia="en-CA"/>
              </w:rPr>
            </w:pPr>
            <w:r w:rsidRPr="0066596F">
              <w:rPr>
                <w:b/>
                <w:bCs/>
                <w:sz w:val="20"/>
                <w:szCs w:val="20"/>
                <w:lang w:val="fr-CA" w:eastAsia="en-CA"/>
              </w:rPr>
              <w:t>143</w:t>
            </w:r>
            <w:r w:rsidR="009A0953">
              <w:rPr>
                <w:b/>
                <w:bCs/>
                <w:sz w:val="20"/>
                <w:szCs w:val="20"/>
                <w:lang w:val="fr-CA" w:eastAsia="en-CA"/>
              </w:rPr>
              <w:t xml:space="preserve"> </w:t>
            </w:r>
            <w:r w:rsidRPr="0066596F">
              <w:rPr>
                <w:b/>
                <w:bCs/>
                <w:sz w:val="20"/>
                <w:szCs w:val="20"/>
                <w:lang w:val="fr-CA" w:eastAsia="en-CA"/>
              </w:rPr>
              <w:t>390</w:t>
            </w:r>
          </w:p>
        </w:tc>
        <w:tc>
          <w:tcPr>
            <w:tcW w:w="990" w:type="dxa"/>
            <w:tcBorders>
              <w:top w:val="nil"/>
              <w:left w:val="nil"/>
              <w:bottom w:val="single" w:sz="4" w:space="0" w:color="auto"/>
              <w:right w:val="single" w:sz="4" w:space="0" w:color="auto"/>
            </w:tcBorders>
            <w:shd w:val="clear" w:color="auto" w:fill="auto"/>
            <w:noWrap/>
            <w:tcMar>
              <w:left w:w="0" w:type="dxa"/>
              <w:right w:w="144" w:type="dxa"/>
            </w:tcMar>
            <w:hideMark/>
          </w:tcPr>
          <w:p w:rsidR="0066596F" w:rsidRPr="0066596F" w:rsidRDefault="0066596F" w:rsidP="00B26E23">
            <w:pPr>
              <w:jc w:val="right"/>
              <w:rPr>
                <w:b/>
                <w:bCs/>
                <w:sz w:val="20"/>
                <w:szCs w:val="20"/>
                <w:lang w:val="fr-CA" w:eastAsia="en-CA"/>
              </w:rPr>
            </w:pPr>
            <w:r w:rsidRPr="0066596F">
              <w:rPr>
                <w:b/>
                <w:bCs/>
                <w:sz w:val="20"/>
                <w:szCs w:val="20"/>
                <w:lang w:val="fr-CA" w:eastAsia="en-CA"/>
              </w:rPr>
              <w:t>1</w:t>
            </w:r>
            <w:r w:rsidR="009A0953">
              <w:rPr>
                <w:b/>
                <w:bCs/>
                <w:sz w:val="20"/>
                <w:szCs w:val="20"/>
                <w:lang w:val="fr-CA" w:eastAsia="en-CA"/>
              </w:rPr>
              <w:t xml:space="preserve"> </w:t>
            </w:r>
            <w:r w:rsidRPr="0066596F">
              <w:rPr>
                <w:b/>
                <w:bCs/>
                <w:sz w:val="20"/>
                <w:szCs w:val="20"/>
                <w:lang w:val="fr-CA" w:eastAsia="en-CA"/>
              </w:rPr>
              <w:t>070</w:t>
            </w:r>
            <w:r w:rsidR="009A0953">
              <w:rPr>
                <w:b/>
                <w:bCs/>
                <w:sz w:val="20"/>
                <w:szCs w:val="20"/>
                <w:lang w:val="fr-CA" w:eastAsia="en-CA"/>
              </w:rPr>
              <w:t xml:space="preserve"> </w:t>
            </w:r>
            <w:r w:rsidRPr="0066596F">
              <w:rPr>
                <w:b/>
                <w:bCs/>
                <w:sz w:val="20"/>
                <w:szCs w:val="20"/>
                <w:lang w:val="fr-CA" w:eastAsia="en-CA"/>
              </w:rPr>
              <w:t>124</w:t>
            </w:r>
          </w:p>
        </w:tc>
        <w:tc>
          <w:tcPr>
            <w:tcW w:w="1170" w:type="dxa"/>
            <w:tcBorders>
              <w:top w:val="nil"/>
              <w:left w:val="nil"/>
              <w:bottom w:val="single" w:sz="4" w:space="0" w:color="auto"/>
              <w:right w:val="single" w:sz="4" w:space="0" w:color="auto"/>
            </w:tcBorders>
            <w:shd w:val="clear" w:color="auto" w:fill="auto"/>
            <w:noWrap/>
            <w:tcMar>
              <w:left w:w="0" w:type="dxa"/>
              <w:right w:w="144" w:type="dxa"/>
            </w:tcMar>
            <w:hideMark/>
          </w:tcPr>
          <w:p w:rsidR="0066596F" w:rsidRPr="0066596F" w:rsidRDefault="0066596F" w:rsidP="00B26E23">
            <w:pPr>
              <w:jc w:val="right"/>
              <w:rPr>
                <w:b/>
                <w:sz w:val="20"/>
                <w:szCs w:val="20"/>
                <w:lang w:val="fr-CA" w:eastAsia="en-CA"/>
              </w:rPr>
            </w:pPr>
            <w:r w:rsidRPr="0066596F">
              <w:rPr>
                <w:b/>
                <w:sz w:val="20"/>
                <w:szCs w:val="20"/>
                <w:lang w:val="fr-CA" w:eastAsia="en-CA"/>
              </w:rPr>
              <w:t>12</w:t>
            </w:r>
          </w:p>
        </w:tc>
      </w:tr>
    </w:tbl>
    <w:p w:rsidR="0066596F" w:rsidRPr="009A0953" w:rsidRDefault="009A0953" w:rsidP="00FC3199">
      <w:pPr>
        <w:pStyle w:val="StyleHeader4Para4Left0Firstline0"/>
        <w:numPr>
          <w:ilvl w:val="0"/>
          <w:numId w:val="0"/>
        </w:numPr>
        <w:tabs>
          <w:tab w:val="clear" w:pos="2880"/>
          <w:tab w:val="clear" w:pos="5760"/>
        </w:tabs>
        <w:rPr>
          <w:lang w:val="fr-CA"/>
        </w:rPr>
      </w:pPr>
      <w:r w:rsidRPr="009A0953">
        <w:rPr>
          <w:lang w:val="fr-CA"/>
        </w:rPr>
        <w:t>*Coûts d’appui à l’agence en sus</w:t>
      </w:r>
    </w:p>
    <w:p w:rsidR="0066596F" w:rsidRDefault="00B26E23" w:rsidP="00B26E23">
      <w:pPr>
        <w:pStyle w:val="StyleHeader4Para4Left0Firstline0"/>
        <w:numPr>
          <w:ilvl w:val="0"/>
          <w:numId w:val="24"/>
        </w:numPr>
        <w:tabs>
          <w:tab w:val="clear" w:pos="2880"/>
          <w:tab w:val="clear" w:pos="5760"/>
        </w:tabs>
        <w:spacing w:after="0"/>
        <w:ind w:left="0" w:firstLine="0"/>
        <w:rPr>
          <w:sz w:val="22"/>
          <w:lang w:val="fr-CA"/>
        </w:rPr>
      </w:pPr>
      <w:r>
        <w:rPr>
          <w:sz w:val="22"/>
          <w:lang w:val="fr-CA"/>
        </w:rPr>
        <w:t>Une des si</w:t>
      </w:r>
      <w:r w:rsidR="009A0953">
        <w:rPr>
          <w:sz w:val="22"/>
          <w:lang w:val="fr-CA"/>
        </w:rPr>
        <w:t>x activités d</w:t>
      </w:r>
      <w:r>
        <w:rPr>
          <w:sz w:val="22"/>
          <w:lang w:val="fr-CA"/>
        </w:rPr>
        <w:t>e préparation de projets approuv</w:t>
      </w:r>
      <w:r w:rsidR="009A0953">
        <w:rPr>
          <w:sz w:val="22"/>
          <w:lang w:val="fr-CA"/>
        </w:rPr>
        <w:t>é</w:t>
      </w:r>
      <w:r w:rsidR="00914DDE">
        <w:rPr>
          <w:sz w:val="22"/>
          <w:lang w:val="fr-CA"/>
        </w:rPr>
        <w:t>e</w:t>
      </w:r>
      <w:r w:rsidR="009A0953">
        <w:rPr>
          <w:sz w:val="22"/>
          <w:lang w:val="fr-CA"/>
        </w:rPr>
        <w:t xml:space="preserve">s </w:t>
      </w:r>
      <w:r w:rsidR="00744C0D">
        <w:rPr>
          <w:sz w:val="22"/>
          <w:lang w:val="fr-CA"/>
        </w:rPr>
        <w:t>en date de</w:t>
      </w:r>
      <w:r w:rsidR="009A0953">
        <w:rPr>
          <w:sz w:val="22"/>
          <w:lang w:val="fr-CA"/>
        </w:rPr>
        <w:t xml:space="preserve"> la fin de 2018 a été menée à terme. </w:t>
      </w:r>
      <w:r>
        <w:rPr>
          <w:sz w:val="22"/>
          <w:lang w:val="fr-CA"/>
        </w:rPr>
        <w:t>Le projet d’investissement portant sur l’</w:t>
      </w:r>
      <w:r w:rsidR="00744C0D">
        <w:rPr>
          <w:sz w:val="22"/>
          <w:lang w:val="fr-CA"/>
        </w:rPr>
        <w:t>élimination de 8,8 tm (12 555 t</w:t>
      </w:r>
      <w:r w:rsidR="00182D2E">
        <w:rPr>
          <w:sz w:val="22"/>
          <w:lang w:val="fr-CA"/>
        </w:rPr>
        <w:t>m</w:t>
      </w:r>
      <w:r>
        <w:rPr>
          <w:sz w:val="22"/>
          <w:lang w:val="fr-CA"/>
        </w:rPr>
        <w:t xml:space="preserve"> éq-CO</w:t>
      </w:r>
      <w:r w:rsidRPr="00744C0D">
        <w:rPr>
          <w:sz w:val="22"/>
          <w:vertAlign w:val="subscript"/>
          <w:lang w:val="fr-CA"/>
        </w:rPr>
        <w:t>2</w:t>
      </w:r>
      <w:r>
        <w:rPr>
          <w:sz w:val="22"/>
          <w:lang w:val="fr-CA"/>
        </w:rPr>
        <w:t xml:space="preserve">) de HFC est au tout début du processus de mise en œuvre et aucune somme n’a été décaissée. La Banque mondiale a toutefois confirmé que le projet serait achevé à la date prévue. Les activités de facilitation en sont à différentes étapes de mise en œuvre. Une somme cumulative de 143 390 $US a été décaissée </w:t>
      </w:r>
      <w:r w:rsidR="00AA1B50">
        <w:rPr>
          <w:sz w:val="22"/>
          <w:lang w:val="fr-CA"/>
        </w:rPr>
        <w:t xml:space="preserve">à ce jour </w:t>
      </w:r>
      <w:r>
        <w:rPr>
          <w:sz w:val="22"/>
          <w:lang w:val="fr-CA"/>
        </w:rPr>
        <w:t>sur la somme totale appr</w:t>
      </w:r>
      <w:r w:rsidR="006739D9">
        <w:rPr>
          <w:sz w:val="22"/>
          <w:lang w:val="fr-CA"/>
        </w:rPr>
        <w:t>ouvée de 1 213 514 $US aux fi</w:t>
      </w:r>
      <w:r>
        <w:rPr>
          <w:sz w:val="22"/>
          <w:lang w:val="fr-CA"/>
        </w:rPr>
        <w:t>ns de décaissement (coûts d’appui en sus), ce qui représente un taux de décaissement de 12 pour cent.</w:t>
      </w:r>
    </w:p>
    <w:p w:rsidR="00B26E23" w:rsidRDefault="00B26E23" w:rsidP="0066596F">
      <w:pPr>
        <w:pStyle w:val="StyleHeader4Para4Left0Firstline0"/>
        <w:numPr>
          <w:ilvl w:val="0"/>
          <w:numId w:val="0"/>
        </w:numPr>
        <w:tabs>
          <w:tab w:val="clear" w:pos="2880"/>
          <w:tab w:val="clear" w:pos="5760"/>
        </w:tabs>
        <w:spacing w:after="0"/>
        <w:rPr>
          <w:sz w:val="22"/>
          <w:lang w:val="fr-CA"/>
        </w:rPr>
      </w:pPr>
    </w:p>
    <w:p w:rsidR="00B26E23" w:rsidRDefault="00B26E23" w:rsidP="0066596F">
      <w:pPr>
        <w:pStyle w:val="StyleHeader4Para4Left0Firstline0"/>
        <w:numPr>
          <w:ilvl w:val="0"/>
          <w:numId w:val="0"/>
        </w:numPr>
        <w:tabs>
          <w:tab w:val="clear" w:pos="2880"/>
          <w:tab w:val="clear" w:pos="5760"/>
        </w:tabs>
        <w:spacing w:after="0"/>
        <w:rPr>
          <w:sz w:val="22"/>
          <w:lang w:val="fr-CA"/>
        </w:rPr>
      </w:pPr>
      <w:r>
        <w:rPr>
          <w:b/>
          <w:sz w:val="22"/>
          <w:lang w:val="fr-CA"/>
        </w:rPr>
        <w:t>Recommandation</w:t>
      </w:r>
    </w:p>
    <w:p w:rsidR="00B26E23" w:rsidRDefault="00B26E23" w:rsidP="0066596F">
      <w:pPr>
        <w:pStyle w:val="StyleHeader4Para4Left0Firstline0"/>
        <w:numPr>
          <w:ilvl w:val="0"/>
          <w:numId w:val="0"/>
        </w:numPr>
        <w:tabs>
          <w:tab w:val="clear" w:pos="2880"/>
          <w:tab w:val="clear" w:pos="5760"/>
        </w:tabs>
        <w:spacing w:after="0"/>
        <w:rPr>
          <w:sz w:val="22"/>
          <w:lang w:val="fr-CA"/>
        </w:rPr>
      </w:pPr>
    </w:p>
    <w:p w:rsidR="00B26E23" w:rsidRPr="00B26E23" w:rsidRDefault="005250AC" w:rsidP="00B26E23">
      <w:pPr>
        <w:pStyle w:val="StyleHeader4Para4Left0Firstline0"/>
        <w:numPr>
          <w:ilvl w:val="0"/>
          <w:numId w:val="24"/>
        </w:numPr>
        <w:tabs>
          <w:tab w:val="clear" w:pos="2880"/>
          <w:tab w:val="clear" w:pos="5760"/>
        </w:tabs>
        <w:spacing w:after="0"/>
        <w:ind w:left="0" w:firstLine="0"/>
        <w:rPr>
          <w:sz w:val="22"/>
          <w:lang w:val="fr-CA"/>
        </w:rPr>
      </w:pPr>
      <w:r>
        <w:rPr>
          <w:sz w:val="22"/>
          <w:lang w:val="fr-CA"/>
        </w:rPr>
        <w:t>Le Comité exécutif pourrait souhaiter prendre note du rapport périodique de la Banque mondiale au 31 décembre 2018 contenu dans le document UNEP/OzL.Pro/ExCom/84/21.</w:t>
      </w:r>
    </w:p>
    <w:p w:rsidR="00441083" w:rsidRDefault="00441083">
      <w:pPr>
        <w:jc w:val="left"/>
        <w:rPr>
          <w:sz w:val="20"/>
          <w:lang w:val="fr-FR"/>
        </w:rPr>
      </w:pPr>
    </w:p>
    <w:p w:rsidR="00441083" w:rsidRDefault="00441083">
      <w:pPr>
        <w:pStyle w:val="StyleHeader4Para4Left0Firstline0"/>
        <w:numPr>
          <w:ilvl w:val="0"/>
          <w:numId w:val="0"/>
        </w:numPr>
        <w:rPr>
          <w:lang w:val="fr-FR"/>
        </w:rPr>
      </w:pPr>
    </w:p>
    <w:p w:rsidR="00441083" w:rsidRDefault="00441083">
      <w:pPr>
        <w:rPr>
          <w:lang w:val="fr-FR"/>
        </w:rPr>
        <w:sectPr w:rsidR="00441083">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864" w:left="1440" w:header="720" w:footer="475" w:gutter="0"/>
          <w:cols w:space="720"/>
          <w:titlePg/>
        </w:sectPr>
      </w:pPr>
    </w:p>
    <w:p w:rsidR="00441083" w:rsidRDefault="00E60D9C">
      <w:pPr>
        <w:jc w:val="center"/>
        <w:rPr>
          <w:b/>
          <w:lang w:val="fr-FR"/>
        </w:rPr>
      </w:pPr>
      <w:r>
        <w:rPr>
          <w:b/>
          <w:lang w:val="fr-FR"/>
        </w:rPr>
        <w:lastRenderedPageBreak/>
        <w:t>Annexe I</w:t>
      </w:r>
    </w:p>
    <w:p w:rsidR="00441083" w:rsidRDefault="00441083">
      <w:pPr>
        <w:rPr>
          <w:lang w:val="fr-FR"/>
        </w:rPr>
      </w:pPr>
    </w:p>
    <w:p w:rsidR="00441083" w:rsidRPr="005925E0" w:rsidRDefault="005925E0" w:rsidP="005925E0">
      <w:pPr>
        <w:jc w:val="center"/>
        <w:rPr>
          <w:b/>
          <w:lang w:val="fr-FR"/>
        </w:rPr>
      </w:pPr>
      <w:r>
        <w:rPr>
          <w:b/>
          <w:lang w:val="fr-FR"/>
        </w:rPr>
        <w:t xml:space="preserve">ANALYSE DU RAPPORT PÉRIODIQUE DE LA BANQUE MONDIALE </w:t>
      </w:r>
      <w:r>
        <w:rPr>
          <w:b/>
          <w:lang w:val="fr-FR"/>
        </w:rPr>
        <w:br/>
        <w:t>AU 31 DÉCEMBRE 2018</w:t>
      </w:r>
    </w:p>
    <w:p w:rsidR="00441083" w:rsidRDefault="00441083">
      <w:pPr>
        <w:rPr>
          <w:lang w:val="fr-FR"/>
        </w:rPr>
      </w:pPr>
    </w:p>
    <w:p w:rsidR="005925E0" w:rsidRDefault="005925E0" w:rsidP="005925E0">
      <w:pPr>
        <w:pStyle w:val="ListParagraph"/>
        <w:numPr>
          <w:ilvl w:val="0"/>
          <w:numId w:val="26"/>
        </w:numPr>
        <w:ind w:left="0" w:firstLine="0"/>
        <w:rPr>
          <w:lang w:val="fr-FR"/>
        </w:rPr>
      </w:pPr>
      <w:r>
        <w:rPr>
          <w:lang w:val="fr-FR"/>
        </w:rPr>
        <w:t>Cette annexe comprend les deux parties suivantes :</w:t>
      </w:r>
    </w:p>
    <w:p w:rsidR="005925E0" w:rsidRDefault="005925E0" w:rsidP="005925E0">
      <w:pPr>
        <w:rPr>
          <w:lang w:val="fr-FR"/>
        </w:rPr>
      </w:pPr>
    </w:p>
    <w:p w:rsidR="005925E0" w:rsidRDefault="005925E0" w:rsidP="005925E0">
      <w:pPr>
        <w:ind w:left="1800" w:hanging="1080"/>
        <w:rPr>
          <w:lang w:val="fr-FR"/>
        </w:rPr>
      </w:pPr>
      <w:r>
        <w:rPr>
          <w:lang w:val="fr-FR"/>
        </w:rPr>
        <w:t>Partie I :</w:t>
      </w:r>
      <w:r>
        <w:rPr>
          <w:lang w:val="fr-FR"/>
        </w:rPr>
        <w:tab/>
        <w:t>Projets approuvés au titre des contributions régulières au Fonds multilatéral.</w:t>
      </w:r>
    </w:p>
    <w:p w:rsidR="005925E0" w:rsidRDefault="005925E0" w:rsidP="005925E0">
      <w:pPr>
        <w:ind w:left="1800" w:hanging="1080"/>
        <w:rPr>
          <w:lang w:val="fr-FR"/>
        </w:rPr>
      </w:pPr>
    </w:p>
    <w:p w:rsidR="005925E0" w:rsidRDefault="005925E0" w:rsidP="005925E0">
      <w:pPr>
        <w:ind w:left="1800" w:hanging="1080"/>
        <w:rPr>
          <w:lang w:val="fr-FR"/>
        </w:rPr>
      </w:pPr>
      <w:r>
        <w:rPr>
          <w:lang w:val="fr-FR"/>
        </w:rPr>
        <w:t>Partie II :</w:t>
      </w:r>
      <w:r>
        <w:rPr>
          <w:lang w:val="fr-FR"/>
        </w:rPr>
        <w:tab/>
        <w:t xml:space="preserve">Projets approuvés au titre des contributions supplémentaires volontaires </w:t>
      </w:r>
      <w:r w:rsidR="00AB1213">
        <w:rPr>
          <w:lang w:val="fr-CA"/>
        </w:rPr>
        <w:t xml:space="preserve">en appui au démarrage rapide de la </w:t>
      </w:r>
      <w:r w:rsidR="00AB1213" w:rsidRPr="003079FB">
        <w:rPr>
          <w:lang w:val="fr-CA"/>
        </w:rPr>
        <w:t>réduction progressive des HFC</w:t>
      </w:r>
      <w:r>
        <w:rPr>
          <w:lang w:val="fr-FR"/>
        </w:rPr>
        <w:t>.</w:t>
      </w:r>
    </w:p>
    <w:p w:rsidR="005925E0" w:rsidRDefault="005925E0" w:rsidP="005925E0">
      <w:pPr>
        <w:ind w:left="1800" w:hanging="1080"/>
        <w:rPr>
          <w:lang w:val="fr-FR"/>
        </w:rPr>
      </w:pPr>
    </w:p>
    <w:p w:rsidR="005925E0" w:rsidRPr="005925E0" w:rsidRDefault="005925E0" w:rsidP="005925E0">
      <w:pPr>
        <w:ind w:left="1440" w:hanging="1440"/>
        <w:rPr>
          <w:b/>
          <w:lang w:val="fr-FR"/>
        </w:rPr>
      </w:pPr>
      <w:r>
        <w:rPr>
          <w:b/>
          <w:lang w:val="fr-FR"/>
        </w:rPr>
        <w:t xml:space="preserve">PARTIE I : </w:t>
      </w:r>
      <w:r>
        <w:rPr>
          <w:b/>
          <w:lang w:val="fr-FR"/>
        </w:rPr>
        <w:tab/>
        <w:t>PROJETS APPROUVÉS AU TITRE DES CONTRIBUTIONS RÉGULIÈRES AU FONDS MULTILATÉRAL</w:t>
      </w:r>
    </w:p>
    <w:p w:rsidR="00441083" w:rsidRDefault="00441083">
      <w:pPr>
        <w:rPr>
          <w:lang w:val="fr-FR"/>
        </w:rPr>
      </w:pPr>
    </w:p>
    <w:p w:rsidR="006E4CB4" w:rsidRPr="006E4CB4" w:rsidRDefault="006E4CB4" w:rsidP="006E4CB4">
      <w:pPr>
        <w:pStyle w:val="ListParagraph"/>
        <w:numPr>
          <w:ilvl w:val="0"/>
          <w:numId w:val="26"/>
        </w:numPr>
        <w:spacing w:after="240"/>
        <w:ind w:left="0" w:firstLine="0"/>
        <w:rPr>
          <w:lang w:val="fr-FR"/>
        </w:rPr>
      </w:pPr>
      <w:r>
        <w:rPr>
          <w:lang w:val="fr-FR"/>
        </w:rPr>
        <w:t xml:space="preserve">Le Comité </w:t>
      </w:r>
      <w:r w:rsidR="00914DDE">
        <w:rPr>
          <w:lang w:val="fr-FR"/>
        </w:rPr>
        <w:t>exécutif avait</w:t>
      </w:r>
      <w:r>
        <w:rPr>
          <w:lang w:val="fr-FR"/>
        </w:rPr>
        <w:t xml:space="preserve"> approuvé 1,28 milliard $US au 31 décemb</w:t>
      </w:r>
      <w:r w:rsidR="00914DDE">
        <w:rPr>
          <w:lang w:val="fr-FR"/>
        </w:rPr>
        <w:t>re 2018, à savoir 1,16 milliard </w:t>
      </w:r>
      <w:r>
        <w:rPr>
          <w:lang w:val="fr-FR"/>
        </w:rPr>
        <w:t>$US pour la mise en œuvre de projets d’investissement et ne portant pas sur des investissements, et 1</w:t>
      </w:r>
      <w:r w:rsidR="005C550A">
        <w:rPr>
          <w:lang w:val="fr-FR"/>
        </w:rPr>
        <w:t>17,02</w:t>
      </w:r>
      <w:r>
        <w:rPr>
          <w:lang w:val="fr-FR"/>
        </w:rPr>
        <w:t xml:space="preserve"> millions $US pour les coûts d’appui à l’agence, comm</w:t>
      </w:r>
      <w:r w:rsidR="005C550A">
        <w:rPr>
          <w:lang w:val="fr-FR"/>
        </w:rPr>
        <w:t>e indiqué dans le tableau </w:t>
      </w:r>
      <w:r>
        <w:rPr>
          <w:lang w:val="fr-FR"/>
        </w:rPr>
        <w:t xml:space="preserve">1. Sept nouveaux projets et activités ont été approuvés en 2018. Ce niveau de financement devrait aboutir à l’élimination de 304 578 </w:t>
      </w:r>
      <w:r w:rsidR="005C550A">
        <w:rPr>
          <w:lang w:val="fr-FR"/>
        </w:rPr>
        <w:t>tonnes PAO</w:t>
      </w:r>
      <w:r>
        <w:rPr>
          <w:lang w:val="fr-FR"/>
        </w:rPr>
        <w:t xml:space="preserve"> de consommation et de production de substances réglementées.</w:t>
      </w:r>
    </w:p>
    <w:p w:rsidR="00441083" w:rsidRDefault="006E4CB4">
      <w:pPr>
        <w:rPr>
          <w:b/>
          <w:lang w:val="fr-FR"/>
        </w:rPr>
      </w:pPr>
      <w:r>
        <w:rPr>
          <w:b/>
          <w:lang w:val="fr-FR"/>
        </w:rPr>
        <w:t>Tableau 1. Sommes approuvées par secteur pour la Banque mondiale au 31 décembre 2018</w:t>
      </w:r>
    </w:p>
    <w:tbl>
      <w:tblPr>
        <w:tblW w:w="9356" w:type="dxa"/>
        <w:tblInd w:w="-5" w:type="dxa"/>
        <w:tblLook w:val="04A0" w:firstRow="1" w:lastRow="0" w:firstColumn="1" w:lastColumn="0" w:noHBand="0" w:noVBand="1"/>
      </w:tblPr>
      <w:tblGrid>
        <w:gridCol w:w="4820"/>
        <w:gridCol w:w="4536"/>
      </w:tblGrid>
      <w:tr w:rsidR="006E4CB4" w:rsidRPr="006E4CB4" w:rsidTr="00635340">
        <w:trPr>
          <w:trHeight w:val="58"/>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4CB4" w:rsidRPr="006E4CB4" w:rsidRDefault="006E4CB4" w:rsidP="00635340">
            <w:pPr>
              <w:jc w:val="left"/>
              <w:rPr>
                <w:b/>
                <w:bCs/>
                <w:sz w:val="21"/>
                <w:szCs w:val="21"/>
                <w:lang w:val="fr-CA" w:eastAsia="en-CA"/>
              </w:rPr>
            </w:pPr>
            <w:r>
              <w:rPr>
                <w:b/>
                <w:bCs/>
                <w:sz w:val="21"/>
                <w:szCs w:val="21"/>
                <w:lang w:val="fr-CA" w:eastAsia="en-CA"/>
              </w:rPr>
              <w:t>Secteur</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6E4CB4" w:rsidRPr="006E4CB4" w:rsidRDefault="006E4CB4" w:rsidP="00635340">
            <w:pPr>
              <w:jc w:val="center"/>
              <w:rPr>
                <w:b/>
                <w:bCs/>
                <w:sz w:val="21"/>
                <w:szCs w:val="21"/>
                <w:lang w:val="fr-CA" w:eastAsia="en-CA"/>
              </w:rPr>
            </w:pPr>
            <w:r>
              <w:rPr>
                <w:b/>
                <w:bCs/>
                <w:sz w:val="21"/>
                <w:szCs w:val="21"/>
                <w:lang w:val="fr-CA" w:eastAsia="en-CA"/>
              </w:rPr>
              <w:t>Financement ($US)</w:t>
            </w:r>
          </w:p>
        </w:tc>
      </w:tr>
      <w:tr w:rsidR="006E4CB4" w:rsidRPr="006E4CB4" w:rsidTr="00635340">
        <w:trPr>
          <w:trHeight w:val="20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6E4CB4" w:rsidRPr="006E4CB4" w:rsidRDefault="006E4CB4" w:rsidP="00635340">
            <w:pPr>
              <w:jc w:val="left"/>
              <w:rPr>
                <w:sz w:val="21"/>
                <w:szCs w:val="21"/>
                <w:lang w:val="fr-CA" w:eastAsia="en-CA"/>
              </w:rPr>
            </w:pPr>
            <w:r>
              <w:rPr>
                <w:sz w:val="21"/>
                <w:szCs w:val="21"/>
                <w:lang w:val="fr-CA" w:eastAsia="en-CA"/>
              </w:rPr>
              <w:t>Aérosols</w:t>
            </w:r>
          </w:p>
        </w:tc>
        <w:tc>
          <w:tcPr>
            <w:tcW w:w="4536"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rsidR="006E4CB4" w:rsidRPr="006E4CB4" w:rsidRDefault="006E4CB4" w:rsidP="00635340">
            <w:pPr>
              <w:jc w:val="right"/>
              <w:rPr>
                <w:sz w:val="21"/>
                <w:szCs w:val="21"/>
                <w:lang w:val="fr-CA" w:eastAsia="en-CA"/>
              </w:rPr>
            </w:pPr>
            <w:r w:rsidRPr="006E4CB4">
              <w:rPr>
                <w:sz w:val="21"/>
                <w:szCs w:val="21"/>
                <w:lang w:val="fr-CA" w:eastAsia="en-CA"/>
              </w:rPr>
              <w:t>22</w:t>
            </w:r>
            <w:r>
              <w:rPr>
                <w:sz w:val="21"/>
                <w:szCs w:val="21"/>
                <w:lang w:val="fr-CA" w:eastAsia="en-CA"/>
              </w:rPr>
              <w:t xml:space="preserve"> </w:t>
            </w:r>
            <w:r w:rsidRPr="006E4CB4">
              <w:rPr>
                <w:sz w:val="21"/>
                <w:szCs w:val="21"/>
                <w:lang w:val="fr-CA" w:eastAsia="en-CA"/>
              </w:rPr>
              <w:t>984</w:t>
            </w:r>
            <w:r>
              <w:rPr>
                <w:sz w:val="21"/>
                <w:szCs w:val="21"/>
                <w:lang w:val="fr-CA" w:eastAsia="en-CA"/>
              </w:rPr>
              <w:t xml:space="preserve"> </w:t>
            </w:r>
            <w:r w:rsidRPr="006E4CB4">
              <w:rPr>
                <w:sz w:val="21"/>
                <w:szCs w:val="21"/>
                <w:lang w:val="fr-CA" w:eastAsia="en-CA"/>
              </w:rPr>
              <w:t>030</w:t>
            </w:r>
          </w:p>
        </w:tc>
      </w:tr>
      <w:tr w:rsidR="006E4CB4" w:rsidRPr="006E4CB4" w:rsidTr="00635340">
        <w:trPr>
          <w:trHeight w:val="20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6E4CB4" w:rsidRPr="006E4CB4" w:rsidRDefault="006E4CB4" w:rsidP="00635340">
            <w:pPr>
              <w:jc w:val="left"/>
              <w:rPr>
                <w:sz w:val="21"/>
                <w:szCs w:val="21"/>
                <w:lang w:val="fr-CA" w:eastAsia="en-CA"/>
              </w:rPr>
            </w:pPr>
            <w:r w:rsidRPr="006E4CB4">
              <w:rPr>
                <w:sz w:val="21"/>
                <w:szCs w:val="21"/>
                <w:lang w:val="fr-CA" w:eastAsia="en-CA"/>
              </w:rPr>
              <w:t>Destruction</w:t>
            </w:r>
          </w:p>
        </w:tc>
        <w:tc>
          <w:tcPr>
            <w:tcW w:w="4536"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rsidR="006E4CB4" w:rsidRPr="006E4CB4" w:rsidRDefault="006E4CB4" w:rsidP="00635340">
            <w:pPr>
              <w:jc w:val="right"/>
              <w:rPr>
                <w:sz w:val="21"/>
                <w:szCs w:val="21"/>
                <w:lang w:val="fr-CA" w:eastAsia="en-CA"/>
              </w:rPr>
            </w:pPr>
            <w:r w:rsidRPr="006E4CB4">
              <w:rPr>
                <w:sz w:val="21"/>
                <w:szCs w:val="21"/>
                <w:lang w:val="fr-CA" w:eastAsia="en-CA"/>
              </w:rPr>
              <w:t>400</w:t>
            </w:r>
            <w:r>
              <w:rPr>
                <w:sz w:val="21"/>
                <w:szCs w:val="21"/>
                <w:lang w:val="fr-CA" w:eastAsia="en-CA"/>
              </w:rPr>
              <w:t xml:space="preserve"> </w:t>
            </w:r>
            <w:r w:rsidRPr="006E4CB4">
              <w:rPr>
                <w:sz w:val="21"/>
                <w:szCs w:val="21"/>
                <w:lang w:val="fr-CA" w:eastAsia="en-CA"/>
              </w:rPr>
              <w:t>000</w:t>
            </w:r>
          </w:p>
        </w:tc>
      </w:tr>
      <w:tr w:rsidR="006E4CB4" w:rsidRPr="006E4CB4" w:rsidTr="00635340">
        <w:trPr>
          <w:trHeight w:val="20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6E4CB4" w:rsidRPr="006E4CB4" w:rsidRDefault="006E4CB4" w:rsidP="00635340">
            <w:pPr>
              <w:jc w:val="left"/>
              <w:rPr>
                <w:sz w:val="21"/>
                <w:szCs w:val="21"/>
                <w:lang w:val="fr-CA" w:eastAsia="en-CA"/>
              </w:rPr>
            </w:pPr>
            <w:r>
              <w:rPr>
                <w:sz w:val="21"/>
                <w:szCs w:val="21"/>
                <w:lang w:val="fr-CA" w:eastAsia="en-CA"/>
              </w:rPr>
              <w:t>Lutte contre les incendies</w:t>
            </w:r>
          </w:p>
        </w:tc>
        <w:tc>
          <w:tcPr>
            <w:tcW w:w="4536"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rsidR="006E4CB4" w:rsidRPr="006E4CB4" w:rsidRDefault="006E4CB4" w:rsidP="00635340">
            <w:pPr>
              <w:jc w:val="right"/>
              <w:rPr>
                <w:sz w:val="21"/>
                <w:szCs w:val="21"/>
                <w:lang w:val="fr-CA" w:eastAsia="en-CA"/>
              </w:rPr>
            </w:pPr>
            <w:r w:rsidRPr="006E4CB4">
              <w:rPr>
                <w:sz w:val="21"/>
                <w:szCs w:val="21"/>
                <w:lang w:val="fr-CA" w:eastAsia="en-CA"/>
              </w:rPr>
              <w:t>0</w:t>
            </w:r>
          </w:p>
        </w:tc>
      </w:tr>
      <w:tr w:rsidR="006E4CB4" w:rsidRPr="006E4CB4" w:rsidTr="00635340">
        <w:trPr>
          <w:trHeight w:val="20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6E4CB4" w:rsidRPr="006E4CB4" w:rsidRDefault="006E4CB4" w:rsidP="00635340">
            <w:pPr>
              <w:jc w:val="left"/>
              <w:rPr>
                <w:sz w:val="21"/>
                <w:szCs w:val="21"/>
                <w:lang w:val="fr-CA" w:eastAsia="en-CA"/>
              </w:rPr>
            </w:pPr>
            <w:r>
              <w:rPr>
                <w:sz w:val="21"/>
                <w:szCs w:val="21"/>
                <w:lang w:val="fr-CA" w:eastAsia="en-CA"/>
              </w:rPr>
              <w:t>Mousses</w:t>
            </w:r>
          </w:p>
        </w:tc>
        <w:tc>
          <w:tcPr>
            <w:tcW w:w="4536"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rsidR="006E4CB4" w:rsidRPr="006E4CB4" w:rsidRDefault="006E4CB4" w:rsidP="00635340">
            <w:pPr>
              <w:jc w:val="right"/>
              <w:rPr>
                <w:sz w:val="21"/>
                <w:szCs w:val="21"/>
                <w:lang w:val="fr-CA" w:eastAsia="en-CA"/>
              </w:rPr>
            </w:pPr>
            <w:r w:rsidRPr="006E4CB4">
              <w:rPr>
                <w:sz w:val="21"/>
                <w:szCs w:val="21"/>
                <w:lang w:val="fr-CA" w:eastAsia="en-CA"/>
              </w:rPr>
              <w:t>136</w:t>
            </w:r>
            <w:r>
              <w:rPr>
                <w:sz w:val="21"/>
                <w:szCs w:val="21"/>
                <w:lang w:val="fr-CA" w:eastAsia="en-CA"/>
              </w:rPr>
              <w:t xml:space="preserve"> </w:t>
            </w:r>
            <w:r w:rsidRPr="006E4CB4">
              <w:rPr>
                <w:sz w:val="21"/>
                <w:szCs w:val="21"/>
                <w:lang w:val="fr-CA" w:eastAsia="en-CA"/>
              </w:rPr>
              <w:t>426</w:t>
            </w:r>
            <w:r>
              <w:rPr>
                <w:sz w:val="21"/>
                <w:szCs w:val="21"/>
                <w:lang w:val="fr-CA" w:eastAsia="en-CA"/>
              </w:rPr>
              <w:t xml:space="preserve"> </w:t>
            </w:r>
            <w:r w:rsidRPr="006E4CB4">
              <w:rPr>
                <w:sz w:val="21"/>
                <w:szCs w:val="21"/>
                <w:lang w:val="fr-CA" w:eastAsia="en-CA"/>
              </w:rPr>
              <w:t>742</w:t>
            </w:r>
          </w:p>
        </w:tc>
      </w:tr>
      <w:tr w:rsidR="006E4CB4" w:rsidRPr="006E4CB4" w:rsidTr="00635340">
        <w:trPr>
          <w:trHeight w:val="20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6E4CB4" w:rsidRPr="006E4CB4" w:rsidRDefault="006E4CB4" w:rsidP="00635340">
            <w:pPr>
              <w:jc w:val="left"/>
              <w:rPr>
                <w:sz w:val="21"/>
                <w:szCs w:val="21"/>
                <w:lang w:val="fr-CA" w:eastAsia="en-CA"/>
              </w:rPr>
            </w:pPr>
            <w:r w:rsidRPr="006E4CB4">
              <w:rPr>
                <w:sz w:val="21"/>
                <w:szCs w:val="21"/>
                <w:lang w:val="fr-CA" w:eastAsia="en-CA"/>
              </w:rPr>
              <w:t>Halon</w:t>
            </w:r>
            <w:r>
              <w:rPr>
                <w:sz w:val="21"/>
                <w:szCs w:val="21"/>
                <w:lang w:val="fr-CA" w:eastAsia="en-CA"/>
              </w:rPr>
              <w:t>s</w:t>
            </w:r>
          </w:p>
        </w:tc>
        <w:tc>
          <w:tcPr>
            <w:tcW w:w="4536"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rsidR="006E4CB4" w:rsidRPr="006E4CB4" w:rsidRDefault="006E4CB4" w:rsidP="00635340">
            <w:pPr>
              <w:jc w:val="right"/>
              <w:rPr>
                <w:sz w:val="21"/>
                <w:szCs w:val="21"/>
                <w:lang w:val="fr-CA" w:eastAsia="en-CA"/>
              </w:rPr>
            </w:pPr>
            <w:r w:rsidRPr="006E4CB4">
              <w:rPr>
                <w:sz w:val="21"/>
                <w:szCs w:val="21"/>
                <w:lang w:val="fr-CA" w:eastAsia="en-CA"/>
              </w:rPr>
              <w:t>70</w:t>
            </w:r>
            <w:r>
              <w:rPr>
                <w:sz w:val="21"/>
                <w:szCs w:val="21"/>
                <w:lang w:val="fr-CA" w:eastAsia="en-CA"/>
              </w:rPr>
              <w:t xml:space="preserve"> </w:t>
            </w:r>
            <w:r w:rsidRPr="006E4CB4">
              <w:rPr>
                <w:sz w:val="21"/>
                <w:szCs w:val="21"/>
                <w:lang w:val="fr-CA" w:eastAsia="en-CA"/>
              </w:rPr>
              <w:t>221</w:t>
            </w:r>
            <w:r>
              <w:rPr>
                <w:sz w:val="21"/>
                <w:szCs w:val="21"/>
                <w:lang w:val="fr-CA" w:eastAsia="en-CA"/>
              </w:rPr>
              <w:t xml:space="preserve"> </w:t>
            </w:r>
            <w:r w:rsidRPr="006E4CB4">
              <w:rPr>
                <w:sz w:val="21"/>
                <w:szCs w:val="21"/>
                <w:lang w:val="fr-CA" w:eastAsia="en-CA"/>
              </w:rPr>
              <w:t>038</w:t>
            </w:r>
          </w:p>
        </w:tc>
      </w:tr>
      <w:tr w:rsidR="006E4CB4" w:rsidRPr="006E4CB4" w:rsidTr="00635340">
        <w:trPr>
          <w:trHeight w:val="20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6E4CB4" w:rsidRPr="006E4CB4" w:rsidRDefault="006E4CB4" w:rsidP="00635340">
            <w:pPr>
              <w:jc w:val="left"/>
              <w:rPr>
                <w:sz w:val="21"/>
                <w:szCs w:val="21"/>
                <w:lang w:val="fr-CA" w:eastAsia="en-CA"/>
              </w:rPr>
            </w:pPr>
            <w:r>
              <w:rPr>
                <w:sz w:val="21"/>
                <w:szCs w:val="21"/>
                <w:lang w:val="fr-CA" w:eastAsia="en-CA"/>
              </w:rPr>
              <w:t>Fumigènes</w:t>
            </w:r>
          </w:p>
        </w:tc>
        <w:tc>
          <w:tcPr>
            <w:tcW w:w="4536"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rsidR="006E4CB4" w:rsidRPr="006E4CB4" w:rsidRDefault="006E4CB4" w:rsidP="00635340">
            <w:pPr>
              <w:jc w:val="right"/>
              <w:rPr>
                <w:sz w:val="21"/>
                <w:szCs w:val="21"/>
                <w:lang w:val="fr-CA" w:eastAsia="en-CA"/>
              </w:rPr>
            </w:pPr>
            <w:r w:rsidRPr="006E4CB4">
              <w:rPr>
                <w:sz w:val="21"/>
                <w:szCs w:val="21"/>
                <w:lang w:val="fr-CA" w:eastAsia="en-CA"/>
              </w:rPr>
              <w:t>5</w:t>
            </w:r>
            <w:r>
              <w:rPr>
                <w:sz w:val="21"/>
                <w:szCs w:val="21"/>
                <w:lang w:val="fr-CA" w:eastAsia="en-CA"/>
              </w:rPr>
              <w:t xml:space="preserve"> </w:t>
            </w:r>
            <w:r w:rsidRPr="006E4CB4">
              <w:rPr>
                <w:sz w:val="21"/>
                <w:szCs w:val="21"/>
                <w:lang w:val="fr-CA" w:eastAsia="en-CA"/>
              </w:rPr>
              <w:t>837</w:t>
            </w:r>
            <w:r>
              <w:rPr>
                <w:sz w:val="21"/>
                <w:szCs w:val="21"/>
                <w:lang w:val="fr-CA" w:eastAsia="en-CA"/>
              </w:rPr>
              <w:t xml:space="preserve"> </w:t>
            </w:r>
            <w:r w:rsidRPr="006E4CB4">
              <w:rPr>
                <w:sz w:val="21"/>
                <w:szCs w:val="21"/>
                <w:lang w:val="fr-CA" w:eastAsia="en-CA"/>
              </w:rPr>
              <w:t>887</w:t>
            </w:r>
          </w:p>
        </w:tc>
      </w:tr>
      <w:tr w:rsidR="006E4CB4" w:rsidRPr="006E4CB4" w:rsidTr="00635340">
        <w:trPr>
          <w:trHeight w:val="20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6E4CB4" w:rsidRPr="006E4CB4" w:rsidRDefault="006E4CB4" w:rsidP="00635340">
            <w:pPr>
              <w:jc w:val="left"/>
              <w:rPr>
                <w:sz w:val="21"/>
                <w:szCs w:val="21"/>
                <w:lang w:val="fr-CA" w:eastAsia="en-CA"/>
              </w:rPr>
            </w:pPr>
            <w:r>
              <w:rPr>
                <w:sz w:val="21"/>
                <w:szCs w:val="21"/>
                <w:lang w:val="fr-CA" w:eastAsia="en-CA"/>
              </w:rPr>
              <w:t>Multiples secteurs</w:t>
            </w:r>
          </w:p>
        </w:tc>
        <w:tc>
          <w:tcPr>
            <w:tcW w:w="4536"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rsidR="006E4CB4" w:rsidRPr="006E4CB4" w:rsidRDefault="006E4CB4" w:rsidP="00635340">
            <w:pPr>
              <w:jc w:val="right"/>
              <w:rPr>
                <w:sz w:val="21"/>
                <w:szCs w:val="21"/>
                <w:lang w:val="fr-CA" w:eastAsia="en-CA"/>
              </w:rPr>
            </w:pPr>
            <w:r w:rsidRPr="006E4CB4">
              <w:rPr>
                <w:sz w:val="21"/>
                <w:szCs w:val="21"/>
                <w:lang w:val="fr-CA" w:eastAsia="en-CA"/>
              </w:rPr>
              <w:t>2</w:t>
            </w:r>
            <w:r>
              <w:rPr>
                <w:sz w:val="21"/>
                <w:szCs w:val="21"/>
                <w:lang w:val="fr-CA" w:eastAsia="en-CA"/>
              </w:rPr>
              <w:t xml:space="preserve"> </w:t>
            </w:r>
            <w:r w:rsidRPr="006E4CB4">
              <w:rPr>
                <w:sz w:val="21"/>
                <w:szCs w:val="21"/>
                <w:lang w:val="fr-CA" w:eastAsia="en-CA"/>
              </w:rPr>
              <w:t>341</w:t>
            </w:r>
            <w:r>
              <w:rPr>
                <w:sz w:val="21"/>
                <w:szCs w:val="21"/>
                <w:lang w:val="fr-CA" w:eastAsia="en-CA"/>
              </w:rPr>
              <w:t xml:space="preserve"> </w:t>
            </w:r>
            <w:r w:rsidRPr="006E4CB4">
              <w:rPr>
                <w:sz w:val="21"/>
                <w:szCs w:val="21"/>
                <w:lang w:val="fr-CA" w:eastAsia="en-CA"/>
              </w:rPr>
              <w:t>168</w:t>
            </w:r>
          </w:p>
        </w:tc>
      </w:tr>
      <w:tr w:rsidR="006E4CB4" w:rsidRPr="006E4CB4" w:rsidTr="00635340">
        <w:trPr>
          <w:trHeight w:val="20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6E4CB4" w:rsidRPr="006E4CB4" w:rsidRDefault="006E4CB4" w:rsidP="00635340">
            <w:pPr>
              <w:jc w:val="left"/>
              <w:rPr>
                <w:sz w:val="21"/>
                <w:szCs w:val="21"/>
                <w:lang w:val="fr-CA" w:eastAsia="en-CA"/>
              </w:rPr>
            </w:pPr>
            <w:r>
              <w:rPr>
                <w:sz w:val="21"/>
                <w:szCs w:val="21"/>
                <w:lang w:val="fr-CA" w:eastAsia="en-CA"/>
              </w:rPr>
              <w:t>Autre</w:t>
            </w:r>
          </w:p>
        </w:tc>
        <w:tc>
          <w:tcPr>
            <w:tcW w:w="4536"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rsidR="006E4CB4" w:rsidRPr="006E4CB4" w:rsidRDefault="006E4CB4" w:rsidP="00635340">
            <w:pPr>
              <w:jc w:val="right"/>
              <w:rPr>
                <w:sz w:val="21"/>
                <w:szCs w:val="21"/>
                <w:lang w:val="fr-CA" w:eastAsia="en-CA"/>
              </w:rPr>
            </w:pPr>
            <w:r w:rsidRPr="006E4CB4">
              <w:rPr>
                <w:sz w:val="21"/>
                <w:szCs w:val="21"/>
                <w:lang w:val="fr-CA" w:eastAsia="en-CA"/>
              </w:rPr>
              <w:t>5</w:t>
            </w:r>
            <w:r>
              <w:rPr>
                <w:sz w:val="21"/>
                <w:szCs w:val="21"/>
                <w:lang w:val="fr-CA" w:eastAsia="en-CA"/>
              </w:rPr>
              <w:t xml:space="preserve"> </w:t>
            </w:r>
            <w:r w:rsidRPr="006E4CB4">
              <w:rPr>
                <w:sz w:val="21"/>
                <w:szCs w:val="21"/>
                <w:lang w:val="fr-CA" w:eastAsia="en-CA"/>
              </w:rPr>
              <w:t>059</w:t>
            </w:r>
            <w:r>
              <w:rPr>
                <w:sz w:val="21"/>
                <w:szCs w:val="21"/>
                <w:lang w:val="fr-CA" w:eastAsia="en-CA"/>
              </w:rPr>
              <w:t xml:space="preserve"> </w:t>
            </w:r>
            <w:r w:rsidRPr="006E4CB4">
              <w:rPr>
                <w:sz w:val="21"/>
                <w:szCs w:val="21"/>
                <w:lang w:val="fr-CA" w:eastAsia="en-CA"/>
              </w:rPr>
              <w:t>360</w:t>
            </w:r>
          </w:p>
        </w:tc>
      </w:tr>
      <w:tr w:rsidR="006E4CB4" w:rsidRPr="006E4CB4" w:rsidTr="00635340">
        <w:trPr>
          <w:trHeight w:val="20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6E4CB4" w:rsidRPr="006E4CB4" w:rsidRDefault="006E4CB4" w:rsidP="00635340">
            <w:pPr>
              <w:jc w:val="left"/>
              <w:rPr>
                <w:sz w:val="21"/>
                <w:szCs w:val="21"/>
                <w:lang w:val="fr-CA" w:eastAsia="en-CA"/>
              </w:rPr>
            </w:pPr>
            <w:r>
              <w:rPr>
                <w:sz w:val="21"/>
                <w:szCs w:val="21"/>
                <w:lang w:val="fr-CA" w:eastAsia="en-CA"/>
              </w:rPr>
              <w:t>Plan d’élimination</w:t>
            </w:r>
          </w:p>
        </w:tc>
        <w:tc>
          <w:tcPr>
            <w:tcW w:w="4536"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rsidR="006E4CB4" w:rsidRPr="006E4CB4" w:rsidRDefault="006E4CB4" w:rsidP="00635340">
            <w:pPr>
              <w:jc w:val="right"/>
              <w:rPr>
                <w:sz w:val="21"/>
                <w:szCs w:val="21"/>
                <w:lang w:val="fr-CA" w:eastAsia="en-CA"/>
              </w:rPr>
            </w:pPr>
            <w:r w:rsidRPr="006E4CB4">
              <w:rPr>
                <w:sz w:val="21"/>
                <w:szCs w:val="21"/>
                <w:lang w:val="fr-CA" w:eastAsia="en-CA"/>
              </w:rPr>
              <w:t>202</w:t>
            </w:r>
            <w:r>
              <w:rPr>
                <w:sz w:val="21"/>
                <w:szCs w:val="21"/>
                <w:lang w:val="fr-CA" w:eastAsia="en-CA"/>
              </w:rPr>
              <w:t xml:space="preserve"> </w:t>
            </w:r>
            <w:r w:rsidRPr="006E4CB4">
              <w:rPr>
                <w:sz w:val="21"/>
                <w:szCs w:val="21"/>
                <w:lang w:val="fr-CA" w:eastAsia="en-CA"/>
              </w:rPr>
              <w:t>548</w:t>
            </w:r>
            <w:r>
              <w:rPr>
                <w:sz w:val="21"/>
                <w:szCs w:val="21"/>
                <w:lang w:val="fr-CA" w:eastAsia="en-CA"/>
              </w:rPr>
              <w:t xml:space="preserve"> </w:t>
            </w:r>
            <w:r w:rsidRPr="006E4CB4">
              <w:rPr>
                <w:sz w:val="21"/>
                <w:szCs w:val="21"/>
                <w:lang w:val="fr-CA" w:eastAsia="en-CA"/>
              </w:rPr>
              <w:t>086</w:t>
            </w:r>
          </w:p>
        </w:tc>
      </w:tr>
      <w:tr w:rsidR="006E4CB4" w:rsidRPr="006E4CB4" w:rsidTr="00635340">
        <w:trPr>
          <w:trHeight w:val="20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6E4CB4" w:rsidRPr="006E4CB4" w:rsidRDefault="006E4CB4" w:rsidP="00635340">
            <w:pPr>
              <w:jc w:val="left"/>
              <w:rPr>
                <w:sz w:val="21"/>
                <w:szCs w:val="21"/>
                <w:lang w:val="fr-CA" w:eastAsia="en-CA"/>
              </w:rPr>
            </w:pPr>
            <w:r>
              <w:rPr>
                <w:sz w:val="21"/>
                <w:szCs w:val="21"/>
                <w:lang w:val="fr-CA" w:eastAsia="en-CA"/>
              </w:rPr>
              <w:t>Agents de transformation</w:t>
            </w:r>
          </w:p>
        </w:tc>
        <w:tc>
          <w:tcPr>
            <w:tcW w:w="4536"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rsidR="006E4CB4" w:rsidRPr="006E4CB4" w:rsidRDefault="006E4CB4" w:rsidP="00635340">
            <w:pPr>
              <w:jc w:val="right"/>
              <w:rPr>
                <w:sz w:val="21"/>
                <w:szCs w:val="21"/>
                <w:lang w:val="fr-CA" w:eastAsia="en-CA"/>
              </w:rPr>
            </w:pPr>
            <w:r w:rsidRPr="006E4CB4">
              <w:rPr>
                <w:sz w:val="21"/>
                <w:szCs w:val="21"/>
                <w:lang w:val="fr-CA" w:eastAsia="en-CA"/>
              </w:rPr>
              <w:t>114</w:t>
            </w:r>
            <w:r>
              <w:rPr>
                <w:sz w:val="21"/>
                <w:szCs w:val="21"/>
                <w:lang w:val="fr-CA" w:eastAsia="en-CA"/>
              </w:rPr>
              <w:t xml:space="preserve"> </w:t>
            </w:r>
            <w:r w:rsidRPr="006E4CB4">
              <w:rPr>
                <w:sz w:val="21"/>
                <w:szCs w:val="21"/>
                <w:lang w:val="fr-CA" w:eastAsia="en-CA"/>
              </w:rPr>
              <w:t>342</w:t>
            </w:r>
            <w:r>
              <w:rPr>
                <w:sz w:val="21"/>
                <w:szCs w:val="21"/>
                <w:lang w:val="fr-CA" w:eastAsia="en-CA"/>
              </w:rPr>
              <w:t xml:space="preserve"> </w:t>
            </w:r>
            <w:r w:rsidRPr="006E4CB4">
              <w:rPr>
                <w:sz w:val="21"/>
                <w:szCs w:val="21"/>
                <w:lang w:val="fr-CA" w:eastAsia="en-CA"/>
              </w:rPr>
              <w:t>497</w:t>
            </w:r>
          </w:p>
        </w:tc>
      </w:tr>
      <w:tr w:rsidR="006E4CB4" w:rsidRPr="006E4CB4" w:rsidTr="00635340">
        <w:trPr>
          <w:trHeight w:val="20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6E4CB4" w:rsidRPr="006E4CB4" w:rsidRDefault="006E4CB4" w:rsidP="00635340">
            <w:pPr>
              <w:jc w:val="left"/>
              <w:rPr>
                <w:sz w:val="21"/>
                <w:szCs w:val="21"/>
                <w:lang w:val="fr-CA" w:eastAsia="en-CA"/>
              </w:rPr>
            </w:pPr>
            <w:r w:rsidRPr="006E4CB4">
              <w:rPr>
                <w:sz w:val="21"/>
                <w:szCs w:val="21"/>
                <w:lang w:val="fr-CA" w:eastAsia="en-CA"/>
              </w:rPr>
              <w:t>Production</w:t>
            </w:r>
          </w:p>
        </w:tc>
        <w:tc>
          <w:tcPr>
            <w:tcW w:w="4536"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rsidR="006E4CB4" w:rsidRPr="006E4CB4" w:rsidRDefault="006E4CB4" w:rsidP="00635340">
            <w:pPr>
              <w:jc w:val="right"/>
              <w:rPr>
                <w:sz w:val="21"/>
                <w:szCs w:val="21"/>
                <w:lang w:val="fr-CA" w:eastAsia="en-CA"/>
              </w:rPr>
            </w:pPr>
            <w:r w:rsidRPr="006E4CB4">
              <w:rPr>
                <w:sz w:val="21"/>
                <w:szCs w:val="21"/>
                <w:lang w:val="fr-CA" w:eastAsia="en-CA"/>
              </w:rPr>
              <w:t>382</w:t>
            </w:r>
            <w:r>
              <w:rPr>
                <w:sz w:val="21"/>
                <w:szCs w:val="21"/>
                <w:lang w:val="fr-CA" w:eastAsia="en-CA"/>
              </w:rPr>
              <w:t xml:space="preserve"> </w:t>
            </w:r>
            <w:r w:rsidRPr="006E4CB4">
              <w:rPr>
                <w:sz w:val="21"/>
                <w:szCs w:val="21"/>
                <w:lang w:val="fr-CA" w:eastAsia="en-CA"/>
              </w:rPr>
              <w:t>729</w:t>
            </w:r>
            <w:r>
              <w:rPr>
                <w:sz w:val="21"/>
                <w:szCs w:val="21"/>
                <w:lang w:val="fr-CA" w:eastAsia="en-CA"/>
              </w:rPr>
              <w:t xml:space="preserve"> </w:t>
            </w:r>
            <w:r w:rsidRPr="006E4CB4">
              <w:rPr>
                <w:sz w:val="21"/>
                <w:szCs w:val="21"/>
                <w:lang w:val="fr-CA" w:eastAsia="en-CA"/>
              </w:rPr>
              <w:t>770</w:t>
            </w:r>
          </w:p>
        </w:tc>
      </w:tr>
      <w:tr w:rsidR="006E4CB4" w:rsidRPr="006E4CB4" w:rsidTr="00635340">
        <w:trPr>
          <w:trHeight w:val="20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6E4CB4" w:rsidRPr="006E4CB4" w:rsidRDefault="006E4CB4" w:rsidP="00635340">
            <w:pPr>
              <w:jc w:val="left"/>
              <w:rPr>
                <w:sz w:val="21"/>
                <w:szCs w:val="21"/>
                <w:lang w:val="fr-CA" w:eastAsia="en-CA"/>
              </w:rPr>
            </w:pPr>
            <w:r>
              <w:rPr>
                <w:sz w:val="21"/>
                <w:szCs w:val="21"/>
                <w:lang w:val="fr-CA" w:eastAsia="en-CA"/>
              </w:rPr>
              <w:t>Réfrigération</w:t>
            </w:r>
          </w:p>
        </w:tc>
        <w:tc>
          <w:tcPr>
            <w:tcW w:w="4536"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rsidR="006E4CB4" w:rsidRPr="006E4CB4" w:rsidRDefault="006E4CB4" w:rsidP="00635340">
            <w:pPr>
              <w:jc w:val="right"/>
              <w:rPr>
                <w:sz w:val="21"/>
                <w:szCs w:val="21"/>
                <w:lang w:val="fr-CA" w:eastAsia="en-CA"/>
              </w:rPr>
            </w:pPr>
            <w:r w:rsidRPr="006E4CB4">
              <w:rPr>
                <w:sz w:val="21"/>
                <w:szCs w:val="21"/>
                <w:lang w:val="fr-CA" w:eastAsia="en-CA"/>
              </w:rPr>
              <w:t>180</w:t>
            </w:r>
            <w:r>
              <w:rPr>
                <w:sz w:val="21"/>
                <w:szCs w:val="21"/>
                <w:lang w:val="fr-CA" w:eastAsia="en-CA"/>
              </w:rPr>
              <w:t xml:space="preserve"> </w:t>
            </w:r>
            <w:r w:rsidRPr="006E4CB4">
              <w:rPr>
                <w:sz w:val="21"/>
                <w:szCs w:val="21"/>
                <w:lang w:val="fr-CA" w:eastAsia="en-CA"/>
              </w:rPr>
              <w:t>323</w:t>
            </w:r>
            <w:r>
              <w:rPr>
                <w:sz w:val="21"/>
                <w:szCs w:val="21"/>
                <w:lang w:val="fr-CA" w:eastAsia="en-CA"/>
              </w:rPr>
              <w:t xml:space="preserve"> </w:t>
            </w:r>
            <w:r w:rsidRPr="006E4CB4">
              <w:rPr>
                <w:sz w:val="21"/>
                <w:szCs w:val="21"/>
                <w:lang w:val="fr-CA" w:eastAsia="en-CA"/>
              </w:rPr>
              <w:t>076</w:t>
            </w:r>
          </w:p>
        </w:tc>
      </w:tr>
      <w:tr w:rsidR="006E4CB4" w:rsidRPr="006E4CB4" w:rsidTr="00635340">
        <w:trPr>
          <w:trHeight w:val="20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6E4CB4" w:rsidRPr="006E4CB4" w:rsidRDefault="006E4CB4" w:rsidP="00635340">
            <w:pPr>
              <w:jc w:val="left"/>
              <w:rPr>
                <w:sz w:val="21"/>
                <w:szCs w:val="21"/>
                <w:lang w:val="fr-CA" w:eastAsia="en-CA"/>
              </w:rPr>
            </w:pPr>
            <w:r>
              <w:rPr>
                <w:sz w:val="21"/>
                <w:szCs w:val="21"/>
                <w:lang w:val="fr-CA" w:eastAsia="en-CA"/>
              </w:rPr>
              <w:t>Plusieurs</w:t>
            </w:r>
          </w:p>
        </w:tc>
        <w:tc>
          <w:tcPr>
            <w:tcW w:w="4536"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rsidR="006E4CB4" w:rsidRPr="006E4CB4" w:rsidRDefault="006E4CB4" w:rsidP="00635340">
            <w:pPr>
              <w:jc w:val="right"/>
              <w:rPr>
                <w:sz w:val="21"/>
                <w:szCs w:val="21"/>
                <w:lang w:val="fr-CA" w:eastAsia="en-CA"/>
              </w:rPr>
            </w:pPr>
            <w:r w:rsidRPr="006E4CB4">
              <w:rPr>
                <w:sz w:val="21"/>
                <w:szCs w:val="21"/>
                <w:lang w:val="fr-CA" w:eastAsia="en-CA"/>
              </w:rPr>
              <w:t>28</w:t>
            </w:r>
            <w:r>
              <w:rPr>
                <w:sz w:val="21"/>
                <w:szCs w:val="21"/>
                <w:lang w:val="fr-CA" w:eastAsia="en-CA"/>
              </w:rPr>
              <w:t xml:space="preserve"> </w:t>
            </w:r>
            <w:r w:rsidRPr="006E4CB4">
              <w:rPr>
                <w:sz w:val="21"/>
                <w:szCs w:val="21"/>
                <w:lang w:val="fr-CA" w:eastAsia="en-CA"/>
              </w:rPr>
              <w:t>969</w:t>
            </w:r>
            <w:r>
              <w:rPr>
                <w:sz w:val="21"/>
                <w:szCs w:val="21"/>
                <w:lang w:val="fr-CA" w:eastAsia="en-CA"/>
              </w:rPr>
              <w:t xml:space="preserve"> </w:t>
            </w:r>
            <w:r w:rsidRPr="006E4CB4">
              <w:rPr>
                <w:sz w:val="21"/>
                <w:szCs w:val="21"/>
                <w:lang w:val="fr-CA" w:eastAsia="en-CA"/>
              </w:rPr>
              <w:t>731</w:t>
            </w:r>
          </w:p>
        </w:tc>
      </w:tr>
      <w:tr w:rsidR="006E4CB4" w:rsidRPr="006E4CB4" w:rsidTr="00635340">
        <w:trPr>
          <w:trHeight w:val="20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6E4CB4" w:rsidRPr="006E4CB4" w:rsidRDefault="006E4CB4" w:rsidP="00635340">
            <w:pPr>
              <w:jc w:val="left"/>
              <w:rPr>
                <w:sz w:val="21"/>
                <w:szCs w:val="21"/>
                <w:lang w:val="fr-CA" w:eastAsia="en-CA"/>
              </w:rPr>
            </w:pPr>
            <w:r>
              <w:rPr>
                <w:sz w:val="21"/>
                <w:szCs w:val="21"/>
                <w:lang w:val="fr-CA" w:eastAsia="en-CA"/>
              </w:rPr>
              <w:t>Solvants</w:t>
            </w:r>
          </w:p>
        </w:tc>
        <w:tc>
          <w:tcPr>
            <w:tcW w:w="4536"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rsidR="006E4CB4" w:rsidRPr="006E4CB4" w:rsidRDefault="006E4CB4" w:rsidP="00635340">
            <w:pPr>
              <w:jc w:val="right"/>
              <w:rPr>
                <w:sz w:val="21"/>
                <w:szCs w:val="21"/>
                <w:lang w:val="fr-CA" w:eastAsia="en-CA"/>
              </w:rPr>
            </w:pPr>
            <w:r w:rsidRPr="006E4CB4">
              <w:rPr>
                <w:sz w:val="21"/>
                <w:szCs w:val="21"/>
                <w:lang w:val="fr-CA" w:eastAsia="en-CA"/>
              </w:rPr>
              <w:t>10</w:t>
            </w:r>
            <w:r>
              <w:rPr>
                <w:sz w:val="21"/>
                <w:szCs w:val="21"/>
                <w:lang w:val="fr-CA" w:eastAsia="en-CA"/>
              </w:rPr>
              <w:t xml:space="preserve"> </w:t>
            </w:r>
            <w:r w:rsidRPr="006E4CB4">
              <w:rPr>
                <w:sz w:val="21"/>
                <w:szCs w:val="21"/>
                <w:lang w:val="fr-CA" w:eastAsia="en-CA"/>
              </w:rPr>
              <w:t>237</w:t>
            </w:r>
            <w:r>
              <w:rPr>
                <w:sz w:val="21"/>
                <w:szCs w:val="21"/>
                <w:lang w:val="fr-CA" w:eastAsia="en-CA"/>
              </w:rPr>
              <w:t xml:space="preserve"> </w:t>
            </w:r>
            <w:r w:rsidRPr="006E4CB4">
              <w:rPr>
                <w:sz w:val="21"/>
                <w:szCs w:val="21"/>
                <w:lang w:val="fr-CA" w:eastAsia="en-CA"/>
              </w:rPr>
              <w:t>394</w:t>
            </w:r>
          </w:p>
        </w:tc>
      </w:tr>
      <w:tr w:rsidR="006E4CB4" w:rsidRPr="006E4CB4" w:rsidTr="00635340">
        <w:trPr>
          <w:trHeight w:val="20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6E4CB4" w:rsidRPr="006E4CB4" w:rsidRDefault="006E4CB4" w:rsidP="00635340">
            <w:pPr>
              <w:jc w:val="left"/>
              <w:rPr>
                <w:sz w:val="21"/>
                <w:szCs w:val="21"/>
                <w:lang w:val="fr-CA" w:eastAsia="en-CA"/>
              </w:rPr>
            </w:pPr>
            <w:r>
              <w:rPr>
                <w:sz w:val="21"/>
                <w:szCs w:val="21"/>
                <w:lang w:val="fr-CA" w:eastAsia="en-CA"/>
              </w:rPr>
              <w:t>Stérilisants</w:t>
            </w:r>
          </w:p>
        </w:tc>
        <w:tc>
          <w:tcPr>
            <w:tcW w:w="4536"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rsidR="006E4CB4" w:rsidRPr="006E4CB4" w:rsidRDefault="006E4CB4" w:rsidP="00635340">
            <w:pPr>
              <w:jc w:val="right"/>
              <w:rPr>
                <w:sz w:val="21"/>
                <w:szCs w:val="21"/>
                <w:lang w:val="fr-CA" w:eastAsia="en-CA"/>
              </w:rPr>
            </w:pPr>
            <w:r w:rsidRPr="006E4CB4">
              <w:rPr>
                <w:sz w:val="21"/>
                <w:szCs w:val="21"/>
                <w:lang w:val="fr-CA" w:eastAsia="en-CA"/>
              </w:rPr>
              <w:t>661</w:t>
            </w:r>
            <w:r>
              <w:rPr>
                <w:sz w:val="21"/>
                <w:szCs w:val="21"/>
                <w:lang w:val="fr-CA" w:eastAsia="en-CA"/>
              </w:rPr>
              <w:t xml:space="preserve"> </w:t>
            </w:r>
            <w:r w:rsidRPr="006E4CB4">
              <w:rPr>
                <w:sz w:val="21"/>
                <w:szCs w:val="21"/>
                <w:lang w:val="fr-CA" w:eastAsia="en-CA"/>
              </w:rPr>
              <w:t>227</w:t>
            </w:r>
          </w:p>
        </w:tc>
      </w:tr>
      <w:tr w:rsidR="006E4CB4" w:rsidRPr="006E4CB4" w:rsidTr="00635340">
        <w:trPr>
          <w:trHeight w:val="20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6E4CB4" w:rsidRPr="006E4CB4" w:rsidRDefault="006E4CB4" w:rsidP="00635340">
            <w:pPr>
              <w:jc w:val="left"/>
              <w:rPr>
                <w:b/>
                <w:bCs/>
                <w:sz w:val="21"/>
                <w:szCs w:val="21"/>
                <w:lang w:val="fr-CA" w:eastAsia="en-CA"/>
              </w:rPr>
            </w:pPr>
            <w:r>
              <w:rPr>
                <w:b/>
                <w:bCs/>
                <w:sz w:val="21"/>
                <w:szCs w:val="21"/>
                <w:lang w:val="fr-CA" w:eastAsia="en-CA"/>
              </w:rPr>
              <w:t>Total partiel</w:t>
            </w:r>
          </w:p>
        </w:tc>
        <w:tc>
          <w:tcPr>
            <w:tcW w:w="4536"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rsidR="006E4CB4" w:rsidRPr="006E4CB4" w:rsidRDefault="006E4CB4" w:rsidP="00635340">
            <w:pPr>
              <w:jc w:val="right"/>
              <w:rPr>
                <w:b/>
                <w:sz w:val="21"/>
                <w:szCs w:val="21"/>
                <w:lang w:val="fr-CA" w:eastAsia="en-CA"/>
              </w:rPr>
            </w:pPr>
            <w:r w:rsidRPr="006E4CB4">
              <w:rPr>
                <w:b/>
                <w:sz w:val="21"/>
                <w:szCs w:val="21"/>
                <w:lang w:val="fr-CA" w:eastAsia="en-CA"/>
              </w:rPr>
              <w:t>1</w:t>
            </w:r>
            <w:r>
              <w:rPr>
                <w:b/>
                <w:sz w:val="21"/>
                <w:szCs w:val="21"/>
                <w:lang w:val="fr-CA" w:eastAsia="en-CA"/>
              </w:rPr>
              <w:t xml:space="preserve"> </w:t>
            </w:r>
            <w:r w:rsidRPr="006E4CB4">
              <w:rPr>
                <w:b/>
                <w:sz w:val="21"/>
                <w:szCs w:val="21"/>
                <w:lang w:val="fr-CA" w:eastAsia="en-CA"/>
              </w:rPr>
              <w:t>163</w:t>
            </w:r>
            <w:r>
              <w:rPr>
                <w:b/>
                <w:sz w:val="21"/>
                <w:szCs w:val="21"/>
                <w:lang w:val="fr-CA" w:eastAsia="en-CA"/>
              </w:rPr>
              <w:t xml:space="preserve"> </w:t>
            </w:r>
            <w:r w:rsidRPr="006E4CB4">
              <w:rPr>
                <w:b/>
                <w:sz w:val="21"/>
                <w:szCs w:val="21"/>
                <w:lang w:val="fr-CA" w:eastAsia="en-CA"/>
              </w:rPr>
              <w:t>082</w:t>
            </w:r>
            <w:r>
              <w:rPr>
                <w:b/>
                <w:sz w:val="21"/>
                <w:szCs w:val="21"/>
                <w:lang w:val="fr-CA" w:eastAsia="en-CA"/>
              </w:rPr>
              <w:t xml:space="preserve"> </w:t>
            </w:r>
            <w:r w:rsidRPr="006E4CB4">
              <w:rPr>
                <w:b/>
                <w:sz w:val="21"/>
                <w:szCs w:val="21"/>
                <w:lang w:val="fr-CA" w:eastAsia="en-CA"/>
              </w:rPr>
              <w:t>006</w:t>
            </w:r>
          </w:p>
        </w:tc>
      </w:tr>
      <w:tr w:rsidR="006E4CB4" w:rsidRPr="006E4CB4" w:rsidTr="00635340">
        <w:trPr>
          <w:trHeight w:val="20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6E4CB4" w:rsidRPr="006E4CB4" w:rsidRDefault="006E4CB4" w:rsidP="00635340">
            <w:pPr>
              <w:jc w:val="left"/>
              <w:rPr>
                <w:sz w:val="21"/>
                <w:szCs w:val="21"/>
                <w:lang w:val="fr-CA" w:eastAsia="en-CA"/>
              </w:rPr>
            </w:pPr>
            <w:r>
              <w:rPr>
                <w:sz w:val="21"/>
                <w:szCs w:val="21"/>
                <w:lang w:val="fr-CA" w:eastAsia="en-CA"/>
              </w:rPr>
              <w:t>Coûts d’appui à l’agence</w:t>
            </w:r>
          </w:p>
        </w:tc>
        <w:tc>
          <w:tcPr>
            <w:tcW w:w="4536"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rsidR="006E4CB4" w:rsidRPr="006E4CB4" w:rsidRDefault="006E4CB4" w:rsidP="00635340">
            <w:pPr>
              <w:jc w:val="right"/>
              <w:rPr>
                <w:sz w:val="21"/>
                <w:szCs w:val="21"/>
                <w:lang w:val="fr-CA" w:eastAsia="en-CA"/>
              </w:rPr>
            </w:pPr>
            <w:r w:rsidRPr="006E4CB4">
              <w:rPr>
                <w:sz w:val="21"/>
                <w:szCs w:val="21"/>
                <w:lang w:val="fr-CA" w:eastAsia="en-CA"/>
              </w:rPr>
              <w:t>117</w:t>
            </w:r>
            <w:r>
              <w:rPr>
                <w:sz w:val="21"/>
                <w:szCs w:val="21"/>
                <w:lang w:val="fr-CA" w:eastAsia="en-CA"/>
              </w:rPr>
              <w:t xml:space="preserve"> </w:t>
            </w:r>
            <w:r w:rsidRPr="006E4CB4">
              <w:rPr>
                <w:sz w:val="21"/>
                <w:szCs w:val="21"/>
                <w:lang w:val="fr-CA" w:eastAsia="en-CA"/>
              </w:rPr>
              <w:t>016</w:t>
            </w:r>
            <w:r>
              <w:rPr>
                <w:sz w:val="21"/>
                <w:szCs w:val="21"/>
                <w:lang w:val="fr-CA" w:eastAsia="en-CA"/>
              </w:rPr>
              <w:t xml:space="preserve"> </w:t>
            </w:r>
            <w:r w:rsidRPr="006E4CB4">
              <w:rPr>
                <w:sz w:val="21"/>
                <w:szCs w:val="21"/>
                <w:lang w:val="fr-CA" w:eastAsia="en-CA"/>
              </w:rPr>
              <w:t>674</w:t>
            </w:r>
          </w:p>
        </w:tc>
      </w:tr>
      <w:tr w:rsidR="006E4CB4" w:rsidRPr="006E4CB4" w:rsidTr="00635340">
        <w:trPr>
          <w:trHeight w:val="20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6E4CB4" w:rsidRPr="006E4CB4" w:rsidRDefault="006E4CB4" w:rsidP="00635340">
            <w:pPr>
              <w:jc w:val="left"/>
              <w:rPr>
                <w:b/>
                <w:bCs/>
                <w:sz w:val="21"/>
                <w:szCs w:val="21"/>
                <w:lang w:val="fr-CA" w:eastAsia="en-CA"/>
              </w:rPr>
            </w:pPr>
            <w:r w:rsidRPr="006E4CB4">
              <w:rPr>
                <w:b/>
                <w:bCs/>
                <w:sz w:val="21"/>
                <w:szCs w:val="21"/>
                <w:lang w:val="fr-CA" w:eastAsia="en-CA"/>
              </w:rPr>
              <w:t>Total</w:t>
            </w:r>
          </w:p>
        </w:tc>
        <w:tc>
          <w:tcPr>
            <w:tcW w:w="4536" w:type="dxa"/>
            <w:tcBorders>
              <w:top w:val="nil"/>
              <w:left w:val="nil"/>
              <w:bottom w:val="single" w:sz="4" w:space="0" w:color="auto"/>
              <w:right w:val="single" w:sz="4" w:space="0" w:color="auto"/>
            </w:tcBorders>
            <w:shd w:val="clear" w:color="auto" w:fill="auto"/>
            <w:noWrap/>
            <w:tcMar>
              <w:left w:w="115" w:type="dxa"/>
              <w:right w:w="576" w:type="dxa"/>
            </w:tcMar>
            <w:vAlign w:val="bottom"/>
            <w:hideMark/>
          </w:tcPr>
          <w:p w:rsidR="006E4CB4" w:rsidRPr="006E4CB4" w:rsidRDefault="006E4CB4" w:rsidP="00635340">
            <w:pPr>
              <w:jc w:val="right"/>
              <w:rPr>
                <w:b/>
                <w:sz w:val="21"/>
                <w:szCs w:val="21"/>
                <w:lang w:val="fr-CA" w:eastAsia="en-CA"/>
              </w:rPr>
            </w:pPr>
            <w:r w:rsidRPr="006E4CB4">
              <w:rPr>
                <w:b/>
                <w:sz w:val="21"/>
                <w:szCs w:val="21"/>
                <w:lang w:val="fr-CA" w:eastAsia="en-CA"/>
              </w:rPr>
              <w:t>1</w:t>
            </w:r>
            <w:r>
              <w:rPr>
                <w:b/>
                <w:sz w:val="21"/>
                <w:szCs w:val="21"/>
                <w:lang w:val="fr-CA" w:eastAsia="en-CA"/>
              </w:rPr>
              <w:t xml:space="preserve"> </w:t>
            </w:r>
            <w:r w:rsidRPr="006E4CB4">
              <w:rPr>
                <w:b/>
                <w:sz w:val="21"/>
                <w:szCs w:val="21"/>
                <w:lang w:val="fr-CA" w:eastAsia="en-CA"/>
              </w:rPr>
              <w:t>280</w:t>
            </w:r>
            <w:r>
              <w:rPr>
                <w:b/>
                <w:sz w:val="21"/>
                <w:szCs w:val="21"/>
                <w:lang w:val="fr-CA" w:eastAsia="en-CA"/>
              </w:rPr>
              <w:t xml:space="preserve"> </w:t>
            </w:r>
            <w:r w:rsidRPr="006E4CB4">
              <w:rPr>
                <w:b/>
                <w:sz w:val="21"/>
                <w:szCs w:val="21"/>
                <w:lang w:val="fr-CA" w:eastAsia="en-CA"/>
              </w:rPr>
              <w:t>098</w:t>
            </w:r>
            <w:r>
              <w:rPr>
                <w:b/>
                <w:sz w:val="21"/>
                <w:szCs w:val="21"/>
                <w:lang w:val="fr-CA" w:eastAsia="en-CA"/>
              </w:rPr>
              <w:t xml:space="preserve"> </w:t>
            </w:r>
            <w:r w:rsidRPr="006E4CB4">
              <w:rPr>
                <w:b/>
                <w:sz w:val="21"/>
                <w:szCs w:val="21"/>
                <w:lang w:val="fr-CA" w:eastAsia="en-CA"/>
              </w:rPr>
              <w:t>680</w:t>
            </w:r>
          </w:p>
        </w:tc>
      </w:tr>
    </w:tbl>
    <w:p w:rsidR="006E4CB4" w:rsidRDefault="006E4CB4">
      <w:pPr>
        <w:rPr>
          <w:lang w:val="fr-FR"/>
        </w:rPr>
      </w:pPr>
    </w:p>
    <w:p w:rsidR="006E4CB4" w:rsidRDefault="00274E4C" w:rsidP="006E4CB4">
      <w:pPr>
        <w:pStyle w:val="ListParagraph"/>
        <w:numPr>
          <w:ilvl w:val="0"/>
          <w:numId w:val="26"/>
        </w:numPr>
        <w:ind w:left="0" w:firstLine="0"/>
        <w:rPr>
          <w:lang w:val="fr-FR"/>
        </w:rPr>
      </w:pPr>
      <w:r>
        <w:rPr>
          <w:lang w:val="fr-FR"/>
        </w:rPr>
        <w:t>Le tableau 2 contient un sommaire de l’état des projets par catégorie.</w:t>
      </w:r>
    </w:p>
    <w:p w:rsidR="00274E4C" w:rsidRDefault="00274E4C" w:rsidP="00274E4C">
      <w:pPr>
        <w:rPr>
          <w:lang w:val="fr-FR"/>
        </w:rPr>
      </w:pPr>
    </w:p>
    <w:p w:rsidR="00274E4C" w:rsidRDefault="00274E4C" w:rsidP="00274E4C">
      <w:pPr>
        <w:rPr>
          <w:lang w:val="fr-FR"/>
        </w:rPr>
      </w:pPr>
      <w:r>
        <w:rPr>
          <w:b/>
          <w:lang w:val="fr-FR"/>
        </w:rPr>
        <w:t>Tableau 2. État de la mise en œuvre des projets, par catégorie</w:t>
      </w:r>
    </w:p>
    <w:tbl>
      <w:tblPr>
        <w:tblW w:w="9360" w:type="dxa"/>
        <w:tblInd w:w="-5" w:type="dxa"/>
        <w:tblLayout w:type="fixed"/>
        <w:tblLook w:val="04A0" w:firstRow="1" w:lastRow="0" w:firstColumn="1" w:lastColumn="0" w:noHBand="0" w:noVBand="1"/>
      </w:tblPr>
      <w:tblGrid>
        <w:gridCol w:w="1620"/>
        <w:gridCol w:w="1105"/>
        <w:gridCol w:w="1106"/>
        <w:gridCol w:w="1119"/>
        <w:gridCol w:w="1092"/>
        <w:gridCol w:w="1106"/>
        <w:gridCol w:w="1106"/>
        <w:gridCol w:w="1106"/>
      </w:tblGrid>
      <w:tr w:rsidR="00274E4C" w:rsidRPr="00274E4C" w:rsidTr="00635340">
        <w:trPr>
          <w:trHeight w:val="58"/>
          <w:tblHeader/>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tcMar>
              <w:left w:w="29" w:type="dxa"/>
              <w:right w:w="14" w:type="dxa"/>
            </w:tcMar>
            <w:hideMark/>
          </w:tcPr>
          <w:p w:rsidR="00274E4C" w:rsidRPr="00274E4C" w:rsidRDefault="00274E4C" w:rsidP="00274E4C">
            <w:pPr>
              <w:jc w:val="center"/>
              <w:rPr>
                <w:b/>
                <w:bCs/>
                <w:sz w:val="18"/>
                <w:szCs w:val="18"/>
                <w:lang w:val="fr-CA" w:eastAsia="en-CA"/>
              </w:rPr>
            </w:pPr>
            <w:r w:rsidRPr="00274E4C">
              <w:rPr>
                <w:b/>
                <w:bCs/>
                <w:sz w:val="18"/>
                <w:szCs w:val="18"/>
                <w:lang w:val="fr-CA" w:eastAsia="en-CA"/>
              </w:rPr>
              <w:t>Type</w:t>
            </w:r>
          </w:p>
        </w:tc>
        <w:tc>
          <w:tcPr>
            <w:tcW w:w="3330" w:type="dxa"/>
            <w:gridSpan w:val="3"/>
            <w:tcBorders>
              <w:top w:val="single" w:sz="4" w:space="0" w:color="auto"/>
              <w:left w:val="nil"/>
              <w:bottom w:val="single" w:sz="4" w:space="0" w:color="auto"/>
              <w:right w:val="single" w:sz="4" w:space="0" w:color="auto"/>
            </w:tcBorders>
            <w:shd w:val="clear" w:color="auto" w:fill="auto"/>
            <w:noWrap/>
            <w:hideMark/>
          </w:tcPr>
          <w:p w:rsidR="00274E4C" w:rsidRPr="00274E4C" w:rsidRDefault="00274E4C" w:rsidP="00274E4C">
            <w:pPr>
              <w:jc w:val="center"/>
              <w:rPr>
                <w:b/>
                <w:bCs/>
                <w:sz w:val="18"/>
                <w:szCs w:val="20"/>
                <w:lang w:val="fr-CA" w:eastAsia="en-CA"/>
              </w:rPr>
            </w:pPr>
            <w:r w:rsidRPr="00274E4C">
              <w:rPr>
                <w:b/>
                <w:bCs/>
                <w:sz w:val="18"/>
                <w:szCs w:val="20"/>
                <w:lang w:val="fr-CA" w:eastAsia="en-CA"/>
              </w:rPr>
              <w:t>Nombre de projets*</w:t>
            </w:r>
          </w:p>
        </w:tc>
        <w:tc>
          <w:tcPr>
            <w:tcW w:w="4410" w:type="dxa"/>
            <w:gridSpan w:val="4"/>
            <w:tcBorders>
              <w:top w:val="single" w:sz="4" w:space="0" w:color="auto"/>
              <w:left w:val="nil"/>
              <w:bottom w:val="single" w:sz="4" w:space="0" w:color="auto"/>
              <w:right w:val="single" w:sz="4" w:space="0" w:color="auto"/>
            </w:tcBorders>
            <w:shd w:val="clear" w:color="auto" w:fill="auto"/>
            <w:noWrap/>
            <w:hideMark/>
          </w:tcPr>
          <w:p w:rsidR="00274E4C" w:rsidRPr="00274E4C" w:rsidRDefault="00274E4C" w:rsidP="00274E4C">
            <w:pPr>
              <w:jc w:val="center"/>
              <w:rPr>
                <w:b/>
                <w:bCs/>
                <w:sz w:val="18"/>
                <w:szCs w:val="20"/>
                <w:lang w:val="fr-CA" w:eastAsia="en-CA"/>
              </w:rPr>
            </w:pPr>
            <w:r w:rsidRPr="00274E4C">
              <w:rPr>
                <w:b/>
                <w:bCs/>
                <w:sz w:val="18"/>
                <w:szCs w:val="20"/>
                <w:lang w:val="fr-CA" w:eastAsia="en-CA"/>
              </w:rPr>
              <w:t>Financement ($US)**</w:t>
            </w:r>
          </w:p>
        </w:tc>
      </w:tr>
      <w:tr w:rsidR="00274E4C" w:rsidRPr="00274E4C" w:rsidTr="00635340">
        <w:trPr>
          <w:tblHeader/>
        </w:trPr>
        <w:tc>
          <w:tcPr>
            <w:tcW w:w="1620" w:type="dxa"/>
            <w:vMerge/>
            <w:tcBorders>
              <w:top w:val="single" w:sz="4" w:space="0" w:color="auto"/>
              <w:left w:val="single" w:sz="4" w:space="0" w:color="auto"/>
              <w:bottom w:val="single" w:sz="4" w:space="0" w:color="auto"/>
              <w:right w:val="single" w:sz="4" w:space="0" w:color="auto"/>
            </w:tcBorders>
            <w:tcMar>
              <w:left w:w="29" w:type="dxa"/>
              <w:right w:w="14" w:type="dxa"/>
            </w:tcMar>
            <w:hideMark/>
          </w:tcPr>
          <w:p w:rsidR="00274E4C" w:rsidRPr="00274E4C" w:rsidRDefault="00274E4C" w:rsidP="00274E4C">
            <w:pPr>
              <w:jc w:val="left"/>
              <w:rPr>
                <w:b/>
                <w:bCs/>
                <w:sz w:val="18"/>
                <w:szCs w:val="18"/>
                <w:lang w:val="fr-CA" w:eastAsia="en-CA"/>
              </w:rPr>
            </w:pPr>
          </w:p>
        </w:tc>
        <w:tc>
          <w:tcPr>
            <w:tcW w:w="1105" w:type="dxa"/>
            <w:tcBorders>
              <w:top w:val="nil"/>
              <w:left w:val="nil"/>
              <w:bottom w:val="single" w:sz="4" w:space="0" w:color="auto"/>
              <w:right w:val="single" w:sz="4" w:space="0" w:color="auto"/>
            </w:tcBorders>
            <w:shd w:val="clear" w:color="auto" w:fill="auto"/>
            <w:tcMar>
              <w:left w:w="0" w:type="dxa"/>
              <w:right w:w="29" w:type="dxa"/>
            </w:tcMar>
            <w:vAlign w:val="center"/>
            <w:hideMark/>
          </w:tcPr>
          <w:p w:rsidR="00274E4C" w:rsidRPr="00274E4C" w:rsidRDefault="00274E4C" w:rsidP="00274E4C">
            <w:pPr>
              <w:jc w:val="center"/>
              <w:rPr>
                <w:b/>
                <w:bCs/>
                <w:sz w:val="20"/>
                <w:szCs w:val="20"/>
                <w:lang w:val="fr-CA" w:eastAsia="en-CA"/>
              </w:rPr>
            </w:pPr>
            <w:r w:rsidRPr="00274E4C">
              <w:rPr>
                <w:b/>
                <w:bCs/>
                <w:sz w:val="20"/>
                <w:szCs w:val="20"/>
                <w:lang w:val="fr-CA" w:eastAsia="en-CA"/>
              </w:rPr>
              <w:t>Approuvés</w:t>
            </w:r>
          </w:p>
        </w:tc>
        <w:tc>
          <w:tcPr>
            <w:tcW w:w="1106" w:type="dxa"/>
            <w:tcBorders>
              <w:top w:val="nil"/>
              <w:left w:val="nil"/>
              <w:bottom w:val="single" w:sz="4" w:space="0" w:color="auto"/>
              <w:right w:val="single" w:sz="4" w:space="0" w:color="auto"/>
            </w:tcBorders>
            <w:shd w:val="clear" w:color="auto" w:fill="auto"/>
            <w:tcMar>
              <w:left w:w="0" w:type="dxa"/>
              <w:right w:w="29" w:type="dxa"/>
            </w:tcMar>
            <w:vAlign w:val="center"/>
            <w:hideMark/>
          </w:tcPr>
          <w:p w:rsidR="00274E4C" w:rsidRPr="00274E4C" w:rsidRDefault="00274E4C" w:rsidP="00274E4C">
            <w:pPr>
              <w:jc w:val="center"/>
              <w:rPr>
                <w:b/>
                <w:bCs/>
                <w:sz w:val="18"/>
                <w:szCs w:val="20"/>
                <w:lang w:val="fr-CA" w:eastAsia="en-CA"/>
              </w:rPr>
            </w:pPr>
            <w:r w:rsidRPr="00274E4C">
              <w:rPr>
                <w:b/>
                <w:bCs/>
                <w:sz w:val="18"/>
                <w:szCs w:val="20"/>
                <w:lang w:val="fr-CA" w:eastAsia="en-CA"/>
              </w:rPr>
              <w:t>Achevés</w:t>
            </w:r>
          </w:p>
        </w:tc>
        <w:tc>
          <w:tcPr>
            <w:tcW w:w="1119" w:type="dxa"/>
            <w:tcBorders>
              <w:top w:val="nil"/>
              <w:left w:val="nil"/>
              <w:bottom w:val="single" w:sz="4" w:space="0" w:color="auto"/>
              <w:right w:val="single" w:sz="4" w:space="0" w:color="auto"/>
            </w:tcBorders>
            <w:shd w:val="clear" w:color="auto" w:fill="auto"/>
            <w:tcMar>
              <w:left w:w="0" w:type="dxa"/>
              <w:right w:w="29" w:type="dxa"/>
            </w:tcMar>
            <w:vAlign w:val="center"/>
            <w:hideMark/>
          </w:tcPr>
          <w:p w:rsidR="00274E4C" w:rsidRPr="00274E4C" w:rsidRDefault="00274E4C" w:rsidP="00274E4C">
            <w:pPr>
              <w:jc w:val="center"/>
              <w:rPr>
                <w:b/>
                <w:bCs/>
                <w:sz w:val="18"/>
                <w:szCs w:val="20"/>
                <w:lang w:val="fr-CA" w:eastAsia="en-CA"/>
              </w:rPr>
            </w:pPr>
            <w:r w:rsidRPr="00274E4C">
              <w:rPr>
                <w:b/>
                <w:bCs/>
                <w:sz w:val="18"/>
                <w:szCs w:val="20"/>
                <w:lang w:val="fr-CA" w:eastAsia="en-CA"/>
              </w:rPr>
              <w:t>% d’achèvement</w:t>
            </w:r>
          </w:p>
        </w:tc>
        <w:tc>
          <w:tcPr>
            <w:tcW w:w="1092" w:type="dxa"/>
            <w:tcBorders>
              <w:top w:val="nil"/>
              <w:left w:val="nil"/>
              <w:bottom w:val="single" w:sz="4" w:space="0" w:color="auto"/>
              <w:right w:val="single" w:sz="4" w:space="0" w:color="auto"/>
            </w:tcBorders>
            <w:shd w:val="clear" w:color="auto" w:fill="auto"/>
            <w:tcMar>
              <w:left w:w="0" w:type="dxa"/>
              <w:right w:w="29" w:type="dxa"/>
            </w:tcMar>
            <w:vAlign w:val="center"/>
            <w:hideMark/>
          </w:tcPr>
          <w:p w:rsidR="00274E4C" w:rsidRPr="00274E4C" w:rsidRDefault="00274E4C" w:rsidP="00274E4C">
            <w:pPr>
              <w:jc w:val="left"/>
              <w:rPr>
                <w:b/>
                <w:bCs/>
                <w:sz w:val="18"/>
                <w:szCs w:val="20"/>
                <w:lang w:val="fr-CA" w:eastAsia="en-CA"/>
              </w:rPr>
            </w:pPr>
            <w:r w:rsidRPr="00274E4C">
              <w:rPr>
                <w:b/>
                <w:bCs/>
                <w:sz w:val="18"/>
                <w:szCs w:val="20"/>
                <w:lang w:val="fr-CA" w:eastAsia="en-CA"/>
              </w:rPr>
              <w:t>Approuvés</w:t>
            </w:r>
          </w:p>
        </w:tc>
        <w:tc>
          <w:tcPr>
            <w:tcW w:w="1106" w:type="dxa"/>
            <w:tcBorders>
              <w:top w:val="nil"/>
              <w:left w:val="nil"/>
              <w:bottom w:val="single" w:sz="4" w:space="0" w:color="auto"/>
              <w:right w:val="single" w:sz="4" w:space="0" w:color="auto"/>
            </w:tcBorders>
            <w:shd w:val="clear" w:color="auto" w:fill="auto"/>
            <w:tcMar>
              <w:left w:w="0" w:type="dxa"/>
              <w:right w:w="29" w:type="dxa"/>
            </w:tcMar>
            <w:vAlign w:val="center"/>
            <w:hideMark/>
          </w:tcPr>
          <w:p w:rsidR="00274E4C" w:rsidRPr="00274E4C" w:rsidRDefault="00274E4C" w:rsidP="00274E4C">
            <w:pPr>
              <w:jc w:val="center"/>
              <w:rPr>
                <w:b/>
                <w:bCs/>
                <w:sz w:val="18"/>
                <w:szCs w:val="20"/>
                <w:lang w:val="fr-CA" w:eastAsia="en-CA"/>
              </w:rPr>
            </w:pPr>
            <w:r w:rsidRPr="00274E4C">
              <w:rPr>
                <w:b/>
                <w:bCs/>
                <w:sz w:val="18"/>
                <w:szCs w:val="20"/>
                <w:lang w:val="fr-CA" w:eastAsia="en-CA"/>
              </w:rPr>
              <w:t>Décaissement</w:t>
            </w:r>
          </w:p>
        </w:tc>
        <w:tc>
          <w:tcPr>
            <w:tcW w:w="1106" w:type="dxa"/>
            <w:tcBorders>
              <w:top w:val="nil"/>
              <w:left w:val="nil"/>
              <w:bottom w:val="single" w:sz="4" w:space="0" w:color="auto"/>
              <w:right w:val="single" w:sz="4" w:space="0" w:color="auto"/>
            </w:tcBorders>
            <w:shd w:val="clear" w:color="auto" w:fill="auto"/>
            <w:tcMar>
              <w:left w:w="0" w:type="dxa"/>
              <w:right w:w="29" w:type="dxa"/>
            </w:tcMar>
            <w:vAlign w:val="center"/>
            <w:hideMark/>
          </w:tcPr>
          <w:p w:rsidR="00274E4C" w:rsidRPr="00274E4C" w:rsidRDefault="00274E4C" w:rsidP="00274E4C">
            <w:pPr>
              <w:jc w:val="center"/>
              <w:rPr>
                <w:b/>
                <w:bCs/>
                <w:sz w:val="18"/>
                <w:szCs w:val="20"/>
                <w:lang w:val="fr-CA" w:eastAsia="en-CA"/>
              </w:rPr>
            </w:pPr>
            <w:r w:rsidRPr="00274E4C">
              <w:rPr>
                <w:b/>
                <w:bCs/>
                <w:sz w:val="18"/>
                <w:szCs w:val="20"/>
                <w:lang w:val="fr-CA" w:eastAsia="en-CA"/>
              </w:rPr>
              <w:t>Solde</w:t>
            </w:r>
          </w:p>
        </w:tc>
        <w:tc>
          <w:tcPr>
            <w:tcW w:w="1106" w:type="dxa"/>
            <w:tcBorders>
              <w:top w:val="nil"/>
              <w:left w:val="nil"/>
              <w:bottom w:val="single" w:sz="4" w:space="0" w:color="auto"/>
              <w:right w:val="single" w:sz="4" w:space="0" w:color="auto"/>
            </w:tcBorders>
            <w:shd w:val="clear" w:color="auto" w:fill="auto"/>
            <w:tcMar>
              <w:left w:w="0" w:type="dxa"/>
              <w:right w:w="29" w:type="dxa"/>
            </w:tcMar>
            <w:vAlign w:val="center"/>
            <w:hideMark/>
          </w:tcPr>
          <w:p w:rsidR="00274E4C" w:rsidRPr="00274E4C" w:rsidRDefault="00274E4C" w:rsidP="00274E4C">
            <w:pPr>
              <w:jc w:val="center"/>
              <w:rPr>
                <w:b/>
                <w:bCs/>
                <w:sz w:val="18"/>
                <w:szCs w:val="20"/>
                <w:lang w:val="fr-CA" w:eastAsia="en-CA"/>
              </w:rPr>
            </w:pPr>
            <w:r w:rsidRPr="00274E4C">
              <w:rPr>
                <w:b/>
                <w:bCs/>
                <w:sz w:val="18"/>
                <w:szCs w:val="20"/>
                <w:lang w:val="fr-CA" w:eastAsia="en-CA"/>
              </w:rPr>
              <w:t>% de décaissement</w:t>
            </w:r>
          </w:p>
        </w:tc>
      </w:tr>
      <w:tr w:rsidR="00274E4C" w:rsidRPr="00274E4C" w:rsidTr="00635340">
        <w:tc>
          <w:tcPr>
            <w:tcW w:w="1620" w:type="dxa"/>
            <w:tcBorders>
              <w:top w:val="nil"/>
              <w:left w:val="single" w:sz="4" w:space="0" w:color="auto"/>
              <w:bottom w:val="single" w:sz="4" w:space="0" w:color="auto"/>
              <w:right w:val="single" w:sz="4" w:space="0" w:color="auto"/>
            </w:tcBorders>
            <w:shd w:val="clear" w:color="auto" w:fill="auto"/>
            <w:tcMar>
              <w:left w:w="29" w:type="dxa"/>
              <w:right w:w="14" w:type="dxa"/>
            </w:tcMar>
            <w:hideMark/>
          </w:tcPr>
          <w:p w:rsidR="00274E4C" w:rsidRPr="00274E4C" w:rsidRDefault="00274E4C" w:rsidP="00635340">
            <w:pPr>
              <w:jc w:val="left"/>
              <w:rPr>
                <w:sz w:val="18"/>
                <w:szCs w:val="18"/>
                <w:lang w:val="fr-CA" w:eastAsia="en-CA"/>
              </w:rPr>
            </w:pPr>
            <w:r w:rsidRPr="00274E4C">
              <w:rPr>
                <w:sz w:val="18"/>
                <w:szCs w:val="18"/>
                <w:lang w:val="fr-CA" w:eastAsia="en-CA"/>
              </w:rPr>
              <w:t>Programme de pays</w:t>
            </w:r>
          </w:p>
        </w:tc>
        <w:tc>
          <w:tcPr>
            <w:tcW w:w="1105" w:type="dxa"/>
            <w:tcBorders>
              <w:top w:val="nil"/>
              <w:left w:val="nil"/>
              <w:bottom w:val="single" w:sz="4" w:space="0" w:color="auto"/>
              <w:right w:val="single" w:sz="4" w:space="0" w:color="auto"/>
            </w:tcBorders>
            <w:shd w:val="clear" w:color="auto" w:fill="auto"/>
            <w:noWrap/>
            <w:tcMar>
              <w:left w:w="0" w:type="dxa"/>
              <w:right w:w="29" w:type="dxa"/>
            </w:tcMar>
            <w:hideMark/>
          </w:tcPr>
          <w:p w:rsidR="00274E4C" w:rsidRPr="00274E4C" w:rsidRDefault="00274E4C" w:rsidP="00635340">
            <w:pPr>
              <w:jc w:val="right"/>
              <w:rPr>
                <w:sz w:val="18"/>
                <w:szCs w:val="18"/>
                <w:lang w:val="fr-CA" w:eastAsia="en-CA"/>
              </w:rPr>
            </w:pPr>
            <w:r w:rsidRPr="00274E4C">
              <w:rPr>
                <w:sz w:val="18"/>
                <w:szCs w:val="18"/>
                <w:lang w:val="fr-CA" w:eastAsia="en-CA"/>
              </w:rPr>
              <w:t>29</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rsidR="00274E4C" w:rsidRPr="00274E4C" w:rsidRDefault="00274E4C" w:rsidP="00635340">
            <w:pPr>
              <w:jc w:val="right"/>
              <w:rPr>
                <w:sz w:val="18"/>
                <w:szCs w:val="18"/>
                <w:lang w:val="fr-CA" w:eastAsia="en-CA"/>
              </w:rPr>
            </w:pPr>
            <w:r w:rsidRPr="00274E4C">
              <w:rPr>
                <w:sz w:val="18"/>
                <w:szCs w:val="18"/>
                <w:lang w:val="fr-CA" w:eastAsia="en-CA"/>
              </w:rPr>
              <w:t>29</w:t>
            </w:r>
          </w:p>
        </w:tc>
        <w:tc>
          <w:tcPr>
            <w:tcW w:w="1119" w:type="dxa"/>
            <w:tcBorders>
              <w:top w:val="nil"/>
              <w:left w:val="nil"/>
              <w:bottom w:val="single" w:sz="4" w:space="0" w:color="auto"/>
              <w:right w:val="single" w:sz="4" w:space="0" w:color="auto"/>
            </w:tcBorders>
            <w:shd w:val="clear" w:color="auto" w:fill="auto"/>
            <w:noWrap/>
            <w:tcMar>
              <w:left w:w="0" w:type="dxa"/>
              <w:right w:w="29" w:type="dxa"/>
            </w:tcMar>
            <w:hideMark/>
          </w:tcPr>
          <w:p w:rsidR="00274E4C" w:rsidRPr="00274E4C" w:rsidRDefault="00274E4C" w:rsidP="00635340">
            <w:pPr>
              <w:jc w:val="right"/>
              <w:rPr>
                <w:sz w:val="18"/>
                <w:szCs w:val="18"/>
                <w:lang w:val="fr-CA" w:eastAsia="en-CA"/>
              </w:rPr>
            </w:pPr>
            <w:r w:rsidRPr="00274E4C">
              <w:rPr>
                <w:sz w:val="18"/>
                <w:szCs w:val="18"/>
                <w:lang w:val="fr-CA" w:eastAsia="en-CA"/>
              </w:rPr>
              <w:t>100</w:t>
            </w:r>
          </w:p>
        </w:tc>
        <w:tc>
          <w:tcPr>
            <w:tcW w:w="1092" w:type="dxa"/>
            <w:tcBorders>
              <w:top w:val="nil"/>
              <w:left w:val="nil"/>
              <w:bottom w:val="single" w:sz="4" w:space="0" w:color="auto"/>
              <w:right w:val="single" w:sz="4" w:space="0" w:color="auto"/>
            </w:tcBorders>
            <w:shd w:val="clear" w:color="auto" w:fill="auto"/>
            <w:tcMar>
              <w:left w:w="0" w:type="dxa"/>
              <w:right w:w="29" w:type="dxa"/>
            </w:tcMar>
            <w:hideMark/>
          </w:tcPr>
          <w:p w:rsidR="00274E4C" w:rsidRPr="00274E4C" w:rsidRDefault="00274E4C" w:rsidP="00635340">
            <w:pPr>
              <w:jc w:val="right"/>
              <w:rPr>
                <w:sz w:val="18"/>
                <w:szCs w:val="18"/>
                <w:lang w:val="fr-CA" w:eastAsia="en-CA"/>
              </w:rPr>
            </w:pPr>
            <w:r w:rsidRPr="00274E4C">
              <w:rPr>
                <w:sz w:val="18"/>
                <w:szCs w:val="18"/>
                <w:lang w:val="fr-CA" w:eastAsia="en-CA"/>
              </w:rPr>
              <w:t>1</w:t>
            </w:r>
            <w:r>
              <w:rPr>
                <w:sz w:val="18"/>
                <w:szCs w:val="18"/>
                <w:lang w:val="fr-CA" w:eastAsia="en-CA"/>
              </w:rPr>
              <w:t xml:space="preserve"> </w:t>
            </w:r>
            <w:r w:rsidRPr="00274E4C">
              <w:rPr>
                <w:sz w:val="18"/>
                <w:szCs w:val="18"/>
                <w:lang w:val="fr-CA" w:eastAsia="en-CA"/>
              </w:rPr>
              <w:t>627</w:t>
            </w:r>
            <w:r>
              <w:rPr>
                <w:sz w:val="18"/>
                <w:szCs w:val="18"/>
                <w:lang w:val="fr-CA" w:eastAsia="en-CA"/>
              </w:rPr>
              <w:t xml:space="preserve"> </w:t>
            </w:r>
            <w:r w:rsidRPr="00274E4C">
              <w:rPr>
                <w:sz w:val="18"/>
                <w:szCs w:val="18"/>
                <w:lang w:val="fr-CA" w:eastAsia="en-CA"/>
              </w:rPr>
              <w:t>732</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rsidR="00274E4C" w:rsidRPr="00274E4C" w:rsidRDefault="00274E4C" w:rsidP="00635340">
            <w:pPr>
              <w:jc w:val="right"/>
              <w:rPr>
                <w:sz w:val="18"/>
                <w:szCs w:val="18"/>
                <w:lang w:val="fr-CA" w:eastAsia="en-CA"/>
              </w:rPr>
            </w:pPr>
            <w:r w:rsidRPr="00274E4C">
              <w:rPr>
                <w:sz w:val="18"/>
                <w:szCs w:val="18"/>
                <w:lang w:val="fr-CA" w:eastAsia="en-CA"/>
              </w:rPr>
              <w:t>1</w:t>
            </w:r>
            <w:r>
              <w:rPr>
                <w:sz w:val="18"/>
                <w:szCs w:val="18"/>
                <w:lang w:val="fr-CA" w:eastAsia="en-CA"/>
              </w:rPr>
              <w:t xml:space="preserve"> </w:t>
            </w:r>
            <w:r w:rsidRPr="00274E4C">
              <w:rPr>
                <w:sz w:val="18"/>
                <w:szCs w:val="18"/>
                <w:lang w:val="fr-CA" w:eastAsia="en-CA"/>
              </w:rPr>
              <w:t>627</w:t>
            </w:r>
            <w:r>
              <w:rPr>
                <w:sz w:val="18"/>
                <w:szCs w:val="18"/>
                <w:lang w:val="fr-CA" w:eastAsia="en-CA"/>
              </w:rPr>
              <w:t xml:space="preserve"> </w:t>
            </w:r>
            <w:r w:rsidRPr="00274E4C">
              <w:rPr>
                <w:sz w:val="18"/>
                <w:szCs w:val="18"/>
                <w:lang w:val="fr-CA" w:eastAsia="en-CA"/>
              </w:rPr>
              <w:t>732</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rsidR="00274E4C" w:rsidRPr="00274E4C" w:rsidRDefault="00274E4C" w:rsidP="00635340">
            <w:pPr>
              <w:jc w:val="right"/>
              <w:rPr>
                <w:sz w:val="18"/>
                <w:szCs w:val="18"/>
                <w:lang w:val="fr-CA" w:eastAsia="en-CA"/>
              </w:rPr>
            </w:pPr>
            <w:r w:rsidRPr="00274E4C">
              <w:rPr>
                <w:sz w:val="18"/>
                <w:szCs w:val="18"/>
                <w:lang w:val="fr-CA" w:eastAsia="en-CA"/>
              </w:rPr>
              <w:t>0</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rsidR="00274E4C" w:rsidRPr="00274E4C" w:rsidRDefault="00274E4C" w:rsidP="00635340">
            <w:pPr>
              <w:jc w:val="right"/>
              <w:rPr>
                <w:sz w:val="18"/>
                <w:szCs w:val="18"/>
                <w:lang w:val="fr-CA" w:eastAsia="en-CA"/>
              </w:rPr>
            </w:pPr>
            <w:r w:rsidRPr="00274E4C">
              <w:rPr>
                <w:sz w:val="18"/>
                <w:szCs w:val="18"/>
                <w:lang w:val="fr-CA" w:eastAsia="en-CA"/>
              </w:rPr>
              <w:t>100</w:t>
            </w:r>
          </w:p>
        </w:tc>
      </w:tr>
      <w:tr w:rsidR="00274E4C" w:rsidRPr="00274E4C" w:rsidTr="00635340">
        <w:tc>
          <w:tcPr>
            <w:tcW w:w="1620" w:type="dxa"/>
            <w:tcBorders>
              <w:top w:val="nil"/>
              <w:left w:val="single" w:sz="4" w:space="0" w:color="auto"/>
              <w:bottom w:val="single" w:sz="4" w:space="0" w:color="auto"/>
              <w:right w:val="single" w:sz="4" w:space="0" w:color="auto"/>
            </w:tcBorders>
            <w:shd w:val="clear" w:color="auto" w:fill="auto"/>
            <w:tcMar>
              <w:left w:w="29" w:type="dxa"/>
              <w:right w:w="14" w:type="dxa"/>
            </w:tcMar>
            <w:hideMark/>
          </w:tcPr>
          <w:p w:rsidR="00274E4C" w:rsidRPr="00274E4C" w:rsidRDefault="00274E4C" w:rsidP="00635340">
            <w:pPr>
              <w:jc w:val="left"/>
              <w:rPr>
                <w:sz w:val="18"/>
                <w:szCs w:val="18"/>
                <w:lang w:val="fr-CA" w:eastAsia="en-CA"/>
              </w:rPr>
            </w:pPr>
            <w:r w:rsidRPr="00274E4C">
              <w:rPr>
                <w:sz w:val="18"/>
                <w:szCs w:val="18"/>
                <w:lang w:val="fr-CA" w:eastAsia="en-CA"/>
              </w:rPr>
              <w:t>Démonstration</w:t>
            </w:r>
          </w:p>
        </w:tc>
        <w:tc>
          <w:tcPr>
            <w:tcW w:w="1105" w:type="dxa"/>
            <w:tcBorders>
              <w:top w:val="nil"/>
              <w:left w:val="nil"/>
              <w:bottom w:val="single" w:sz="4" w:space="0" w:color="auto"/>
              <w:right w:val="single" w:sz="4" w:space="0" w:color="auto"/>
            </w:tcBorders>
            <w:shd w:val="clear" w:color="auto" w:fill="auto"/>
            <w:noWrap/>
            <w:tcMar>
              <w:left w:w="0" w:type="dxa"/>
              <w:right w:w="29" w:type="dxa"/>
            </w:tcMar>
            <w:hideMark/>
          </w:tcPr>
          <w:p w:rsidR="00274E4C" w:rsidRPr="00274E4C" w:rsidRDefault="00274E4C" w:rsidP="00635340">
            <w:pPr>
              <w:jc w:val="right"/>
              <w:rPr>
                <w:sz w:val="18"/>
                <w:szCs w:val="18"/>
                <w:lang w:val="fr-CA" w:eastAsia="en-CA"/>
              </w:rPr>
            </w:pPr>
            <w:r w:rsidRPr="00274E4C">
              <w:rPr>
                <w:sz w:val="18"/>
                <w:szCs w:val="18"/>
                <w:lang w:val="fr-CA" w:eastAsia="en-CA"/>
              </w:rPr>
              <w:t>8</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rsidR="00274E4C" w:rsidRPr="00274E4C" w:rsidRDefault="00274E4C" w:rsidP="00635340">
            <w:pPr>
              <w:jc w:val="right"/>
              <w:rPr>
                <w:sz w:val="18"/>
                <w:szCs w:val="18"/>
                <w:lang w:val="fr-CA" w:eastAsia="en-CA"/>
              </w:rPr>
            </w:pPr>
            <w:r w:rsidRPr="00274E4C">
              <w:rPr>
                <w:sz w:val="18"/>
                <w:szCs w:val="18"/>
                <w:lang w:val="fr-CA" w:eastAsia="en-CA"/>
              </w:rPr>
              <w:t>8</w:t>
            </w:r>
          </w:p>
        </w:tc>
        <w:tc>
          <w:tcPr>
            <w:tcW w:w="1119" w:type="dxa"/>
            <w:tcBorders>
              <w:top w:val="nil"/>
              <w:left w:val="nil"/>
              <w:bottom w:val="single" w:sz="4" w:space="0" w:color="auto"/>
              <w:right w:val="single" w:sz="4" w:space="0" w:color="auto"/>
            </w:tcBorders>
            <w:shd w:val="clear" w:color="auto" w:fill="auto"/>
            <w:noWrap/>
            <w:tcMar>
              <w:left w:w="0" w:type="dxa"/>
              <w:right w:w="29" w:type="dxa"/>
            </w:tcMar>
            <w:hideMark/>
          </w:tcPr>
          <w:p w:rsidR="00274E4C" w:rsidRPr="00274E4C" w:rsidRDefault="00274E4C" w:rsidP="00635340">
            <w:pPr>
              <w:jc w:val="right"/>
              <w:rPr>
                <w:sz w:val="18"/>
                <w:szCs w:val="18"/>
                <w:lang w:val="fr-CA" w:eastAsia="en-CA"/>
              </w:rPr>
            </w:pPr>
            <w:r w:rsidRPr="00274E4C">
              <w:rPr>
                <w:sz w:val="18"/>
                <w:szCs w:val="18"/>
                <w:lang w:val="fr-CA" w:eastAsia="en-CA"/>
              </w:rPr>
              <w:t>100</w:t>
            </w:r>
          </w:p>
        </w:tc>
        <w:tc>
          <w:tcPr>
            <w:tcW w:w="1092" w:type="dxa"/>
            <w:tcBorders>
              <w:top w:val="nil"/>
              <w:left w:val="nil"/>
              <w:bottom w:val="single" w:sz="4" w:space="0" w:color="auto"/>
              <w:right w:val="single" w:sz="4" w:space="0" w:color="auto"/>
            </w:tcBorders>
            <w:shd w:val="clear" w:color="auto" w:fill="auto"/>
            <w:tcMar>
              <w:left w:w="0" w:type="dxa"/>
              <w:right w:w="29" w:type="dxa"/>
            </w:tcMar>
            <w:hideMark/>
          </w:tcPr>
          <w:p w:rsidR="00274E4C" w:rsidRPr="00274E4C" w:rsidRDefault="00274E4C" w:rsidP="00635340">
            <w:pPr>
              <w:jc w:val="right"/>
              <w:rPr>
                <w:sz w:val="18"/>
                <w:szCs w:val="18"/>
                <w:lang w:val="fr-CA" w:eastAsia="en-CA"/>
              </w:rPr>
            </w:pPr>
            <w:r w:rsidRPr="00274E4C">
              <w:rPr>
                <w:sz w:val="18"/>
                <w:szCs w:val="18"/>
                <w:lang w:val="fr-CA" w:eastAsia="en-CA"/>
              </w:rPr>
              <w:t>6</w:t>
            </w:r>
            <w:r>
              <w:rPr>
                <w:sz w:val="18"/>
                <w:szCs w:val="18"/>
                <w:lang w:val="fr-CA" w:eastAsia="en-CA"/>
              </w:rPr>
              <w:t xml:space="preserve"> </w:t>
            </w:r>
            <w:r w:rsidRPr="00274E4C">
              <w:rPr>
                <w:sz w:val="18"/>
                <w:szCs w:val="18"/>
                <w:lang w:val="fr-CA" w:eastAsia="en-CA"/>
              </w:rPr>
              <w:t>313</w:t>
            </w:r>
            <w:r>
              <w:rPr>
                <w:sz w:val="18"/>
                <w:szCs w:val="18"/>
                <w:lang w:val="fr-CA" w:eastAsia="en-CA"/>
              </w:rPr>
              <w:t xml:space="preserve"> </w:t>
            </w:r>
            <w:r w:rsidRPr="00274E4C">
              <w:rPr>
                <w:sz w:val="18"/>
                <w:szCs w:val="18"/>
                <w:lang w:val="fr-CA" w:eastAsia="en-CA"/>
              </w:rPr>
              <w:t>753</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rsidR="00274E4C" w:rsidRPr="00274E4C" w:rsidRDefault="00274E4C" w:rsidP="00635340">
            <w:pPr>
              <w:jc w:val="right"/>
              <w:rPr>
                <w:sz w:val="18"/>
                <w:szCs w:val="18"/>
                <w:lang w:val="fr-CA" w:eastAsia="en-CA"/>
              </w:rPr>
            </w:pPr>
            <w:r w:rsidRPr="00274E4C">
              <w:rPr>
                <w:sz w:val="18"/>
                <w:szCs w:val="18"/>
                <w:lang w:val="fr-CA" w:eastAsia="en-CA"/>
              </w:rPr>
              <w:t>6</w:t>
            </w:r>
            <w:r>
              <w:rPr>
                <w:sz w:val="18"/>
                <w:szCs w:val="18"/>
                <w:lang w:val="fr-CA" w:eastAsia="en-CA"/>
              </w:rPr>
              <w:t xml:space="preserve"> </w:t>
            </w:r>
            <w:r w:rsidRPr="00274E4C">
              <w:rPr>
                <w:sz w:val="18"/>
                <w:szCs w:val="18"/>
                <w:lang w:val="fr-CA" w:eastAsia="en-CA"/>
              </w:rPr>
              <w:t>114</w:t>
            </w:r>
            <w:r>
              <w:rPr>
                <w:sz w:val="18"/>
                <w:szCs w:val="18"/>
                <w:lang w:val="fr-CA" w:eastAsia="en-CA"/>
              </w:rPr>
              <w:t xml:space="preserve"> </w:t>
            </w:r>
            <w:r w:rsidRPr="00274E4C">
              <w:rPr>
                <w:sz w:val="18"/>
                <w:szCs w:val="18"/>
                <w:lang w:val="fr-CA" w:eastAsia="en-CA"/>
              </w:rPr>
              <w:t>808</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rsidR="00274E4C" w:rsidRPr="00274E4C" w:rsidRDefault="00274E4C" w:rsidP="00635340">
            <w:pPr>
              <w:jc w:val="right"/>
              <w:rPr>
                <w:sz w:val="18"/>
                <w:szCs w:val="18"/>
                <w:lang w:val="fr-CA" w:eastAsia="en-CA"/>
              </w:rPr>
            </w:pPr>
            <w:r w:rsidRPr="00274E4C">
              <w:rPr>
                <w:sz w:val="18"/>
                <w:szCs w:val="18"/>
                <w:lang w:val="fr-CA" w:eastAsia="en-CA"/>
              </w:rPr>
              <w:t>198</w:t>
            </w:r>
            <w:r>
              <w:rPr>
                <w:sz w:val="18"/>
                <w:szCs w:val="18"/>
                <w:lang w:val="fr-CA" w:eastAsia="en-CA"/>
              </w:rPr>
              <w:t xml:space="preserve"> </w:t>
            </w:r>
            <w:r w:rsidRPr="00274E4C">
              <w:rPr>
                <w:sz w:val="18"/>
                <w:szCs w:val="18"/>
                <w:lang w:val="fr-CA" w:eastAsia="en-CA"/>
              </w:rPr>
              <w:t>945</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rsidR="00274E4C" w:rsidRPr="00274E4C" w:rsidRDefault="00274E4C" w:rsidP="00635340">
            <w:pPr>
              <w:jc w:val="right"/>
              <w:rPr>
                <w:sz w:val="18"/>
                <w:szCs w:val="18"/>
                <w:lang w:val="fr-CA" w:eastAsia="en-CA"/>
              </w:rPr>
            </w:pPr>
            <w:r w:rsidRPr="00274E4C">
              <w:rPr>
                <w:sz w:val="18"/>
                <w:szCs w:val="18"/>
                <w:lang w:val="fr-CA" w:eastAsia="en-CA"/>
              </w:rPr>
              <w:t>97</w:t>
            </w:r>
          </w:p>
        </w:tc>
      </w:tr>
      <w:tr w:rsidR="00274E4C" w:rsidRPr="00274E4C" w:rsidTr="00635340">
        <w:tc>
          <w:tcPr>
            <w:tcW w:w="1620" w:type="dxa"/>
            <w:tcBorders>
              <w:top w:val="nil"/>
              <w:left w:val="single" w:sz="4" w:space="0" w:color="auto"/>
              <w:bottom w:val="single" w:sz="4" w:space="0" w:color="auto"/>
              <w:right w:val="single" w:sz="4" w:space="0" w:color="auto"/>
            </w:tcBorders>
            <w:shd w:val="clear" w:color="auto" w:fill="auto"/>
            <w:tcMar>
              <w:left w:w="29" w:type="dxa"/>
              <w:right w:w="14" w:type="dxa"/>
            </w:tcMar>
            <w:hideMark/>
          </w:tcPr>
          <w:p w:rsidR="00274E4C" w:rsidRPr="00274E4C" w:rsidRDefault="00274E4C" w:rsidP="00635340">
            <w:pPr>
              <w:jc w:val="left"/>
              <w:rPr>
                <w:sz w:val="18"/>
                <w:szCs w:val="18"/>
                <w:lang w:val="fr-CA" w:eastAsia="en-CA"/>
              </w:rPr>
            </w:pPr>
            <w:r>
              <w:rPr>
                <w:sz w:val="18"/>
                <w:szCs w:val="18"/>
                <w:lang w:val="fr-CA" w:eastAsia="en-CA"/>
              </w:rPr>
              <w:t>Renforcement des institutions</w:t>
            </w:r>
          </w:p>
        </w:tc>
        <w:tc>
          <w:tcPr>
            <w:tcW w:w="1105" w:type="dxa"/>
            <w:tcBorders>
              <w:top w:val="nil"/>
              <w:left w:val="nil"/>
              <w:bottom w:val="single" w:sz="4" w:space="0" w:color="auto"/>
              <w:right w:val="single" w:sz="4" w:space="0" w:color="auto"/>
            </w:tcBorders>
            <w:shd w:val="clear" w:color="auto" w:fill="auto"/>
            <w:noWrap/>
            <w:tcMar>
              <w:left w:w="0" w:type="dxa"/>
              <w:right w:w="29" w:type="dxa"/>
            </w:tcMar>
            <w:hideMark/>
          </w:tcPr>
          <w:p w:rsidR="00274E4C" w:rsidRPr="00274E4C" w:rsidRDefault="00274E4C" w:rsidP="00635340">
            <w:pPr>
              <w:jc w:val="right"/>
              <w:rPr>
                <w:sz w:val="18"/>
                <w:szCs w:val="18"/>
                <w:lang w:val="fr-CA" w:eastAsia="en-CA"/>
              </w:rPr>
            </w:pPr>
            <w:r w:rsidRPr="00274E4C">
              <w:rPr>
                <w:sz w:val="18"/>
                <w:szCs w:val="18"/>
                <w:lang w:val="fr-CA" w:eastAsia="en-CA"/>
              </w:rPr>
              <w:t>50</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rsidR="00274E4C" w:rsidRPr="00274E4C" w:rsidRDefault="00274E4C" w:rsidP="00635340">
            <w:pPr>
              <w:jc w:val="right"/>
              <w:rPr>
                <w:sz w:val="18"/>
                <w:szCs w:val="18"/>
                <w:lang w:val="fr-CA" w:eastAsia="en-CA"/>
              </w:rPr>
            </w:pPr>
            <w:r w:rsidRPr="00274E4C">
              <w:rPr>
                <w:sz w:val="18"/>
                <w:szCs w:val="18"/>
                <w:lang w:val="fr-CA" w:eastAsia="en-CA"/>
              </w:rPr>
              <w:t>47</w:t>
            </w:r>
          </w:p>
        </w:tc>
        <w:tc>
          <w:tcPr>
            <w:tcW w:w="1119" w:type="dxa"/>
            <w:tcBorders>
              <w:top w:val="nil"/>
              <w:left w:val="nil"/>
              <w:bottom w:val="single" w:sz="4" w:space="0" w:color="auto"/>
              <w:right w:val="single" w:sz="4" w:space="0" w:color="auto"/>
            </w:tcBorders>
            <w:shd w:val="clear" w:color="auto" w:fill="auto"/>
            <w:noWrap/>
            <w:tcMar>
              <w:left w:w="0" w:type="dxa"/>
              <w:right w:w="29" w:type="dxa"/>
            </w:tcMar>
            <w:hideMark/>
          </w:tcPr>
          <w:p w:rsidR="00274E4C" w:rsidRPr="00274E4C" w:rsidRDefault="00274E4C" w:rsidP="00635340">
            <w:pPr>
              <w:jc w:val="right"/>
              <w:rPr>
                <w:sz w:val="18"/>
                <w:szCs w:val="18"/>
                <w:lang w:val="fr-CA" w:eastAsia="en-CA"/>
              </w:rPr>
            </w:pPr>
            <w:r w:rsidRPr="00274E4C">
              <w:rPr>
                <w:sz w:val="18"/>
                <w:szCs w:val="18"/>
                <w:lang w:val="fr-CA" w:eastAsia="en-CA"/>
              </w:rPr>
              <w:t>94</w:t>
            </w:r>
          </w:p>
        </w:tc>
        <w:tc>
          <w:tcPr>
            <w:tcW w:w="1092" w:type="dxa"/>
            <w:tcBorders>
              <w:top w:val="nil"/>
              <w:left w:val="nil"/>
              <w:bottom w:val="single" w:sz="4" w:space="0" w:color="auto"/>
              <w:right w:val="single" w:sz="4" w:space="0" w:color="auto"/>
            </w:tcBorders>
            <w:shd w:val="clear" w:color="auto" w:fill="auto"/>
            <w:tcMar>
              <w:left w:w="0" w:type="dxa"/>
              <w:right w:w="29" w:type="dxa"/>
            </w:tcMar>
            <w:hideMark/>
          </w:tcPr>
          <w:p w:rsidR="00274E4C" w:rsidRPr="00274E4C" w:rsidRDefault="00274E4C" w:rsidP="00635340">
            <w:pPr>
              <w:jc w:val="right"/>
              <w:rPr>
                <w:sz w:val="18"/>
                <w:szCs w:val="18"/>
                <w:lang w:val="fr-CA" w:eastAsia="en-CA"/>
              </w:rPr>
            </w:pPr>
            <w:r w:rsidRPr="00274E4C">
              <w:rPr>
                <w:sz w:val="18"/>
                <w:szCs w:val="18"/>
                <w:lang w:val="fr-CA" w:eastAsia="en-CA"/>
              </w:rPr>
              <w:t>9</w:t>
            </w:r>
            <w:r>
              <w:rPr>
                <w:sz w:val="18"/>
                <w:szCs w:val="18"/>
                <w:lang w:val="fr-CA" w:eastAsia="en-CA"/>
              </w:rPr>
              <w:t xml:space="preserve"> </w:t>
            </w:r>
            <w:r w:rsidRPr="00274E4C">
              <w:rPr>
                <w:sz w:val="18"/>
                <w:szCs w:val="18"/>
                <w:lang w:val="fr-CA" w:eastAsia="en-CA"/>
              </w:rPr>
              <w:t>569</w:t>
            </w:r>
            <w:r>
              <w:rPr>
                <w:sz w:val="18"/>
                <w:szCs w:val="18"/>
                <w:lang w:val="fr-CA" w:eastAsia="en-CA"/>
              </w:rPr>
              <w:t xml:space="preserve"> </w:t>
            </w:r>
            <w:r w:rsidRPr="00274E4C">
              <w:rPr>
                <w:sz w:val="18"/>
                <w:szCs w:val="18"/>
                <w:lang w:val="fr-CA" w:eastAsia="en-CA"/>
              </w:rPr>
              <w:t>981</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rsidR="00274E4C" w:rsidRPr="00274E4C" w:rsidRDefault="00274E4C" w:rsidP="00635340">
            <w:pPr>
              <w:jc w:val="right"/>
              <w:rPr>
                <w:sz w:val="18"/>
                <w:szCs w:val="18"/>
                <w:lang w:val="fr-CA" w:eastAsia="en-CA"/>
              </w:rPr>
            </w:pPr>
            <w:r w:rsidRPr="00274E4C">
              <w:rPr>
                <w:sz w:val="18"/>
                <w:szCs w:val="18"/>
                <w:lang w:val="fr-CA" w:eastAsia="en-CA"/>
              </w:rPr>
              <w:t>8</w:t>
            </w:r>
            <w:r>
              <w:rPr>
                <w:sz w:val="18"/>
                <w:szCs w:val="18"/>
                <w:lang w:val="fr-CA" w:eastAsia="en-CA"/>
              </w:rPr>
              <w:t xml:space="preserve"> </w:t>
            </w:r>
            <w:r w:rsidRPr="00274E4C">
              <w:rPr>
                <w:sz w:val="18"/>
                <w:szCs w:val="18"/>
                <w:lang w:val="fr-CA" w:eastAsia="en-CA"/>
              </w:rPr>
              <w:t>823</w:t>
            </w:r>
            <w:r>
              <w:rPr>
                <w:sz w:val="18"/>
                <w:szCs w:val="18"/>
                <w:lang w:val="fr-CA" w:eastAsia="en-CA"/>
              </w:rPr>
              <w:t xml:space="preserve"> </w:t>
            </w:r>
            <w:r w:rsidRPr="00274E4C">
              <w:rPr>
                <w:sz w:val="18"/>
                <w:szCs w:val="18"/>
                <w:lang w:val="fr-CA" w:eastAsia="en-CA"/>
              </w:rPr>
              <w:t>324</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rsidR="00274E4C" w:rsidRPr="00274E4C" w:rsidRDefault="00274E4C" w:rsidP="00635340">
            <w:pPr>
              <w:jc w:val="right"/>
              <w:rPr>
                <w:sz w:val="18"/>
                <w:szCs w:val="18"/>
                <w:lang w:val="fr-CA" w:eastAsia="en-CA"/>
              </w:rPr>
            </w:pPr>
            <w:r w:rsidRPr="00274E4C">
              <w:rPr>
                <w:sz w:val="18"/>
                <w:szCs w:val="18"/>
                <w:lang w:val="fr-CA" w:eastAsia="en-CA"/>
              </w:rPr>
              <w:t>746</w:t>
            </w:r>
            <w:r>
              <w:rPr>
                <w:sz w:val="18"/>
                <w:szCs w:val="18"/>
                <w:lang w:val="fr-CA" w:eastAsia="en-CA"/>
              </w:rPr>
              <w:t xml:space="preserve"> </w:t>
            </w:r>
            <w:r w:rsidRPr="00274E4C">
              <w:rPr>
                <w:sz w:val="18"/>
                <w:szCs w:val="18"/>
                <w:lang w:val="fr-CA" w:eastAsia="en-CA"/>
              </w:rPr>
              <w:t>657</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rsidR="00274E4C" w:rsidRPr="00274E4C" w:rsidRDefault="00274E4C" w:rsidP="00635340">
            <w:pPr>
              <w:jc w:val="right"/>
              <w:rPr>
                <w:sz w:val="18"/>
                <w:szCs w:val="18"/>
                <w:lang w:val="fr-CA" w:eastAsia="en-CA"/>
              </w:rPr>
            </w:pPr>
            <w:r w:rsidRPr="00274E4C">
              <w:rPr>
                <w:sz w:val="18"/>
                <w:szCs w:val="18"/>
                <w:lang w:val="fr-CA" w:eastAsia="en-CA"/>
              </w:rPr>
              <w:t>92</w:t>
            </w:r>
          </w:p>
        </w:tc>
      </w:tr>
      <w:tr w:rsidR="00274E4C" w:rsidRPr="00274E4C" w:rsidTr="00635340">
        <w:tc>
          <w:tcPr>
            <w:tcW w:w="1620" w:type="dxa"/>
            <w:tcBorders>
              <w:top w:val="nil"/>
              <w:left w:val="single" w:sz="4" w:space="0" w:color="auto"/>
              <w:bottom w:val="single" w:sz="4" w:space="0" w:color="auto"/>
              <w:right w:val="single" w:sz="4" w:space="0" w:color="auto"/>
            </w:tcBorders>
            <w:shd w:val="clear" w:color="auto" w:fill="auto"/>
            <w:tcMar>
              <w:left w:w="29" w:type="dxa"/>
              <w:right w:w="14" w:type="dxa"/>
            </w:tcMar>
            <w:hideMark/>
          </w:tcPr>
          <w:p w:rsidR="00274E4C" w:rsidRPr="00274E4C" w:rsidRDefault="00274E4C" w:rsidP="00635340">
            <w:pPr>
              <w:jc w:val="left"/>
              <w:rPr>
                <w:sz w:val="18"/>
                <w:szCs w:val="18"/>
                <w:lang w:val="fr-CA" w:eastAsia="en-CA"/>
              </w:rPr>
            </w:pPr>
            <w:r w:rsidRPr="00274E4C">
              <w:rPr>
                <w:sz w:val="18"/>
                <w:szCs w:val="18"/>
                <w:lang w:val="fr-CA" w:eastAsia="en-CA"/>
              </w:rPr>
              <w:t>Invest</w:t>
            </w:r>
            <w:r>
              <w:rPr>
                <w:sz w:val="18"/>
                <w:szCs w:val="18"/>
                <w:lang w:val="fr-CA" w:eastAsia="en-CA"/>
              </w:rPr>
              <w:t>isse</w:t>
            </w:r>
            <w:r w:rsidRPr="00274E4C">
              <w:rPr>
                <w:sz w:val="18"/>
                <w:szCs w:val="18"/>
                <w:lang w:val="fr-CA" w:eastAsia="en-CA"/>
              </w:rPr>
              <w:t>ment</w:t>
            </w:r>
          </w:p>
        </w:tc>
        <w:tc>
          <w:tcPr>
            <w:tcW w:w="1105" w:type="dxa"/>
            <w:tcBorders>
              <w:top w:val="nil"/>
              <w:left w:val="nil"/>
              <w:bottom w:val="single" w:sz="4" w:space="0" w:color="auto"/>
              <w:right w:val="single" w:sz="4" w:space="0" w:color="auto"/>
            </w:tcBorders>
            <w:shd w:val="clear" w:color="auto" w:fill="auto"/>
            <w:noWrap/>
            <w:tcMar>
              <w:left w:w="0" w:type="dxa"/>
              <w:right w:w="29" w:type="dxa"/>
            </w:tcMar>
            <w:hideMark/>
          </w:tcPr>
          <w:p w:rsidR="00274E4C" w:rsidRPr="00274E4C" w:rsidRDefault="00274E4C" w:rsidP="00635340">
            <w:pPr>
              <w:jc w:val="right"/>
              <w:rPr>
                <w:sz w:val="18"/>
                <w:szCs w:val="18"/>
                <w:lang w:val="fr-CA" w:eastAsia="en-CA"/>
              </w:rPr>
            </w:pPr>
            <w:r w:rsidRPr="00274E4C">
              <w:rPr>
                <w:sz w:val="18"/>
                <w:szCs w:val="18"/>
                <w:lang w:val="fr-CA" w:eastAsia="en-CA"/>
              </w:rPr>
              <w:t>632</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rsidR="00274E4C" w:rsidRPr="00274E4C" w:rsidRDefault="00274E4C" w:rsidP="00635340">
            <w:pPr>
              <w:jc w:val="right"/>
              <w:rPr>
                <w:sz w:val="18"/>
                <w:szCs w:val="18"/>
                <w:lang w:val="fr-CA" w:eastAsia="en-CA"/>
              </w:rPr>
            </w:pPr>
            <w:r w:rsidRPr="00274E4C">
              <w:rPr>
                <w:sz w:val="18"/>
                <w:szCs w:val="18"/>
                <w:lang w:val="fr-CA" w:eastAsia="en-CA"/>
              </w:rPr>
              <w:t>615</w:t>
            </w:r>
          </w:p>
        </w:tc>
        <w:tc>
          <w:tcPr>
            <w:tcW w:w="1119" w:type="dxa"/>
            <w:tcBorders>
              <w:top w:val="nil"/>
              <w:left w:val="nil"/>
              <w:bottom w:val="single" w:sz="4" w:space="0" w:color="auto"/>
              <w:right w:val="single" w:sz="4" w:space="0" w:color="auto"/>
            </w:tcBorders>
            <w:shd w:val="clear" w:color="auto" w:fill="auto"/>
            <w:noWrap/>
            <w:tcMar>
              <w:left w:w="0" w:type="dxa"/>
              <w:right w:w="29" w:type="dxa"/>
            </w:tcMar>
            <w:hideMark/>
          </w:tcPr>
          <w:p w:rsidR="00274E4C" w:rsidRPr="00274E4C" w:rsidRDefault="00274E4C" w:rsidP="00635340">
            <w:pPr>
              <w:jc w:val="right"/>
              <w:rPr>
                <w:sz w:val="18"/>
                <w:szCs w:val="18"/>
                <w:lang w:val="fr-CA" w:eastAsia="en-CA"/>
              </w:rPr>
            </w:pPr>
            <w:r w:rsidRPr="00274E4C">
              <w:rPr>
                <w:sz w:val="18"/>
                <w:szCs w:val="18"/>
                <w:lang w:val="fr-CA" w:eastAsia="en-CA"/>
              </w:rPr>
              <w:t>97</w:t>
            </w:r>
          </w:p>
        </w:tc>
        <w:tc>
          <w:tcPr>
            <w:tcW w:w="1092" w:type="dxa"/>
            <w:tcBorders>
              <w:top w:val="nil"/>
              <w:left w:val="nil"/>
              <w:bottom w:val="single" w:sz="4" w:space="0" w:color="auto"/>
              <w:right w:val="single" w:sz="4" w:space="0" w:color="auto"/>
            </w:tcBorders>
            <w:shd w:val="clear" w:color="auto" w:fill="auto"/>
            <w:tcMar>
              <w:left w:w="0" w:type="dxa"/>
              <w:right w:w="29" w:type="dxa"/>
            </w:tcMar>
            <w:hideMark/>
          </w:tcPr>
          <w:p w:rsidR="00274E4C" w:rsidRPr="00274E4C" w:rsidRDefault="00274E4C" w:rsidP="00635340">
            <w:pPr>
              <w:jc w:val="right"/>
              <w:rPr>
                <w:sz w:val="18"/>
                <w:szCs w:val="18"/>
                <w:lang w:val="fr-CA" w:eastAsia="en-CA"/>
              </w:rPr>
            </w:pPr>
            <w:r w:rsidRPr="00274E4C">
              <w:rPr>
                <w:sz w:val="18"/>
                <w:szCs w:val="18"/>
                <w:lang w:val="fr-CA" w:eastAsia="en-CA"/>
              </w:rPr>
              <w:t>1</w:t>
            </w:r>
            <w:r>
              <w:rPr>
                <w:sz w:val="18"/>
                <w:szCs w:val="18"/>
                <w:lang w:val="fr-CA" w:eastAsia="en-CA"/>
              </w:rPr>
              <w:t xml:space="preserve"> </w:t>
            </w:r>
            <w:r w:rsidRPr="00274E4C">
              <w:rPr>
                <w:sz w:val="18"/>
                <w:szCs w:val="18"/>
                <w:lang w:val="fr-CA" w:eastAsia="en-CA"/>
              </w:rPr>
              <w:t>102</w:t>
            </w:r>
            <w:r>
              <w:rPr>
                <w:sz w:val="18"/>
                <w:szCs w:val="18"/>
                <w:lang w:val="fr-CA" w:eastAsia="en-CA"/>
              </w:rPr>
              <w:t xml:space="preserve"> </w:t>
            </w:r>
            <w:r w:rsidRPr="00274E4C">
              <w:rPr>
                <w:sz w:val="18"/>
                <w:szCs w:val="18"/>
                <w:lang w:val="fr-CA" w:eastAsia="en-CA"/>
              </w:rPr>
              <w:t>492</w:t>
            </w:r>
            <w:r>
              <w:rPr>
                <w:sz w:val="18"/>
                <w:szCs w:val="18"/>
                <w:lang w:val="fr-CA" w:eastAsia="en-CA"/>
              </w:rPr>
              <w:t xml:space="preserve"> </w:t>
            </w:r>
            <w:r w:rsidRPr="00274E4C">
              <w:rPr>
                <w:sz w:val="18"/>
                <w:szCs w:val="18"/>
                <w:lang w:val="fr-CA" w:eastAsia="en-CA"/>
              </w:rPr>
              <w:t>200</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rsidR="00274E4C" w:rsidRPr="00274E4C" w:rsidRDefault="00274E4C" w:rsidP="00635340">
            <w:pPr>
              <w:jc w:val="right"/>
              <w:rPr>
                <w:sz w:val="18"/>
                <w:szCs w:val="18"/>
                <w:lang w:val="fr-CA" w:eastAsia="en-CA"/>
              </w:rPr>
            </w:pPr>
            <w:r w:rsidRPr="00274E4C">
              <w:rPr>
                <w:sz w:val="18"/>
                <w:szCs w:val="18"/>
                <w:lang w:val="fr-CA" w:eastAsia="en-CA"/>
              </w:rPr>
              <w:t>1</w:t>
            </w:r>
            <w:r>
              <w:rPr>
                <w:sz w:val="18"/>
                <w:szCs w:val="18"/>
                <w:lang w:val="fr-CA" w:eastAsia="en-CA"/>
              </w:rPr>
              <w:t xml:space="preserve"> </w:t>
            </w:r>
            <w:r w:rsidRPr="00274E4C">
              <w:rPr>
                <w:sz w:val="18"/>
                <w:szCs w:val="18"/>
                <w:lang w:val="fr-CA" w:eastAsia="en-CA"/>
              </w:rPr>
              <w:t>067</w:t>
            </w:r>
            <w:r>
              <w:rPr>
                <w:sz w:val="18"/>
                <w:szCs w:val="18"/>
                <w:lang w:val="fr-CA" w:eastAsia="en-CA"/>
              </w:rPr>
              <w:t xml:space="preserve"> </w:t>
            </w:r>
            <w:r w:rsidRPr="00274E4C">
              <w:rPr>
                <w:sz w:val="18"/>
                <w:szCs w:val="18"/>
                <w:lang w:val="fr-CA" w:eastAsia="en-CA"/>
              </w:rPr>
              <w:t>432</w:t>
            </w:r>
            <w:r>
              <w:rPr>
                <w:sz w:val="18"/>
                <w:szCs w:val="18"/>
                <w:lang w:val="fr-CA" w:eastAsia="en-CA"/>
              </w:rPr>
              <w:t xml:space="preserve"> </w:t>
            </w:r>
            <w:r w:rsidRPr="00274E4C">
              <w:rPr>
                <w:sz w:val="18"/>
                <w:szCs w:val="18"/>
                <w:lang w:val="fr-CA" w:eastAsia="en-CA"/>
              </w:rPr>
              <w:t>078</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rsidR="00274E4C" w:rsidRPr="00274E4C" w:rsidRDefault="00274E4C" w:rsidP="00635340">
            <w:pPr>
              <w:jc w:val="right"/>
              <w:rPr>
                <w:sz w:val="18"/>
                <w:szCs w:val="18"/>
                <w:lang w:val="fr-CA" w:eastAsia="en-CA"/>
              </w:rPr>
            </w:pPr>
            <w:r w:rsidRPr="00274E4C">
              <w:rPr>
                <w:sz w:val="18"/>
                <w:szCs w:val="18"/>
                <w:lang w:val="fr-CA" w:eastAsia="en-CA"/>
              </w:rPr>
              <w:t>35</w:t>
            </w:r>
            <w:r>
              <w:rPr>
                <w:sz w:val="18"/>
                <w:szCs w:val="18"/>
                <w:lang w:val="fr-CA" w:eastAsia="en-CA"/>
              </w:rPr>
              <w:t xml:space="preserve"> </w:t>
            </w:r>
            <w:r w:rsidRPr="00274E4C">
              <w:rPr>
                <w:sz w:val="18"/>
                <w:szCs w:val="18"/>
                <w:lang w:val="fr-CA" w:eastAsia="en-CA"/>
              </w:rPr>
              <w:t>060</w:t>
            </w:r>
            <w:r>
              <w:rPr>
                <w:sz w:val="18"/>
                <w:szCs w:val="18"/>
                <w:lang w:val="fr-CA" w:eastAsia="en-CA"/>
              </w:rPr>
              <w:t xml:space="preserve"> </w:t>
            </w:r>
            <w:r w:rsidRPr="00274E4C">
              <w:rPr>
                <w:sz w:val="18"/>
                <w:szCs w:val="18"/>
                <w:lang w:val="fr-CA" w:eastAsia="en-CA"/>
              </w:rPr>
              <w:t>122</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rsidR="00274E4C" w:rsidRPr="00274E4C" w:rsidRDefault="00274E4C" w:rsidP="00635340">
            <w:pPr>
              <w:jc w:val="right"/>
              <w:rPr>
                <w:sz w:val="18"/>
                <w:szCs w:val="18"/>
                <w:lang w:val="fr-CA" w:eastAsia="en-CA"/>
              </w:rPr>
            </w:pPr>
            <w:r w:rsidRPr="00274E4C">
              <w:rPr>
                <w:sz w:val="18"/>
                <w:szCs w:val="18"/>
                <w:lang w:val="fr-CA" w:eastAsia="en-CA"/>
              </w:rPr>
              <w:t>97</w:t>
            </w:r>
          </w:p>
        </w:tc>
      </w:tr>
      <w:tr w:rsidR="00274E4C" w:rsidRPr="00274E4C" w:rsidTr="00635340">
        <w:tc>
          <w:tcPr>
            <w:tcW w:w="1620" w:type="dxa"/>
            <w:tcBorders>
              <w:top w:val="nil"/>
              <w:left w:val="single" w:sz="4" w:space="0" w:color="auto"/>
              <w:bottom w:val="single" w:sz="4" w:space="0" w:color="auto"/>
              <w:right w:val="single" w:sz="4" w:space="0" w:color="auto"/>
            </w:tcBorders>
            <w:shd w:val="clear" w:color="auto" w:fill="auto"/>
            <w:tcMar>
              <w:left w:w="29" w:type="dxa"/>
              <w:right w:w="14" w:type="dxa"/>
            </w:tcMar>
            <w:hideMark/>
          </w:tcPr>
          <w:p w:rsidR="00274E4C" w:rsidRPr="00274E4C" w:rsidRDefault="00274E4C" w:rsidP="00635340">
            <w:pPr>
              <w:jc w:val="left"/>
              <w:rPr>
                <w:sz w:val="18"/>
                <w:szCs w:val="18"/>
                <w:lang w:val="fr-CA" w:eastAsia="en-CA"/>
              </w:rPr>
            </w:pPr>
            <w:r>
              <w:rPr>
                <w:sz w:val="18"/>
                <w:szCs w:val="18"/>
                <w:lang w:val="fr-CA" w:eastAsia="en-CA"/>
              </w:rPr>
              <w:lastRenderedPageBreak/>
              <w:t>Préparation de projets</w:t>
            </w:r>
          </w:p>
        </w:tc>
        <w:tc>
          <w:tcPr>
            <w:tcW w:w="1105" w:type="dxa"/>
            <w:tcBorders>
              <w:top w:val="nil"/>
              <w:left w:val="nil"/>
              <w:bottom w:val="single" w:sz="4" w:space="0" w:color="auto"/>
              <w:right w:val="single" w:sz="4" w:space="0" w:color="auto"/>
            </w:tcBorders>
            <w:shd w:val="clear" w:color="auto" w:fill="auto"/>
            <w:noWrap/>
            <w:tcMar>
              <w:left w:w="0" w:type="dxa"/>
              <w:right w:w="29" w:type="dxa"/>
            </w:tcMar>
            <w:hideMark/>
          </w:tcPr>
          <w:p w:rsidR="00274E4C" w:rsidRPr="00274E4C" w:rsidRDefault="00274E4C" w:rsidP="00635340">
            <w:pPr>
              <w:jc w:val="right"/>
              <w:rPr>
                <w:sz w:val="18"/>
                <w:szCs w:val="18"/>
                <w:lang w:val="fr-CA" w:eastAsia="en-CA"/>
              </w:rPr>
            </w:pPr>
            <w:r w:rsidRPr="00274E4C">
              <w:rPr>
                <w:sz w:val="18"/>
                <w:szCs w:val="18"/>
                <w:lang w:val="fr-CA" w:eastAsia="en-CA"/>
              </w:rPr>
              <w:t>291</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rsidR="00274E4C" w:rsidRPr="00274E4C" w:rsidRDefault="00274E4C" w:rsidP="00635340">
            <w:pPr>
              <w:jc w:val="right"/>
              <w:rPr>
                <w:sz w:val="18"/>
                <w:szCs w:val="18"/>
                <w:lang w:val="fr-CA" w:eastAsia="en-CA"/>
              </w:rPr>
            </w:pPr>
            <w:r w:rsidRPr="00274E4C">
              <w:rPr>
                <w:sz w:val="18"/>
                <w:szCs w:val="18"/>
                <w:lang w:val="fr-CA" w:eastAsia="en-CA"/>
              </w:rPr>
              <w:t>290</w:t>
            </w:r>
          </w:p>
        </w:tc>
        <w:tc>
          <w:tcPr>
            <w:tcW w:w="1119" w:type="dxa"/>
            <w:tcBorders>
              <w:top w:val="nil"/>
              <w:left w:val="nil"/>
              <w:bottom w:val="single" w:sz="4" w:space="0" w:color="auto"/>
              <w:right w:val="single" w:sz="4" w:space="0" w:color="auto"/>
            </w:tcBorders>
            <w:shd w:val="clear" w:color="auto" w:fill="auto"/>
            <w:noWrap/>
            <w:tcMar>
              <w:left w:w="0" w:type="dxa"/>
              <w:right w:w="29" w:type="dxa"/>
            </w:tcMar>
            <w:hideMark/>
          </w:tcPr>
          <w:p w:rsidR="00274E4C" w:rsidRPr="00274E4C" w:rsidRDefault="00274E4C" w:rsidP="00635340">
            <w:pPr>
              <w:jc w:val="right"/>
              <w:rPr>
                <w:sz w:val="18"/>
                <w:szCs w:val="18"/>
                <w:lang w:val="fr-CA" w:eastAsia="en-CA"/>
              </w:rPr>
            </w:pPr>
            <w:r w:rsidRPr="00274E4C">
              <w:rPr>
                <w:sz w:val="18"/>
                <w:szCs w:val="18"/>
                <w:lang w:val="fr-CA" w:eastAsia="en-CA"/>
              </w:rPr>
              <w:t>100</w:t>
            </w:r>
          </w:p>
        </w:tc>
        <w:tc>
          <w:tcPr>
            <w:tcW w:w="1092" w:type="dxa"/>
            <w:tcBorders>
              <w:top w:val="nil"/>
              <w:left w:val="nil"/>
              <w:bottom w:val="single" w:sz="4" w:space="0" w:color="auto"/>
              <w:right w:val="single" w:sz="4" w:space="0" w:color="auto"/>
            </w:tcBorders>
            <w:shd w:val="clear" w:color="auto" w:fill="auto"/>
            <w:tcMar>
              <w:left w:w="0" w:type="dxa"/>
              <w:right w:w="29" w:type="dxa"/>
            </w:tcMar>
            <w:hideMark/>
          </w:tcPr>
          <w:p w:rsidR="00274E4C" w:rsidRPr="00274E4C" w:rsidRDefault="00274E4C" w:rsidP="00635340">
            <w:pPr>
              <w:jc w:val="right"/>
              <w:rPr>
                <w:sz w:val="18"/>
                <w:szCs w:val="18"/>
                <w:lang w:val="fr-CA" w:eastAsia="en-CA"/>
              </w:rPr>
            </w:pPr>
            <w:r w:rsidRPr="00274E4C">
              <w:rPr>
                <w:sz w:val="18"/>
                <w:szCs w:val="18"/>
                <w:lang w:val="fr-CA" w:eastAsia="en-CA"/>
              </w:rPr>
              <w:t>26</w:t>
            </w:r>
            <w:r>
              <w:rPr>
                <w:sz w:val="18"/>
                <w:szCs w:val="18"/>
                <w:lang w:val="fr-CA" w:eastAsia="en-CA"/>
              </w:rPr>
              <w:t xml:space="preserve"> </w:t>
            </w:r>
            <w:r w:rsidRPr="00274E4C">
              <w:rPr>
                <w:sz w:val="18"/>
                <w:szCs w:val="18"/>
                <w:lang w:val="fr-CA" w:eastAsia="en-CA"/>
              </w:rPr>
              <w:t>689</w:t>
            </w:r>
            <w:r>
              <w:rPr>
                <w:sz w:val="18"/>
                <w:szCs w:val="18"/>
                <w:lang w:val="fr-CA" w:eastAsia="en-CA"/>
              </w:rPr>
              <w:t xml:space="preserve"> </w:t>
            </w:r>
            <w:r w:rsidRPr="00274E4C">
              <w:rPr>
                <w:sz w:val="18"/>
                <w:szCs w:val="18"/>
                <w:lang w:val="fr-CA" w:eastAsia="en-CA"/>
              </w:rPr>
              <w:t>025</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rsidR="00274E4C" w:rsidRPr="00274E4C" w:rsidRDefault="00274E4C" w:rsidP="00635340">
            <w:pPr>
              <w:jc w:val="right"/>
              <w:rPr>
                <w:sz w:val="18"/>
                <w:szCs w:val="18"/>
                <w:lang w:val="fr-CA" w:eastAsia="en-CA"/>
              </w:rPr>
            </w:pPr>
            <w:r w:rsidRPr="00274E4C">
              <w:rPr>
                <w:sz w:val="18"/>
                <w:szCs w:val="18"/>
                <w:lang w:val="fr-CA" w:eastAsia="en-CA"/>
              </w:rPr>
              <w:t>26</w:t>
            </w:r>
            <w:r>
              <w:rPr>
                <w:sz w:val="18"/>
                <w:szCs w:val="18"/>
                <w:lang w:val="fr-CA" w:eastAsia="en-CA"/>
              </w:rPr>
              <w:t xml:space="preserve"> </w:t>
            </w:r>
            <w:r w:rsidRPr="00274E4C">
              <w:rPr>
                <w:sz w:val="18"/>
                <w:szCs w:val="18"/>
                <w:lang w:val="fr-CA" w:eastAsia="en-CA"/>
              </w:rPr>
              <w:t>682</w:t>
            </w:r>
            <w:r>
              <w:rPr>
                <w:sz w:val="18"/>
                <w:szCs w:val="18"/>
                <w:lang w:val="fr-CA" w:eastAsia="en-CA"/>
              </w:rPr>
              <w:t xml:space="preserve"> </w:t>
            </w:r>
            <w:r w:rsidRPr="00274E4C">
              <w:rPr>
                <w:sz w:val="18"/>
                <w:szCs w:val="18"/>
                <w:lang w:val="fr-CA" w:eastAsia="en-CA"/>
              </w:rPr>
              <w:t>750</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rsidR="00274E4C" w:rsidRPr="00274E4C" w:rsidRDefault="00274E4C" w:rsidP="00635340">
            <w:pPr>
              <w:jc w:val="right"/>
              <w:rPr>
                <w:sz w:val="18"/>
                <w:szCs w:val="18"/>
                <w:lang w:val="fr-CA" w:eastAsia="en-CA"/>
              </w:rPr>
            </w:pPr>
            <w:r w:rsidRPr="00274E4C">
              <w:rPr>
                <w:sz w:val="18"/>
                <w:szCs w:val="18"/>
                <w:lang w:val="fr-CA" w:eastAsia="en-CA"/>
              </w:rPr>
              <w:t>6</w:t>
            </w:r>
            <w:r>
              <w:rPr>
                <w:sz w:val="18"/>
                <w:szCs w:val="18"/>
                <w:lang w:val="fr-CA" w:eastAsia="en-CA"/>
              </w:rPr>
              <w:t xml:space="preserve"> </w:t>
            </w:r>
            <w:r w:rsidRPr="00274E4C">
              <w:rPr>
                <w:sz w:val="18"/>
                <w:szCs w:val="18"/>
                <w:lang w:val="fr-CA" w:eastAsia="en-CA"/>
              </w:rPr>
              <w:t>275</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rsidR="00274E4C" w:rsidRPr="00274E4C" w:rsidRDefault="00274E4C" w:rsidP="00635340">
            <w:pPr>
              <w:jc w:val="right"/>
              <w:rPr>
                <w:sz w:val="18"/>
                <w:szCs w:val="18"/>
                <w:lang w:val="fr-CA" w:eastAsia="en-CA"/>
              </w:rPr>
            </w:pPr>
            <w:r w:rsidRPr="00274E4C">
              <w:rPr>
                <w:sz w:val="18"/>
                <w:szCs w:val="18"/>
                <w:lang w:val="fr-CA" w:eastAsia="en-CA"/>
              </w:rPr>
              <w:t>100</w:t>
            </w:r>
          </w:p>
        </w:tc>
      </w:tr>
      <w:tr w:rsidR="00274E4C" w:rsidRPr="00274E4C" w:rsidTr="00635340">
        <w:tc>
          <w:tcPr>
            <w:tcW w:w="1620" w:type="dxa"/>
            <w:tcBorders>
              <w:top w:val="nil"/>
              <w:left w:val="single" w:sz="4" w:space="0" w:color="auto"/>
              <w:bottom w:val="single" w:sz="4" w:space="0" w:color="auto"/>
              <w:right w:val="single" w:sz="4" w:space="0" w:color="auto"/>
            </w:tcBorders>
            <w:shd w:val="clear" w:color="auto" w:fill="auto"/>
            <w:tcMar>
              <w:left w:w="29" w:type="dxa"/>
              <w:right w:w="14" w:type="dxa"/>
            </w:tcMar>
            <w:hideMark/>
          </w:tcPr>
          <w:p w:rsidR="00274E4C" w:rsidRPr="00274E4C" w:rsidRDefault="00274E4C" w:rsidP="00635340">
            <w:pPr>
              <w:jc w:val="left"/>
              <w:rPr>
                <w:sz w:val="18"/>
                <w:szCs w:val="18"/>
                <w:lang w:val="fr-CA" w:eastAsia="en-CA"/>
              </w:rPr>
            </w:pPr>
            <w:r>
              <w:rPr>
                <w:sz w:val="18"/>
                <w:szCs w:val="18"/>
                <w:lang w:val="fr-CA" w:eastAsia="en-CA"/>
              </w:rPr>
              <w:t>Assistance technique</w:t>
            </w:r>
          </w:p>
        </w:tc>
        <w:tc>
          <w:tcPr>
            <w:tcW w:w="1105" w:type="dxa"/>
            <w:tcBorders>
              <w:top w:val="nil"/>
              <w:left w:val="nil"/>
              <w:bottom w:val="single" w:sz="4" w:space="0" w:color="auto"/>
              <w:right w:val="single" w:sz="4" w:space="0" w:color="auto"/>
            </w:tcBorders>
            <w:shd w:val="clear" w:color="auto" w:fill="auto"/>
            <w:noWrap/>
            <w:tcMar>
              <w:left w:w="0" w:type="dxa"/>
              <w:right w:w="29" w:type="dxa"/>
            </w:tcMar>
            <w:hideMark/>
          </w:tcPr>
          <w:p w:rsidR="00274E4C" w:rsidRPr="00274E4C" w:rsidRDefault="00274E4C" w:rsidP="00635340">
            <w:pPr>
              <w:jc w:val="right"/>
              <w:rPr>
                <w:sz w:val="18"/>
                <w:szCs w:val="18"/>
                <w:lang w:val="fr-CA" w:eastAsia="en-CA"/>
              </w:rPr>
            </w:pPr>
            <w:r w:rsidRPr="00274E4C">
              <w:rPr>
                <w:sz w:val="18"/>
                <w:szCs w:val="18"/>
                <w:lang w:val="fr-CA" w:eastAsia="en-CA"/>
              </w:rPr>
              <w:t>73</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rsidR="00274E4C" w:rsidRPr="00274E4C" w:rsidRDefault="00274E4C" w:rsidP="00635340">
            <w:pPr>
              <w:jc w:val="right"/>
              <w:rPr>
                <w:sz w:val="18"/>
                <w:szCs w:val="18"/>
                <w:lang w:val="fr-CA" w:eastAsia="en-CA"/>
              </w:rPr>
            </w:pPr>
            <w:r w:rsidRPr="00274E4C">
              <w:rPr>
                <w:sz w:val="18"/>
                <w:szCs w:val="18"/>
                <w:lang w:val="fr-CA" w:eastAsia="en-CA"/>
              </w:rPr>
              <w:t>70</w:t>
            </w:r>
          </w:p>
        </w:tc>
        <w:tc>
          <w:tcPr>
            <w:tcW w:w="1119" w:type="dxa"/>
            <w:tcBorders>
              <w:top w:val="nil"/>
              <w:left w:val="nil"/>
              <w:bottom w:val="single" w:sz="4" w:space="0" w:color="auto"/>
              <w:right w:val="single" w:sz="4" w:space="0" w:color="auto"/>
            </w:tcBorders>
            <w:shd w:val="clear" w:color="auto" w:fill="auto"/>
            <w:noWrap/>
            <w:tcMar>
              <w:left w:w="0" w:type="dxa"/>
              <w:right w:w="29" w:type="dxa"/>
            </w:tcMar>
            <w:hideMark/>
          </w:tcPr>
          <w:p w:rsidR="00274E4C" w:rsidRPr="00274E4C" w:rsidRDefault="00274E4C" w:rsidP="00635340">
            <w:pPr>
              <w:jc w:val="right"/>
              <w:rPr>
                <w:sz w:val="18"/>
                <w:szCs w:val="18"/>
                <w:lang w:val="fr-CA" w:eastAsia="en-CA"/>
              </w:rPr>
            </w:pPr>
            <w:r w:rsidRPr="00274E4C">
              <w:rPr>
                <w:sz w:val="18"/>
                <w:szCs w:val="18"/>
                <w:lang w:val="fr-CA" w:eastAsia="en-CA"/>
              </w:rPr>
              <w:t>96</w:t>
            </w:r>
          </w:p>
        </w:tc>
        <w:tc>
          <w:tcPr>
            <w:tcW w:w="1092" w:type="dxa"/>
            <w:tcBorders>
              <w:top w:val="nil"/>
              <w:left w:val="nil"/>
              <w:bottom w:val="single" w:sz="4" w:space="0" w:color="auto"/>
              <w:right w:val="single" w:sz="4" w:space="0" w:color="auto"/>
            </w:tcBorders>
            <w:shd w:val="clear" w:color="auto" w:fill="auto"/>
            <w:tcMar>
              <w:left w:w="0" w:type="dxa"/>
              <w:right w:w="29" w:type="dxa"/>
            </w:tcMar>
            <w:hideMark/>
          </w:tcPr>
          <w:p w:rsidR="00274E4C" w:rsidRPr="00274E4C" w:rsidRDefault="00274E4C" w:rsidP="00635340">
            <w:pPr>
              <w:jc w:val="right"/>
              <w:rPr>
                <w:sz w:val="18"/>
                <w:szCs w:val="18"/>
                <w:lang w:val="fr-CA" w:eastAsia="en-CA"/>
              </w:rPr>
            </w:pPr>
            <w:r w:rsidRPr="00274E4C">
              <w:rPr>
                <w:sz w:val="18"/>
                <w:szCs w:val="18"/>
                <w:lang w:val="fr-CA" w:eastAsia="en-CA"/>
              </w:rPr>
              <w:t>16</w:t>
            </w:r>
            <w:r>
              <w:rPr>
                <w:sz w:val="18"/>
                <w:szCs w:val="18"/>
                <w:lang w:val="fr-CA" w:eastAsia="en-CA"/>
              </w:rPr>
              <w:t xml:space="preserve"> </w:t>
            </w:r>
            <w:r w:rsidRPr="00274E4C">
              <w:rPr>
                <w:sz w:val="18"/>
                <w:szCs w:val="18"/>
                <w:lang w:val="fr-CA" w:eastAsia="en-CA"/>
              </w:rPr>
              <w:t>083</w:t>
            </w:r>
            <w:r>
              <w:rPr>
                <w:sz w:val="18"/>
                <w:szCs w:val="18"/>
                <w:lang w:val="fr-CA" w:eastAsia="en-CA"/>
              </w:rPr>
              <w:t xml:space="preserve"> </w:t>
            </w:r>
            <w:r w:rsidRPr="00274E4C">
              <w:rPr>
                <w:sz w:val="18"/>
                <w:szCs w:val="18"/>
                <w:lang w:val="fr-CA" w:eastAsia="en-CA"/>
              </w:rPr>
              <w:t>548</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rsidR="00274E4C" w:rsidRPr="00274E4C" w:rsidRDefault="00274E4C" w:rsidP="00635340">
            <w:pPr>
              <w:jc w:val="right"/>
              <w:rPr>
                <w:sz w:val="18"/>
                <w:szCs w:val="18"/>
                <w:lang w:val="fr-CA" w:eastAsia="en-CA"/>
              </w:rPr>
            </w:pPr>
            <w:r w:rsidRPr="00274E4C">
              <w:rPr>
                <w:sz w:val="18"/>
                <w:szCs w:val="18"/>
                <w:lang w:val="fr-CA" w:eastAsia="en-CA"/>
              </w:rPr>
              <w:t>14</w:t>
            </w:r>
            <w:r>
              <w:rPr>
                <w:sz w:val="18"/>
                <w:szCs w:val="18"/>
                <w:lang w:val="fr-CA" w:eastAsia="en-CA"/>
              </w:rPr>
              <w:t xml:space="preserve"> </w:t>
            </w:r>
            <w:r w:rsidRPr="00274E4C">
              <w:rPr>
                <w:sz w:val="18"/>
                <w:szCs w:val="18"/>
                <w:lang w:val="fr-CA" w:eastAsia="en-CA"/>
              </w:rPr>
              <w:t>947</w:t>
            </w:r>
            <w:r>
              <w:rPr>
                <w:sz w:val="18"/>
                <w:szCs w:val="18"/>
                <w:lang w:val="fr-CA" w:eastAsia="en-CA"/>
              </w:rPr>
              <w:t xml:space="preserve"> </w:t>
            </w:r>
            <w:r w:rsidRPr="00274E4C">
              <w:rPr>
                <w:sz w:val="18"/>
                <w:szCs w:val="18"/>
                <w:lang w:val="fr-CA" w:eastAsia="en-CA"/>
              </w:rPr>
              <w:t>550</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rsidR="00274E4C" w:rsidRPr="00274E4C" w:rsidRDefault="00274E4C" w:rsidP="00635340">
            <w:pPr>
              <w:jc w:val="right"/>
              <w:rPr>
                <w:sz w:val="18"/>
                <w:szCs w:val="18"/>
                <w:lang w:val="fr-CA" w:eastAsia="en-CA"/>
              </w:rPr>
            </w:pPr>
            <w:r w:rsidRPr="00274E4C">
              <w:rPr>
                <w:sz w:val="18"/>
                <w:szCs w:val="18"/>
                <w:lang w:val="fr-CA" w:eastAsia="en-CA"/>
              </w:rPr>
              <w:t>1</w:t>
            </w:r>
            <w:r>
              <w:rPr>
                <w:sz w:val="18"/>
                <w:szCs w:val="18"/>
                <w:lang w:val="fr-CA" w:eastAsia="en-CA"/>
              </w:rPr>
              <w:t xml:space="preserve"> </w:t>
            </w:r>
            <w:r w:rsidRPr="00274E4C">
              <w:rPr>
                <w:sz w:val="18"/>
                <w:szCs w:val="18"/>
                <w:lang w:val="fr-CA" w:eastAsia="en-CA"/>
              </w:rPr>
              <w:t>135</w:t>
            </w:r>
            <w:r>
              <w:rPr>
                <w:sz w:val="18"/>
                <w:szCs w:val="18"/>
                <w:lang w:val="fr-CA" w:eastAsia="en-CA"/>
              </w:rPr>
              <w:t xml:space="preserve"> </w:t>
            </w:r>
            <w:r w:rsidRPr="00274E4C">
              <w:rPr>
                <w:sz w:val="18"/>
                <w:szCs w:val="18"/>
                <w:lang w:val="fr-CA" w:eastAsia="en-CA"/>
              </w:rPr>
              <w:t>998</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rsidR="00274E4C" w:rsidRPr="00274E4C" w:rsidRDefault="00274E4C" w:rsidP="00635340">
            <w:pPr>
              <w:jc w:val="right"/>
              <w:rPr>
                <w:sz w:val="18"/>
                <w:szCs w:val="18"/>
                <w:lang w:val="fr-CA" w:eastAsia="en-CA"/>
              </w:rPr>
            </w:pPr>
            <w:r w:rsidRPr="00274E4C">
              <w:rPr>
                <w:sz w:val="18"/>
                <w:szCs w:val="18"/>
                <w:lang w:val="fr-CA" w:eastAsia="en-CA"/>
              </w:rPr>
              <w:t>93</w:t>
            </w:r>
          </w:p>
        </w:tc>
      </w:tr>
      <w:tr w:rsidR="00274E4C" w:rsidRPr="00274E4C" w:rsidTr="00635340">
        <w:tc>
          <w:tcPr>
            <w:tcW w:w="1620" w:type="dxa"/>
            <w:tcBorders>
              <w:top w:val="nil"/>
              <w:left w:val="single" w:sz="4" w:space="0" w:color="auto"/>
              <w:bottom w:val="single" w:sz="4" w:space="0" w:color="auto"/>
              <w:right w:val="single" w:sz="4" w:space="0" w:color="auto"/>
            </w:tcBorders>
            <w:shd w:val="clear" w:color="auto" w:fill="auto"/>
            <w:tcMar>
              <w:left w:w="29" w:type="dxa"/>
              <w:right w:w="14" w:type="dxa"/>
            </w:tcMar>
            <w:hideMark/>
          </w:tcPr>
          <w:p w:rsidR="00274E4C" w:rsidRPr="00274E4C" w:rsidRDefault="00274E4C" w:rsidP="00635340">
            <w:pPr>
              <w:jc w:val="left"/>
              <w:rPr>
                <w:sz w:val="18"/>
                <w:szCs w:val="18"/>
                <w:lang w:val="fr-CA" w:eastAsia="en-CA"/>
              </w:rPr>
            </w:pPr>
            <w:r>
              <w:rPr>
                <w:sz w:val="18"/>
                <w:szCs w:val="18"/>
                <w:lang w:val="fr-CA" w:eastAsia="en-CA"/>
              </w:rPr>
              <w:t>Formation</w:t>
            </w:r>
          </w:p>
        </w:tc>
        <w:tc>
          <w:tcPr>
            <w:tcW w:w="1105" w:type="dxa"/>
            <w:tcBorders>
              <w:top w:val="nil"/>
              <w:left w:val="nil"/>
              <w:bottom w:val="single" w:sz="4" w:space="0" w:color="auto"/>
              <w:right w:val="single" w:sz="4" w:space="0" w:color="auto"/>
            </w:tcBorders>
            <w:shd w:val="clear" w:color="auto" w:fill="auto"/>
            <w:noWrap/>
            <w:tcMar>
              <w:left w:w="0" w:type="dxa"/>
              <w:right w:w="29" w:type="dxa"/>
            </w:tcMar>
            <w:hideMark/>
          </w:tcPr>
          <w:p w:rsidR="00274E4C" w:rsidRPr="00274E4C" w:rsidRDefault="00274E4C" w:rsidP="00635340">
            <w:pPr>
              <w:jc w:val="right"/>
              <w:rPr>
                <w:sz w:val="18"/>
                <w:szCs w:val="18"/>
                <w:lang w:val="fr-CA" w:eastAsia="en-CA"/>
              </w:rPr>
            </w:pPr>
            <w:r w:rsidRPr="00274E4C">
              <w:rPr>
                <w:sz w:val="18"/>
                <w:szCs w:val="18"/>
                <w:lang w:val="fr-CA" w:eastAsia="en-CA"/>
              </w:rPr>
              <w:t>4</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rsidR="00274E4C" w:rsidRPr="00274E4C" w:rsidRDefault="00274E4C" w:rsidP="00635340">
            <w:pPr>
              <w:jc w:val="right"/>
              <w:rPr>
                <w:sz w:val="18"/>
                <w:szCs w:val="18"/>
                <w:lang w:val="fr-CA" w:eastAsia="en-CA"/>
              </w:rPr>
            </w:pPr>
            <w:r w:rsidRPr="00274E4C">
              <w:rPr>
                <w:sz w:val="18"/>
                <w:szCs w:val="18"/>
                <w:lang w:val="fr-CA" w:eastAsia="en-CA"/>
              </w:rPr>
              <w:t>4</w:t>
            </w:r>
          </w:p>
        </w:tc>
        <w:tc>
          <w:tcPr>
            <w:tcW w:w="1119" w:type="dxa"/>
            <w:tcBorders>
              <w:top w:val="nil"/>
              <w:left w:val="nil"/>
              <w:bottom w:val="single" w:sz="4" w:space="0" w:color="auto"/>
              <w:right w:val="single" w:sz="4" w:space="0" w:color="auto"/>
            </w:tcBorders>
            <w:shd w:val="clear" w:color="auto" w:fill="auto"/>
            <w:noWrap/>
            <w:tcMar>
              <w:left w:w="0" w:type="dxa"/>
              <w:right w:w="29" w:type="dxa"/>
            </w:tcMar>
            <w:hideMark/>
          </w:tcPr>
          <w:p w:rsidR="00274E4C" w:rsidRPr="00274E4C" w:rsidRDefault="00274E4C" w:rsidP="00635340">
            <w:pPr>
              <w:jc w:val="right"/>
              <w:rPr>
                <w:sz w:val="18"/>
                <w:szCs w:val="18"/>
                <w:lang w:val="fr-CA" w:eastAsia="en-CA"/>
              </w:rPr>
            </w:pPr>
            <w:r w:rsidRPr="00274E4C">
              <w:rPr>
                <w:sz w:val="18"/>
                <w:szCs w:val="18"/>
                <w:lang w:val="fr-CA" w:eastAsia="en-CA"/>
              </w:rPr>
              <w:t>100</w:t>
            </w:r>
          </w:p>
        </w:tc>
        <w:tc>
          <w:tcPr>
            <w:tcW w:w="1092" w:type="dxa"/>
            <w:tcBorders>
              <w:top w:val="nil"/>
              <w:left w:val="nil"/>
              <w:bottom w:val="single" w:sz="4" w:space="0" w:color="auto"/>
              <w:right w:val="single" w:sz="4" w:space="0" w:color="auto"/>
            </w:tcBorders>
            <w:shd w:val="clear" w:color="auto" w:fill="auto"/>
            <w:tcMar>
              <w:left w:w="0" w:type="dxa"/>
              <w:right w:w="29" w:type="dxa"/>
            </w:tcMar>
            <w:hideMark/>
          </w:tcPr>
          <w:p w:rsidR="00274E4C" w:rsidRPr="00274E4C" w:rsidRDefault="00274E4C" w:rsidP="00635340">
            <w:pPr>
              <w:jc w:val="right"/>
              <w:rPr>
                <w:sz w:val="18"/>
                <w:szCs w:val="18"/>
                <w:lang w:val="fr-CA" w:eastAsia="en-CA"/>
              </w:rPr>
            </w:pPr>
            <w:r w:rsidRPr="00274E4C">
              <w:rPr>
                <w:sz w:val="18"/>
                <w:szCs w:val="18"/>
                <w:lang w:val="fr-CA" w:eastAsia="en-CA"/>
              </w:rPr>
              <w:t>305</w:t>
            </w:r>
            <w:r>
              <w:rPr>
                <w:sz w:val="18"/>
                <w:szCs w:val="18"/>
                <w:lang w:val="fr-CA" w:eastAsia="en-CA"/>
              </w:rPr>
              <w:t xml:space="preserve"> </w:t>
            </w:r>
            <w:r w:rsidRPr="00274E4C">
              <w:rPr>
                <w:sz w:val="18"/>
                <w:szCs w:val="18"/>
                <w:lang w:val="fr-CA" w:eastAsia="en-CA"/>
              </w:rPr>
              <w:t>766</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rsidR="00274E4C" w:rsidRPr="00274E4C" w:rsidRDefault="00274E4C" w:rsidP="00635340">
            <w:pPr>
              <w:jc w:val="right"/>
              <w:rPr>
                <w:sz w:val="18"/>
                <w:szCs w:val="18"/>
                <w:lang w:val="fr-CA" w:eastAsia="en-CA"/>
              </w:rPr>
            </w:pPr>
            <w:r w:rsidRPr="00274E4C">
              <w:rPr>
                <w:sz w:val="18"/>
                <w:szCs w:val="18"/>
                <w:lang w:val="fr-CA" w:eastAsia="en-CA"/>
              </w:rPr>
              <w:t>305</w:t>
            </w:r>
            <w:r>
              <w:rPr>
                <w:sz w:val="18"/>
                <w:szCs w:val="18"/>
                <w:lang w:val="fr-CA" w:eastAsia="en-CA"/>
              </w:rPr>
              <w:t xml:space="preserve"> </w:t>
            </w:r>
            <w:r w:rsidRPr="00274E4C">
              <w:rPr>
                <w:sz w:val="18"/>
                <w:szCs w:val="18"/>
                <w:lang w:val="fr-CA" w:eastAsia="en-CA"/>
              </w:rPr>
              <w:t>766</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rsidR="00274E4C" w:rsidRPr="00274E4C" w:rsidRDefault="00274E4C" w:rsidP="00635340">
            <w:pPr>
              <w:jc w:val="right"/>
              <w:rPr>
                <w:sz w:val="18"/>
                <w:szCs w:val="18"/>
                <w:lang w:val="fr-CA" w:eastAsia="en-CA"/>
              </w:rPr>
            </w:pPr>
            <w:r w:rsidRPr="00274E4C">
              <w:rPr>
                <w:sz w:val="18"/>
                <w:szCs w:val="18"/>
                <w:lang w:val="fr-CA" w:eastAsia="en-CA"/>
              </w:rPr>
              <w:t>0</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rsidR="00274E4C" w:rsidRPr="00274E4C" w:rsidRDefault="00274E4C" w:rsidP="00635340">
            <w:pPr>
              <w:jc w:val="right"/>
              <w:rPr>
                <w:sz w:val="18"/>
                <w:szCs w:val="18"/>
                <w:lang w:val="fr-CA" w:eastAsia="en-CA"/>
              </w:rPr>
            </w:pPr>
            <w:r w:rsidRPr="00274E4C">
              <w:rPr>
                <w:sz w:val="18"/>
                <w:szCs w:val="18"/>
                <w:lang w:val="fr-CA" w:eastAsia="en-CA"/>
              </w:rPr>
              <w:t>100</w:t>
            </w:r>
          </w:p>
        </w:tc>
      </w:tr>
      <w:tr w:rsidR="00274E4C" w:rsidRPr="00274E4C" w:rsidTr="00635340">
        <w:tc>
          <w:tcPr>
            <w:tcW w:w="1620" w:type="dxa"/>
            <w:tcBorders>
              <w:top w:val="nil"/>
              <w:left w:val="single" w:sz="4" w:space="0" w:color="auto"/>
              <w:bottom w:val="single" w:sz="4" w:space="0" w:color="auto"/>
              <w:right w:val="single" w:sz="4" w:space="0" w:color="auto"/>
            </w:tcBorders>
            <w:shd w:val="clear" w:color="auto" w:fill="auto"/>
            <w:tcMar>
              <w:left w:w="29" w:type="dxa"/>
              <w:right w:w="14" w:type="dxa"/>
            </w:tcMar>
            <w:hideMark/>
          </w:tcPr>
          <w:p w:rsidR="00274E4C" w:rsidRPr="00274E4C" w:rsidRDefault="00274E4C" w:rsidP="00635340">
            <w:pPr>
              <w:jc w:val="left"/>
              <w:rPr>
                <w:b/>
                <w:bCs/>
                <w:sz w:val="18"/>
                <w:szCs w:val="18"/>
                <w:lang w:val="fr-CA" w:eastAsia="en-CA"/>
              </w:rPr>
            </w:pPr>
            <w:r w:rsidRPr="00274E4C">
              <w:rPr>
                <w:b/>
                <w:bCs/>
                <w:sz w:val="18"/>
                <w:szCs w:val="18"/>
                <w:lang w:val="fr-CA" w:eastAsia="en-CA"/>
              </w:rPr>
              <w:t>Total</w:t>
            </w:r>
          </w:p>
        </w:tc>
        <w:tc>
          <w:tcPr>
            <w:tcW w:w="1105" w:type="dxa"/>
            <w:tcBorders>
              <w:top w:val="nil"/>
              <w:left w:val="nil"/>
              <w:bottom w:val="single" w:sz="4" w:space="0" w:color="auto"/>
              <w:right w:val="single" w:sz="4" w:space="0" w:color="auto"/>
            </w:tcBorders>
            <w:shd w:val="clear" w:color="auto" w:fill="auto"/>
            <w:tcMar>
              <w:left w:w="0" w:type="dxa"/>
              <w:right w:w="29" w:type="dxa"/>
            </w:tcMar>
            <w:hideMark/>
          </w:tcPr>
          <w:p w:rsidR="00274E4C" w:rsidRPr="00274E4C" w:rsidRDefault="00274E4C" w:rsidP="00635340">
            <w:pPr>
              <w:jc w:val="right"/>
              <w:rPr>
                <w:b/>
                <w:bCs/>
                <w:sz w:val="18"/>
                <w:szCs w:val="18"/>
                <w:lang w:val="fr-CA" w:eastAsia="en-CA"/>
              </w:rPr>
            </w:pPr>
            <w:r w:rsidRPr="00274E4C">
              <w:rPr>
                <w:b/>
                <w:bCs/>
                <w:sz w:val="18"/>
                <w:szCs w:val="18"/>
                <w:lang w:val="fr-CA" w:eastAsia="en-CA"/>
              </w:rPr>
              <w:t>1</w:t>
            </w:r>
            <w:r>
              <w:rPr>
                <w:b/>
                <w:bCs/>
                <w:sz w:val="18"/>
                <w:szCs w:val="18"/>
                <w:lang w:val="fr-CA" w:eastAsia="en-CA"/>
              </w:rPr>
              <w:t xml:space="preserve"> </w:t>
            </w:r>
            <w:r w:rsidRPr="00274E4C">
              <w:rPr>
                <w:b/>
                <w:bCs/>
                <w:sz w:val="18"/>
                <w:szCs w:val="18"/>
                <w:lang w:val="fr-CA" w:eastAsia="en-CA"/>
              </w:rPr>
              <w:t>087</w:t>
            </w:r>
          </w:p>
        </w:tc>
        <w:tc>
          <w:tcPr>
            <w:tcW w:w="1106" w:type="dxa"/>
            <w:tcBorders>
              <w:top w:val="nil"/>
              <w:left w:val="nil"/>
              <w:bottom w:val="single" w:sz="4" w:space="0" w:color="auto"/>
              <w:right w:val="single" w:sz="4" w:space="0" w:color="auto"/>
            </w:tcBorders>
            <w:shd w:val="clear" w:color="auto" w:fill="auto"/>
            <w:tcMar>
              <w:left w:w="0" w:type="dxa"/>
              <w:right w:w="29" w:type="dxa"/>
            </w:tcMar>
            <w:hideMark/>
          </w:tcPr>
          <w:p w:rsidR="00274E4C" w:rsidRPr="00274E4C" w:rsidRDefault="00274E4C" w:rsidP="00635340">
            <w:pPr>
              <w:jc w:val="right"/>
              <w:rPr>
                <w:b/>
                <w:bCs/>
                <w:sz w:val="18"/>
                <w:szCs w:val="18"/>
                <w:lang w:val="fr-CA" w:eastAsia="en-CA"/>
              </w:rPr>
            </w:pPr>
            <w:r w:rsidRPr="00274E4C">
              <w:rPr>
                <w:b/>
                <w:bCs/>
                <w:sz w:val="18"/>
                <w:szCs w:val="18"/>
                <w:lang w:val="fr-CA" w:eastAsia="en-CA"/>
              </w:rPr>
              <w:t>1</w:t>
            </w:r>
            <w:r>
              <w:rPr>
                <w:b/>
                <w:bCs/>
                <w:sz w:val="18"/>
                <w:szCs w:val="18"/>
                <w:lang w:val="fr-CA" w:eastAsia="en-CA"/>
              </w:rPr>
              <w:t xml:space="preserve"> </w:t>
            </w:r>
            <w:r w:rsidRPr="00274E4C">
              <w:rPr>
                <w:b/>
                <w:bCs/>
                <w:sz w:val="18"/>
                <w:szCs w:val="18"/>
                <w:lang w:val="fr-CA" w:eastAsia="en-CA"/>
              </w:rPr>
              <w:t>063</w:t>
            </w:r>
          </w:p>
        </w:tc>
        <w:tc>
          <w:tcPr>
            <w:tcW w:w="1119" w:type="dxa"/>
            <w:tcBorders>
              <w:top w:val="nil"/>
              <w:left w:val="nil"/>
              <w:bottom w:val="single" w:sz="4" w:space="0" w:color="auto"/>
              <w:right w:val="single" w:sz="4" w:space="0" w:color="auto"/>
            </w:tcBorders>
            <w:shd w:val="clear" w:color="auto" w:fill="auto"/>
            <w:noWrap/>
            <w:tcMar>
              <w:left w:w="0" w:type="dxa"/>
              <w:right w:w="29" w:type="dxa"/>
            </w:tcMar>
            <w:hideMark/>
          </w:tcPr>
          <w:p w:rsidR="00274E4C" w:rsidRPr="00274E4C" w:rsidRDefault="00274E4C" w:rsidP="00635340">
            <w:pPr>
              <w:jc w:val="right"/>
              <w:rPr>
                <w:b/>
                <w:bCs/>
                <w:sz w:val="18"/>
                <w:szCs w:val="18"/>
                <w:lang w:val="fr-CA" w:eastAsia="en-CA"/>
              </w:rPr>
            </w:pPr>
            <w:r w:rsidRPr="00274E4C">
              <w:rPr>
                <w:b/>
                <w:bCs/>
                <w:sz w:val="18"/>
                <w:szCs w:val="18"/>
                <w:lang w:val="fr-CA" w:eastAsia="en-CA"/>
              </w:rPr>
              <w:t>98</w:t>
            </w:r>
          </w:p>
        </w:tc>
        <w:tc>
          <w:tcPr>
            <w:tcW w:w="1092" w:type="dxa"/>
            <w:tcBorders>
              <w:top w:val="nil"/>
              <w:left w:val="nil"/>
              <w:bottom w:val="single" w:sz="4" w:space="0" w:color="auto"/>
              <w:right w:val="single" w:sz="4" w:space="0" w:color="auto"/>
            </w:tcBorders>
            <w:shd w:val="clear" w:color="auto" w:fill="auto"/>
            <w:tcMar>
              <w:left w:w="0" w:type="dxa"/>
              <w:right w:w="29" w:type="dxa"/>
            </w:tcMar>
            <w:hideMark/>
          </w:tcPr>
          <w:p w:rsidR="00274E4C" w:rsidRPr="00274E4C" w:rsidRDefault="00274E4C" w:rsidP="00635340">
            <w:pPr>
              <w:jc w:val="right"/>
              <w:rPr>
                <w:b/>
                <w:bCs/>
                <w:sz w:val="18"/>
                <w:szCs w:val="18"/>
                <w:lang w:val="fr-CA" w:eastAsia="en-CA"/>
              </w:rPr>
            </w:pPr>
            <w:r w:rsidRPr="00274E4C">
              <w:rPr>
                <w:b/>
                <w:bCs/>
                <w:sz w:val="18"/>
                <w:szCs w:val="18"/>
                <w:lang w:val="fr-CA" w:eastAsia="en-CA"/>
              </w:rPr>
              <w:t>1</w:t>
            </w:r>
            <w:r>
              <w:rPr>
                <w:b/>
                <w:bCs/>
                <w:sz w:val="18"/>
                <w:szCs w:val="18"/>
                <w:lang w:val="fr-CA" w:eastAsia="en-CA"/>
              </w:rPr>
              <w:t xml:space="preserve"> </w:t>
            </w:r>
            <w:r w:rsidRPr="00274E4C">
              <w:rPr>
                <w:b/>
                <w:bCs/>
                <w:sz w:val="18"/>
                <w:szCs w:val="18"/>
                <w:lang w:val="fr-CA" w:eastAsia="en-CA"/>
              </w:rPr>
              <w:t>163</w:t>
            </w:r>
            <w:r>
              <w:rPr>
                <w:b/>
                <w:bCs/>
                <w:sz w:val="18"/>
                <w:szCs w:val="18"/>
                <w:lang w:val="fr-CA" w:eastAsia="en-CA"/>
              </w:rPr>
              <w:t xml:space="preserve"> </w:t>
            </w:r>
            <w:r w:rsidRPr="00274E4C">
              <w:rPr>
                <w:b/>
                <w:bCs/>
                <w:sz w:val="18"/>
                <w:szCs w:val="18"/>
                <w:lang w:val="fr-CA" w:eastAsia="en-CA"/>
              </w:rPr>
              <w:t>082</w:t>
            </w:r>
            <w:r>
              <w:rPr>
                <w:b/>
                <w:bCs/>
                <w:sz w:val="18"/>
                <w:szCs w:val="18"/>
                <w:lang w:val="fr-CA" w:eastAsia="en-CA"/>
              </w:rPr>
              <w:t xml:space="preserve"> </w:t>
            </w:r>
            <w:r w:rsidRPr="00274E4C">
              <w:rPr>
                <w:b/>
                <w:bCs/>
                <w:sz w:val="18"/>
                <w:szCs w:val="18"/>
                <w:lang w:val="fr-CA" w:eastAsia="en-CA"/>
              </w:rPr>
              <w:t>006</w:t>
            </w:r>
          </w:p>
        </w:tc>
        <w:tc>
          <w:tcPr>
            <w:tcW w:w="1106" w:type="dxa"/>
            <w:tcBorders>
              <w:top w:val="nil"/>
              <w:left w:val="nil"/>
              <w:bottom w:val="single" w:sz="4" w:space="0" w:color="auto"/>
              <w:right w:val="single" w:sz="4" w:space="0" w:color="auto"/>
            </w:tcBorders>
            <w:shd w:val="clear" w:color="auto" w:fill="auto"/>
            <w:tcMar>
              <w:left w:w="0" w:type="dxa"/>
              <w:right w:w="29" w:type="dxa"/>
            </w:tcMar>
            <w:hideMark/>
          </w:tcPr>
          <w:p w:rsidR="00274E4C" w:rsidRPr="00274E4C" w:rsidRDefault="00274E4C" w:rsidP="00635340">
            <w:pPr>
              <w:jc w:val="right"/>
              <w:rPr>
                <w:b/>
                <w:bCs/>
                <w:sz w:val="18"/>
                <w:szCs w:val="18"/>
                <w:lang w:val="fr-CA" w:eastAsia="en-CA"/>
              </w:rPr>
            </w:pPr>
            <w:r w:rsidRPr="00274E4C">
              <w:rPr>
                <w:b/>
                <w:bCs/>
                <w:sz w:val="18"/>
                <w:szCs w:val="18"/>
                <w:lang w:val="fr-CA" w:eastAsia="en-CA"/>
              </w:rPr>
              <w:t>1</w:t>
            </w:r>
            <w:r>
              <w:rPr>
                <w:b/>
                <w:bCs/>
                <w:sz w:val="18"/>
                <w:szCs w:val="18"/>
                <w:lang w:val="fr-CA" w:eastAsia="en-CA"/>
              </w:rPr>
              <w:t xml:space="preserve"> </w:t>
            </w:r>
            <w:r w:rsidRPr="00274E4C">
              <w:rPr>
                <w:b/>
                <w:bCs/>
                <w:sz w:val="18"/>
                <w:szCs w:val="18"/>
                <w:lang w:val="fr-CA" w:eastAsia="en-CA"/>
              </w:rPr>
              <w:t>125</w:t>
            </w:r>
            <w:r>
              <w:rPr>
                <w:b/>
                <w:bCs/>
                <w:sz w:val="18"/>
                <w:szCs w:val="18"/>
                <w:lang w:val="fr-CA" w:eastAsia="en-CA"/>
              </w:rPr>
              <w:t xml:space="preserve"> </w:t>
            </w:r>
            <w:r w:rsidRPr="00274E4C">
              <w:rPr>
                <w:b/>
                <w:bCs/>
                <w:sz w:val="18"/>
                <w:szCs w:val="18"/>
                <w:lang w:val="fr-CA" w:eastAsia="en-CA"/>
              </w:rPr>
              <w:t>934</w:t>
            </w:r>
            <w:r>
              <w:rPr>
                <w:b/>
                <w:bCs/>
                <w:sz w:val="18"/>
                <w:szCs w:val="18"/>
                <w:lang w:val="fr-CA" w:eastAsia="en-CA"/>
              </w:rPr>
              <w:t xml:space="preserve"> </w:t>
            </w:r>
            <w:r w:rsidRPr="00274E4C">
              <w:rPr>
                <w:b/>
                <w:bCs/>
                <w:sz w:val="18"/>
                <w:szCs w:val="18"/>
                <w:lang w:val="fr-CA" w:eastAsia="en-CA"/>
              </w:rPr>
              <w:t>008</w:t>
            </w:r>
          </w:p>
        </w:tc>
        <w:tc>
          <w:tcPr>
            <w:tcW w:w="1106" w:type="dxa"/>
            <w:tcBorders>
              <w:top w:val="nil"/>
              <w:left w:val="nil"/>
              <w:bottom w:val="single" w:sz="4" w:space="0" w:color="auto"/>
              <w:right w:val="single" w:sz="4" w:space="0" w:color="auto"/>
            </w:tcBorders>
            <w:shd w:val="clear" w:color="auto" w:fill="auto"/>
            <w:tcMar>
              <w:left w:w="0" w:type="dxa"/>
              <w:right w:w="29" w:type="dxa"/>
            </w:tcMar>
            <w:hideMark/>
          </w:tcPr>
          <w:p w:rsidR="00274E4C" w:rsidRPr="00274E4C" w:rsidRDefault="00274E4C" w:rsidP="00635340">
            <w:pPr>
              <w:jc w:val="right"/>
              <w:rPr>
                <w:b/>
                <w:bCs/>
                <w:sz w:val="18"/>
                <w:szCs w:val="18"/>
                <w:lang w:val="fr-CA" w:eastAsia="en-CA"/>
              </w:rPr>
            </w:pPr>
            <w:r w:rsidRPr="00274E4C">
              <w:rPr>
                <w:b/>
                <w:bCs/>
                <w:sz w:val="18"/>
                <w:szCs w:val="18"/>
                <w:lang w:val="fr-CA" w:eastAsia="en-CA"/>
              </w:rPr>
              <w:t>37</w:t>
            </w:r>
            <w:r>
              <w:rPr>
                <w:b/>
                <w:bCs/>
                <w:sz w:val="18"/>
                <w:szCs w:val="18"/>
                <w:lang w:val="fr-CA" w:eastAsia="en-CA"/>
              </w:rPr>
              <w:t xml:space="preserve"> </w:t>
            </w:r>
            <w:r w:rsidRPr="00274E4C">
              <w:rPr>
                <w:b/>
                <w:bCs/>
                <w:sz w:val="18"/>
                <w:szCs w:val="18"/>
                <w:lang w:val="fr-CA" w:eastAsia="en-CA"/>
              </w:rPr>
              <w:t>147</w:t>
            </w:r>
            <w:r>
              <w:rPr>
                <w:b/>
                <w:bCs/>
                <w:sz w:val="18"/>
                <w:szCs w:val="18"/>
                <w:lang w:val="fr-CA" w:eastAsia="en-CA"/>
              </w:rPr>
              <w:t xml:space="preserve"> </w:t>
            </w:r>
            <w:r w:rsidRPr="00274E4C">
              <w:rPr>
                <w:b/>
                <w:bCs/>
                <w:sz w:val="18"/>
                <w:szCs w:val="18"/>
                <w:lang w:val="fr-CA" w:eastAsia="en-CA"/>
              </w:rPr>
              <w:t>998</w:t>
            </w:r>
          </w:p>
        </w:tc>
        <w:tc>
          <w:tcPr>
            <w:tcW w:w="1106" w:type="dxa"/>
            <w:tcBorders>
              <w:top w:val="nil"/>
              <w:left w:val="nil"/>
              <w:bottom w:val="single" w:sz="4" w:space="0" w:color="auto"/>
              <w:right w:val="single" w:sz="4" w:space="0" w:color="auto"/>
            </w:tcBorders>
            <w:shd w:val="clear" w:color="auto" w:fill="auto"/>
            <w:noWrap/>
            <w:tcMar>
              <w:left w:w="0" w:type="dxa"/>
              <w:right w:w="29" w:type="dxa"/>
            </w:tcMar>
            <w:hideMark/>
          </w:tcPr>
          <w:p w:rsidR="00274E4C" w:rsidRPr="00274E4C" w:rsidRDefault="00274E4C" w:rsidP="00635340">
            <w:pPr>
              <w:jc w:val="right"/>
              <w:rPr>
                <w:b/>
                <w:bCs/>
                <w:sz w:val="18"/>
                <w:szCs w:val="18"/>
                <w:lang w:val="fr-CA" w:eastAsia="en-CA"/>
              </w:rPr>
            </w:pPr>
            <w:r w:rsidRPr="00274E4C">
              <w:rPr>
                <w:b/>
                <w:bCs/>
                <w:sz w:val="18"/>
                <w:szCs w:val="18"/>
                <w:lang w:val="fr-CA" w:eastAsia="en-CA"/>
              </w:rPr>
              <w:t>97</w:t>
            </w:r>
          </w:p>
        </w:tc>
      </w:tr>
    </w:tbl>
    <w:p w:rsidR="00274E4C" w:rsidRPr="00635340" w:rsidRDefault="00274E4C" w:rsidP="00274E4C">
      <w:pPr>
        <w:rPr>
          <w:sz w:val="20"/>
          <w:lang w:val="fr-FR"/>
        </w:rPr>
      </w:pPr>
      <w:r w:rsidRPr="00635340">
        <w:rPr>
          <w:sz w:val="20"/>
          <w:lang w:val="fr-FR"/>
        </w:rPr>
        <w:t>*Ne comprend pas les projets fermés et transférés</w:t>
      </w:r>
    </w:p>
    <w:p w:rsidR="00274E4C" w:rsidRPr="00635340" w:rsidRDefault="00274E4C" w:rsidP="00274E4C">
      <w:pPr>
        <w:rPr>
          <w:sz w:val="20"/>
          <w:lang w:val="fr-FR"/>
        </w:rPr>
      </w:pPr>
      <w:r w:rsidRPr="00635340">
        <w:rPr>
          <w:sz w:val="20"/>
          <w:lang w:val="fr-FR"/>
        </w:rPr>
        <w:t>**</w:t>
      </w:r>
      <w:r w:rsidR="00635340" w:rsidRPr="00635340">
        <w:rPr>
          <w:sz w:val="20"/>
          <w:lang w:val="fr-FR"/>
        </w:rPr>
        <w:t>Coûts d’appui à l’agence en sus</w:t>
      </w:r>
    </w:p>
    <w:p w:rsidR="00635340" w:rsidRDefault="00635340" w:rsidP="00274E4C">
      <w:pPr>
        <w:rPr>
          <w:lang w:val="fr-FR"/>
        </w:rPr>
      </w:pPr>
    </w:p>
    <w:p w:rsidR="00635340" w:rsidRDefault="00635340" w:rsidP="00635340">
      <w:pPr>
        <w:pStyle w:val="ListParagraph"/>
        <w:numPr>
          <w:ilvl w:val="0"/>
          <w:numId w:val="26"/>
        </w:numPr>
        <w:ind w:left="0" w:firstLine="0"/>
        <w:rPr>
          <w:lang w:val="fr-FR"/>
        </w:rPr>
      </w:pPr>
      <w:r>
        <w:rPr>
          <w:lang w:val="fr-FR"/>
        </w:rPr>
        <w:t>Le tableau 3 présente un aperçu de l’état de la mise en œuvre des projets, par année</w:t>
      </w:r>
      <w:r w:rsidR="00B34FF5" w:rsidRPr="00A051CF">
        <w:rPr>
          <w:rStyle w:val="FootnoteReference"/>
          <w:lang w:val="en-CA"/>
        </w:rPr>
        <w:footnoteReference w:id="13"/>
      </w:r>
      <w:r>
        <w:rPr>
          <w:lang w:val="fr-FR"/>
        </w:rPr>
        <w:t>. Tous les projets et activités approuvés de 199</w:t>
      </w:r>
      <w:r w:rsidR="005C550A">
        <w:rPr>
          <w:lang w:val="fr-FR"/>
        </w:rPr>
        <w:t>1 à 2010 sont maintenant achevé</w:t>
      </w:r>
      <w:r>
        <w:rPr>
          <w:lang w:val="fr-FR"/>
        </w:rPr>
        <w:t>s.</w:t>
      </w:r>
    </w:p>
    <w:p w:rsidR="00635340" w:rsidRDefault="00635340" w:rsidP="00635340">
      <w:pPr>
        <w:rPr>
          <w:lang w:val="fr-FR"/>
        </w:rPr>
      </w:pPr>
    </w:p>
    <w:p w:rsidR="00635340" w:rsidRDefault="00635340" w:rsidP="00635340">
      <w:pPr>
        <w:rPr>
          <w:lang w:val="fr-FR"/>
        </w:rPr>
      </w:pPr>
      <w:r>
        <w:rPr>
          <w:b/>
          <w:lang w:val="fr-FR"/>
        </w:rPr>
        <w:t>Tableau 3. État de la mise en œuvre des projets, par année</w:t>
      </w:r>
    </w:p>
    <w:tbl>
      <w:tblPr>
        <w:tblW w:w="0" w:type="auto"/>
        <w:tblInd w:w="30" w:type="dxa"/>
        <w:tblLook w:val="04A0" w:firstRow="1" w:lastRow="0" w:firstColumn="1" w:lastColumn="0" w:noHBand="0" w:noVBand="1"/>
      </w:tblPr>
      <w:tblGrid>
        <w:gridCol w:w="774"/>
        <w:gridCol w:w="1150"/>
        <w:gridCol w:w="1052"/>
        <w:gridCol w:w="1159"/>
        <w:gridCol w:w="1461"/>
        <w:gridCol w:w="1413"/>
        <w:gridCol w:w="1181"/>
        <w:gridCol w:w="1130"/>
      </w:tblGrid>
      <w:tr w:rsidR="00635340" w:rsidRPr="00635340" w:rsidTr="00635340">
        <w:trPr>
          <w:tblHeader/>
        </w:trPr>
        <w:tc>
          <w:tcPr>
            <w:tcW w:w="77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35340" w:rsidRPr="00635340" w:rsidRDefault="00635340" w:rsidP="00635340">
            <w:pPr>
              <w:jc w:val="center"/>
              <w:rPr>
                <w:b/>
                <w:bCs/>
                <w:color w:val="000000"/>
                <w:sz w:val="18"/>
                <w:szCs w:val="18"/>
                <w:lang w:val="fr-CA" w:eastAsia="en-CA"/>
              </w:rPr>
            </w:pPr>
            <w:r>
              <w:rPr>
                <w:b/>
                <w:bCs/>
                <w:color w:val="000000"/>
                <w:sz w:val="18"/>
                <w:szCs w:val="18"/>
                <w:lang w:val="fr-CA" w:eastAsia="en-CA"/>
              </w:rPr>
              <w:t>Année</w:t>
            </w:r>
          </w:p>
        </w:tc>
        <w:tc>
          <w:tcPr>
            <w:tcW w:w="3361" w:type="dxa"/>
            <w:gridSpan w:val="3"/>
            <w:tcBorders>
              <w:top w:val="single" w:sz="4" w:space="0" w:color="auto"/>
              <w:left w:val="nil"/>
              <w:bottom w:val="single" w:sz="4" w:space="0" w:color="auto"/>
              <w:right w:val="single" w:sz="4" w:space="0" w:color="auto"/>
            </w:tcBorders>
            <w:shd w:val="clear" w:color="auto" w:fill="auto"/>
            <w:noWrap/>
            <w:hideMark/>
          </w:tcPr>
          <w:p w:rsidR="00635340" w:rsidRPr="00274E4C" w:rsidRDefault="00635340" w:rsidP="00635340">
            <w:pPr>
              <w:jc w:val="center"/>
              <w:rPr>
                <w:b/>
                <w:bCs/>
                <w:sz w:val="18"/>
                <w:szCs w:val="20"/>
                <w:lang w:val="fr-CA" w:eastAsia="en-CA"/>
              </w:rPr>
            </w:pPr>
            <w:r w:rsidRPr="00274E4C">
              <w:rPr>
                <w:b/>
                <w:bCs/>
                <w:sz w:val="18"/>
                <w:szCs w:val="20"/>
                <w:lang w:val="fr-CA" w:eastAsia="en-CA"/>
              </w:rPr>
              <w:t>Nombre de projets*</w:t>
            </w:r>
          </w:p>
        </w:tc>
        <w:tc>
          <w:tcPr>
            <w:tcW w:w="5185" w:type="dxa"/>
            <w:gridSpan w:val="4"/>
            <w:tcBorders>
              <w:top w:val="single" w:sz="4" w:space="0" w:color="auto"/>
              <w:left w:val="nil"/>
              <w:bottom w:val="single" w:sz="4" w:space="0" w:color="auto"/>
              <w:right w:val="single" w:sz="4" w:space="0" w:color="auto"/>
            </w:tcBorders>
            <w:shd w:val="clear" w:color="auto" w:fill="auto"/>
            <w:noWrap/>
            <w:hideMark/>
          </w:tcPr>
          <w:p w:rsidR="00635340" w:rsidRPr="00274E4C" w:rsidRDefault="00635340" w:rsidP="00635340">
            <w:pPr>
              <w:jc w:val="center"/>
              <w:rPr>
                <w:b/>
                <w:bCs/>
                <w:sz w:val="18"/>
                <w:szCs w:val="20"/>
                <w:lang w:val="fr-CA" w:eastAsia="en-CA"/>
              </w:rPr>
            </w:pPr>
            <w:r w:rsidRPr="00274E4C">
              <w:rPr>
                <w:b/>
                <w:bCs/>
                <w:sz w:val="18"/>
                <w:szCs w:val="20"/>
                <w:lang w:val="fr-CA" w:eastAsia="en-CA"/>
              </w:rPr>
              <w:t>Financement ($US)**</w:t>
            </w:r>
          </w:p>
        </w:tc>
      </w:tr>
      <w:tr w:rsidR="00635340" w:rsidRPr="00635340" w:rsidTr="00635340">
        <w:trPr>
          <w:tblHeader/>
        </w:trPr>
        <w:tc>
          <w:tcPr>
            <w:tcW w:w="774" w:type="dxa"/>
            <w:vMerge/>
            <w:tcBorders>
              <w:top w:val="single" w:sz="4" w:space="0" w:color="auto"/>
              <w:left w:val="single" w:sz="4" w:space="0" w:color="auto"/>
              <w:bottom w:val="single" w:sz="4" w:space="0" w:color="auto"/>
              <w:right w:val="single" w:sz="4" w:space="0" w:color="auto"/>
            </w:tcBorders>
            <w:hideMark/>
          </w:tcPr>
          <w:p w:rsidR="00635340" w:rsidRPr="00635340" w:rsidRDefault="00635340" w:rsidP="00635340">
            <w:pPr>
              <w:jc w:val="left"/>
              <w:rPr>
                <w:b/>
                <w:bCs/>
                <w:color w:val="000000"/>
                <w:sz w:val="18"/>
                <w:szCs w:val="18"/>
                <w:lang w:val="fr-CA" w:eastAsia="en-CA"/>
              </w:rPr>
            </w:pPr>
          </w:p>
        </w:tc>
        <w:tc>
          <w:tcPr>
            <w:tcW w:w="1150" w:type="dxa"/>
            <w:tcBorders>
              <w:top w:val="nil"/>
              <w:left w:val="nil"/>
              <w:bottom w:val="single" w:sz="4" w:space="0" w:color="auto"/>
              <w:right w:val="single" w:sz="4" w:space="0" w:color="auto"/>
            </w:tcBorders>
            <w:shd w:val="clear" w:color="auto" w:fill="auto"/>
            <w:noWrap/>
            <w:vAlign w:val="center"/>
            <w:hideMark/>
          </w:tcPr>
          <w:p w:rsidR="00635340" w:rsidRPr="00274E4C" w:rsidRDefault="00635340" w:rsidP="00635340">
            <w:pPr>
              <w:jc w:val="center"/>
              <w:rPr>
                <w:b/>
                <w:bCs/>
                <w:sz w:val="20"/>
                <w:szCs w:val="20"/>
                <w:lang w:val="fr-CA" w:eastAsia="en-CA"/>
              </w:rPr>
            </w:pPr>
            <w:r w:rsidRPr="00274E4C">
              <w:rPr>
                <w:b/>
                <w:bCs/>
                <w:sz w:val="20"/>
                <w:szCs w:val="20"/>
                <w:lang w:val="fr-CA" w:eastAsia="en-CA"/>
              </w:rPr>
              <w:t>Approuvés</w:t>
            </w:r>
          </w:p>
        </w:tc>
        <w:tc>
          <w:tcPr>
            <w:tcW w:w="1052" w:type="dxa"/>
            <w:tcBorders>
              <w:top w:val="nil"/>
              <w:left w:val="nil"/>
              <w:bottom w:val="single" w:sz="4" w:space="0" w:color="auto"/>
              <w:right w:val="single" w:sz="4" w:space="0" w:color="auto"/>
            </w:tcBorders>
            <w:shd w:val="clear" w:color="auto" w:fill="auto"/>
            <w:noWrap/>
            <w:vAlign w:val="center"/>
            <w:hideMark/>
          </w:tcPr>
          <w:p w:rsidR="00635340" w:rsidRPr="00274E4C" w:rsidRDefault="00635340" w:rsidP="00635340">
            <w:pPr>
              <w:jc w:val="center"/>
              <w:rPr>
                <w:b/>
                <w:bCs/>
                <w:sz w:val="18"/>
                <w:szCs w:val="20"/>
                <w:lang w:val="fr-CA" w:eastAsia="en-CA"/>
              </w:rPr>
            </w:pPr>
            <w:r w:rsidRPr="00274E4C">
              <w:rPr>
                <w:b/>
                <w:bCs/>
                <w:sz w:val="18"/>
                <w:szCs w:val="20"/>
                <w:lang w:val="fr-CA" w:eastAsia="en-CA"/>
              </w:rPr>
              <w:t>Achevés</w:t>
            </w:r>
          </w:p>
        </w:tc>
        <w:tc>
          <w:tcPr>
            <w:tcW w:w="115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635340" w:rsidRPr="00274E4C" w:rsidRDefault="00635340" w:rsidP="00635340">
            <w:pPr>
              <w:jc w:val="center"/>
              <w:rPr>
                <w:b/>
                <w:bCs/>
                <w:sz w:val="18"/>
                <w:szCs w:val="20"/>
                <w:lang w:val="fr-CA" w:eastAsia="en-CA"/>
              </w:rPr>
            </w:pPr>
            <w:r w:rsidRPr="00274E4C">
              <w:rPr>
                <w:b/>
                <w:bCs/>
                <w:sz w:val="18"/>
                <w:szCs w:val="20"/>
                <w:lang w:val="fr-CA" w:eastAsia="en-CA"/>
              </w:rPr>
              <w:t>% d’achèvement</w:t>
            </w:r>
          </w:p>
        </w:tc>
        <w:tc>
          <w:tcPr>
            <w:tcW w:w="1461" w:type="dxa"/>
            <w:tcBorders>
              <w:top w:val="nil"/>
              <w:left w:val="nil"/>
              <w:bottom w:val="single" w:sz="4" w:space="0" w:color="auto"/>
              <w:right w:val="single" w:sz="4" w:space="0" w:color="auto"/>
            </w:tcBorders>
            <w:shd w:val="clear" w:color="auto" w:fill="auto"/>
            <w:noWrap/>
            <w:vAlign w:val="center"/>
            <w:hideMark/>
          </w:tcPr>
          <w:p w:rsidR="00635340" w:rsidRPr="00274E4C" w:rsidRDefault="00635340" w:rsidP="00635340">
            <w:pPr>
              <w:jc w:val="left"/>
              <w:rPr>
                <w:b/>
                <w:bCs/>
                <w:sz w:val="18"/>
                <w:szCs w:val="20"/>
                <w:lang w:val="fr-CA" w:eastAsia="en-CA"/>
              </w:rPr>
            </w:pPr>
            <w:r w:rsidRPr="00274E4C">
              <w:rPr>
                <w:b/>
                <w:bCs/>
                <w:sz w:val="18"/>
                <w:szCs w:val="20"/>
                <w:lang w:val="fr-CA" w:eastAsia="en-CA"/>
              </w:rPr>
              <w:t>Approuvés</w:t>
            </w:r>
          </w:p>
        </w:tc>
        <w:tc>
          <w:tcPr>
            <w:tcW w:w="1413" w:type="dxa"/>
            <w:tcBorders>
              <w:top w:val="nil"/>
              <w:left w:val="nil"/>
              <w:bottom w:val="single" w:sz="4" w:space="0" w:color="auto"/>
              <w:right w:val="single" w:sz="4" w:space="0" w:color="auto"/>
            </w:tcBorders>
            <w:shd w:val="clear" w:color="auto" w:fill="auto"/>
            <w:noWrap/>
            <w:vAlign w:val="center"/>
            <w:hideMark/>
          </w:tcPr>
          <w:p w:rsidR="00635340" w:rsidRPr="00274E4C" w:rsidRDefault="00635340" w:rsidP="00635340">
            <w:pPr>
              <w:jc w:val="center"/>
              <w:rPr>
                <w:b/>
                <w:bCs/>
                <w:sz w:val="18"/>
                <w:szCs w:val="20"/>
                <w:lang w:val="fr-CA" w:eastAsia="en-CA"/>
              </w:rPr>
            </w:pPr>
            <w:r w:rsidRPr="00274E4C">
              <w:rPr>
                <w:b/>
                <w:bCs/>
                <w:sz w:val="18"/>
                <w:szCs w:val="20"/>
                <w:lang w:val="fr-CA" w:eastAsia="en-CA"/>
              </w:rPr>
              <w:t>Décaissement</w:t>
            </w:r>
          </w:p>
        </w:tc>
        <w:tc>
          <w:tcPr>
            <w:tcW w:w="1181" w:type="dxa"/>
            <w:tcBorders>
              <w:top w:val="nil"/>
              <w:left w:val="nil"/>
              <w:bottom w:val="single" w:sz="4" w:space="0" w:color="auto"/>
              <w:right w:val="single" w:sz="4" w:space="0" w:color="auto"/>
            </w:tcBorders>
            <w:shd w:val="clear" w:color="auto" w:fill="auto"/>
            <w:noWrap/>
            <w:vAlign w:val="center"/>
            <w:hideMark/>
          </w:tcPr>
          <w:p w:rsidR="00635340" w:rsidRPr="00274E4C" w:rsidRDefault="00635340" w:rsidP="00635340">
            <w:pPr>
              <w:jc w:val="center"/>
              <w:rPr>
                <w:b/>
                <w:bCs/>
                <w:sz w:val="18"/>
                <w:szCs w:val="20"/>
                <w:lang w:val="fr-CA" w:eastAsia="en-CA"/>
              </w:rPr>
            </w:pPr>
            <w:r w:rsidRPr="00274E4C">
              <w:rPr>
                <w:b/>
                <w:bCs/>
                <w:sz w:val="18"/>
                <w:szCs w:val="20"/>
                <w:lang w:val="fr-CA" w:eastAsia="en-CA"/>
              </w:rPr>
              <w:t>Solde</w:t>
            </w:r>
          </w:p>
        </w:tc>
        <w:tc>
          <w:tcPr>
            <w:tcW w:w="113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635340" w:rsidRPr="00274E4C" w:rsidRDefault="00635340" w:rsidP="00635340">
            <w:pPr>
              <w:jc w:val="center"/>
              <w:rPr>
                <w:b/>
                <w:bCs/>
                <w:sz w:val="18"/>
                <w:szCs w:val="20"/>
                <w:lang w:val="fr-CA" w:eastAsia="en-CA"/>
              </w:rPr>
            </w:pPr>
            <w:r w:rsidRPr="00274E4C">
              <w:rPr>
                <w:b/>
                <w:bCs/>
                <w:sz w:val="18"/>
                <w:szCs w:val="20"/>
                <w:lang w:val="fr-CA" w:eastAsia="en-CA"/>
              </w:rPr>
              <w:t>% de décaissement</w:t>
            </w:r>
          </w:p>
        </w:tc>
      </w:tr>
      <w:tr w:rsidR="00635340" w:rsidRPr="00635340" w:rsidTr="00635340">
        <w:tc>
          <w:tcPr>
            <w:tcW w:w="774" w:type="dxa"/>
            <w:tcBorders>
              <w:top w:val="nil"/>
              <w:left w:val="single" w:sz="4" w:space="0" w:color="auto"/>
              <w:bottom w:val="single" w:sz="4" w:space="0" w:color="auto"/>
              <w:right w:val="single" w:sz="4" w:space="0" w:color="auto"/>
            </w:tcBorders>
            <w:shd w:val="clear" w:color="auto" w:fill="auto"/>
            <w:noWrap/>
            <w:hideMark/>
          </w:tcPr>
          <w:p w:rsidR="00635340" w:rsidRPr="00635340" w:rsidRDefault="00635340" w:rsidP="00635340">
            <w:pPr>
              <w:jc w:val="left"/>
              <w:rPr>
                <w:sz w:val="18"/>
                <w:szCs w:val="18"/>
                <w:lang w:val="fr-CA" w:eastAsia="en-CA"/>
              </w:rPr>
            </w:pPr>
            <w:r w:rsidRPr="00635340">
              <w:rPr>
                <w:sz w:val="18"/>
                <w:szCs w:val="18"/>
                <w:lang w:val="fr-CA" w:eastAsia="en-CA"/>
              </w:rPr>
              <w:t>1991</w:t>
            </w:r>
          </w:p>
        </w:tc>
        <w:tc>
          <w:tcPr>
            <w:tcW w:w="1150"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42</w:t>
            </w:r>
          </w:p>
        </w:tc>
        <w:tc>
          <w:tcPr>
            <w:tcW w:w="1052"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42</w:t>
            </w:r>
          </w:p>
        </w:tc>
        <w:tc>
          <w:tcPr>
            <w:tcW w:w="1159"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100</w:t>
            </w:r>
          </w:p>
        </w:tc>
        <w:tc>
          <w:tcPr>
            <w:tcW w:w="1461"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5</w:t>
            </w:r>
            <w:r>
              <w:rPr>
                <w:sz w:val="18"/>
                <w:szCs w:val="18"/>
                <w:lang w:val="fr-CA" w:eastAsia="en-CA"/>
              </w:rPr>
              <w:t xml:space="preserve"> </w:t>
            </w:r>
            <w:r w:rsidRPr="00635340">
              <w:rPr>
                <w:sz w:val="18"/>
                <w:szCs w:val="18"/>
                <w:lang w:val="fr-CA" w:eastAsia="en-CA"/>
              </w:rPr>
              <w:t>429</w:t>
            </w:r>
            <w:r>
              <w:rPr>
                <w:sz w:val="18"/>
                <w:szCs w:val="18"/>
                <w:lang w:val="fr-CA" w:eastAsia="en-CA"/>
              </w:rPr>
              <w:t xml:space="preserve"> </w:t>
            </w:r>
            <w:r w:rsidRPr="00635340">
              <w:rPr>
                <w:sz w:val="18"/>
                <w:szCs w:val="18"/>
                <w:lang w:val="fr-CA" w:eastAsia="en-CA"/>
              </w:rPr>
              <w:t>404</w:t>
            </w:r>
          </w:p>
        </w:tc>
        <w:tc>
          <w:tcPr>
            <w:tcW w:w="1413"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5</w:t>
            </w:r>
            <w:r>
              <w:rPr>
                <w:sz w:val="18"/>
                <w:szCs w:val="18"/>
                <w:lang w:val="fr-CA" w:eastAsia="en-CA"/>
              </w:rPr>
              <w:t xml:space="preserve"> </w:t>
            </w:r>
            <w:r w:rsidRPr="00635340">
              <w:rPr>
                <w:sz w:val="18"/>
                <w:szCs w:val="18"/>
                <w:lang w:val="fr-CA" w:eastAsia="en-CA"/>
              </w:rPr>
              <w:t>429</w:t>
            </w:r>
            <w:r>
              <w:rPr>
                <w:sz w:val="18"/>
                <w:szCs w:val="18"/>
                <w:lang w:val="fr-CA" w:eastAsia="en-CA"/>
              </w:rPr>
              <w:t xml:space="preserve"> </w:t>
            </w:r>
            <w:r w:rsidRPr="00635340">
              <w:rPr>
                <w:sz w:val="18"/>
                <w:szCs w:val="18"/>
                <w:lang w:val="fr-CA" w:eastAsia="en-CA"/>
              </w:rPr>
              <w:t>404</w:t>
            </w:r>
          </w:p>
        </w:tc>
        <w:tc>
          <w:tcPr>
            <w:tcW w:w="1181"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0</w:t>
            </w:r>
          </w:p>
        </w:tc>
        <w:tc>
          <w:tcPr>
            <w:tcW w:w="1130"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100</w:t>
            </w:r>
          </w:p>
        </w:tc>
      </w:tr>
      <w:tr w:rsidR="00635340" w:rsidRPr="00635340" w:rsidTr="00635340">
        <w:tc>
          <w:tcPr>
            <w:tcW w:w="774" w:type="dxa"/>
            <w:tcBorders>
              <w:top w:val="nil"/>
              <w:left w:val="single" w:sz="4" w:space="0" w:color="auto"/>
              <w:bottom w:val="single" w:sz="4" w:space="0" w:color="auto"/>
              <w:right w:val="single" w:sz="4" w:space="0" w:color="auto"/>
            </w:tcBorders>
            <w:shd w:val="clear" w:color="auto" w:fill="auto"/>
            <w:noWrap/>
            <w:hideMark/>
          </w:tcPr>
          <w:p w:rsidR="00635340" w:rsidRPr="00635340" w:rsidRDefault="00635340" w:rsidP="00635340">
            <w:pPr>
              <w:jc w:val="left"/>
              <w:rPr>
                <w:sz w:val="18"/>
                <w:szCs w:val="18"/>
                <w:lang w:val="fr-CA" w:eastAsia="en-CA"/>
              </w:rPr>
            </w:pPr>
            <w:r w:rsidRPr="00635340">
              <w:rPr>
                <w:sz w:val="18"/>
                <w:szCs w:val="18"/>
                <w:lang w:val="fr-CA" w:eastAsia="en-CA"/>
              </w:rPr>
              <w:t>1992</w:t>
            </w:r>
          </w:p>
        </w:tc>
        <w:tc>
          <w:tcPr>
            <w:tcW w:w="1150"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76</w:t>
            </w:r>
          </w:p>
        </w:tc>
        <w:tc>
          <w:tcPr>
            <w:tcW w:w="1052"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76</w:t>
            </w:r>
          </w:p>
        </w:tc>
        <w:tc>
          <w:tcPr>
            <w:tcW w:w="1159"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100</w:t>
            </w:r>
          </w:p>
        </w:tc>
        <w:tc>
          <w:tcPr>
            <w:tcW w:w="1461"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28</w:t>
            </w:r>
            <w:r>
              <w:rPr>
                <w:sz w:val="18"/>
                <w:szCs w:val="18"/>
                <w:lang w:val="fr-CA" w:eastAsia="en-CA"/>
              </w:rPr>
              <w:t xml:space="preserve"> </w:t>
            </w:r>
            <w:r w:rsidRPr="00635340">
              <w:rPr>
                <w:sz w:val="18"/>
                <w:szCs w:val="18"/>
                <w:lang w:val="fr-CA" w:eastAsia="en-CA"/>
              </w:rPr>
              <w:t>047</w:t>
            </w:r>
            <w:r>
              <w:rPr>
                <w:sz w:val="18"/>
                <w:szCs w:val="18"/>
                <w:lang w:val="fr-CA" w:eastAsia="en-CA"/>
              </w:rPr>
              <w:t xml:space="preserve"> </w:t>
            </w:r>
            <w:r w:rsidRPr="00635340">
              <w:rPr>
                <w:sz w:val="18"/>
                <w:szCs w:val="18"/>
                <w:lang w:val="fr-CA" w:eastAsia="en-CA"/>
              </w:rPr>
              <w:t>705</w:t>
            </w:r>
          </w:p>
        </w:tc>
        <w:tc>
          <w:tcPr>
            <w:tcW w:w="1413"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28</w:t>
            </w:r>
            <w:r>
              <w:rPr>
                <w:sz w:val="18"/>
                <w:szCs w:val="18"/>
                <w:lang w:val="fr-CA" w:eastAsia="en-CA"/>
              </w:rPr>
              <w:t xml:space="preserve"> </w:t>
            </w:r>
            <w:r w:rsidRPr="00635340">
              <w:rPr>
                <w:sz w:val="18"/>
                <w:szCs w:val="18"/>
                <w:lang w:val="fr-CA" w:eastAsia="en-CA"/>
              </w:rPr>
              <w:t>047</w:t>
            </w:r>
            <w:r>
              <w:rPr>
                <w:sz w:val="18"/>
                <w:szCs w:val="18"/>
                <w:lang w:val="fr-CA" w:eastAsia="en-CA"/>
              </w:rPr>
              <w:t xml:space="preserve"> </w:t>
            </w:r>
            <w:r w:rsidRPr="00635340">
              <w:rPr>
                <w:sz w:val="18"/>
                <w:szCs w:val="18"/>
                <w:lang w:val="fr-CA" w:eastAsia="en-CA"/>
              </w:rPr>
              <w:t>705</w:t>
            </w:r>
          </w:p>
        </w:tc>
        <w:tc>
          <w:tcPr>
            <w:tcW w:w="1181"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0</w:t>
            </w:r>
          </w:p>
        </w:tc>
        <w:tc>
          <w:tcPr>
            <w:tcW w:w="1130"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100</w:t>
            </w:r>
          </w:p>
        </w:tc>
      </w:tr>
      <w:tr w:rsidR="00635340" w:rsidRPr="00635340" w:rsidTr="00635340">
        <w:tc>
          <w:tcPr>
            <w:tcW w:w="774" w:type="dxa"/>
            <w:tcBorders>
              <w:top w:val="nil"/>
              <w:left w:val="single" w:sz="4" w:space="0" w:color="auto"/>
              <w:bottom w:val="single" w:sz="4" w:space="0" w:color="auto"/>
              <w:right w:val="single" w:sz="4" w:space="0" w:color="auto"/>
            </w:tcBorders>
            <w:shd w:val="clear" w:color="auto" w:fill="auto"/>
            <w:noWrap/>
            <w:hideMark/>
          </w:tcPr>
          <w:p w:rsidR="00635340" w:rsidRPr="00635340" w:rsidRDefault="00635340" w:rsidP="00635340">
            <w:pPr>
              <w:jc w:val="left"/>
              <w:rPr>
                <w:sz w:val="18"/>
                <w:szCs w:val="18"/>
                <w:lang w:val="fr-CA" w:eastAsia="en-CA"/>
              </w:rPr>
            </w:pPr>
            <w:r w:rsidRPr="00635340">
              <w:rPr>
                <w:sz w:val="18"/>
                <w:szCs w:val="18"/>
                <w:lang w:val="fr-CA" w:eastAsia="en-CA"/>
              </w:rPr>
              <w:t>1993</w:t>
            </w:r>
          </w:p>
        </w:tc>
        <w:tc>
          <w:tcPr>
            <w:tcW w:w="1150"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79</w:t>
            </w:r>
          </w:p>
        </w:tc>
        <w:tc>
          <w:tcPr>
            <w:tcW w:w="1052"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79</w:t>
            </w:r>
          </w:p>
        </w:tc>
        <w:tc>
          <w:tcPr>
            <w:tcW w:w="1159"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100</w:t>
            </w:r>
          </w:p>
        </w:tc>
        <w:tc>
          <w:tcPr>
            <w:tcW w:w="1461"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42</w:t>
            </w:r>
            <w:r>
              <w:rPr>
                <w:sz w:val="18"/>
                <w:szCs w:val="18"/>
                <w:lang w:val="fr-CA" w:eastAsia="en-CA"/>
              </w:rPr>
              <w:t xml:space="preserve"> </w:t>
            </w:r>
            <w:r w:rsidRPr="00635340">
              <w:rPr>
                <w:sz w:val="18"/>
                <w:szCs w:val="18"/>
                <w:lang w:val="fr-CA" w:eastAsia="en-CA"/>
              </w:rPr>
              <w:t>538</w:t>
            </w:r>
            <w:r>
              <w:rPr>
                <w:sz w:val="18"/>
                <w:szCs w:val="18"/>
                <w:lang w:val="fr-CA" w:eastAsia="en-CA"/>
              </w:rPr>
              <w:t xml:space="preserve"> </w:t>
            </w:r>
            <w:r w:rsidRPr="00635340">
              <w:rPr>
                <w:sz w:val="18"/>
                <w:szCs w:val="18"/>
                <w:lang w:val="fr-CA" w:eastAsia="en-CA"/>
              </w:rPr>
              <w:t>405</w:t>
            </w:r>
          </w:p>
        </w:tc>
        <w:tc>
          <w:tcPr>
            <w:tcW w:w="1413"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42</w:t>
            </w:r>
            <w:r>
              <w:rPr>
                <w:sz w:val="18"/>
                <w:szCs w:val="18"/>
                <w:lang w:val="fr-CA" w:eastAsia="en-CA"/>
              </w:rPr>
              <w:t xml:space="preserve"> </w:t>
            </w:r>
            <w:r w:rsidRPr="00635340">
              <w:rPr>
                <w:sz w:val="18"/>
                <w:szCs w:val="18"/>
                <w:lang w:val="fr-CA" w:eastAsia="en-CA"/>
              </w:rPr>
              <w:t>538</w:t>
            </w:r>
            <w:r>
              <w:rPr>
                <w:sz w:val="18"/>
                <w:szCs w:val="18"/>
                <w:lang w:val="fr-CA" w:eastAsia="en-CA"/>
              </w:rPr>
              <w:t xml:space="preserve"> </w:t>
            </w:r>
            <w:r w:rsidRPr="00635340">
              <w:rPr>
                <w:sz w:val="18"/>
                <w:szCs w:val="18"/>
                <w:lang w:val="fr-CA" w:eastAsia="en-CA"/>
              </w:rPr>
              <w:t>405</w:t>
            </w:r>
          </w:p>
        </w:tc>
        <w:tc>
          <w:tcPr>
            <w:tcW w:w="1181"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0</w:t>
            </w:r>
          </w:p>
        </w:tc>
        <w:tc>
          <w:tcPr>
            <w:tcW w:w="1130"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100</w:t>
            </w:r>
          </w:p>
        </w:tc>
      </w:tr>
      <w:tr w:rsidR="00635340" w:rsidRPr="00635340" w:rsidTr="00635340">
        <w:tc>
          <w:tcPr>
            <w:tcW w:w="774" w:type="dxa"/>
            <w:tcBorders>
              <w:top w:val="nil"/>
              <w:left w:val="single" w:sz="4" w:space="0" w:color="auto"/>
              <w:bottom w:val="single" w:sz="4" w:space="0" w:color="auto"/>
              <w:right w:val="single" w:sz="4" w:space="0" w:color="auto"/>
            </w:tcBorders>
            <w:shd w:val="clear" w:color="auto" w:fill="auto"/>
            <w:noWrap/>
            <w:hideMark/>
          </w:tcPr>
          <w:p w:rsidR="00635340" w:rsidRPr="00635340" w:rsidRDefault="00635340" w:rsidP="00635340">
            <w:pPr>
              <w:jc w:val="left"/>
              <w:rPr>
                <w:sz w:val="18"/>
                <w:szCs w:val="18"/>
                <w:lang w:val="fr-CA" w:eastAsia="en-CA"/>
              </w:rPr>
            </w:pPr>
            <w:r w:rsidRPr="00635340">
              <w:rPr>
                <w:sz w:val="18"/>
                <w:szCs w:val="18"/>
                <w:lang w:val="fr-CA" w:eastAsia="en-CA"/>
              </w:rPr>
              <w:t>1994</w:t>
            </w:r>
          </w:p>
        </w:tc>
        <w:tc>
          <w:tcPr>
            <w:tcW w:w="1150"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91</w:t>
            </w:r>
          </w:p>
        </w:tc>
        <w:tc>
          <w:tcPr>
            <w:tcW w:w="1052"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91</w:t>
            </w:r>
          </w:p>
        </w:tc>
        <w:tc>
          <w:tcPr>
            <w:tcW w:w="1159"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100</w:t>
            </w:r>
          </w:p>
        </w:tc>
        <w:tc>
          <w:tcPr>
            <w:tcW w:w="1461"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41</w:t>
            </w:r>
            <w:r>
              <w:rPr>
                <w:sz w:val="18"/>
                <w:szCs w:val="18"/>
                <w:lang w:val="fr-CA" w:eastAsia="en-CA"/>
              </w:rPr>
              <w:t xml:space="preserve"> </w:t>
            </w:r>
            <w:r w:rsidRPr="00635340">
              <w:rPr>
                <w:sz w:val="18"/>
                <w:szCs w:val="18"/>
                <w:lang w:val="fr-CA" w:eastAsia="en-CA"/>
              </w:rPr>
              <w:t>081</w:t>
            </w:r>
            <w:r>
              <w:rPr>
                <w:sz w:val="18"/>
                <w:szCs w:val="18"/>
                <w:lang w:val="fr-CA" w:eastAsia="en-CA"/>
              </w:rPr>
              <w:t xml:space="preserve"> </w:t>
            </w:r>
            <w:r w:rsidRPr="00635340">
              <w:rPr>
                <w:sz w:val="18"/>
                <w:szCs w:val="18"/>
                <w:lang w:val="fr-CA" w:eastAsia="en-CA"/>
              </w:rPr>
              <w:t>267</w:t>
            </w:r>
          </w:p>
        </w:tc>
        <w:tc>
          <w:tcPr>
            <w:tcW w:w="1413"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41</w:t>
            </w:r>
            <w:r>
              <w:rPr>
                <w:sz w:val="18"/>
                <w:szCs w:val="18"/>
                <w:lang w:val="fr-CA" w:eastAsia="en-CA"/>
              </w:rPr>
              <w:t xml:space="preserve"> </w:t>
            </w:r>
            <w:r w:rsidRPr="00635340">
              <w:rPr>
                <w:sz w:val="18"/>
                <w:szCs w:val="18"/>
                <w:lang w:val="fr-CA" w:eastAsia="en-CA"/>
              </w:rPr>
              <w:t>081</w:t>
            </w:r>
            <w:r>
              <w:rPr>
                <w:sz w:val="18"/>
                <w:szCs w:val="18"/>
                <w:lang w:val="fr-CA" w:eastAsia="en-CA"/>
              </w:rPr>
              <w:t xml:space="preserve"> </w:t>
            </w:r>
            <w:r w:rsidRPr="00635340">
              <w:rPr>
                <w:sz w:val="18"/>
                <w:szCs w:val="18"/>
                <w:lang w:val="fr-CA" w:eastAsia="en-CA"/>
              </w:rPr>
              <w:t>267</w:t>
            </w:r>
          </w:p>
        </w:tc>
        <w:tc>
          <w:tcPr>
            <w:tcW w:w="1181"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0</w:t>
            </w:r>
          </w:p>
        </w:tc>
        <w:tc>
          <w:tcPr>
            <w:tcW w:w="1130"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100</w:t>
            </w:r>
          </w:p>
        </w:tc>
      </w:tr>
      <w:tr w:rsidR="00635340" w:rsidRPr="00635340" w:rsidTr="00635340">
        <w:tc>
          <w:tcPr>
            <w:tcW w:w="774" w:type="dxa"/>
            <w:tcBorders>
              <w:top w:val="nil"/>
              <w:left w:val="single" w:sz="4" w:space="0" w:color="auto"/>
              <w:bottom w:val="single" w:sz="4" w:space="0" w:color="auto"/>
              <w:right w:val="single" w:sz="4" w:space="0" w:color="auto"/>
            </w:tcBorders>
            <w:shd w:val="clear" w:color="auto" w:fill="auto"/>
            <w:noWrap/>
            <w:hideMark/>
          </w:tcPr>
          <w:p w:rsidR="00635340" w:rsidRPr="00635340" w:rsidRDefault="00635340" w:rsidP="00635340">
            <w:pPr>
              <w:jc w:val="left"/>
              <w:rPr>
                <w:sz w:val="18"/>
                <w:szCs w:val="18"/>
                <w:lang w:val="fr-CA" w:eastAsia="en-CA"/>
              </w:rPr>
            </w:pPr>
            <w:r w:rsidRPr="00635340">
              <w:rPr>
                <w:sz w:val="18"/>
                <w:szCs w:val="18"/>
                <w:lang w:val="fr-CA" w:eastAsia="en-CA"/>
              </w:rPr>
              <w:t>1995</w:t>
            </w:r>
          </w:p>
        </w:tc>
        <w:tc>
          <w:tcPr>
            <w:tcW w:w="1150"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112</w:t>
            </w:r>
          </w:p>
        </w:tc>
        <w:tc>
          <w:tcPr>
            <w:tcW w:w="1052"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112</w:t>
            </w:r>
          </w:p>
        </w:tc>
        <w:tc>
          <w:tcPr>
            <w:tcW w:w="1159"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100</w:t>
            </w:r>
          </w:p>
        </w:tc>
        <w:tc>
          <w:tcPr>
            <w:tcW w:w="1461"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47</w:t>
            </w:r>
            <w:r>
              <w:rPr>
                <w:sz w:val="18"/>
                <w:szCs w:val="18"/>
                <w:lang w:val="fr-CA" w:eastAsia="en-CA"/>
              </w:rPr>
              <w:t xml:space="preserve"> </w:t>
            </w:r>
            <w:r w:rsidRPr="00635340">
              <w:rPr>
                <w:sz w:val="18"/>
                <w:szCs w:val="18"/>
                <w:lang w:val="fr-CA" w:eastAsia="en-CA"/>
              </w:rPr>
              <w:t>224</w:t>
            </w:r>
            <w:r>
              <w:rPr>
                <w:sz w:val="18"/>
                <w:szCs w:val="18"/>
                <w:lang w:val="fr-CA" w:eastAsia="en-CA"/>
              </w:rPr>
              <w:t xml:space="preserve"> </w:t>
            </w:r>
            <w:r w:rsidRPr="00635340">
              <w:rPr>
                <w:sz w:val="18"/>
                <w:szCs w:val="18"/>
                <w:lang w:val="fr-CA" w:eastAsia="en-CA"/>
              </w:rPr>
              <w:t>186</w:t>
            </w:r>
          </w:p>
        </w:tc>
        <w:tc>
          <w:tcPr>
            <w:tcW w:w="1413"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47</w:t>
            </w:r>
            <w:r>
              <w:rPr>
                <w:sz w:val="18"/>
                <w:szCs w:val="18"/>
                <w:lang w:val="fr-CA" w:eastAsia="en-CA"/>
              </w:rPr>
              <w:t xml:space="preserve"> </w:t>
            </w:r>
            <w:r w:rsidRPr="00635340">
              <w:rPr>
                <w:sz w:val="18"/>
                <w:szCs w:val="18"/>
                <w:lang w:val="fr-CA" w:eastAsia="en-CA"/>
              </w:rPr>
              <w:t>224</w:t>
            </w:r>
            <w:r>
              <w:rPr>
                <w:sz w:val="18"/>
                <w:szCs w:val="18"/>
                <w:lang w:val="fr-CA" w:eastAsia="en-CA"/>
              </w:rPr>
              <w:t xml:space="preserve"> </w:t>
            </w:r>
            <w:r w:rsidRPr="00635340">
              <w:rPr>
                <w:sz w:val="18"/>
                <w:szCs w:val="18"/>
                <w:lang w:val="fr-CA" w:eastAsia="en-CA"/>
              </w:rPr>
              <w:t>186</w:t>
            </w:r>
          </w:p>
        </w:tc>
        <w:tc>
          <w:tcPr>
            <w:tcW w:w="1181"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0</w:t>
            </w:r>
          </w:p>
        </w:tc>
        <w:tc>
          <w:tcPr>
            <w:tcW w:w="1130"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100</w:t>
            </w:r>
          </w:p>
        </w:tc>
      </w:tr>
      <w:tr w:rsidR="00635340" w:rsidRPr="00635340" w:rsidTr="00635340">
        <w:tc>
          <w:tcPr>
            <w:tcW w:w="774" w:type="dxa"/>
            <w:tcBorders>
              <w:top w:val="nil"/>
              <w:left w:val="single" w:sz="4" w:space="0" w:color="auto"/>
              <w:bottom w:val="single" w:sz="4" w:space="0" w:color="auto"/>
              <w:right w:val="single" w:sz="4" w:space="0" w:color="auto"/>
            </w:tcBorders>
            <w:shd w:val="clear" w:color="auto" w:fill="auto"/>
            <w:noWrap/>
            <w:hideMark/>
          </w:tcPr>
          <w:p w:rsidR="00635340" w:rsidRPr="00635340" w:rsidRDefault="00635340" w:rsidP="00635340">
            <w:pPr>
              <w:jc w:val="left"/>
              <w:rPr>
                <w:sz w:val="18"/>
                <w:szCs w:val="18"/>
                <w:lang w:val="fr-CA" w:eastAsia="en-CA"/>
              </w:rPr>
            </w:pPr>
            <w:r w:rsidRPr="00635340">
              <w:rPr>
                <w:sz w:val="18"/>
                <w:szCs w:val="18"/>
                <w:lang w:val="fr-CA" w:eastAsia="en-CA"/>
              </w:rPr>
              <w:t>1996</w:t>
            </w:r>
          </w:p>
        </w:tc>
        <w:tc>
          <w:tcPr>
            <w:tcW w:w="1150"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55</w:t>
            </w:r>
          </w:p>
        </w:tc>
        <w:tc>
          <w:tcPr>
            <w:tcW w:w="1052"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55</w:t>
            </w:r>
          </w:p>
        </w:tc>
        <w:tc>
          <w:tcPr>
            <w:tcW w:w="1159"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100</w:t>
            </w:r>
          </w:p>
        </w:tc>
        <w:tc>
          <w:tcPr>
            <w:tcW w:w="1461"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29</w:t>
            </w:r>
            <w:r>
              <w:rPr>
                <w:sz w:val="18"/>
                <w:szCs w:val="18"/>
                <w:lang w:val="fr-CA" w:eastAsia="en-CA"/>
              </w:rPr>
              <w:t xml:space="preserve"> </w:t>
            </w:r>
            <w:r w:rsidRPr="00635340">
              <w:rPr>
                <w:sz w:val="18"/>
                <w:szCs w:val="18"/>
                <w:lang w:val="fr-CA" w:eastAsia="en-CA"/>
              </w:rPr>
              <w:t>319</w:t>
            </w:r>
            <w:r>
              <w:rPr>
                <w:sz w:val="18"/>
                <w:szCs w:val="18"/>
                <w:lang w:val="fr-CA" w:eastAsia="en-CA"/>
              </w:rPr>
              <w:t xml:space="preserve"> </w:t>
            </w:r>
            <w:r w:rsidRPr="00635340">
              <w:rPr>
                <w:sz w:val="18"/>
                <w:szCs w:val="18"/>
                <w:lang w:val="fr-CA" w:eastAsia="en-CA"/>
              </w:rPr>
              <w:t>479</w:t>
            </w:r>
          </w:p>
        </w:tc>
        <w:tc>
          <w:tcPr>
            <w:tcW w:w="1413"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29</w:t>
            </w:r>
            <w:r>
              <w:rPr>
                <w:sz w:val="18"/>
                <w:szCs w:val="18"/>
                <w:lang w:val="fr-CA" w:eastAsia="en-CA"/>
              </w:rPr>
              <w:t xml:space="preserve"> </w:t>
            </w:r>
            <w:r w:rsidRPr="00635340">
              <w:rPr>
                <w:sz w:val="18"/>
                <w:szCs w:val="18"/>
                <w:lang w:val="fr-CA" w:eastAsia="en-CA"/>
              </w:rPr>
              <w:t>319</w:t>
            </w:r>
            <w:r>
              <w:rPr>
                <w:sz w:val="18"/>
                <w:szCs w:val="18"/>
                <w:lang w:val="fr-CA" w:eastAsia="en-CA"/>
              </w:rPr>
              <w:t xml:space="preserve"> </w:t>
            </w:r>
            <w:r w:rsidRPr="00635340">
              <w:rPr>
                <w:sz w:val="18"/>
                <w:szCs w:val="18"/>
                <w:lang w:val="fr-CA" w:eastAsia="en-CA"/>
              </w:rPr>
              <w:t>479</w:t>
            </w:r>
          </w:p>
        </w:tc>
        <w:tc>
          <w:tcPr>
            <w:tcW w:w="1181"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0</w:t>
            </w:r>
          </w:p>
        </w:tc>
        <w:tc>
          <w:tcPr>
            <w:tcW w:w="1130"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100</w:t>
            </w:r>
          </w:p>
        </w:tc>
      </w:tr>
      <w:tr w:rsidR="00635340" w:rsidRPr="00635340" w:rsidTr="00635340">
        <w:tc>
          <w:tcPr>
            <w:tcW w:w="774" w:type="dxa"/>
            <w:tcBorders>
              <w:top w:val="nil"/>
              <w:left w:val="single" w:sz="4" w:space="0" w:color="auto"/>
              <w:bottom w:val="single" w:sz="4" w:space="0" w:color="auto"/>
              <w:right w:val="single" w:sz="4" w:space="0" w:color="auto"/>
            </w:tcBorders>
            <w:shd w:val="clear" w:color="auto" w:fill="auto"/>
            <w:noWrap/>
            <w:hideMark/>
          </w:tcPr>
          <w:p w:rsidR="00635340" w:rsidRPr="00635340" w:rsidRDefault="00635340" w:rsidP="00635340">
            <w:pPr>
              <w:jc w:val="left"/>
              <w:rPr>
                <w:sz w:val="18"/>
                <w:szCs w:val="18"/>
                <w:lang w:val="fr-CA" w:eastAsia="en-CA"/>
              </w:rPr>
            </w:pPr>
            <w:r w:rsidRPr="00635340">
              <w:rPr>
                <w:sz w:val="18"/>
                <w:szCs w:val="18"/>
                <w:lang w:val="fr-CA" w:eastAsia="en-CA"/>
              </w:rPr>
              <w:t>1997</w:t>
            </w:r>
          </w:p>
        </w:tc>
        <w:tc>
          <w:tcPr>
            <w:tcW w:w="1150"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95</w:t>
            </w:r>
          </w:p>
        </w:tc>
        <w:tc>
          <w:tcPr>
            <w:tcW w:w="1052"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95</w:t>
            </w:r>
          </w:p>
        </w:tc>
        <w:tc>
          <w:tcPr>
            <w:tcW w:w="1159"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100</w:t>
            </w:r>
          </w:p>
        </w:tc>
        <w:tc>
          <w:tcPr>
            <w:tcW w:w="1461"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56</w:t>
            </w:r>
            <w:r>
              <w:rPr>
                <w:sz w:val="18"/>
                <w:szCs w:val="18"/>
                <w:lang w:val="fr-CA" w:eastAsia="en-CA"/>
              </w:rPr>
              <w:t xml:space="preserve"> </w:t>
            </w:r>
            <w:r w:rsidRPr="00635340">
              <w:rPr>
                <w:sz w:val="18"/>
                <w:szCs w:val="18"/>
                <w:lang w:val="fr-CA" w:eastAsia="en-CA"/>
              </w:rPr>
              <w:t>173</w:t>
            </w:r>
            <w:r>
              <w:rPr>
                <w:sz w:val="18"/>
                <w:szCs w:val="18"/>
                <w:lang w:val="fr-CA" w:eastAsia="en-CA"/>
              </w:rPr>
              <w:t xml:space="preserve"> </w:t>
            </w:r>
            <w:r w:rsidRPr="00635340">
              <w:rPr>
                <w:sz w:val="18"/>
                <w:szCs w:val="18"/>
                <w:lang w:val="fr-CA" w:eastAsia="en-CA"/>
              </w:rPr>
              <w:t>102</w:t>
            </w:r>
          </w:p>
        </w:tc>
        <w:tc>
          <w:tcPr>
            <w:tcW w:w="1413"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56</w:t>
            </w:r>
            <w:r>
              <w:rPr>
                <w:sz w:val="18"/>
                <w:szCs w:val="18"/>
                <w:lang w:val="fr-CA" w:eastAsia="en-CA"/>
              </w:rPr>
              <w:t xml:space="preserve"> </w:t>
            </w:r>
            <w:r w:rsidRPr="00635340">
              <w:rPr>
                <w:sz w:val="18"/>
                <w:szCs w:val="18"/>
                <w:lang w:val="fr-CA" w:eastAsia="en-CA"/>
              </w:rPr>
              <w:t>173</w:t>
            </w:r>
            <w:r>
              <w:rPr>
                <w:sz w:val="18"/>
                <w:szCs w:val="18"/>
                <w:lang w:val="fr-CA" w:eastAsia="en-CA"/>
              </w:rPr>
              <w:t xml:space="preserve"> </w:t>
            </w:r>
            <w:r w:rsidRPr="00635340">
              <w:rPr>
                <w:sz w:val="18"/>
                <w:szCs w:val="18"/>
                <w:lang w:val="fr-CA" w:eastAsia="en-CA"/>
              </w:rPr>
              <w:t>104</w:t>
            </w:r>
          </w:p>
        </w:tc>
        <w:tc>
          <w:tcPr>
            <w:tcW w:w="1181"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-2</w:t>
            </w:r>
          </w:p>
        </w:tc>
        <w:tc>
          <w:tcPr>
            <w:tcW w:w="1130"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100</w:t>
            </w:r>
          </w:p>
        </w:tc>
      </w:tr>
      <w:tr w:rsidR="00635340" w:rsidRPr="00635340" w:rsidTr="00635340">
        <w:tc>
          <w:tcPr>
            <w:tcW w:w="774" w:type="dxa"/>
            <w:tcBorders>
              <w:top w:val="nil"/>
              <w:left w:val="single" w:sz="4" w:space="0" w:color="auto"/>
              <w:bottom w:val="single" w:sz="4" w:space="0" w:color="auto"/>
              <w:right w:val="single" w:sz="4" w:space="0" w:color="auto"/>
            </w:tcBorders>
            <w:shd w:val="clear" w:color="auto" w:fill="auto"/>
            <w:noWrap/>
            <w:hideMark/>
          </w:tcPr>
          <w:p w:rsidR="00635340" w:rsidRPr="00635340" w:rsidRDefault="00635340" w:rsidP="00635340">
            <w:pPr>
              <w:jc w:val="left"/>
              <w:rPr>
                <w:sz w:val="18"/>
                <w:szCs w:val="18"/>
                <w:lang w:val="fr-CA" w:eastAsia="en-CA"/>
              </w:rPr>
            </w:pPr>
            <w:r w:rsidRPr="00635340">
              <w:rPr>
                <w:sz w:val="18"/>
                <w:szCs w:val="18"/>
                <w:lang w:val="fr-CA" w:eastAsia="en-CA"/>
              </w:rPr>
              <w:t>1998</w:t>
            </w:r>
          </w:p>
        </w:tc>
        <w:tc>
          <w:tcPr>
            <w:tcW w:w="1150"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59</w:t>
            </w:r>
          </w:p>
        </w:tc>
        <w:tc>
          <w:tcPr>
            <w:tcW w:w="1052"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59</w:t>
            </w:r>
          </w:p>
        </w:tc>
        <w:tc>
          <w:tcPr>
            <w:tcW w:w="1159"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100</w:t>
            </w:r>
          </w:p>
        </w:tc>
        <w:tc>
          <w:tcPr>
            <w:tcW w:w="1461"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35</w:t>
            </w:r>
            <w:r>
              <w:rPr>
                <w:sz w:val="18"/>
                <w:szCs w:val="18"/>
                <w:lang w:val="fr-CA" w:eastAsia="en-CA"/>
              </w:rPr>
              <w:t xml:space="preserve"> </w:t>
            </w:r>
            <w:r w:rsidRPr="00635340">
              <w:rPr>
                <w:sz w:val="18"/>
                <w:szCs w:val="18"/>
                <w:lang w:val="fr-CA" w:eastAsia="en-CA"/>
              </w:rPr>
              <w:t>959</w:t>
            </w:r>
            <w:r>
              <w:rPr>
                <w:sz w:val="18"/>
                <w:szCs w:val="18"/>
                <w:lang w:val="fr-CA" w:eastAsia="en-CA"/>
              </w:rPr>
              <w:t xml:space="preserve"> </w:t>
            </w:r>
            <w:r w:rsidRPr="00635340">
              <w:rPr>
                <w:sz w:val="18"/>
                <w:szCs w:val="18"/>
                <w:lang w:val="fr-CA" w:eastAsia="en-CA"/>
              </w:rPr>
              <w:t>418</w:t>
            </w:r>
          </w:p>
        </w:tc>
        <w:tc>
          <w:tcPr>
            <w:tcW w:w="1413"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35</w:t>
            </w:r>
            <w:r>
              <w:rPr>
                <w:sz w:val="18"/>
                <w:szCs w:val="18"/>
                <w:lang w:val="fr-CA" w:eastAsia="en-CA"/>
              </w:rPr>
              <w:t xml:space="preserve"> </w:t>
            </w:r>
            <w:r w:rsidRPr="00635340">
              <w:rPr>
                <w:sz w:val="18"/>
                <w:szCs w:val="18"/>
                <w:lang w:val="fr-CA" w:eastAsia="en-CA"/>
              </w:rPr>
              <w:t>959</w:t>
            </w:r>
            <w:r>
              <w:rPr>
                <w:sz w:val="18"/>
                <w:szCs w:val="18"/>
                <w:lang w:val="fr-CA" w:eastAsia="en-CA"/>
              </w:rPr>
              <w:t xml:space="preserve"> </w:t>
            </w:r>
            <w:r w:rsidRPr="00635340">
              <w:rPr>
                <w:sz w:val="18"/>
                <w:szCs w:val="18"/>
                <w:lang w:val="fr-CA" w:eastAsia="en-CA"/>
              </w:rPr>
              <w:t>417</w:t>
            </w:r>
          </w:p>
        </w:tc>
        <w:tc>
          <w:tcPr>
            <w:tcW w:w="1181"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w:t>
            </w:r>
          </w:p>
        </w:tc>
        <w:tc>
          <w:tcPr>
            <w:tcW w:w="1130"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100</w:t>
            </w:r>
          </w:p>
        </w:tc>
      </w:tr>
      <w:tr w:rsidR="00635340" w:rsidRPr="00635340" w:rsidTr="00635340">
        <w:tc>
          <w:tcPr>
            <w:tcW w:w="774" w:type="dxa"/>
            <w:tcBorders>
              <w:top w:val="nil"/>
              <w:left w:val="single" w:sz="4" w:space="0" w:color="auto"/>
              <w:bottom w:val="single" w:sz="4" w:space="0" w:color="auto"/>
              <w:right w:val="single" w:sz="4" w:space="0" w:color="auto"/>
            </w:tcBorders>
            <w:shd w:val="clear" w:color="auto" w:fill="auto"/>
            <w:noWrap/>
            <w:hideMark/>
          </w:tcPr>
          <w:p w:rsidR="00635340" w:rsidRPr="00635340" w:rsidRDefault="00635340" w:rsidP="00635340">
            <w:pPr>
              <w:jc w:val="left"/>
              <w:rPr>
                <w:sz w:val="18"/>
                <w:szCs w:val="18"/>
                <w:lang w:val="fr-CA" w:eastAsia="en-CA"/>
              </w:rPr>
            </w:pPr>
            <w:r w:rsidRPr="00635340">
              <w:rPr>
                <w:sz w:val="18"/>
                <w:szCs w:val="18"/>
                <w:lang w:val="fr-CA" w:eastAsia="en-CA"/>
              </w:rPr>
              <w:t>1999</w:t>
            </w:r>
          </w:p>
        </w:tc>
        <w:tc>
          <w:tcPr>
            <w:tcW w:w="1150"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73</w:t>
            </w:r>
          </w:p>
        </w:tc>
        <w:tc>
          <w:tcPr>
            <w:tcW w:w="1052"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73</w:t>
            </w:r>
          </w:p>
        </w:tc>
        <w:tc>
          <w:tcPr>
            <w:tcW w:w="1159"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100</w:t>
            </w:r>
          </w:p>
        </w:tc>
        <w:tc>
          <w:tcPr>
            <w:tcW w:w="1461"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64</w:t>
            </w:r>
            <w:r>
              <w:rPr>
                <w:sz w:val="18"/>
                <w:szCs w:val="18"/>
                <w:lang w:val="fr-CA" w:eastAsia="en-CA"/>
              </w:rPr>
              <w:t xml:space="preserve"> </w:t>
            </w:r>
            <w:r w:rsidRPr="00635340">
              <w:rPr>
                <w:sz w:val="18"/>
                <w:szCs w:val="18"/>
                <w:lang w:val="fr-CA" w:eastAsia="en-CA"/>
              </w:rPr>
              <w:t>173</w:t>
            </w:r>
            <w:r>
              <w:rPr>
                <w:sz w:val="18"/>
                <w:szCs w:val="18"/>
                <w:lang w:val="fr-CA" w:eastAsia="en-CA"/>
              </w:rPr>
              <w:t xml:space="preserve"> </w:t>
            </w:r>
            <w:r w:rsidRPr="00635340">
              <w:rPr>
                <w:sz w:val="18"/>
                <w:szCs w:val="18"/>
                <w:lang w:val="fr-CA" w:eastAsia="en-CA"/>
              </w:rPr>
              <w:t>138</w:t>
            </w:r>
          </w:p>
        </w:tc>
        <w:tc>
          <w:tcPr>
            <w:tcW w:w="1413"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64</w:t>
            </w:r>
            <w:r>
              <w:rPr>
                <w:sz w:val="18"/>
                <w:szCs w:val="18"/>
                <w:lang w:val="fr-CA" w:eastAsia="en-CA"/>
              </w:rPr>
              <w:t xml:space="preserve"> </w:t>
            </w:r>
            <w:r w:rsidRPr="00635340">
              <w:rPr>
                <w:sz w:val="18"/>
                <w:szCs w:val="18"/>
                <w:lang w:val="fr-CA" w:eastAsia="en-CA"/>
              </w:rPr>
              <w:t>173</w:t>
            </w:r>
            <w:r>
              <w:rPr>
                <w:sz w:val="18"/>
                <w:szCs w:val="18"/>
                <w:lang w:val="fr-CA" w:eastAsia="en-CA"/>
              </w:rPr>
              <w:t xml:space="preserve"> </w:t>
            </w:r>
            <w:r w:rsidRPr="00635340">
              <w:rPr>
                <w:sz w:val="18"/>
                <w:szCs w:val="18"/>
                <w:lang w:val="fr-CA" w:eastAsia="en-CA"/>
              </w:rPr>
              <w:t>138</w:t>
            </w:r>
          </w:p>
        </w:tc>
        <w:tc>
          <w:tcPr>
            <w:tcW w:w="1181"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0</w:t>
            </w:r>
          </w:p>
        </w:tc>
        <w:tc>
          <w:tcPr>
            <w:tcW w:w="1130"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100</w:t>
            </w:r>
          </w:p>
        </w:tc>
      </w:tr>
      <w:tr w:rsidR="00635340" w:rsidRPr="00635340" w:rsidTr="00635340">
        <w:tc>
          <w:tcPr>
            <w:tcW w:w="774" w:type="dxa"/>
            <w:tcBorders>
              <w:top w:val="nil"/>
              <w:left w:val="single" w:sz="4" w:space="0" w:color="auto"/>
              <w:bottom w:val="single" w:sz="4" w:space="0" w:color="auto"/>
              <w:right w:val="single" w:sz="4" w:space="0" w:color="auto"/>
            </w:tcBorders>
            <w:shd w:val="clear" w:color="auto" w:fill="auto"/>
            <w:noWrap/>
            <w:hideMark/>
          </w:tcPr>
          <w:p w:rsidR="00635340" w:rsidRPr="00635340" w:rsidRDefault="00635340" w:rsidP="00635340">
            <w:pPr>
              <w:jc w:val="left"/>
              <w:rPr>
                <w:sz w:val="18"/>
                <w:szCs w:val="18"/>
                <w:lang w:val="fr-CA" w:eastAsia="en-CA"/>
              </w:rPr>
            </w:pPr>
            <w:r w:rsidRPr="00635340">
              <w:rPr>
                <w:sz w:val="18"/>
                <w:szCs w:val="18"/>
                <w:lang w:val="fr-CA" w:eastAsia="en-CA"/>
              </w:rPr>
              <w:t>2000</w:t>
            </w:r>
          </w:p>
        </w:tc>
        <w:tc>
          <w:tcPr>
            <w:tcW w:w="1150"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67</w:t>
            </w:r>
          </w:p>
        </w:tc>
        <w:tc>
          <w:tcPr>
            <w:tcW w:w="1052"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67</w:t>
            </w:r>
          </w:p>
        </w:tc>
        <w:tc>
          <w:tcPr>
            <w:tcW w:w="1159"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100</w:t>
            </w:r>
          </w:p>
        </w:tc>
        <w:tc>
          <w:tcPr>
            <w:tcW w:w="1461"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36</w:t>
            </w:r>
            <w:r>
              <w:rPr>
                <w:sz w:val="18"/>
                <w:szCs w:val="18"/>
                <w:lang w:val="fr-CA" w:eastAsia="en-CA"/>
              </w:rPr>
              <w:t xml:space="preserve"> </w:t>
            </w:r>
            <w:r w:rsidRPr="00635340">
              <w:rPr>
                <w:sz w:val="18"/>
                <w:szCs w:val="18"/>
                <w:lang w:val="fr-CA" w:eastAsia="en-CA"/>
              </w:rPr>
              <w:t>982</w:t>
            </w:r>
            <w:r>
              <w:rPr>
                <w:sz w:val="18"/>
                <w:szCs w:val="18"/>
                <w:lang w:val="fr-CA" w:eastAsia="en-CA"/>
              </w:rPr>
              <w:t xml:space="preserve"> </w:t>
            </w:r>
            <w:r w:rsidRPr="00635340">
              <w:rPr>
                <w:sz w:val="18"/>
                <w:szCs w:val="18"/>
                <w:lang w:val="fr-CA" w:eastAsia="en-CA"/>
              </w:rPr>
              <w:t>134</w:t>
            </w:r>
          </w:p>
        </w:tc>
        <w:tc>
          <w:tcPr>
            <w:tcW w:w="1413"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36</w:t>
            </w:r>
            <w:r>
              <w:rPr>
                <w:sz w:val="18"/>
                <w:szCs w:val="18"/>
                <w:lang w:val="fr-CA" w:eastAsia="en-CA"/>
              </w:rPr>
              <w:t xml:space="preserve"> </w:t>
            </w:r>
            <w:r w:rsidRPr="00635340">
              <w:rPr>
                <w:sz w:val="18"/>
                <w:szCs w:val="18"/>
                <w:lang w:val="fr-CA" w:eastAsia="en-CA"/>
              </w:rPr>
              <w:t>982</w:t>
            </w:r>
            <w:r>
              <w:rPr>
                <w:sz w:val="18"/>
                <w:szCs w:val="18"/>
                <w:lang w:val="fr-CA" w:eastAsia="en-CA"/>
              </w:rPr>
              <w:t xml:space="preserve"> </w:t>
            </w:r>
            <w:r w:rsidRPr="00635340">
              <w:rPr>
                <w:sz w:val="18"/>
                <w:szCs w:val="18"/>
                <w:lang w:val="fr-CA" w:eastAsia="en-CA"/>
              </w:rPr>
              <w:t>134</w:t>
            </w:r>
          </w:p>
        </w:tc>
        <w:tc>
          <w:tcPr>
            <w:tcW w:w="1181"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0</w:t>
            </w:r>
          </w:p>
        </w:tc>
        <w:tc>
          <w:tcPr>
            <w:tcW w:w="1130"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100</w:t>
            </w:r>
          </w:p>
        </w:tc>
      </w:tr>
      <w:tr w:rsidR="00635340" w:rsidRPr="00635340" w:rsidTr="00635340">
        <w:tc>
          <w:tcPr>
            <w:tcW w:w="774" w:type="dxa"/>
            <w:tcBorders>
              <w:top w:val="nil"/>
              <w:left w:val="single" w:sz="4" w:space="0" w:color="auto"/>
              <w:bottom w:val="single" w:sz="4" w:space="0" w:color="auto"/>
              <w:right w:val="single" w:sz="4" w:space="0" w:color="auto"/>
            </w:tcBorders>
            <w:shd w:val="clear" w:color="auto" w:fill="auto"/>
            <w:noWrap/>
            <w:hideMark/>
          </w:tcPr>
          <w:p w:rsidR="00635340" w:rsidRPr="00635340" w:rsidRDefault="00635340" w:rsidP="00635340">
            <w:pPr>
              <w:jc w:val="left"/>
              <w:rPr>
                <w:sz w:val="18"/>
                <w:szCs w:val="18"/>
                <w:lang w:val="fr-CA" w:eastAsia="en-CA"/>
              </w:rPr>
            </w:pPr>
            <w:r w:rsidRPr="00635340">
              <w:rPr>
                <w:sz w:val="18"/>
                <w:szCs w:val="18"/>
                <w:lang w:val="fr-CA" w:eastAsia="en-CA"/>
              </w:rPr>
              <w:t>2001</w:t>
            </w:r>
          </w:p>
        </w:tc>
        <w:tc>
          <w:tcPr>
            <w:tcW w:w="1150"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29</w:t>
            </w:r>
          </w:p>
        </w:tc>
        <w:tc>
          <w:tcPr>
            <w:tcW w:w="1052"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29</w:t>
            </w:r>
          </w:p>
        </w:tc>
        <w:tc>
          <w:tcPr>
            <w:tcW w:w="1159"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100</w:t>
            </w:r>
          </w:p>
        </w:tc>
        <w:tc>
          <w:tcPr>
            <w:tcW w:w="1461"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55</w:t>
            </w:r>
            <w:r>
              <w:rPr>
                <w:sz w:val="18"/>
                <w:szCs w:val="18"/>
                <w:lang w:val="fr-CA" w:eastAsia="en-CA"/>
              </w:rPr>
              <w:t xml:space="preserve"> </w:t>
            </w:r>
            <w:r w:rsidRPr="00635340">
              <w:rPr>
                <w:sz w:val="18"/>
                <w:szCs w:val="18"/>
                <w:lang w:val="fr-CA" w:eastAsia="en-CA"/>
              </w:rPr>
              <w:t>212</w:t>
            </w:r>
            <w:r>
              <w:rPr>
                <w:sz w:val="18"/>
                <w:szCs w:val="18"/>
                <w:lang w:val="fr-CA" w:eastAsia="en-CA"/>
              </w:rPr>
              <w:t xml:space="preserve"> </w:t>
            </w:r>
            <w:r w:rsidRPr="00635340">
              <w:rPr>
                <w:sz w:val="18"/>
                <w:szCs w:val="18"/>
                <w:lang w:val="fr-CA" w:eastAsia="en-CA"/>
              </w:rPr>
              <w:t>853</w:t>
            </w:r>
          </w:p>
        </w:tc>
        <w:tc>
          <w:tcPr>
            <w:tcW w:w="1413"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55</w:t>
            </w:r>
            <w:r>
              <w:rPr>
                <w:sz w:val="18"/>
                <w:szCs w:val="18"/>
                <w:lang w:val="fr-CA" w:eastAsia="en-CA"/>
              </w:rPr>
              <w:t xml:space="preserve"> </w:t>
            </w:r>
            <w:r w:rsidRPr="00635340">
              <w:rPr>
                <w:sz w:val="18"/>
                <w:szCs w:val="18"/>
                <w:lang w:val="fr-CA" w:eastAsia="en-CA"/>
              </w:rPr>
              <w:t>212</w:t>
            </w:r>
            <w:r>
              <w:rPr>
                <w:sz w:val="18"/>
                <w:szCs w:val="18"/>
                <w:lang w:val="fr-CA" w:eastAsia="en-CA"/>
              </w:rPr>
              <w:t xml:space="preserve"> </w:t>
            </w:r>
            <w:r w:rsidRPr="00635340">
              <w:rPr>
                <w:sz w:val="18"/>
                <w:szCs w:val="18"/>
                <w:lang w:val="fr-CA" w:eastAsia="en-CA"/>
              </w:rPr>
              <w:t>854</w:t>
            </w:r>
          </w:p>
        </w:tc>
        <w:tc>
          <w:tcPr>
            <w:tcW w:w="1181"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w:t>
            </w:r>
          </w:p>
        </w:tc>
        <w:tc>
          <w:tcPr>
            <w:tcW w:w="1130"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100</w:t>
            </w:r>
          </w:p>
        </w:tc>
      </w:tr>
      <w:tr w:rsidR="00635340" w:rsidRPr="00635340" w:rsidTr="00635340">
        <w:tc>
          <w:tcPr>
            <w:tcW w:w="774" w:type="dxa"/>
            <w:tcBorders>
              <w:top w:val="nil"/>
              <w:left w:val="single" w:sz="4" w:space="0" w:color="auto"/>
              <w:bottom w:val="single" w:sz="4" w:space="0" w:color="auto"/>
              <w:right w:val="single" w:sz="4" w:space="0" w:color="auto"/>
            </w:tcBorders>
            <w:shd w:val="clear" w:color="auto" w:fill="auto"/>
            <w:noWrap/>
            <w:hideMark/>
          </w:tcPr>
          <w:p w:rsidR="00635340" w:rsidRPr="00635340" w:rsidRDefault="00635340" w:rsidP="00635340">
            <w:pPr>
              <w:jc w:val="left"/>
              <w:rPr>
                <w:sz w:val="18"/>
                <w:szCs w:val="18"/>
                <w:lang w:val="fr-CA" w:eastAsia="en-CA"/>
              </w:rPr>
            </w:pPr>
            <w:r w:rsidRPr="00635340">
              <w:rPr>
                <w:sz w:val="18"/>
                <w:szCs w:val="18"/>
                <w:lang w:val="fr-CA" w:eastAsia="en-CA"/>
              </w:rPr>
              <w:t>2002</w:t>
            </w:r>
          </w:p>
        </w:tc>
        <w:tc>
          <w:tcPr>
            <w:tcW w:w="1150"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32</w:t>
            </w:r>
          </w:p>
        </w:tc>
        <w:tc>
          <w:tcPr>
            <w:tcW w:w="1052"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32</w:t>
            </w:r>
          </w:p>
        </w:tc>
        <w:tc>
          <w:tcPr>
            <w:tcW w:w="1159"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100</w:t>
            </w:r>
          </w:p>
        </w:tc>
        <w:tc>
          <w:tcPr>
            <w:tcW w:w="1461"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64</w:t>
            </w:r>
            <w:r>
              <w:rPr>
                <w:sz w:val="18"/>
                <w:szCs w:val="18"/>
                <w:lang w:val="fr-CA" w:eastAsia="en-CA"/>
              </w:rPr>
              <w:t xml:space="preserve"> </w:t>
            </w:r>
            <w:r w:rsidRPr="00635340">
              <w:rPr>
                <w:sz w:val="18"/>
                <w:szCs w:val="18"/>
                <w:lang w:val="fr-CA" w:eastAsia="en-CA"/>
              </w:rPr>
              <w:t>357</w:t>
            </w:r>
            <w:r>
              <w:rPr>
                <w:sz w:val="18"/>
                <w:szCs w:val="18"/>
                <w:lang w:val="fr-CA" w:eastAsia="en-CA"/>
              </w:rPr>
              <w:t xml:space="preserve"> </w:t>
            </w:r>
            <w:r w:rsidRPr="00635340">
              <w:rPr>
                <w:sz w:val="18"/>
                <w:szCs w:val="18"/>
                <w:lang w:val="fr-CA" w:eastAsia="en-CA"/>
              </w:rPr>
              <w:t>778</w:t>
            </w:r>
          </w:p>
        </w:tc>
        <w:tc>
          <w:tcPr>
            <w:tcW w:w="1413"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64</w:t>
            </w:r>
            <w:r>
              <w:rPr>
                <w:sz w:val="18"/>
                <w:szCs w:val="18"/>
                <w:lang w:val="fr-CA" w:eastAsia="en-CA"/>
              </w:rPr>
              <w:t xml:space="preserve"> </w:t>
            </w:r>
            <w:r w:rsidRPr="00635340">
              <w:rPr>
                <w:sz w:val="18"/>
                <w:szCs w:val="18"/>
                <w:lang w:val="fr-CA" w:eastAsia="en-CA"/>
              </w:rPr>
              <w:t>357</w:t>
            </w:r>
            <w:r>
              <w:rPr>
                <w:sz w:val="18"/>
                <w:szCs w:val="18"/>
                <w:lang w:val="fr-CA" w:eastAsia="en-CA"/>
              </w:rPr>
              <w:t xml:space="preserve"> </w:t>
            </w:r>
            <w:r w:rsidRPr="00635340">
              <w:rPr>
                <w:sz w:val="18"/>
                <w:szCs w:val="18"/>
                <w:lang w:val="fr-CA" w:eastAsia="en-CA"/>
              </w:rPr>
              <w:t>778</w:t>
            </w:r>
          </w:p>
        </w:tc>
        <w:tc>
          <w:tcPr>
            <w:tcW w:w="1181"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0</w:t>
            </w:r>
          </w:p>
        </w:tc>
        <w:tc>
          <w:tcPr>
            <w:tcW w:w="1130"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100</w:t>
            </w:r>
          </w:p>
        </w:tc>
      </w:tr>
      <w:tr w:rsidR="00635340" w:rsidRPr="00635340" w:rsidTr="00635340">
        <w:tc>
          <w:tcPr>
            <w:tcW w:w="774" w:type="dxa"/>
            <w:tcBorders>
              <w:top w:val="nil"/>
              <w:left w:val="single" w:sz="4" w:space="0" w:color="auto"/>
              <w:bottom w:val="single" w:sz="4" w:space="0" w:color="auto"/>
              <w:right w:val="single" w:sz="4" w:space="0" w:color="auto"/>
            </w:tcBorders>
            <w:shd w:val="clear" w:color="auto" w:fill="auto"/>
            <w:noWrap/>
            <w:hideMark/>
          </w:tcPr>
          <w:p w:rsidR="00635340" w:rsidRPr="00635340" w:rsidRDefault="00635340" w:rsidP="00635340">
            <w:pPr>
              <w:jc w:val="left"/>
              <w:rPr>
                <w:sz w:val="18"/>
                <w:szCs w:val="18"/>
                <w:lang w:val="fr-CA" w:eastAsia="en-CA"/>
              </w:rPr>
            </w:pPr>
            <w:r w:rsidRPr="00635340">
              <w:rPr>
                <w:sz w:val="18"/>
                <w:szCs w:val="18"/>
                <w:lang w:val="fr-CA" w:eastAsia="en-CA"/>
              </w:rPr>
              <w:t>2003</w:t>
            </w:r>
          </w:p>
        </w:tc>
        <w:tc>
          <w:tcPr>
            <w:tcW w:w="1150"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24</w:t>
            </w:r>
          </w:p>
        </w:tc>
        <w:tc>
          <w:tcPr>
            <w:tcW w:w="1052"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24</w:t>
            </w:r>
          </w:p>
        </w:tc>
        <w:tc>
          <w:tcPr>
            <w:tcW w:w="1159"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100</w:t>
            </w:r>
          </w:p>
        </w:tc>
        <w:tc>
          <w:tcPr>
            <w:tcW w:w="1461"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72</w:t>
            </w:r>
            <w:r>
              <w:rPr>
                <w:sz w:val="18"/>
                <w:szCs w:val="18"/>
                <w:lang w:val="fr-CA" w:eastAsia="en-CA"/>
              </w:rPr>
              <w:t xml:space="preserve"> </w:t>
            </w:r>
            <w:r w:rsidRPr="00635340">
              <w:rPr>
                <w:sz w:val="18"/>
                <w:szCs w:val="18"/>
                <w:lang w:val="fr-CA" w:eastAsia="en-CA"/>
              </w:rPr>
              <w:t>734</w:t>
            </w:r>
            <w:r>
              <w:rPr>
                <w:sz w:val="18"/>
                <w:szCs w:val="18"/>
                <w:lang w:val="fr-CA" w:eastAsia="en-CA"/>
              </w:rPr>
              <w:t xml:space="preserve"> </w:t>
            </w:r>
            <w:r w:rsidRPr="00635340">
              <w:rPr>
                <w:sz w:val="18"/>
                <w:szCs w:val="18"/>
                <w:lang w:val="fr-CA" w:eastAsia="en-CA"/>
              </w:rPr>
              <w:t>119</w:t>
            </w:r>
          </w:p>
        </w:tc>
        <w:tc>
          <w:tcPr>
            <w:tcW w:w="1413"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72</w:t>
            </w:r>
            <w:r>
              <w:rPr>
                <w:sz w:val="18"/>
                <w:szCs w:val="18"/>
                <w:lang w:val="fr-CA" w:eastAsia="en-CA"/>
              </w:rPr>
              <w:t xml:space="preserve"> </w:t>
            </w:r>
            <w:r w:rsidRPr="00635340">
              <w:rPr>
                <w:sz w:val="18"/>
                <w:szCs w:val="18"/>
                <w:lang w:val="fr-CA" w:eastAsia="en-CA"/>
              </w:rPr>
              <w:t>734</w:t>
            </w:r>
            <w:r>
              <w:rPr>
                <w:sz w:val="18"/>
                <w:szCs w:val="18"/>
                <w:lang w:val="fr-CA" w:eastAsia="en-CA"/>
              </w:rPr>
              <w:t xml:space="preserve"> </w:t>
            </w:r>
            <w:r w:rsidRPr="00635340">
              <w:rPr>
                <w:sz w:val="18"/>
                <w:szCs w:val="18"/>
                <w:lang w:val="fr-CA" w:eastAsia="en-CA"/>
              </w:rPr>
              <w:t>119</w:t>
            </w:r>
          </w:p>
        </w:tc>
        <w:tc>
          <w:tcPr>
            <w:tcW w:w="1181"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0</w:t>
            </w:r>
          </w:p>
        </w:tc>
        <w:tc>
          <w:tcPr>
            <w:tcW w:w="1130"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100</w:t>
            </w:r>
          </w:p>
        </w:tc>
      </w:tr>
      <w:tr w:rsidR="00635340" w:rsidRPr="00635340" w:rsidTr="00635340">
        <w:tc>
          <w:tcPr>
            <w:tcW w:w="774" w:type="dxa"/>
            <w:tcBorders>
              <w:top w:val="nil"/>
              <w:left w:val="single" w:sz="4" w:space="0" w:color="auto"/>
              <w:bottom w:val="single" w:sz="4" w:space="0" w:color="auto"/>
              <w:right w:val="single" w:sz="4" w:space="0" w:color="auto"/>
            </w:tcBorders>
            <w:shd w:val="clear" w:color="auto" w:fill="auto"/>
            <w:noWrap/>
            <w:hideMark/>
          </w:tcPr>
          <w:p w:rsidR="00635340" w:rsidRPr="00635340" w:rsidRDefault="00635340" w:rsidP="00635340">
            <w:pPr>
              <w:jc w:val="left"/>
              <w:rPr>
                <w:sz w:val="18"/>
                <w:szCs w:val="18"/>
                <w:lang w:val="fr-CA" w:eastAsia="en-CA"/>
              </w:rPr>
            </w:pPr>
            <w:r w:rsidRPr="00635340">
              <w:rPr>
                <w:sz w:val="18"/>
                <w:szCs w:val="18"/>
                <w:lang w:val="fr-CA" w:eastAsia="en-CA"/>
              </w:rPr>
              <w:t>2004</w:t>
            </w:r>
          </w:p>
        </w:tc>
        <w:tc>
          <w:tcPr>
            <w:tcW w:w="1150"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29</w:t>
            </w:r>
          </w:p>
        </w:tc>
        <w:tc>
          <w:tcPr>
            <w:tcW w:w="1052"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29</w:t>
            </w:r>
          </w:p>
        </w:tc>
        <w:tc>
          <w:tcPr>
            <w:tcW w:w="1159"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100</w:t>
            </w:r>
          </w:p>
        </w:tc>
        <w:tc>
          <w:tcPr>
            <w:tcW w:w="1461"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77</w:t>
            </w:r>
            <w:r>
              <w:rPr>
                <w:sz w:val="18"/>
                <w:szCs w:val="18"/>
                <w:lang w:val="fr-CA" w:eastAsia="en-CA"/>
              </w:rPr>
              <w:t xml:space="preserve"> </w:t>
            </w:r>
            <w:r w:rsidRPr="00635340">
              <w:rPr>
                <w:sz w:val="18"/>
                <w:szCs w:val="18"/>
                <w:lang w:val="fr-CA" w:eastAsia="en-CA"/>
              </w:rPr>
              <w:t>111</w:t>
            </w:r>
            <w:r>
              <w:rPr>
                <w:sz w:val="18"/>
                <w:szCs w:val="18"/>
                <w:lang w:val="fr-CA" w:eastAsia="en-CA"/>
              </w:rPr>
              <w:t xml:space="preserve"> </w:t>
            </w:r>
            <w:r w:rsidRPr="00635340">
              <w:rPr>
                <w:sz w:val="18"/>
                <w:szCs w:val="18"/>
                <w:lang w:val="fr-CA" w:eastAsia="en-CA"/>
              </w:rPr>
              <w:t>770</w:t>
            </w:r>
          </w:p>
        </w:tc>
        <w:tc>
          <w:tcPr>
            <w:tcW w:w="1413"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77</w:t>
            </w:r>
            <w:r>
              <w:rPr>
                <w:sz w:val="18"/>
                <w:szCs w:val="18"/>
                <w:lang w:val="fr-CA" w:eastAsia="en-CA"/>
              </w:rPr>
              <w:t xml:space="preserve"> </w:t>
            </w:r>
            <w:r w:rsidRPr="00635340">
              <w:rPr>
                <w:sz w:val="18"/>
                <w:szCs w:val="18"/>
                <w:lang w:val="fr-CA" w:eastAsia="en-CA"/>
              </w:rPr>
              <w:t>111</w:t>
            </w:r>
            <w:r>
              <w:rPr>
                <w:sz w:val="18"/>
                <w:szCs w:val="18"/>
                <w:lang w:val="fr-CA" w:eastAsia="en-CA"/>
              </w:rPr>
              <w:t xml:space="preserve"> </w:t>
            </w:r>
            <w:r w:rsidRPr="00635340">
              <w:rPr>
                <w:sz w:val="18"/>
                <w:szCs w:val="18"/>
                <w:lang w:val="fr-CA" w:eastAsia="en-CA"/>
              </w:rPr>
              <w:t>770</w:t>
            </w:r>
          </w:p>
        </w:tc>
        <w:tc>
          <w:tcPr>
            <w:tcW w:w="1181"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0</w:t>
            </w:r>
          </w:p>
        </w:tc>
        <w:tc>
          <w:tcPr>
            <w:tcW w:w="1130"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100</w:t>
            </w:r>
          </w:p>
        </w:tc>
      </w:tr>
      <w:tr w:rsidR="00635340" w:rsidRPr="00635340" w:rsidTr="00635340">
        <w:tc>
          <w:tcPr>
            <w:tcW w:w="774" w:type="dxa"/>
            <w:tcBorders>
              <w:top w:val="nil"/>
              <w:left w:val="single" w:sz="4" w:space="0" w:color="auto"/>
              <w:bottom w:val="single" w:sz="4" w:space="0" w:color="auto"/>
              <w:right w:val="single" w:sz="4" w:space="0" w:color="auto"/>
            </w:tcBorders>
            <w:shd w:val="clear" w:color="auto" w:fill="auto"/>
            <w:noWrap/>
            <w:hideMark/>
          </w:tcPr>
          <w:p w:rsidR="00635340" w:rsidRPr="00635340" w:rsidRDefault="00635340" w:rsidP="00635340">
            <w:pPr>
              <w:jc w:val="left"/>
              <w:rPr>
                <w:sz w:val="18"/>
                <w:szCs w:val="18"/>
                <w:lang w:val="fr-CA" w:eastAsia="en-CA"/>
              </w:rPr>
            </w:pPr>
            <w:r w:rsidRPr="00635340">
              <w:rPr>
                <w:sz w:val="18"/>
                <w:szCs w:val="18"/>
                <w:lang w:val="fr-CA" w:eastAsia="en-CA"/>
              </w:rPr>
              <w:t>2005</w:t>
            </w:r>
          </w:p>
        </w:tc>
        <w:tc>
          <w:tcPr>
            <w:tcW w:w="1150"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28</w:t>
            </w:r>
          </w:p>
        </w:tc>
        <w:tc>
          <w:tcPr>
            <w:tcW w:w="1052"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28</w:t>
            </w:r>
          </w:p>
        </w:tc>
        <w:tc>
          <w:tcPr>
            <w:tcW w:w="1159"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100</w:t>
            </w:r>
          </w:p>
        </w:tc>
        <w:tc>
          <w:tcPr>
            <w:tcW w:w="1461"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68</w:t>
            </w:r>
            <w:r>
              <w:rPr>
                <w:sz w:val="18"/>
                <w:szCs w:val="18"/>
                <w:lang w:val="fr-CA" w:eastAsia="en-CA"/>
              </w:rPr>
              <w:t xml:space="preserve"> </w:t>
            </w:r>
            <w:r w:rsidRPr="00635340">
              <w:rPr>
                <w:sz w:val="18"/>
                <w:szCs w:val="18"/>
                <w:lang w:val="fr-CA" w:eastAsia="en-CA"/>
              </w:rPr>
              <w:t>592</w:t>
            </w:r>
            <w:r>
              <w:rPr>
                <w:sz w:val="18"/>
                <w:szCs w:val="18"/>
                <w:lang w:val="fr-CA" w:eastAsia="en-CA"/>
              </w:rPr>
              <w:t xml:space="preserve"> </w:t>
            </w:r>
            <w:r w:rsidRPr="00635340">
              <w:rPr>
                <w:sz w:val="18"/>
                <w:szCs w:val="18"/>
                <w:lang w:val="fr-CA" w:eastAsia="en-CA"/>
              </w:rPr>
              <w:t>865</w:t>
            </w:r>
          </w:p>
        </w:tc>
        <w:tc>
          <w:tcPr>
            <w:tcW w:w="1413"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68</w:t>
            </w:r>
            <w:r>
              <w:rPr>
                <w:sz w:val="18"/>
                <w:szCs w:val="18"/>
                <w:lang w:val="fr-CA" w:eastAsia="en-CA"/>
              </w:rPr>
              <w:t xml:space="preserve"> </w:t>
            </w:r>
            <w:r w:rsidRPr="00635340">
              <w:rPr>
                <w:sz w:val="18"/>
                <w:szCs w:val="18"/>
                <w:lang w:val="fr-CA" w:eastAsia="en-CA"/>
              </w:rPr>
              <w:t>592</w:t>
            </w:r>
            <w:r>
              <w:rPr>
                <w:sz w:val="18"/>
                <w:szCs w:val="18"/>
                <w:lang w:val="fr-CA" w:eastAsia="en-CA"/>
              </w:rPr>
              <w:t xml:space="preserve"> </w:t>
            </w:r>
            <w:r w:rsidRPr="00635340">
              <w:rPr>
                <w:sz w:val="18"/>
                <w:szCs w:val="18"/>
                <w:lang w:val="fr-CA" w:eastAsia="en-CA"/>
              </w:rPr>
              <w:t>865</w:t>
            </w:r>
          </w:p>
        </w:tc>
        <w:tc>
          <w:tcPr>
            <w:tcW w:w="1181"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0</w:t>
            </w:r>
          </w:p>
        </w:tc>
        <w:tc>
          <w:tcPr>
            <w:tcW w:w="1130"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100</w:t>
            </w:r>
          </w:p>
        </w:tc>
      </w:tr>
      <w:tr w:rsidR="00635340" w:rsidRPr="00635340" w:rsidTr="00635340">
        <w:tc>
          <w:tcPr>
            <w:tcW w:w="774" w:type="dxa"/>
            <w:tcBorders>
              <w:top w:val="nil"/>
              <w:left w:val="single" w:sz="4" w:space="0" w:color="auto"/>
              <w:bottom w:val="single" w:sz="4" w:space="0" w:color="auto"/>
              <w:right w:val="single" w:sz="4" w:space="0" w:color="auto"/>
            </w:tcBorders>
            <w:shd w:val="clear" w:color="auto" w:fill="auto"/>
            <w:noWrap/>
            <w:hideMark/>
          </w:tcPr>
          <w:p w:rsidR="00635340" w:rsidRPr="00635340" w:rsidRDefault="00635340" w:rsidP="00635340">
            <w:pPr>
              <w:jc w:val="left"/>
              <w:rPr>
                <w:sz w:val="18"/>
                <w:szCs w:val="18"/>
                <w:lang w:val="fr-CA" w:eastAsia="en-CA"/>
              </w:rPr>
            </w:pPr>
            <w:r w:rsidRPr="00635340">
              <w:rPr>
                <w:sz w:val="18"/>
                <w:szCs w:val="18"/>
                <w:lang w:val="fr-CA" w:eastAsia="en-CA"/>
              </w:rPr>
              <w:t>2006</w:t>
            </w:r>
          </w:p>
        </w:tc>
        <w:tc>
          <w:tcPr>
            <w:tcW w:w="1150"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22</w:t>
            </w:r>
          </w:p>
        </w:tc>
        <w:tc>
          <w:tcPr>
            <w:tcW w:w="1052"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22</w:t>
            </w:r>
          </w:p>
        </w:tc>
        <w:tc>
          <w:tcPr>
            <w:tcW w:w="1159"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100</w:t>
            </w:r>
          </w:p>
        </w:tc>
        <w:tc>
          <w:tcPr>
            <w:tcW w:w="1461"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64</w:t>
            </w:r>
            <w:r>
              <w:rPr>
                <w:sz w:val="18"/>
                <w:szCs w:val="18"/>
                <w:lang w:val="fr-CA" w:eastAsia="en-CA"/>
              </w:rPr>
              <w:t xml:space="preserve"> </w:t>
            </w:r>
            <w:r w:rsidRPr="00635340">
              <w:rPr>
                <w:sz w:val="18"/>
                <w:szCs w:val="18"/>
                <w:lang w:val="fr-CA" w:eastAsia="en-CA"/>
              </w:rPr>
              <w:t>473</w:t>
            </w:r>
            <w:r>
              <w:rPr>
                <w:sz w:val="18"/>
                <w:szCs w:val="18"/>
                <w:lang w:val="fr-CA" w:eastAsia="en-CA"/>
              </w:rPr>
              <w:t xml:space="preserve"> </w:t>
            </w:r>
            <w:r w:rsidRPr="00635340">
              <w:rPr>
                <w:sz w:val="18"/>
                <w:szCs w:val="18"/>
                <w:lang w:val="fr-CA" w:eastAsia="en-CA"/>
              </w:rPr>
              <w:t>260</w:t>
            </w:r>
          </w:p>
        </w:tc>
        <w:tc>
          <w:tcPr>
            <w:tcW w:w="1413"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64</w:t>
            </w:r>
            <w:r>
              <w:rPr>
                <w:sz w:val="18"/>
                <w:szCs w:val="18"/>
                <w:lang w:val="fr-CA" w:eastAsia="en-CA"/>
              </w:rPr>
              <w:t xml:space="preserve"> </w:t>
            </w:r>
            <w:r w:rsidRPr="00635340">
              <w:rPr>
                <w:sz w:val="18"/>
                <w:szCs w:val="18"/>
                <w:lang w:val="fr-CA" w:eastAsia="en-CA"/>
              </w:rPr>
              <w:t>473</w:t>
            </w:r>
            <w:r>
              <w:rPr>
                <w:sz w:val="18"/>
                <w:szCs w:val="18"/>
                <w:lang w:val="fr-CA" w:eastAsia="en-CA"/>
              </w:rPr>
              <w:t xml:space="preserve"> </w:t>
            </w:r>
            <w:r w:rsidRPr="00635340">
              <w:rPr>
                <w:sz w:val="18"/>
                <w:szCs w:val="18"/>
                <w:lang w:val="fr-CA" w:eastAsia="en-CA"/>
              </w:rPr>
              <w:t>260</w:t>
            </w:r>
          </w:p>
        </w:tc>
        <w:tc>
          <w:tcPr>
            <w:tcW w:w="1181"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0</w:t>
            </w:r>
          </w:p>
        </w:tc>
        <w:tc>
          <w:tcPr>
            <w:tcW w:w="1130"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100</w:t>
            </w:r>
          </w:p>
        </w:tc>
      </w:tr>
      <w:tr w:rsidR="00635340" w:rsidRPr="00635340" w:rsidTr="00635340">
        <w:tc>
          <w:tcPr>
            <w:tcW w:w="774" w:type="dxa"/>
            <w:tcBorders>
              <w:top w:val="nil"/>
              <w:left w:val="single" w:sz="4" w:space="0" w:color="auto"/>
              <w:bottom w:val="single" w:sz="4" w:space="0" w:color="auto"/>
              <w:right w:val="single" w:sz="4" w:space="0" w:color="auto"/>
            </w:tcBorders>
            <w:shd w:val="clear" w:color="auto" w:fill="auto"/>
            <w:noWrap/>
            <w:hideMark/>
          </w:tcPr>
          <w:p w:rsidR="00635340" w:rsidRPr="00635340" w:rsidRDefault="00635340" w:rsidP="00635340">
            <w:pPr>
              <w:jc w:val="left"/>
              <w:rPr>
                <w:sz w:val="18"/>
                <w:szCs w:val="18"/>
                <w:lang w:val="fr-CA" w:eastAsia="en-CA"/>
              </w:rPr>
            </w:pPr>
            <w:r w:rsidRPr="00635340">
              <w:rPr>
                <w:sz w:val="18"/>
                <w:szCs w:val="18"/>
                <w:lang w:val="fr-CA" w:eastAsia="en-CA"/>
              </w:rPr>
              <w:t>2007</w:t>
            </w:r>
          </w:p>
        </w:tc>
        <w:tc>
          <w:tcPr>
            <w:tcW w:w="1150"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25</w:t>
            </w:r>
          </w:p>
        </w:tc>
        <w:tc>
          <w:tcPr>
            <w:tcW w:w="1052"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25</w:t>
            </w:r>
          </w:p>
        </w:tc>
        <w:tc>
          <w:tcPr>
            <w:tcW w:w="1159"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100</w:t>
            </w:r>
          </w:p>
        </w:tc>
        <w:tc>
          <w:tcPr>
            <w:tcW w:w="1461"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66</w:t>
            </w:r>
            <w:r>
              <w:rPr>
                <w:sz w:val="18"/>
                <w:szCs w:val="18"/>
                <w:lang w:val="fr-CA" w:eastAsia="en-CA"/>
              </w:rPr>
              <w:t xml:space="preserve"> </w:t>
            </w:r>
            <w:r w:rsidRPr="00635340">
              <w:rPr>
                <w:sz w:val="18"/>
                <w:szCs w:val="18"/>
                <w:lang w:val="fr-CA" w:eastAsia="en-CA"/>
              </w:rPr>
              <w:t>005</w:t>
            </w:r>
            <w:r>
              <w:rPr>
                <w:sz w:val="18"/>
                <w:szCs w:val="18"/>
                <w:lang w:val="fr-CA" w:eastAsia="en-CA"/>
              </w:rPr>
              <w:t xml:space="preserve"> </w:t>
            </w:r>
            <w:r w:rsidRPr="00635340">
              <w:rPr>
                <w:sz w:val="18"/>
                <w:szCs w:val="18"/>
                <w:lang w:val="fr-CA" w:eastAsia="en-CA"/>
              </w:rPr>
              <w:t>270</w:t>
            </w:r>
          </w:p>
        </w:tc>
        <w:tc>
          <w:tcPr>
            <w:tcW w:w="1413"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66</w:t>
            </w:r>
            <w:r>
              <w:rPr>
                <w:sz w:val="18"/>
                <w:szCs w:val="18"/>
                <w:lang w:val="fr-CA" w:eastAsia="en-CA"/>
              </w:rPr>
              <w:t xml:space="preserve"> </w:t>
            </w:r>
            <w:r w:rsidRPr="00635340">
              <w:rPr>
                <w:sz w:val="18"/>
                <w:szCs w:val="18"/>
                <w:lang w:val="fr-CA" w:eastAsia="en-CA"/>
              </w:rPr>
              <w:t>005</w:t>
            </w:r>
            <w:r>
              <w:rPr>
                <w:sz w:val="18"/>
                <w:szCs w:val="18"/>
                <w:lang w:val="fr-CA" w:eastAsia="en-CA"/>
              </w:rPr>
              <w:t xml:space="preserve"> </w:t>
            </w:r>
            <w:r w:rsidRPr="00635340">
              <w:rPr>
                <w:sz w:val="18"/>
                <w:szCs w:val="18"/>
                <w:lang w:val="fr-CA" w:eastAsia="en-CA"/>
              </w:rPr>
              <w:t>270</w:t>
            </w:r>
          </w:p>
        </w:tc>
        <w:tc>
          <w:tcPr>
            <w:tcW w:w="1181"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0</w:t>
            </w:r>
          </w:p>
        </w:tc>
        <w:tc>
          <w:tcPr>
            <w:tcW w:w="1130"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100</w:t>
            </w:r>
          </w:p>
        </w:tc>
      </w:tr>
      <w:tr w:rsidR="00635340" w:rsidRPr="00635340" w:rsidTr="00635340">
        <w:tc>
          <w:tcPr>
            <w:tcW w:w="774" w:type="dxa"/>
            <w:tcBorders>
              <w:top w:val="nil"/>
              <w:left w:val="single" w:sz="4" w:space="0" w:color="auto"/>
              <w:bottom w:val="single" w:sz="4" w:space="0" w:color="auto"/>
              <w:right w:val="single" w:sz="4" w:space="0" w:color="auto"/>
            </w:tcBorders>
            <w:shd w:val="clear" w:color="auto" w:fill="auto"/>
            <w:noWrap/>
            <w:hideMark/>
          </w:tcPr>
          <w:p w:rsidR="00635340" w:rsidRPr="00635340" w:rsidRDefault="00635340" w:rsidP="00635340">
            <w:pPr>
              <w:jc w:val="left"/>
              <w:rPr>
                <w:sz w:val="18"/>
                <w:szCs w:val="18"/>
                <w:lang w:val="fr-CA" w:eastAsia="en-CA"/>
              </w:rPr>
            </w:pPr>
            <w:r w:rsidRPr="00635340">
              <w:rPr>
                <w:sz w:val="18"/>
                <w:szCs w:val="18"/>
                <w:lang w:val="fr-CA" w:eastAsia="en-CA"/>
              </w:rPr>
              <w:t>2008</w:t>
            </w:r>
          </w:p>
        </w:tc>
        <w:tc>
          <w:tcPr>
            <w:tcW w:w="1150"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28</w:t>
            </w:r>
          </w:p>
        </w:tc>
        <w:tc>
          <w:tcPr>
            <w:tcW w:w="1052"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28</w:t>
            </w:r>
          </w:p>
        </w:tc>
        <w:tc>
          <w:tcPr>
            <w:tcW w:w="1159"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100</w:t>
            </w:r>
          </w:p>
        </w:tc>
        <w:tc>
          <w:tcPr>
            <w:tcW w:w="1461"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40</w:t>
            </w:r>
            <w:r>
              <w:rPr>
                <w:sz w:val="18"/>
                <w:szCs w:val="18"/>
                <w:lang w:val="fr-CA" w:eastAsia="en-CA"/>
              </w:rPr>
              <w:t xml:space="preserve"> </w:t>
            </w:r>
            <w:r w:rsidRPr="00635340">
              <w:rPr>
                <w:sz w:val="18"/>
                <w:szCs w:val="18"/>
                <w:lang w:val="fr-CA" w:eastAsia="en-CA"/>
              </w:rPr>
              <w:t>214</w:t>
            </w:r>
            <w:r>
              <w:rPr>
                <w:sz w:val="18"/>
                <w:szCs w:val="18"/>
                <w:lang w:val="fr-CA" w:eastAsia="en-CA"/>
              </w:rPr>
              <w:t xml:space="preserve"> </w:t>
            </w:r>
            <w:r w:rsidRPr="00635340">
              <w:rPr>
                <w:sz w:val="18"/>
                <w:szCs w:val="18"/>
                <w:lang w:val="fr-CA" w:eastAsia="en-CA"/>
              </w:rPr>
              <w:t>774</w:t>
            </w:r>
          </w:p>
        </w:tc>
        <w:tc>
          <w:tcPr>
            <w:tcW w:w="1413"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40</w:t>
            </w:r>
            <w:r>
              <w:rPr>
                <w:sz w:val="18"/>
                <w:szCs w:val="18"/>
                <w:lang w:val="fr-CA" w:eastAsia="en-CA"/>
              </w:rPr>
              <w:t xml:space="preserve"> </w:t>
            </w:r>
            <w:r w:rsidRPr="00635340">
              <w:rPr>
                <w:sz w:val="18"/>
                <w:szCs w:val="18"/>
                <w:lang w:val="fr-CA" w:eastAsia="en-CA"/>
              </w:rPr>
              <w:t>214</w:t>
            </w:r>
            <w:r>
              <w:rPr>
                <w:sz w:val="18"/>
                <w:szCs w:val="18"/>
                <w:lang w:val="fr-CA" w:eastAsia="en-CA"/>
              </w:rPr>
              <w:t xml:space="preserve"> </w:t>
            </w:r>
            <w:r w:rsidRPr="00635340">
              <w:rPr>
                <w:sz w:val="18"/>
                <w:szCs w:val="18"/>
                <w:lang w:val="fr-CA" w:eastAsia="en-CA"/>
              </w:rPr>
              <w:t>774</w:t>
            </w:r>
          </w:p>
        </w:tc>
        <w:tc>
          <w:tcPr>
            <w:tcW w:w="1181"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0</w:t>
            </w:r>
          </w:p>
        </w:tc>
        <w:tc>
          <w:tcPr>
            <w:tcW w:w="1130"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100</w:t>
            </w:r>
          </w:p>
        </w:tc>
      </w:tr>
      <w:tr w:rsidR="00635340" w:rsidRPr="00635340" w:rsidTr="00635340">
        <w:tc>
          <w:tcPr>
            <w:tcW w:w="774" w:type="dxa"/>
            <w:tcBorders>
              <w:top w:val="nil"/>
              <w:left w:val="single" w:sz="4" w:space="0" w:color="auto"/>
              <w:bottom w:val="single" w:sz="4" w:space="0" w:color="auto"/>
              <w:right w:val="single" w:sz="4" w:space="0" w:color="auto"/>
            </w:tcBorders>
            <w:shd w:val="clear" w:color="auto" w:fill="auto"/>
            <w:noWrap/>
            <w:hideMark/>
          </w:tcPr>
          <w:p w:rsidR="00635340" w:rsidRPr="00635340" w:rsidRDefault="00635340" w:rsidP="00635340">
            <w:pPr>
              <w:jc w:val="left"/>
              <w:rPr>
                <w:sz w:val="18"/>
                <w:szCs w:val="18"/>
                <w:lang w:val="fr-CA" w:eastAsia="en-CA"/>
              </w:rPr>
            </w:pPr>
            <w:r w:rsidRPr="00635340">
              <w:rPr>
                <w:sz w:val="18"/>
                <w:szCs w:val="18"/>
                <w:lang w:val="fr-CA" w:eastAsia="en-CA"/>
              </w:rPr>
              <w:t>2009</w:t>
            </w:r>
          </w:p>
        </w:tc>
        <w:tc>
          <w:tcPr>
            <w:tcW w:w="1150"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22</w:t>
            </w:r>
          </w:p>
        </w:tc>
        <w:tc>
          <w:tcPr>
            <w:tcW w:w="1052"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22</w:t>
            </w:r>
          </w:p>
        </w:tc>
        <w:tc>
          <w:tcPr>
            <w:tcW w:w="1159"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100</w:t>
            </w:r>
          </w:p>
        </w:tc>
        <w:tc>
          <w:tcPr>
            <w:tcW w:w="1461"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25</w:t>
            </w:r>
            <w:r>
              <w:rPr>
                <w:sz w:val="18"/>
                <w:szCs w:val="18"/>
                <w:lang w:val="fr-CA" w:eastAsia="en-CA"/>
              </w:rPr>
              <w:t xml:space="preserve"> </w:t>
            </w:r>
            <w:r w:rsidRPr="00635340">
              <w:rPr>
                <w:sz w:val="18"/>
                <w:szCs w:val="18"/>
                <w:lang w:val="fr-CA" w:eastAsia="en-CA"/>
              </w:rPr>
              <w:t>563</w:t>
            </w:r>
            <w:r>
              <w:rPr>
                <w:sz w:val="18"/>
                <w:szCs w:val="18"/>
                <w:lang w:val="fr-CA" w:eastAsia="en-CA"/>
              </w:rPr>
              <w:t xml:space="preserve"> </w:t>
            </w:r>
            <w:r w:rsidRPr="00635340">
              <w:rPr>
                <w:sz w:val="18"/>
                <w:szCs w:val="18"/>
                <w:lang w:val="fr-CA" w:eastAsia="en-CA"/>
              </w:rPr>
              <w:t>461</w:t>
            </w:r>
          </w:p>
        </w:tc>
        <w:tc>
          <w:tcPr>
            <w:tcW w:w="1413"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25</w:t>
            </w:r>
            <w:r>
              <w:rPr>
                <w:sz w:val="18"/>
                <w:szCs w:val="18"/>
                <w:lang w:val="fr-CA" w:eastAsia="en-CA"/>
              </w:rPr>
              <w:t xml:space="preserve"> </w:t>
            </w:r>
            <w:r w:rsidRPr="00635340">
              <w:rPr>
                <w:sz w:val="18"/>
                <w:szCs w:val="18"/>
                <w:lang w:val="fr-CA" w:eastAsia="en-CA"/>
              </w:rPr>
              <w:t>541</w:t>
            </w:r>
            <w:r>
              <w:rPr>
                <w:sz w:val="18"/>
                <w:szCs w:val="18"/>
                <w:lang w:val="fr-CA" w:eastAsia="en-CA"/>
              </w:rPr>
              <w:t xml:space="preserve"> </w:t>
            </w:r>
            <w:r w:rsidRPr="00635340">
              <w:rPr>
                <w:sz w:val="18"/>
                <w:szCs w:val="18"/>
                <w:lang w:val="fr-CA" w:eastAsia="en-CA"/>
              </w:rPr>
              <w:t>662</w:t>
            </w:r>
          </w:p>
        </w:tc>
        <w:tc>
          <w:tcPr>
            <w:tcW w:w="1181"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21</w:t>
            </w:r>
            <w:r>
              <w:rPr>
                <w:sz w:val="18"/>
                <w:szCs w:val="18"/>
                <w:lang w:val="fr-CA" w:eastAsia="en-CA"/>
              </w:rPr>
              <w:t xml:space="preserve"> </w:t>
            </w:r>
            <w:r w:rsidRPr="00635340">
              <w:rPr>
                <w:sz w:val="18"/>
                <w:szCs w:val="18"/>
                <w:lang w:val="fr-CA" w:eastAsia="en-CA"/>
              </w:rPr>
              <w:t>799</w:t>
            </w:r>
          </w:p>
        </w:tc>
        <w:tc>
          <w:tcPr>
            <w:tcW w:w="1130"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100</w:t>
            </w:r>
          </w:p>
        </w:tc>
      </w:tr>
      <w:tr w:rsidR="00635340" w:rsidRPr="00635340" w:rsidTr="00635340">
        <w:tc>
          <w:tcPr>
            <w:tcW w:w="774" w:type="dxa"/>
            <w:tcBorders>
              <w:top w:val="nil"/>
              <w:left w:val="single" w:sz="4" w:space="0" w:color="auto"/>
              <w:bottom w:val="single" w:sz="4" w:space="0" w:color="auto"/>
              <w:right w:val="single" w:sz="4" w:space="0" w:color="auto"/>
            </w:tcBorders>
            <w:shd w:val="clear" w:color="auto" w:fill="auto"/>
            <w:noWrap/>
            <w:hideMark/>
          </w:tcPr>
          <w:p w:rsidR="00635340" w:rsidRPr="00635340" w:rsidRDefault="00635340" w:rsidP="00635340">
            <w:pPr>
              <w:jc w:val="left"/>
              <w:rPr>
                <w:sz w:val="18"/>
                <w:szCs w:val="18"/>
                <w:lang w:val="fr-CA" w:eastAsia="en-CA"/>
              </w:rPr>
            </w:pPr>
            <w:r w:rsidRPr="00635340">
              <w:rPr>
                <w:sz w:val="18"/>
                <w:szCs w:val="18"/>
                <w:lang w:val="fr-CA" w:eastAsia="en-CA"/>
              </w:rPr>
              <w:t>2010</w:t>
            </w:r>
          </w:p>
        </w:tc>
        <w:tc>
          <w:tcPr>
            <w:tcW w:w="1150"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16</w:t>
            </w:r>
          </w:p>
        </w:tc>
        <w:tc>
          <w:tcPr>
            <w:tcW w:w="1052"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16</w:t>
            </w:r>
          </w:p>
        </w:tc>
        <w:tc>
          <w:tcPr>
            <w:tcW w:w="1159"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100</w:t>
            </w:r>
          </w:p>
        </w:tc>
        <w:tc>
          <w:tcPr>
            <w:tcW w:w="1461"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w:t>
            </w:r>
            <w:r>
              <w:rPr>
                <w:sz w:val="18"/>
                <w:szCs w:val="18"/>
                <w:lang w:val="fr-CA" w:eastAsia="en-CA"/>
              </w:rPr>
              <w:t xml:space="preserve"> </w:t>
            </w:r>
            <w:r w:rsidRPr="00635340">
              <w:rPr>
                <w:sz w:val="18"/>
                <w:szCs w:val="18"/>
                <w:lang w:val="fr-CA" w:eastAsia="en-CA"/>
              </w:rPr>
              <w:t>148</w:t>
            </w:r>
            <w:r>
              <w:rPr>
                <w:sz w:val="18"/>
                <w:szCs w:val="18"/>
                <w:lang w:val="fr-CA" w:eastAsia="en-CA"/>
              </w:rPr>
              <w:t xml:space="preserve"> </w:t>
            </w:r>
            <w:r w:rsidRPr="00635340">
              <w:rPr>
                <w:sz w:val="18"/>
                <w:szCs w:val="18"/>
                <w:lang w:val="fr-CA" w:eastAsia="en-CA"/>
              </w:rPr>
              <w:t>623</w:t>
            </w:r>
          </w:p>
        </w:tc>
        <w:tc>
          <w:tcPr>
            <w:tcW w:w="1413"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w:t>
            </w:r>
            <w:r>
              <w:rPr>
                <w:sz w:val="18"/>
                <w:szCs w:val="18"/>
                <w:lang w:val="fr-CA" w:eastAsia="en-CA"/>
              </w:rPr>
              <w:t xml:space="preserve"> </w:t>
            </w:r>
            <w:r w:rsidRPr="00635340">
              <w:rPr>
                <w:sz w:val="18"/>
                <w:szCs w:val="18"/>
                <w:lang w:val="fr-CA" w:eastAsia="en-CA"/>
              </w:rPr>
              <w:t>148</w:t>
            </w:r>
            <w:r>
              <w:rPr>
                <w:sz w:val="18"/>
                <w:szCs w:val="18"/>
                <w:lang w:val="fr-CA" w:eastAsia="en-CA"/>
              </w:rPr>
              <w:t xml:space="preserve"> </w:t>
            </w:r>
            <w:r w:rsidRPr="00635340">
              <w:rPr>
                <w:sz w:val="18"/>
                <w:szCs w:val="18"/>
                <w:lang w:val="fr-CA" w:eastAsia="en-CA"/>
              </w:rPr>
              <w:t>623</w:t>
            </w:r>
          </w:p>
        </w:tc>
        <w:tc>
          <w:tcPr>
            <w:tcW w:w="1181"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0</w:t>
            </w:r>
          </w:p>
        </w:tc>
        <w:tc>
          <w:tcPr>
            <w:tcW w:w="1130"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100</w:t>
            </w:r>
          </w:p>
        </w:tc>
      </w:tr>
      <w:tr w:rsidR="00635340" w:rsidRPr="00635340" w:rsidTr="00635340">
        <w:tc>
          <w:tcPr>
            <w:tcW w:w="774" w:type="dxa"/>
            <w:tcBorders>
              <w:top w:val="nil"/>
              <w:left w:val="single" w:sz="4" w:space="0" w:color="auto"/>
              <w:bottom w:val="single" w:sz="4" w:space="0" w:color="auto"/>
              <w:right w:val="single" w:sz="4" w:space="0" w:color="auto"/>
            </w:tcBorders>
            <w:shd w:val="clear" w:color="auto" w:fill="auto"/>
            <w:noWrap/>
            <w:hideMark/>
          </w:tcPr>
          <w:p w:rsidR="00635340" w:rsidRPr="00635340" w:rsidRDefault="00635340" w:rsidP="00635340">
            <w:pPr>
              <w:jc w:val="left"/>
              <w:rPr>
                <w:sz w:val="18"/>
                <w:szCs w:val="18"/>
                <w:lang w:val="fr-CA" w:eastAsia="en-CA"/>
              </w:rPr>
            </w:pPr>
            <w:r w:rsidRPr="00635340">
              <w:rPr>
                <w:sz w:val="18"/>
                <w:szCs w:val="18"/>
                <w:lang w:val="fr-CA" w:eastAsia="en-CA"/>
              </w:rPr>
              <w:t>2011</w:t>
            </w:r>
          </w:p>
        </w:tc>
        <w:tc>
          <w:tcPr>
            <w:tcW w:w="1150"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10</w:t>
            </w:r>
          </w:p>
        </w:tc>
        <w:tc>
          <w:tcPr>
            <w:tcW w:w="1052"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7</w:t>
            </w:r>
          </w:p>
        </w:tc>
        <w:tc>
          <w:tcPr>
            <w:tcW w:w="1159"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70</w:t>
            </w:r>
          </w:p>
        </w:tc>
        <w:tc>
          <w:tcPr>
            <w:tcW w:w="1461"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44</w:t>
            </w:r>
            <w:r>
              <w:rPr>
                <w:sz w:val="18"/>
                <w:szCs w:val="18"/>
                <w:lang w:val="fr-CA" w:eastAsia="en-CA"/>
              </w:rPr>
              <w:t xml:space="preserve"> </w:t>
            </w:r>
            <w:r w:rsidRPr="00635340">
              <w:rPr>
                <w:sz w:val="18"/>
                <w:szCs w:val="18"/>
                <w:lang w:val="fr-CA" w:eastAsia="en-CA"/>
              </w:rPr>
              <w:t>668</w:t>
            </w:r>
            <w:r>
              <w:rPr>
                <w:sz w:val="18"/>
                <w:szCs w:val="18"/>
                <w:lang w:val="fr-CA" w:eastAsia="en-CA"/>
              </w:rPr>
              <w:t xml:space="preserve"> </w:t>
            </w:r>
            <w:r w:rsidRPr="00635340">
              <w:rPr>
                <w:sz w:val="18"/>
                <w:szCs w:val="18"/>
                <w:lang w:val="fr-CA" w:eastAsia="en-CA"/>
              </w:rPr>
              <w:t>997</w:t>
            </w:r>
          </w:p>
        </w:tc>
        <w:tc>
          <w:tcPr>
            <w:tcW w:w="1413"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44</w:t>
            </w:r>
            <w:r>
              <w:rPr>
                <w:sz w:val="18"/>
                <w:szCs w:val="18"/>
                <w:lang w:val="fr-CA" w:eastAsia="en-CA"/>
              </w:rPr>
              <w:t xml:space="preserve"> </w:t>
            </w:r>
            <w:r w:rsidRPr="00635340">
              <w:rPr>
                <w:sz w:val="18"/>
                <w:szCs w:val="18"/>
                <w:lang w:val="fr-CA" w:eastAsia="en-CA"/>
              </w:rPr>
              <w:t>182</w:t>
            </w:r>
            <w:r>
              <w:rPr>
                <w:sz w:val="18"/>
                <w:szCs w:val="18"/>
                <w:lang w:val="fr-CA" w:eastAsia="en-CA"/>
              </w:rPr>
              <w:t xml:space="preserve"> </w:t>
            </w:r>
            <w:r w:rsidRPr="00635340">
              <w:rPr>
                <w:sz w:val="18"/>
                <w:szCs w:val="18"/>
                <w:lang w:val="fr-CA" w:eastAsia="en-CA"/>
              </w:rPr>
              <w:t>659</w:t>
            </w:r>
          </w:p>
        </w:tc>
        <w:tc>
          <w:tcPr>
            <w:tcW w:w="1181"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486</w:t>
            </w:r>
            <w:r>
              <w:rPr>
                <w:sz w:val="18"/>
                <w:szCs w:val="18"/>
                <w:lang w:val="fr-CA" w:eastAsia="en-CA"/>
              </w:rPr>
              <w:t xml:space="preserve"> </w:t>
            </w:r>
            <w:r w:rsidRPr="00635340">
              <w:rPr>
                <w:sz w:val="18"/>
                <w:szCs w:val="18"/>
                <w:lang w:val="fr-CA" w:eastAsia="en-CA"/>
              </w:rPr>
              <w:t>338</w:t>
            </w:r>
          </w:p>
        </w:tc>
        <w:tc>
          <w:tcPr>
            <w:tcW w:w="1130"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99</w:t>
            </w:r>
          </w:p>
        </w:tc>
      </w:tr>
      <w:tr w:rsidR="00635340" w:rsidRPr="00635340" w:rsidTr="00635340">
        <w:tc>
          <w:tcPr>
            <w:tcW w:w="774" w:type="dxa"/>
            <w:tcBorders>
              <w:top w:val="nil"/>
              <w:left w:val="single" w:sz="4" w:space="0" w:color="auto"/>
              <w:bottom w:val="single" w:sz="4" w:space="0" w:color="auto"/>
              <w:right w:val="single" w:sz="4" w:space="0" w:color="auto"/>
            </w:tcBorders>
            <w:shd w:val="clear" w:color="auto" w:fill="auto"/>
            <w:noWrap/>
            <w:hideMark/>
          </w:tcPr>
          <w:p w:rsidR="00635340" w:rsidRPr="00635340" w:rsidRDefault="00635340" w:rsidP="00635340">
            <w:pPr>
              <w:jc w:val="left"/>
              <w:rPr>
                <w:sz w:val="18"/>
                <w:szCs w:val="18"/>
                <w:lang w:val="fr-CA" w:eastAsia="en-CA"/>
              </w:rPr>
            </w:pPr>
            <w:r w:rsidRPr="00635340">
              <w:rPr>
                <w:sz w:val="18"/>
                <w:szCs w:val="18"/>
                <w:lang w:val="fr-CA" w:eastAsia="en-CA"/>
              </w:rPr>
              <w:t>2012</w:t>
            </w:r>
          </w:p>
        </w:tc>
        <w:tc>
          <w:tcPr>
            <w:tcW w:w="1150"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10</w:t>
            </w:r>
          </w:p>
        </w:tc>
        <w:tc>
          <w:tcPr>
            <w:tcW w:w="1052"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9</w:t>
            </w:r>
          </w:p>
        </w:tc>
        <w:tc>
          <w:tcPr>
            <w:tcW w:w="1159"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90</w:t>
            </w:r>
          </w:p>
        </w:tc>
        <w:tc>
          <w:tcPr>
            <w:tcW w:w="1461"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11</w:t>
            </w:r>
            <w:r>
              <w:rPr>
                <w:sz w:val="18"/>
                <w:szCs w:val="18"/>
                <w:lang w:val="fr-CA" w:eastAsia="en-CA"/>
              </w:rPr>
              <w:t xml:space="preserve"> </w:t>
            </w:r>
            <w:r w:rsidRPr="00635340">
              <w:rPr>
                <w:sz w:val="18"/>
                <w:szCs w:val="18"/>
                <w:lang w:val="fr-CA" w:eastAsia="en-CA"/>
              </w:rPr>
              <w:t>745</w:t>
            </w:r>
            <w:r>
              <w:rPr>
                <w:sz w:val="18"/>
                <w:szCs w:val="18"/>
                <w:lang w:val="fr-CA" w:eastAsia="en-CA"/>
              </w:rPr>
              <w:t xml:space="preserve"> </w:t>
            </w:r>
            <w:r w:rsidRPr="00635340">
              <w:rPr>
                <w:sz w:val="18"/>
                <w:szCs w:val="18"/>
                <w:lang w:val="fr-CA" w:eastAsia="en-CA"/>
              </w:rPr>
              <w:t>779</w:t>
            </w:r>
          </w:p>
        </w:tc>
        <w:tc>
          <w:tcPr>
            <w:tcW w:w="1413"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11</w:t>
            </w:r>
            <w:r>
              <w:rPr>
                <w:sz w:val="18"/>
                <w:szCs w:val="18"/>
                <w:lang w:val="fr-CA" w:eastAsia="en-CA"/>
              </w:rPr>
              <w:t xml:space="preserve"> </w:t>
            </w:r>
            <w:r w:rsidRPr="00635340">
              <w:rPr>
                <w:sz w:val="18"/>
                <w:szCs w:val="18"/>
                <w:lang w:val="fr-CA" w:eastAsia="en-CA"/>
              </w:rPr>
              <w:t>698</w:t>
            </w:r>
            <w:r>
              <w:rPr>
                <w:sz w:val="18"/>
                <w:szCs w:val="18"/>
                <w:lang w:val="fr-CA" w:eastAsia="en-CA"/>
              </w:rPr>
              <w:t xml:space="preserve"> </w:t>
            </w:r>
            <w:r w:rsidRPr="00635340">
              <w:rPr>
                <w:sz w:val="18"/>
                <w:szCs w:val="18"/>
                <w:lang w:val="fr-CA" w:eastAsia="en-CA"/>
              </w:rPr>
              <w:t>145</w:t>
            </w:r>
          </w:p>
        </w:tc>
        <w:tc>
          <w:tcPr>
            <w:tcW w:w="1181"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47</w:t>
            </w:r>
            <w:r>
              <w:rPr>
                <w:sz w:val="18"/>
                <w:szCs w:val="18"/>
                <w:lang w:val="fr-CA" w:eastAsia="en-CA"/>
              </w:rPr>
              <w:t xml:space="preserve"> </w:t>
            </w:r>
            <w:r w:rsidRPr="00635340">
              <w:rPr>
                <w:sz w:val="18"/>
                <w:szCs w:val="18"/>
                <w:lang w:val="fr-CA" w:eastAsia="en-CA"/>
              </w:rPr>
              <w:t>634</w:t>
            </w:r>
          </w:p>
        </w:tc>
        <w:tc>
          <w:tcPr>
            <w:tcW w:w="1130"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100</w:t>
            </w:r>
          </w:p>
        </w:tc>
      </w:tr>
      <w:tr w:rsidR="00635340" w:rsidRPr="00635340" w:rsidTr="00635340">
        <w:tc>
          <w:tcPr>
            <w:tcW w:w="774" w:type="dxa"/>
            <w:tcBorders>
              <w:top w:val="nil"/>
              <w:left w:val="single" w:sz="4" w:space="0" w:color="auto"/>
              <w:bottom w:val="single" w:sz="4" w:space="0" w:color="auto"/>
              <w:right w:val="single" w:sz="4" w:space="0" w:color="auto"/>
            </w:tcBorders>
            <w:shd w:val="clear" w:color="auto" w:fill="auto"/>
            <w:noWrap/>
            <w:hideMark/>
          </w:tcPr>
          <w:p w:rsidR="00635340" w:rsidRPr="00635340" w:rsidRDefault="00635340" w:rsidP="00635340">
            <w:pPr>
              <w:jc w:val="left"/>
              <w:rPr>
                <w:sz w:val="18"/>
                <w:szCs w:val="18"/>
                <w:lang w:val="fr-CA" w:eastAsia="en-CA"/>
              </w:rPr>
            </w:pPr>
            <w:r w:rsidRPr="00635340">
              <w:rPr>
                <w:sz w:val="18"/>
                <w:szCs w:val="18"/>
                <w:lang w:val="fr-CA" w:eastAsia="en-CA"/>
              </w:rPr>
              <w:t>2013</w:t>
            </w:r>
          </w:p>
        </w:tc>
        <w:tc>
          <w:tcPr>
            <w:tcW w:w="1150"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7</w:t>
            </w:r>
          </w:p>
        </w:tc>
        <w:tc>
          <w:tcPr>
            <w:tcW w:w="1052"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5</w:t>
            </w:r>
          </w:p>
        </w:tc>
        <w:tc>
          <w:tcPr>
            <w:tcW w:w="1159"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71</w:t>
            </w:r>
          </w:p>
        </w:tc>
        <w:tc>
          <w:tcPr>
            <w:tcW w:w="1461"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43</w:t>
            </w:r>
            <w:r>
              <w:rPr>
                <w:sz w:val="18"/>
                <w:szCs w:val="18"/>
                <w:lang w:val="fr-CA" w:eastAsia="en-CA"/>
              </w:rPr>
              <w:t xml:space="preserve"> </w:t>
            </w:r>
            <w:r w:rsidRPr="00635340">
              <w:rPr>
                <w:sz w:val="18"/>
                <w:szCs w:val="18"/>
                <w:lang w:val="fr-CA" w:eastAsia="en-CA"/>
              </w:rPr>
              <w:t>650</w:t>
            </w:r>
            <w:r>
              <w:rPr>
                <w:sz w:val="18"/>
                <w:szCs w:val="18"/>
                <w:lang w:val="fr-CA" w:eastAsia="en-CA"/>
              </w:rPr>
              <w:t xml:space="preserve"> </w:t>
            </w:r>
            <w:r w:rsidRPr="00635340">
              <w:rPr>
                <w:sz w:val="18"/>
                <w:szCs w:val="18"/>
                <w:lang w:val="fr-CA" w:eastAsia="en-CA"/>
              </w:rPr>
              <w:t>189</w:t>
            </w:r>
          </w:p>
        </w:tc>
        <w:tc>
          <w:tcPr>
            <w:tcW w:w="1413"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43</w:t>
            </w:r>
            <w:r>
              <w:rPr>
                <w:sz w:val="18"/>
                <w:szCs w:val="18"/>
                <w:lang w:val="fr-CA" w:eastAsia="en-CA"/>
              </w:rPr>
              <w:t xml:space="preserve"> </w:t>
            </w:r>
            <w:r w:rsidRPr="00635340">
              <w:rPr>
                <w:sz w:val="18"/>
                <w:szCs w:val="18"/>
                <w:lang w:val="fr-CA" w:eastAsia="en-CA"/>
              </w:rPr>
              <w:t>581</w:t>
            </w:r>
            <w:r>
              <w:rPr>
                <w:sz w:val="18"/>
                <w:szCs w:val="18"/>
                <w:lang w:val="fr-CA" w:eastAsia="en-CA"/>
              </w:rPr>
              <w:t xml:space="preserve"> </w:t>
            </w:r>
            <w:r w:rsidRPr="00635340">
              <w:rPr>
                <w:sz w:val="18"/>
                <w:szCs w:val="18"/>
                <w:lang w:val="fr-CA" w:eastAsia="en-CA"/>
              </w:rPr>
              <w:t>582</w:t>
            </w:r>
          </w:p>
        </w:tc>
        <w:tc>
          <w:tcPr>
            <w:tcW w:w="1181"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68</w:t>
            </w:r>
            <w:r>
              <w:rPr>
                <w:sz w:val="18"/>
                <w:szCs w:val="18"/>
                <w:lang w:val="fr-CA" w:eastAsia="en-CA"/>
              </w:rPr>
              <w:t xml:space="preserve"> </w:t>
            </w:r>
            <w:r w:rsidRPr="00635340">
              <w:rPr>
                <w:sz w:val="18"/>
                <w:szCs w:val="18"/>
                <w:lang w:val="fr-CA" w:eastAsia="en-CA"/>
              </w:rPr>
              <w:t>607</w:t>
            </w:r>
          </w:p>
        </w:tc>
        <w:tc>
          <w:tcPr>
            <w:tcW w:w="1130"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100</w:t>
            </w:r>
          </w:p>
        </w:tc>
      </w:tr>
      <w:tr w:rsidR="00635340" w:rsidRPr="00635340" w:rsidTr="00635340">
        <w:tc>
          <w:tcPr>
            <w:tcW w:w="774" w:type="dxa"/>
            <w:tcBorders>
              <w:top w:val="nil"/>
              <w:left w:val="single" w:sz="4" w:space="0" w:color="auto"/>
              <w:bottom w:val="single" w:sz="4" w:space="0" w:color="auto"/>
              <w:right w:val="single" w:sz="4" w:space="0" w:color="auto"/>
            </w:tcBorders>
            <w:shd w:val="clear" w:color="auto" w:fill="auto"/>
            <w:noWrap/>
            <w:hideMark/>
          </w:tcPr>
          <w:p w:rsidR="00635340" w:rsidRPr="00635340" w:rsidRDefault="00635340" w:rsidP="00635340">
            <w:pPr>
              <w:jc w:val="left"/>
              <w:rPr>
                <w:sz w:val="18"/>
                <w:szCs w:val="18"/>
                <w:lang w:val="fr-CA" w:eastAsia="en-CA"/>
              </w:rPr>
            </w:pPr>
            <w:r w:rsidRPr="00635340">
              <w:rPr>
                <w:sz w:val="18"/>
                <w:szCs w:val="18"/>
                <w:lang w:val="fr-CA" w:eastAsia="en-CA"/>
              </w:rPr>
              <w:t>2014</w:t>
            </w:r>
          </w:p>
        </w:tc>
        <w:tc>
          <w:tcPr>
            <w:tcW w:w="1150"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13</w:t>
            </w:r>
          </w:p>
        </w:tc>
        <w:tc>
          <w:tcPr>
            <w:tcW w:w="1052"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12</w:t>
            </w:r>
          </w:p>
        </w:tc>
        <w:tc>
          <w:tcPr>
            <w:tcW w:w="1159"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92</w:t>
            </w:r>
          </w:p>
        </w:tc>
        <w:tc>
          <w:tcPr>
            <w:tcW w:w="1461"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28</w:t>
            </w:r>
            <w:r>
              <w:rPr>
                <w:sz w:val="18"/>
                <w:szCs w:val="18"/>
                <w:lang w:val="fr-CA" w:eastAsia="en-CA"/>
              </w:rPr>
              <w:t xml:space="preserve"> </w:t>
            </w:r>
            <w:r w:rsidRPr="00635340">
              <w:rPr>
                <w:sz w:val="18"/>
                <w:szCs w:val="18"/>
                <w:lang w:val="fr-CA" w:eastAsia="en-CA"/>
              </w:rPr>
              <w:t>346</w:t>
            </w:r>
            <w:r>
              <w:rPr>
                <w:sz w:val="18"/>
                <w:szCs w:val="18"/>
                <w:lang w:val="fr-CA" w:eastAsia="en-CA"/>
              </w:rPr>
              <w:t xml:space="preserve"> </w:t>
            </w:r>
            <w:r w:rsidRPr="00635340">
              <w:rPr>
                <w:sz w:val="18"/>
                <w:szCs w:val="18"/>
                <w:lang w:val="fr-CA" w:eastAsia="en-CA"/>
              </w:rPr>
              <w:t>333</w:t>
            </w:r>
          </w:p>
        </w:tc>
        <w:tc>
          <w:tcPr>
            <w:tcW w:w="1413"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28</w:t>
            </w:r>
            <w:r>
              <w:rPr>
                <w:sz w:val="18"/>
                <w:szCs w:val="18"/>
                <w:lang w:val="fr-CA" w:eastAsia="en-CA"/>
              </w:rPr>
              <w:t xml:space="preserve"> </w:t>
            </w:r>
            <w:r w:rsidRPr="00635340">
              <w:rPr>
                <w:sz w:val="18"/>
                <w:szCs w:val="18"/>
                <w:lang w:val="fr-CA" w:eastAsia="en-CA"/>
              </w:rPr>
              <w:t>346</w:t>
            </w:r>
            <w:r>
              <w:rPr>
                <w:sz w:val="18"/>
                <w:szCs w:val="18"/>
                <w:lang w:val="fr-CA" w:eastAsia="en-CA"/>
              </w:rPr>
              <w:t xml:space="preserve"> </w:t>
            </w:r>
            <w:r w:rsidRPr="00635340">
              <w:rPr>
                <w:sz w:val="18"/>
                <w:szCs w:val="18"/>
                <w:lang w:val="fr-CA" w:eastAsia="en-CA"/>
              </w:rPr>
              <w:t>333</w:t>
            </w:r>
          </w:p>
        </w:tc>
        <w:tc>
          <w:tcPr>
            <w:tcW w:w="1181"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0</w:t>
            </w:r>
          </w:p>
        </w:tc>
        <w:tc>
          <w:tcPr>
            <w:tcW w:w="1130"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100</w:t>
            </w:r>
          </w:p>
        </w:tc>
      </w:tr>
      <w:tr w:rsidR="00635340" w:rsidRPr="00635340" w:rsidTr="00635340">
        <w:tc>
          <w:tcPr>
            <w:tcW w:w="774" w:type="dxa"/>
            <w:tcBorders>
              <w:top w:val="nil"/>
              <w:left w:val="single" w:sz="4" w:space="0" w:color="auto"/>
              <w:bottom w:val="single" w:sz="4" w:space="0" w:color="auto"/>
              <w:right w:val="single" w:sz="4" w:space="0" w:color="auto"/>
            </w:tcBorders>
            <w:shd w:val="clear" w:color="auto" w:fill="auto"/>
            <w:noWrap/>
            <w:hideMark/>
          </w:tcPr>
          <w:p w:rsidR="00635340" w:rsidRPr="00635340" w:rsidRDefault="00635340" w:rsidP="00635340">
            <w:pPr>
              <w:jc w:val="left"/>
              <w:rPr>
                <w:sz w:val="18"/>
                <w:szCs w:val="18"/>
                <w:lang w:val="fr-CA" w:eastAsia="en-CA"/>
              </w:rPr>
            </w:pPr>
            <w:r w:rsidRPr="00635340">
              <w:rPr>
                <w:sz w:val="18"/>
                <w:szCs w:val="18"/>
                <w:lang w:val="fr-CA" w:eastAsia="en-CA"/>
              </w:rPr>
              <w:t>2015</w:t>
            </w:r>
          </w:p>
        </w:tc>
        <w:tc>
          <w:tcPr>
            <w:tcW w:w="1150"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13</w:t>
            </w:r>
          </w:p>
        </w:tc>
        <w:tc>
          <w:tcPr>
            <w:tcW w:w="1052"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11</w:t>
            </w:r>
          </w:p>
        </w:tc>
        <w:tc>
          <w:tcPr>
            <w:tcW w:w="1159"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85</w:t>
            </w:r>
          </w:p>
        </w:tc>
        <w:tc>
          <w:tcPr>
            <w:tcW w:w="1461"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69</w:t>
            </w:r>
            <w:r>
              <w:rPr>
                <w:sz w:val="18"/>
                <w:szCs w:val="18"/>
                <w:lang w:val="fr-CA" w:eastAsia="en-CA"/>
              </w:rPr>
              <w:t xml:space="preserve"> </w:t>
            </w:r>
            <w:r w:rsidRPr="00635340">
              <w:rPr>
                <w:sz w:val="18"/>
                <w:szCs w:val="18"/>
                <w:lang w:val="fr-CA" w:eastAsia="en-CA"/>
              </w:rPr>
              <w:t>350</w:t>
            </w:r>
            <w:r>
              <w:rPr>
                <w:sz w:val="18"/>
                <w:szCs w:val="18"/>
                <w:lang w:val="fr-CA" w:eastAsia="en-CA"/>
              </w:rPr>
              <w:t xml:space="preserve"> </w:t>
            </w:r>
            <w:r w:rsidRPr="00635340">
              <w:rPr>
                <w:sz w:val="18"/>
                <w:szCs w:val="18"/>
                <w:lang w:val="fr-CA" w:eastAsia="en-CA"/>
              </w:rPr>
              <w:t>804</w:t>
            </w:r>
          </w:p>
        </w:tc>
        <w:tc>
          <w:tcPr>
            <w:tcW w:w="1413"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69</w:t>
            </w:r>
            <w:r>
              <w:rPr>
                <w:sz w:val="18"/>
                <w:szCs w:val="18"/>
                <w:lang w:val="fr-CA" w:eastAsia="en-CA"/>
              </w:rPr>
              <w:t xml:space="preserve"> </w:t>
            </w:r>
            <w:r w:rsidRPr="00635340">
              <w:rPr>
                <w:sz w:val="18"/>
                <w:szCs w:val="18"/>
                <w:lang w:val="fr-CA" w:eastAsia="en-CA"/>
              </w:rPr>
              <w:t>344</w:t>
            </w:r>
            <w:r>
              <w:rPr>
                <w:sz w:val="18"/>
                <w:szCs w:val="18"/>
                <w:lang w:val="fr-CA" w:eastAsia="en-CA"/>
              </w:rPr>
              <w:t xml:space="preserve"> </w:t>
            </w:r>
            <w:r w:rsidRPr="00635340">
              <w:rPr>
                <w:sz w:val="18"/>
                <w:szCs w:val="18"/>
                <w:lang w:val="fr-CA" w:eastAsia="en-CA"/>
              </w:rPr>
              <w:t>529</w:t>
            </w:r>
          </w:p>
        </w:tc>
        <w:tc>
          <w:tcPr>
            <w:tcW w:w="1181"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6</w:t>
            </w:r>
            <w:r>
              <w:rPr>
                <w:sz w:val="18"/>
                <w:szCs w:val="18"/>
                <w:lang w:val="fr-CA" w:eastAsia="en-CA"/>
              </w:rPr>
              <w:t xml:space="preserve"> </w:t>
            </w:r>
            <w:r w:rsidRPr="00635340">
              <w:rPr>
                <w:sz w:val="18"/>
                <w:szCs w:val="18"/>
                <w:lang w:val="fr-CA" w:eastAsia="en-CA"/>
              </w:rPr>
              <w:t>275</w:t>
            </w:r>
          </w:p>
        </w:tc>
        <w:tc>
          <w:tcPr>
            <w:tcW w:w="1130"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100</w:t>
            </w:r>
          </w:p>
        </w:tc>
      </w:tr>
      <w:tr w:rsidR="00635340" w:rsidRPr="00635340" w:rsidTr="00635340">
        <w:tc>
          <w:tcPr>
            <w:tcW w:w="774" w:type="dxa"/>
            <w:tcBorders>
              <w:top w:val="nil"/>
              <w:left w:val="single" w:sz="4" w:space="0" w:color="auto"/>
              <w:bottom w:val="single" w:sz="4" w:space="0" w:color="auto"/>
              <w:right w:val="single" w:sz="4" w:space="0" w:color="auto"/>
            </w:tcBorders>
            <w:shd w:val="clear" w:color="auto" w:fill="auto"/>
            <w:noWrap/>
            <w:hideMark/>
          </w:tcPr>
          <w:p w:rsidR="00635340" w:rsidRPr="00635340" w:rsidRDefault="00635340" w:rsidP="00635340">
            <w:pPr>
              <w:jc w:val="left"/>
              <w:rPr>
                <w:sz w:val="18"/>
                <w:szCs w:val="18"/>
                <w:lang w:val="fr-CA" w:eastAsia="en-CA"/>
              </w:rPr>
            </w:pPr>
            <w:r w:rsidRPr="00635340">
              <w:rPr>
                <w:sz w:val="18"/>
                <w:szCs w:val="18"/>
                <w:lang w:val="fr-CA" w:eastAsia="en-CA"/>
              </w:rPr>
              <w:t>2016</w:t>
            </w:r>
          </w:p>
        </w:tc>
        <w:tc>
          <w:tcPr>
            <w:tcW w:w="1150"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18</w:t>
            </w:r>
          </w:p>
        </w:tc>
        <w:tc>
          <w:tcPr>
            <w:tcW w:w="1052"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12</w:t>
            </w:r>
          </w:p>
        </w:tc>
        <w:tc>
          <w:tcPr>
            <w:tcW w:w="1159"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67</w:t>
            </w:r>
          </w:p>
        </w:tc>
        <w:tc>
          <w:tcPr>
            <w:tcW w:w="1461"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12</w:t>
            </w:r>
            <w:r>
              <w:rPr>
                <w:sz w:val="18"/>
                <w:szCs w:val="18"/>
                <w:lang w:val="fr-CA" w:eastAsia="en-CA"/>
              </w:rPr>
              <w:t xml:space="preserve"> </w:t>
            </w:r>
            <w:r w:rsidRPr="00635340">
              <w:rPr>
                <w:sz w:val="18"/>
                <w:szCs w:val="18"/>
                <w:lang w:val="fr-CA" w:eastAsia="en-CA"/>
              </w:rPr>
              <w:t>894</w:t>
            </w:r>
            <w:r>
              <w:rPr>
                <w:sz w:val="18"/>
                <w:szCs w:val="18"/>
                <w:lang w:val="fr-CA" w:eastAsia="en-CA"/>
              </w:rPr>
              <w:t xml:space="preserve"> </w:t>
            </w:r>
            <w:r w:rsidRPr="00635340">
              <w:rPr>
                <w:sz w:val="18"/>
                <w:szCs w:val="18"/>
                <w:lang w:val="fr-CA" w:eastAsia="en-CA"/>
              </w:rPr>
              <w:t>457</w:t>
            </w:r>
          </w:p>
        </w:tc>
        <w:tc>
          <w:tcPr>
            <w:tcW w:w="1413"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4</w:t>
            </w:r>
            <w:r>
              <w:rPr>
                <w:sz w:val="18"/>
                <w:szCs w:val="18"/>
                <w:lang w:val="fr-CA" w:eastAsia="en-CA"/>
              </w:rPr>
              <w:t xml:space="preserve"> </w:t>
            </w:r>
            <w:r w:rsidRPr="00635340">
              <w:rPr>
                <w:sz w:val="18"/>
                <w:szCs w:val="18"/>
                <w:lang w:val="fr-CA" w:eastAsia="en-CA"/>
              </w:rPr>
              <w:t>515</w:t>
            </w:r>
            <w:r>
              <w:rPr>
                <w:sz w:val="18"/>
                <w:szCs w:val="18"/>
                <w:lang w:val="fr-CA" w:eastAsia="en-CA"/>
              </w:rPr>
              <w:t xml:space="preserve"> </w:t>
            </w:r>
            <w:r w:rsidRPr="00635340">
              <w:rPr>
                <w:sz w:val="18"/>
                <w:szCs w:val="18"/>
                <w:lang w:val="fr-CA" w:eastAsia="en-CA"/>
              </w:rPr>
              <w:t>974</w:t>
            </w:r>
          </w:p>
        </w:tc>
        <w:tc>
          <w:tcPr>
            <w:tcW w:w="1181"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8</w:t>
            </w:r>
            <w:r>
              <w:rPr>
                <w:sz w:val="18"/>
                <w:szCs w:val="18"/>
                <w:lang w:val="fr-CA" w:eastAsia="en-CA"/>
              </w:rPr>
              <w:t xml:space="preserve"> </w:t>
            </w:r>
            <w:r w:rsidRPr="00635340">
              <w:rPr>
                <w:sz w:val="18"/>
                <w:szCs w:val="18"/>
                <w:lang w:val="fr-CA" w:eastAsia="en-CA"/>
              </w:rPr>
              <w:t>378</w:t>
            </w:r>
            <w:r>
              <w:rPr>
                <w:sz w:val="18"/>
                <w:szCs w:val="18"/>
                <w:lang w:val="fr-CA" w:eastAsia="en-CA"/>
              </w:rPr>
              <w:t xml:space="preserve"> </w:t>
            </w:r>
            <w:r w:rsidRPr="00635340">
              <w:rPr>
                <w:sz w:val="18"/>
                <w:szCs w:val="18"/>
                <w:lang w:val="fr-CA" w:eastAsia="en-CA"/>
              </w:rPr>
              <w:t>483</w:t>
            </w:r>
          </w:p>
        </w:tc>
        <w:tc>
          <w:tcPr>
            <w:tcW w:w="1130"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35</w:t>
            </w:r>
          </w:p>
        </w:tc>
      </w:tr>
      <w:tr w:rsidR="00635340" w:rsidRPr="00635340" w:rsidTr="00635340">
        <w:tc>
          <w:tcPr>
            <w:tcW w:w="774" w:type="dxa"/>
            <w:tcBorders>
              <w:top w:val="nil"/>
              <w:left w:val="single" w:sz="4" w:space="0" w:color="auto"/>
              <w:bottom w:val="single" w:sz="4" w:space="0" w:color="auto"/>
              <w:right w:val="single" w:sz="4" w:space="0" w:color="auto"/>
            </w:tcBorders>
            <w:shd w:val="clear" w:color="auto" w:fill="auto"/>
            <w:noWrap/>
            <w:hideMark/>
          </w:tcPr>
          <w:p w:rsidR="00635340" w:rsidRPr="00635340" w:rsidRDefault="00635340" w:rsidP="00635340">
            <w:pPr>
              <w:jc w:val="left"/>
              <w:rPr>
                <w:sz w:val="18"/>
                <w:szCs w:val="18"/>
                <w:lang w:val="fr-CA" w:eastAsia="en-CA"/>
              </w:rPr>
            </w:pPr>
            <w:r w:rsidRPr="00635340">
              <w:rPr>
                <w:sz w:val="18"/>
                <w:szCs w:val="18"/>
                <w:lang w:val="fr-CA" w:eastAsia="en-CA"/>
              </w:rPr>
              <w:t>2017</w:t>
            </w:r>
          </w:p>
        </w:tc>
        <w:tc>
          <w:tcPr>
            <w:tcW w:w="1150"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5</w:t>
            </w:r>
          </w:p>
        </w:tc>
        <w:tc>
          <w:tcPr>
            <w:tcW w:w="1052"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3</w:t>
            </w:r>
          </w:p>
        </w:tc>
        <w:tc>
          <w:tcPr>
            <w:tcW w:w="1159"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60</w:t>
            </w:r>
          </w:p>
        </w:tc>
        <w:tc>
          <w:tcPr>
            <w:tcW w:w="1461"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3</w:t>
            </w:r>
            <w:r>
              <w:rPr>
                <w:sz w:val="18"/>
                <w:szCs w:val="18"/>
                <w:lang w:val="fr-CA" w:eastAsia="en-CA"/>
              </w:rPr>
              <w:t xml:space="preserve"> </w:t>
            </w:r>
            <w:r w:rsidRPr="00635340">
              <w:rPr>
                <w:sz w:val="18"/>
                <w:szCs w:val="18"/>
                <w:lang w:val="fr-CA" w:eastAsia="en-CA"/>
              </w:rPr>
              <w:t>673</w:t>
            </w:r>
            <w:r>
              <w:rPr>
                <w:sz w:val="18"/>
                <w:szCs w:val="18"/>
                <w:lang w:val="fr-CA" w:eastAsia="en-CA"/>
              </w:rPr>
              <w:t xml:space="preserve"> </w:t>
            </w:r>
            <w:r w:rsidRPr="00635340">
              <w:rPr>
                <w:sz w:val="18"/>
                <w:szCs w:val="18"/>
                <w:lang w:val="fr-CA" w:eastAsia="en-CA"/>
              </w:rPr>
              <w:t>565</w:t>
            </w:r>
          </w:p>
        </w:tc>
        <w:tc>
          <w:tcPr>
            <w:tcW w:w="1413"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w:t>
            </w:r>
            <w:r>
              <w:rPr>
                <w:sz w:val="18"/>
                <w:szCs w:val="18"/>
                <w:lang w:val="fr-CA" w:eastAsia="en-CA"/>
              </w:rPr>
              <w:t xml:space="preserve"> </w:t>
            </w:r>
            <w:r w:rsidRPr="00635340">
              <w:rPr>
                <w:sz w:val="18"/>
                <w:szCs w:val="18"/>
                <w:lang w:val="fr-CA" w:eastAsia="en-CA"/>
              </w:rPr>
              <w:t>651</w:t>
            </w:r>
            <w:r>
              <w:rPr>
                <w:sz w:val="18"/>
                <w:szCs w:val="18"/>
                <w:lang w:val="fr-CA" w:eastAsia="en-CA"/>
              </w:rPr>
              <w:t xml:space="preserve"> </w:t>
            </w:r>
            <w:r w:rsidRPr="00635340">
              <w:rPr>
                <w:sz w:val="18"/>
                <w:szCs w:val="18"/>
                <w:lang w:val="fr-CA" w:eastAsia="en-CA"/>
              </w:rPr>
              <w:t>291</w:t>
            </w:r>
          </w:p>
        </w:tc>
        <w:tc>
          <w:tcPr>
            <w:tcW w:w="1181"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2</w:t>
            </w:r>
            <w:r>
              <w:rPr>
                <w:sz w:val="18"/>
                <w:szCs w:val="18"/>
                <w:lang w:val="fr-CA" w:eastAsia="en-CA"/>
              </w:rPr>
              <w:t xml:space="preserve"> </w:t>
            </w:r>
            <w:r w:rsidRPr="00635340">
              <w:rPr>
                <w:sz w:val="18"/>
                <w:szCs w:val="18"/>
                <w:lang w:val="fr-CA" w:eastAsia="en-CA"/>
              </w:rPr>
              <w:t>022</w:t>
            </w:r>
            <w:r>
              <w:rPr>
                <w:sz w:val="18"/>
                <w:szCs w:val="18"/>
                <w:lang w:val="fr-CA" w:eastAsia="en-CA"/>
              </w:rPr>
              <w:t xml:space="preserve"> </w:t>
            </w:r>
            <w:r w:rsidRPr="00635340">
              <w:rPr>
                <w:sz w:val="18"/>
                <w:szCs w:val="18"/>
                <w:lang w:val="fr-CA" w:eastAsia="en-CA"/>
              </w:rPr>
              <w:t>274</w:t>
            </w:r>
          </w:p>
        </w:tc>
        <w:tc>
          <w:tcPr>
            <w:tcW w:w="1130"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45</w:t>
            </w:r>
          </w:p>
        </w:tc>
      </w:tr>
      <w:tr w:rsidR="00635340" w:rsidRPr="00635340" w:rsidTr="00635340">
        <w:tc>
          <w:tcPr>
            <w:tcW w:w="774" w:type="dxa"/>
            <w:tcBorders>
              <w:top w:val="nil"/>
              <w:left w:val="single" w:sz="4" w:space="0" w:color="auto"/>
              <w:bottom w:val="single" w:sz="4" w:space="0" w:color="auto"/>
              <w:right w:val="single" w:sz="4" w:space="0" w:color="auto"/>
            </w:tcBorders>
            <w:shd w:val="clear" w:color="auto" w:fill="auto"/>
            <w:noWrap/>
            <w:hideMark/>
          </w:tcPr>
          <w:p w:rsidR="00635340" w:rsidRPr="00635340" w:rsidRDefault="00635340" w:rsidP="00635340">
            <w:pPr>
              <w:jc w:val="left"/>
              <w:rPr>
                <w:sz w:val="18"/>
                <w:szCs w:val="18"/>
                <w:lang w:val="fr-CA" w:eastAsia="en-CA"/>
              </w:rPr>
            </w:pPr>
            <w:r w:rsidRPr="00635340">
              <w:rPr>
                <w:sz w:val="18"/>
                <w:szCs w:val="18"/>
                <w:lang w:val="fr-CA" w:eastAsia="en-CA"/>
              </w:rPr>
              <w:t>2018</w:t>
            </w:r>
          </w:p>
        </w:tc>
        <w:tc>
          <w:tcPr>
            <w:tcW w:w="1150"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7</w:t>
            </w:r>
          </w:p>
        </w:tc>
        <w:tc>
          <w:tcPr>
            <w:tcW w:w="1052"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0</w:t>
            </w:r>
          </w:p>
        </w:tc>
        <w:tc>
          <w:tcPr>
            <w:tcW w:w="1159"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0</w:t>
            </w:r>
          </w:p>
        </w:tc>
        <w:tc>
          <w:tcPr>
            <w:tcW w:w="1461"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26</w:t>
            </w:r>
            <w:r>
              <w:rPr>
                <w:sz w:val="18"/>
                <w:szCs w:val="18"/>
                <w:lang w:val="fr-CA" w:eastAsia="en-CA"/>
              </w:rPr>
              <w:t xml:space="preserve"> </w:t>
            </w:r>
            <w:r w:rsidRPr="00635340">
              <w:rPr>
                <w:sz w:val="18"/>
                <w:szCs w:val="18"/>
                <w:lang w:val="fr-CA" w:eastAsia="en-CA"/>
              </w:rPr>
              <w:t>408</w:t>
            </w:r>
            <w:r>
              <w:rPr>
                <w:sz w:val="18"/>
                <w:szCs w:val="18"/>
                <w:lang w:val="fr-CA" w:eastAsia="en-CA"/>
              </w:rPr>
              <w:t xml:space="preserve"> </w:t>
            </w:r>
            <w:r w:rsidRPr="00635340">
              <w:rPr>
                <w:sz w:val="18"/>
                <w:szCs w:val="18"/>
                <w:lang w:val="fr-CA" w:eastAsia="en-CA"/>
              </w:rPr>
              <w:t>870</w:t>
            </w:r>
          </w:p>
        </w:tc>
        <w:tc>
          <w:tcPr>
            <w:tcW w:w="1413"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292</w:t>
            </w:r>
            <w:r>
              <w:rPr>
                <w:sz w:val="18"/>
                <w:szCs w:val="18"/>
                <w:lang w:val="fr-CA" w:eastAsia="en-CA"/>
              </w:rPr>
              <w:t xml:space="preserve"> </w:t>
            </w:r>
            <w:r w:rsidRPr="00635340">
              <w:rPr>
                <w:sz w:val="18"/>
                <w:szCs w:val="18"/>
                <w:lang w:val="fr-CA" w:eastAsia="en-CA"/>
              </w:rPr>
              <w:t>281</w:t>
            </w:r>
          </w:p>
        </w:tc>
        <w:tc>
          <w:tcPr>
            <w:tcW w:w="1181"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26</w:t>
            </w:r>
            <w:r>
              <w:rPr>
                <w:sz w:val="18"/>
                <w:szCs w:val="18"/>
                <w:lang w:val="fr-CA" w:eastAsia="en-CA"/>
              </w:rPr>
              <w:t xml:space="preserve"> </w:t>
            </w:r>
            <w:r w:rsidRPr="00635340">
              <w:rPr>
                <w:sz w:val="18"/>
                <w:szCs w:val="18"/>
                <w:lang w:val="fr-CA" w:eastAsia="en-CA"/>
              </w:rPr>
              <w:t>116</w:t>
            </w:r>
            <w:r>
              <w:rPr>
                <w:sz w:val="18"/>
                <w:szCs w:val="18"/>
                <w:lang w:val="fr-CA" w:eastAsia="en-CA"/>
              </w:rPr>
              <w:t xml:space="preserve"> </w:t>
            </w:r>
            <w:r w:rsidRPr="00635340">
              <w:rPr>
                <w:sz w:val="18"/>
                <w:szCs w:val="18"/>
                <w:lang w:val="fr-CA" w:eastAsia="en-CA"/>
              </w:rPr>
              <w:t>589</w:t>
            </w:r>
          </w:p>
        </w:tc>
        <w:tc>
          <w:tcPr>
            <w:tcW w:w="1130"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sz w:val="18"/>
                <w:szCs w:val="18"/>
                <w:lang w:val="fr-CA" w:eastAsia="en-CA"/>
              </w:rPr>
            </w:pPr>
            <w:r w:rsidRPr="00635340">
              <w:rPr>
                <w:sz w:val="18"/>
                <w:szCs w:val="18"/>
                <w:lang w:val="fr-CA" w:eastAsia="en-CA"/>
              </w:rPr>
              <w:t>1</w:t>
            </w:r>
          </w:p>
        </w:tc>
      </w:tr>
      <w:tr w:rsidR="00635340" w:rsidRPr="00635340" w:rsidTr="00635340">
        <w:tc>
          <w:tcPr>
            <w:tcW w:w="774" w:type="dxa"/>
            <w:tcBorders>
              <w:top w:val="nil"/>
              <w:left w:val="single" w:sz="4" w:space="0" w:color="auto"/>
              <w:bottom w:val="single" w:sz="4" w:space="0" w:color="auto"/>
              <w:right w:val="single" w:sz="4" w:space="0" w:color="auto"/>
            </w:tcBorders>
            <w:shd w:val="clear" w:color="auto" w:fill="auto"/>
            <w:noWrap/>
            <w:hideMark/>
          </w:tcPr>
          <w:p w:rsidR="00635340" w:rsidRPr="00635340" w:rsidRDefault="00635340" w:rsidP="00635340">
            <w:pPr>
              <w:jc w:val="left"/>
              <w:rPr>
                <w:b/>
                <w:bCs/>
                <w:sz w:val="18"/>
                <w:szCs w:val="18"/>
                <w:lang w:val="fr-CA" w:eastAsia="en-CA"/>
              </w:rPr>
            </w:pPr>
            <w:r w:rsidRPr="00635340">
              <w:rPr>
                <w:b/>
                <w:bCs/>
                <w:sz w:val="18"/>
                <w:szCs w:val="18"/>
                <w:lang w:val="fr-CA" w:eastAsia="en-CA"/>
              </w:rPr>
              <w:t>Total</w:t>
            </w:r>
          </w:p>
        </w:tc>
        <w:tc>
          <w:tcPr>
            <w:tcW w:w="1150"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b/>
                <w:bCs/>
                <w:sz w:val="18"/>
                <w:szCs w:val="18"/>
                <w:lang w:val="fr-CA" w:eastAsia="en-CA"/>
              </w:rPr>
            </w:pPr>
            <w:r w:rsidRPr="00635340">
              <w:rPr>
                <w:b/>
                <w:bCs/>
                <w:sz w:val="18"/>
                <w:szCs w:val="18"/>
                <w:lang w:val="fr-CA" w:eastAsia="en-CA"/>
              </w:rPr>
              <w:t>1,087</w:t>
            </w:r>
          </w:p>
        </w:tc>
        <w:tc>
          <w:tcPr>
            <w:tcW w:w="1052"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b/>
                <w:bCs/>
                <w:sz w:val="18"/>
                <w:szCs w:val="18"/>
                <w:lang w:val="fr-CA" w:eastAsia="en-CA"/>
              </w:rPr>
            </w:pPr>
            <w:r w:rsidRPr="00635340">
              <w:rPr>
                <w:b/>
                <w:bCs/>
                <w:sz w:val="18"/>
                <w:szCs w:val="18"/>
                <w:lang w:val="fr-CA" w:eastAsia="en-CA"/>
              </w:rPr>
              <w:t>1,063</w:t>
            </w:r>
          </w:p>
        </w:tc>
        <w:tc>
          <w:tcPr>
            <w:tcW w:w="1159"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b/>
                <w:bCs/>
                <w:sz w:val="18"/>
                <w:szCs w:val="18"/>
                <w:lang w:val="fr-CA" w:eastAsia="en-CA"/>
              </w:rPr>
            </w:pPr>
            <w:r w:rsidRPr="00635340">
              <w:rPr>
                <w:b/>
                <w:bCs/>
                <w:sz w:val="18"/>
                <w:szCs w:val="18"/>
                <w:lang w:val="fr-CA" w:eastAsia="en-CA"/>
              </w:rPr>
              <w:t>98</w:t>
            </w:r>
          </w:p>
        </w:tc>
        <w:tc>
          <w:tcPr>
            <w:tcW w:w="1461"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b/>
                <w:bCs/>
                <w:sz w:val="18"/>
                <w:szCs w:val="18"/>
                <w:lang w:val="fr-CA" w:eastAsia="en-CA"/>
              </w:rPr>
            </w:pPr>
            <w:r w:rsidRPr="00635340">
              <w:rPr>
                <w:b/>
                <w:bCs/>
                <w:sz w:val="18"/>
                <w:szCs w:val="18"/>
                <w:lang w:val="fr-CA" w:eastAsia="en-CA"/>
              </w:rPr>
              <w:t>1</w:t>
            </w:r>
            <w:r>
              <w:rPr>
                <w:b/>
                <w:bCs/>
                <w:sz w:val="18"/>
                <w:szCs w:val="18"/>
                <w:lang w:val="fr-CA" w:eastAsia="en-CA"/>
              </w:rPr>
              <w:t xml:space="preserve"> </w:t>
            </w:r>
            <w:r w:rsidRPr="00635340">
              <w:rPr>
                <w:b/>
                <w:bCs/>
                <w:sz w:val="18"/>
                <w:szCs w:val="18"/>
                <w:lang w:val="fr-CA" w:eastAsia="en-CA"/>
              </w:rPr>
              <w:t>163</w:t>
            </w:r>
            <w:r>
              <w:rPr>
                <w:b/>
                <w:bCs/>
                <w:sz w:val="18"/>
                <w:szCs w:val="18"/>
                <w:lang w:val="fr-CA" w:eastAsia="en-CA"/>
              </w:rPr>
              <w:t xml:space="preserve"> </w:t>
            </w:r>
            <w:r w:rsidRPr="00635340">
              <w:rPr>
                <w:b/>
                <w:bCs/>
                <w:sz w:val="18"/>
                <w:szCs w:val="18"/>
                <w:lang w:val="fr-CA" w:eastAsia="en-CA"/>
              </w:rPr>
              <w:t>082</w:t>
            </w:r>
            <w:r>
              <w:rPr>
                <w:b/>
                <w:bCs/>
                <w:sz w:val="18"/>
                <w:szCs w:val="18"/>
                <w:lang w:val="fr-CA" w:eastAsia="en-CA"/>
              </w:rPr>
              <w:t xml:space="preserve"> </w:t>
            </w:r>
            <w:r w:rsidRPr="00635340">
              <w:rPr>
                <w:b/>
                <w:bCs/>
                <w:sz w:val="18"/>
                <w:szCs w:val="18"/>
                <w:lang w:val="fr-CA" w:eastAsia="en-CA"/>
              </w:rPr>
              <w:t>006</w:t>
            </w:r>
          </w:p>
        </w:tc>
        <w:tc>
          <w:tcPr>
            <w:tcW w:w="1413"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b/>
                <w:bCs/>
                <w:sz w:val="18"/>
                <w:szCs w:val="18"/>
                <w:lang w:val="fr-CA" w:eastAsia="en-CA"/>
              </w:rPr>
            </w:pPr>
            <w:r w:rsidRPr="00635340">
              <w:rPr>
                <w:b/>
                <w:bCs/>
                <w:sz w:val="18"/>
                <w:szCs w:val="18"/>
                <w:lang w:val="fr-CA" w:eastAsia="en-CA"/>
              </w:rPr>
              <w:t>1</w:t>
            </w:r>
            <w:r>
              <w:rPr>
                <w:b/>
                <w:bCs/>
                <w:sz w:val="18"/>
                <w:szCs w:val="18"/>
                <w:lang w:val="fr-CA" w:eastAsia="en-CA"/>
              </w:rPr>
              <w:t xml:space="preserve"> </w:t>
            </w:r>
            <w:r w:rsidRPr="00635340">
              <w:rPr>
                <w:b/>
                <w:bCs/>
                <w:sz w:val="18"/>
                <w:szCs w:val="18"/>
                <w:lang w:val="fr-CA" w:eastAsia="en-CA"/>
              </w:rPr>
              <w:t>125</w:t>
            </w:r>
            <w:r>
              <w:rPr>
                <w:b/>
                <w:bCs/>
                <w:sz w:val="18"/>
                <w:szCs w:val="18"/>
                <w:lang w:val="fr-CA" w:eastAsia="en-CA"/>
              </w:rPr>
              <w:t xml:space="preserve"> </w:t>
            </w:r>
            <w:r w:rsidRPr="00635340">
              <w:rPr>
                <w:b/>
                <w:bCs/>
                <w:sz w:val="18"/>
                <w:szCs w:val="18"/>
                <w:lang w:val="fr-CA" w:eastAsia="en-CA"/>
              </w:rPr>
              <w:t>934</w:t>
            </w:r>
            <w:r>
              <w:rPr>
                <w:b/>
                <w:bCs/>
                <w:sz w:val="18"/>
                <w:szCs w:val="18"/>
                <w:lang w:val="fr-CA" w:eastAsia="en-CA"/>
              </w:rPr>
              <w:t xml:space="preserve"> </w:t>
            </w:r>
            <w:r w:rsidRPr="00635340">
              <w:rPr>
                <w:b/>
                <w:bCs/>
                <w:sz w:val="18"/>
                <w:szCs w:val="18"/>
                <w:lang w:val="fr-CA" w:eastAsia="en-CA"/>
              </w:rPr>
              <w:t>008</w:t>
            </w:r>
          </w:p>
        </w:tc>
        <w:tc>
          <w:tcPr>
            <w:tcW w:w="1181"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b/>
                <w:bCs/>
                <w:sz w:val="18"/>
                <w:szCs w:val="18"/>
                <w:lang w:val="fr-CA" w:eastAsia="en-CA"/>
              </w:rPr>
            </w:pPr>
            <w:r w:rsidRPr="00635340">
              <w:rPr>
                <w:b/>
                <w:bCs/>
                <w:sz w:val="18"/>
                <w:szCs w:val="18"/>
                <w:lang w:val="fr-CA" w:eastAsia="en-CA"/>
              </w:rPr>
              <w:t>37</w:t>
            </w:r>
            <w:r>
              <w:rPr>
                <w:b/>
                <w:bCs/>
                <w:sz w:val="18"/>
                <w:szCs w:val="18"/>
                <w:lang w:val="fr-CA" w:eastAsia="en-CA"/>
              </w:rPr>
              <w:t xml:space="preserve"> </w:t>
            </w:r>
            <w:r w:rsidRPr="00635340">
              <w:rPr>
                <w:b/>
                <w:bCs/>
                <w:sz w:val="18"/>
                <w:szCs w:val="18"/>
                <w:lang w:val="fr-CA" w:eastAsia="en-CA"/>
              </w:rPr>
              <w:t>147</w:t>
            </w:r>
            <w:r>
              <w:rPr>
                <w:b/>
                <w:bCs/>
                <w:sz w:val="18"/>
                <w:szCs w:val="18"/>
                <w:lang w:val="fr-CA" w:eastAsia="en-CA"/>
              </w:rPr>
              <w:t xml:space="preserve"> </w:t>
            </w:r>
            <w:r w:rsidRPr="00635340">
              <w:rPr>
                <w:b/>
                <w:bCs/>
                <w:sz w:val="18"/>
                <w:szCs w:val="18"/>
                <w:lang w:val="fr-CA" w:eastAsia="en-CA"/>
              </w:rPr>
              <w:t>998</w:t>
            </w:r>
          </w:p>
        </w:tc>
        <w:tc>
          <w:tcPr>
            <w:tcW w:w="1130" w:type="dxa"/>
            <w:tcBorders>
              <w:top w:val="nil"/>
              <w:left w:val="nil"/>
              <w:bottom w:val="single" w:sz="4" w:space="0" w:color="auto"/>
              <w:right w:val="single" w:sz="4" w:space="0" w:color="auto"/>
            </w:tcBorders>
            <w:shd w:val="clear" w:color="auto" w:fill="auto"/>
            <w:noWrap/>
            <w:hideMark/>
          </w:tcPr>
          <w:p w:rsidR="00635340" w:rsidRPr="00635340" w:rsidRDefault="00635340" w:rsidP="00635340">
            <w:pPr>
              <w:jc w:val="right"/>
              <w:rPr>
                <w:b/>
                <w:bCs/>
                <w:sz w:val="18"/>
                <w:szCs w:val="18"/>
                <w:lang w:val="fr-CA" w:eastAsia="en-CA"/>
              </w:rPr>
            </w:pPr>
            <w:r w:rsidRPr="00635340">
              <w:rPr>
                <w:b/>
                <w:bCs/>
                <w:sz w:val="18"/>
                <w:szCs w:val="18"/>
                <w:lang w:val="fr-CA" w:eastAsia="en-CA"/>
              </w:rPr>
              <w:t>97</w:t>
            </w:r>
          </w:p>
        </w:tc>
      </w:tr>
    </w:tbl>
    <w:p w:rsidR="00635340" w:rsidRPr="00635340" w:rsidRDefault="00635340" w:rsidP="00635340">
      <w:pPr>
        <w:rPr>
          <w:sz w:val="20"/>
          <w:lang w:val="fr-FR"/>
        </w:rPr>
      </w:pPr>
      <w:r w:rsidRPr="00635340">
        <w:rPr>
          <w:sz w:val="20"/>
          <w:lang w:val="fr-FR"/>
        </w:rPr>
        <w:t>*Ne comprend pas les projets fermés et transférés</w:t>
      </w:r>
    </w:p>
    <w:p w:rsidR="00635340" w:rsidRPr="00635340" w:rsidRDefault="00635340" w:rsidP="00635340">
      <w:pPr>
        <w:rPr>
          <w:sz w:val="20"/>
          <w:lang w:val="fr-FR"/>
        </w:rPr>
      </w:pPr>
      <w:r w:rsidRPr="00635340">
        <w:rPr>
          <w:sz w:val="20"/>
          <w:lang w:val="fr-FR"/>
        </w:rPr>
        <w:t>**Coûts d’appui à l’agence en sus</w:t>
      </w:r>
    </w:p>
    <w:p w:rsidR="00B34FF5" w:rsidRDefault="00B34FF5">
      <w:pPr>
        <w:jc w:val="left"/>
        <w:rPr>
          <w:lang w:val="fr-FR"/>
        </w:rPr>
      </w:pPr>
      <w:r>
        <w:rPr>
          <w:lang w:val="fr-FR"/>
        </w:rPr>
        <w:br w:type="page"/>
      </w:r>
    </w:p>
    <w:p w:rsidR="00635340" w:rsidRDefault="00635340" w:rsidP="00635340">
      <w:pPr>
        <w:rPr>
          <w:lang w:val="fr-FR"/>
        </w:rPr>
      </w:pPr>
    </w:p>
    <w:p w:rsidR="00635340" w:rsidRDefault="00936391" w:rsidP="00B34FF5">
      <w:pPr>
        <w:pStyle w:val="ListParagraph"/>
        <w:numPr>
          <w:ilvl w:val="0"/>
          <w:numId w:val="26"/>
        </w:numPr>
        <w:ind w:left="0" w:firstLine="0"/>
        <w:rPr>
          <w:lang w:val="fr-FR"/>
        </w:rPr>
      </w:pPr>
      <w:r>
        <w:rPr>
          <w:lang w:val="fr-FR"/>
        </w:rPr>
        <w:t>Le tableau 4 présente la mise en œuvre des projets par pays pour 2018.</w:t>
      </w:r>
    </w:p>
    <w:p w:rsidR="00936391" w:rsidRDefault="00936391" w:rsidP="00936391">
      <w:pPr>
        <w:pStyle w:val="ListParagraph"/>
        <w:ind w:left="0"/>
        <w:rPr>
          <w:lang w:val="fr-FR"/>
        </w:rPr>
      </w:pPr>
    </w:p>
    <w:p w:rsidR="00936391" w:rsidRDefault="00936391" w:rsidP="00936391">
      <w:pPr>
        <w:pStyle w:val="ListParagraph"/>
        <w:ind w:left="0"/>
        <w:rPr>
          <w:lang w:val="fr-FR"/>
        </w:rPr>
      </w:pPr>
      <w:r>
        <w:rPr>
          <w:b/>
          <w:lang w:val="fr-FR"/>
        </w:rPr>
        <w:t>Tableau 4 : Sommaire de la mise en œuvre des projets par la Banque mondiale en 2018</w:t>
      </w:r>
    </w:p>
    <w:tbl>
      <w:tblPr>
        <w:tblW w:w="9345" w:type="dxa"/>
        <w:tblLayout w:type="fixed"/>
        <w:tblLook w:val="04A0" w:firstRow="1" w:lastRow="0" w:firstColumn="1" w:lastColumn="0" w:noHBand="0" w:noVBand="1"/>
      </w:tblPr>
      <w:tblGrid>
        <w:gridCol w:w="1345"/>
        <w:gridCol w:w="1333"/>
        <w:gridCol w:w="1333"/>
        <w:gridCol w:w="1334"/>
        <w:gridCol w:w="1333"/>
        <w:gridCol w:w="1333"/>
        <w:gridCol w:w="1334"/>
      </w:tblGrid>
      <w:tr w:rsidR="00936391" w:rsidRPr="002D74D2" w:rsidTr="00E41F0B">
        <w:trPr>
          <w:trHeight w:val="20"/>
          <w:tblHeader/>
        </w:trPr>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391" w:rsidRPr="00936391" w:rsidRDefault="00936391" w:rsidP="00E41F0B">
            <w:pPr>
              <w:keepNext/>
              <w:jc w:val="left"/>
              <w:rPr>
                <w:b/>
                <w:bCs/>
                <w:sz w:val="20"/>
                <w:szCs w:val="20"/>
                <w:lang w:val="fr-CA" w:eastAsia="en-CA"/>
              </w:rPr>
            </w:pPr>
            <w:r>
              <w:rPr>
                <w:b/>
                <w:bCs/>
                <w:sz w:val="20"/>
                <w:szCs w:val="20"/>
                <w:lang w:val="fr-CA" w:eastAsia="en-CA"/>
              </w:rPr>
              <w:t>Pays</w:t>
            </w:r>
          </w:p>
        </w:tc>
        <w:tc>
          <w:tcPr>
            <w:tcW w:w="1333" w:type="dxa"/>
            <w:tcBorders>
              <w:top w:val="single" w:sz="4" w:space="0" w:color="auto"/>
              <w:left w:val="nil"/>
              <w:bottom w:val="single" w:sz="4" w:space="0" w:color="auto"/>
              <w:right w:val="single" w:sz="4" w:space="0" w:color="auto"/>
            </w:tcBorders>
            <w:shd w:val="clear" w:color="auto" w:fill="auto"/>
            <w:tcMar>
              <w:left w:w="14" w:type="dxa"/>
              <w:right w:w="14" w:type="dxa"/>
            </w:tcMar>
            <w:vAlign w:val="center"/>
            <w:hideMark/>
          </w:tcPr>
          <w:p w:rsidR="00D17754" w:rsidRDefault="00D17754" w:rsidP="00D17754">
            <w:pPr>
              <w:keepNext/>
              <w:jc w:val="center"/>
              <w:rPr>
                <w:b/>
                <w:bCs/>
                <w:sz w:val="20"/>
                <w:szCs w:val="20"/>
                <w:lang w:val="fr-CA" w:eastAsia="en-CA"/>
              </w:rPr>
            </w:pPr>
            <w:r>
              <w:rPr>
                <w:b/>
                <w:bCs/>
                <w:sz w:val="20"/>
                <w:szCs w:val="20"/>
                <w:lang w:val="fr-CA" w:eastAsia="en-CA"/>
              </w:rPr>
              <w:t>Élimination en 2018*</w:t>
            </w:r>
          </w:p>
          <w:p w:rsidR="00936391" w:rsidRPr="00936391" w:rsidRDefault="00D17754" w:rsidP="00936391">
            <w:pPr>
              <w:keepNext/>
              <w:rPr>
                <w:b/>
                <w:bCs/>
                <w:sz w:val="20"/>
                <w:szCs w:val="20"/>
                <w:lang w:val="fr-CA" w:eastAsia="en-CA"/>
              </w:rPr>
            </w:pPr>
            <w:r>
              <w:rPr>
                <w:b/>
                <w:bCs/>
                <w:sz w:val="20"/>
                <w:szCs w:val="20"/>
                <w:lang w:val="fr-CA" w:eastAsia="en-CA"/>
              </w:rPr>
              <w:t>(tonnes PAO)</w:t>
            </w:r>
          </w:p>
        </w:tc>
        <w:tc>
          <w:tcPr>
            <w:tcW w:w="1333" w:type="dxa"/>
            <w:tcBorders>
              <w:top w:val="single" w:sz="4" w:space="0" w:color="auto"/>
              <w:left w:val="nil"/>
              <w:bottom w:val="single" w:sz="4" w:space="0" w:color="auto"/>
              <w:right w:val="single" w:sz="4" w:space="0" w:color="auto"/>
            </w:tcBorders>
            <w:shd w:val="clear" w:color="auto" w:fill="auto"/>
            <w:tcMar>
              <w:left w:w="14" w:type="dxa"/>
              <w:right w:w="14" w:type="dxa"/>
            </w:tcMar>
            <w:vAlign w:val="center"/>
            <w:hideMark/>
          </w:tcPr>
          <w:p w:rsidR="00936391" w:rsidRPr="00D17754" w:rsidRDefault="00D17754" w:rsidP="00E41F0B">
            <w:pPr>
              <w:keepNext/>
              <w:jc w:val="center"/>
              <w:rPr>
                <w:b/>
                <w:bCs/>
                <w:sz w:val="20"/>
                <w:szCs w:val="20"/>
                <w:lang w:val="fr-CA" w:eastAsia="en-CA"/>
              </w:rPr>
            </w:pPr>
            <w:r w:rsidRPr="00D17754">
              <w:rPr>
                <w:b/>
                <w:bCs/>
                <w:sz w:val="20"/>
                <w:szCs w:val="20"/>
                <w:lang w:val="fr-CA" w:eastAsia="en-CA"/>
              </w:rPr>
              <w:t>Pourcentage du décaissement total effectué en 2018</w:t>
            </w:r>
          </w:p>
        </w:tc>
        <w:tc>
          <w:tcPr>
            <w:tcW w:w="1334" w:type="dxa"/>
            <w:tcBorders>
              <w:top w:val="single" w:sz="4" w:space="0" w:color="auto"/>
              <w:left w:val="nil"/>
              <w:bottom w:val="single" w:sz="4" w:space="0" w:color="auto"/>
              <w:right w:val="single" w:sz="4" w:space="0" w:color="auto"/>
            </w:tcBorders>
            <w:shd w:val="clear" w:color="auto" w:fill="auto"/>
            <w:tcMar>
              <w:left w:w="14" w:type="dxa"/>
              <w:right w:w="14" w:type="dxa"/>
            </w:tcMar>
            <w:vAlign w:val="center"/>
            <w:hideMark/>
          </w:tcPr>
          <w:p w:rsidR="00936391" w:rsidRPr="00936391" w:rsidRDefault="00D17754" w:rsidP="00E41F0B">
            <w:pPr>
              <w:keepNext/>
              <w:jc w:val="center"/>
              <w:rPr>
                <w:b/>
                <w:bCs/>
                <w:sz w:val="20"/>
                <w:szCs w:val="20"/>
                <w:lang w:val="fr-CA" w:eastAsia="en-CA"/>
              </w:rPr>
            </w:pPr>
            <w:r>
              <w:rPr>
                <w:b/>
                <w:bCs/>
                <w:sz w:val="20"/>
                <w:szCs w:val="20"/>
                <w:lang w:val="fr-CA" w:eastAsia="en-CA"/>
              </w:rPr>
              <w:t>Estimation des sommes décaissées en 2018 ($US)</w:t>
            </w:r>
          </w:p>
        </w:tc>
        <w:tc>
          <w:tcPr>
            <w:tcW w:w="1333" w:type="dxa"/>
            <w:tcBorders>
              <w:top w:val="single" w:sz="4" w:space="0" w:color="auto"/>
              <w:left w:val="nil"/>
              <w:bottom w:val="single" w:sz="4" w:space="0" w:color="auto"/>
              <w:right w:val="single" w:sz="4" w:space="0" w:color="auto"/>
            </w:tcBorders>
            <w:shd w:val="clear" w:color="auto" w:fill="auto"/>
            <w:tcMar>
              <w:left w:w="14" w:type="dxa"/>
              <w:right w:w="14" w:type="dxa"/>
            </w:tcMar>
            <w:vAlign w:val="center"/>
            <w:hideMark/>
          </w:tcPr>
          <w:p w:rsidR="00936391" w:rsidRPr="00936391" w:rsidRDefault="00D17754" w:rsidP="00E41F0B">
            <w:pPr>
              <w:keepNext/>
              <w:jc w:val="center"/>
              <w:rPr>
                <w:b/>
                <w:bCs/>
                <w:sz w:val="20"/>
                <w:szCs w:val="20"/>
                <w:lang w:val="fr-CA" w:eastAsia="en-CA"/>
              </w:rPr>
            </w:pPr>
            <w:r>
              <w:rPr>
                <w:b/>
                <w:bCs/>
                <w:sz w:val="20"/>
                <w:szCs w:val="20"/>
                <w:lang w:val="fr-CA" w:eastAsia="en-CA"/>
              </w:rPr>
              <w:t>Sommes décaissées en 2018</w:t>
            </w:r>
          </w:p>
        </w:tc>
        <w:tc>
          <w:tcPr>
            <w:tcW w:w="1333" w:type="dxa"/>
            <w:tcBorders>
              <w:top w:val="single" w:sz="4" w:space="0" w:color="auto"/>
              <w:left w:val="nil"/>
              <w:bottom w:val="single" w:sz="4" w:space="0" w:color="auto"/>
              <w:right w:val="single" w:sz="4" w:space="0" w:color="auto"/>
            </w:tcBorders>
            <w:shd w:val="clear" w:color="auto" w:fill="auto"/>
            <w:tcMar>
              <w:left w:w="14" w:type="dxa"/>
              <w:right w:w="14" w:type="dxa"/>
            </w:tcMar>
            <w:vAlign w:val="center"/>
            <w:hideMark/>
          </w:tcPr>
          <w:p w:rsidR="00936391" w:rsidRPr="00936391" w:rsidRDefault="00D17754" w:rsidP="00E41F0B">
            <w:pPr>
              <w:keepNext/>
              <w:jc w:val="center"/>
              <w:rPr>
                <w:b/>
                <w:bCs/>
                <w:sz w:val="20"/>
                <w:szCs w:val="20"/>
                <w:lang w:val="fr-CA" w:eastAsia="en-CA"/>
              </w:rPr>
            </w:pPr>
            <w:r>
              <w:rPr>
                <w:b/>
                <w:bCs/>
                <w:sz w:val="20"/>
                <w:szCs w:val="20"/>
                <w:lang w:val="fr-CA" w:eastAsia="en-CA"/>
              </w:rPr>
              <w:t>Pourcentage des sommes décaissées en sus de l’estimation de 2018</w:t>
            </w:r>
          </w:p>
        </w:tc>
        <w:tc>
          <w:tcPr>
            <w:tcW w:w="1334" w:type="dxa"/>
            <w:tcBorders>
              <w:top w:val="single" w:sz="4" w:space="0" w:color="auto"/>
              <w:left w:val="nil"/>
              <w:bottom w:val="single" w:sz="4" w:space="0" w:color="auto"/>
              <w:right w:val="single" w:sz="4" w:space="0" w:color="auto"/>
            </w:tcBorders>
            <w:shd w:val="clear" w:color="auto" w:fill="auto"/>
            <w:tcMar>
              <w:left w:w="14" w:type="dxa"/>
              <w:right w:w="14" w:type="dxa"/>
            </w:tcMar>
            <w:vAlign w:val="center"/>
            <w:hideMark/>
          </w:tcPr>
          <w:p w:rsidR="00936391" w:rsidRPr="00936391" w:rsidRDefault="00D17754" w:rsidP="00E41F0B">
            <w:pPr>
              <w:keepNext/>
              <w:jc w:val="center"/>
              <w:rPr>
                <w:b/>
                <w:bCs/>
                <w:sz w:val="20"/>
                <w:szCs w:val="20"/>
                <w:lang w:val="fr-CA" w:eastAsia="en-CA"/>
              </w:rPr>
            </w:pPr>
            <w:r>
              <w:rPr>
                <w:b/>
                <w:bCs/>
                <w:sz w:val="20"/>
                <w:szCs w:val="20"/>
                <w:lang w:val="fr-CA" w:eastAsia="en-CA"/>
              </w:rPr>
              <w:t>Pourcentage des projets prévus achevés en 2018</w:t>
            </w:r>
          </w:p>
        </w:tc>
      </w:tr>
      <w:tr w:rsidR="00D17754" w:rsidRPr="00936391" w:rsidTr="00E41F0B">
        <w:trPr>
          <w:trHeight w:val="2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D17754" w:rsidRPr="00936391" w:rsidRDefault="00D17754" w:rsidP="00E41F0B">
            <w:pPr>
              <w:jc w:val="left"/>
              <w:rPr>
                <w:sz w:val="20"/>
                <w:szCs w:val="20"/>
                <w:lang w:val="fr-CA" w:eastAsia="en-CA"/>
              </w:rPr>
            </w:pPr>
            <w:r>
              <w:rPr>
                <w:sz w:val="20"/>
                <w:szCs w:val="20"/>
                <w:lang w:val="fr-CA" w:eastAsia="en-CA"/>
              </w:rPr>
              <w:t>Arabie saoudite</w:t>
            </w:r>
          </w:p>
        </w:tc>
        <w:tc>
          <w:tcPr>
            <w:tcW w:w="1333" w:type="dxa"/>
            <w:tcBorders>
              <w:top w:val="nil"/>
              <w:left w:val="nil"/>
              <w:bottom w:val="single" w:sz="4" w:space="0" w:color="auto"/>
              <w:right w:val="single" w:sz="4" w:space="0" w:color="auto"/>
            </w:tcBorders>
            <w:shd w:val="clear" w:color="auto" w:fill="auto"/>
            <w:noWrap/>
            <w:vAlign w:val="bottom"/>
            <w:hideMark/>
          </w:tcPr>
          <w:p w:rsidR="00D17754" w:rsidRPr="00936391" w:rsidRDefault="00D17754" w:rsidP="00E41F0B">
            <w:pPr>
              <w:jc w:val="right"/>
              <w:rPr>
                <w:sz w:val="20"/>
                <w:szCs w:val="20"/>
                <w:lang w:val="fr-CA" w:eastAsia="en-CA"/>
              </w:rPr>
            </w:pPr>
            <w:r w:rsidRPr="00936391">
              <w:rPr>
                <w:sz w:val="20"/>
                <w:szCs w:val="20"/>
                <w:lang w:val="fr-CA" w:eastAsia="en-CA"/>
              </w:rPr>
              <w:t>3.6</w:t>
            </w:r>
          </w:p>
        </w:tc>
        <w:tc>
          <w:tcPr>
            <w:tcW w:w="1333" w:type="dxa"/>
            <w:tcBorders>
              <w:top w:val="nil"/>
              <w:left w:val="nil"/>
              <w:bottom w:val="single" w:sz="4" w:space="0" w:color="auto"/>
              <w:right w:val="single" w:sz="4" w:space="0" w:color="auto"/>
            </w:tcBorders>
            <w:shd w:val="clear" w:color="auto" w:fill="auto"/>
            <w:noWrap/>
            <w:vAlign w:val="bottom"/>
            <w:hideMark/>
          </w:tcPr>
          <w:p w:rsidR="00D17754" w:rsidRPr="00936391" w:rsidRDefault="00D17754" w:rsidP="00E41F0B">
            <w:pPr>
              <w:jc w:val="right"/>
              <w:rPr>
                <w:sz w:val="20"/>
                <w:szCs w:val="20"/>
                <w:lang w:val="fr-CA" w:eastAsia="en-CA"/>
              </w:rPr>
            </w:pPr>
            <w:r w:rsidRPr="00936391">
              <w:rPr>
                <w:sz w:val="20"/>
                <w:szCs w:val="20"/>
                <w:lang w:val="fr-CA" w:eastAsia="en-CA"/>
              </w:rPr>
              <w:t>100</w:t>
            </w:r>
          </w:p>
        </w:tc>
        <w:tc>
          <w:tcPr>
            <w:tcW w:w="1334" w:type="dxa"/>
            <w:tcBorders>
              <w:top w:val="nil"/>
              <w:left w:val="nil"/>
              <w:bottom w:val="single" w:sz="4" w:space="0" w:color="auto"/>
              <w:right w:val="single" w:sz="4" w:space="0" w:color="auto"/>
            </w:tcBorders>
            <w:shd w:val="clear" w:color="auto" w:fill="auto"/>
            <w:noWrap/>
            <w:vAlign w:val="bottom"/>
            <w:hideMark/>
          </w:tcPr>
          <w:p w:rsidR="00D17754" w:rsidRPr="00936391" w:rsidRDefault="00D17754" w:rsidP="00E41F0B">
            <w:pPr>
              <w:jc w:val="right"/>
              <w:rPr>
                <w:sz w:val="20"/>
                <w:szCs w:val="20"/>
                <w:lang w:val="fr-CA" w:eastAsia="en-CA"/>
              </w:rPr>
            </w:pPr>
            <w:r w:rsidRPr="00936391">
              <w:rPr>
                <w:sz w:val="20"/>
                <w:szCs w:val="20"/>
                <w:lang w:val="fr-CA" w:eastAsia="en-CA"/>
              </w:rPr>
              <w:t>554</w:t>
            </w:r>
            <w:r>
              <w:rPr>
                <w:sz w:val="20"/>
                <w:szCs w:val="20"/>
                <w:lang w:val="fr-CA" w:eastAsia="en-CA"/>
              </w:rPr>
              <w:t xml:space="preserve"> </w:t>
            </w:r>
            <w:r w:rsidRPr="00936391">
              <w:rPr>
                <w:sz w:val="20"/>
                <w:szCs w:val="20"/>
                <w:lang w:val="fr-CA" w:eastAsia="en-CA"/>
              </w:rPr>
              <w:t>400</w:t>
            </w:r>
          </w:p>
        </w:tc>
        <w:tc>
          <w:tcPr>
            <w:tcW w:w="1333" w:type="dxa"/>
            <w:tcBorders>
              <w:top w:val="nil"/>
              <w:left w:val="nil"/>
              <w:bottom w:val="single" w:sz="4" w:space="0" w:color="auto"/>
              <w:right w:val="single" w:sz="4" w:space="0" w:color="auto"/>
            </w:tcBorders>
            <w:shd w:val="clear" w:color="auto" w:fill="auto"/>
            <w:noWrap/>
            <w:vAlign w:val="bottom"/>
            <w:hideMark/>
          </w:tcPr>
          <w:p w:rsidR="00D17754" w:rsidRPr="00936391" w:rsidRDefault="00D17754" w:rsidP="00E41F0B">
            <w:pPr>
              <w:jc w:val="right"/>
              <w:rPr>
                <w:sz w:val="20"/>
                <w:szCs w:val="20"/>
                <w:lang w:val="fr-CA" w:eastAsia="en-CA"/>
              </w:rPr>
            </w:pPr>
            <w:r w:rsidRPr="00936391">
              <w:rPr>
                <w:sz w:val="20"/>
                <w:szCs w:val="20"/>
                <w:lang w:val="fr-CA" w:eastAsia="en-CA"/>
              </w:rPr>
              <w:t>477</w:t>
            </w:r>
            <w:r>
              <w:rPr>
                <w:sz w:val="20"/>
                <w:szCs w:val="20"/>
                <w:lang w:val="fr-CA" w:eastAsia="en-CA"/>
              </w:rPr>
              <w:t xml:space="preserve"> </w:t>
            </w:r>
            <w:r w:rsidRPr="00936391">
              <w:rPr>
                <w:sz w:val="20"/>
                <w:szCs w:val="20"/>
                <w:lang w:val="fr-CA" w:eastAsia="en-CA"/>
              </w:rPr>
              <w:t>000</w:t>
            </w:r>
          </w:p>
        </w:tc>
        <w:tc>
          <w:tcPr>
            <w:tcW w:w="1333" w:type="dxa"/>
            <w:tcBorders>
              <w:top w:val="nil"/>
              <w:left w:val="nil"/>
              <w:bottom w:val="single" w:sz="4" w:space="0" w:color="auto"/>
              <w:right w:val="single" w:sz="4" w:space="0" w:color="auto"/>
            </w:tcBorders>
            <w:shd w:val="clear" w:color="auto" w:fill="auto"/>
            <w:noWrap/>
            <w:vAlign w:val="bottom"/>
            <w:hideMark/>
          </w:tcPr>
          <w:p w:rsidR="00D17754" w:rsidRPr="00936391" w:rsidRDefault="00D17754" w:rsidP="00E41F0B">
            <w:pPr>
              <w:jc w:val="right"/>
              <w:rPr>
                <w:sz w:val="20"/>
                <w:szCs w:val="20"/>
                <w:lang w:val="fr-CA" w:eastAsia="en-CA"/>
              </w:rPr>
            </w:pPr>
            <w:r w:rsidRPr="00936391">
              <w:rPr>
                <w:sz w:val="20"/>
                <w:szCs w:val="20"/>
                <w:lang w:val="fr-CA" w:eastAsia="en-CA"/>
              </w:rPr>
              <w:t>86</w:t>
            </w:r>
          </w:p>
        </w:tc>
        <w:tc>
          <w:tcPr>
            <w:tcW w:w="1334" w:type="dxa"/>
            <w:tcBorders>
              <w:top w:val="nil"/>
              <w:left w:val="nil"/>
              <w:bottom w:val="single" w:sz="4" w:space="0" w:color="auto"/>
              <w:right w:val="single" w:sz="4" w:space="0" w:color="auto"/>
            </w:tcBorders>
            <w:shd w:val="clear" w:color="auto" w:fill="auto"/>
            <w:noWrap/>
            <w:vAlign w:val="bottom"/>
            <w:hideMark/>
          </w:tcPr>
          <w:p w:rsidR="00D17754" w:rsidRPr="00936391" w:rsidRDefault="00D17754" w:rsidP="00E41F0B">
            <w:pPr>
              <w:jc w:val="right"/>
              <w:rPr>
                <w:sz w:val="20"/>
                <w:szCs w:val="20"/>
                <w:lang w:val="fr-CA" w:eastAsia="en-CA"/>
              </w:rPr>
            </w:pPr>
            <w:r w:rsidRPr="00936391">
              <w:rPr>
                <w:sz w:val="20"/>
                <w:szCs w:val="20"/>
                <w:lang w:val="fr-CA" w:eastAsia="en-CA"/>
              </w:rPr>
              <w:t>100</w:t>
            </w:r>
          </w:p>
        </w:tc>
      </w:tr>
      <w:tr w:rsidR="00D17754" w:rsidRPr="00936391" w:rsidTr="00E41F0B">
        <w:trPr>
          <w:trHeight w:val="2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D17754" w:rsidRPr="00936391" w:rsidRDefault="00D17754" w:rsidP="00E41F0B">
            <w:pPr>
              <w:jc w:val="left"/>
              <w:rPr>
                <w:sz w:val="20"/>
                <w:szCs w:val="20"/>
                <w:lang w:val="fr-CA" w:eastAsia="en-CA"/>
              </w:rPr>
            </w:pPr>
            <w:r w:rsidRPr="00936391">
              <w:rPr>
                <w:sz w:val="20"/>
                <w:szCs w:val="20"/>
                <w:lang w:val="fr-CA" w:eastAsia="en-CA"/>
              </w:rPr>
              <w:t>Argentin</w:t>
            </w:r>
            <w:r>
              <w:rPr>
                <w:sz w:val="20"/>
                <w:szCs w:val="20"/>
                <w:lang w:val="fr-CA" w:eastAsia="en-CA"/>
              </w:rPr>
              <w:t>e</w:t>
            </w:r>
          </w:p>
        </w:tc>
        <w:tc>
          <w:tcPr>
            <w:tcW w:w="1333" w:type="dxa"/>
            <w:tcBorders>
              <w:top w:val="nil"/>
              <w:left w:val="nil"/>
              <w:bottom w:val="single" w:sz="4" w:space="0" w:color="auto"/>
              <w:right w:val="single" w:sz="4" w:space="0" w:color="auto"/>
            </w:tcBorders>
            <w:shd w:val="clear" w:color="auto" w:fill="auto"/>
            <w:noWrap/>
            <w:vAlign w:val="bottom"/>
            <w:hideMark/>
          </w:tcPr>
          <w:p w:rsidR="00D17754" w:rsidRPr="00936391" w:rsidRDefault="00D17754" w:rsidP="00E41F0B">
            <w:pPr>
              <w:jc w:val="right"/>
              <w:rPr>
                <w:sz w:val="20"/>
                <w:szCs w:val="20"/>
                <w:lang w:val="fr-CA" w:eastAsia="en-CA"/>
              </w:rPr>
            </w:pPr>
            <w:r w:rsidRPr="00936391">
              <w:rPr>
                <w:sz w:val="20"/>
                <w:szCs w:val="20"/>
                <w:lang w:val="fr-CA" w:eastAsia="en-CA"/>
              </w:rPr>
              <w:t>0.0</w:t>
            </w:r>
          </w:p>
        </w:tc>
        <w:tc>
          <w:tcPr>
            <w:tcW w:w="1333" w:type="dxa"/>
            <w:tcBorders>
              <w:top w:val="nil"/>
              <w:left w:val="nil"/>
              <w:bottom w:val="single" w:sz="4" w:space="0" w:color="auto"/>
              <w:right w:val="single" w:sz="4" w:space="0" w:color="auto"/>
            </w:tcBorders>
            <w:shd w:val="clear" w:color="auto" w:fill="auto"/>
            <w:noWrap/>
            <w:vAlign w:val="bottom"/>
            <w:hideMark/>
          </w:tcPr>
          <w:p w:rsidR="00D17754" w:rsidRPr="00936391" w:rsidRDefault="00D17754" w:rsidP="00E41F0B">
            <w:pPr>
              <w:jc w:val="left"/>
              <w:rPr>
                <w:sz w:val="20"/>
                <w:szCs w:val="20"/>
                <w:lang w:val="fr-CA" w:eastAsia="en-CA"/>
              </w:rPr>
            </w:pPr>
            <w:r w:rsidRPr="00936391">
              <w:rPr>
                <w:sz w:val="20"/>
                <w:szCs w:val="20"/>
                <w:lang w:val="fr-CA" w:eastAsia="en-CA"/>
              </w:rPr>
              <w:t> </w:t>
            </w:r>
          </w:p>
        </w:tc>
        <w:tc>
          <w:tcPr>
            <w:tcW w:w="1334" w:type="dxa"/>
            <w:tcBorders>
              <w:top w:val="nil"/>
              <w:left w:val="nil"/>
              <w:bottom w:val="single" w:sz="4" w:space="0" w:color="auto"/>
              <w:right w:val="single" w:sz="4" w:space="0" w:color="auto"/>
            </w:tcBorders>
            <w:shd w:val="clear" w:color="auto" w:fill="auto"/>
            <w:noWrap/>
            <w:vAlign w:val="bottom"/>
            <w:hideMark/>
          </w:tcPr>
          <w:p w:rsidR="00D17754" w:rsidRPr="00936391" w:rsidRDefault="00D17754" w:rsidP="00E41F0B">
            <w:pPr>
              <w:jc w:val="right"/>
              <w:rPr>
                <w:sz w:val="20"/>
                <w:szCs w:val="20"/>
                <w:lang w:val="fr-CA" w:eastAsia="en-CA"/>
              </w:rPr>
            </w:pPr>
            <w:r w:rsidRPr="00936391">
              <w:rPr>
                <w:sz w:val="20"/>
                <w:szCs w:val="20"/>
                <w:lang w:val="fr-CA" w:eastAsia="en-CA"/>
              </w:rPr>
              <w:t>43</w:t>
            </w:r>
            <w:r>
              <w:rPr>
                <w:sz w:val="20"/>
                <w:szCs w:val="20"/>
                <w:lang w:val="fr-CA" w:eastAsia="en-CA"/>
              </w:rPr>
              <w:t xml:space="preserve"> </w:t>
            </w:r>
            <w:r w:rsidRPr="00936391">
              <w:rPr>
                <w:sz w:val="20"/>
                <w:szCs w:val="20"/>
                <w:lang w:val="fr-CA" w:eastAsia="en-CA"/>
              </w:rPr>
              <w:t>815</w:t>
            </w:r>
          </w:p>
        </w:tc>
        <w:tc>
          <w:tcPr>
            <w:tcW w:w="1333" w:type="dxa"/>
            <w:tcBorders>
              <w:top w:val="nil"/>
              <w:left w:val="nil"/>
              <w:bottom w:val="single" w:sz="4" w:space="0" w:color="auto"/>
              <w:right w:val="single" w:sz="4" w:space="0" w:color="auto"/>
            </w:tcBorders>
            <w:shd w:val="clear" w:color="auto" w:fill="auto"/>
            <w:noWrap/>
            <w:vAlign w:val="bottom"/>
            <w:hideMark/>
          </w:tcPr>
          <w:p w:rsidR="00D17754" w:rsidRPr="00936391" w:rsidRDefault="00D17754" w:rsidP="00E41F0B">
            <w:pPr>
              <w:jc w:val="right"/>
              <w:rPr>
                <w:sz w:val="20"/>
                <w:szCs w:val="20"/>
                <w:lang w:val="fr-CA" w:eastAsia="en-CA"/>
              </w:rPr>
            </w:pPr>
            <w:r w:rsidRPr="00936391">
              <w:rPr>
                <w:sz w:val="20"/>
                <w:szCs w:val="20"/>
                <w:lang w:val="fr-CA" w:eastAsia="en-CA"/>
              </w:rPr>
              <w:t>43</w:t>
            </w:r>
            <w:r>
              <w:rPr>
                <w:sz w:val="20"/>
                <w:szCs w:val="20"/>
                <w:lang w:val="fr-CA" w:eastAsia="en-CA"/>
              </w:rPr>
              <w:t xml:space="preserve"> </w:t>
            </w:r>
            <w:r w:rsidRPr="00936391">
              <w:rPr>
                <w:sz w:val="20"/>
                <w:szCs w:val="20"/>
                <w:lang w:val="fr-CA" w:eastAsia="en-CA"/>
              </w:rPr>
              <w:t>815</w:t>
            </w:r>
          </w:p>
        </w:tc>
        <w:tc>
          <w:tcPr>
            <w:tcW w:w="1333" w:type="dxa"/>
            <w:tcBorders>
              <w:top w:val="nil"/>
              <w:left w:val="nil"/>
              <w:bottom w:val="single" w:sz="4" w:space="0" w:color="auto"/>
              <w:right w:val="single" w:sz="4" w:space="0" w:color="auto"/>
            </w:tcBorders>
            <w:shd w:val="clear" w:color="auto" w:fill="auto"/>
            <w:noWrap/>
            <w:vAlign w:val="bottom"/>
            <w:hideMark/>
          </w:tcPr>
          <w:p w:rsidR="00D17754" w:rsidRPr="00936391" w:rsidRDefault="00D17754" w:rsidP="00E41F0B">
            <w:pPr>
              <w:jc w:val="right"/>
              <w:rPr>
                <w:sz w:val="20"/>
                <w:szCs w:val="20"/>
                <w:lang w:val="fr-CA" w:eastAsia="en-CA"/>
              </w:rPr>
            </w:pPr>
            <w:r w:rsidRPr="00936391">
              <w:rPr>
                <w:sz w:val="20"/>
                <w:szCs w:val="20"/>
                <w:lang w:val="fr-CA" w:eastAsia="en-CA"/>
              </w:rPr>
              <w:t>100</w:t>
            </w:r>
          </w:p>
        </w:tc>
        <w:tc>
          <w:tcPr>
            <w:tcW w:w="1334" w:type="dxa"/>
            <w:tcBorders>
              <w:top w:val="nil"/>
              <w:left w:val="nil"/>
              <w:bottom w:val="single" w:sz="4" w:space="0" w:color="auto"/>
              <w:right w:val="single" w:sz="4" w:space="0" w:color="auto"/>
            </w:tcBorders>
            <w:shd w:val="clear" w:color="auto" w:fill="auto"/>
            <w:noWrap/>
            <w:vAlign w:val="bottom"/>
            <w:hideMark/>
          </w:tcPr>
          <w:p w:rsidR="00D17754" w:rsidRPr="00936391" w:rsidRDefault="00D17754" w:rsidP="00E41F0B">
            <w:pPr>
              <w:jc w:val="right"/>
              <w:rPr>
                <w:sz w:val="20"/>
                <w:szCs w:val="20"/>
                <w:lang w:val="fr-CA" w:eastAsia="en-CA"/>
              </w:rPr>
            </w:pPr>
            <w:r w:rsidRPr="00936391">
              <w:rPr>
                <w:sz w:val="20"/>
                <w:szCs w:val="20"/>
                <w:lang w:val="fr-CA" w:eastAsia="en-CA"/>
              </w:rPr>
              <w:t>100</w:t>
            </w:r>
          </w:p>
        </w:tc>
      </w:tr>
      <w:tr w:rsidR="00D17754" w:rsidRPr="00936391" w:rsidTr="00E41F0B">
        <w:trPr>
          <w:trHeight w:val="2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D17754" w:rsidRPr="00936391" w:rsidRDefault="00D17754" w:rsidP="00E41F0B">
            <w:pPr>
              <w:jc w:val="left"/>
              <w:rPr>
                <w:sz w:val="20"/>
                <w:szCs w:val="20"/>
                <w:lang w:val="fr-CA" w:eastAsia="en-CA"/>
              </w:rPr>
            </w:pPr>
            <w:r w:rsidRPr="00936391">
              <w:rPr>
                <w:sz w:val="20"/>
                <w:szCs w:val="20"/>
                <w:lang w:val="fr-CA" w:eastAsia="en-CA"/>
              </w:rPr>
              <w:t>Chin</w:t>
            </w:r>
            <w:r>
              <w:rPr>
                <w:sz w:val="20"/>
                <w:szCs w:val="20"/>
                <w:lang w:val="fr-CA" w:eastAsia="en-CA"/>
              </w:rPr>
              <w:t>e</w:t>
            </w:r>
          </w:p>
        </w:tc>
        <w:tc>
          <w:tcPr>
            <w:tcW w:w="1333" w:type="dxa"/>
            <w:tcBorders>
              <w:top w:val="nil"/>
              <w:left w:val="nil"/>
              <w:bottom w:val="single" w:sz="4" w:space="0" w:color="auto"/>
              <w:right w:val="single" w:sz="4" w:space="0" w:color="auto"/>
            </w:tcBorders>
            <w:shd w:val="clear" w:color="auto" w:fill="auto"/>
            <w:noWrap/>
            <w:vAlign w:val="bottom"/>
            <w:hideMark/>
          </w:tcPr>
          <w:p w:rsidR="00D17754" w:rsidRPr="00936391" w:rsidRDefault="00D17754" w:rsidP="00E41F0B">
            <w:pPr>
              <w:jc w:val="right"/>
              <w:rPr>
                <w:sz w:val="20"/>
                <w:szCs w:val="20"/>
                <w:lang w:val="fr-CA" w:eastAsia="en-CA"/>
              </w:rPr>
            </w:pPr>
            <w:r w:rsidRPr="00936391">
              <w:rPr>
                <w:sz w:val="20"/>
                <w:szCs w:val="20"/>
                <w:lang w:val="fr-CA" w:eastAsia="en-CA"/>
              </w:rPr>
              <w:t>0.0</w:t>
            </w:r>
          </w:p>
        </w:tc>
        <w:tc>
          <w:tcPr>
            <w:tcW w:w="1333" w:type="dxa"/>
            <w:tcBorders>
              <w:top w:val="nil"/>
              <w:left w:val="nil"/>
              <w:bottom w:val="single" w:sz="4" w:space="0" w:color="auto"/>
              <w:right w:val="single" w:sz="4" w:space="0" w:color="auto"/>
            </w:tcBorders>
            <w:shd w:val="clear" w:color="auto" w:fill="auto"/>
            <w:noWrap/>
            <w:vAlign w:val="bottom"/>
            <w:hideMark/>
          </w:tcPr>
          <w:p w:rsidR="00D17754" w:rsidRPr="00936391" w:rsidRDefault="00D17754" w:rsidP="00E41F0B">
            <w:pPr>
              <w:jc w:val="right"/>
              <w:rPr>
                <w:sz w:val="20"/>
                <w:szCs w:val="20"/>
                <w:lang w:val="fr-CA" w:eastAsia="en-CA"/>
              </w:rPr>
            </w:pPr>
            <w:r w:rsidRPr="00936391">
              <w:rPr>
                <w:sz w:val="20"/>
                <w:szCs w:val="20"/>
                <w:lang w:val="fr-CA" w:eastAsia="en-CA"/>
              </w:rPr>
              <w:t>0</w:t>
            </w:r>
          </w:p>
        </w:tc>
        <w:tc>
          <w:tcPr>
            <w:tcW w:w="1334" w:type="dxa"/>
            <w:tcBorders>
              <w:top w:val="nil"/>
              <w:left w:val="nil"/>
              <w:bottom w:val="single" w:sz="4" w:space="0" w:color="auto"/>
              <w:right w:val="single" w:sz="4" w:space="0" w:color="auto"/>
            </w:tcBorders>
            <w:shd w:val="clear" w:color="auto" w:fill="auto"/>
            <w:noWrap/>
            <w:vAlign w:val="bottom"/>
            <w:hideMark/>
          </w:tcPr>
          <w:p w:rsidR="00D17754" w:rsidRPr="00936391" w:rsidRDefault="00D17754" w:rsidP="00E41F0B">
            <w:pPr>
              <w:jc w:val="right"/>
              <w:rPr>
                <w:sz w:val="20"/>
                <w:szCs w:val="20"/>
                <w:lang w:val="fr-CA" w:eastAsia="en-CA"/>
              </w:rPr>
            </w:pPr>
            <w:r w:rsidRPr="00936391">
              <w:rPr>
                <w:sz w:val="20"/>
                <w:szCs w:val="20"/>
                <w:lang w:val="fr-CA" w:eastAsia="en-CA"/>
              </w:rPr>
              <w:t>5</w:t>
            </w:r>
            <w:r>
              <w:rPr>
                <w:sz w:val="20"/>
                <w:szCs w:val="20"/>
                <w:lang w:val="fr-CA" w:eastAsia="en-CA"/>
              </w:rPr>
              <w:t xml:space="preserve"> </w:t>
            </w:r>
            <w:r w:rsidRPr="00936391">
              <w:rPr>
                <w:sz w:val="20"/>
                <w:szCs w:val="20"/>
                <w:lang w:val="fr-CA" w:eastAsia="en-CA"/>
              </w:rPr>
              <w:t>868</w:t>
            </w:r>
            <w:r>
              <w:rPr>
                <w:sz w:val="20"/>
                <w:szCs w:val="20"/>
                <w:lang w:val="fr-CA" w:eastAsia="en-CA"/>
              </w:rPr>
              <w:t xml:space="preserve"> </w:t>
            </w:r>
            <w:r w:rsidRPr="00936391">
              <w:rPr>
                <w:sz w:val="20"/>
                <w:szCs w:val="20"/>
                <w:lang w:val="fr-CA" w:eastAsia="en-CA"/>
              </w:rPr>
              <w:t>312</w:t>
            </w:r>
          </w:p>
        </w:tc>
        <w:tc>
          <w:tcPr>
            <w:tcW w:w="1333" w:type="dxa"/>
            <w:tcBorders>
              <w:top w:val="nil"/>
              <w:left w:val="nil"/>
              <w:bottom w:val="single" w:sz="4" w:space="0" w:color="auto"/>
              <w:right w:val="single" w:sz="4" w:space="0" w:color="auto"/>
            </w:tcBorders>
            <w:shd w:val="clear" w:color="auto" w:fill="auto"/>
            <w:noWrap/>
            <w:vAlign w:val="bottom"/>
            <w:hideMark/>
          </w:tcPr>
          <w:p w:rsidR="00D17754" w:rsidRPr="00936391" w:rsidRDefault="00D17754" w:rsidP="00E41F0B">
            <w:pPr>
              <w:jc w:val="right"/>
              <w:rPr>
                <w:sz w:val="20"/>
                <w:szCs w:val="20"/>
                <w:lang w:val="fr-CA" w:eastAsia="en-CA"/>
              </w:rPr>
            </w:pPr>
            <w:r w:rsidRPr="00936391">
              <w:rPr>
                <w:sz w:val="20"/>
                <w:szCs w:val="20"/>
                <w:lang w:val="fr-CA" w:eastAsia="en-CA"/>
              </w:rPr>
              <w:t>2</w:t>
            </w:r>
            <w:r>
              <w:rPr>
                <w:sz w:val="20"/>
                <w:szCs w:val="20"/>
                <w:lang w:val="fr-CA" w:eastAsia="en-CA"/>
              </w:rPr>
              <w:t xml:space="preserve"> </w:t>
            </w:r>
            <w:r w:rsidRPr="00936391">
              <w:rPr>
                <w:sz w:val="20"/>
                <w:szCs w:val="20"/>
                <w:lang w:val="fr-CA" w:eastAsia="en-CA"/>
              </w:rPr>
              <w:t>320</w:t>
            </w:r>
            <w:r>
              <w:rPr>
                <w:sz w:val="20"/>
                <w:szCs w:val="20"/>
                <w:lang w:val="fr-CA" w:eastAsia="en-CA"/>
              </w:rPr>
              <w:t xml:space="preserve"> </w:t>
            </w:r>
            <w:r w:rsidRPr="00936391">
              <w:rPr>
                <w:sz w:val="20"/>
                <w:szCs w:val="20"/>
                <w:lang w:val="fr-CA" w:eastAsia="en-CA"/>
              </w:rPr>
              <w:t>337</w:t>
            </w:r>
          </w:p>
        </w:tc>
        <w:tc>
          <w:tcPr>
            <w:tcW w:w="1333" w:type="dxa"/>
            <w:tcBorders>
              <w:top w:val="nil"/>
              <w:left w:val="nil"/>
              <w:bottom w:val="single" w:sz="4" w:space="0" w:color="auto"/>
              <w:right w:val="single" w:sz="4" w:space="0" w:color="auto"/>
            </w:tcBorders>
            <w:shd w:val="clear" w:color="auto" w:fill="auto"/>
            <w:noWrap/>
            <w:vAlign w:val="bottom"/>
            <w:hideMark/>
          </w:tcPr>
          <w:p w:rsidR="00D17754" w:rsidRPr="00936391" w:rsidRDefault="00D17754" w:rsidP="00E41F0B">
            <w:pPr>
              <w:jc w:val="right"/>
              <w:rPr>
                <w:sz w:val="20"/>
                <w:szCs w:val="20"/>
                <w:lang w:val="fr-CA" w:eastAsia="en-CA"/>
              </w:rPr>
            </w:pPr>
            <w:r w:rsidRPr="00936391">
              <w:rPr>
                <w:sz w:val="20"/>
                <w:szCs w:val="20"/>
                <w:lang w:val="fr-CA" w:eastAsia="en-CA"/>
              </w:rPr>
              <w:t>40</w:t>
            </w:r>
          </w:p>
        </w:tc>
        <w:tc>
          <w:tcPr>
            <w:tcW w:w="1334" w:type="dxa"/>
            <w:tcBorders>
              <w:top w:val="nil"/>
              <w:left w:val="nil"/>
              <w:bottom w:val="single" w:sz="4" w:space="0" w:color="auto"/>
              <w:right w:val="single" w:sz="4" w:space="0" w:color="auto"/>
            </w:tcBorders>
            <w:shd w:val="clear" w:color="auto" w:fill="auto"/>
            <w:noWrap/>
            <w:vAlign w:val="bottom"/>
            <w:hideMark/>
          </w:tcPr>
          <w:p w:rsidR="00D17754" w:rsidRPr="00936391" w:rsidRDefault="00D17754" w:rsidP="00E41F0B">
            <w:pPr>
              <w:jc w:val="right"/>
              <w:rPr>
                <w:sz w:val="20"/>
                <w:szCs w:val="20"/>
                <w:lang w:val="fr-CA" w:eastAsia="en-CA"/>
              </w:rPr>
            </w:pPr>
            <w:r w:rsidRPr="00936391">
              <w:rPr>
                <w:sz w:val="20"/>
                <w:szCs w:val="20"/>
                <w:lang w:val="fr-CA" w:eastAsia="en-CA"/>
              </w:rPr>
              <w:t>60</w:t>
            </w:r>
          </w:p>
        </w:tc>
      </w:tr>
      <w:tr w:rsidR="00D17754" w:rsidRPr="00936391" w:rsidTr="00E41F0B">
        <w:trPr>
          <w:trHeight w:val="2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D17754" w:rsidRPr="00936391" w:rsidRDefault="00D17754" w:rsidP="00E41F0B">
            <w:pPr>
              <w:jc w:val="left"/>
              <w:rPr>
                <w:sz w:val="20"/>
                <w:szCs w:val="20"/>
                <w:lang w:val="fr-CA" w:eastAsia="en-CA"/>
              </w:rPr>
            </w:pPr>
            <w:r>
              <w:rPr>
                <w:sz w:val="20"/>
                <w:szCs w:val="20"/>
                <w:lang w:val="fr-CA" w:eastAsia="en-CA"/>
              </w:rPr>
              <w:t>Indonésie</w:t>
            </w:r>
          </w:p>
        </w:tc>
        <w:tc>
          <w:tcPr>
            <w:tcW w:w="1333" w:type="dxa"/>
            <w:tcBorders>
              <w:top w:val="nil"/>
              <w:left w:val="nil"/>
              <w:bottom w:val="single" w:sz="4" w:space="0" w:color="auto"/>
              <w:right w:val="single" w:sz="4" w:space="0" w:color="auto"/>
            </w:tcBorders>
            <w:shd w:val="clear" w:color="auto" w:fill="auto"/>
            <w:noWrap/>
            <w:vAlign w:val="bottom"/>
            <w:hideMark/>
          </w:tcPr>
          <w:p w:rsidR="00D17754" w:rsidRPr="00936391" w:rsidRDefault="00D17754" w:rsidP="00E41F0B">
            <w:pPr>
              <w:jc w:val="right"/>
              <w:rPr>
                <w:sz w:val="20"/>
                <w:szCs w:val="20"/>
                <w:lang w:val="fr-CA" w:eastAsia="en-CA"/>
              </w:rPr>
            </w:pPr>
            <w:r w:rsidRPr="00936391">
              <w:rPr>
                <w:sz w:val="20"/>
                <w:szCs w:val="20"/>
                <w:lang w:val="fr-CA" w:eastAsia="en-CA"/>
              </w:rPr>
              <w:t>19.9</w:t>
            </w:r>
          </w:p>
        </w:tc>
        <w:tc>
          <w:tcPr>
            <w:tcW w:w="1333" w:type="dxa"/>
            <w:tcBorders>
              <w:top w:val="nil"/>
              <w:left w:val="nil"/>
              <w:bottom w:val="single" w:sz="4" w:space="0" w:color="auto"/>
              <w:right w:val="single" w:sz="4" w:space="0" w:color="auto"/>
            </w:tcBorders>
            <w:shd w:val="clear" w:color="auto" w:fill="auto"/>
            <w:noWrap/>
            <w:vAlign w:val="bottom"/>
            <w:hideMark/>
          </w:tcPr>
          <w:p w:rsidR="00D17754" w:rsidRPr="00936391" w:rsidRDefault="00D17754" w:rsidP="00E41F0B">
            <w:pPr>
              <w:jc w:val="left"/>
              <w:rPr>
                <w:sz w:val="20"/>
                <w:szCs w:val="20"/>
                <w:lang w:val="fr-CA" w:eastAsia="en-CA"/>
              </w:rPr>
            </w:pPr>
            <w:r w:rsidRPr="00936391">
              <w:rPr>
                <w:sz w:val="20"/>
                <w:szCs w:val="20"/>
                <w:lang w:val="fr-CA" w:eastAsia="en-CA"/>
              </w:rPr>
              <w:t> </w:t>
            </w:r>
          </w:p>
        </w:tc>
        <w:tc>
          <w:tcPr>
            <w:tcW w:w="1334" w:type="dxa"/>
            <w:tcBorders>
              <w:top w:val="nil"/>
              <w:left w:val="nil"/>
              <w:bottom w:val="single" w:sz="4" w:space="0" w:color="auto"/>
              <w:right w:val="single" w:sz="4" w:space="0" w:color="auto"/>
            </w:tcBorders>
            <w:shd w:val="clear" w:color="auto" w:fill="auto"/>
            <w:noWrap/>
            <w:vAlign w:val="bottom"/>
            <w:hideMark/>
          </w:tcPr>
          <w:p w:rsidR="00D17754" w:rsidRPr="00936391" w:rsidRDefault="00D17754" w:rsidP="00E41F0B">
            <w:pPr>
              <w:jc w:val="right"/>
              <w:rPr>
                <w:sz w:val="20"/>
                <w:szCs w:val="20"/>
                <w:lang w:val="fr-CA" w:eastAsia="en-CA"/>
              </w:rPr>
            </w:pPr>
            <w:r w:rsidRPr="00936391">
              <w:rPr>
                <w:sz w:val="20"/>
                <w:szCs w:val="20"/>
                <w:lang w:val="fr-CA" w:eastAsia="en-CA"/>
              </w:rPr>
              <w:t>1</w:t>
            </w:r>
            <w:r>
              <w:rPr>
                <w:sz w:val="20"/>
                <w:szCs w:val="20"/>
                <w:lang w:val="fr-CA" w:eastAsia="en-CA"/>
              </w:rPr>
              <w:t xml:space="preserve"> </w:t>
            </w:r>
            <w:r w:rsidRPr="00936391">
              <w:rPr>
                <w:sz w:val="20"/>
                <w:szCs w:val="20"/>
                <w:lang w:val="fr-CA" w:eastAsia="en-CA"/>
              </w:rPr>
              <w:t>630</w:t>
            </w:r>
            <w:r>
              <w:rPr>
                <w:sz w:val="20"/>
                <w:szCs w:val="20"/>
                <w:lang w:val="fr-CA" w:eastAsia="en-CA"/>
              </w:rPr>
              <w:t xml:space="preserve"> </w:t>
            </w:r>
            <w:r w:rsidRPr="00936391">
              <w:rPr>
                <w:sz w:val="20"/>
                <w:szCs w:val="20"/>
                <w:lang w:val="fr-CA" w:eastAsia="en-CA"/>
              </w:rPr>
              <w:t>480</w:t>
            </w:r>
          </w:p>
        </w:tc>
        <w:tc>
          <w:tcPr>
            <w:tcW w:w="1333" w:type="dxa"/>
            <w:tcBorders>
              <w:top w:val="nil"/>
              <w:left w:val="nil"/>
              <w:bottom w:val="single" w:sz="4" w:space="0" w:color="auto"/>
              <w:right w:val="single" w:sz="4" w:space="0" w:color="auto"/>
            </w:tcBorders>
            <w:shd w:val="clear" w:color="auto" w:fill="auto"/>
            <w:noWrap/>
            <w:vAlign w:val="bottom"/>
            <w:hideMark/>
          </w:tcPr>
          <w:p w:rsidR="00D17754" w:rsidRPr="00936391" w:rsidRDefault="00D17754" w:rsidP="00E41F0B">
            <w:pPr>
              <w:jc w:val="right"/>
              <w:rPr>
                <w:sz w:val="20"/>
                <w:szCs w:val="20"/>
                <w:lang w:val="fr-CA" w:eastAsia="en-CA"/>
              </w:rPr>
            </w:pPr>
            <w:r w:rsidRPr="00936391">
              <w:rPr>
                <w:sz w:val="20"/>
                <w:szCs w:val="20"/>
                <w:lang w:val="fr-CA" w:eastAsia="en-CA"/>
              </w:rPr>
              <w:t>1</w:t>
            </w:r>
            <w:r>
              <w:rPr>
                <w:sz w:val="20"/>
                <w:szCs w:val="20"/>
                <w:lang w:val="fr-CA" w:eastAsia="en-CA"/>
              </w:rPr>
              <w:t xml:space="preserve"> </w:t>
            </w:r>
            <w:r w:rsidRPr="00936391">
              <w:rPr>
                <w:sz w:val="20"/>
                <w:szCs w:val="20"/>
                <w:lang w:val="fr-CA" w:eastAsia="en-CA"/>
              </w:rPr>
              <w:t>600</w:t>
            </w:r>
            <w:r>
              <w:rPr>
                <w:sz w:val="20"/>
                <w:szCs w:val="20"/>
                <w:lang w:val="fr-CA" w:eastAsia="en-CA"/>
              </w:rPr>
              <w:t xml:space="preserve"> </w:t>
            </w:r>
            <w:r w:rsidRPr="00936391">
              <w:rPr>
                <w:sz w:val="20"/>
                <w:szCs w:val="20"/>
                <w:lang w:val="fr-CA" w:eastAsia="en-CA"/>
              </w:rPr>
              <w:t>596</w:t>
            </w:r>
          </w:p>
        </w:tc>
        <w:tc>
          <w:tcPr>
            <w:tcW w:w="1333" w:type="dxa"/>
            <w:tcBorders>
              <w:top w:val="nil"/>
              <w:left w:val="nil"/>
              <w:bottom w:val="single" w:sz="4" w:space="0" w:color="auto"/>
              <w:right w:val="single" w:sz="4" w:space="0" w:color="auto"/>
            </w:tcBorders>
            <w:shd w:val="clear" w:color="auto" w:fill="auto"/>
            <w:noWrap/>
            <w:vAlign w:val="bottom"/>
            <w:hideMark/>
          </w:tcPr>
          <w:p w:rsidR="00D17754" w:rsidRPr="00936391" w:rsidRDefault="00D17754" w:rsidP="00E41F0B">
            <w:pPr>
              <w:jc w:val="right"/>
              <w:rPr>
                <w:sz w:val="20"/>
                <w:szCs w:val="20"/>
                <w:lang w:val="fr-CA" w:eastAsia="en-CA"/>
              </w:rPr>
            </w:pPr>
            <w:r w:rsidRPr="00936391">
              <w:rPr>
                <w:sz w:val="20"/>
                <w:szCs w:val="20"/>
                <w:lang w:val="fr-CA" w:eastAsia="en-CA"/>
              </w:rPr>
              <w:t>98</w:t>
            </w:r>
          </w:p>
        </w:tc>
        <w:tc>
          <w:tcPr>
            <w:tcW w:w="1334" w:type="dxa"/>
            <w:tcBorders>
              <w:top w:val="nil"/>
              <w:left w:val="nil"/>
              <w:bottom w:val="single" w:sz="4" w:space="0" w:color="auto"/>
              <w:right w:val="single" w:sz="4" w:space="0" w:color="auto"/>
            </w:tcBorders>
            <w:shd w:val="clear" w:color="auto" w:fill="auto"/>
            <w:noWrap/>
            <w:vAlign w:val="bottom"/>
            <w:hideMark/>
          </w:tcPr>
          <w:p w:rsidR="00D17754" w:rsidRPr="00936391" w:rsidRDefault="00D17754" w:rsidP="00E41F0B">
            <w:pPr>
              <w:jc w:val="left"/>
              <w:rPr>
                <w:sz w:val="20"/>
                <w:szCs w:val="20"/>
                <w:lang w:val="fr-CA" w:eastAsia="en-CA"/>
              </w:rPr>
            </w:pPr>
            <w:r w:rsidRPr="00936391">
              <w:rPr>
                <w:sz w:val="20"/>
                <w:szCs w:val="20"/>
                <w:lang w:val="fr-CA" w:eastAsia="en-CA"/>
              </w:rPr>
              <w:t> </w:t>
            </w:r>
          </w:p>
        </w:tc>
      </w:tr>
      <w:tr w:rsidR="00D17754" w:rsidRPr="00936391" w:rsidTr="00E41F0B">
        <w:trPr>
          <w:trHeight w:val="2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D17754" w:rsidRPr="00936391" w:rsidRDefault="00D17754" w:rsidP="00E41F0B">
            <w:pPr>
              <w:jc w:val="left"/>
              <w:rPr>
                <w:sz w:val="20"/>
                <w:szCs w:val="20"/>
                <w:lang w:val="fr-CA" w:eastAsia="en-CA"/>
              </w:rPr>
            </w:pPr>
            <w:r w:rsidRPr="00936391">
              <w:rPr>
                <w:sz w:val="20"/>
                <w:szCs w:val="20"/>
                <w:lang w:val="fr-CA" w:eastAsia="en-CA"/>
              </w:rPr>
              <w:t>Jordan</w:t>
            </w:r>
            <w:r>
              <w:rPr>
                <w:sz w:val="20"/>
                <w:szCs w:val="20"/>
                <w:lang w:val="fr-CA" w:eastAsia="en-CA"/>
              </w:rPr>
              <w:t>ie</w:t>
            </w:r>
          </w:p>
        </w:tc>
        <w:tc>
          <w:tcPr>
            <w:tcW w:w="1333" w:type="dxa"/>
            <w:tcBorders>
              <w:top w:val="nil"/>
              <w:left w:val="nil"/>
              <w:bottom w:val="single" w:sz="4" w:space="0" w:color="auto"/>
              <w:right w:val="single" w:sz="4" w:space="0" w:color="auto"/>
            </w:tcBorders>
            <w:shd w:val="clear" w:color="auto" w:fill="auto"/>
            <w:noWrap/>
            <w:vAlign w:val="bottom"/>
            <w:hideMark/>
          </w:tcPr>
          <w:p w:rsidR="00D17754" w:rsidRPr="00936391" w:rsidRDefault="00D17754" w:rsidP="00E41F0B">
            <w:pPr>
              <w:jc w:val="right"/>
              <w:rPr>
                <w:sz w:val="20"/>
                <w:szCs w:val="20"/>
                <w:lang w:val="fr-CA" w:eastAsia="en-CA"/>
              </w:rPr>
            </w:pPr>
            <w:r w:rsidRPr="00936391">
              <w:rPr>
                <w:sz w:val="20"/>
                <w:szCs w:val="20"/>
                <w:lang w:val="fr-CA" w:eastAsia="en-CA"/>
              </w:rPr>
              <w:t>0.0</w:t>
            </w:r>
          </w:p>
        </w:tc>
        <w:tc>
          <w:tcPr>
            <w:tcW w:w="1333" w:type="dxa"/>
            <w:tcBorders>
              <w:top w:val="nil"/>
              <w:left w:val="nil"/>
              <w:bottom w:val="single" w:sz="4" w:space="0" w:color="auto"/>
              <w:right w:val="single" w:sz="4" w:space="0" w:color="auto"/>
            </w:tcBorders>
            <w:shd w:val="clear" w:color="auto" w:fill="auto"/>
            <w:noWrap/>
            <w:vAlign w:val="bottom"/>
            <w:hideMark/>
          </w:tcPr>
          <w:p w:rsidR="00D17754" w:rsidRPr="00936391" w:rsidRDefault="00D17754" w:rsidP="00E41F0B">
            <w:pPr>
              <w:jc w:val="left"/>
              <w:rPr>
                <w:sz w:val="20"/>
                <w:szCs w:val="20"/>
                <w:lang w:val="fr-CA" w:eastAsia="en-CA"/>
              </w:rPr>
            </w:pPr>
            <w:r w:rsidRPr="00936391">
              <w:rPr>
                <w:sz w:val="20"/>
                <w:szCs w:val="20"/>
                <w:lang w:val="fr-CA" w:eastAsia="en-CA"/>
              </w:rPr>
              <w:t> </w:t>
            </w:r>
          </w:p>
        </w:tc>
        <w:tc>
          <w:tcPr>
            <w:tcW w:w="1334" w:type="dxa"/>
            <w:tcBorders>
              <w:top w:val="nil"/>
              <w:left w:val="nil"/>
              <w:bottom w:val="single" w:sz="4" w:space="0" w:color="auto"/>
              <w:right w:val="single" w:sz="4" w:space="0" w:color="auto"/>
            </w:tcBorders>
            <w:shd w:val="clear" w:color="auto" w:fill="auto"/>
            <w:noWrap/>
            <w:vAlign w:val="bottom"/>
            <w:hideMark/>
          </w:tcPr>
          <w:p w:rsidR="00D17754" w:rsidRPr="00936391" w:rsidRDefault="00D17754" w:rsidP="00E41F0B">
            <w:pPr>
              <w:jc w:val="right"/>
              <w:rPr>
                <w:sz w:val="20"/>
                <w:szCs w:val="20"/>
                <w:lang w:val="fr-CA" w:eastAsia="en-CA"/>
              </w:rPr>
            </w:pPr>
            <w:r w:rsidRPr="00936391">
              <w:rPr>
                <w:sz w:val="20"/>
                <w:szCs w:val="20"/>
                <w:lang w:val="fr-CA" w:eastAsia="en-CA"/>
              </w:rPr>
              <w:t>444</w:t>
            </w:r>
            <w:r>
              <w:rPr>
                <w:sz w:val="20"/>
                <w:szCs w:val="20"/>
                <w:lang w:val="fr-CA" w:eastAsia="en-CA"/>
              </w:rPr>
              <w:t xml:space="preserve"> </w:t>
            </w:r>
            <w:r w:rsidRPr="00936391">
              <w:rPr>
                <w:sz w:val="20"/>
                <w:szCs w:val="20"/>
                <w:lang w:val="fr-CA" w:eastAsia="en-CA"/>
              </w:rPr>
              <w:t>815</w:t>
            </w:r>
          </w:p>
        </w:tc>
        <w:tc>
          <w:tcPr>
            <w:tcW w:w="1333" w:type="dxa"/>
            <w:tcBorders>
              <w:top w:val="nil"/>
              <w:left w:val="nil"/>
              <w:bottom w:val="single" w:sz="4" w:space="0" w:color="auto"/>
              <w:right w:val="single" w:sz="4" w:space="0" w:color="auto"/>
            </w:tcBorders>
            <w:shd w:val="clear" w:color="auto" w:fill="auto"/>
            <w:noWrap/>
            <w:vAlign w:val="bottom"/>
            <w:hideMark/>
          </w:tcPr>
          <w:p w:rsidR="00D17754" w:rsidRPr="00936391" w:rsidRDefault="00D17754" w:rsidP="00E41F0B">
            <w:pPr>
              <w:jc w:val="right"/>
              <w:rPr>
                <w:sz w:val="20"/>
                <w:szCs w:val="20"/>
                <w:lang w:val="fr-CA" w:eastAsia="en-CA"/>
              </w:rPr>
            </w:pPr>
            <w:r w:rsidRPr="00936391">
              <w:rPr>
                <w:sz w:val="20"/>
                <w:szCs w:val="20"/>
                <w:lang w:val="fr-CA" w:eastAsia="en-CA"/>
              </w:rPr>
              <w:t>134</w:t>
            </w:r>
            <w:r>
              <w:rPr>
                <w:sz w:val="20"/>
                <w:szCs w:val="20"/>
                <w:lang w:val="fr-CA" w:eastAsia="en-CA"/>
              </w:rPr>
              <w:t xml:space="preserve"> </w:t>
            </w:r>
            <w:r w:rsidRPr="00936391">
              <w:rPr>
                <w:sz w:val="20"/>
                <w:szCs w:val="20"/>
                <w:lang w:val="fr-CA" w:eastAsia="en-CA"/>
              </w:rPr>
              <w:t>540</w:t>
            </w:r>
          </w:p>
        </w:tc>
        <w:tc>
          <w:tcPr>
            <w:tcW w:w="1333" w:type="dxa"/>
            <w:tcBorders>
              <w:top w:val="nil"/>
              <w:left w:val="nil"/>
              <w:bottom w:val="single" w:sz="4" w:space="0" w:color="auto"/>
              <w:right w:val="single" w:sz="4" w:space="0" w:color="auto"/>
            </w:tcBorders>
            <w:shd w:val="clear" w:color="auto" w:fill="auto"/>
            <w:noWrap/>
            <w:vAlign w:val="bottom"/>
            <w:hideMark/>
          </w:tcPr>
          <w:p w:rsidR="00D17754" w:rsidRPr="00936391" w:rsidRDefault="00D17754" w:rsidP="00E41F0B">
            <w:pPr>
              <w:jc w:val="right"/>
              <w:rPr>
                <w:sz w:val="20"/>
                <w:szCs w:val="20"/>
                <w:lang w:val="fr-CA" w:eastAsia="en-CA"/>
              </w:rPr>
            </w:pPr>
            <w:r w:rsidRPr="00936391">
              <w:rPr>
                <w:sz w:val="20"/>
                <w:szCs w:val="20"/>
                <w:lang w:val="fr-CA" w:eastAsia="en-CA"/>
              </w:rPr>
              <w:t>30</w:t>
            </w:r>
          </w:p>
        </w:tc>
        <w:tc>
          <w:tcPr>
            <w:tcW w:w="1334" w:type="dxa"/>
            <w:tcBorders>
              <w:top w:val="nil"/>
              <w:left w:val="nil"/>
              <w:bottom w:val="single" w:sz="4" w:space="0" w:color="auto"/>
              <w:right w:val="single" w:sz="4" w:space="0" w:color="auto"/>
            </w:tcBorders>
            <w:shd w:val="clear" w:color="auto" w:fill="auto"/>
            <w:noWrap/>
            <w:vAlign w:val="bottom"/>
            <w:hideMark/>
          </w:tcPr>
          <w:p w:rsidR="00D17754" w:rsidRPr="00936391" w:rsidRDefault="00D17754" w:rsidP="00E41F0B">
            <w:pPr>
              <w:jc w:val="right"/>
              <w:rPr>
                <w:sz w:val="20"/>
                <w:szCs w:val="20"/>
                <w:lang w:val="fr-CA" w:eastAsia="en-CA"/>
              </w:rPr>
            </w:pPr>
            <w:r w:rsidRPr="00936391">
              <w:rPr>
                <w:sz w:val="20"/>
                <w:szCs w:val="20"/>
                <w:lang w:val="fr-CA" w:eastAsia="en-CA"/>
              </w:rPr>
              <w:t>50</w:t>
            </w:r>
          </w:p>
        </w:tc>
      </w:tr>
      <w:tr w:rsidR="00D17754" w:rsidRPr="00936391" w:rsidTr="00E41F0B">
        <w:trPr>
          <w:trHeight w:val="2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D17754" w:rsidRPr="00936391" w:rsidRDefault="00D17754" w:rsidP="00E41F0B">
            <w:pPr>
              <w:jc w:val="left"/>
              <w:rPr>
                <w:sz w:val="20"/>
                <w:szCs w:val="20"/>
                <w:lang w:val="fr-CA" w:eastAsia="en-CA"/>
              </w:rPr>
            </w:pPr>
            <w:r>
              <w:rPr>
                <w:sz w:val="20"/>
                <w:szCs w:val="20"/>
                <w:lang w:val="fr-CA" w:eastAsia="en-CA"/>
              </w:rPr>
              <w:t>Mondial</w:t>
            </w:r>
          </w:p>
        </w:tc>
        <w:tc>
          <w:tcPr>
            <w:tcW w:w="1333" w:type="dxa"/>
            <w:tcBorders>
              <w:top w:val="nil"/>
              <w:left w:val="nil"/>
              <w:bottom w:val="single" w:sz="4" w:space="0" w:color="auto"/>
              <w:right w:val="single" w:sz="4" w:space="0" w:color="auto"/>
            </w:tcBorders>
            <w:shd w:val="clear" w:color="auto" w:fill="auto"/>
            <w:noWrap/>
            <w:vAlign w:val="bottom"/>
            <w:hideMark/>
          </w:tcPr>
          <w:p w:rsidR="00D17754" w:rsidRPr="00936391" w:rsidRDefault="00D17754" w:rsidP="00E41F0B">
            <w:pPr>
              <w:jc w:val="right"/>
              <w:rPr>
                <w:sz w:val="20"/>
                <w:szCs w:val="20"/>
                <w:lang w:val="fr-CA" w:eastAsia="en-CA"/>
              </w:rPr>
            </w:pPr>
            <w:r w:rsidRPr="00936391">
              <w:rPr>
                <w:sz w:val="20"/>
                <w:szCs w:val="20"/>
                <w:lang w:val="fr-CA" w:eastAsia="en-CA"/>
              </w:rPr>
              <w:t>0.0</w:t>
            </w:r>
          </w:p>
        </w:tc>
        <w:tc>
          <w:tcPr>
            <w:tcW w:w="1333" w:type="dxa"/>
            <w:tcBorders>
              <w:top w:val="nil"/>
              <w:left w:val="nil"/>
              <w:bottom w:val="single" w:sz="4" w:space="0" w:color="auto"/>
              <w:right w:val="single" w:sz="4" w:space="0" w:color="auto"/>
            </w:tcBorders>
            <w:shd w:val="clear" w:color="auto" w:fill="auto"/>
            <w:noWrap/>
            <w:vAlign w:val="bottom"/>
            <w:hideMark/>
          </w:tcPr>
          <w:p w:rsidR="00D17754" w:rsidRPr="00936391" w:rsidRDefault="00D17754" w:rsidP="00E41F0B">
            <w:pPr>
              <w:jc w:val="left"/>
              <w:rPr>
                <w:sz w:val="20"/>
                <w:szCs w:val="20"/>
                <w:lang w:val="fr-CA" w:eastAsia="en-CA"/>
              </w:rPr>
            </w:pPr>
            <w:r w:rsidRPr="00936391">
              <w:rPr>
                <w:sz w:val="20"/>
                <w:szCs w:val="20"/>
                <w:lang w:val="fr-CA" w:eastAsia="en-CA"/>
              </w:rPr>
              <w:t> </w:t>
            </w:r>
          </w:p>
        </w:tc>
        <w:tc>
          <w:tcPr>
            <w:tcW w:w="1334" w:type="dxa"/>
            <w:tcBorders>
              <w:top w:val="nil"/>
              <w:left w:val="nil"/>
              <w:bottom w:val="single" w:sz="4" w:space="0" w:color="auto"/>
              <w:right w:val="single" w:sz="4" w:space="0" w:color="auto"/>
            </w:tcBorders>
            <w:shd w:val="clear" w:color="auto" w:fill="auto"/>
            <w:noWrap/>
            <w:vAlign w:val="bottom"/>
            <w:hideMark/>
          </w:tcPr>
          <w:p w:rsidR="00D17754" w:rsidRPr="00936391" w:rsidRDefault="00D17754" w:rsidP="00E41F0B">
            <w:pPr>
              <w:jc w:val="right"/>
              <w:rPr>
                <w:sz w:val="20"/>
                <w:szCs w:val="20"/>
                <w:lang w:val="fr-CA" w:eastAsia="en-CA"/>
              </w:rPr>
            </w:pPr>
            <w:r w:rsidRPr="00936391">
              <w:rPr>
                <w:sz w:val="20"/>
                <w:szCs w:val="20"/>
                <w:lang w:val="fr-CA" w:eastAsia="en-CA"/>
              </w:rPr>
              <w:t>0</w:t>
            </w:r>
          </w:p>
        </w:tc>
        <w:tc>
          <w:tcPr>
            <w:tcW w:w="1333" w:type="dxa"/>
            <w:tcBorders>
              <w:top w:val="nil"/>
              <w:left w:val="nil"/>
              <w:bottom w:val="single" w:sz="4" w:space="0" w:color="auto"/>
              <w:right w:val="single" w:sz="4" w:space="0" w:color="auto"/>
            </w:tcBorders>
            <w:shd w:val="clear" w:color="auto" w:fill="auto"/>
            <w:noWrap/>
            <w:vAlign w:val="bottom"/>
            <w:hideMark/>
          </w:tcPr>
          <w:p w:rsidR="00D17754" w:rsidRPr="00936391" w:rsidRDefault="00D17754" w:rsidP="00E41F0B">
            <w:pPr>
              <w:jc w:val="right"/>
              <w:rPr>
                <w:sz w:val="20"/>
                <w:szCs w:val="20"/>
                <w:lang w:val="fr-CA" w:eastAsia="en-CA"/>
              </w:rPr>
            </w:pPr>
            <w:r w:rsidRPr="00936391">
              <w:rPr>
                <w:sz w:val="20"/>
                <w:szCs w:val="20"/>
                <w:lang w:val="fr-CA" w:eastAsia="en-CA"/>
              </w:rPr>
              <w:t>0</w:t>
            </w:r>
          </w:p>
        </w:tc>
        <w:tc>
          <w:tcPr>
            <w:tcW w:w="1333" w:type="dxa"/>
            <w:tcBorders>
              <w:top w:val="nil"/>
              <w:left w:val="nil"/>
              <w:bottom w:val="single" w:sz="4" w:space="0" w:color="auto"/>
              <w:right w:val="single" w:sz="4" w:space="0" w:color="auto"/>
            </w:tcBorders>
            <w:shd w:val="clear" w:color="auto" w:fill="auto"/>
            <w:noWrap/>
            <w:vAlign w:val="bottom"/>
            <w:hideMark/>
          </w:tcPr>
          <w:p w:rsidR="00D17754" w:rsidRPr="00936391" w:rsidRDefault="00D17754" w:rsidP="00E41F0B">
            <w:pPr>
              <w:jc w:val="left"/>
              <w:rPr>
                <w:sz w:val="20"/>
                <w:szCs w:val="20"/>
                <w:lang w:val="fr-CA" w:eastAsia="en-CA"/>
              </w:rPr>
            </w:pPr>
            <w:r w:rsidRPr="00936391">
              <w:rPr>
                <w:sz w:val="20"/>
                <w:szCs w:val="20"/>
                <w:lang w:val="fr-CA" w:eastAsia="en-CA"/>
              </w:rPr>
              <w:t> </w:t>
            </w:r>
          </w:p>
        </w:tc>
        <w:tc>
          <w:tcPr>
            <w:tcW w:w="1334" w:type="dxa"/>
            <w:tcBorders>
              <w:top w:val="nil"/>
              <w:left w:val="nil"/>
              <w:bottom w:val="single" w:sz="4" w:space="0" w:color="auto"/>
              <w:right w:val="single" w:sz="4" w:space="0" w:color="auto"/>
            </w:tcBorders>
            <w:shd w:val="clear" w:color="auto" w:fill="auto"/>
            <w:noWrap/>
            <w:vAlign w:val="bottom"/>
            <w:hideMark/>
          </w:tcPr>
          <w:p w:rsidR="00D17754" w:rsidRPr="00936391" w:rsidRDefault="00D17754" w:rsidP="00E41F0B">
            <w:pPr>
              <w:jc w:val="right"/>
              <w:rPr>
                <w:sz w:val="20"/>
                <w:szCs w:val="20"/>
                <w:lang w:val="fr-CA" w:eastAsia="en-CA"/>
              </w:rPr>
            </w:pPr>
            <w:r w:rsidRPr="00936391">
              <w:rPr>
                <w:sz w:val="20"/>
                <w:szCs w:val="20"/>
                <w:lang w:val="fr-CA" w:eastAsia="en-CA"/>
              </w:rPr>
              <w:t>100</w:t>
            </w:r>
          </w:p>
        </w:tc>
      </w:tr>
      <w:tr w:rsidR="00D17754" w:rsidRPr="00936391" w:rsidTr="00E41F0B">
        <w:trPr>
          <w:trHeight w:val="2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D17754" w:rsidRPr="00936391" w:rsidRDefault="00D17754" w:rsidP="00E41F0B">
            <w:pPr>
              <w:jc w:val="left"/>
              <w:rPr>
                <w:sz w:val="20"/>
                <w:szCs w:val="20"/>
                <w:lang w:val="fr-CA" w:eastAsia="en-CA"/>
              </w:rPr>
            </w:pPr>
            <w:r>
              <w:rPr>
                <w:sz w:val="20"/>
                <w:szCs w:val="20"/>
                <w:lang w:val="fr-CA" w:eastAsia="en-CA"/>
              </w:rPr>
              <w:t>Thaïlande</w:t>
            </w:r>
          </w:p>
        </w:tc>
        <w:tc>
          <w:tcPr>
            <w:tcW w:w="1333" w:type="dxa"/>
            <w:tcBorders>
              <w:top w:val="nil"/>
              <w:left w:val="nil"/>
              <w:bottom w:val="single" w:sz="4" w:space="0" w:color="auto"/>
              <w:right w:val="single" w:sz="4" w:space="0" w:color="auto"/>
            </w:tcBorders>
            <w:shd w:val="clear" w:color="auto" w:fill="auto"/>
            <w:noWrap/>
            <w:vAlign w:val="bottom"/>
            <w:hideMark/>
          </w:tcPr>
          <w:p w:rsidR="00D17754" w:rsidRPr="00936391" w:rsidRDefault="00D17754" w:rsidP="00E41F0B">
            <w:pPr>
              <w:jc w:val="right"/>
              <w:rPr>
                <w:sz w:val="20"/>
                <w:szCs w:val="20"/>
                <w:lang w:val="fr-CA" w:eastAsia="en-CA"/>
              </w:rPr>
            </w:pPr>
            <w:r w:rsidRPr="00936391">
              <w:rPr>
                <w:sz w:val="20"/>
                <w:szCs w:val="20"/>
                <w:lang w:val="fr-CA" w:eastAsia="en-CA"/>
              </w:rPr>
              <w:t>74.6</w:t>
            </w:r>
          </w:p>
        </w:tc>
        <w:tc>
          <w:tcPr>
            <w:tcW w:w="1333" w:type="dxa"/>
            <w:tcBorders>
              <w:top w:val="nil"/>
              <w:left w:val="nil"/>
              <w:bottom w:val="single" w:sz="4" w:space="0" w:color="auto"/>
              <w:right w:val="single" w:sz="4" w:space="0" w:color="auto"/>
            </w:tcBorders>
            <w:shd w:val="clear" w:color="auto" w:fill="auto"/>
            <w:noWrap/>
            <w:vAlign w:val="bottom"/>
            <w:hideMark/>
          </w:tcPr>
          <w:p w:rsidR="00D17754" w:rsidRPr="00936391" w:rsidRDefault="00D17754" w:rsidP="00E41F0B">
            <w:pPr>
              <w:jc w:val="right"/>
              <w:rPr>
                <w:sz w:val="20"/>
                <w:szCs w:val="20"/>
                <w:lang w:val="fr-CA" w:eastAsia="en-CA"/>
              </w:rPr>
            </w:pPr>
            <w:r w:rsidRPr="00936391">
              <w:rPr>
                <w:sz w:val="20"/>
                <w:szCs w:val="20"/>
                <w:lang w:val="fr-CA" w:eastAsia="en-CA"/>
              </w:rPr>
              <w:t>100</w:t>
            </w:r>
          </w:p>
        </w:tc>
        <w:tc>
          <w:tcPr>
            <w:tcW w:w="1334" w:type="dxa"/>
            <w:tcBorders>
              <w:top w:val="nil"/>
              <w:left w:val="nil"/>
              <w:bottom w:val="single" w:sz="4" w:space="0" w:color="auto"/>
              <w:right w:val="single" w:sz="4" w:space="0" w:color="auto"/>
            </w:tcBorders>
            <w:shd w:val="clear" w:color="auto" w:fill="auto"/>
            <w:noWrap/>
            <w:vAlign w:val="bottom"/>
            <w:hideMark/>
          </w:tcPr>
          <w:p w:rsidR="00D17754" w:rsidRPr="00936391" w:rsidRDefault="00D17754" w:rsidP="00E41F0B">
            <w:pPr>
              <w:jc w:val="right"/>
              <w:rPr>
                <w:sz w:val="20"/>
                <w:szCs w:val="20"/>
                <w:lang w:val="fr-CA" w:eastAsia="en-CA"/>
              </w:rPr>
            </w:pPr>
            <w:r w:rsidRPr="00936391">
              <w:rPr>
                <w:sz w:val="20"/>
                <w:szCs w:val="20"/>
                <w:lang w:val="fr-CA" w:eastAsia="en-CA"/>
              </w:rPr>
              <w:t>5</w:t>
            </w:r>
            <w:r>
              <w:rPr>
                <w:sz w:val="20"/>
                <w:szCs w:val="20"/>
                <w:lang w:val="fr-CA" w:eastAsia="en-CA"/>
              </w:rPr>
              <w:t xml:space="preserve"> </w:t>
            </w:r>
            <w:r w:rsidRPr="00936391">
              <w:rPr>
                <w:sz w:val="20"/>
                <w:szCs w:val="20"/>
                <w:lang w:val="fr-CA" w:eastAsia="en-CA"/>
              </w:rPr>
              <w:t>114</w:t>
            </w:r>
            <w:r>
              <w:rPr>
                <w:sz w:val="20"/>
                <w:szCs w:val="20"/>
                <w:lang w:val="fr-CA" w:eastAsia="en-CA"/>
              </w:rPr>
              <w:t xml:space="preserve"> </w:t>
            </w:r>
            <w:r w:rsidRPr="00936391">
              <w:rPr>
                <w:sz w:val="20"/>
                <w:szCs w:val="20"/>
                <w:lang w:val="fr-CA" w:eastAsia="en-CA"/>
              </w:rPr>
              <w:t>580</w:t>
            </w:r>
          </w:p>
        </w:tc>
        <w:tc>
          <w:tcPr>
            <w:tcW w:w="1333" w:type="dxa"/>
            <w:tcBorders>
              <w:top w:val="nil"/>
              <w:left w:val="nil"/>
              <w:bottom w:val="single" w:sz="4" w:space="0" w:color="auto"/>
              <w:right w:val="single" w:sz="4" w:space="0" w:color="auto"/>
            </w:tcBorders>
            <w:shd w:val="clear" w:color="auto" w:fill="auto"/>
            <w:noWrap/>
            <w:vAlign w:val="bottom"/>
            <w:hideMark/>
          </w:tcPr>
          <w:p w:rsidR="00D17754" w:rsidRPr="00936391" w:rsidRDefault="00D17754" w:rsidP="00E41F0B">
            <w:pPr>
              <w:jc w:val="right"/>
              <w:rPr>
                <w:sz w:val="20"/>
                <w:szCs w:val="20"/>
                <w:lang w:val="fr-CA" w:eastAsia="en-CA"/>
              </w:rPr>
            </w:pPr>
            <w:r w:rsidRPr="00936391">
              <w:rPr>
                <w:sz w:val="20"/>
                <w:szCs w:val="20"/>
                <w:lang w:val="fr-CA" w:eastAsia="en-CA"/>
              </w:rPr>
              <w:t>4</w:t>
            </w:r>
            <w:r>
              <w:rPr>
                <w:sz w:val="20"/>
                <w:szCs w:val="20"/>
                <w:lang w:val="fr-CA" w:eastAsia="en-CA"/>
              </w:rPr>
              <w:t xml:space="preserve"> </w:t>
            </w:r>
            <w:r w:rsidRPr="00936391">
              <w:rPr>
                <w:sz w:val="20"/>
                <w:szCs w:val="20"/>
                <w:lang w:val="fr-CA" w:eastAsia="en-CA"/>
              </w:rPr>
              <w:t>749</w:t>
            </w:r>
            <w:r>
              <w:rPr>
                <w:sz w:val="20"/>
                <w:szCs w:val="20"/>
                <w:lang w:val="fr-CA" w:eastAsia="en-CA"/>
              </w:rPr>
              <w:t xml:space="preserve"> </w:t>
            </w:r>
            <w:r w:rsidRPr="00936391">
              <w:rPr>
                <w:sz w:val="20"/>
                <w:szCs w:val="20"/>
                <w:lang w:val="fr-CA" w:eastAsia="en-CA"/>
              </w:rPr>
              <w:t>432</w:t>
            </w:r>
          </w:p>
        </w:tc>
        <w:tc>
          <w:tcPr>
            <w:tcW w:w="1333" w:type="dxa"/>
            <w:tcBorders>
              <w:top w:val="nil"/>
              <w:left w:val="nil"/>
              <w:bottom w:val="single" w:sz="4" w:space="0" w:color="auto"/>
              <w:right w:val="single" w:sz="4" w:space="0" w:color="auto"/>
            </w:tcBorders>
            <w:shd w:val="clear" w:color="auto" w:fill="auto"/>
            <w:noWrap/>
            <w:vAlign w:val="bottom"/>
            <w:hideMark/>
          </w:tcPr>
          <w:p w:rsidR="00D17754" w:rsidRPr="00936391" w:rsidRDefault="00D17754" w:rsidP="00E41F0B">
            <w:pPr>
              <w:jc w:val="right"/>
              <w:rPr>
                <w:sz w:val="20"/>
                <w:szCs w:val="20"/>
                <w:lang w:val="fr-CA" w:eastAsia="en-CA"/>
              </w:rPr>
            </w:pPr>
            <w:r w:rsidRPr="00936391">
              <w:rPr>
                <w:sz w:val="20"/>
                <w:szCs w:val="20"/>
                <w:lang w:val="fr-CA" w:eastAsia="en-CA"/>
              </w:rPr>
              <w:t>93</w:t>
            </w:r>
          </w:p>
        </w:tc>
        <w:tc>
          <w:tcPr>
            <w:tcW w:w="1334" w:type="dxa"/>
            <w:tcBorders>
              <w:top w:val="nil"/>
              <w:left w:val="nil"/>
              <w:bottom w:val="single" w:sz="4" w:space="0" w:color="auto"/>
              <w:right w:val="single" w:sz="4" w:space="0" w:color="auto"/>
            </w:tcBorders>
            <w:shd w:val="clear" w:color="auto" w:fill="auto"/>
            <w:noWrap/>
            <w:vAlign w:val="bottom"/>
            <w:hideMark/>
          </w:tcPr>
          <w:p w:rsidR="00D17754" w:rsidRPr="00936391" w:rsidRDefault="00D17754" w:rsidP="00E41F0B">
            <w:pPr>
              <w:jc w:val="right"/>
              <w:rPr>
                <w:sz w:val="20"/>
                <w:szCs w:val="20"/>
                <w:lang w:val="fr-CA" w:eastAsia="en-CA"/>
              </w:rPr>
            </w:pPr>
            <w:r w:rsidRPr="00936391">
              <w:rPr>
                <w:sz w:val="20"/>
                <w:szCs w:val="20"/>
                <w:lang w:val="fr-CA" w:eastAsia="en-CA"/>
              </w:rPr>
              <w:t>92</w:t>
            </w:r>
          </w:p>
        </w:tc>
      </w:tr>
      <w:tr w:rsidR="00D17754" w:rsidRPr="00936391" w:rsidTr="00E41F0B">
        <w:trPr>
          <w:trHeight w:val="2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D17754" w:rsidRPr="00936391" w:rsidRDefault="00D17754" w:rsidP="00D17754">
            <w:pPr>
              <w:jc w:val="left"/>
              <w:rPr>
                <w:sz w:val="20"/>
                <w:szCs w:val="20"/>
                <w:lang w:val="fr-CA" w:eastAsia="en-CA"/>
              </w:rPr>
            </w:pPr>
            <w:r w:rsidRPr="00936391">
              <w:rPr>
                <w:sz w:val="20"/>
                <w:szCs w:val="20"/>
                <w:lang w:val="fr-CA" w:eastAsia="en-CA"/>
              </w:rPr>
              <w:t>Viet</w:t>
            </w:r>
            <w:r>
              <w:rPr>
                <w:sz w:val="20"/>
                <w:szCs w:val="20"/>
                <w:lang w:val="fr-CA" w:eastAsia="en-CA"/>
              </w:rPr>
              <w:t xml:space="preserve"> Nam</w:t>
            </w:r>
          </w:p>
        </w:tc>
        <w:tc>
          <w:tcPr>
            <w:tcW w:w="1333" w:type="dxa"/>
            <w:tcBorders>
              <w:top w:val="nil"/>
              <w:left w:val="nil"/>
              <w:bottom w:val="single" w:sz="4" w:space="0" w:color="auto"/>
              <w:right w:val="single" w:sz="4" w:space="0" w:color="auto"/>
            </w:tcBorders>
            <w:shd w:val="clear" w:color="auto" w:fill="auto"/>
            <w:noWrap/>
            <w:vAlign w:val="bottom"/>
            <w:hideMark/>
          </w:tcPr>
          <w:p w:rsidR="00D17754" w:rsidRPr="00936391" w:rsidRDefault="00D17754" w:rsidP="00E41F0B">
            <w:pPr>
              <w:jc w:val="right"/>
              <w:rPr>
                <w:sz w:val="20"/>
                <w:szCs w:val="20"/>
                <w:lang w:val="fr-CA" w:eastAsia="en-CA"/>
              </w:rPr>
            </w:pPr>
            <w:r w:rsidRPr="00936391">
              <w:rPr>
                <w:sz w:val="20"/>
                <w:szCs w:val="20"/>
                <w:lang w:val="fr-CA" w:eastAsia="en-CA"/>
              </w:rPr>
              <w:t>0.0</w:t>
            </w:r>
          </w:p>
        </w:tc>
        <w:tc>
          <w:tcPr>
            <w:tcW w:w="1333" w:type="dxa"/>
            <w:tcBorders>
              <w:top w:val="nil"/>
              <w:left w:val="nil"/>
              <w:bottom w:val="single" w:sz="4" w:space="0" w:color="auto"/>
              <w:right w:val="single" w:sz="4" w:space="0" w:color="auto"/>
            </w:tcBorders>
            <w:shd w:val="clear" w:color="auto" w:fill="auto"/>
            <w:noWrap/>
            <w:vAlign w:val="bottom"/>
            <w:hideMark/>
          </w:tcPr>
          <w:p w:rsidR="00D17754" w:rsidRPr="00936391" w:rsidRDefault="00D17754" w:rsidP="00E41F0B">
            <w:pPr>
              <w:jc w:val="left"/>
              <w:rPr>
                <w:sz w:val="20"/>
                <w:szCs w:val="20"/>
                <w:lang w:val="fr-CA" w:eastAsia="en-CA"/>
              </w:rPr>
            </w:pPr>
            <w:r w:rsidRPr="00936391">
              <w:rPr>
                <w:sz w:val="20"/>
                <w:szCs w:val="20"/>
                <w:lang w:val="fr-CA" w:eastAsia="en-CA"/>
              </w:rPr>
              <w:t> </w:t>
            </w:r>
          </w:p>
        </w:tc>
        <w:tc>
          <w:tcPr>
            <w:tcW w:w="1334" w:type="dxa"/>
            <w:tcBorders>
              <w:top w:val="nil"/>
              <w:left w:val="nil"/>
              <w:bottom w:val="single" w:sz="4" w:space="0" w:color="auto"/>
              <w:right w:val="single" w:sz="4" w:space="0" w:color="auto"/>
            </w:tcBorders>
            <w:shd w:val="clear" w:color="auto" w:fill="auto"/>
            <w:noWrap/>
            <w:vAlign w:val="bottom"/>
            <w:hideMark/>
          </w:tcPr>
          <w:p w:rsidR="00D17754" w:rsidRPr="00936391" w:rsidRDefault="00D17754" w:rsidP="00E41F0B">
            <w:pPr>
              <w:jc w:val="right"/>
              <w:rPr>
                <w:sz w:val="20"/>
                <w:szCs w:val="20"/>
                <w:lang w:val="fr-CA" w:eastAsia="en-CA"/>
              </w:rPr>
            </w:pPr>
            <w:r w:rsidRPr="00936391">
              <w:rPr>
                <w:sz w:val="20"/>
                <w:szCs w:val="20"/>
                <w:lang w:val="fr-CA" w:eastAsia="en-CA"/>
              </w:rPr>
              <w:t>85</w:t>
            </w:r>
            <w:r>
              <w:rPr>
                <w:sz w:val="20"/>
                <w:szCs w:val="20"/>
                <w:lang w:val="fr-CA" w:eastAsia="en-CA"/>
              </w:rPr>
              <w:t xml:space="preserve"> </w:t>
            </w:r>
            <w:r w:rsidRPr="00936391">
              <w:rPr>
                <w:sz w:val="20"/>
                <w:szCs w:val="20"/>
                <w:lang w:val="fr-CA" w:eastAsia="en-CA"/>
              </w:rPr>
              <w:t>000</w:t>
            </w:r>
          </w:p>
        </w:tc>
        <w:tc>
          <w:tcPr>
            <w:tcW w:w="1333" w:type="dxa"/>
            <w:tcBorders>
              <w:top w:val="nil"/>
              <w:left w:val="nil"/>
              <w:bottom w:val="single" w:sz="4" w:space="0" w:color="auto"/>
              <w:right w:val="single" w:sz="4" w:space="0" w:color="auto"/>
            </w:tcBorders>
            <w:shd w:val="clear" w:color="auto" w:fill="auto"/>
            <w:noWrap/>
            <w:vAlign w:val="bottom"/>
            <w:hideMark/>
          </w:tcPr>
          <w:p w:rsidR="00D17754" w:rsidRPr="00936391" w:rsidRDefault="00D17754" w:rsidP="00E41F0B">
            <w:pPr>
              <w:jc w:val="right"/>
              <w:rPr>
                <w:sz w:val="20"/>
                <w:szCs w:val="20"/>
                <w:lang w:val="fr-CA" w:eastAsia="en-CA"/>
              </w:rPr>
            </w:pPr>
            <w:r w:rsidRPr="00936391">
              <w:rPr>
                <w:sz w:val="20"/>
                <w:szCs w:val="20"/>
                <w:lang w:val="fr-CA" w:eastAsia="en-CA"/>
              </w:rPr>
              <w:t>0</w:t>
            </w:r>
          </w:p>
        </w:tc>
        <w:tc>
          <w:tcPr>
            <w:tcW w:w="1333" w:type="dxa"/>
            <w:tcBorders>
              <w:top w:val="nil"/>
              <w:left w:val="nil"/>
              <w:bottom w:val="single" w:sz="4" w:space="0" w:color="auto"/>
              <w:right w:val="single" w:sz="4" w:space="0" w:color="auto"/>
            </w:tcBorders>
            <w:shd w:val="clear" w:color="auto" w:fill="auto"/>
            <w:noWrap/>
            <w:vAlign w:val="bottom"/>
            <w:hideMark/>
          </w:tcPr>
          <w:p w:rsidR="00D17754" w:rsidRPr="00936391" w:rsidRDefault="00D17754" w:rsidP="00E41F0B">
            <w:pPr>
              <w:jc w:val="right"/>
              <w:rPr>
                <w:sz w:val="20"/>
                <w:szCs w:val="20"/>
                <w:lang w:val="fr-CA" w:eastAsia="en-CA"/>
              </w:rPr>
            </w:pPr>
            <w:r w:rsidRPr="00936391">
              <w:rPr>
                <w:sz w:val="20"/>
                <w:szCs w:val="20"/>
                <w:lang w:val="fr-CA" w:eastAsia="en-CA"/>
              </w:rPr>
              <w:t>0</w:t>
            </w:r>
          </w:p>
        </w:tc>
        <w:tc>
          <w:tcPr>
            <w:tcW w:w="1334" w:type="dxa"/>
            <w:tcBorders>
              <w:top w:val="nil"/>
              <w:left w:val="nil"/>
              <w:bottom w:val="single" w:sz="4" w:space="0" w:color="auto"/>
              <w:right w:val="single" w:sz="4" w:space="0" w:color="auto"/>
            </w:tcBorders>
            <w:shd w:val="clear" w:color="auto" w:fill="auto"/>
            <w:noWrap/>
            <w:vAlign w:val="bottom"/>
            <w:hideMark/>
          </w:tcPr>
          <w:p w:rsidR="00D17754" w:rsidRPr="00936391" w:rsidRDefault="00D17754" w:rsidP="00E41F0B">
            <w:pPr>
              <w:jc w:val="left"/>
              <w:rPr>
                <w:sz w:val="20"/>
                <w:szCs w:val="20"/>
                <w:lang w:val="fr-CA" w:eastAsia="en-CA"/>
              </w:rPr>
            </w:pPr>
            <w:r w:rsidRPr="00936391">
              <w:rPr>
                <w:sz w:val="20"/>
                <w:szCs w:val="20"/>
                <w:lang w:val="fr-CA" w:eastAsia="en-CA"/>
              </w:rPr>
              <w:t> </w:t>
            </w:r>
          </w:p>
        </w:tc>
      </w:tr>
      <w:tr w:rsidR="00936391" w:rsidRPr="00936391" w:rsidTr="00E41F0B">
        <w:trPr>
          <w:trHeight w:val="2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936391" w:rsidRPr="00936391" w:rsidRDefault="00936391" w:rsidP="00E41F0B">
            <w:pPr>
              <w:jc w:val="left"/>
              <w:rPr>
                <w:b/>
                <w:bCs/>
                <w:sz w:val="20"/>
                <w:szCs w:val="20"/>
                <w:lang w:val="fr-CA" w:eastAsia="en-CA"/>
              </w:rPr>
            </w:pPr>
            <w:r w:rsidRPr="00936391">
              <w:rPr>
                <w:b/>
                <w:bCs/>
                <w:sz w:val="20"/>
                <w:szCs w:val="20"/>
                <w:lang w:val="fr-CA" w:eastAsia="en-CA"/>
              </w:rPr>
              <w:t>Total</w:t>
            </w:r>
          </w:p>
        </w:tc>
        <w:tc>
          <w:tcPr>
            <w:tcW w:w="1333" w:type="dxa"/>
            <w:tcBorders>
              <w:top w:val="nil"/>
              <w:left w:val="nil"/>
              <w:bottom w:val="single" w:sz="4" w:space="0" w:color="auto"/>
              <w:right w:val="single" w:sz="4" w:space="0" w:color="auto"/>
            </w:tcBorders>
            <w:shd w:val="clear" w:color="auto" w:fill="auto"/>
            <w:noWrap/>
            <w:vAlign w:val="bottom"/>
            <w:hideMark/>
          </w:tcPr>
          <w:p w:rsidR="00936391" w:rsidRPr="00936391" w:rsidRDefault="00936391" w:rsidP="00E41F0B">
            <w:pPr>
              <w:jc w:val="right"/>
              <w:rPr>
                <w:b/>
                <w:bCs/>
                <w:sz w:val="20"/>
                <w:szCs w:val="20"/>
                <w:lang w:val="fr-CA" w:eastAsia="en-CA"/>
              </w:rPr>
            </w:pPr>
            <w:r w:rsidRPr="00936391">
              <w:rPr>
                <w:b/>
                <w:bCs/>
                <w:sz w:val="20"/>
                <w:szCs w:val="20"/>
                <w:lang w:val="fr-CA" w:eastAsia="en-CA"/>
              </w:rPr>
              <w:t>98.1</w:t>
            </w:r>
          </w:p>
        </w:tc>
        <w:tc>
          <w:tcPr>
            <w:tcW w:w="1333" w:type="dxa"/>
            <w:tcBorders>
              <w:top w:val="nil"/>
              <w:left w:val="nil"/>
              <w:bottom w:val="single" w:sz="4" w:space="0" w:color="auto"/>
              <w:right w:val="single" w:sz="4" w:space="0" w:color="auto"/>
            </w:tcBorders>
            <w:shd w:val="clear" w:color="auto" w:fill="auto"/>
            <w:noWrap/>
            <w:vAlign w:val="bottom"/>
            <w:hideMark/>
          </w:tcPr>
          <w:p w:rsidR="00936391" w:rsidRPr="00936391" w:rsidRDefault="00936391" w:rsidP="00E41F0B">
            <w:pPr>
              <w:jc w:val="right"/>
              <w:rPr>
                <w:b/>
                <w:bCs/>
                <w:sz w:val="20"/>
                <w:szCs w:val="20"/>
                <w:lang w:val="fr-CA" w:eastAsia="en-CA"/>
              </w:rPr>
            </w:pPr>
            <w:r w:rsidRPr="00936391">
              <w:rPr>
                <w:b/>
                <w:bCs/>
                <w:sz w:val="20"/>
                <w:szCs w:val="20"/>
                <w:lang w:val="fr-CA" w:eastAsia="en-CA"/>
              </w:rPr>
              <w:t>4</w:t>
            </w:r>
          </w:p>
        </w:tc>
        <w:tc>
          <w:tcPr>
            <w:tcW w:w="1334" w:type="dxa"/>
            <w:tcBorders>
              <w:top w:val="nil"/>
              <w:left w:val="nil"/>
              <w:bottom w:val="single" w:sz="4" w:space="0" w:color="auto"/>
              <w:right w:val="single" w:sz="4" w:space="0" w:color="auto"/>
            </w:tcBorders>
            <w:shd w:val="clear" w:color="auto" w:fill="auto"/>
            <w:noWrap/>
            <w:vAlign w:val="bottom"/>
            <w:hideMark/>
          </w:tcPr>
          <w:p w:rsidR="00936391" w:rsidRPr="00936391" w:rsidRDefault="00936391" w:rsidP="00E41F0B">
            <w:pPr>
              <w:jc w:val="right"/>
              <w:rPr>
                <w:b/>
                <w:bCs/>
                <w:sz w:val="20"/>
                <w:szCs w:val="20"/>
                <w:lang w:val="fr-CA" w:eastAsia="en-CA"/>
              </w:rPr>
            </w:pPr>
            <w:r w:rsidRPr="00936391">
              <w:rPr>
                <w:b/>
                <w:bCs/>
                <w:sz w:val="20"/>
                <w:szCs w:val="20"/>
                <w:lang w:val="fr-CA" w:eastAsia="en-CA"/>
              </w:rPr>
              <w:t>13</w:t>
            </w:r>
            <w:r w:rsidR="00D17754">
              <w:rPr>
                <w:b/>
                <w:bCs/>
                <w:sz w:val="20"/>
                <w:szCs w:val="20"/>
                <w:lang w:val="fr-CA" w:eastAsia="en-CA"/>
              </w:rPr>
              <w:t xml:space="preserve"> </w:t>
            </w:r>
            <w:r w:rsidRPr="00936391">
              <w:rPr>
                <w:b/>
                <w:bCs/>
                <w:sz w:val="20"/>
                <w:szCs w:val="20"/>
                <w:lang w:val="fr-CA" w:eastAsia="en-CA"/>
              </w:rPr>
              <w:t>741</w:t>
            </w:r>
            <w:r w:rsidR="00D17754">
              <w:rPr>
                <w:b/>
                <w:bCs/>
                <w:sz w:val="20"/>
                <w:szCs w:val="20"/>
                <w:lang w:val="fr-CA" w:eastAsia="en-CA"/>
              </w:rPr>
              <w:t xml:space="preserve"> </w:t>
            </w:r>
            <w:r w:rsidRPr="00936391">
              <w:rPr>
                <w:b/>
                <w:bCs/>
                <w:sz w:val="20"/>
                <w:szCs w:val="20"/>
                <w:lang w:val="fr-CA" w:eastAsia="en-CA"/>
              </w:rPr>
              <w:t>402</w:t>
            </w:r>
          </w:p>
        </w:tc>
        <w:tc>
          <w:tcPr>
            <w:tcW w:w="1333" w:type="dxa"/>
            <w:tcBorders>
              <w:top w:val="nil"/>
              <w:left w:val="nil"/>
              <w:bottom w:val="single" w:sz="4" w:space="0" w:color="auto"/>
              <w:right w:val="single" w:sz="4" w:space="0" w:color="auto"/>
            </w:tcBorders>
            <w:shd w:val="clear" w:color="auto" w:fill="auto"/>
            <w:noWrap/>
            <w:vAlign w:val="bottom"/>
            <w:hideMark/>
          </w:tcPr>
          <w:p w:rsidR="00936391" w:rsidRPr="00936391" w:rsidRDefault="00936391" w:rsidP="00E41F0B">
            <w:pPr>
              <w:jc w:val="right"/>
              <w:rPr>
                <w:b/>
                <w:bCs/>
                <w:sz w:val="20"/>
                <w:szCs w:val="20"/>
                <w:lang w:val="fr-CA" w:eastAsia="en-CA"/>
              </w:rPr>
            </w:pPr>
            <w:r w:rsidRPr="00936391">
              <w:rPr>
                <w:b/>
                <w:bCs/>
                <w:sz w:val="20"/>
                <w:szCs w:val="20"/>
                <w:lang w:val="fr-CA" w:eastAsia="en-CA"/>
              </w:rPr>
              <w:t>9</w:t>
            </w:r>
            <w:r w:rsidR="00D17754">
              <w:rPr>
                <w:b/>
                <w:bCs/>
                <w:sz w:val="20"/>
                <w:szCs w:val="20"/>
                <w:lang w:val="fr-CA" w:eastAsia="en-CA"/>
              </w:rPr>
              <w:t xml:space="preserve"> </w:t>
            </w:r>
            <w:r w:rsidRPr="00936391">
              <w:rPr>
                <w:b/>
                <w:bCs/>
                <w:sz w:val="20"/>
                <w:szCs w:val="20"/>
                <w:lang w:val="fr-CA" w:eastAsia="en-CA"/>
              </w:rPr>
              <w:t>325</w:t>
            </w:r>
            <w:r w:rsidR="00D17754">
              <w:rPr>
                <w:b/>
                <w:bCs/>
                <w:sz w:val="20"/>
                <w:szCs w:val="20"/>
                <w:lang w:val="fr-CA" w:eastAsia="en-CA"/>
              </w:rPr>
              <w:t xml:space="preserve"> </w:t>
            </w:r>
            <w:r w:rsidRPr="00936391">
              <w:rPr>
                <w:b/>
                <w:bCs/>
                <w:sz w:val="20"/>
                <w:szCs w:val="20"/>
                <w:lang w:val="fr-CA" w:eastAsia="en-CA"/>
              </w:rPr>
              <w:t>719</w:t>
            </w:r>
          </w:p>
        </w:tc>
        <w:tc>
          <w:tcPr>
            <w:tcW w:w="1333" w:type="dxa"/>
            <w:tcBorders>
              <w:top w:val="nil"/>
              <w:left w:val="nil"/>
              <w:bottom w:val="single" w:sz="4" w:space="0" w:color="auto"/>
              <w:right w:val="single" w:sz="4" w:space="0" w:color="auto"/>
            </w:tcBorders>
            <w:shd w:val="clear" w:color="auto" w:fill="auto"/>
            <w:noWrap/>
            <w:vAlign w:val="bottom"/>
            <w:hideMark/>
          </w:tcPr>
          <w:p w:rsidR="00936391" w:rsidRPr="00936391" w:rsidRDefault="00936391" w:rsidP="00E41F0B">
            <w:pPr>
              <w:jc w:val="right"/>
              <w:rPr>
                <w:b/>
                <w:bCs/>
                <w:sz w:val="20"/>
                <w:szCs w:val="20"/>
                <w:lang w:val="fr-CA" w:eastAsia="en-CA"/>
              </w:rPr>
            </w:pPr>
            <w:r w:rsidRPr="00936391">
              <w:rPr>
                <w:b/>
                <w:bCs/>
                <w:sz w:val="20"/>
                <w:szCs w:val="20"/>
                <w:lang w:val="fr-CA" w:eastAsia="en-CA"/>
              </w:rPr>
              <w:t>68</w:t>
            </w:r>
          </w:p>
        </w:tc>
        <w:tc>
          <w:tcPr>
            <w:tcW w:w="1334" w:type="dxa"/>
            <w:tcBorders>
              <w:top w:val="nil"/>
              <w:left w:val="nil"/>
              <w:bottom w:val="single" w:sz="4" w:space="0" w:color="auto"/>
              <w:right w:val="single" w:sz="4" w:space="0" w:color="auto"/>
            </w:tcBorders>
            <w:shd w:val="clear" w:color="auto" w:fill="auto"/>
            <w:noWrap/>
            <w:vAlign w:val="bottom"/>
            <w:hideMark/>
          </w:tcPr>
          <w:p w:rsidR="00936391" w:rsidRPr="00936391" w:rsidRDefault="00936391" w:rsidP="00E41F0B">
            <w:pPr>
              <w:jc w:val="right"/>
              <w:rPr>
                <w:b/>
                <w:bCs/>
                <w:sz w:val="20"/>
                <w:szCs w:val="20"/>
                <w:lang w:val="fr-CA" w:eastAsia="en-CA"/>
              </w:rPr>
            </w:pPr>
            <w:r w:rsidRPr="00936391">
              <w:rPr>
                <w:b/>
                <w:bCs/>
                <w:sz w:val="20"/>
                <w:szCs w:val="20"/>
                <w:lang w:val="fr-CA" w:eastAsia="en-CA"/>
              </w:rPr>
              <w:t>83</w:t>
            </w:r>
          </w:p>
        </w:tc>
      </w:tr>
    </w:tbl>
    <w:p w:rsidR="00936391" w:rsidRPr="00D17754" w:rsidRDefault="00D17754" w:rsidP="00936391">
      <w:pPr>
        <w:pStyle w:val="ListParagraph"/>
        <w:ind w:left="0"/>
        <w:rPr>
          <w:sz w:val="20"/>
          <w:lang w:val="fr-FR"/>
        </w:rPr>
      </w:pPr>
      <w:r w:rsidRPr="00D17754">
        <w:rPr>
          <w:sz w:val="20"/>
          <w:lang w:val="fr-FR"/>
        </w:rPr>
        <w:t>*Aucune élimination pour les projets en lien avec les HFC en 2018</w:t>
      </w:r>
    </w:p>
    <w:p w:rsidR="00D17754" w:rsidRDefault="00D17754" w:rsidP="00936391">
      <w:pPr>
        <w:pStyle w:val="ListParagraph"/>
        <w:ind w:left="0"/>
        <w:rPr>
          <w:lang w:val="fr-FR"/>
        </w:rPr>
      </w:pPr>
    </w:p>
    <w:p w:rsidR="00441083" w:rsidRDefault="00F36B8A" w:rsidP="00F36B8A">
      <w:pPr>
        <w:ind w:left="1440" w:hanging="1440"/>
        <w:rPr>
          <w:lang w:val="fr-FR"/>
        </w:rPr>
      </w:pPr>
      <w:r w:rsidRPr="00F36B8A">
        <w:rPr>
          <w:b/>
          <w:lang w:val="fr-FR"/>
        </w:rPr>
        <w:t>PARTIE II :</w:t>
      </w:r>
      <w:r w:rsidR="00B44E00">
        <w:rPr>
          <w:b/>
          <w:lang w:val="fr-FR"/>
        </w:rPr>
        <w:tab/>
        <w:t xml:space="preserve">PROJETS APPROUVÉS AU TITRE DES </w:t>
      </w:r>
      <w:r w:rsidRPr="00F36B8A">
        <w:rPr>
          <w:b/>
          <w:lang w:val="fr-FR"/>
        </w:rPr>
        <w:t xml:space="preserve">CONTRIBUTIONS SUPPLÉMENTAIRES VOLONTAIRES EN APPUI </w:t>
      </w:r>
      <w:r w:rsidR="00AB1213" w:rsidRPr="00AB1213">
        <w:rPr>
          <w:b/>
          <w:lang w:val="fr-CA"/>
        </w:rPr>
        <w:t>AU DÉMARRAGE RAPIDE DE LA RÉDUCTION PROGRESSIVE DES HFC</w:t>
      </w:r>
    </w:p>
    <w:p w:rsidR="00F36B8A" w:rsidRDefault="00F36B8A" w:rsidP="00F36B8A">
      <w:pPr>
        <w:ind w:left="1440" w:hanging="1440"/>
        <w:rPr>
          <w:lang w:val="fr-FR"/>
        </w:rPr>
      </w:pPr>
    </w:p>
    <w:p w:rsidR="00F36B8A" w:rsidRDefault="002D74D2" w:rsidP="002D74D2">
      <w:pPr>
        <w:pStyle w:val="ListParagraph"/>
        <w:numPr>
          <w:ilvl w:val="0"/>
          <w:numId w:val="26"/>
        </w:numPr>
        <w:ind w:left="0" w:firstLine="0"/>
        <w:rPr>
          <w:lang w:val="fr-FR"/>
        </w:rPr>
      </w:pPr>
      <w:r>
        <w:rPr>
          <w:lang w:val="fr-FR"/>
        </w:rPr>
        <w:t>En date du 31 décembre 2018, l</w:t>
      </w:r>
      <w:r w:rsidR="00F36B8A">
        <w:rPr>
          <w:lang w:val="fr-FR"/>
        </w:rPr>
        <w:t>e Comité exécutif avait approuvé six projets en lien avec les HFC au titre des contributions supplémentaires volontaires, pour la somme de 1 213 514 $US (coûts d’appui à l’agence en sus). Le tableau 5 présente un sommaire de l’état de ces projets.</w:t>
      </w:r>
    </w:p>
    <w:p w:rsidR="00F36B8A" w:rsidRDefault="00F36B8A" w:rsidP="00F36B8A">
      <w:pPr>
        <w:rPr>
          <w:lang w:val="fr-FR"/>
        </w:rPr>
      </w:pPr>
    </w:p>
    <w:p w:rsidR="00F36B8A" w:rsidRDefault="00F36B8A" w:rsidP="00F36B8A">
      <w:pPr>
        <w:rPr>
          <w:lang w:val="fr-FR"/>
        </w:rPr>
      </w:pPr>
      <w:r>
        <w:rPr>
          <w:b/>
          <w:lang w:val="fr-FR"/>
        </w:rPr>
        <w:t>Tableau 5. Projets en lien avec les HFC approuvés en 2018</w:t>
      </w:r>
    </w:p>
    <w:tbl>
      <w:tblPr>
        <w:tblW w:w="9355" w:type="dxa"/>
        <w:tblInd w:w="-5" w:type="dxa"/>
        <w:tblLayout w:type="fixed"/>
        <w:tblLook w:val="04A0" w:firstRow="1" w:lastRow="0" w:firstColumn="1" w:lastColumn="0" w:noHBand="0" w:noVBand="1"/>
      </w:tblPr>
      <w:tblGrid>
        <w:gridCol w:w="1737"/>
        <w:gridCol w:w="1088"/>
        <w:gridCol w:w="1088"/>
        <w:gridCol w:w="1127"/>
        <w:gridCol w:w="1050"/>
        <w:gridCol w:w="1088"/>
        <w:gridCol w:w="1088"/>
        <w:gridCol w:w="1089"/>
      </w:tblGrid>
      <w:tr w:rsidR="00F36B8A" w:rsidRPr="006739D9" w:rsidTr="00E41F0B">
        <w:trPr>
          <w:trHeight w:val="264"/>
        </w:trPr>
        <w:tc>
          <w:tcPr>
            <w:tcW w:w="1737" w:type="dxa"/>
            <w:vMerge w:val="restart"/>
            <w:tcBorders>
              <w:top w:val="single" w:sz="4" w:space="0" w:color="auto"/>
              <w:left w:val="single" w:sz="4" w:space="0" w:color="auto"/>
              <w:bottom w:val="single" w:sz="4" w:space="0" w:color="auto"/>
              <w:right w:val="single" w:sz="4" w:space="0" w:color="auto"/>
            </w:tcBorders>
            <w:shd w:val="clear" w:color="auto" w:fill="auto"/>
            <w:noWrap/>
            <w:tcMar>
              <w:left w:w="14" w:type="dxa"/>
              <w:right w:w="0" w:type="dxa"/>
            </w:tcMar>
            <w:vAlign w:val="center"/>
            <w:hideMark/>
          </w:tcPr>
          <w:p w:rsidR="00F36B8A" w:rsidRPr="006739D9" w:rsidRDefault="00F36B8A" w:rsidP="00F36B8A">
            <w:pPr>
              <w:jc w:val="left"/>
              <w:rPr>
                <w:b/>
                <w:bCs/>
                <w:sz w:val="20"/>
                <w:szCs w:val="20"/>
                <w:lang w:val="fr-CA" w:eastAsia="en-CA"/>
              </w:rPr>
            </w:pPr>
            <w:r w:rsidRPr="006739D9">
              <w:rPr>
                <w:b/>
                <w:bCs/>
                <w:sz w:val="20"/>
                <w:szCs w:val="20"/>
                <w:lang w:val="fr-CA" w:eastAsia="en-CA"/>
              </w:rPr>
              <w:t>Type</w:t>
            </w:r>
          </w:p>
        </w:tc>
        <w:tc>
          <w:tcPr>
            <w:tcW w:w="3303" w:type="dxa"/>
            <w:gridSpan w:val="3"/>
            <w:tcBorders>
              <w:top w:val="single" w:sz="4" w:space="0" w:color="auto"/>
              <w:left w:val="nil"/>
              <w:bottom w:val="single" w:sz="4" w:space="0" w:color="auto"/>
              <w:right w:val="single" w:sz="4" w:space="0" w:color="auto"/>
            </w:tcBorders>
            <w:shd w:val="clear" w:color="auto" w:fill="auto"/>
            <w:noWrap/>
            <w:hideMark/>
          </w:tcPr>
          <w:p w:rsidR="00F36B8A" w:rsidRPr="006739D9" w:rsidRDefault="006739D9" w:rsidP="00F36B8A">
            <w:pPr>
              <w:jc w:val="center"/>
              <w:rPr>
                <w:b/>
                <w:bCs/>
                <w:sz w:val="18"/>
                <w:szCs w:val="20"/>
                <w:lang w:val="fr-CA" w:eastAsia="en-CA"/>
              </w:rPr>
            </w:pPr>
            <w:r w:rsidRPr="006739D9">
              <w:rPr>
                <w:b/>
                <w:bCs/>
                <w:sz w:val="18"/>
                <w:szCs w:val="20"/>
                <w:lang w:val="fr-CA" w:eastAsia="en-CA"/>
              </w:rPr>
              <w:t>Nombre de projets</w:t>
            </w:r>
          </w:p>
        </w:tc>
        <w:tc>
          <w:tcPr>
            <w:tcW w:w="4315" w:type="dxa"/>
            <w:gridSpan w:val="4"/>
            <w:tcBorders>
              <w:top w:val="single" w:sz="4" w:space="0" w:color="auto"/>
              <w:left w:val="nil"/>
              <w:bottom w:val="single" w:sz="4" w:space="0" w:color="auto"/>
              <w:right w:val="single" w:sz="4" w:space="0" w:color="auto"/>
            </w:tcBorders>
            <w:shd w:val="clear" w:color="auto" w:fill="auto"/>
            <w:noWrap/>
            <w:hideMark/>
          </w:tcPr>
          <w:p w:rsidR="00F36B8A" w:rsidRPr="006739D9" w:rsidRDefault="006739D9" w:rsidP="00F36B8A">
            <w:pPr>
              <w:jc w:val="center"/>
              <w:rPr>
                <w:b/>
                <w:bCs/>
                <w:sz w:val="18"/>
                <w:szCs w:val="20"/>
                <w:lang w:val="fr-CA" w:eastAsia="en-CA"/>
              </w:rPr>
            </w:pPr>
            <w:r w:rsidRPr="006739D9">
              <w:rPr>
                <w:b/>
                <w:bCs/>
                <w:sz w:val="18"/>
                <w:szCs w:val="20"/>
                <w:lang w:val="fr-CA" w:eastAsia="en-CA"/>
              </w:rPr>
              <w:t>Financement ($US)</w:t>
            </w:r>
            <w:r w:rsidR="00F36B8A" w:rsidRPr="006739D9">
              <w:rPr>
                <w:b/>
                <w:bCs/>
                <w:sz w:val="18"/>
                <w:szCs w:val="20"/>
                <w:lang w:val="fr-CA" w:eastAsia="en-CA"/>
              </w:rPr>
              <w:t>*</w:t>
            </w:r>
          </w:p>
        </w:tc>
      </w:tr>
      <w:tr w:rsidR="00F36B8A" w:rsidRPr="006739D9" w:rsidTr="00E41F0B">
        <w:trPr>
          <w:trHeight w:val="298"/>
        </w:trPr>
        <w:tc>
          <w:tcPr>
            <w:tcW w:w="1737" w:type="dxa"/>
            <w:vMerge/>
            <w:tcBorders>
              <w:top w:val="single" w:sz="4" w:space="0" w:color="auto"/>
              <w:left w:val="single" w:sz="4" w:space="0" w:color="auto"/>
              <w:bottom w:val="single" w:sz="4" w:space="0" w:color="auto"/>
              <w:right w:val="single" w:sz="4" w:space="0" w:color="auto"/>
            </w:tcBorders>
            <w:tcMar>
              <w:left w:w="14" w:type="dxa"/>
              <w:right w:w="0" w:type="dxa"/>
            </w:tcMar>
            <w:hideMark/>
          </w:tcPr>
          <w:p w:rsidR="00F36B8A" w:rsidRPr="006739D9" w:rsidRDefault="00F36B8A" w:rsidP="00F36B8A">
            <w:pPr>
              <w:jc w:val="left"/>
              <w:rPr>
                <w:b/>
                <w:bCs/>
                <w:sz w:val="20"/>
                <w:szCs w:val="20"/>
                <w:lang w:val="fr-CA" w:eastAsia="en-CA"/>
              </w:rPr>
            </w:pPr>
          </w:p>
        </w:tc>
        <w:tc>
          <w:tcPr>
            <w:tcW w:w="108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F36B8A" w:rsidRPr="006739D9" w:rsidRDefault="00F36B8A" w:rsidP="00F36B8A">
            <w:pPr>
              <w:jc w:val="center"/>
              <w:rPr>
                <w:b/>
                <w:bCs/>
                <w:sz w:val="20"/>
                <w:szCs w:val="20"/>
                <w:lang w:val="fr-CA" w:eastAsia="en-CA"/>
              </w:rPr>
            </w:pPr>
            <w:r w:rsidRPr="006739D9">
              <w:rPr>
                <w:b/>
                <w:bCs/>
                <w:sz w:val="20"/>
                <w:szCs w:val="20"/>
                <w:lang w:val="fr-CA" w:eastAsia="en-CA"/>
              </w:rPr>
              <w:t>Approuvés</w:t>
            </w:r>
          </w:p>
        </w:tc>
        <w:tc>
          <w:tcPr>
            <w:tcW w:w="108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F36B8A" w:rsidRPr="006739D9" w:rsidRDefault="00F36B8A" w:rsidP="00F36B8A">
            <w:pPr>
              <w:jc w:val="center"/>
              <w:rPr>
                <w:b/>
                <w:bCs/>
                <w:sz w:val="18"/>
                <w:szCs w:val="20"/>
                <w:lang w:val="fr-CA" w:eastAsia="en-CA"/>
              </w:rPr>
            </w:pPr>
            <w:r w:rsidRPr="006739D9">
              <w:rPr>
                <w:b/>
                <w:bCs/>
                <w:sz w:val="18"/>
                <w:szCs w:val="20"/>
                <w:lang w:val="fr-CA" w:eastAsia="en-CA"/>
              </w:rPr>
              <w:t>Achevés</w:t>
            </w:r>
          </w:p>
        </w:tc>
        <w:tc>
          <w:tcPr>
            <w:tcW w:w="112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F36B8A" w:rsidRPr="006739D9" w:rsidRDefault="00F36B8A" w:rsidP="00F36B8A">
            <w:pPr>
              <w:jc w:val="center"/>
              <w:rPr>
                <w:b/>
                <w:bCs/>
                <w:sz w:val="18"/>
                <w:szCs w:val="20"/>
                <w:lang w:val="fr-CA" w:eastAsia="en-CA"/>
              </w:rPr>
            </w:pPr>
            <w:r w:rsidRPr="006739D9">
              <w:rPr>
                <w:b/>
                <w:bCs/>
                <w:sz w:val="18"/>
                <w:szCs w:val="20"/>
                <w:lang w:val="fr-CA" w:eastAsia="en-CA"/>
              </w:rPr>
              <w:t>% d’achèvement</w:t>
            </w:r>
          </w:p>
        </w:tc>
        <w:tc>
          <w:tcPr>
            <w:tcW w:w="10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F36B8A" w:rsidRPr="006739D9" w:rsidRDefault="00F36B8A" w:rsidP="00F36B8A">
            <w:pPr>
              <w:jc w:val="left"/>
              <w:rPr>
                <w:b/>
                <w:bCs/>
                <w:sz w:val="18"/>
                <w:szCs w:val="20"/>
                <w:lang w:val="fr-CA" w:eastAsia="en-CA"/>
              </w:rPr>
            </w:pPr>
            <w:r w:rsidRPr="006739D9">
              <w:rPr>
                <w:b/>
                <w:bCs/>
                <w:sz w:val="18"/>
                <w:szCs w:val="20"/>
                <w:lang w:val="fr-CA" w:eastAsia="en-CA"/>
              </w:rPr>
              <w:t>Approuvés</w:t>
            </w:r>
          </w:p>
        </w:tc>
        <w:tc>
          <w:tcPr>
            <w:tcW w:w="108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F36B8A" w:rsidRPr="006739D9" w:rsidRDefault="00F36B8A" w:rsidP="00F36B8A">
            <w:pPr>
              <w:jc w:val="center"/>
              <w:rPr>
                <w:b/>
                <w:bCs/>
                <w:sz w:val="18"/>
                <w:szCs w:val="20"/>
                <w:lang w:val="fr-CA" w:eastAsia="en-CA"/>
              </w:rPr>
            </w:pPr>
            <w:r w:rsidRPr="006739D9">
              <w:rPr>
                <w:b/>
                <w:bCs/>
                <w:sz w:val="18"/>
                <w:szCs w:val="20"/>
                <w:lang w:val="fr-CA" w:eastAsia="en-CA"/>
              </w:rPr>
              <w:t>Décaissement</w:t>
            </w:r>
          </w:p>
        </w:tc>
        <w:tc>
          <w:tcPr>
            <w:tcW w:w="108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F36B8A" w:rsidRPr="006739D9" w:rsidRDefault="00F36B8A" w:rsidP="00F36B8A">
            <w:pPr>
              <w:jc w:val="center"/>
              <w:rPr>
                <w:b/>
                <w:bCs/>
                <w:sz w:val="18"/>
                <w:szCs w:val="20"/>
                <w:lang w:val="fr-CA" w:eastAsia="en-CA"/>
              </w:rPr>
            </w:pPr>
            <w:r w:rsidRPr="006739D9">
              <w:rPr>
                <w:b/>
                <w:bCs/>
                <w:sz w:val="18"/>
                <w:szCs w:val="20"/>
                <w:lang w:val="fr-CA" w:eastAsia="en-CA"/>
              </w:rPr>
              <w:t>Solde</w:t>
            </w:r>
          </w:p>
        </w:tc>
        <w:tc>
          <w:tcPr>
            <w:tcW w:w="108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F36B8A" w:rsidRPr="006739D9" w:rsidRDefault="00F36B8A" w:rsidP="00F36B8A">
            <w:pPr>
              <w:jc w:val="center"/>
              <w:rPr>
                <w:b/>
                <w:bCs/>
                <w:sz w:val="18"/>
                <w:szCs w:val="20"/>
                <w:lang w:val="fr-CA" w:eastAsia="en-CA"/>
              </w:rPr>
            </w:pPr>
            <w:r w:rsidRPr="006739D9">
              <w:rPr>
                <w:b/>
                <w:bCs/>
                <w:sz w:val="18"/>
                <w:szCs w:val="20"/>
                <w:lang w:val="fr-CA" w:eastAsia="en-CA"/>
              </w:rPr>
              <w:t>% de décaissement</w:t>
            </w:r>
          </w:p>
        </w:tc>
      </w:tr>
      <w:tr w:rsidR="00F36B8A" w:rsidRPr="006739D9" w:rsidTr="00E41F0B">
        <w:trPr>
          <w:trHeight w:val="264"/>
        </w:trPr>
        <w:tc>
          <w:tcPr>
            <w:tcW w:w="1737" w:type="dxa"/>
            <w:tcBorders>
              <w:top w:val="nil"/>
              <w:left w:val="single" w:sz="4" w:space="0" w:color="auto"/>
              <w:bottom w:val="single" w:sz="4" w:space="0" w:color="auto"/>
              <w:right w:val="single" w:sz="4" w:space="0" w:color="auto"/>
            </w:tcBorders>
            <w:shd w:val="clear" w:color="auto" w:fill="auto"/>
            <w:noWrap/>
            <w:tcMar>
              <w:left w:w="14" w:type="dxa"/>
              <w:right w:w="0" w:type="dxa"/>
            </w:tcMar>
            <w:hideMark/>
          </w:tcPr>
          <w:p w:rsidR="00F36B8A" w:rsidRPr="006739D9" w:rsidRDefault="006739D9" w:rsidP="00E41F0B">
            <w:pPr>
              <w:jc w:val="left"/>
              <w:rPr>
                <w:sz w:val="20"/>
                <w:szCs w:val="20"/>
                <w:lang w:val="fr-CA" w:eastAsia="en-CA"/>
              </w:rPr>
            </w:pPr>
            <w:r w:rsidRPr="006739D9">
              <w:rPr>
                <w:sz w:val="20"/>
                <w:szCs w:val="20"/>
                <w:lang w:val="fr-CA" w:eastAsia="en-CA"/>
              </w:rPr>
              <w:t>Investissement</w:t>
            </w:r>
          </w:p>
        </w:tc>
        <w:tc>
          <w:tcPr>
            <w:tcW w:w="1088" w:type="dxa"/>
            <w:tcBorders>
              <w:top w:val="nil"/>
              <w:left w:val="nil"/>
              <w:bottom w:val="single" w:sz="4" w:space="0" w:color="auto"/>
              <w:right w:val="single" w:sz="4" w:space="0" w:color="auto"/>
            </w:tcBorders>
            <w:shd w:val="clear" w:color="auto" w:fill="auto"/>
            <w:noWrap/>
            <w:hideMark/>
          </w:tcPr>
          <w:p w:rsidR="00F36B8A" w:rsidRPr="006739D9" w:rsidRDefault="00F36B8A" w:rsidP="00E41F0B">
            <w:pPr>
              <w:jc w:val="right"/>
              <w:rPr>
                <w:sz w:val="20"/>
                <w:szCs w:val="20"/>
                <w:lang w:val="fr-CA" w:eastAsia="en-CA"/>
              </w:rPr>
            </w:pPr>
            <w:r w:rsidRPr="006739D9">
              <w:rPr>
                <w:sz w:val="20"/>
                <w:szCs w:val="20"/>
                <w:lang w:val="fr-CA" w:eastAsia="en-CA"/>
              </w:rPr>
              <w:t>1</w:t>
            </w:r>
          </w:p>
        </w:tc>
        <w:tc>
          <w:tcPr>
            <w:tcW w:w="1088" w:type="dxa"/>
            <w:tcBorders>
              <w:top w:val="nil"/>
              <w:left w:val="nil"/>
              <w:bottom w:val="single" w:sz="4" w:space="0" w:color="auto"/>
              <w:right w:val="single" w:sz="4" w:space="0" w:color="auto"/>
            </w:tcBorders>
            <w:shd w:val="clear" w:color="auto" w:fill="auto"/>
            <w:noWrap/>
            <w:hideMark/>
          </w:tcPr>
          <w:p w:rsidR="00F36B8A" w:rsidRPr="006739D9" w:rsidRDefault="00F36B8A" w:rsidP="00E41F0B">
            <w:pPr>
              <w:jc w:val="right"/>
              <w:rPr>
                <w:sz w:val="20"/>
                <w:szCs w:val="20"/>
                <w:lang w:val="fr-CA" w:eastAsia="en-CA"/>
              </w:rPr>
            </w:pPr>
            <w:r w:rsidRPr="006739D9">
              <w:rPr>
                <w:sz w:val="20"/>
                <w:szCs w:val="20"/>
                <w:lang w:val="fr-CA" w:eastAsia="en-CA"/>
              </w:rPr>
              <w:t>0</w:t>
            </w:r>
          </w:p>
        </w:tc>
        <w:tc>
          <w:tcPr>
            <w:tcW w:w="1127" w:type="dxa"/>
            <w:tcBorders>
              <w:top w:val="nil"/>
              <w:left w:val="nil"/>
              <w:bottom w:val="single" w:sz="4" w:space="0" w:color="auto"/>
              <w:right w:val="single" w:sz="4" w:space="0" w:color="auto"/>
            </w:tcBorders>
            <w:shd w:val="clear" w:color="auto" w:fill="auto"/>
            <w:noWrap/>
            <w:hideMark/>
          </w:tcPr>
          <w:p w:rsidR="00F36B8A" w:rsidRPr="006739D9" w:rsidRDefault="00F36B8A" w:rsidP="00E41F0B">
            <w:pPr>
              <w:jc w:val="right"/>
              <w:rPr>
                <w:sz w:val="20"/>
                <w:szCs w:val="20"/>
                <w:lang w:val="fr-CA" w:eastAsia="en-CA"/>
              </w:rPr>
            </w:pPr>
            <w:r w:rsidRPr="006739D9">
              <w:rPr>
                <w:sz w:val="20"/>
                <w:szCs w:val="20"/>
                <w:lang w:val="fr-CA" w:eastAsia="en-CA"/>
              </w:rPr>
              <w:t>0</w:t>
            </w:r>
          </w:p>
        </w:tc>
        <w:tc>
          <w:tcPr>
            <w:tcW w:w="1050" w:type="dxa"/>
            <w:tcBorders>
              <w:top w:val="nil"/>
              <w:left w:val="nil"/>
              <w:bottom w:val="single" w:sz="4" w:space="0" w:color="auto"/>
              <w:right w:val="single" w:sz="4" w:space="0" w:color="auto"/>
            </w:tcBorders>
            <w:shd w:val="clear" w:color="auto" w:fill="auto"/>
            <w:noWrap/>
            <w:hideMark/>
          </w:tcPr>
          <w:p w:rsidR="00F36B8A" w:rsidRPr="006739D9" w:rsidRDefault="00F36B8A" w:rsidP="00E41F0B">
            <w:pPr>
              <w:jc w:val="right"/>
              <w:rPr>
                <w:sz w:val="20"/>
                <w:szCs w:val="20"/>
                <w:lang w:val="fr-CA" w:eastAsia="en-CA"/>
              </w:rPr>
            </w:pPr>
            <w:r w:rsidRPr="006739D9">
              <w:rPr>
                <w:sz w:val="20"/>
                <w:szCs w:val="20"/>
                <w:lang w:val="fr-CA" w:eastAsia="en-CA"/>
              </w:rPr>
              <w:t>183</w:t>
            </w:r>
            <w:r w:rsidR="006739D9">
              <w:rPr>
                <w:sz w:val="20"/>
                <w:szCs w:val="20"/>
                <w:lang w:val="fr-CA" w:eastAsia="en-CA"/>
              </w:rPr>
              <w:t xml:space="preserve"> </w:t>
            </w:r>
            <w:r w:rsidRPr="006739D9">
              <w:rPr>
                <w:sz w:val="20"/>
                <w:szCs w:val="20"/>
                <w:lang w:val="fr-CA" w:eastAsia="en-CA"/>
              </w:rPr>
              <w:t>514</w:t>
            </w:r>
          </w:p>
        </w:tc>
        <w:tc>
          <w:tcPr>
            <w:tcW w:w="1088" w:type="dxa"/>
            <w:tcBorders>
              <w:top w:val="nil"/>
              <w:left w:val="nil"/>
              <w:bottom w:val="single" w:sz="4" w:space="0" w:color="auto"/>
              <w:right w:val="single" w:sz="4" w:space="0" w:color="auto"/>
            </w:tcBorders>
            <w:shd w:val="clear" w:color="auto" w:fill="auto"/>
            <w:noWrap/>
            <w:hideMark/>
          </w:tcPr>
          <w:p w:rsidR="00F36B8A" w:rsidRPr="006739D9" w:rsidRDefault="00F36B8A" w:rsidP="00E41F0B">
            <w:pPr>
              <w:jc w:val="right"/>
              <w:rPr>
                <w:sz w:val="20"/>
                <w:szCs w:val="20"/>
                <w:lang w:val="fr-CA" w:eastAsia="en-CA"/>
              </w:rPr>
            </w:pPr>
            <w:r w:rsidRPr="006739D9">
              <w:rPr>
                <w:sz w:val="20"/>
                <w:szCs w:val="20"/>
                <w:lang w:val="fr-CA" w:eastAsia="en-CA"/>
              </w:rPr>
              <w:t>0</w:t>
            </w:r>
          </w:p>
        </w:tc>
        <w:tc>
          <w:tcPr>
            <w:tcW w:w="1088" w:type="dxa"/>
            <w:tcBorders>
              <w:top w:val="nil"/>
              <w:left w:val="nil"/>
              <w:bottom w:val="single" w:sz="4" w:space="0" w:color="auto"/>
              <w:right w:val="single" w:sz="4" w:space="0" w:color="auto"/>
            </w:tcBorders>
            <w:shd w:val="clear" w:color="auto" w:fill="auto"/>
            <w:noWrap/>
            <w:hideMark/>
          </w:tcPr>
          <w:p w:rsidR="00F36B8A" w:rsidRPr="006739D9" w:rsidRDefault="00F36B8A" w:rsidP="00E41F0B">
            <w:pPr>
              <w:jc w:val="right"/>
              <w:rPr>
                <w:sz w:val="20"/>
                <w:szCs w:val="20"/>
                <w:lang w:val="fr-CA" w:eastAsia="en-CA"/>
              </w:rPr>
            </w:pPr>
            <w:r w:rsidRPr="006739D9">
              <w:rPr>
                <w:sz w:val="20"/>
                <w:szCs w:val="20"/>
                <w:lang w:val="fr-CA" w:eastAsia="en-CA"/>
              </w:rPr>
              <w:t>183</w:t>
            </w:r>
            <w:r w:rsidR="006739D9">
              <w:rPr>
                <w:sz w:val="20"/>
                <w:szCs w:val="20"/>
                <w:lang w:val="fr-CA" w:eastAsia="en-CA"/>
              </w:rPr>
              <w:t xml:space="preserve"> </w:t>
            </w:r>
            <w:r w:rsidRPr="006739D9">
              <w:rPr>
                <w:sz w:val="20"/>
                <w:szCs w:val="20"/>
                <w:lang w:val="fr-CA" w:eastAsia="en-CA"/>
              </w:rPr>
              <w:t>514</w:t>
            </w:r>
          </w:p>
        </w:tc>
        <w:tc>
          <w:tcPr>
            <w:tcW w:w="1089" w:type="dxa"/>
            <w:tcBorders>
              <w:top w:val="nil"/>
              <w:left w:val="nil"/>
              <w:bottom w:val="single" w:sz="4" w:space="0" w:color="auto"/>
              <w:right w:val="single" w:sz="4" w:space="0" w:color="auto"/>
            </w:tcBorders>
            <w:shd w:val="clear" w:color="auto" w:fill="auto"/>
            <w:noWrap/>
            <w:hideMark/>
          </w:tcPr>
          <w:p w:rsidR="00F36B8A" w:rsidRPr="006739D9" w:rsidRDefault="00F36B8A" w:rsidP="00E41F0B">
            <w:pPr>
              <w:jc w:val="right"/>
              <w:rPr>
                <w:sz w:val="20"/>
                <w:szCs w:val="20"/>
                <w:lang w:val="fr-CA" w:eastAsia="en-CA"/>
              </w:rPr>
            </w:pPr>
            <w:r w:rsidRPr="006739D9">
              <w:rPr>
                <w:sz w:val="20"/>
                <w:szCs w:val="20"/>
                <w:lang w:val="fr-CA" w:eastAsia="en-CA"/>
              </w:rPr>
              <w:t>0</w:t>
            </w:r>
          </w:p>
        </w:tc>
      </w:tr>
      <w:tr w:rsidR="00F36B8A" w:rsidRPr="006739D9" w:rsidTr="00E41F0B">
        <w:trPr>
          <w:trHeight w:val="264"/>
        </w:trPr>
        <w:tc>
          <w:tcPr>
            <w:tcW w:w="1737" w:type="dxa"/>
            <w:tcBorders>
              <w:top w:val="nil"/>
              <w:left w:val="single" w:sz="4" w:space="0" w:color="auto"/>
              <w:bottom w:val="single" w:sz="4" w:space="0" w:color="auto"/>
              <w:right w:val="single" w:sz="4" w:space="0" w:color="auto"/>
            </w:tcBorders>
            <w:shd w:val="clear" w:color="auto" w:fill="auto"/>
            <w:noWrap/>
            <w:tcMar>
              <w:left w:w="14" w:type="dxa"/>
              <w:right w:w="0" w:type="dxa"/>
            </w:tcMar>
            <w:hideMark/>
          </w:tcPr>
          <w:p w:rsidR="00F36B8A" w:rsidRPr="006739D9" w:rsidRDefault="006739D9" w:rsidP="00E41F0B">
            <w:pPr>
              <w:jc w:val="left"/>
              <w:rPr>
                <w:sz w:val="20"/>
                <w:szCs w:val="20"/>
                <w:lang w:val="fr-CA" w:eastAsia="en-CA"/>
              </w:rPr>
            </w:pPr>
            <w:r w:rsidRPr="006739D9">
              <w:rPr>
                <w:sz w:val="20"/>
                <w:szCs w:val="20"/>
                <w:lang w:val="fr-CA" w:eastAsia="en-CA"/>
              </w:rPr>
              <w:t>Préparation de projets</w:t>
            </w:r>
          </w:p>
        </w:tc>
        <w:tc>
          <w:tcPr>
            <w:tcW w:w="1088" w:type="dxa"/>
            <w:tcBorders>
              <w:top w:val="nil"/>
              <w:left w:val="nil"/>
              <w:bottom w:val="single" w:sz="4" w:space="0" w:color="auto"/>
              <w:right w:val="single" w:sz="4" w:space="0" w:color="auto"/>
            </w:tcBorders>
            <w:shd w:val="clear" w:color="auto" w:fill="auto"/>
            <w:noWrap/>
            <w:hideMark/>
          </w:tcPr>
          <w:p w:rsidR="00F36B8A" w:rsidRPr="006739D9" w:rsidRDefault="00F36B8A" w:rsidP="00E41F0B">
            <w:pPr>
              <w:jc w:val="right"/>
              <w:rPr>
                <w:sz w:val="20"/>
                <w:szCs w:val="20"/>
                <w:lang w:val="fr-CA" w:eastAsia="en-CA"/>
              </w:rPr>
            </w:pPr>
            <w:r w:rsidRPr="006739D9">
              <w:rPr>
                <w:sz w:val="20"/>
                <w:szCs w:val="20"/>
                <w:lang w:val="fr-CA" w:eastAsia="en-CA"/>
              </w:rPr>
              <w:t>1</w:t>
            </w:r>
          </w:p>
        </w:tc>
        <w:tc>
          <w:tcPr>
            <w:tcW w:w="1088" w:type="dxa"/>
            <w:tcBorders>
              <w:top w:val="nil"/>
              <w:left w:val="nil"/>
              <w:bottom w:val="single" w:sz="4" w:space="0" w:color="auto"/>
              <w:right w:val="single" w:sz="4" w:space="0" w:color="auto"/>
            </w:tcBorders>
            <w:shd w:val="clear" w:color="auto" w:fill="auto"/>
            <w:noWrap/>
            <w:hideMark/>
          </w:tcPr>
          <w:p w:rsidR="00F36B8A" w:rsidRPr="006739D9" w:rsidRDefault="00F36B8A" w:rsidP="00E41F0B">
            <w:pPr>
              <w:jc w:val="right"/>
              <w:rPr>
                <w:sz w:val="20"/>
                <w:szCs w:val="20"/>
                <w:lang w:val="fr-CA" w:eastAsia="en-CA"/>
              </w:rPr>
            </w:pPr>
            <w:r w:rsidRPr="006739D9">
              <w:rPr>
                <w:sz w:val="20"/>
                <w:szCs w:val="20"/>
                <w:lang w:val="fr-CA" w:eastAsia="en-CA"/>
              </w:rPr>
              <w:t>1</w:t>
            </w:r>
          </w:p>
        </w:tc>
        <w:tc>
          <w:tcPr>
            <w:tcW w:w="1127" w:type="dxa"/>
            <w:tcBorders>
              <w:top w:val="nil"/>
              <w:left w:val="nil"/>
              <w:bottom w:val="single" w:sz="4" w:space="0" w:color="auto"/>
              <w:right w:val="single" w:sz="4" w:space="0" w:color="auto"/>
            </w:tcBorders>
            <w:shd w:val="clear" w:color="auto" w:fill="auto"/>
            <w:noWrap/>
            <w:hideMark/>
          </w:tcPr>
          <w:p w:rsidR="00F36B8A" w:rsidRPr="006739D9" w:rsidRDefault="00F36B8A" w:rsidP="00E41F0B">
            <w:pPr>
              <w:jc w:val="right"/>
              <w:rPr>
                <w:sz w:val="20"/>
                <w:szCs w:val="20"/>
                <w:lang w:val="fr-CA" w:eastAsia="en-CA"/>
              </w:rPr>
            </w:pPr>
            <w:r w:rsidRPr="006739D9">
              <w:rPr>
                <w:sz w:val="20"/>
                <w:szCs w:val="20"/>
                <w:lang w:val="fr-CA" w:eastAsia="en-CA"/>
              </w:rPr>
              <w:t>100</w:t>
            </w:r>
          </w:p>
        </w:tc>
        <w:tc>
          <w:tcPr>
            <w:tcW w:w="1050" w:type="dxa"/>
            <w:tcBorders>
              <w:top w:val="nil"/>
              <w:left w:val="nil"/>
              <w:bottom w:val="single" w:sz="4" w:space="0" w:color="auto"/>
              <w:right w:val="single" w:sz="4" w:space="0" w:color="auto"/>
            </w:tcBorders>
            <w:shd w:val="clear" w:color="auto" w:fill="auto"/>
            <w:noWrap/>
            <w:hideMark/>
          </w:tcPr>
          <w:p w:rsidR="00F36B8A" w:rsidRPr="006739D9" w:rsidRDefault="00F36B8A" w:rsidP="00E41F0B">
            <w:pPr>
              <w:jc w:val="right"/>
              <w:rPr>
                <w:sz w:val="20"/>
                <w:szCs w:val="20"/>
                <w:lang w:val="fr-CA" w:eastAsia="en-CA"/>
              </w:rPr>
            </w:pPr>
            <w:r w:rsidRPr="006739D9">
              <w:rPr>
                <w:sz w:val="20"/>
                <w:szCs w:val="20"/>
                <w:lang w:val="fr-CA" w:eastAsia="en-CA"/>
              </w:rPr>
              <w:t>30</w:t>
            </w:r>
            <w:r w:rsidR="006739D9">
              <w:rPr>
                <w:sz w:val="20"/>
                <w:szCs w:val="20"/>
                <w:lang w:val="fr-CA" w:eastAsia="en-CA"/>
              </w:rPr>
              <w:t xml:space="preserve"> </w:t>
            </w:r>
            <w:r w:rsidRPr="006739D9">
              <w:rPr>
                <w:sz w:val="20"/>
                <w:szCs w:val="20"/>
                <w:lang w:val="fr-CA" w:eastAsia="en-CA"/>
              </w:rPr>
              <w:t>000</w:t>
            </w:r>
          </w:p>
        </w:tc>
        <w:tc>
          <w:tcPr>
            <w:tcW w:w="1088" w:type="dxa"/>
            <w:tcBorders>
              <w:top w:val="nil"/>
              <w:left w:val="nil"/>
              <w:bottom w:val="single" w:sz="4" w:space="0" w:color="auto"/>
              <w:right w:val="single" w:sz="4" w:space="0" w:color="auto"/>
            </w:tcBorders>
            <w:shd w:val="clear" w:color="auto" w:fill="auto"/>
            <w:noWrap/>
            <w:hideMark/>
          </w:tcPr>
          <w:p w:rsidR="00F36B8A" w:rsidRPr="006739D9" w:rsidRDefault="00F36B8A" w:rsidP="00E41F0B">
            <w:pPr>
              <w:jc w:val="right"/>
              <w:rPr>
                <w:sz w:val="20"/>
                <w:szCs w:val="20"/>
                <w:lang w:val="fr-CA" w:eastAsia="en-CA"/>
              </w:rPr>
            </w:pPr>
            <w:r w:rsidRPr="006739D9">
              <w:rPr>
                <w:sz w:val="20"/>
                <w:szCs w:val="20"/>
                <w:lang w:val="fr-CA" w:eastAsia="en-CA"/>
              </w:rPr>
              <w:t>30</w:t>
            </w:r>
            <w:r w:rsidR="006739D9">
              <w:rPr>
                <w:sz w:val="20"/>
                <w:szCs w:val="20"/>
                <w:lang w:val="fr-CA" w:eastAsia="en-CA"/>
              </w:rPr>
              <w:t xml:space="preserve"> </w:t>
            </w:r>
            <w:r w:rsidRPr="006739D9">
              <w:rPr>
                <w:sz w:val="20"/>
                <w:szCs w:val="20"/>
                <w:lang w:val="fr-CA" w:eastAsia="en-CA"/>
              </w:rPr>
              <w:t>000</w:t>
            </w:r>
          </w:p>
        </w:tc>
        <w:tc>
          <w:tcPr>
            <w:tcW w:w="1088" w:type="dxa"/>
            <w:tcBorders>
              <w:top w:val="nil"/>
              <w:left w:val="nil"/>
              <w:bottom w:val="single" w:sz="4" w:space="0" w:color="auto"/>
              <w:right w:val="single" w:sz="4" w:space="0" w:color="auto"/>
            </w:tcBorders>
            <w:shd w:val="clear" w:color="auto" w:fill="auto"/>
            <w:noWrap/>
            <w:hideMark/>
          </w:tcPr>
          <w:p w:rsidR="00F36B8A" w:rsidRPr="006739D9" w:rsidRDefault="00F36B8A" w:rsidP="00E41F0B">
            <w:pPr>
              <w:jc w:val="right"/>
              <w:rPr>
                <w:sz w:val="20"/>
                <w:szCs w:val="20"/>
                <w:lang w:val="fr-CA" w:eastAsia="en-CA"/>
              </w:rPr>
            </w:pPr>
            <w:r w:rsidRPr="006739D9">
              <w:rPr>
                <w:sz w:val="20"/>
                <w:szCs w:val="20"/>
                <w:lang w:val="fr-CA" w:eastAsia="en-CA"/>
              </w:rPr>
              <w:t>0</w:t>
            </w:r>
          </w:p>
        </w:tc>
        <w:tc>
          <w:tcPr>
            <w:tcW w:w="1089" w:type="dxa"/>
            <w:tcBorders>
              <w:top w:val="nil"/>
              <w:left w:val="nil"/>
              <w:bottom w:val="single" w:sz="4" w:space="0" w:color="auto"/>
              <w:right w:val="single" w:sz="4" w:space="0" w:color="auto"/>
            </w:tcBorders>
            <w:shd w:val="clear" w:color="auto" w:fill="auto"/>
            <w:noWrap/>
            <w:hideMark/>
          </w:tcPr>
          <w:p w:rsidR="00F36B8A" w:rsidRPr="006739D9" w:rsidRDefault="00F36B8A" w:rsidP="00E41F0B">
            <w:pPr>
              <w:jc w:val="right"/>
              <w:rPr>
                <w:sz w:val="20"/>
                <w:szCs w:val="20"/>
                <w:lang w:val="fr-CA" w:eastAsia="en-CA"/>
              </w:rPr>
            </w:pPr>
            <w:r w:rsidRPr="006739D9">
              <w:rPr>
                <w:sz w:val="20"/>
                <w:szCs w:val="20"/>
                <w:lang w:val="fr-CA" w:eastAsia="en-CA"/>
              </w:rPr>
              <w:t>100</w:t>
            </w:r>
          </w:p>
        </w:tc>
      </w:tr>
      <w:tr w:rsidR="00F36B8A" w:rsidRPr="006739D9" w:rsidTr="00E41F0B">
        <w:trPr>
          <w:trHeight w:val="58"/>
        </w:trPr>
        <w:tc>
          <w:tcPr>
            <w:tcW w:w="1737" w:type="dxa"/>
            <w:tcBorders>
              <w:top w:val="nil"/>
              <w:left w:val="single" w:sz="4" w:space="0" w:color="auto"/>
              <w:bottom w:val="single" w:sz="4" w:space="0" w:color="auto"/>
              <w:right w:val="single" w:sz="4" w:space="0" w:color="auto"/>
            </w:tcBorders>
            <w:shd w:val="clear" w:color="auto" w:fill="auto"/>
            <w:tcMar>
              <w:left w:w="14" w:type="dxa"/>
              <w:right w:w="0" w:type="dxa"/>
            </w:tcMar>
            <w:hideMark/>
          </w:tcPr>
          <w:p w:rsidR="00F36B8A" w:rsidRPr="006739D9" w:rsidRDefault="006739D9" w:rsidP="00E41F0B">
            <w:pPr>
              <w:jc w:val="left"/>
              <w:rPr>
                <w:sz w:val="20"/>
                <w:szCs w:val="20"/>
                <w:lang w:val="fr-CA" w:eastAsia="en-CA"/>
              </w:rPr>
            </w:pPr>
            <w:r>
              <w:rPr>
                <w:sz w:val="20"/>
                <w:szCs w:val="20"/>
                <w:lang w:val="fr-CA" w:eastAsia="en-CA"/>
              </w:rPr>
              <w:t>Activités de facilitation</w:t>
            </w:r>
          </w:p>
        </w:tc>
        <w:tc>
          <w:tcPr>
            <w:tcW w:w="1088" w:type="dxa"/>
            <w:tcBorders>
              <w:top w:val="nil"/>
              <w:left w:val="nil"/>
              <w:bottom w:val="single" w:sz="4" w:space="0" w:color="auto"/>
              <w:right w:val="single" w:sz="4" w:space="0" w:color="auto"/>
            </w:tcBorders>
            <w:shd w:val="clear" w:color="auto" w:fill="auto"/>
            <w:hideMark/>
          </w:tcPr>
          <w:p w:rsidR="00F36B8A" w:rsidRPr="006739D9" w:rsidRDefault="00F36B8A" w:rsidP="00E41F0B">
            <w:pPr>
              <w:jc w:val="right"/>
              <w:rPr>
                <w:sz w:val="20"/>
                <w:szCs w:val="20"/>
                <w:lang w:val="fr-CA" w:eastAsia="en-CA"/>
              </w:rPr>
            </w:pPr>
            <w:r w:rsidRPr="006739D9">
              <w:rPr>
                <w:sz w:val="20"/>
                <w:szCs w:val="20"/>
                <w:lang w:val="fr-CA" w:eastAsia="en-CA"/>
              </w:rPr>
              <w:t>4</w:t>
            </w:r>
          </w:p>
        </w:tc>
        <w:tc>
          <w:tcPr>
            <w:tcW w:w="1088" w:type="dxa"/>
            <w:tcBorders>
              <w:top w:val="nil"/>
              <w:left w:val="nil"/>
              <w:bottom w:val="single" w:sz="4" w:space="0" w:color="auto"/>
              <w:right w:val="single" w:sz="4" w:space="0" w:color="auto"/>
            </w:tcBorders>
            <w:shd w:val="clear" w:color="auto" w:fill="auto"/>
            <w:hideMark/>
          </w:tcPr>
          <w:p w:rsidR="00F36B8A" w:rsidRPr="006739D9" w:rsidRDefault="00F36B8A" w:rsidP="00E41F0B">
            <w:pPr>
              <w:jc w:val="right"/>
              <w:rPr>
                <w:sz w:val="20"/>
                <w:szCs w:val="20"/>
                <w:lang w:val="fr-CA" w:eastAsia="en-CA"/>
              </w:rPr>
            </w:pPr>
            <w:r w:rsidRPr="006739D9">
              <w:rPr>
                <w:sz w:val="20"/>
                <w:szCs w:val="20"/>
                <w:lang w:val="fr-CA" w:eastAsia="en-CA"/>
              </w:rPr>
              <w:t>0</w:t>
            </w:r>
          </w:p>
        </w:tc>
        <w:tc>
          <w:tcPr>
            <w:tcW w:w="1127" w:type="dxa"/>
            <w:tcBorders>
              <w:top w:val="nil"/>
              <w:left w:val="nil"/>
              <w:bottom w:val="single" w:sz="4" w:space="0" w:color="auto"/>
              <w:right w:val="single" w:sz="4" w:space="0" w:color="auto"/>
            </w:tcBorders>
            <w:shd w:val="clear" w:color="auto" w:fill="auto"/>
            <w:noWrap/>
            <w:hideMark/>
          </w:tcPr>
          <w:p w:rsidR="00F36B8A" w:rsidRPr="006739D9" w:rsidRDefault="00F36B8A" w:rsidP="00E41F0B">
            <w:pPr>
              <w:jc w:val="right"/>
              <w:rPr>
                <w:sz w:val="20"/>
                <w:szCs w:val="20"/>
                <w:lang w:val="fr-CA" w:eastAsia="en-CA"/>
              </w:rPr>
            </w:pPr>
            <w:r w:rsidRPr="006739D9">
              <w:rPr>
                <w:sz w:val="20"/>
                <w:szCs w:val="20"/>
                <w:lang w:val="fr-CA" w:eastAsia="en-CA"/>
              </w:rPr>
              <w:t>0</w:t>
            </w:r>
          </w:p>
        </w:tc>
        <w:tc>
          <w:tcPr>
            <w:tcW w:w="1050" w:type="dxa"/>
            <w:tcBorders>
              <w:top w:val="nil"/>
              <w:left w:val="nil"/>
              <w:bottom w:val="single" w:sz="4" w:space="0" w:color="auto"/>
              <w:right w:val="single" w:sz="4" w:space="0" w:color="auto"/>
            </w:tcBorders>
            <w:shd w:val="clear" w:color="auto" w:fill="auto"/>
            <w:hideMark/>
          </w:tcPr>
          <w:p w:rsidR="00F36B8A" w:rsidRPr="006739D9" w:rsidRDefault="00F36B8A" w:rsidP="00E41F0B">
            <w:pPr>
              <w:jc w:val="right"/>
              <w:rPr>
                <w:sz w:val="20"/>
                <w:szCs w:val="20"/>
                <w:lang w:val="fr-CA" w:eastAsia="en-CA"/>
              </w:rPr>
            </w:pPr>
            <w:r w:rsidRPr="006739D9">
              <w:rPr>
                <w:sz w:val="20"/>
                <w:szCs w:val="20"/>
                <w:lang w:val="fr-CA" w:eastAsia="en-CA"/>
              </w:rPr>
              <w:t>1</w:t>
            </w:r>
            <w:r w:rsidR="006739D9">
              <w:rPr>
                <w:sz w:val="20"/>
                <w:szCs w:val="20"/>
                <w:lang w:val="fr-CA" w:eastAsia="en-CA"/>
              </w:rPr>
              <w:t xml:space="preserve"> </w:t>
            </w:r>
            <w:r w:rsidRPr="006739D9">
              <w:rPr>
                <w:sz w:val="20"/>
                <w:szCs w:val="20"/>
                <w:lang w:val="fr-CA" w:eastAsia="en-CA"/>
              </w:rPr>
              <w:t>000</w:t>
            </w:r>
            <w:r w:rsidR="006739D9">
              <w:rPr>
                <w:sz w:val="20"/>
                <w:szCs w:val="20"/>
                <w:lang w:val="fr-CA" w:eastAsia="en-CA"/>
              </w:rPr>
              <w:t xml:space="preserve"> </w:t>
            </w:r>
            <w:r w:rsidRPr="006739D9">
              <w:rPr>
                <w:sz w:val="20"/>
                <w:szCs w:val="20"/>
                <w:lang w:val="fr-CA" w:eastAsia="en-CA"/>
              </w:rPr>
              <w:t>000</w:t>
            </w:r>
          </w:p>
        </w:tc>
        <w:tc>
          <w:tcPr>
            <w:tcW w:w="1088" w:type="dxa"/>
            <w:tcBorders>
              <w:top w:val="nil"/>
              <w:left w:val="nil"/>
              <w:bottom w:val="single" w:sz="4" w:space="0" w:color="auto"/>
              <w:right w:val="single" w:sz="4" w:space="0" w:color="auto"/>
            </w:tcBorders>
            <w:shd w:val="clear" w:color="auto" w:fill="auto"/>
            <w:hideMark/>
          </w:tcPr>
          <w:p w:rsidR="00F36B8A" w:rsidRPr="006739D9" w:rsidRDefault="00F36B8A" w:rsidP="00E41F0B">
            <w:pPr>
              <w:jc w:val="right"/>
              <w:rPr>
                <w:sz w:val="20"/>
                <w:szCs w:val="20"/>
                <w:lang w:val="fr-CA" w:eastAsia="en-CA"/>
              </w:rPr>
            </w:pPr>
            <w:r w:rsidRPr="006739D9">
              <w:rPr>
                <w:sz w:val="20"/>
                <w:szCs w:val="20"/>
                <w:lang w:val="fr-CA" w:eastAsia="en-CA"/>
              </w:rPr>
              <w:t>113</w:t>
            </w:r>
            <w:r w:rsidR="006739D9">
              <w:rPr>
                <w:sz w:val="20"/>
                <w:szCs w:val="20"/>
                <w:lang w:val="fr-CA" w:eastAsia="en-CA"/>
              </w:rPr>
              <w:t xml:space="preserve"> </w:t>
            </w:r>
            <w:r w:rsidRPr="006739D9">
              <w:rPr>
                <w:sz w:val="20"/>
                <w:szCs w:val="20"/>
                <w:lang w:val="fr-CA" w:eastAsia="en-CA"/>
              </w:rPr>
              <w:t>390</w:t>
            </w:r>
          </w:p>
        </w:tc>
        <w:tc>
          <w:tcPr>
            <w:tcW w:w="1088" w:type="dxa"/>
            <w:tcBorders>
              <w:top w:val="nil"/>
              <w:left w:val="nil"/>
              <w:bottom w:val="single" w:sz="4" w:space="0" w:color="auto"/>
              <w:right w:val="single" w:sz="4" w:space="0" w:color="auto"/>
            </w:tcBorders>
            <w:shd w:val="clear" w:color="auto" w:fill="auto"/>
            <w:hideMark/>
          </w:tcPr>
          <w:p w:rsidR="00F36B8A" w:rsidRPr="006739D9" w:rsidRDefault="00F36B8A" w:rsidP="00E41F0B">
            <w:pPr>
              <w:jc w:val="right"/>
              <w:rPr>
                <w:sz w:val="20"/>
                <w:szCs w:val="20"/>
                <w:lang w:val="fr-CA" w:eastAsia="en-CA"/>
              </w:rPr>
            </w:pPr>
            <w:r w:rsidRPr="006739D9">
              <w:rPr>
                <w:sz w:val="20"/>
                <w:szCs w:val="20"/>
                <w:lang w:val="fr-CA" w:eastAsia="en-CA"/>
              </w:rPr>
              <w:t>886</w:t>
            </w:r>
            <w:r w:rsidR="006739D9">
              <w:rPr>
                <w:sz w:val="20"/>
                <w:szCs w:val="20"/>
                <w:lang w:val="fr-CA" w:eastAsia="en-CA"/>
              </w:rPr>
              <w:t xml:space="preserve"> </w:t>
            </w:r>
            <w:r w:rsidRPr="006739D9">
              <w:rPr>
                <w:sz w:val="20"/>
                <w:szCs w:val="20"/>
                <w:lang w:val="fr-CA" w:eastAsia="en-CA"/>
              </w:rPr>
              <w:t>610</w:t>
            </w:r>
          </w:p>
        </w:tc>
        <w:tc>
          <w:tcPr>
            <w:tcW w:w="1089" w:type="dxa"/>
            <w:tcBorders>
              <w:top w:val="nil"/>
              <w:left w:val="nil"/>
              <w:bottom w:val="single" w:sz="4" w:space="0" w:color="auto"/>
              <w:right w:val="single" w:sz="4" w:space="0" w:color="auto"/>
            </w:tcBorders>
            <w:shd w:val="clear" w:color="auto" w:fill="auto"/>
            <w:noWrap/>
            <w:hideMark/>
          </w:tcPr>
          <w:p w:rsidR="00F36B8A" w:rsidRPr="006739D9" w:rsidRDefault="00F36B8A" w:rsidP="00E41F0B">
            <w:pPr>
              <w:jc w:val="right"/>
              <w:rPr>
                <w:sz w:val="20"/>
                <w:szCs w:val="20"/>
                <w:lang w:val="fr-CA" w:eastAsia="en-CA"/>
              </w:rPr>
            </w:pPr>
            <w:r w:rsidRPr="006739D9">
              <w:rPr>
                <w:sz w:val="20"/>
                <w:szCs w:val="20"/>
                <w:lang w:val="fr-CA" w:eastAsia="en-CA"/>
              </w:rPr>
              <w:t>11</w:t>
            </w:r>
          </w:p>
        </w:tc>
      </w:tr>
      <w:tr w:rsidR="00F36B8A" w:rsidRPr="006739D9" w:rsidTr="00E41F0B">
        <w:trPr>
          <w:trHeight w:val="92"/>
        </w:trPr>
        <w:tc>
          <w:tcPr>
            <w:tcW w:w="1737" w:type="dxa"/>
            <w:tcBorders>
              <w:top w:val="nil"/>
              <w:left w:val="single" w:sz="4" w:space="0" w:color="auto"/>
              <w:bottom w:val="single" w:sz="4" w:space="0" w:color="auto"/>
              <w:right w:val="single" w:sz="4" w:space="0" w:color="auto"/>
            </w:tcBorders>
            <w:shd w:val="clear" w:color="auto" w:fill="auto"/>
            <w:noWrap/>
            <w:tcMar>
              <w:left w:w="14" w:type="dxa"/>
              <w:right w:w="0" w:type="dxa"/>
            </w:tcMar>
            <w:hideMark/>
          </w:tcPr>
          <w:p w:rsidR="00F36B8A" w:rsidRPr="006739D9" w:rsidRDefault="00F36B8A" w:rsidP="00E41F0B">
            <w:pPr>
              <w:jc w:val="left"/>
              <w:rPr>
                <w:b/>
                <w:bCs/>
                <w:sz w:val="20"/>
                <w:szCs w:val="20"/>
                <w:lang w:val="fr-CA" w:eastAsia="en-CA"/>
              </w:rPr>
            </w:pPr>
            <w:r w:rsidRPr="006739D9">
              <w:rPr>
                <w:b/>
                <w:bCs/>
                <w:sz w:val="20"/>
                <w:szCs w:val="20"/>
                <w:lang w:val="fr-CA" w:eastAsia="en-CA"/>
              </w:rPr>
              <w:t>Total</w:t>
            </w:r>
          </w:p>
        </w:tc>
        <w:tc>
          <w:tcPr>
            <w:tcW w:w="1088" w:type="dxa"/>
            <w:tcBorders>
              <w:top w:val="nil"/>
              <w:left w:val="nil"/>
              <w:bottom w:val="single" w:sz="4" w:space="0" w:color="auto"/>
              <w:right w:val="single" w:sz="4" w:space="0" w:color="auto"/>
            </w:tcBorders>
            <w:shd w:val="clear" w:color="auto" w:fill="auto"/>
            <w:noWrap/>
            <w:hideMark/>
          </w:tcPr>
          <w:p w:rsidR="00F36B8A" w:rsidRPr="006739D9" w:rsidRDefault="00F36B8A" w:rsidP="00E41F0B">
            <w:pPr>
              <w:jc w:val="right"/>
              <w:rPr>
                <w:b/>
                <w:bCs/>
                <w:sz w:val="20"/>
                <w:szCs w:val="20"/>
                <w:lang w:val="fr-CA" w:eastAsia="en-CA"/>
              </w:rPr>
            </w:pPr>
            <w:r w:rsidRPr="006739D9">
              <w:rPr>
                <w:b/>
                <w:bCs/>
                <w:sz w:val="20"/>
                <w:szCs w:val="20"/>
                <w:lang w:val="fr-CA" w:eastAsia="en-CA"/>
              </w:rPr>
              <w:t>6</w:t>
            </w:r>
          </w:p>
        </w:tc>
        <w:tc>
          <w:tcPr>
            <w:tcW w:w="1088" w:type="dxa"/>
            <w:tcBorders>
              <w:top w:val="nil"/>
              <w:left w:val="nil"/>
              <w:bottom w:val="single" w:sz="4" w:space="0" w:color="auto"/>
              <w:right w:val="single" w:sz="4" w:space="0" w:color="auto"/>
            </w:tcBorders>
            <w:shd w:val="clear" w:color="auto" w:fill="auto"/>
            <w:noWrap/>
            <w:hideMark/>
          </w:tcPr>
          <w:p w:rsidR="00F36B8A" w:rsidRPr="006739D9" w:rsidRDefault="00F36B8A" w:rsidP="00E41F0B">
            <w:pPr>
              <w:jc w:val="right"/>
              <w:rPr>
                <w:b/>
                <w:bCs/>
                <w:sz w:val="20"/>
                <w:szCs w:val="20"/>
                <w:lang w:val="fr-CA" w:eastAsia="en-CA"/>
              </w:rPr>
            </w:pPr>
            <w:r w:rsidRPr="006739D9">
              <w:rPr>
                <w:b/>
                <w:bCs/>
                <w:sz w:val="20"/>
                <w:szCs w:val="20"/>
                <w:lang w:val="fr-CA" w:eastAsia="en-CA"/>
              </w:rPr>
              <w:t>1</w:t>
            </w:r>
          </w:p>
        </w:tc>
        <w:tc>
          <w:tcPr>
            <w:tcW w:w="1127" w:type="dxa"/>
            <w:tcBorders>
              <w:top w:val="nil"/>
              <w:left w:val="nil"/>
              <w:bottom w:val="single" w:sz="4" w:space="0" w:color="auto"/>
              <w:right w:val="single" w:sz="4" w:space="0" w:color="auto"/>
            </w:tcBorders>
            <w:shd w:val="clear" w:color="auto" w:fill="auto"/>
            <w:noWrap/>
            <w:hideMark/>
          </w:tcPr>
          <w:p w:rsidR="00F36B8A" w:rsidRPr="006739D9" w:rsidRDefault="00F36B8A" w:rsidP="00E41F0B">
            <w:pPr>
              <w:jc w:val="right"/>
              <w:rPr>
                <w:b/>
                <w:sz w:val="20"/>
                <w:szCs w:val="20"/>
                <w:lang w:val="fr-CA" w:eastAsia="en-CA"/>
              </w:rPr>
            </w:pPr>
            <w:r w:rsidRPr="006739D9">
              <w:rPr>
                <w:b/>
                <w:sz w:val="20"/>
                <w:szCs w:val="20"/>
                <w:lang w:val="fr-CA" w:eastAsia="en-CA"/>
              </w:rPr>
              <w:t>17</w:t>
            </w:r>
          </w:p>
        </w:tc>
        <w:tc>
          <w:tcPr>
            <w:tcW w:w="1050" w:type="dxa"/>
            <w:tcBorders>
              <w:top w:val="nil"/>
              <w:left w:val="nil"/>
              <w:bottom w:val="single" w:sz="4" w:space="0" w:color="auto"/>
              <w:right w:val="single" w:sz="4" w:space="0" w:color="auto"/>
            </w:tcBorders>
            <w:shd w:val="clear" w:color="auto" w:fill="auto"/>
            <w:noWrap/>
            <w:hideMark/>
          </w:tcPr>
          <w:p w:rsidR="00F36B8A" w:rsidRPr="006739D9" w:rsidRDefault="00F36B8A" w:rsidP="00E41F0B">
            <w:pPr>
              <w:jc w:val="right"/>
              <w:rPr>
                <w:b/>
                <w:bCs/>
                <w:sz w:val="20"/>
                <w:szCs w:val="20"/>
                <w:lang w:val="fr-CA" w:eastAsia="en-CA"/>
              </w:rPr>
            </w:pPr>
            <w:r w:rsidRPr="006739D9">
              <w:rPr>
                <w:b/>
                <w:bCs/>
                <w:sz w:val="20"/>
                <w:szCs w:val="20"/>
                <w:lang w:val="fr-CA" w:eastAsia="en-CA"/>
              </w:rPr>
              <w:t>1</w:t>
            </w:r>
            <w:r w:rsidR="006739D9">
              <w:rPr>
                <w:b/>
                <w:bCs/>
                <w:sz w:val="20"/>
                <w:szCs w:val="20"/>
                <w:lang w:val="fr-CA" w:eastAsia="en-CA"/>
              </w:rPr>
              <w:t xml:space="preserve"> </w:t>
            </w:r>
            <w:r w:rsidRPr="006739D9">
              <w:rPr>
                <w:b/>
                <w:bCs/>
                <w:sz w:val="20"/>
                <w:szCs w:val="20"/>
                <w:lang w:val="fr-CA" w:eastAsia="en-CA"/>
              </w:rPr>
              <w:t>213</w:t>
            </w:r>
            <w:r w:rsidR="006739D9">
              <w:rPr>
                <w:b/>
                <w:bCs/>
                <w:sz w:val="20"/>
                <w:szCs w:val="20"/>
                <w:lang w:val="fr-CA" w:eastAsia="en-CA"/>
              </w:rPr>
              <w:t xml:space="preserve"> </w:t>
            </w:r>
            <w:r w:rsidRPr="006739D9">
              <w:rPr>
                <w:b/>
                <w:bCs/>
                <w:sz w:val="20"/>
                <w:szCs w:val="20"/>
                <w:lang w:val="fr-CA" w:eastAsia="en-CA"/>
              </w:rPr>
              <w:t>514</w:t>
            </w:r>
          </w:p>
        </w:tc>
        <w:tc>
          <w:tcPr>
            <w:tcW w:w="1088" w:type="dxa"/>
            <w:tcBorders>
              <w:top w:val="nil"/>
              <w:left w:val="nil"/>
              <w:bottom w:val="single" w:sz="4" w:space="0" w:color="auto"/>
              <w:right w:val="single" w:sz="4" w:space="0" w:color="auto"/>
            </w:tcBorders>
            <w:shd w:val="clear" w:color="auto" w:fill="auto"/>
            <w:noWrap/>
            <w:hideMark/>
          </w:tcPr>
          <w:p w:rsidR="00F36B8A" w:rsidRPr="006739D9" w:rsidRDefault="00F36B8A" w:rsidP="00E41F0B">
            <w:pPr>
              <w:jc w:val="right"/>
              <w:rPr>
                <w:b/>
                <w:bCs/>
                <w:sz w:val="20"/>
                <w:szCs w:val="20"/>
                <w:lang w:val="fr-CA" w:eastAsia="en-CA"/>
              </w:rPr>
            </w:pPr>
            <w:r w:rsidRPr="006739D9">
              <w:rPr>
                <w:b/>
                <w:bCs/>
                <w:sz w:val="20"/>
                <w:szCs w:val="20"/>
                <w:lang w:val="fr-CA" w:eastAsia="en-CA"/>
              </w:rPr>
              <w:t>143</w:t>
            </w:r>
            <w:r w:rsidR="006739D9">
              <w:rPr>
                <w:b/>
                <w:bCs/>
                <w:sz w:val="20"/>
                <w:szCs w:val="20"/>
                <w:lang w:val="fr-CA" w:eastAsia="en-CA"/>
              </w:rPr>
              <w:t xml:space="preserve"> </w:t>
            </w:r>
            <w:r w:rsidRPr="006739D9">
              <w:rPr>
                <w:b/>
                <w:bCs/>
                <w:sz w:val="20"/>
                <w:szCs w:val="20"/>
                <w:lang w:val="fr-CA" w:eastAsia="en-CA"/>
              </w:rPr>
              <w:t>390</w:t>
            </w:r>
          </w:p>
        </w:tc>
        <w:tc>
          <w:tcPr>
            <w:tcW w:w="1088" w:type="dxa"/>
            <w:tcBorders>
              <w:top w:val="nil"/>
              <w:left w:val="nil"/>
              <w:bottom w:val="single" w:sz="4" w:space="0" w:color="auto"/>
              <w:right w:val="single" w:sz="4" w:space="0" w:color="auto"/>
            </w:tcBorders>
            <w:shd w:val="clear" w:color="auto" w:fill="auto"/>
            <w:noWrap/>
            <w:hideMark/>
          </w:tcPr>
          <w:p w:rsidR="00F36B8A" w:rsidRPr="006739D9" w:rsidRDefault="00F36B8A" w:rsidP="00E41F0B">
            <w:pPr>
              <w:jc w:val="right"/>
              <w:rPr>
                <w:b/>
                <w:bCs/>
                <w:sz w:val="20"/>
                <w:szCs w:val="20"/>
                <w:lang w:val="fr-CA" w:eastAsia="en-CA"/>
              </w:rPr>
            </w:pPr>
            <w:r w:rsidRPr="006739D9">
              <w:rPr>
                <w:b/>
                <w:bCs/>
                <w:sz w:val="20"/>
                <w:szCs w:val="20"/>
                <w:lang w:val="fr-CA" w:eastAsia="en-CA"/>
              </w:rPr>
              <w:t>1</w:t>
            </w:r>
            <w:r w:rsidR="006739D9">
              <w:rPr>
                <w:b/>
                <w:bCs/>
                <w:sz w:val="20"/>
                <w:szCs w:val="20"/>
                <w:lang w:val="fr-CA" w:eastAsia="en-CA"/>
              </w:rPr>
              <w:t xml:space="preserve"> </w:t>
            </w:r>
            <w:r w:rsidRPr="006739D9">
              <w:rPr>
                <w:b/>
                <w:bCs/>
                <w:sz w:val="20"/>
                <w:szCs w:val="20"/>
                <w:lang w:val="fr-CA" w:eastAsia="en-CA"/>
              </w:rPr>
              <w:t>070</w:t>
            </w:r>
            <w:r w:rsidR="006739D9">
              <w:rPr>
                <w:b/>
                <w:bCs/>
                <w:sz w:val="20"/>
                <w:szCs w:val="20"/>
                <w:lang w:val="fr-CA" w:eastAsia="en-CA"/>
              </w:rPr>
              <w:t xml:space="preserve"> </w:t>
            </w:r>
            <w:r w:rsidRPr="006739D9">
              <w:rPr>
                <w:b/>
                <w:bCs/>
                <w:sz w:val="20"/>
                <w:szCs w:val="20"/>
                <w:lang w:val="fr-CA" w:eastAsia="en-CA"/>
              </w:rPr>
              <w:t>124</w:t>
            </w:r>
          </w:p>
        </w:tc>
        <w:tc>
          <w:tcPr>
            <w:tcW w:w="1089" w:type="dxa"/>
            <w:tcBorders>
              <w:top w:val="nil"/>
              <w:left w:val="nil"/>
              <w:bottom w:val="single" w:sz="4" w:space="0" w:color="auto"/>
              <w:right w:val="single" w:sz="4" w:space="0" w:color="auto"/>
            </w:tcBorders>
            <w:shd w:val="clear" w:color="auto" w:fill="auto"/>
            <w:noWrap/>
            <w:hideMark/>
          </w:tcPr>
          <w:p w:rsidR="00F36B8A" w:rsidRPr="006739D9" w:rsidRDefault="00F36B8A" w:rsidP="00E41F0B">
            <w:pPr>
              <w:jc w:val="right"/>
              <w:rPr>
                <w:b/>
                <w:sz w:val="20"/>
                <w:szCs w:val="20"/>
                <w:lang w:val="fr-CA" w:eastAsia="en-CA"/>
              </w:rPr>
            </w:pPr>
            <w:r w:rsidRPr="006739D9">
              <w:rPr>
                <w:b/>
                <w:sz w:val="20"/>
                <w:szCs w:val="20"/>
                <w:lang w:val="fr-CA" w:eastAsia="en-CA"/>
              </w:rPr>
              <w:t>12</w:t>
            </w:r>
          </w:p>
        </w:tc>
      </w:tr>
    </w:tbl>
    <w:p w:rsidR="00F36B8A" w:rsidRPr="006739D9" w:rsidRDefault="006739D9" w:rsidP="00F36B8A">
      <w:pPr>
        <w:rPr>
          <w:sz w:val="20"/>
          <w:lang w:val="fr-FR"/>
        </w:rPr>
      </w:pPr>
      <w:r w:rsidRPr="006739D9">
        <w:rPr>
          <w:sz w:val="20"/>
          <w:lang w:val="fr-FR"/>
        </w:rPr>
        <w:t>*Coûts d’appui à l’agence en sus</w:t>
      </w:r>
    </w:p>
    <w:p w:rsidR="006739D9" w:rsidRDefault="006739D9" w:rsidP="00F36B8A">
      <w:pPr>
        <w:rPr>
          <w:lang w:val="fr-FR"/>
        </w:rPr>
      </w:pPr>
    </w:p>
    <w:p w:rsidR="006739D9" w:rsidRPr="006739D9" w:rsidRDefault="00AA1B50" w:rsidP="006739D9">
      <w:pPr>
        <w:pStyle w:val="ListParagraph"/>
        <w:numPr>
          <w:ilvl w:val="0"/>
          <w:numId w:val="26"/>
        </w:numPr>
        <w:ind w:left="0" w:firstLine="0"/>
        <w:rPr>
          <w:lang w:val="fr-FR"/>
        </w:rPr>
      </w:pPr>
      <w:r>
        <w:rPr>
          <w:lang w:val="fr-CA"/>
        </w:rPr>
        <w:t>Une des six activités de préparation de projets approuvées en date de la fin de 2018 a été menée à terme. Le projet d’investissement portant sur l’élimination de 8,8 tm (12 555 tm éq-CO</w:t>
      </w:r>
      <w:r w:rsidRPr="00744C0D">
        <w:rPr>
          <w:vertAlign w:val="subscript"/>
          <w:lang w:val="fr-CA"/>
        </w:rPr>
        <w:t>2</w:t>
      </w:r>
      <w:r>
        <w:rPr>
          <w:lang w:val="fr-CA"/>
        </w:rPr>
        <w:t>) de HFC est au tout début du processus de mise en œuvre et aucune somme n’a été décaissée. La Banque mondiale a toutefois confirmé que le projet serait achevé à la date prévue. Les activités de facilitation en sont à différentes étapes de mise en œuvre. Une somme cumulative de 143 390 $US a été décaissée à ce jour sur la somme totale approuvée de 1 213 514 $US aux fins de décaissement (coûts d’appui en sus), ce qui représente un taux de décaissement de 12 pour cent</w:t>
      </w:r>
      <w:r w:rsidR="00744C0D">
        <w:rPr>
          <w:lang w:val="fr-CA"/>
        </w:rPr>
        <w:t>.</w:t>
      </w:r>
    </w:p>
    <w:p w:rsidR="00441083" w:rsidRDefault="00441083">
      <w:pPr>
        <w:rPr>
          <w:lang w:val="fr-FR"/>
        </w:rPr>
      </w:pPr>
    </w:p>
    <w:p w:rsidR="00441083" w:rsidRDefault="00441083">
      <w:pPr>
        <w:rPr>
          <w:lang w:val="fr-FR"/>
        </w:rPr>
      </w:pPr>
    </w:p>
    <w:sectPr w:rsidR="00441083">
      <w:headerReference w:type="even" r:id="rId16"/>
      <w:headerReference w:type="default" r:id="rId17"/>
      <w:headerReference w:type="first" r:id="rId18"/>
      <w:footerReference w:type="first" r:id="rId19"/>
      <w:footnotePr>
        <w:numRestart w:val="eachSect"/>
      </w:footnotePr>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FCC" w:rsidRDefault="007C2FCC">
      <w:r>
        <w:separator/>
      </w:r>
    </w:p>
  </w:endnote>
  <w:endnote w:type="continuationSeparator" w:id="0">
    <w:p w:rsidR="007C2FCC" w:rsidRDefault="007C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roman"/>
    <w:notTrueType/>
    <w:pitch w:val="default"/>
  </w:font>
  <w:font w:name="MS Serif">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F0B" w:rsidRDefault="00E41F0B">
    <w:pPr>
      <w:jc w:val="center"/>
    </w:pPr>
    <w:r>
      <w:fldChar w:fldCharType="begin"/>
    </w:r>
    <w:r>
      <w:instrText xml:space="preserve"> PAGE </w:instrText>
    </w:r>
    <w:r>
      <w:fldChar w:fldCharType="separate"/>
    </w:r>
    <w:r w:rsidR="00EB34E9">
      <w:rPr>
        <w:noProof/>
      </w:rPr>
      <w:t>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F0B" w:rsidRDefault="00E41F0B">
    <w:pPr>
      <w:jc w:val="center"/>
    </w:pPr>
    <w:r>
      <w:fldChar w:fldCharType="begin"/>
    </w:r>
    <w:r>
      <w:instrText xml:space="preserve"> PAGE </w:instrText>
    </w:r>
    <w:r>
      <w:fldChar w:fldCharType="separate"/>
    </w:r>
    <w:r w:rsidR="00EB34E9">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F0B" w:rsidRDefault="00E41F0B">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 xml:space="preserve">Les documents de </w:t>
    </w:r>
    <w:proofErr w:type="spellStart"/>
    <w:r>
      <w:rPr>
        <w:rFonts w:cs="MS Serif"/>
        <w:sz w:val="20"/>
        <w:lang w:val="fr-FR"/>
      </w:rPr>
      <w:t>présession</w:t>
    </w:r>
    <w:proofErr w:type="spellEnd"/>
    <w:r>
      <w:rPr>
        <w:rFonts w:cs="MS Serif"/>
        <w:sz w:val="20"/>
        <w:lang w:val="fr-FR"/>
      </w:rPr>
      <w:t xml:space="preserve"> du Comité exécutif du Fonds multilatéral aux fins d’application du Protocole de </w:t>
    </w:r>
  </w:p>
  <w:p w:rsidR="00E41F0B" w:rsidRDefault="00E41F0B">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Montréal sont présentés sous réserve des décisions pouvant être prises par le Comité exécutif après leur publication.</w:t>
    </w:r>
  </w:p>
  <w:p w:rsidR="00E41F0B" w:rsidRDefault="00E41F0B">
    <w:pPr>
      <w:pStyle w:val="Footer"/>
      <w:rPr>
        <w:lang w:val="fr-FR"/>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08631"/>
      <w:docPartObj>
        <w:docPartGallery w:val="Page Numbers (Bottom of Page)"/>
        <w:docPartUnique/>
      </w:docPartObj>
    </w:sdtPr>
    <w:sdtEndPr>
      <w:rPr>
        <w:noProof/>
      </w:rPr>
    </w:sdtEndPr>
    <w:sdtContent>
      <w:p w:rsidR="00E41F0B" w:rsidRDefault="00E41F0B">
        <w:pPr>
          <w:pStyle w:val="Footer"/>
          <w:jc w:val="center"/>
        </w:pPr>
        <w:r>
          <w:fldChar w:fldCharType="begin"/>
        </w:r>
        <w:r>
          <w:instrText xml:space="preserve"> PAGE   \* MERGEFORMAT </w:instrText>
        </w:r>
        <w:r>
          <w:fldChar w:fldCharType="separate"/>
        </w:r>
        <w:r w:rsidR="00EB34E9">
          <w:rPr>
            <w:noProof/>
          </w:rPr>
          <w:t>1</w:t>
        </w:r>
        <w:r>
          <w:rPr>
            <w:noProof/>
          </w:rPr>
          <w:fldChar w:fldCharType="end"/>
        </w:r>
      </w:p>
    </w:sdtContent>
  </w:sdt>
  <w:p w:rsidR="00E41F0B" w:rsidRDefault="00E41F0B">
    <w:pP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FCC" w:rsidRDefault="007C2FCC">
      <w:r>
        <w:separator/>
      </w:r>
    </w:p>
  </w:footnote>
  <w:footnote w:type="continuationSeparator" w:id="0">
    <w:p w:rsidR="007C2FCC" w:rsidRDefault="007C2FCC">
      <w:r>
        <w:continuationSeparator/>
      </w:r>
    </w:p>
  </w:footnote>
  <w:footnote w:id="1">
    <w:p w:rsidR="00E41F0B" w:rsidRPr="00CF6D70" w:rsidRDefault="00E41F0B" w:rsidP="00603529">
      <w:pPr>
        <w:pStyle w:val="FootnoteText"/>
        <w:spacing w:after="0"/>
        <w:ind w:left="0" w:firstLine="0"/>
        <w:jc w:val="both"/>
        <w:rPr>
          <w:lang w:val="fr-CA"/>
        </w:rPr>
      </w:pPr>
      <w:r w:rsidRPr="00A051CF">
        <w:rPr>
          <w:rStyle w:val="FootnoteReference"/>
        </w:rPr>
        <w:footnoteRef/>
      </w:r>
      <w:r w:rsidRPr="00CF6D70">
        <w:rPr>
          <w:lang w:val="fr-CA"/>
        </w:rPr>
        <w:t xml:space="preserve"> </w:t>
      </w:r>
      <w:r>
        <w:rPr>
          <w:lang w:val="fr-CA"/>
        </w:rPr>
        <w:t>Le rapport périodique est joint au présent document. Les données ont été intég</w:t>
      </w:r>
      <w:r w:rsidR="00D6551C">
        <w:rPr>
          <w:lang w:val="fr-CA"/>
        </w:rPr>
        <w:t xml:space="preserve">rées à la base des données des </w:t>
      </w:r>
      <w:r>
        <w:rPr>
          <w:lang w:val="fr-CA"/>
        </w:rPr>
        <w:t>rapports périodiques globaux, disponible sur demande</w:t>
      </w:r>
      <w:r w:rsidRPr="00CF6D70">
        <w:rPr>
          <w:lang w:val="fr-CA"/>
        </w:rPr>
        <w:t xml:space="preserve">. </w:t>
      </w:r>
    </w:p>
  </w:footnote>
  <w:footnote w:id="2">
    <w:p w:rsidR="00E41F0B" w:rsidRPr="00CF6D70" w:rsidRDefault="00E41F0B" w:rsidP="002D74D2">
      <w:pPr>
        <w:pStyle w:val="FootnoteText"/>
        <w:spacing w:after="0"/>
        <w:ind w:left="0" w:firstLine="0"/>
        <w:jc w:val="both"/>
        <w:rPr>
          <w:lang w:val="fr-CA"/>
        </w:rPr>
      </w:pPr>
      <w:r w:rsidRPr="00CF6D70">
        <w:rPr>
          <w:rStyle w:val="FootnoteReference"/>
          <w:lang w:val="fr-CA"/>
        </w:rPr>
        <w:footnoteRef/>
      </w:r>
      <w:r w:rsidRPr="00CF6D70">
        <w:rPr>
          <w:lang w:val="fr-CA"/>
        </w:rPr>
        <w:t xml:space="preserve"> </w:t>
      </w:r>
      <w:r>
        <w:rPr>
          <w:lang w:val="fr-CA"/>
        </w:rPr>
        <w:t>Les projets en cours consistent en tous les projets qui éta</w:t>
      </w:r>
      <w:r w:rsidR="002D74D2">
        <w:rPr>
          <w:lang w:val="fr-CA"/>
        </w:rPr>
        <w:t>ient en voie de mise en œuvre jusqu’au 31 décembre</w:t>
      </w:r>
      <w:r>
        <w:rPr>
          <w:lang w:val="fr-CA"/>
        </w:rPr>
        <w:t xml:space="preserve"> 2018. Les principaux indicateurs de progrès sont : le pourcentage des fonds décaissés et le pourcentage de projets pour lesquels le décaissement de fonds a </w:t>
      </w:r>
      <w:proofErr w:type="gramStart"/>
      <w:r>
        <w:rPr>
          <w:lang w:val="fr-CA"/>
        </w:rPr>
        <w:t>débuté;</w:t>
      </w:r>
      <w:proofErr w:type="gramEnd"/>
      <w:r>
        <w:rPr>
          <w:lang w:val="fr-CA"/>
        </w:rPr>
        <w:t xml:space="preserve"> les sommes dont le décaissement est prévu au cours de l’année en tant que pourcentage du financement approuvé; la durée moyenne des retards dans la mise en œuvre des projets; et </w:t>
      </w:r>
      <w:r w:rsidR="00C340DD">
        <w:rPr>
          <w:lang w:val="fr-CA"/>
        </w:rPr>
        <w:t>les renseignements fournis</w:t>
      </w:r>
      <w:r>
        <w:rPr>
          <w:lang w:val="fr-CA"/>
        </w:rPr>
        <w:t xml:space="preserve"> dans la colonne des observations de la base de données des rapports périodiques</w:t>
      </w:r>
      <w:r w:rsidRPr="00CF6D70">
        <w:rPr>
          <w:lang w:val="fr-CA"/>
        </w:rPr>
        <w:t>.</w:t>
      </w:r>
    </w:p>
  </w:footnote>
  <w:footnote w:id="3">
    <w:p w:rsidR="00E41F0B" w:rsidRDefault="00E41F0B" w:rsidP="00335174">
      <w:pPr>
        <w:pStyle w:val="FootnoteText"/>
        <w:spacing w:after="0"/>
        <w:ind w:left="0" w:firstLine="0"/>
        <w:jc w:val="both"/>
        <w:rPr>
          <w:lang w:val="fr-CA"/>
        </w:rPr>
      </w:pPr>
      <w:r w:rsidRPr="00CF6D70">
        <w:rPr>
          <w:rStyle w:val="FootnoteReference"/>
          <w:lang w:val="fr-CA"/>
        </w:rPr>
        <w:footnoteRef/>
      </w:r>
      <w:r w:rsidRPr="00CF6D70">
        <w:rPr>
          <w:lang w:val="fr-CA"/>
        </w:rPr>
        <w:t xml:space="preserve"> </w:t>
      </w:r>
      <w:r>
        <w:rPr>
          <w:lang w:val="fr-CA"/>
        </w:rPr>
        <w:t>Toutes les activités en lien avec les HFC relevant de la Banque mondiale ont été approuvées au titre des contributions supplémentaires volontaires</w:t>
      </w:r>
      <w:r w:rsidRPr="00CF6D70">
        <w:rPr>
          <w:lang w:val="fr-CA"/>
        </w:rPr>
        <w:t>.</w:t>
      </w:r>
    </w:p>
    <w:p w:rsidR="002D74D2" w:rsidRDefault="002D74D2" w:rsidP="00335174">
      <w:pPr>
        <w:pStyle w:val="FootnoteText"/>
        <w:spacing w:after="0"/>
        <w:ind w:left="0" w:firstLine="0"/>
        <w:jc w:val="both"/>
        <w:rPr>
          <w:lang w:val="fr-CA"/>
        </w:rPr>
      </w:pPr>
    </w:p>
    <w:p w:rsidR="00C340DD" w:rsidRPr="00CF6D70" w:rsidRDefault="00C340DD" w:rsidP="00335174">
      <w:pPr>
        <w:pStyle w:val="FootnoteText"/>
        <w:spacing w:after="0"/>
        <w:ind w:left="0" w:firstLine="0"/>
        <w:jc w:val="both"/>
        <w:rPr>
          <w:lang w:val="fr-CA"/>
        </w:rPr>
      </w:pPr>
    </w:p>
  </w:footnote>
  <w:footnote w:id="4">
    <w:p w:rsidR="00E41F0B" w:rsidRPr="00DF2450" w:rsidRDefault="00E41F0B" w:rsidP="002E2E88">
      <w:pPr>
        <w:pStyle w:val="FootnoteText"/>
        <w:spacing w:after="0"/>
        <w:ind w:left="142" w:hanging="142"/>
        <w:jc w:val="both"/>
        <w:rPr>
          <w:lang w:val="fr-CA"/>
        </w:rPr>
      </w:pPr>
      <w:r w:rsidRPr="00DF2450">
        <w:rPr>
          <w:rStyle w:val="FootnoteReference"/>
          <w:lang w:val="fr-CA"/>
        </w:rPr>
        <w:footnoteRef/>
      </w:r>
      <w:r w:rsidRPr="00DF2450">
        <w:rPr>
          <w:lang w:val="fr-CA"/>
        </w:rPr>
        <w:t xml:space="preserve"> La question des deux différentes mesures des substances réglementées est abordée dans le rapport périodique global (UNEP/OzL.Pro/ExCom/84/16).</w:t>
      </w:r>
    </w:p>
  </w:footnote>
  <w:footnote w:id="5">
    <w:p w:rsidR="00E41F0B" w:rsidRPr="00DF2450" w:rsidRDefault="00E41F0B" w:rsidP="00A70BB3">
      <w:pPr>
        <w:pStyle w:val="FootnoteText"/>
        <w:spacing w:after="0"/>
        <w:ind w:left="0" w:firstLine="0"/>
        <w:jc w:val="both"/>
        <w:rPr>
          <w:lang w:val="fr-CA"/>
        </w:rPr>
      </w:pPr>
      <w:r w:rsidRPr="00DF2450">
        <w:rPr>
          <w:rStyle w:val="FootnoteReference"/>
          <w:lang w:val="fr-CA"/>
        </w:rPr>
        <w:footnoteRef/>
      </w:r>
      <w:r w:rsidRPr="00DF2450">
        <w:rPr>
          <w:lang w:val="fr-CA"/>
        </w:rPr>
        <w:t xml:space="preserve"> </w:t>
      </w:r>
      <w:r>
        <w:rPr>
          <w:lang w:val="fr-CA"/>
        </w:rPr>
        <w:t>Toutes les substances réglementées visées par ces projets étaient des substances qui appauvrissent la couche d’ozone</w:t>
      </w:r>
      <w:r w:rsidRPr="00DF2450">
        <w:rPr>
          <w:lang w:val="fr-CA"/>
        </w:rPr>
        <w:t xml:space="preserve">. </w:t>
      </w:r>
    </w:p>
  </w:footnote>
  <w:footnote w:id="6">
    <w:p w:rsidR="00E41F0B" w:rsidRPr="00507E36" w:rsidRDefault="00E41F0B" w:rsidP="003B148E">
      <w:pPr>
        <w:pStyle w:val="FootnoteText"/>
        <w:spacing w:after="0"/>
        <w:ind w:left="0" w:firstLine="0"/>
        <w:jc w:val="both"/>
        <w:rPr>
          <w:lang w:val="fr-CA"/>
        </w:rPr>
      </w:pPr>
      <w:r w:rsidRPr="00A051CF">
        <w:rPr>
          <w:rStyle w:val="FootnoteReference"/>
        </w:rPr>
        <w:footnoteRef/>
      </w:r>
      <w:r w:rsidRPr="00507E36">
        <w:rPr>
          <w:lang w:val="fr-CA"/>
        </w:rPr>
        <w:t xml:space="preserve"> </w:t>
      </w:r>
      <w:r>
        <w:rPr>
          <w:lang w:val="fr-CA"/>
        </w:rPr>
        <w:t xml:space="preserve">Toutes les substances réglementées au titre de ces projets étaient des substances qui appauvrissent la couche d’ozone, et </w:t>
      </w:r>
      <w:r w:rsidR="00182D2E">
        <w:rPr>
          <w:lang w:val="fr-CA"/>
        </w:rPr>
        <w:t>étaient</w:t>
      </w:r>
      <w:r>
        <w:rPr>
          <w:lang w:val="fr-CA"/>
        </w:rPr>
        <w:t xml:space="preserve"> donc mesurées en tonnes PAO</w:t>
      </w:r>
      <w:r w:rsidRPr="00507E36">
        <w:rPr>
          <w:lang w:val="fr-CA"/>
        </w:rPr>
        <w:t>.</w:t>
      </w:r>
    </w:p>
  </w:footnote>
  <w:footnote w:id="7">
    <w:p w:rsidR="00E41F0B" w:rsidRPr="00507E36" w:rsidRDefault="00E41F0B" w:rsidP="00C8311C">
      <w:pPr>
        <w:pStyle w:val="FootnoteText"/>
        <w:spacing w:after="0"/>
        <w:ind w:left="0" w:firstLine="0"/>
        <w:jc w:val="both"/>
        <w:rPr>
          <w:lang w:val="fr-CA"/>
        </w:rPr>
      </w:pPr>
      <w:r w:rsidRPr="00507E36">
        <w:rPr>
          <w:rStyle w:val="FootnoteReference"/>
          <w:lang w:val="fr-CA"/>
        </w:rPr>
        <w:footnoteRef/>
      </w:r>
      <w:r w:rsidRPr="00507E36">
        <w:rPr>
          <w:lang w:val="fr-CA"/>
        </w:rPr>
        <w:t xml:space="preserve"> </w:t>
      </w:r>
      <w:r>
        <w:rPr>
          <w:lang w:val="fr-CA"/>
        </w:rPr>
        <w:t>La valeur plus élevée du rapport coût-efficacité des projets en cours est attribuable en grande partie à la valeur PAO moins élevée des HCFC et aussi à la manière d’attribuer l’élimination par les agences</w:t>
      </w:r>
      <w:r w:rsidRPr="00507E36">
        <w:rPr>
          <w:lang w:val="fr-CA"/>
        </w:rPr>
        <w:t>.</w:t>
      </w:r>
    </w:p>
  </w:footnote>
  <w:footnote w:id="8">
    <w:p w:rsidR="00E41F0B" w:rsidRPr="00D149BB" w:rsidRDefault="00E41F0B" w:rsidP="00D149BB">
      <w:pPr>
        <w:pStyle w:val="FootnoteText"/>
        <w:spacing w:after="0"/>
        <w:ind w:left="0" w:firstLine="0"/>
        <w:jc w:val="both"/>
        <w:rPr>
          <w:lang w:val="fr-CA"/>
        </w:rPr>
      </w:pPr>
      <w:r w:rsidRPr="00A051CF">
        <w:rPr>
          <w:rStyle w:val="FootnoteReference"/>
        </w:rPr>
        <w:footnoteRef/>
      </w:r>
      <w:r w:rsidRPr="00D149BB">
        <w:rPr>
          <w:lang w:val="fr-CA"/>
        </w:rPr>
        <w:t xml:space="preserve"> Le PGEH des Philippines a été transféré </w:t>
      </w:r>
      <w:r>
        <w:rPr>
          <w:lang w:val="fr-CA"/>
        </w:rPr>
        <w:t>à l’ONUDI à la 83</w:t>
      </w:r>
      <w:r w:rsidRPr="00D149BB">
        <w:rPr>
          <w:vertAlign w:val="superscript"/>
          <w:lang w:val="fr-CA"/>
        </w:rPr>
        <w:t>e</w:t>
      </w:r>
      <w:r>
        <w:rPr>
          <w:lang w:val="fr-CA"/>
        </w:rPr>
        <w:t xml:space="preserve"> réunion (décision 83/39)</w:t>
      </w:r>
    </w:p>
  </w:footnote>
  <w:footnote w:id="9">
    <w:p w:rsidR="00E41F0B" w:rsidRPr="00E41F0B" w:rsidRDefault="00E41F0B" w:rsidP="00D149BB">
      <w:pPr>
        <w:pStyle w:val="FootnoteText"/>
        <w:spacing w:after="0"/>
        <w:ind w:left="0" w:firstLine="0"/>
        <w:jc w:val="both"/>
        <w:rPr>
          <w:lang w:val="fr-CA"/>
        </w:rPr>
      </w:pPr>
      <w:r w:rsidRPr="00A051CF">
        <w:rPr>
          <w:rStyle w:val="FootnoteReference"/>
        </w:rPr>
        <w:footnoteRef/>
      </w:r>
      <w:r w:rsidRPr="00E41F0B">
        <w:rPr>
          <w:lang w:val="fr-CA"/>
        </w:rPr>
        <w:t xml:space="preserve"> UNEP/OzL.Pro/ExCom/84/42</w:t>
      </w:r>
    </w:p>
  </w:footnote>
  <w:footnote w:id="10">
    <w:p w:rsidR="00E41F0B" w:rsidRPr="00E41F0B" w:rsidRDefault="00E41F0B" w:rsidP="00D149BB">
      <w:pPr>
        <w:pStyle w:val="FootnoteText"/>
        <w:spacing w:after="0"/>
        <w:ind w:left="0" w:firstLine="0"/>
        <w:jc w:val="both"/>
        <w:rPr>
          <w:lang w:val="fr-CA"/>
        </w:rPr>
      </w:pPr>
      <w:r w:rsidRPr="00A051CF">
        <w:rPr>
          <w:rStyle w:val="FootnoteReference"/>
        </w:rPr>
        <w:footnoteRef/>
      </w:r>
      <w:r w:rsidRPr="00E41F0B">
        <w:rPr>
          <w:lang w:val="fr-CA"/>
        </w:rPr>
        <w:t xml:space="preserve"> UNEP/OzL.Pro/ExCom/84/53</w:t>
      </w:r>
    </w:p>
  </w:footnote>
  <w:footnote w:id="11">
    <w:p w:rsidR="00E41F0B" w:rsidRPr="00E41F0B" w:rsidRDefault="00E41F0B" w:rsidP="00D149BB">
      <w:pPr>
        <w:pStyle w:val="FootnoteText"/>
        <w:spacing w:after="0"/>
        <w:ind w:left="0" w:firstLine="0"/>
        <w:jc w:val="both"/>
        <w:rPr>
          <w:lang w:val="fr-CA"/>
        </w:rPr>
      </w:pPr>
      <w:r w:rsidRPr="00A051CF">
        <w:rPr>
          <w:rStyle w:val="FootnoteReference"/>
        </w:rPr>
        <w:footnoteRef/>
      </w:r>
      <w:r w:rsidRPr="00E41F0B">
        <w:rPr>
          <w:lang w:val="fr-CA"/>
        </w:rPr>
        <w:t xml:space="preserve"> UNEP/OzL.Pro/ExCom/84/62</w:t>
      </w:r>
    </w:p>
  </w:footnote>
  <w:footnote w:id="12">
    <w:p w:rsidR="00E41F0B" w:rsidRPr="00E41F0B" w:rsidRDefault="00E41F0B" w:rsidP="00D149BB">
      <w:pPr>
        <w:pStyle w:val="FootnoteText"/>
        <w:spacing w:after="0"/>
        <w:rPr>
          <w:lang w:val="fr-CA"/>
        </w:rPr>
      </w:pPr>
      <w:r w:rsidRPr="00A051CF">
        <w:rPr>
          <w:rStyle w:val="FootnoteReference"/>
        </w:rPr>
        <w:footnoteRef/>
      </w:r>
      <w:r w:rsidRPr="00E41F0B">
        <w:rPr>
          <w:lang w:val="fr-CA"/>
        </w:rPr>
        <w:t xml:space="preserve"> UNEP/OzL.Pro/ExCom/84/22</w:t>
      </w:r>
    </w:p>
  </w:footnote>
  <w:footnote w:id="13">
    <w:p w:rsidR="00E41F0B" w:rsidRPr="00B34FF5" w:rsidRDefault="00E41F0B" w:rsidP="00B34FF5">
      <w:pPr>
        <w:pStyle w:val="FootnoteText"/>
        <w:spacing w:after="0"/>
        <w:ind w:left="0" w:firstLine="0"/>
        <w:jc w:val="both"/>
        <w:rPr>
          <w:lang w:val="fr-CA"/>
        </w:rPr>
      </w:pPr>
      <w:r w:rsidRPr="00A051CF">
        <w:rPr>
          <w:rStyle w:val="FootnoteReference"/>
        </w:rPr>
        <w:footnoteRef/>
      </w:r>
      <w:r w:rsidRPr="00AA6B96">
        <w:rPr>
          <w:lang w:val="fr-CA"/>
        </w:rPr>
        <w:t xml:space="preserve"> </w:t>
      </w:r>
      <w:r>
        <w:rPr>
          <w:lang w:val="fr-CA"/>
        </w:rPr>
        <w:t>Les données sont présentées selon l’année d’approbation du projet par le Comité exécutif</w:t>
      </w:r>
      <w:r w:rsidRPr="00B34FF5">
        <w:rPr>
          <w:lang w:val="fr-CA"/>
        </w:rPr>
        <w:t>.</w:t>
      </w:r>
      <w:r>
        <w:rPr>
          <w:lang w:val="fr-CA"/>
        </w:rPr>
        <w:t xml:space="preserve"> </w:t>
      </w:r>
      <w:r w:rsidR="00AA1B50">
        <w:rPr>
          <w:lang w:val="fr-CA"/>
        </w:rPr>
        <w:t>Tous les projets approuvés</w:t>
      </w:r>
      <w:r>
        <w:rPr>
          <w:lang w:val="fr-CA"/>
        </w:rPr>
        <w:t xml:space="preserve"> (projets d’investissement et ne portant pas sur des investissements) sont </w:t>
      </w:r>
      <w:proofErr w:type="gramStart"/>
      <w:r>
        <w:rPr>
          <w:lang w:val="fr-CA"/>
        </w:rPr>
        <w:t>traitées</w:t>
      </w:r>
      <w:proofErr w:type="gramEnd"/>
      <w:r>
        <w:rPr>
          <w:lang w:val="fr-CA"/>
        </w:rPr>
        <w:t xml:space="preserve"> de la même façon (c.-à-d., un projet d’investissement ou une tranche de financement d’un accord pluriannuel d’un million $US est considéré comme un projet, au même titre que la préparation d’un programme de pays de 30 000 $US). Les principaux indicateurs du sommaire annuel sont : le pourcentage de projets achevés, les PAO éliminées et le pourcentage des fonds décaissés. Il y a trois types de décaissements : au cours de la mise en œuvre, après la mise en œuvre et pour les projets financés à titre rétroactif.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F0B" w:rsidRDefault="00E41F0B">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/84/21</w:t>
    </w:r>
    <w:r>
      <w:fldChar w:fldCharType="end"/>
    </w:r>
  </w:p>
  <w:p w:rsidR="002D74D2" w:rsidRDefault="002D74D2"/>
  <w:p w:rsidR="00EB34E9" w:rsidRDefault="00EB34E9">
    <w:bookmarkStart w:id="0" w:name="_GoBack"/>
    <w:bookmarkEnd w:id="0"/>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F0B" w:rsidRDefault="00F03BF8">
    <w:pPr>
      <w:jc w:val="right"/>
    </w:pPr>
    <w:r>
      <w:fldChar w:fldCharType="begin"/>
    </w:r>
    <w:r>
      <w:instrText xml:space="preserve"> DOCPROPERTY "Document number"  \* MERGEFORMAT </w:instrText>
    </w:r>
    <w:r>
      <w:fldChar w:fldCharType="separate"/>
    </w:r>
    <w:r w:rsidR="00E41F0B">
      <w:t>UNEP/</w:t>
    </w:r>
    <w:proofErr w:type="spellStart"/>
    <w:r w:rsidR="00E41F0B">
      <w:t>OzL.Pro</w:t>
    </w:r>
    <w:proofErr w:type="spellEnd"/>
    <w:r w:rsidR="00E41F0B">
      <w:t>/</w:t>
    </w:r>
    <w:proofErr w:type="spellStart"/>
    <w:r w:rsidR="00E41F0B">
      <w:t>ExCom</w:t>
    </w:r>
    <w:proofErr w:type="spellEnd"/>
    <w:r w:rsidR="00E41F0B">
      <w:t>/84/21</w:t>
    </w:r>
    <w:r>
      <w:fldChar w:fldCharType="end"/>
    </w:r>
  </w:p>
  <w:p w:rsidR="00E41F0B" w:rsidRDefault="00E41F0B">
    <w:pPr>
      <w:pStyle w:val="Header"/>
    </w:pPr>
  </w:p>
  <w:p w:rsidR="002D74D2" w:rsidRDefault="002D74D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4E9" w:rsidRDefault="00EB34E9">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4E9" w:rsidRDefault="00EB34E9">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/84/21</w:t>
    </w:r>
    <w:r>
      <w:fldChar w:fldCharType="end"/>
    </w:r>
  </w:p>
  <w:p w:rsidR="00EB34E9" w:rsidRDefault="00EB34E9">
    <w:r>
      <w:t>Annexe I</w:t>
    </w:r>
  </w:p>
  <w:p w:rsidR="00EB34E9" w:rsidRDefault="00EB34E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4D2" w:rsidRDefault="002D74D2">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/84/21</w:t>
    </w:r>
    <w:r>
      <w:fldChar w:fldCharType="end"/>
    </w:r>
  </w:p>
  <w:p w:rsidR="002D74D2" w:rsidRDefault="002D74D2" w:rsidP="0043084D">
    <w:pPr>
      <w:jc w:val="right"/>
    </w:pPr>
    <w:r>
      <w:t>Annexe I</w:t>
    </w:r>
  </w:p>
  <w:p w:rsidR="002D74D2" w:rsidRDefault="002D74D2">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F0B" w:rsidRDefault="00F03BF8">
    <w:pPr>
      <w:jc w:val="right"/>
    </w:pPr>
    <w:r>
      <w:fldChar w:fldCharType="begin"/>
    </w:r>
    <w:r>
      <w:instrText xml:space="preserve"> DOCPROPERTY "Document number"  \* MERGEFORMAT </w:instrText>
    </w:r>
    <w:r>
      <w:fldChar w:fldCharType="separate"/>
    </w:r>
    <w:r w:rsidR="00E41F0B">
      <w:t>UNEP/</w:t>
    </w:r>
    <w:proofErr w:type="spellStart"/>
    <w:r w:rsidR="00E41F0B">
      <w:t>OzL.Pro</w:t>
    </w:r>
    <w:proofErr w:type="spellEnd"/>
    <w:r w:rsidR="00E41F0B">
      <w:t>/</w:t>
    </w:r>
    <w:proofErr w:type="spellStart"/>
    <w:r w:rsidR="00E41F0B">
      <w:t>ExCom</w:t>
    </w:r>
    <w:proofErr w:type="spellEnd"/>
    <w:r w:rsidR="00E41F0B">
      <w:t>/84/21</w:t>
    </w:r>
    <w:r>
      <w:fldChar w:fldCharType="end"/>
    </w:r>
  </w:p>
  <w:p w:rsidR="00E41F0B" w:rsidRDefault="0043084D">
    <w:pPr>
      <w:jc w:val="right"/>
    </w:pPr>
    <w:r>
      <w:t>Annexe I</w:t>
    </w:r>
  </w:p>
  <w:p w:rsidR="00E41F0B" w:rsidRDefault="00E41F0B">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5E00F85"/>
    <w:multiLevelType w:val="hybridMultilevel"/>
    <w:tmpl w:val="0262C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1DB3B20"/>
    <w:multiLevelType w:val="hybridMultilevel"/>
    <w:tmpl w:val="0B528E64"/>
    <w:lvl w:ilvl="0" w:tplc="2618C89C">
      <w:start w:val="1"/>
      <w:numFmt w:val="decimal"/>
      <w:lvlText w:val="%1."/>
      <w:lvlJc w:val="left"/>
      <w:pPr>
        <w:ind w:left="720" w:hanging="360"/>
      </w:pPr>
      <w:rPr>
        <w:b w:val="0"/>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17A837CD"/>
    <w:multiLevelType w:val="hybridMultilevel"/>
    <w:tmpl w:val="EA7412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6" w15:restartNumberingAfterBreak="0">
    <w:nsid w:val="3E811240"/>
    <w:multiLevelType w:val="hybridMultilevel"/>
    <w:tmpl w:val="EECE110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8311F33"/>
    <w:multiLevelType w:val="hybridMultilevel"/>
    <w:tmpl w:val="2B8AB7D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CE24964"/>
    <w:multiLevelType w:val="hybridMultilevel"/>
    <w:tmpl w:val="5EE27D82"/>
    <w:lvl w:ilvl="0" w:tplc="4E9E7208">
      <w:start w:val="1"/>
      <w:numFmt w:val="lowerLetter"/>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7"/>
  </w:num>
  <w:num w:numId="18">
    <w:abstractNumId w:val="18"/>
  </w:num>
  <w:num w:numId="19">
    <w:abstractNumId w:val="21"/>
  </w:num>
  <w:num w:numId="20">
    <w:abstractNumId w:val="15"/>
  </w:num>
  <w:num w:numId="21">
    <w:abstractNumId w:val="11"/>
  </w:num>
  <w:num w:numId="22">
    <w:abstractNumId w:val="13"/>
  </w:num>
  <w:num w:numId="23">
    <w:abstractNumId w:val="19"/>
  </w:num>
  <w:num w:numId="24">
    <w:abstractNumId w:val="12"/>
  </w:num>
  <w:num w:numId="25">
    <w:abstractNumId w:val="20"/>
  </w:num>
  <w:num w:numId="26">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7B"/>
    <w:rsid w:val="00007010"/>
    <w:rsid w:val="00033B19"/>
    <w:rsid w:val="000F6C8E"/>
    <w:rsid w:val="00107AAA"/>
    <w:rsid w:val="0013520B"/>
    <w:rsid w:val="00155540"/>
    <w:rsid w:val="00182D2E"/>
    <w:rsid w:val="001C3D0C"/>
    <w:rsid w:val="001C58D6"/>
    <w:rsid w:val="001D4CE7"/>
    <w:rsid w:val="002503AB"/>
    <w:rsid w:val="00262096"/>
    <w:rsid w:val="00265AF0"/>
    <w:rsid w:val="0027080E"/>
    <w:rsid w:val="00274E4C"/>
    <w:rsid w:val="002D74D2"/>
    <w:rsid w:val="002E2E88"/>
    <w:rsid w:val="002F0B57"/>
    <w:rsid w:val="003079FB"/>
    <w:rsid w:val="00335174"/>
    <w:rsid w:val="003A0CA4"/>
    <w:rsid w:val="003B148E"/>
    <w:rsid w:val="004002F0"/>
    <w:rsid w:val="0043084D"/>
    <w:rsid w:val="00441083"/>
    <w:rsid w:val="004C2C87"/>
    <w:rsid w:val="004E3A36"/>
    <w:rsid w:val="004F1304"/>
    <w:rsid w:val="00507E36"/>
    <w:rsid w:val="005250AC"/>
    <w:rsid w:val="005570B6"/>
    <w:rsid w:val="005858DC"/>
    <w:rsid w:val="005925E0"/>
    <w:rsid w:val="005A5C56"/>
    <w:rsid w:val="005B3CAD"/>
    <w:rsid w:val="005C278F"/>
    <w:rsid w:val="005C550A"/>
    <w:rsid w:val="00603529"/>
    <w:rsid w:val="00605093"/>
    <w:rsid w:val="0061637B"/>
    <w:rsid w:val="00630B8F"/>
    <w:rsid w:val="00635340"/>
    <w:rsid w:val="0066596F"/>
    <w:rsid w:val="006739D9"/>
    <w:rsid w:val="00694F71"/>
    <w:rsid w:val="006E4CB4"/>
    <w:rsid w:val="007034FA"/>
    <w:rsid w:val="00744C0D"/>
    <w:rsid w:val="0075750B"/>
    <w:rsid w:val="007C2FCC"/>
    <w:rsid w:val="00873DC1"/>
    <w:rsid w:val="008C5AE3"/>
    <w:rsid w:val="0091161A"/>
    <w:rsid w:val="00914DDE"/>
    <w:rsid w:val="00922874"/>
    <w:rsid w:val="00936391"/>
    <w:rsid w:val="00972E99"/>
    <w:rsid w:val="009A0953"/>
    <w:rsid w:val="009A5180"/>
    <w:rsid w:val="00A464C8"/>
    <w:rsid w:val="00A477C6"/>
    <w:rsid w:val="00A70BB3"/>
    <w:rsid w:val="00AA1B50"/>
    <w:rsid w:val="00AA6B96"/>
    <w:rsid w:val="00AB1213"/>
    <w:rsid w:val="00AC013C"/>
    <w:rsid w:val="00AE63D8"/>
    <w:rsid w:val="00AF79A8"/>
    <w:rsid w:val="00B26E23"/>
    <w:rsid w:val="00B34FF5"/>
    <w:rsid w:val="00B44E00"/>
    <w:rsid w:val="00B811F2"/>
    <w:rsid w:val="00BB1B18"/>
    <w:rsid w:val="00BC3C7D"/>
    <w:rsid w:val="00BD2B7F"/>
    <w:rsid w:val="00C15AEA"/>
    <w:rsid w:val="00C340DD"/>
    <w:rsid w:val="00C6443E"/>
    <w:rsid w:val="00C8311C"/>
    <w:rsid w:val="00C87CBC"/>
    <w:rsid w:val="00CF6D70"/>
    <w:rsid w:val="00D149BB"/>
    <w:rsid w:val="00D17754"/>
    <w:rsid w:val="00D61B7A"/>
    <w:rsid w:val="00D6551C"/>
    <w:rsid w:val="00D7654A"/>
    <w:rsid w:val="00DB4E64"/>
    <w:rsid w:val="00DD3433"/>
    <w:rsid w:val="00DD7026"/>
    <w:rsid w:val="00DF2450"/>
    <w:rsid w:val="00E348C6"/>
    <w:rsid w:val="00E41F0B"/>
    <w:rsid w:val="00E54871"/>
    <w:rsid w:val="00E60D9C"/>
    <w:rsid w:val="00EB2067"/>
    <w:rsid w:val="00EB34E9"/>
    <w:rsid w:val="00EB698D"/>
    <w:rsid w:val="00F03BF8"/>
    <w:rsid w:val="00F36B8A"/>
    <w:rsid w:val="00F37A42"/>
    <w:rsid w:val="00F557F5"/>
    <w:rsid w:val="00F737F9"/>
    <w:rsid w:val="00F90102"/>
    <w:rsid w:val="00FC0D87"/>
    <w:rsid w:val="00FC3199"/>
    <w:rsid w:val="00FC5578"/>
    <w:rsid w:val="00FD22FE"/>
    <w:rsid w:val="00FE431D"/>
    <w:rsid w:val="00FF3C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DE4572"/>
  <w15:docId w15:val="{0AA79AD2-7A46-4F8F-A7B1-AAF6EC73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qFormat/>
    <w:pPr>
      <w:widowControl w:val="0"/>
      <w:numPr>
        <w:ilvl w:val="1"/>
        <w:numId w:val="2"/>
      </w:numPr>
      <w:spacing w:after="240"/>
      <w:outlineLvl w:val="1"/>
    </w:pPr>
  </w:style>
  <w:style w:type="paragraph" w:styleId="Heading3">
    <w:name w:val="heading 3"/>
    <w:aliases w:val="Char,Heading 3 Char,Char Char,Heading 3 Char1,Heading 3 Char Char,Char Char Char,Char Char1"/>
    <w:basedOn w:val="Normal"/>
    <w:next w:val="Normal"/>
    <w:qFormat/>
    <w:pPr>
      <w:widowControl w:val="0"/>
      <w:numPr>
        <w:ilvl w:val="2"/>
        <w:numId w:val="3"/>
      </w:numPr>
      <w:spacing w:after="240"/>
      <w:outlineLvl w:val="2"/>
    </w:pPr>
  </w:style>
  <w:style w:type="paragraph" w:styleId="Heading4">
    <w:name w:val="heading 4"/>
    <w:aliases w:val="Heading 11"/>
    <w:basedOn w:val="Normal"/>
    <w:next w:val="Heading9"/>
    <w:qFormat/>
    <w:pPr>
      <w:keepNext/>
      <w:numPr>
        <w:ilvl w:val="3"/>
        <w:numId w:val="4"/>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customStyle="1" w:styleId="StyleHeading1Para1Heading1CharHeading1Char3CharHeadin">
    <w:name w:val="Style Heading 1Para (1)Heading 1 CharHeading 1 Char3 CharHeadin..."/>
    <w:basedOn w:val="Heading1"/>
    <w:pPr>
      <w:numPr>
        <w:numId w:val="0"/>
      </w:numPr>
      <w:tabs>
        <w:tab w:val="left" w:pos="720"/>
      </w:tabs>
    </w:pPr>
    <w:rPr>
      <w:szCs w:val="20"/>
    </w:rPr>
  </w:style>
  <w:style w:type="character" w:customStyle="1" w:styleId="FooterChar">
    <w:name w:val="Footer Char"/>
    <w:basedOn w:val="DefaultParagraphFont"/>
    <w:link w:val="Footer"/>
    <w:uiPriority w:val="99"/>
    <w:rPr>
      <w:sz w:val="22"/>
      <w:szCs w:val="22"/>
      <w:lang w:val="en-GB"/>
    </w:rPr>
  </w:style>
  <w:style w:type="character" w:styleId="FootnoteReference">
    <w:name w:val="footnote reference"/>
    <w:aliases w:val="16 Point,Superscript 6 Point,Footnote text,Footnote Text1,Footnote Text2"/>
    <w:uiPriority w:val="99"/>
    <w:rsid w:val="00603529"/>
    <w:rPr>
      <w:rFonts w:ascii="Times New Roman" w:hAnsi="Times New Roman" w:cs="Times New Roman"/>
      <w:position w:val="0"/>
      <w:sz w:val="24"/>
      <w:szCs w:val="24"/>
      <w:vertAlign w:val="superscript"/>
    </w:rPr>
  </w:style>
  <w:style w:type="paragraph" w:styleId="FootnoteText">
    <w:name w:val="footnote text"/>
    <w:aliases w:val="Char1,Char1 Char Char, Char1, Char1 Char Char,Fußnotentextf"/>
    <w:basedOn w:val="Normal"/>
    <w:link w:val="FootnoteTextChar"/>
    <w:uiPriority w:val="99"/>
    <w:qFormat/>
    <w:rsid w:val="00603529"/>
    <w:pPr>
      <w:spacing w:after="120"/>
      <w:ind w:left="432" w:hanging="432"/>
      <w:jc w:val="left"/>
    </w:pPr>
    <w:rPr>
      <w:sz w:val="20"/>
      <w:szCs w:val="20"/>
      <w:lang w:val="en-US" w:eastAsia="fr-FR"/>
    </w:rPr>
  </w:style>
  <w:style w:type="character" w:customStyle="1" w:styleId="FootnoteTextChar">
    <w:name w:val="Footnote Text Char"/>
    <w:aliases w:val="Char1 Char,Char1 Char Char Char, Char1 Char, Char1 Char Char Char,Fußnotentextf Char"/>
    <w:basedOn w:val="DefaultParagraphFont"/>
    <w:link w:val="FootnoteText"/>
    <w:uiPriority w:val="99"/>
    <w:rsid w:val="00603529"/>
    <w:rPr>
      <w:lang w:eastAsia="fr-FR"/>
    </w:rPr>
  </w:style>
  <w:style w:type="paragraph" w:styleId="ListParagraph">
    <w:name w:val="List Paragraph"/>
    <w:basedOn w:val="Normal"/>
    <w:uiPriority w:val="34"/>
    <w:qFormat/>
    <w:rsid w:val="00603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ise\Documents\Fichiers%20de%20travail\ExCom%2084\F8421.doc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9683CADC4F284EA5F0B82357B5BF3A" ma:contentTypeVersion="2" ma:contentTypeDescription="Create a new document." ma:contentTypeScope="" ma:versionID="068ecf6b82cce04dbb15b641d5edd95a">
  <xsd:schema xmlns:xsd="http://www.w3.org/2001/XMLSchema" xmlns:p="http://schemas.microsoft.com/office/2006/metadata/properties" xmlns:ns2="8662b4aa-cf42-4f00-a3f0-9d3b4acad230" xmlns:ns3="310e179b-1379-4e79-9b74-d5a32b1812d3" targetNamespace="http://schemas.microsoft.com/office/2006/metadata/properties" ma:root="true" ma:fieldsID="ec3297cc96d292a79aedb3c4ee5cf4fc"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UNEP/OzL.Pro/ExCom/84/21</Document_x0020_Number>
  </documentManagement>
</p:properties>
</file>

<file path=customXml/itemProps1.xml><?xml version="1.0" encoding="utf-8"?>
<ds:datastoreItem xmlns:ds="http://schemas.openxmlformats.org/officeDocument/2006/customXml" ds:itemID="{0C15DCB1-E20A-44F3-BE54-AF850AF603DC}"/>
</file>

<file path=customXml/itemProps2.xml><?xml version="1.0" encoding="utf-8"?>
<ds:datastoreItem xmlns:ds="http://schemas.openxmlformats.org/officeDocument/2006/customXml" ds:itemID="{A194BBAD-EB44-4ACB-A64D-B8A7FAB93C75}"/>
</file>

<file path=customXml/itemProps3.xml><?xml version="1.0" encoding="utf-8"?>
<ds:datastoreItem xmlns:ds="http://schemas.openxmlformats.org/officeDocument/2006/customXml" ds:itemID="{7310F231-88F5-4EAC-909C-F124D6D17F7B}"/>
</file>

<file path=customXml/itemProps4.xml><?xml version="1.0" encoding="utf-8"?>
<ds:datastoreItem xmlns:ds="http://schemas.openxmlformats.org/officeDocument/2006/customXml" ds:itemID="{30525B74-1DB5-4F77-8989-EFB870026291}"/>
</file>

<file path=docProps/app.xml><?xml version="1.0" encoding="utf-8"?>
<Properties xmlns="http://schemas.openxmlformats.org/officeDocument/2006/extended-properties" xmlns:vt="http://schemas.openxmlformats.org/officeDocument/2006/docPropsVTypes">
  <Template>F8421.docx</Template>
  <TotalTime>48</TotalTime>
  <Pages>9</Pages>
  <Words>2890</Words>
  <Characters>13262</Characters>
  <Application>Microsoft Office Word</Application>
  <DocSecurity>0</DocSecurity>
  <Lines>110</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Rapport Périodique de la Banque Mondiale au 31 décembre 2018</vt:lpstr>
      <vt:lpstr/>
    </vt:vector>
  </TitlesOfParts>
  <Company>UNMFS</Company>
  <LinksUpToDate>false</LinksUpToDate>
  <CharactersWithSpaces>16120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périodique de la Banque Mondiale au 31 décembre 2018</dc:title>
  <dc:creator>Louise</dc:creator>
  <cp:lastModifiedBy>HBE</cp:lastModifiedBy>
  <cp:revision>16</cp:revision>
  <cp:lastPrinted>2019-11-21T19:12:00Z</cp:lastPrinted>
  <dcterms:created xsi:type="dcterms:W3CDTF">2019-11-21T19:08:00Z</dcterms:created>
  <dcterms:modified xsi:type="dcterms:W3CDTF">2019-11-27T22:58:00Z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UNEP/OzL.Pro/ExCom/84/21</vt:lpwstr>
  </property>
  <property fmtid="{D5CDD505-2E9C-101B-9397-08002B2CF9AE}" pid="3" name="Revision date">
    <vt:lpwstr>11/19/2019</vt:lpwstr>
  </property>
  <property fmtid="{D5CDD505-2E9C-101B-9397-08002B2CF9AE}" pid="4" name="ContentTypeId">
    <vt:lpwstr>0x010100109683CADC4F284EA5F0B82357B5BF3A</vt:lpwstr>
  </property>
</Properties>
</file>