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6E3020" w14:paraId="244485CD" w14:textId="77777777">
        <w:trPr>
          <w:trHeight w:val="720"/>
        </w:trPr>
        <w:tc>
          <w:tcPr>
            <w:tcW w:w="7061" w:type="dxa"/>
            <w:gridSpan w:val="2"/>
            <w:tcBorders>
              <w:bottom w:val="single" w:sz="18" w:space="0" w:color="auto"/>
            </w:tcBorders>
          </w:tcPr>
          <w:p w14:paraId="51D61364" w14:textId="77777777" w:rsidR="00441083" w:rsidRPr="006E3020"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bookmarkStart w:id="0" w:name="_GoBack"/>
            <w:bookmarkEnd w:id="0"/>
            <w:r w:rsidRPr="006E3020">
              <w:rPr>
                <w:rFonts w:ascii="Univers" w:hAnsi="Univers"/>
                <w:b/>
                <w:sz w:val="28"/>
                <w:szCs w:val="28"/>
                <w:lang w:val="fr-FR"/>
              </w:rPr>
              <w:t>NATIONS</w:t>
            </w:r>
          </w:p>
          <w:p w14:paraId="1CB2C8B5" w14:textId="77777777" w:rsidR="00441083" w:rsidRPr="006E3020"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6E3020">
              <w:rPr>
                <w:rFonts w:ascii="Univers" w:hAnsi="Univers"/>
                <w:b/>
                <w:sz w:val="28"/>
                <w:szCs w:val="28"/>
                <w:lang w:val="fr-FR"/>
              </w:rPr>
              <w:t xml:space="preserve">UNIES </w:t>
            </w:r>
          </w:p>
        </w:tc>
        <w:tc>
          <w:tcPr>
            <w:tcW w:w="3544" w:type="dxa"/>
            <w:tcBorders>
              <w:bottom w:val="single" w:sz="18" w:space="0" w:color="auto"/>
            </w:tcBorders>
          </w:tcPr>
          <w:p w14:paraId="11CA9861" w14:textId="77777777" w:rsidR="00441083" w:rsidRPr="006E3020" w:rsidRDefault="00E60D9C">
            <w:pPr>
              <w:tabs>
                <w:tab w:val="left" w:pos="3010"/>
              </w:tabs>
              <w:jc w:val="center"/>
              <w:rPr>
                <w:sz w:val="52"/>
                <w:szCs w:val="52"/>
                <w:lang w:val="fr-FR"/>
              </w:rPr>
            </w:pPr>
            <w:r w:rsidRPr="006E3020">
              <w:rPr>
                <w:rFonts w:ascii="Univers Bold" w:hAnsi="Univers Bold"/>
                <w:b/>
                <w:sz w:val="72"/>
                <w:lang w:val="fr-FR"/>
              </w:rPr>
              <w:t xml:space="preserve">          EP</w:t>
            </w:r>
          </w:p>
        </w:tc>
      </w:tr>
      <w:tr w:rsidR="00441083" w:rsidRPr="006E3020" w14:paraId="1396C4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3CDC4AA" w14:textId="77777777" w:rsidR="00441083" w:rsidRPr="006E3020" w:rsidRDefault="00C6443E">
            <w:pPr>
              <w:spacing w:before="120"/>
              <w:rPr>
                <w:lang w:val="fr-FR"/>
              </w:rPr>
            </w:pPr>
            <w:r w:rsidRPr="006E3020">
              <w:rPr>
                <w:noProof/>
                <w:lang w:val="en-CA" w:eastAsia="en-CA"/>
              </w:rPr>
              <w:drawing>
                <wp:anchor distT="0" distB="0" distL="114300" distR="114300" simplePos="0" relativeHeight="251660288" behindDoc="0" locked="0" layoutInCell="1" allowOverlap="1" wp14:anchorId="1B225C11" wp14:editId="1032CA86">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00100" cy="705485"/>
                          </a:xfrm>
                          <a:prstGeom prst="rect">
                            <a:avLst/>
                          </a:prstGeom>
                          <a:noFill/>
                        </pic:spPr>
                      </pic:pic>
                    </a:graphicData>
                  </a:graphic>
                </wp:anchor>
              </w:drawing>
            </w:r>
            <w:r w:rsidR="001C3D0C" w:rsidRPr="006E3020">
              <w:rPr>
                <w:noProof/>
                <w:lang w:val="en-CA" w:eastAsia="en-CA"/>
              </w:rPr>
              <w:drawing>
                <wp:anchor distT="0" distB="0" distL="114300" distR="114300" simplePos="0" relativeHeight="251661312" behindDoc="1" locked="0" layoutInCell="0" allowOverlap="1" wp14:anchorId="07904210" wp14:editId="444308F3">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7FE9AA1" w14:textId="77777777" w:rsidR="00441083" w:rsidRPr="006E3020"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3D7EE97B" w14:textId="77777777" w:rsidR="00441083" w:rsidRPr="006E3020"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6E3020">
              <w:rPr>
                <w:rFonts w:ascii="Univers" w:hAnsi="Univers"/>
                <w:b/>
                <w:sz w:val="32"/>
                <w:lang w:val="fr-FR"/>
              </w:rPr>
              <w:t>Programme des</w:t>
            </w:r>
          </w:p>
          <w:p w14:paraId="48CFE91A" w14:textId="77777777" w:rsidR="00441083" w:rsidRPr="006E3020" w:rsidRDefault="00E60D9C">
            <w:pPr>
              <w:rPr>
                <w:rFonts w:ascii="Univers" w:hAnsi="Univers"/>
                <w:b/>
                <w:sz w:val="32"/>
                <w:lang w:val="fr-FR"/>
              </w:rPr>
            </w:pPr>
            <w:r w:rsidRPr="006E3020">
              <w:rPr>
                <w:rFonts w:ascii="Univers" w:hAnsi="Univers"/>
                <w:b/>
                <w:sz w:val="32"/>
                <w:lang w:val="fr-FR"/>
              </w:rPr>
              <w:t>Nations Unies pour</w:t>
            </w:r>
          </w:p>
          <w:p w14:paraId="6B2E66FB" w14:textId="77777777" w:rsidR="00441083" w:rsidRPr="006E3020" w:rsidRDefault="00E60D9C">
            <w:pPr>
              <w:rPr>
                <w:rFonts w:ascii="Univers" w:hAnsi="Univers"/>
                <w:b/>
                <w:sz w:val="32"/>
                <w:lang w:val="fr-FR"/>
              </w:rPr>
            </w:pPr>
            <w:r w:rsidRPr="006E3020">
              <w:rPr>
                <w:rFonts w:ascii="Univers" w:hAnsi="Univers"/>
                <w:b/>
                <w:sz w:val="32"/>
                <w:lang w:val="fr-FR"/>
              </w:rPr>
              <w:t>l’environnement</w:t>
            </w:r>
          </w:p>
          <w:p w14:paraId="6E319188" w14:textId="77777777" w:rsidR="00441083" w:rsidRPr="006E3020" w:rsidRDefault="00E60D9C">
            <w:pPr>
              <w:spacing w:before="720"/>
              <w:ind w:left="158"/>
              <w:rPr>
                <w:lang w:val="fr-FR"/>
              </w:rPr>
            </w:pPr>
            <w:r w:rsidRPr="006E3020">
              <w:rPr>
                <w:lang w:val="fr-FR"/>
              </w:rPr>
              <w:t xml:space="preserve"> </w:t>
            </w:r>
          </w:p>
        </w:tc>
        <w:tc>
          <w:tcPr>
            <w:tcW w:w="3544" w:type="dxa"/>
            <w:tcBorders>
              <w:top w:val="nil"/>
              <w:left w:val="nil"/>
              <w:bottom w:val="single" w:sz="36" w:space="0" w:color="auto"/>
              <w:right w:val="nil"/>
            </w:tcBorders>
          </w:tcPr>
          <w:p w14:paraId="7EA91367" w14:textId="77777777" w:rsidR="00441083" w:rsidRPr="006E3020" w:rsidRDefault="00441083">
            <w:pPr>
              <w:rPr>
                <w:lang w:val="fr-FR"/>
              </w:rPr>
            </w:pPr>
          </w:p>
          <w:p w14:paraId="375A4025" w14:textId="77777777" w:rsidR="00441083" w:rsidRPr="006E3020" w:rsidRDefault="00E60D9C">
            <w:pPr>
              <w:rPr>
                <w:lang w:val="fr-FR"/>
              </w:rPr>
            </w:pPr>
            <w:r w:rsidRPr="006E3020">
              <w:rPr>
                <w:lang w:val="fr-FR"/>
              </w:rPr>
              <w:t>Distr.</w:t>
            </w:r>
          </w:p>
          <w:p w14:paraId="1C5B8A4F" w14:textId="77777777" w:rsidR="00441083" w:rsidRPr="006E3020" w:rsidRDefault="00E60D9C" w:rsidP="00DD3433">
            <w:pPr>
              <w:rPr>
                <w:lang w:val="fr-FR"/>
              </w:rPr>
            </w:pPr>
            <w:r w:rsidRPr="006E3020">
              <w:rPr>
                <w:lang w:val="fr-FR"/>
              </w:rPr>
              <w:t>G</w:t>
            </w:r>
            <w:r w:rsidR="00DD3433" w:rsidRPr="006E3020">
              <w:rPr>
                <w:lang w:val="fr-FR"/>
              </w:rPr>
              <w:t>É</w:t>
            </w:r>
            <w:r w:rsidRPr="006E3020">
              <w:rPr>
                <w:lang w:val="fr-FR"/>
              </w:rPr>
              <w:t>N</w:t>
            </w:r>
            <w:r w:rsidR="00DD3433" w:rsidRPr="006E3020">
              <w:rPr>
                <w:lang w:val="fr-FR"/>
              </w:rPr>
              <w:t>É</w:t>
            </w:r>
            <w:r w:rsidRPr="006E3020">
              <w:rPr>
                <w:lang w:val="fr-FR"/>
              </w:rPr>
              <w:t>RAL</w:t>
            </w:r>
            <w:r w:rsidR="00FF3CF1" w:rsidRPr="006E3020">
              <w:rPr>
                <w:lang w:val="fr-FR"/>
              </w:rPr>
              <w:t>E</w:t>
            </w:r>
          </w:p>
          <w:p w14:paraId="7ED5BB62" w14:textId="77777777" w:rsidR="00441083" w:rsidRPr="006E3020" w:rsidRDefault="00441083">
            <w:pPr>
              <w:rPr>
                <w:lang w:val="fr-FR"/>
              </w:rPr>
            </w:pPr>
          </w:p>
          <w:p w14:paraId="688291C4" w14:textId="08B6DF69" w:rsidR="00441083" w:rsidRPr="006E3020" w:rsidRDefault="00E60D9C">
            <w:pPr>
              <w:rPr>
                <w:lang w:val="fr-FR"/>
              </w:rPr>
            </w:pPr>
            <w:r w:rsidRPr="006E3020">
              <w:rPr>
                <w:lang w:val="fr-FR"/>
              </w:rPr>
              <w:fldChar w:fldCharType="begin"/>
            </w:r>
            <w:r w:rsidRPr="006E3020">
              <w:rPr>
                <w:lang w:val="fr-FR"/>
              </w:rPr>
              <w:instrText xml:space="preserve"> DOCPROPERTY "Document number"  \* MERGEFORMAT </w:instrText>
            </w:r>
            <w:r w:rsidRPr="006E3020">
              <w:rPr>
                <w:lang w:val="fr-FR"/>
              </w:rPr>
              <w:fldChar w:fldCharType="separate"/>
            </w:r>
            <w:r w:rsidR="00546604">
              <w:rPr>
                <w:lang w:val="fr-FR"/>
              </w:rPr>
              <w:t>UNEP/OzL.Pro/ExCom/84/23</w:t>
            </w:r>
            <w:r w:rsidRPr="006E3020">
              <w:rPr>
                <w:lang w:val="fr-FR"/>
              </w:rPr>
              <w:fldChar w:fldCharType="end"/>
            </w:r>
          </w:p>
          <w:p w14:paraId="741EED15" w14:textId="4C529C37" w:rsidR="002F0B57" w:rsidRPr="006E3020" w:rsidRDefault="002F0B57" w:rsidP="000F6C8E">
            <w:pPr>
              <w:rPr>
                <w:lang w:val="fr-FR"/>
              </w:rPr>
            </w:pPr>
            <w:r w:rsidRPr="006E3020">
              <w:rPr>
                <w:lang w:val="fr-FR"/>
              </w:rPr>
              <w:fldChar w:fldCharType="begin"/>
            </w:r>
            <w:r w:rsidRPr="006E3020">
              <w:rPr>
                <w:lang w:val="fr-FR"/>
              </w:rPr>
              <w:instrText xml:space="preserve"> DOCPROPERTY "Revision date" \@ "d MMMM YYYY"  \* MERGEFORMAT </w:instrText>
            </w:r>
            <w:r w:rsidRPr="006E3020">
              <w:rPr>
                <w:lang w:val="fr-FR"/>
              </w:rPr>
              <w:fldChar w:fldCharType="separate"/>
            </w:r>
            <w:r w:rsidR="00546604">
              <w:rPr>
                <w:lang w:val="fr-FR"/>
              </w:rPr>
              <w:t>15 novembre 2019</w:t>
            </w:r>
            <w:r w:rsidRPr="006E3020">
              <w:rPr>
                <w:lang w:val="fr-FR"/>
              </w:rPr>
              <w:fldChar w:fldCharType="end"/>
            </w:r>
          </w:p>
          <w:p w14:paraId="617A3982" w14:textId="77777777" w:rsidR="00441083" w:rsidRPr="006E3020" w:rsidRDefault="00FC5578">
            <w:pPr>
              <w:rPr>
                <w:caps/>
                <w:lang w:val="fr-FR"/>
              </w:rPr>
            </w:pPr>
            <w:r w:rsidRPr="006E3020">
              <w:rPr>
                <w:caps/>
                <w:lang w:val="fr-FR"/>
              </w:rPr>
              <w:br/>
            </w:r>
            <w:r w:rsidR="00E60D9C" w:rsidRPr="006E3020">
              <w:rPr>
                <w:caps/>
                <w:lang w:val="fr-FR"/>
              </w:rPr>
              <w:t>FRANÇAIS</w:t>
            </w:r>
          </w:p>
          <w:p w14:paraId="28FD2C3C" w14:textId="77777777" w:rsidR="00441083" w:rsidRPr="006E3020" w:rsidRDefault="00E60D9C">
            <w:pPr>
              <w:rPr>
                <w:lang w:val="fr-FR"/>
              </w:rPr>
            </w:pPr>
            <w:r w:rsidRPr="006E3020">
              <w:rPr>
                <w:lang w:val="fr-FR"/>
              </w:rPr>
              <w:t xml:space="preserve">ORIGINAL: </w:t>
            </w:r>
            <w:r w:rsidR="0091161A" w:rsidRPr="006E3020">
              <w:rPr>
                <w:lang w:val="fr-FR"/>
              </w:rPr>
              <w:t>ANGLAIS</w:t>
            </w:r>
          </w:p>
        </w:tc>
      </w:tr>
    </w:tbl>
    <w:p w14:paraId="1A0B9F5E" w14:textId="77777777" w:rsidR="00441083" w:rsidRPr="006E3020" w:rsidRDefault="00441083">
      <w:pPr>
        <w:jc w:val="left"/>
        <w:rPr>
          <w:lang w:val="fr-FR"/>
        </w:rPr>
      </w:pPr>
    </w:p>
    <w:p w14:paraId="4AED9265" w14:textId="77777777" w:rsidR="00441083" w:rsidRPr="006E3020" w:rsidRDefault="00E60D9C" w:rsidP="00DD3433">
      <w:pPr>
        <w:jc w:val="left"/>
        <w:rPr>
          <w:lang w:val="fr-FR"/>
        </w:rPr>
      </w:pPr>
      <w:r w:rsidRPr="006E3020">
        <w:rPr>
          <w:lang w:val="fr-FR"/>
        </w:rPr>
        <w:t>COMIT</w:t>
      </w:r>
      <w:r w:rsidR="00DD3433" w:rsidRPr="006E3020">
        <w:rPr>
          <w:lang w:val="fr-FR"/>
        </w:rPr>
        <w:t>É</w:t>
      </w:r>
      <w:r w:rsidRPr="006E3020">
        <w:rPr>
          <w:lang w:val="fr-FR"/>
        </w:rPr>
        <w:t xml:space="preserve"> EX</w:t>
      </w:r>
      <w:r w:rsidR="00DD3433" w:rsidRPr="006E3020">
        <w:rPr>
          <w:lang w:val="fr-FR"/>
        </w:rPr>
        <w:t xml:space="preserve">ÉCUTIF </w:t>
      </w:r>
      <w:r w:rsidR="00DD3433" w:rsidRPr="006E3020">
        <w:rPr>
          <w:lang w:val="fr-FR"/>
        </w:rPr>
        <w:br/>
        <w:t xml:space="preserve">  DU FONDS MULTILATÉ</w:t>
      </w:r>
      <w:r w:rsidRPr="006E3020">
        <w:rPr>
          <w:lang w:val="fr-FR"/>
        </w:rPr>
        <w:t xml:space="preserve">RAL AUX FINS </w:t>
      </w:r>
      <w:r w:rsidRPr="006E3020">
        <w:rPr>
          <w:lang w:val="fr-FR"/>
        </w:rPr>
        <w:br/>
        <w:t xml:space="preserve">  D’APPLICATION DU PROTOCOLE DE MONTR</w:t>
      </w:r>
      <w:r w:rsidR="00DD3433" w:rsidRPr="006E3020">
        <w:rPr>
          <w:lang w:val="fr-FR"/>
        </w:rPr>
        <w:t>É</w:t>
      </w:r>
      <w:r w:rsidRPr="006E3020">
        <w:rPr>
          <w:lang w:val="fr-FR"/>
        </w:rPr>
        <w:t>AL</w:t>
      </w:r>
      <w:r w:rsidRPr="006E3020">
        <w:rPr>
          <w:lang w:val="fr-FR"/>
        </w:rPr>
        <w:br/>
      </w:r>
      <w:r w:rsidR="00E54871" w:rsidRPr="006E3020">
        <w:rPr>
          <w:lang w:val="fr-FR"/>
        </w:rPr>
        <w:t>Quatre</w:t>
      </w:r>
      <w:r w:rsidRPr="006E3020">
        <w:rPr>
          <w:lang w:val="fr-FR"/>
        </w:rPr>
        <w:t>-</w:t>
      </w:r>
      <w:r w:rsidR="00E54871" w:rsidRPr="006E3020">
        <w:rPr>
          <w:lang w:val="fr-FR"/>
        </w:rPr>
        <w:t>vingt</w:t>
      </w:r>
      <w:r w:rsidR="00AE63D8" w:rsidRPr="006E3020">
        <w:rPr>
          <w:lang w:val="fr-FR"/>
        </w:rPr>
        <w:t>-</w:t>
      </w:r>
      <w:r w:rsidR="00AC013C" w:rsidRPr="006E3020">
        <w:rPr>
          <w:lang w:val="fr-FR"/>
        </w:rPr>
        <w:t>quat</w:t>
      </w:r>
      <w:r w:rsidR="004C2C87" w:rsidRPr="006E3020">
        <w:rPr>
          <w:lang w:val="fr-FR"/>
        </w:rPr>
        <w:t>ri</w:t>
      </w:r>
      <w:r w:rsidR="00E54871" w:rsidRPr="006E3020">
        <w:rPr>
          <w:lang w:val="fr-FR"/>
        </w:rPr>
        <w:t>ème</w:t>
      </w:r>
      <w:r w:rsidR="00FC5578" w:rsidRPr="006E3020">
        <w:rPr>
          <w:lang w:val="fr-FR"/>
        </w:rPr>
        <w:t xml:space="preserve"> </w:t>
      </w:r>
      <w:r w:rsidRPr="006E3020">
        <w:rPr>
          <w:lang w:val="fr-FR"/>
        </w:rPr>
        <w:t>réunion</w:t>
      </w:r>
    </w:p>
    <w:p w14:paraId="1715FDD7" w14:textId="77777777" w:rsidR="00441083" w:rsidRPr="006E3020" w:rsidRDefault="00E54871" w:rsidP="00AC013C">
      <w:pPr>
        <w:jc w:val="left"/>
        <w:rPr>
          <w:lang w:val="fr-FR"/>
        </w:rPr>
      </w:pPr>
      <w:r w:rsidRPr="006E3020">
        <w:rPr>
          <w:lang w:val="fr-FR"/>
        </w:rPr>
        <w:t>Montréal,</w:t>
      </w:r>
      <w:r w:rsidR="00FC5578" w:rsidRPr="006E3020">
        <w:rPr>
          <w:lang w:val="fr-FR"/>
        </w:rPr>
        <w:t xml:space="preserve"> </w:t>
      </w:r>
      <w:r w:rsidR="00AC013C" w:rsidRPr="006E3020">
        <w:rPr>
          <w:lang w:val="fr-FR"/>
        </w:rPr>
        <w:t xml:space="preserve">16 </w:t>
      </w:r>
      <w:r w:rsidR="00E60D9C" w:rsidRPr="006E3020">
        <w:rPr>
          <w:lang w:val="fr-FR"/>
        </w:rPr>
        <w:t xml:space="preserve">– </w:t>
      </w:r>
      <w:r w:rsidR="00AC013C" w:rsidRPr="006E3020">
        <w:rPr>
          <w:lang w:val="fr-FR"/>
        </w:rPr>
        <w:t>20 décembre</w:t>
      </w:r>
      <w:r w:rsidR="004C2C87" w:rsidRPr="006E3020">
        <w:rPr>
          <w:lang w:val="fr-FR"/>
        </w:rPr>
        <w:t xml:space="preserve"> 2019</w:t>
      </w:r>
    </w:p>
    <w:p w14:paraId="41B7F015" w14:textId="77777777" w:rsidR="00441083" w:rsidRPr="006E3020" w:rsidRDefault="00441083">
      <w:pPr>
        <w:jc w:val="left"/>
        <w:rPr>
          <w:lang w:val="fr-FR"/>
        </w:rPr>
      </w:pPr>
    </w:p>
    <w:p w14:paraId="423944BC" w14:textId="77777777" w:rsidR="00441083" w:rsidRPr="006E3020" w:rsidRDefault="00441083">
      <w:pPr>
        <w:pStyle w:val="Title1"/>
        <w:rPr>
          <w:lang w:val="fr-FR"/>
        </w:rPr>
      </w:pPr>
    </w:p>
    <w:p w14:paraId="2A0EC4ED" w14:textId="77777777" w:rsidR="00441083" w:rsidRPr="006E3020" w:rsidRDefault="00441083">
      <w:pPr>
        <w:pStyle w:val="Title1"/>
        <w:rPr>
          <w:lang w:val="fr-FR"/>
        </w:rPr>
      </w:pPr>
    </w:p>
    <w:p w14:paraId="6BFC2F4D" w14:textId="703BC32D" w:rsidR="00B4447D" w:rsidRDefault="00B4447D" w:rsidP="00B4447D">
      <w:pPr>
        <w:spacing w:after="240"/>
        <w:jc w:val="center"/>
        <w:rPr>
          <w:b/>
          <w:lang w:val="fr-FR"/>
        </w:rPr>
      </w:pPr>
      <w:r w:rsidRPr="006E3020">
        <w:rPr>
          <w:b/>
          <w:lang w:val="fr-FR"/>
        </w:rPr>
        <w:t>RAPPORT GLOBAL D’ACHÈVEMENT DES PROJETS DE 2019</w:t>
      </w:r>
    </w:p>
    <w:p w14:paraId="3FBB7914" w14:textId="77777777" w:rsidR="00014F75" w:rsidRPr="006E3020" w:rsidRDefault="00014F75" w:rsidP="00B4447D">
      <w:pPr>
        <w:spacing w:after="240"/>
        <w:jc w:val="center"/>
        <w:rPr>
          <w:b/>
          <w:caps/>
          <w:lang w:val="fr-FR"/>
        </w:rPr>
      </w:pPr>
    </w:p>
    <w:p w14:paraId="44AF8FD6" w14:textId="77777777" w:rsidR="00B4447D" w:rsidRPr="006E3020" w:rsidRDefault="00B4447D" w:rsidP="00B4447D">
      <w:pPr>
        <w:pStyle w:val="StyleHeader4Para4Left0Firstline0"/>
        <w:numPr>
          <w:ilvl w:val="0"/>
          <w:numId w:val="0"/>
        </w:numPr>
        <w:rPr>
          <w:b/>
          <w:sz w:val="22"/>
          <w:lang w:val="fr-FR"/>
        </w:rPr>
      </w:pPr>
      <w:r w:rsidRPr="006E3020">
        <w:rPr>
          <w:b/>
          <w:sz w:val="22"/>
          <w:lang w:val="fr-FR"/>
        </w:rPr>
        <w:t>Contexte</w:t>
      </w:r>
    </w:p>
    <w:p w14:paraId="1E2DF01E" w14:textId="29678F94" w:rsidR="00B4447D" w:rsidRPr="006E3020" w:rsidRDefault="00B4447D" w:rsidP="00B4447D">
      <w:pPr>
        <w:pStyle w:val="Heading1"/>
        <w:numPr>
          <w:ilvl w:val="0"/>
          <w:numId w:val="23"/>
        </w:numPr>
        <w:tabs>
          <w:tab w:val="clear" w:pos="0"/>
          <w:tab w:val="num" w:pos="720"/>
        </w:tabs>
        <w:rPr>
          <w:lang w:val="fr-FR"/>
        </w:rPr>
      </w:pPr>
      <w:r w:rsidRPr="006E3020">
        <w:rPr>
          <w:lang w:val="fr-FR"/>
        </w:rPr>
        <w:t>Le Comité exécutif aborde lors de chacune de ses réunions la question des rapports d’achèvement de projet en souffrance. Lors de sa 83e réunion, le comité a, entre autres, incité les agences bilatérales et d’exécution à soumettre à la 84</w:t>
      </w:r>
      <w:r w:rsidRPr="006E3020">
        <w:rPr>
          <w:vertAlign w:val="superscript"/>
          <w:lang w:val="fr-FR"/>
        </w:rPr>
        <w:t>e</w:t>
      </w:r>
      <w:r w:rsidRPr="006E3020">
        <w:rPr>
          <w:lang w:val="fr-FR"/>
        </w:rPr>
        <w:t xml:space="preserve"> réunion les rapports d’achèvement de projet attendus pour des accords pluriannuels et des projets individuels et, à défaut, à fournir les raisons des retards. Le Comité a également incité les agences de coopération à finaliser leurs sections des rapports d’achèvement de projet afin de permettre à l’agence d’exécution principale de les soumettre aux dates prévues (décision</w:t>
      </w:r>
      <w:r w:rsidR="00852D8F">
        <w:rPr>
          <w:lang w:val="fr-FR"/>
        </w:rPr>
        <w:t> </w:t>
      </w:r>
      <w:r w:rsidRPr="006E3020">
        <w:rPr>
          <w:lang w:val="fr-FR"/>
        </w:rPr>
        <w:t xml:space="preserve">83/45 (b) et (c)). </w:t>
      </w:r>
    </w:p>
    <w:p w14:paraId="63616D89" w14:textId="51F7DBE9" w:rsidR="00B4447D" w:rsidRPr="006E3020" w:rsidRDefault="00B4447D" w:rsidP="00B4447D">
      <w:pPr>
        <w:pStyle w:val="Heading1"/>
        <w:numPr>
          <w:ilvl w:val="0"/>
          <w:numId w:val="23"/>
        </w:numPr>
        <w:tabs>
          <w:tab w:val="clear" w:pos="0"/>
          <w:tab w:val="num" w:pos="720"/>
        </w:tabs>
        <w:rPr>
          <w:lang w:val="fr-FR"/>
        </w:rPr>
      </w:pPr>
      <w:r w:rsidRPr="006E3020">
        <w:rPr>
          <w:lang w:val="fr-FR"/>
        </w:rPr>
        <w:t>Conformément à la décision</w:t>
      </w:r>
      <w:r w:rsidR="00852D8F">
        <w:rPr>
          <w:lang w:val="fr-FR"/>
        </w:rPr>
        <w:t> </w:t>
      </w:r>
      <w:r w:rsidRPr="006E3020">
        <w:rPr>
          <w:lang w:val="fr-FR"/>
        </w:rPr>
        <w:t>83/45 (b) et (c), l’Administrateur principal, Surveillance et évaluation, a envoyé le 8</w:t>
      </w:r>
      <w:r w:rsidR="00852D8F">
        <w:rPr>
          <w:lang w:val="fr-FR"/>
        </w:rPr>
        <w:t> </w:t>
      </w:r>
      <w:r w:rsidRPr="006E3020">
        <w:rPr>
          <w:lang w:val="fr-FR"/>
        </w:rPr>
        <w:t xml:space="preserve">août 2019 une liste de tous les rapports d’achèvement de projet à remettre.  </w:t>
      </w:r>
    </w:p>
    <w:p w14:paraId="2BB41B47" w14:textId="77777777" w:rsidR="00B4447D" w:rsidRPr="006E3020" w:rsidRDefault="00B4447D" w:rsidP="00B4447D">
      <w:pPr>
        <w:pStyle w:val="lisa"/>
        <w:numPr>
          <w:ilvl w:val="0"/>
          <w:numId w:val="0"/>
        </w:numPr>
        <w:tabs>
          <w:tab w:val="left" w:pos="720"/>
        </w:tabs>
        <w:rPr>
          <w:szCs w:val="22"/>
        </w:rPr>
      </w:pPr>
      <w:r w:rsidRPr="006E3020">
        <w:t>Rapports d’achèvement de projet reçus relativement aux accords pluriannuels</w:t>
      </w:r>
    </w:p>
    <w:p w14:paraId="37874BF5" w14:textId="51683BDF" w:rsidR="00B4447D" w:rsidRPr="006E3020" w:rsidRDefault="00B4447D" w:rsidP="00B4447D">
      <w:pPr>
        <w:pStyle w:val="Heading1"/>
        <w:numPr>
          <w:ilvl w:val="0"/>
          <w:numId w:val="23"/>
        </w:numPr>
        <w:tabs>
          <w:tab w:val="clear" w:pos="0"/>
          <w:tab w:val="num" w:pos="720"/>
        </w:tabs>
        <w:rPr>
          <w:b/>
          <w:lang w:val="fr-FR"/>
        </w:rPr>
      </w:pPr>
      <w:r w:rsidRPr="006E3020">
        <w:rPr>
          <w:lang w:val="fr-FR"/>
        </w:rPr>
        <w:t>Sur les 199 accords pluriannuels menés à bien, les agences bilatérales et d’exécution ont remis, avant la 84</w:t>
      </w:r>
      <w:r w:rsidRPr="006E3020">
        <w:rPr>
          <w:vertAlign w:val="superscript"/>
          <w:lang w:val="fr-FR"/>
        </w:rPr>
        <w:t>e</w:t>
      </w:r>
      <w:r w:rsidRPr="006E3020">
        <w:rPr>
          <w:lang w:val="fr-FR"/>
        </w:rPr>
        <w:t xml:space="preserve"> réunion, 184 rapports d’achèvement de projets, faisant qu’il reste 15 rapports en souffrance comme l’indique le tableau</w:t>
      </w:r>
      <w:r w:rsidR="00852D8F">
        <w:rPr>
          <w:lang w:val="fr-FR"/>
        </w:rPr>
        <w:t> </w:t>
      </w:r>
      <w:r w:rsidRPr="006E3020">
        <w:rPr>
          <w:lang w:val="fr-FR"/>
        </w:rPr>
        <w:t>1. La liste des 10 rapports d’achèvement de projet remis après la 83</w:t>
      </w:r>
      <w:r w:rsidRPr="006E3020">
        <w:rPr>
          <w:vertAlign w:val="superscript"/>
          <w:lang w:val="fr-FR"/>
        </w:rPr>
        <w:t>e</w:t>
      </w:r>
      <w:r w:rsidRPr="006E3020">
        <w:rPr>
          <w:lang w:val="fr-FR"/>
        </w:rPr>
        <w:t xml:space="preserve"> réunion figure à l’annexe I au présent rapport. </w:t>
      </w:r>
    </w:p>
    <w:p w14:paraId="086BEF06" w14:textId="77777777" w:rsidR="00014F75" w:rsidRDefault="00014F75">
      <w:pPr>
        <w:jc w:val="left"/>
        <w:rPr>
          <w:b/>
          <w:lang w:val="fr-FR"/>
        </w:rPr>
      </w:pPr>
      <w:r>
        <w:rPr>
          <w:b/>
          <w:lang w:val="fr-FR"/>
        </w:rPr>
        <w:br w:type="page"/>
      </w:r>
    </w:p>
    <w:p w14:paraId="5C79D5B0" w14:textId="1A56A105" w:rsidR="00B4447D" w:rsidRPr="006E3020" w:rsidRDefault="00B4447D" w:rsidP="00B4447D">
      <w:pPr>
        <w:pStyle w:val="Heading1"/>
        <w:keepNext/>
        <w:keepLines/>
        <w:numPr>
          <w:ilvl w:val="0"/>
          <w:numId w:val="0"/>
        </w:numPr>
        <w:tabs>
          <w:tab w:val="left" w:pos="720"/>
        </w:tabs>
        <w:spacing w:after="0"/>
        <w:rPr>
          <w:b/>
          <w:lang w:val="fr-FR"/>
        </w:rPr>
      </w:pPr>
      <w:r w:rsidRPr="006E3020">
        <w:rPr>
          <w:b/>
          <w:lang w:val="fr-FR"/>
        </w:rPr>
        <w:lastRenderedPageBreak/>
        <w:t>Tableau</w:t>
      </w:r>
      <w:r w:rsidR="00852D8F">
        <w:rPr>
          <w:b/>
          <w:lang w:val="fr-FR"/>
        </w:rPr>
        <w:t> </w:t>
      </w:r>
      <w:r w:rsidRPr="006E3020">
        <w:rPr>
          <w:b/>
          <w:lang w:val="fr-FR"/>
        </w:rPr>
        <w:t>1. Aperçu des rapports d’achèvement de projet relatifs aux accords pluriannuels</w:t>
      </w:r>
    </w:p>
    <w:tbl>
      <w:tblPr>
        <w:tblW w:w="9360" w:type="dxa"/>
        <w:tblInd w:w="-5" w:type="dxa"/>
        <w:tblLayout w:type="fixed"/>
        <w:tblLook w:val="04A0" w:firstRow="1" w:lastRow="0" w:firstColumn="1" w:lastColumn="0" w:noHBand="0" w:noVBand="1"/>
      </w:tblPr>
      <w:tblGrid>
        <w:gridCol w:w="1418"/>
        <w:gridCol w:w="1844"/>
        <w:gridCol w:w="2127"/>
        <w:gridCol w:w="1985"/>
        <w:gridCol w:w="1986"/>
      </w:tblGrid>
      <w:tr w:rsidR="00B4447D" w:rsidRPr="006E3020" w14:paraId="48226063" w14:textId="77777777" w:rsidTr="00C072C9">
        <w:trPr>
          <w:tblHead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907990E" w14:textId="77777777" w:rsidR="00B4447D" w:rsidRPr="006E3020" w:rsidRDefault="00B4447D" w:rsidP="00C072C9">
            <w:pPr>
              <w:keepNext/>
              <w:keepLines/>
              <w:jc w:val="left"/>
              <w:rPr>
                <w:b/>
                <w:bCs/>
                <w:color w:val="000000"/>
                <w:sz w:val="20"/>
                <w:szCs w:val="20"/>
                <w:lang w:val="fr-FR"/>
              </w:rPr>
            </w:pPr>
            <w:r w:rsidRPr="006E3020">
              <w:rPr>
                <w:b/>
                <w:bCs/>
                <w:color w:val="000000"/>
                <w:sz w:val="20"/>
                <w:szCs w:val="20"/>
                <w:lang w:val="fr-FR"/>
              </w:rPr>
              <w:t>Agence principale</w:t>
            </w:r>
          </w:p>
        </w:tc>
        <w:tc>
          <w:tcPr>
            <w:tcW w:w="1844" w:type="dxa"/>
            <w:tcBorders>
              <w:top w:val="single" w:sz="4" w:space="0" w:color="auto"/>
              <w:left w:val="nil"/>
              <w:bottom w:val="single" w:sz="4" w:space="0" w:color="auto"/>
              <w:right w:val="single" w:sz="4" w:space="0" w:color="auto"/>
            </w:tcBorders>
            <w:noWrap/>
            <w:vAlign w:val="center"/>
            <w:hideMark/>
          </w:tcPr>
          <w:p w14:paraId="438778F0" w14:textId="77777777" w:rsidR="00B4447D" w:rsidRPr="006E3020" w:rsidRDefault="00B4447D" w:rsidP="00C072C9">
            <w:pPr>
              <w:keepNext/>
              <w:keepLines/>
              <w:jc w:val="center"/>
              <w:rPr>
                <w:b/>
                <w:bCs/>
                <w:color w:val="000000"/>
                <w:sz w:val="20"/>
                <w:szCs w:val="20"/>
                <w:lang w:val="fr-FR"/>
              </w:rPr>
            </w:pPr>
            <w:r w:rsidRPr="006E3020">
              <w:rPr>
                <w:b/>
                <w:bCs/>
                <w:color w:val="000000"/>
                <w:sz w:val="20"/>
                <w:szCs w:val="20"/>
                <w:lang w:val="fr-FR"/>
              </w:rPr>
              <w:t>Achevés</w:t>
            </w:r>
          </w:p>
        </w:tc>
        <w:tc>
          <w:tcPr>
            <w:tcW w:w="2127" w:type="dxa"/>
            <w:tcBorders>
              <w:top w:val="single" w:sz="4" w:space="0" w:color="auto"/>
              <w:left w:val="nil"/>
              <w:bottom w:val="single" w:sz="4" w:space="0" w:color="auto"/>
              <w:right w:val="single" w:sz="4" w:space="0" w:color="auto"/>
            </w:tcBorders>
            <w:vAlign w:val="center"/>
            <w:hideMark/>
          </w:tcPr>
          <w:p w14:paraId="3F377AA3" w14:textId="77777777" w:rsidR="00B4447D" w:rsidRPr="006E3020" w:rsidRDefault="00B4447D" w:rsidP="00C072C9">
            <w:pPr>
              <w:keepNext/>
              <w:keepLines/>
              <w:jc w:val="center"/>
              <w:rPr>
                <w:b/>
                <w:bCs/>
                <w:sz w:val="20"/>
                <w:szCs w:val="20"/>
                <w:lang w:val="fr-FR"/>
              </w:rPr>
            </w:pPr>
            <w:r w:rsidRPr="006E3020">
              <w:rPr>
                <w:b/>
                <w:bCs/>
                <w:sz w:val="20"/>
                <w:szCs w:val="20"/>
                <w:lang w:val="fr-FR"/>
              </w:rPr>
              <w:t>Reçus avant la 83e réunion</w:t>
            </w:r>
          </w:p>
        </w:tc>
        <w:tc>
          <w:tcPr>
            <w:tcW w:w="1985" w:type="dxa"/>
            <w:tcBorders>
              <w:top w:val="single" w:sz="4" w:space="0" w:color="auto"/>
              <w:left w:val="nil"/>
              <w:bottom w:val="single" w:sz="4" w:space="0" w:color="auto"/>
              <w:right w:val="single" w:sz="4" w:space="0" w:color="auto"/>
            </w:tcBorders>
            <w:vAlign w:val="center"/>
            <w:hideMark/>
          </w:tcPr>
          <w:p w14:paraId="4E6884D3" w14:textId="6772CFE3" w:rsidR="00B4447D" w:rsidRPr="006E3020" w:rsidRDefault="00B4447D" w:rsidP="00C072C9">
            <w:pPr>
              <w:keepNext/>
              <w:keepLines/>
              <w:jc w:val="center"/>
              <w:rPr>
                <w:b/>
                <w:bCs/>
                <w:sz w:val="20"/>
                <w:szCs w:val="20"/>
                <w:lang w:val="fr-FR"/>
              </w:rPr>
            </w:pPr>
            <w:r w:rsidRPr="006E3020">
              <w:rPr>
                <w:b/>
                <w:bCs/>
                <w:sz w:val="20"/>
                <w:szCs w:val="20"/>
                <w:lang w:val="fr-FR"/>
              </w:rPr>
              <w:t>Reçu</w:t>
            </w:r>
            <w:r w:rsidR="00D25248">
              <w:rPr>
                <w:b/>
                <w:bCs/>
                <w:sz w:val="20"/>
                <w:szCs w:val="20"/>
                <w:lang w:val="fr-FR"/>
              </w:rPr>
              <w:t>s</w:t>
            </w:r>
            <w:r w:rsidRPr="006E3020">
              <w:rPr>
                <w:b/>
                <w:bCs/>
                <w:sz w:val="20"/>
                <w:szCs w:val="20"/>
                <w:lang w:val="fr-FR"/>
              </w:rPr>
              <w:t xml:space="preserve"> après la 83e réunion</w:t>
            </w:r>
            <w:r w:rsidRPr="006E3020">
              <w:rPr>
                <w:b/>
                <w:bCs/>
                <w:sz w:val="20"/>
                <w:szCs w:val="20"/>
                <w:lang w:val="fr-FR"/>
              </w:rPr>
              <w:cr/>
            </w:r>
            <w:r w:rsidRPr="006E3020">
              <w:rPr>
                <w:b/>
                <w:bCs/>
                <w:sz w:val="20"/>
                <w:szCs w:val="20"/>
                <w:lang w:val="fr-FR"/>
              </w:rPr>
              <w:br/>
            </w:r>
          </w:p>
        </w:tc>
        <w:tc>
          <w:tcPr>
            <w:tcW w:w="1986" w:type="dxa"/>
            <w:tcBorders>
              <w:top w:val="single" w:sz="4" w:space="0" w:color="auto"/>
              <w:left w:val="nil"/>
              <w:bottom w:val="single" w:sz="4" w:space="0" w:color="auto"/>
              <w:right w:val="single" w:sz="4" w:space="0" w:color="auto"/>
            </w:tcBorders>
            <w:vAlign w:val="center"/>
            <w:hideMark/>
          </w:tcPr>
          <w:p w14:paraId="1ABC62AE" w14:textId="77777777" w:rsidR="00B4447D" w:rsidRPr="006E3020" w:rsidRDefault="00B4447D" w:rsidP="00C072C9">
            <w:pPr>
              <w:keepNext/>
              <w:keepLines/>
              <w:jc w:val="center"/>
              <w:rPr>
                <w:b/>
                <w:bCs/>
                <w:sz w:val="20"/>
                <w:szCs w:val="20"/>
                <w:lang w:val="fr-FR"/>
              </w:rPr>
            </w:pPr>
            <w:r w:rsidRPr="006E3020">
              <w:rPr>
                <w:b/>
                <w:bCs/>
                <w:sz w:val="20"/>
                <w:szCs w:val="20"/>
                <w:lang w:val="fr-FR"/>
              </w:rPr>
              <w:t>En souffrance</w:t>
            </w:r>
          </w:p>
        </w:tc>
      </w:tr>
      <w:tr w:rsidR="00B4447D" w:rsidRPr="006E3020" w14:paraId="34DD58B0"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69D89220" w14:textId="77777777" w:rsidR="00B4447D" w:rsidRPr="006E3020" w:rsidRDefault="00B4447D" w:rsidP="00C072C9">
            <w:pPr>
              <w:keepNext/>
              <w:keepLines/>
              <w:rPr>
                <w:color w:val="000000"/>
                <w:sz w:val="20"/>
                <w:szCs w:val="20"/>
                <w:lang w:val="fr-FR"/>
              </w:rPr>
            </w:pPr>
            <w:r w:rsidRPr="006E3020">
              <w:rPr>
                <w:color w:val="000000"/>
                <w:sz w:val="20"/>
                <w:szCs w:val="20"/>
                <w:lang w:val="fr-FR"/>
              </w:rPr>
              <w:t>Canada</w:t>
            </w:r>
          </w:p>
        </w:tc>
        <w:tc>
          <w:tcPr>
            <w:tcW w:w="1844" w:type="dxa"/>
            <w:tcBorders>
              <w:top w:val="nil"/>
              <w:left w:val="nil"/>
              <w:bottom w:val="single" w:sz="4" w:space="0" w:color="auto"/>
              <w:right w:val="single" w:sz="4" w:space="0" w:color="auto"/>
            </w:tcBorders>
            <w:noWrap/>
            <w:vAlign w:val="bottom"/>
            <w:hideMark/>
          </w:tcPr>
          <w:p w14:paraId="346ABF80" w14:textId="77777777" w:rsidR="00B4447D" w:rsidRPr="006E3020" w:rsidRDefault="00B4447D" w:rsidP="00C072C9">
            <w:pPr>
              <w:keepNext/>
              <w:keepLines/>
              <w:jc w:val="center"/>
              <w:rPr>
                <w:sz w:val="20"/>
                <w:szCs w:val="20"/>
                <w:lang w:val="fr-FR"/>
              </w:rPr>
            </w:pPr>
            <w:r w:rsidRPr="006E3020">
              <w:rPr>
                <w:sz w:val="20"/>
                <w:szCs w:val="20"/>
                <w:lang w:val="fr-FR"/>
              </w:rPr>
              <w:t>3</w:t>
            </w:r>
          </w:p>
        </w:tc>
        <w:tc>
          <w:tcPr>
            <w:tcW w:w="2127" w:type="dxa"/>
            <w:tcBorders>
              <w:top w:val="nil"/>
              <w:left w:val="nil"/>
              <w:bottom w:val="single" w:sz="4" w:space="0" w:color="auto"/>
              <w:right w:val="single" w:sz="4" w:space="0" w:color="auto"/>
            </w:tcBorders>
            <w:noWrap/>
            <w:vAlign w:val="center"/>
            <w:hideMark/>
          </w:tcPr>
          <w:p w14:paraId="7E415E39" w14:textId="77777777" w:rsidR="00B4447D" w:rsidRPr="006E3020" w:rsidRDefault="00B4447D" w:rsidP="00C072C9">
            <w:pPr>
              <w:keepNext/>
              <w:keepLines/>
              <w:jc w:val="center"/>
              <w:rPr>
                <w:sz w:val="20"/>
                <w:szCs w:val="20"/>
                <w:lang w:val="fr-FR"/>
              </w:rPr>
            </w:pPr>
            <w:r w:rsidRPr="006E3020">
              <w:rPr>
                <w:sz w:val="20"/>
                <w:szCs w:val="20"/>
                <w:lang w:val="fr-FR"/>
              </w:rPr>
              <w:t>2</w:t>
            </w:r>
          </w:p>
        </w:tc>
        <w:tc>
          <w:tcPr>
            <w:tcW w:w="1985" w:type="dxa"/>
            <w:tcBorders>
              <w:top w:val="nil"/>
              <w:left w:val="nil"/>
              <w:bottom w:val="single" w:sz="4" w:space="0" w:color="auto"/>
              <w:right w:val="single" w:sz="4" w:space="0" w:color="auto"/>
            </w:tcBorders>
            <w:noWrap/>
            <w:vAlign w:val="center"/>
            <w:hideMark/>
          </w:tcPr>
          <w:p w14:paraId="2CC8B0E9" w14:textId="77777777" w:rsidR="00B4447D" w:rsidRPr="006E3020" w:rsidRDefault="00B4447D" w:rsidP="00C072C9">
            <w:pPr>
              <w:keepNext/>
              <w:keepLines/>
              <w:jc w:val="center"/>
              <w:rPr>
                <w:sz w:val="20"/>
                <w:szCs w:val="20"/>
                <w:lang w:val="fr-FR"/>
              </w:rPr>
            </w:pPr>
            <w:r w:rsidRPr="006E3020">
              <w:rPr>
                <w:sz w:val="20"/>
                <w:szCs w:val="20"/>
                <w:lang w:val="fr-FR"/>
              </w:rPr>
              <w:t>1</w:t>
            </w:r>
          </w:p>
        </w:tc>
        <w:tc>
          <w:tcPr>
            <w:tcW w:w="1986" w:type="dxa"/>
            <w:tcBorders>
              <w:top w:val="nil"/>
              <w:left w:val="nil"/>
              <w:bottom w:val="single" w:sz="4" w:space="0" w:color="auto"/>
              <w:right w:val="single" w:sz="4" w:space="0" w:color="auto"/>
            </w:tcBorders>
            <w:vAlign w:val="center"/>
            <w:hideMark/>
          </w:tcPr>
          <w:p w14:paraId="2A37AC65" w14:textId="77777777" w:rsidR="00B4447D" w:rsidRPr="006E3020" w:rsidRDefault="00B4447D" w:rsidP="00C072C9">
            <w:pPr>
              <w:keepNext/>
              <w:keepLines/>
              <w:jc w:val="center"/>
              <w:rPr>
                <w:sz w:val="20"/>
                <w:szCs w:val="20"/>
                <w:lang w:val="fr-FR"/>
              </w:rPr>
            </w:pPr>
            <w:r w:rsidRPr="006E3020">
              <w:rPr>
                <w:sz w:val="20"/>
                <w:szCs w:val="20"/>
                <w:lang w:val="fr-FR"/>
              </w:rPr>
              <w:t>0</w:t>
            </w:r>
          </w:p>
        </w:tc>
      </w:tr>
      <w:tr w:rsidR="00B4447D" w:rsidRPr="006E3020" w14:paraId="70974BF4"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2AA0220B" w14:textId="77777777" w:rsidR="00B4447D" w:rsidRPr="006E3020" w:rsidRDefault="00B4447D" w:rsidP="00C072C9">
            <w:pPr>
              <w:keepNext/>
              <w:keepLines/>
              <w:rPr>
                <w:color w:val="000000"/>
                <w:sz w:val="20"/>
                <w:szCs w:val="20"/>
                <w:lang w:val="fr-FR"/>
              </w:rPr>
            </w:pPr>
            <w:r w:rsidRPr="006E3020">
              <w:rPr>
                <w:color w:val="000000"/>
                <w:sz w:val="20"/>
                <w:szCs w:val="20"/>
                <w:lang w:val="fr-FR"/>
              </w:rPr>
              <w:t>France</w:t>
            </w:r>
          </w:p>
        </w:tc>
        <w:tc>
          <w:tcPr>
            <w:tcW w:w="1844" w:type="dxa"/>
            <w:tcBorders>
              <w:top w:val="nil"/>
              <w:left w:val="nil"/>
              <w:bottom w:val="single" w:sz="4" w:space="0" w:color="auto"/>
              <w:right w:val="single" w:sz="4" w:space="0" w:color="auto"/>
            </w:tcBorders>
            <w:noWrap/>
            <w:vAlign w:val="bottom"/>
            <w:hideMark/>
          </w:tcPr>
          <w:p w14:paraId="5C46CC1F" w14:textId="77777777" w:rsidR="00B4447D" w:rsidRPr="006E3020" w:rsidRDefault="00B4447D" w:rsidP="00C072C9">
            <w:pPr>
              <w:keepNext/>
              <w:keepLines/>
              <w:jc w:val="center"/>
              <w:rPr>
                <w:sz w:val="20"/>
                <w:szCs w:val="20"/>
                <w:lang w:val="fr-FR"/>
              </w:rPr>
            </w:pPr>
            <w:r w:rsidRPr="006E3020">
              <w:rPr>
                <w:sz w:val="20"/>
                <w:szCs w:val="20"/>
                <w:lang w:val="fr-FR"/>
              </w:rPr>
              <w:t>6</w:t>
            </w:r>
          </w:p>
        </w:tc>
        <w:tc>
          <w:tcPr>
            <w:tcW w:w="2127" w:type="dxa"/>
            <w:tcBorders>
              <w:top w:val="nil"/>
              <w:left w:val="nil"/>
              <w:bottom w:val="single" w:sz="4" w:space="0" w:color="auto"/>
              <w:right w:val="single" w:sz="4" w:space="0" w:color="auto"/>
            </w:tcBorders>
            <w:noWrap/>
            <w:vAlign w:val="center"/>
            <w:hideMark/>
          </w:tcPr>
          <w:p w14:paraId="2311B015" w14:textId="77777777" w:rsidR="00B4447D" w:rsidRPr="006E3020" w:rsidRDefault="00B4447D" w:rsidP="00C072C9">
            <w:pPr>
              <w:keepNext/>
              <w:keepLines/>
              <w:jc w:val="center"/>
              <w:rPr>
                <w:sz w:val="20"/>
                <w:szCs w:val="20"/>
                <w:lang w:val="fr-FR"/>
              </w:rPr>
            </w:pPr>
            <w:r w:rsidRPr="006E3020">
              <w:rPr>
                <w:sz w:val="20"/>
                <w:szCs w:val="20"/>
                <w:lang w:val="fr-FR"/>
              </w:rPr>
              <w:t>3</w:t>
            </w:r>
          </w:p>
        </w:tc>
        <w:tc>
          <w:tcPr>
            <w:tcW w:w="1985" w:type="dxa"/>
            <w:tcBorders>
              <w:top w:val="nil"/>
              <w:left w:val="nil"/>
              <w:bottom w:val="single" w:sz="4" w:space="0" w:color="auto"/>
              <w:right w:val="single" w:sz="4" w:space="0" w:color="auto"/>
            </w:tcBorders>
            <w:noWrap/>
            <w:vAlign w:val="center"/>
            <w:hideMark/>
          </w:tcPr>
          <w:p w14:paraId="789CE1E7" w14:textId="77777777" w:rsidR="00B4447D" w:rsidRPr="006E3020" w:rsidRDefault="00B4447D" w:rsidP="00C072C9">
            <w:pPr>
              <w:keepNext/>
              <w:keepLines/>
              <w:jc w:val="center"/>
              <w:rPr>
                <w:sz w:val="20"/>
                <w:szCs w:val="20"/>
                <w:lang w:val="fr-FR"/>
              </w:rPr>
            </w:pPr>
            <w:r w:rsidRPr="006E3020">
              <w:rPr>
                <w:sz w:val="20"/>
                <w:szCs w:val="20"/>
                <w:lang w:val="fr-FR"/>
              </w:rPr>
              <w:t>2</w:t>
            </w:r>
          </w:p>
        </w:tc>
        <w:tc>
          <w:tcPr>
            <w:tcW w:w="1986" w:type="dxa"/>
            <w:tcBorders>
              <w:top w:val="nil"/>
              <w:left w:val="nil"/>
              <w:bottom w:val="single" w:sz="4" w:space="0" w:color="auto"/>
              <w:right w:val="single" w:sz="4" w:space="0" w:color="auto"/>
            </w:tcBorders>
            <w:vAlign w:val="center"/>
            <w:hideMark/>
          </w:tcPr>
          <w:p w14:paraId="359357AD" w14:textId="77777777" w:rsidR="00B4447D" w:rsidRPr="006E3020" w:rsidRDefault="00B4447D" w:rsidP="00C072C9">
            <w:pPr>
              <w:keepNext/>
              <w:keepLines/>
              <w:jc w:val="center"/>
              <w:rPr>
                <w:sz w:val="20"/>
                <w:szCs w:val="20"/>
                <w:lang w:val="fr-FR"/>
              </w:rPr>
            </w:pPr>
            <w:r w:rsidRPr="006E3020">
              <w:rPr>
                <w:sz w:val="20"/>
                <w:szCs w:val="20"/>
                <w:lang w:val="fr-FR"/>
              </w:rPr>
              <w:t>1</w:t>
            </w:r>
          </w:p>
        </w:tc>
      </w:tr>
      <w:tr w:rsidR="00B4447D" w:rsidRPr="006E3020" w14:paraId="403535D8"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7749D41C" w14:textId="77777777" w:rsidR="00B4447D" w:rsidRPr="006E3020" w:rsidRDefault="00B4447D" w:rsidP="00C072C9">
            <w:pPr>
              <w:keepNext/>
              <w:keepLines/>
              <w:rPr>
                <w:color w:val="000000"/>
                <w:sz w:val="20"/>
                <w:szCs w:val="20"/>
                <w:lang w:val="fr-FR"/>
              </w:rPr>
            </w:pPr>
            <w:r w:rsidRPr="006E3020">
              <w:rPr>
                <w:color w:val="000000"/>
                <w:sz w:val="20"/>
                <w:szCs w:val="20"/>
                <w:lang w:val="fr-FR"/>
              </w:rPr>
              <w:t>Allemagne</w:t>
            </w:r>
          </w:p>
        </w:tc>
        <w:tc>
          <w:tcPr>
            <w:tcW w:w="1844" w:type="dxa"/>
            <w:tcBorders>
              <w:top w:val="nil"/>
              <w:left w:val="nil"/>
              <w:bottom w:val="single" w:sz="4" w:space="0" w:color="auto"/>
              <w:right w:val="single" w:sz="4" w:space="0" w:color="auto"/>
            </w:tcBorders>
            <w:noWrap/>
            <w:vAlign w:val="bottom"/>
            <w:hideMark/>
          </w:tcPr>
          <w:p w14:paraId="665B3BC4" w14:textId="77777777" w:rsidR="00B4447D" w:rsidRPr="006E3020" w:rsidRDefault="00B4447D" w:rsidP="00C072C9">
            <w:pPr>
              <w:keepNext/>
              <w:keepLines/>
              <w:jc w:val="center"/>
              <w:rPr>
                <w:sz w:val="20"/>
                <w:szCs w:val="20"/>
                <w:lang w:val="fr-FR"/>
              </w:rPr>
            </w:pPr>
            <w:r w:rsidRPr="006E3020">
              <w:rPr>
                <w:sz w:val="20"/>
                <w:szCs w:val="20"/>
                <w:lang w:val="fr-FR"/>
              </w:rPr>
              <w:t>10</w:t>
            </w:r>
          </w:p>
        </w:tc>
        <w:tc>
          <w:tcPr>
            <w:tcW w:w="2127" w:type="dxa"/>
            <w:tcBorders>
              <w:top w:val="nil"/>
              <w:left w:val="nil"/>
              <w:bottom w:val="single" w:sz="4" w:space="0" w:color="auto"/>
              <w:right w:val="single" w:sz="4" w:space="0" w:color="auto"/>
            </w:tcBorders>
            <w:noWrap/>
            <w:vAlign w:val="bottom"/>
            <w:hideMark/>
          </w:tcPr>
          <w:p w14:paraId="5510C94F" w14:textId="77777777" w:rsidR="00B4447D" w:rsidRPr="006E3020" w:rsidRDefault="00B4447D" w:rsidP="00C072C9">
            <w:pPr>
              <w:keepNext/>
              <w:keepLines/>
              <w:jc w:val="center"/>
              <w:rPr>
                <w:sz w:val="20"/>
                <w:szCs w:val="20"/>
                <w:lang w:val="fr-FR"/>
              </w:rPr>
            </w:pPr>
            <w:r w:rsidRPr="006E3020">
              <w:rPr>
                <w:sz w:val="20"/>
                <w:szCs w:val="20"/>
                <w:lang w:val="fr-FR"/>
              </w:rPr>
              <w:t>9</w:t>
            </w:r>
          </w:p>
        </w:tc>
        <w:tc>
          <w:tcPr>
            <w:tcW w:w="1985" w:type="dxa"/>
            <w:tcBorders>
              <w:top w:val="nil"/>
              <w:left w:val="nil"/>
              <w:bottom w:val="single" w:sz="4" w:space="0" w:color="auto"/>
              <w:right w:val="single" w:sz="4" w:space="0" w:color="auto"/>
            </w:tcBorders>
            <w:noWrap/>
            <w:vAlign w:val="center"/>
            <w:hideMark/>
          </w:tcPr>
          <w:p w14:paraId="0007C640" w14:textId="77777777" w:rsidR="00B4447D" w:rsidRPr="006E3020" w:rsidRDefault="00B4447D" w:rsidP="00C072C9">
            <w:pPr>
              <w:keepNext/>
              <w:keepLines/>
              <w:jc w:val="center"/>
              <w:rPr>
                <w:sz w:val="20"/>
                <w:szCs w:val="20"/>
                <w:lang w:val="fr-FR"/>
              </w:rPr>
            </w:pPr>
            <w:r w:rsidRPr="006E3020">
              <w:rPr>
                <w:sz w:val="20"/>
                <w:szCs w:val="20"/>
                <w:lang w:val="fr-FR"/>
              </w:rPr>
              <w:t>0</w:t>
            </w:r>
          </w:p>
        </w:tc>
        <w:tc>
          <w:tcPr>
            <w:tcW w:w="1986" w:type="dxa"/>
            <w:tcBorders>
              <w:top w:val="nil"/>
              <w:left w:val="nil"/>
              <w:bottom w:val="single" w:sz="4" w:space="0" w:color="auto"/>
              <w:right w:val="single" w:sz="4" w:space="0" w:color="auto"/>
            </w:tcBorders>
            <w:vAlign w:val="center"/>
            <w:hideMark/>
          </w:tcPr>
          <w:p w14:paraId="454D43F7" w14:textId="77777777" w:rsidR="00B4447D" w:rsidRPr="006E3020" w:rsidRDefault="00B4447D" w:rsidP="00C072C9">
            <w:pPr>
              <w:keepNext/>
              <w:keepLines/>
              <w:jc w:val="center"/>
              <w:rPr>
                <w:sz w:val="20"/>
                <w:szCs w:val="20"/>
                <w:lang w:val="fr-FR"/>
              </w:rPr>
            </w:pPr>
            <w:r w:rsidRPr="006E3020">
              <w:rPr>
                <w:sz w:val="20"/>
                <w:szCs w:val="20"/>
                <w:lang w:val="fr-FR"/>
              </w:rPr>
              <w:t>1</w:t>
            </w:r>
          </w:p>
        </w:tc>
      </w:tr>
      <w:tr w:rsidR="00B4447D" w:rsidRPr="006E3020" w14:paraId="66F367DC"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545F8226" w14:textId="77777777" w:rsidR="00B4447D" w:rsidRPr="006E3020" w:rsidRDefault="00B4447D" w:rsidP="00C072C9">
            <w:pPr>
              <w:rPr>
                <w:color w:val="000000"/>
                <w:sz w:val="20"/>
                <w:szCs w:val="20"/>
                <w:lang w:val="fr-FR"/>
              </w:rPr>
            </w:pPr>
            <w:r w:rsidRPr="006E3020">
              <w:rPr>
                <w:color w:val="000000"/>
                <w:sz w:val="20"/>
                <w:szCs w:val="20"/>
                <w:lang w:val="fr-FR"/>
              </w:rPr>
              <w:t>Japon</w:t>
            </w:r>
          </w:p>
        </w:tc>
        <w:tc>
          <w:tcPr>
            <w:tcW w:w="1844" w:type="dxa"/>
            <w:tcBorders>
              <w:top w:val="nil"/>
              <w:left w:val="nil"/>
              <w:bottom w:val="single" w:sz="4" w:space="0" w:color="auto"/>
              <w:right w:val="single" w:sz="4" w:space="0" w:color="auto"/>
            </w:tcBorders>
            <w:noWrap/>
            <w:vAlign w:val="bottom"/>
            <w:hideMark/>
          </w:tcPr>
          <w:p w14:paraId="6F10CE1C" w14:textId="77777777" w:rsidR="00B4447D" w:rsidRPr="006E3020" w:rsidRDefault="00B4447D" w:rsidP="00C072C9">
            <w:pPr>
              <w:jc w:val="center"/>
              <w:rPr>
                <w:sz w:val="20"/>
                <w:szCs w:val="20"/>
                <w:lang w:val="fr-FR"/>
              </w:rPr>
            </w:pPr>
            <w:r w:rsidRPr="006E3020">
              <w:rPr>
                <w:sz w:val="20"/>
                <w:szCs w:val="20"/>
                <w:lang w:val="fr-FR"/>
              </w:rPr>
              <w:t>1</w:t>
            </w:r>
          </w:p>
        </w:tc>
        <w:tc>
          <w:tcPr>
            <w:tcW w:w="2127" w:type="dxa"/>
            <w:tcBorders>
              <w:top w:val="nil"/>
              <w:left w:val="nil"/>
              <w:bottom w:val="single" w:sz="4" w:space="0" w:color="auto"/>
              <w:right w:val="single" w:sz="4" w:space="0" w:color="auto"/>
            </w:tcBorders>
            <w:noWrap/>
            <w:vAlign w:val="bottom"/>
            <w:hideMark/>
          </w:tcPr>
          <w:p w14:paraId="72BFEDFF" w14:textId="77777777" w:rsidR="00B4447D" w:rsidRPr="006E3020" w:rsidRDefault="00B4447D" w:rsidP="00C072C9">
            <w:pPr>
              <w:jc w:val="center"/>
              <w:rPr>
                <w:sz w:val="20"/>
                <w:szCs w:val="20"/>
                <w:lang w:val="fr-FR"/>
              </w:rPr>
            </w:pPr>
            <w:r w:rsidRPr="006E3020">
              <w:rPr>
                <w:sz w:val="20"/>
                <w:szCs w:val="20"/>
                <w:lang w:val="fr-FR"/>
              </w:rPr>
              <w:t>1</w:t>
            </w:r>
          </w:p>
        </w:tc>
        <w:tc>
          <w:tcPr>
            <w:tcW w:w="1985" w:type="dxa"/>
            <w:tcBorders>
              <w:top w:val="nil"/>
              <w:left w:val="nil"/>
              <w:bottom w:val="single" w:sz="4" w:space="0" w:color="auto"/>
              <w:right w:val="single" w:sz="4" w:space="0" w:color="auto"/>
            </w:tcBorders>
            <w:noWrap/>
            <w:vAlign w:val="center"/>
            <w:hideMark/>
          </w:tcPr>
          <w:p w14:paraId="481A4A25" w14:textId="77777777" w:rsidR="00B4447D" w:rsidRPr="006E3020" w:rsidRDefault="00B4447D" w:rsidP="00C072C9">
            <w:pPr>
              <w:jc w:val="center"/>
              <w:rPr>
                <w:sz w:val="20"/>
                <w:szCs w:val="20"/>
                <w:lang w:val="fr-FR"/>
              </w:rPr>
            </w:pPr>
            <w:r w:rsidRPr="006E3020">
              <w:rPr>
                <w:sz w:val="20"/>
                <w:szCs w:val="20"/>
                <w:lang w:val="fr-FR"/>
              </w:rPr>
              <w:t>0</w:t>
            </w:r>
          </w:p>
        </w:tc>
        <w:tc>
          <w:tcPr>
            <w:tcW w:w="1986" w:type="dxa"/>
            <w:tcBorders>
              <w:top w:val="nil"/>
              <w:left w:val="nil"/>
              <w:bottom w:val="single" w:sz="4" w:space="0" w:color="auto"/>
              <w:right w:val="single" w:sz="4" w:space="0" w:color="auto"/>
            </w:tcBorders>
            <w:vAlign w:val="center"/>
            <w:hideMark/>
          </w:tcPr>
          <w:p w14:paraId="339B46AF" w14:textId="77777777" w:rsidR="00B4447D" w:rsidRPr="006E3020" w:rsidRDefault="00B4447D" w:rsidP="00C072C9">
            <w:pPr>
              <w:jc w:val="center"/>
              <w:rPr>
                <w:sz w:val="20"/>
                <w:szCs w:val="20"/>
                <w:lang w:val="fr-FR"/>
              </w:rPr>
            </w:pPr>
            <w:r w:rsidRPr="006E3020">
              <w:rPr>
                <w:sz w:val="20"/>
                <w:szCs w:val="20"/>
                <w:lang w:val="fr-FR"/>
              </w:rPr>
              <w:t>0</w:t>
            </w:r>
          </w:p>
        </w:tc>
      </w:tr>
      <w:tr w:rsidR="00B4447D" w:rsidRPr="006E3020" w14:paraId="542ED6ED"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22E45D48" w14:textId="77777777" w:rsidR="00B4447D" w:rsidRPr="006E3020" w:rsidRDefault="00B4447D" w:rsidP="00C072C9">
            <w:pPr>
              <w:rPr>
                <w:color w:val="000000"/>
                <w:sz w:val="20"/>
                <w:szCs w:val="20"/>
                <w:lang w:val="fr-FR"/>
              </w:rPr>
            </w:pPr>
            <w:r w:rsidRPr="006E3020">
              <w:rPr>
                <w:color w:val="000000"/>
                <w:sz w:val="20"/>
                <w:szCs w:val="20"/>
                <w:lang w:val="fr-FR"/>
              </w:rPr>
              <w:t xml:space="preserve">PNUD </w:t>
            </w:r>
          </w:p>
        </w:tc>
        <w:tc>
          <w:tcPr>
            <w:tcW w:w="1844" w:type="dxa"/>
            <w:tcBorders>
              <w:top w:val="nil"/>
              <w:left w:val="nil"/>
              <w:bottom w:val="single" w:sz="4" w:space="0" w:color="auto"/>
              <w:right w:val="single" w:sz="4" w:space="0" w:color="auto"/>
            </w:tcBorders>
            <w:noWrap/>
            <w:vAlign w:val="bottom"/>
            <w:hideMark/>
          </w:tcPr>
          <w:p w14:paraId="2DDB5E63" w14:textId="77777777" w:rsidR="00B4447D" w:rsidRPr="006E3020" w:rsidRDefault="00B4447D" w:rsidP="00C072C9">
            <w:pPr>
              <w:jc w:val="center"/>
              <w:rPr>
                <w:sz w:val="20"/>
                <w:szCs w:val="20"/>
                <w:lang w:val="fr-FR"/>
              </w:rPr>
            </w:pPr>
            <w:r w:rsidRPr="006E3020">
              <w:rPr>
                <w:sz w:val="20"/>
                <w:szCs w:val="20"/>
                <w:lang w:val="fr-FR"/>
              </w:rPr>
              <w:t>42</w:t>
            </w:r>
          </w:p>
        </w:tc>
        <w:tc>
          <w:tcPr>
            <w:tcW w:w="2127" w:type="dxa"/>
            <w:tcBorders>
              <w:top w:val="nil"/>
              <w:left w:val="nil"/>
              <w:bottom w:val="single" w:sz="4" w:space="0" w:color="auto"/>
              <w:right w:val="single" w:sz="4" w:space="0" w:color="auto"/>
            </w:tcBorders>
            <w:noWrap/>
            <w:vAlign w:val="bottom"/>
            <w:hideMark/>
          </w:tcPr>
          <w:p w14:paraId="53C0BD87" w14:textId="77777777" w:rsidR="00B4447D" w:rsidRPr="006E3020" w:rsidRDefault="00B4447D" w:rsidP="00C072C9">
            <w:pPr>
              <w:jc w:val="center"/>
              <w:rPr>
                <w:sz w:val="20"/>
                <w:szCs w:val="20"/>
                <w:lang w:val="fr-FR"/>
              </w:rPr>
            </w:pPr>
            <w:r w:rsidRPr="006E3020">
              <w:rPr>
                <w:sz w:val="20"/>
                <w:szCs w:val="20"/>
                <w:lang w:val="fr-FR"/>
              </w:rPr>
              <w:t>39</w:t>
            </w:r>
          </w:p>
        </w:tc>
        <w:tc>
          <w:tcPr>
            <w:tcW w:w="1985" w:type="dxa"/>
            <w:tcBorders>
              <w:top w:val="nil"/>
              <w:left w:val="nil"/>
              <w:bottom w:val="single" w:sz="4" w:space="0" w:color="auto"/>
              <w:right w:val="single" w:sz="4" w:space="0" w:color="auto"/>
            </w:tcBorders>
            <w:noWrap/>
            <w:vAlign w:val="center"/>
            <w:hideMark/>
          </w:tcPr>
          <w:p w14:paraId="2433BB69" w14:textId="77777777" w:rsidR="00B4447D" w:rsidRPr="006E3020" w:rsidRDefault="00B4447D" w:rsidP="00C072C9">
            <w:pPr>
              <w:jc w:val="center"/>
              <w:rPr>
                <w:sz w:val="20"/>
                <w:szCs w:val="20"/>
                <w:lang w:val="fr-FR"/>
              </w:rPr>
            </w:pPr>
            <w:r w:rsidRPr="006E3020">
              <w:rPr>
                <w:sz w:val="20"/>
                <w:szCs w:val="20"/>
                <w:lang w:val="fr-FR"/>
              </w:rPr>
              <w:t>3</w:t>
            </w:r>
          </w:p>
        </w:tc>
        <w:tc>
          <w:tcPr>
            <w:tcW w:w="1986" w:type="dxa"/>
            <w:tcBorders>
              <w:top w:val="nil"/>
              <w:left w:val="nil"/>
              <w:bottom w:val="single" w:sz="4" w:space="0" w:color="auto"/>
              <w:right w:val="single" w:sz="4" w:space="0" w:color="auto"/>
            </w:tcBorders>
            <w:vAlign w:val="center"/>
            <w:hideMark/>
          </w:tcPr>
          <w:p w14:paraId="6FA97D0A" w14:textId="77777777" w:rsidR="00B4447D" w:rsidRPr="006E3020" w:rsidRDefault="00B4447D" w:rsidP="00C072C9">
            <w:pPr>
              <w:jc w:val="center"/>
              <w:rPr>
                <w:sz w:val="20"/>
                <w:szCs w:val="20"/>
                <w:lang w:val="fr-FR"/>
              </w:rPr>
            </w:pPr>
            <w:r w:rsidRPr="006E3020">
              <w:rPr>
                <w:sz w:val="20"/>
                <w:szCs w:val="20"/>
                <w:lang w:val="fr-FR"/>
              </w:rPr>
              <w:t>0</w:t>
            </w:r>
          </w:p>
        </w:tc>
      </w:tr>
      <w:tr w:rsidR="00B4447D" w:rsidRPr="006E3020" w14:paraId="1BD99866"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23F82A53" w14:textId="77777777" w:rsidR="00B4447D" w:rsidRPr="006E3020" w:rsidRDefault="00B4447D" w:rsidP="00C072C9">
            <w:pPr>
              <w:rPr>
                <w:color w:val="000000"/>
                <w:sz w:val="20"/>
                <w:szCs w:val="20"/>
                <w:lang w:val="fr-FR"/>
              </w:rPr>
            </w:pPr>
            <w:r w:rsidRPr="006E3020">
              <w:rPr>
                <w:color w:val="000000"/>
                <w:sz w:val="20"/>
                <w:szCs w:val="20"/>
                <w:lang w:val="fr-FR"/>
              </w:rPr>
              <w:t>PNUE</w:t>
            </w:r>
          </w:p>
        </w:tc>
        <w:tc>
          <w:tcPr>
            <w:tcW w:w="1844" w:type="dxa"/>
            <w:tcBorders>
              <w:top w:val="nil"/>
              <w:left w:val="nil"/>
              <w:bottom w:val="single" w:sz="4" w:space="0" w:color="auto"/>
              <w:right w:val="single" w:sz="4" w:space="0" w:color="auto"/>
            </w:tcBorders>
            <w:noWrap/>
            <w:vAlign w:val="bottom"/>
            <w:hideMark/>
          </w:tcPr>
          <w:p w14:paraId="027C7F08" w14:textId="77777777" w:rsidR="00B4447D" w:rsidRPr="006E3020" w:rsidRDefault="00B4447D" w:rsidP="00C072C9">
            <w:pPr>
              <w:jc w:val="center"/>
              <w:rPr>
                <w:sz w:val="20"/>
                <w:szCs w:val="20"/>
                <w:lang w:val="fr-FR"/>
              </w:rPr>
            </w:pPr>
            <w:r w:rsidRPr="006E3020">
              <w:rPr>
                <w:sz w:val="20"/>
                <w:szCs w:val="20"/>
                <w:lang w:val="fr-FR"/>
              </w:rPr>
              <w:t>60</w:t>
            </w:r>
          </w:p>
        </w:tc>
        <w:tc>
          <w:tcPr>
            <w:tcW w:w="2127" w:type="dxa"/>
            <w:tcBorders>
              <w:top w:val="nil"/>
              <w:left w:val="nil"/>
              <w:bottom w:val="single" w:sz="4" w:space="0" w:color="auto"/>
              <w:right w:val="single" w:sz="4" w:space="0" w:color="auto"/>
            </w:tcBorders>
            <w:noWrap/>
            <w:vAlign w:val="bottom"/>
            <w:hideMark/>
          </w:tcPr>
          <w:p w14:paraId="7D221751" w14:textId="77777777" w:rsidR="00B4447D" w:rsidRPr="006E3020" w:rsidRDefault="00B4447D" w:rsidP="00C072C9">
            <w:pPr>
              <w:jc w:val="center"/>
              <w:rPr>
                <w:sz w:val="20"/>
                <w:szCs w:val="20"/>
                <w:lang w:val="fr-FR"/>
              </w:rPr>
            </w:pPr>
            <w:r w:rsidRPr="006E3020">
              <w:rPr>
                <w:sz w:val="20"/>
                <w:szCs w:val="20"/>
                <w:lang w:val="fr-FR"/>
              </w:rPr>
              <w:t>56</w:t>
            </w:r>
          </w:p>
        </w:tc>
        <w:tc>
          <w:tcPr>
            <w:tcW w:w="1985" w:type="dxa"/>
            <w:tcBorders>
              <w:top w:val="nil"/>
              <w:left w:val="nil"/>
              <w:bottom w:val="single" w:sz="4" w:space="0" w:color="auto"/>
              <w:right w:val="single" w:sz="4" w:space="0" w:color="auto"/>
            </w:tcBorders>
            <w:noWrap/>
            <w:vAlign w:val="center"/>
            <w:hideMark/>
          </w:tcPr>
          <w:p w14:paraId="1FE56E39" w14:textId="77777777" w:rsidR="00B4447D" w:rsidRPr="006E3020" w:rsidRDefault="00B4447D" w:rsidP="00C072C9">
            <w:pPr>
              <w:jc w:val="center"/>
              <w:rPr>
                <w:sz w:val="20"/>
                <w:szCs w:val="20"/>
                <w:lang w:val="fr-FR"/>
              </w:rPr>
            </w:pPr>
            <w:r w:rsidRPr="006E3020">
              <w:rPr>
                <w:sz w:val="20"/>
                <w:szCs w:val="20"/>
                <w:lang w:val="fr-FR"/>
              </w:rPr>
              <w:t>2</w:t>
            </w:r>
          </w:p>
        </w:tc>
        <w:tc>
          <w:tcPr>
            <w:tcW w:w="1986" w:type="dxa"/>
            <w:tcBorders>
              <w:top w:val="nil"/>
              <w:left w:val="nil"/>
              <w:bottom w:val="single" w:sz="4" w:space="0" w:color="auto"/>
              <w:right w:val="single" w:sz="4" w:space="0" w:color="auto"/>
            </w:tcBorders>
            <w:vAlign w:val="center"/>
            <w:hideMark/>
          </w:tcPr>
          <w:p w14:paraId="3FC24B90" w14:textId="77777777" w:rsidR="00B4447D" w:rsidRPr="006E3020" w:rsidRDefault="00B4447D" w:rsidP="00C072C9">
            <w:pPr>
              <w:jc w:val="center"/>
              <w:rPr>
                <w:sz w:val="20"/>
                <w:szCs w:val="20"/>
                <w:lang w:val="fr-FR"/>
              </w:rPr>
            </w:pPr>
            <w:r w:rsidRPr="006E3020">
              <w:rPr>
                <w:sz w:val="20"/>
                <w:szCs w:val="20"/>
                <w:lang w:val="fr-FR"/>
              </w:rPr>
              <w:t>2</w:t>
            </w:r>
          </w:p>
        </w:tc>
      </w:tr>
      <w:tr w:rsidR="00B4447D" w:rsidRPr="006E3020" w14:paraId="1C93B646"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05B846AB" w14:textId="77777777" w:rsidR="00B4447D" w:rsidRPr="006E3020" w:rsidRDefault="00B4447D" w:rsidP="00C072C9">
            <w:pPr>
              <w:keepNext/>
              <w:rPr>
                <w:color w:val="000000"/>
                <w:sz w:val="20"/>
                <w:szCs w:val="20"/>
                <w:lang w:val="fr-FR"/>
              </w:rPr>
            </w:pPr>
            <w:r w:rsidRPr="006E3020">
              <w:rPr>
                <w:color w:val="000000"/>
                <w:sz w:val="20"/>
                <w:szCs w:val="20"/>
                <w:lang w:val="fr-FR"/>
              </w:rPr>
              <w:t>ONUDI</w:t>
            </w:r>
          </w:p>
        </w:tc>
        <w:tc>
          <w:tcPr>
            <w:tcW w:w="1844" w:type="dxa"/>
            <w:tcBorders>
              <w:top w:val="nil"/>
              <w:left w:val="nil"/>
              <w:bottom w:val="single" w:sz="4" w:space="0" w:color="auto"/>
              <w:right w:val="single" w:sz="4" w:space="0" w:color="auto"/>
            </w:tcBorders>
            <w:noWrap/>
            <w:vAlign w:val="bottom"/>
            <w:hideMark/>
          </w:tcPr>
          <w:p w14:paraId="097BB7C9" w14:textId="77777777" w:rsidR="00B4447D" w:rsidRPr="006E3020" w:rsidRDefault="00B4447D" w:rsidP="00C072C9">
            <w:pPr>
              <w:jc w:val="center"/>
              <w:rPr>
                <w:sz w:val="20"/>
                <w:szCs w:val="20"/>
                <w:lang w:val="fr-FR"/>
              </w:rPr>
            </w:pPr>
            <w:r w:rsidRPr="006E3020">
              <w:rPr>
                <w:sz w:val="20"/>
                <w:szCs w:val="20"/>
                <w:lang w:val="fr-FR"/>
              </w:rPr>
              <w:t>52</w:t>
            </w:r>
          </w:p>
        </w:tc>
        <w:tc>
          <w:tcPr>
            <w:tcW w:w="2127" w:type="dxa"/>
            <w:tcBorders>
              <w:top w:val="nil"/>
              <w:left w:val="nil"/>
              <w:bottom w:val="single" w:sz="4" w:space="0" w:color="auto"/>
              <w:right w:val="single" w:sz="4" w:space="0" w:color="auto"/>
            </w:tcBorders>
            <w:noWrap/>
            <w:vAlign w:val="bottom"/>
            <w:hideMark/>
          </w:tcPr>
          <w:p w14:paraId="6A464D31" w14:textId="77777777" w:rsidR="00B4447D" w:rsidRPr="006E3020" w:rsidRDefault="00B4447D" w:rsidP="00C072C9">
            <w:pPr>
              <w:jc w:val="center"/>
              <w:rPr>
                <w:sz w:val="20"/>
                <w:szCs w:val="20"/>
                <w:lang w:val="fr-FR"/>
              </w:rPr>
            </w:pPr>
            <w:r w:rsidRPr="006E3020">
              <w:rPr>
                <w:sz w:val="20"/>
                <w:szCs w:val="20"/>
                <w:lang w:val="fr-FR"/>
              </w:rPr>
              <w:t>51</w:t>
            </w:r>
          </w:p>
        </w:tc>
        <w:tc>
          <w:tcPr>
            <w:tcW w:w="1985" w:type="dxa"/>
            <w:tcBorders>
              <w:top w:val="nil"/>
              <w:left w:val="nil"/>
              <w:bottom w:val="single" w:sz="4" w:space="0" w:color="auto"/>
              <w:right w:val="single" w:sz="4" w:space="0" w:color="auto"/>
            </w:tcBorders>
            <w:noWrap/>
            <w:vAlign w:val="center"/>
            <w:hideMark/>
          </w:tcPr>
          <w:p w14:paraId="260C5354" w14:textId="77777777" w:rsidR="00B4447D" w:rsidRPr="006E3020" w:rsidRDefault="00B4447D" w:rsidP="00C072C9">
            <w:pPr>
              <w:jc w:val="center"/>
              <w:rPr>
                <w:sz w:val="20"/>
                <w:szCs w:val="20"/>
                <w:lang w:val="fr-FR"/>
              </w:rPr>
            </w:pPr>
            <w:r w:rsidRPr="006E3020">
              <w:rPr>
                <w:sz w:val="20"/>
                <w:szCs w:val="20"/>
                <w:lang w:val="fr-FR"/>
              </w:rPr>
              <w:t>1</w:t>
            </w:r>
          </w:p>
        </w:tc>
        <w:tc>
          <w:tcPr>
            <w:tcW w:w="1986" w:type="dxa"/>
            <w:tcBorders>
              <w:top w:val="nil"/>
              <w:left w:val="nil"/>
              <w:bottom w:val="single" w:sz="4" w:space="0" w:color="auto"/>
              <w:right w:val="single" w:sz="4" w:space="0" w:color="auto"/>
            </w:tcBorders>
            <w:vAlign w:val="center"/>
            <w:hideMark/>
          </w:tcPr>
          <w:p w14:paraId="41E58107" w14:textId="77777777" w:rsidR="00B4447D" w:rsidRPr="006E3020" w:rsidRDefault="00B4447D" w:rsidP="00C072C9">
            <w:pPr>
              <w:jc w:val="center"/>
              <w:rPr>
                <w:sz w:val="20"/>
                <w:szCs w:val="20"/>
                <w:lang w:val="fr-FR"/>
              </w:rPr>
            </w:pPr>
            <w:r w:rsidRPr="006E3020">
              <w:rPr>
                <w:sz w:val="20"/>
                <w:szCs w:val="20"/>
                <w:lang w:val="fr-FR"/>
              </w:rPr>
              <w:t>0</w:t>
            </w:r>
          </w:p>
        </w:tc>
      </w:tr>
      <w:tr w:rsidR="00B4447D" w:rsidRPr="006E3020" w14:paraId="7BBB61C8"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69C44EE7" w14:textId="77777777" w:rsidR="00B4447D" w:rsidRPr="006E3020" w:rsidRDefault="00B4447D" w:rsidP="00C072C9">
            <w:pPr>
              <w:keepNext/>
              <w:rPr>
                <w:color w:val="000000"/>
                <w:sz w:val="20"/>
                <w:szCs w:val="20"/>
                <w:lang w:val="fr-FR"/>
              </w:rPr>
            </w:pPr>
            <w:r w:rsidRPr="006E3020">
              <w:rPr>
                <w:color w:val="000000"/>
                <w:sz w:val="20"/>
                <w:szCs w:val="20"/>
                <w:lang w:val="fr-FR"/>
              </w:rPr>
              <w:t>Banque mondiale</w:t>
            </w:r>
          </w:p>
        </w:tc>
        <w:tc>
          <w:tcPr>
            <w:tcW w:w="1844" w:type="dxa"/>
            <w:tcBorders>
              <w:top w:val="nil"/>
              <w:left w:val="nil"/>
              <w:bottom w:val="single" w:sz="4" w:space="0" w:color="auto"/>
              <w:right w:val="single" w:sz="4" w:space="0" w:color="auto"/>
            </w:tcBorders>
            <w:noWrap/>
            <w:vAlign w:val="bottom"/>
            <w:hideMark/>
          </w:tcPr>
          <w:p w14:paraId="2B13EBF4" w14:textId="77777777" w:rsidR="00B4447D" w:rsidRPr="006E3020" w:rsidRDefault="00B4447D" w:rsidP="00C072C9">
            <w:pPr>
              <w:jc w:val="center"/>
              <w:rPr>
                <w:sz w:val="20"/>
                <w:szCs w:val="20"/>
                <w:lang w:val="fr-FR"/>
              </w:rPr>
            </w:pPr>
            <w:r w:rsidRPr="006E3020">
              <w:rPr>
                <w:sz w:val="20"/>
                <w:szCs w:val="20"/>
                <w:lang w:val="fr-FR"/>
              </w:rPr>
              <w:t>25</w:t>
            </w:r>
          </w:p>
        </w:tc>
        <w:tc>
          <w:tcPr>
            <w:tcW w:w="2127" w:type="dxa"/>
            <w:tcBorders>
              <w:top w:val="nil"/>
              <w:left w:val="nil"/>
              <w:bottom w:val="single" w:sz="4" w:space="0" w:color="auto"/>
              <w:right w:val="single" w:sz="4" w:space="0" w:color="auto"/>
            </w:tcBorders>
            <w:noWrap/>
            <w:vAlign w:val="bottom"/>
            <w:hideMark/>
          </w:tcPr>
          <w:p w14:paraId="364FC908" w14:textId="77777777" w:rsidR="00B4447D" w:rsidRPr="006E3020" w:rsidRDefault="00B4447D" w:rsidP="00C072C9">
            <w:pPr>
              <w:jc w:val="center"/>
              <w:rPr>
                <w:sz w:val="20"/>
                <w:szCs w:val="20"/>
                <w:lang w:val="fr-FR"/>
              </w:rPr>
            </w:pPr>
            <w:r w:rsidRPr="006E3020">
              <w:rPr>
                <w:sz w:val="20"/>
                <w:szCs w:val="20"/>
                <w:lang w:val="fr-FR"/>
              </w:rPr>
              <w:t>13</w:t>
            </w:r>
          </w:p>
        </w:tc>
        <w:tc>
          <w:tcPr>
            <w:tcW w:w="1985" w:type="dxa"/>
            <w:tcBorders>
              <w:top w:val="nil"/>
              <w:left w:val="nil"/>
              <w:bottom w:val="single" w:sz="4" w:space="0" w:color="auto"/>
              <w:right w:val="single" w:sz="4" w:space="0" w:color="auto"/>
            </w:tcBorders>
            <w:noWrap/>
            <w:vAlign w:val="center"/>
            <w:hideMark/>
          </w:tcPr>
          <w:p w14:paraId="2DE00622" w14:textId="77777777" w:rsidR="00B4447D" w:rsidRPr="006E3020" w:rsidRDefault="00B4447D" w:rsidP="00C072C9">
            <w:pPr>
              <w:jc w:val="center"/>
              <w:rPr>
                <w:sz w:val="20"/>
                <w:szCs w:val="20"/>
                <w:lang w:val="fr-FR"/>
              </w:rPr>
            </w:pPr>
            <w:r w:rsidRPr="006E3020">
              <w:rPr>
                <w:sz w:val="20"/>
                <w:szCs w:val="20"/>
                <w:lang w:val="fr-FR"/>
              </w:rPr>
              <w:t>1</w:t>
            </w:r>
          </w:p>
        </w:tc>
        <w:tc>
          <w:tcPr>
            <w:tcW w:w="1986" w:type="dxa"/>
            <w:tcBorders>
              <w:top w:val="nil"/>
              <w:left w:val="nil"/>
              <w:bottom w:val="single" w:sz="4" w:space="0" w:color="auto"/>
              <w:right w:val="single" w:sz="4" w:space="0" w:color="auto"/>
            </w:tcBorders>
            <w:vAlign w:val="center"/>
            <w:hideMark/>
          </w:tcPr>
          <w:p w14:paraId="0658121C" w14:textId="77777777" w:rsidR="00B4447D" w:rsidRPr="006E3020" w:rsidRDefault="00B4447D" w:rsidP="00C072C9">
            <w:pPr>
              <w:jc w:val="center"/>
              <w:rPr>
                <w:sz w:val="20"/>
                <w:szCs w:val="20"/>
                <w:lang w:val="fr-FR"/>
              </w:rPr>
            </w:pPr>
            <w:r w:rsidRPr="006E3020">
              <w:rPr>
                <w:sz w:val="20"/>
                <w:szCs w:val="20"/>
                <w:lang w:val="fr-FR"/>
              </w:rPr>
              <w:t>11</w:t>
            </w:r>
          </w:p>
        </w:tc>
      </w:tr>
      <w:tr w:rsidR="00B4447D" w:rsidRPr="006E3020" w14:paraId="69B7CA40" w14:textId="77777777" w:rsidTr="00C072C9">
        <w:tc>
          <w:tcPr>
            <w:tcW w:w="1418" w:type="dxa"/>
            <w:tcBorders>
              <w:top w:val="nil"/>
              <w:left w:val="single" w:sz="4" w:space="0" w:color="auto"/>
              <w:bottom w:val="single" w:sz="4" w:space="0" w:color="auto"/>
              <w:right w:val="single" w:sz="4" w:space="0" w:color="auto"/>
            </w:tcBorders>
            <w:noWrap/>
            <w:vAlign w:val="center"/>
            <w:hideMark/>
          </w:tcPr>
          <w:p w14:paraId="5EA33CE6" w14:textId="77777777" w:rsidR="00B4447D" w:rsidRPr="006E3020" w:rsidRDefault="00B4447D" w:rsidP="00C072C9">
            <w:pPr>
              <w:rPr>
                <w:b/>
                <w:bCs/>
                <w:color w:val="000000"/>
                <w:sz w:val="20"/>
                <w:szCs w:val="20"/>
                <w:lang w:val="fr-FR"/>
              </w:rPr>
            </w:pPr>
            <w:r w:rsidRPr="006E3020">
              <w:rPr>
                <w:b/>
                <w:bCs/>
                <w:color w:val="000000"/>
                <w:sz w:val="20"/>
                <w:szCs w:val="20"/>
                <w:lang w:val="fr-FR"/>
              </w:rPr>
              <w:t>Total</w:t>
            </w:r>
          </w:p>
        </w:tc>
        <w:tc>
          <w:tcPr>
            <w:tcW w:w="1844" w:type="dxa"/>
            <w:tcBorders>
              <w:top w:val="nil"/>
              <w:left w:val="nil"/>
              <w:bottom w:val="single" w:sz="4" w:space="0" w:color="auto"/>
              <w:right w:val="single" w:sz="4" w:space="0" w:color="auto"/>
            </w:tcBorders>
            <w:noWrap/>
            <w:vAlign w:val="center"/>
            <w:hideMark/>
          </w:tcPr>
          <w:p w14:paraId="37643E83" w14:textId="77777777" w:rsidR="00B4447D" w:rsidRPr="006E3020" w:rsidRDefault="00B4447D" w:rsidP="00C072C9">
            <w:pPr>
              <w:jc w:val="center"/>
              <w:rPr>
                <w:b/>
                <w:bCs/>
                <w:sz w:val="20"/>
                <w:szCs w:val="20"/>
                <w:lang w:val="fr-FR"/>
              </w:rPr>
            </w:pPr>
            <w:r w:rsidRPr="006E3020">
              <w:rPr>
                <w:b/>
                <w:bCs/>
                <w:sz w:val="20"/>
                <w:szCs w:val="20"/>
                <w:lang w:val="fr-FR"/>
              </w:rPr>
              <w:t>199</w:t>
            </w:r>
          </w:p>
        </w:tc>
        <w:tc>
          <w:tcPr>
            <w:tcW w:w="2127" w:type="dxa"/>
            <w:tcBorders>
              <w:top w:val="nil"/>
              <w:left w:val="nil"/>
              <w:bottom w:val="single" w:sz="4" w:space="0" w:color="auto"/>
              <w:right w:val="single" w:sz="4" w:space="0" w:color="auto"/>
            </w:tcBorders>
            <w:noWrap/>
            <w:vAlign w:val="center"/>
            <w:hideMark/>
          </w:tcPr>
          <w:p w14:paraId="1BBF0434" w14:textId="77777777" w:rsidR="00B4447D" w:rsidRPr="006E3020" w:rsidRDefault="00B4447D" w:rsidP="00C072C9">
            <w:pPr>
              <w:jc w:val="center"/>
              <w:rPr>
                <w:b/>
                <w:bCs/>
                <w:sz w:val="20"/>
                <w:szCs w:val="20"/>
                <w:lang w:val="fr-FR"/>
              </w:rPr>
            </w:pPr>
            <w:r w:rsidRPr="006E3020">
              <w:rPr>
                <w:b/>
                <w:bCs/>
                <w:sz w:val="20"/>
                <w:szCs w:val="20"/>
                <w:lang w:val="fr-FR"/>
              </w:rPr>
              <w:t>174</w:t>
            </w:r>
          </w:p>
        </w:tc>
        <w:tc>
          <w:tcPr>
            <w:tcW w:w="1985" w:type="dxa"/>
            <w:tcBorders>
              <w:top w:val="nil"/>
              <w:left w:val="nil"/>
              <w:bottom w:val="single" w:sz="4" w:space="0" w:color="auto"/>
              <w:right w:val="single" w:sz="4" w:space="0" w:color="auto"/>
            </w:tcBorders>
            <w:noWrap/>
            <w:vAlign w:val="center"/>
            <w:hideMark/>
          </w:tcPr>
          <w:p w14:paraId="0A1105DA" w14:textId="77777777" w:rsidR="00B4447D" w:rsidRPr="006E3020" w:rsidRDefault="00B4447D" w:rsidP="00C072C9">
            <w:pPr>
              <w:jc w:val="center"/>
              <w:rPr>
                <w:b/>
                <w:bCs/>
                <w:sz w:val="20"/>
                <w:szCs w:val="20"/>
                <w:lang w:val="fr-FR"/>
              </w:rPr>
            </w:pPr>
            <w:r w:rsidRPr="006E3020">
              <w:rPr>
                <w:b/>
                <w:bCs/>
                <w:sz w:val="20"/>
                <w:szCs w:val="20"/>
                <w:lang w:val="fr-FR"/>
              </w:rPr>
              <w:t>10</w:t>
            </w:r>
          </w:p>
        </w:tc>
        <w:tc>
          <w:tcPr>
            <w:tcW w:w="1986" w:type="dxa"/>
            <w:tcBorders>
              <w:top w:val="nil"/>
              <w:left w:val="nil"/>
              <w:bottom w:val="single" w:sz="4" w:space="0" w:color="auto"/>
              <w:right w:val="single" w:sz="4" w:space="0" w:color="auto"/>
            </w:tcBorders>
            <w:vAlign w:val="center"/>
            <w:hideMark/>
          </w:tcPr>
          <w:p w14:paraId="4A1A3032" w14:textId="77777777" w:rsidR="00B4447D" w:rsidRPr="006E3020" w:rsidRDefault="00B4447D" w:rsidP="00C072C9">
            <w:pPr>
              <w:jc w:val="center"/>
              <w:rPr>
                <w:b/>
                <w:bCs/>
                <w:sz w:val="20"/>
                <w:szCs w:val="20"/>
                <w:lang w:val="fr-FR"/>
              </w:rPr>
            </w:pPr>
            <w:r w:rsidRPr="006E3020">
              <w:rPr>
                <w:b/>
                <w:bCs/>
                <w:sz w:val="20"/>
                <w:szCs w:val="20"/>
                <w:lang w:val="fr-FR"/>
              </w:rPr>
              <w:t>15</w:t>
            </w:r>
          </w:p>
        </w:tc>
      </w:tr>
    </w:tbl>
    <w:p w14:paraId="4AD6DC28" w14:textId="566C5FE4" w:rsidR="00B4447D" w:rsidRPr="006E3020" w:rsidRDefault="00B4447D" w:rsidP="00B4447D">
      <w:pPr>
        <w:pStyle w:val="Heading1"/>
        <w:numPr>
          <w:ilvl w:val="0"/>
          <w:numId w:val="23"/>
        </w:numPr>
        <w:spacing w:before="240"/>
        <w:rPr>
          <w:lang w:val="fr-FR"/>
        </w:rPr>
      </w:pPr>
      <w:r w:rsidRPr="006E3020">
        <w:rPr>
          <w:lang w:val="fr-FR"/>
        </w:rPr>
        <w:t>Une analyse du montant global des décaissements, des SAO éliminées et des retards intervenus dans la finalisation des 10 rapports d’achèvement de projet pour des accords pluriannuels est résumée au tableau</w:t>
      </w:r>
      <w:r w:rsidR="00852D8F">
        <w:rPr>
          <w:lang w:val="fr-FR"/>
        </w:rPr>
        <w:t> </w:t>
      </w:r>
      <w:r w:rsidRPr="006E3020">
        <w:rPr>
          <w:lang w:val="fr-FR"/>
        </w:rPr>
        <w:t xml:space="preserve">2. </w:t>
      </w:r>
    </w:p>
    <w:p w14:paraId="2FC8BB61" w14:textId="6B9C548A" w:rsidR="00B4447D" w:rsidRPr="006E3020" w:rsidRDefault="00B4447D" w:rsidP="00B4447D">
      <w:pPr>
        <w:pStyle w:val="Heading1"/>
        <w:numPr>
          <w:ilvl w:val="0"/>
          <w:numId w:val="0"/>
        </w:numPr>
        <w:tabs>
          <w:tab w:val="left" w:pos="720"/>
        </w:tabs>
        <w:spacing w:after="0"/>
        <w:rPr>
          <w:b/>
          <w:lang w:val="fr-FR"/>
        </w:rPr>
      </w:pPr>
      <w:r w:rsidRPr="006E3020">
        <w:rPr>
          <w:b/>
          <w:lang w:val="fr-FR"/>
        </w:rPr>
        <w:t>Tableau</w:t>
      </w:r>
      <w:r w:rsidR="00852D8F">
        <w:rPr>
          <w:b/>
          <w:lang w:val="fr-FR"/>
        </w:rPr>
        <w:t> </w:t>
      </w:r>
      <w:r w:rsidRPr="006E3020">
        <w:rPr>
          <w:b/>
          <w:lang w:val="fr-FR"/>
        </w:rPr>
        <w:t>2. Aperçu du budget, des SAO éliminées et des retards dans les accords pluriannuels</w:t>
      </w:r>
      <w:r w:rsidR="00FB28FE">
        <w:rPr>
          <w:b/>
          <w:lang w:val="fr-FR"/>
        </w:rPr>
        <w:t xml:space="preserve"> </w:t>
      </w:r>
      <w:r w:rsidRPr="006E3020">
        <w:rPr>
          <w:b/>
          <w:lang w:val="fr-FR"/>
        </w:rPr>
        <w:t>soumis après la 83e réunion</w:t>
      </w:r>
    </w:p>
    <w:tbl>
      <w:tblPr>
        <w:tblW w:w="5000" w:type="pct"/>
        <w:tblLook w:val="04A0" w:firstRow="1" w:lastRow="0" w:firstColumn="1" w:lastColumn="0" w:noHBand="0" w:noVBand="1"/>
      </w:tblPr>
      <w:tblGrid>
        <w:gridCol w:w="1622"/>
        <w:gridCol w:w="1568"/>
        <w:gridCol w:w="1571"/>
        <w:gridCol w:w="1569"/>
        <w:gridCol w:w="1571"/>
        <w:gridCol w:w="1449"/>
      </w:tblGrid>
      <w:tr w:rsidR="00B4447D" w:rsidRPr="006E3020" w14:paraId="3212282F" w14:textId="77777777" w:rsidTr="00C072C9">
        <w:trPr>
          <w:trHeight w:val="244"/>
        </w:trPr>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42C951B4" w14:textId="77777777" w:rsidR="00B4447D" w:rsidRPr="006E3020" w:rsidRDefault="00B4447D" w:rsidP="00C072C9">
            <w:pPr>
              <w:jc w:val="left"/>
              <w:rPr>
                <w:b/>
                <w:bCs/>
                <w:color w:val="000000"/>
                <w:sz w:val="20"/>
                <w:lang w:val="fr-FR"/>
              </w:rPr>
            </w:pPr>
            <w:r w:rsidRPr="006E3020">
              <w:rPr>
                <w:b/>
                <w:bCs/>
                <w:color w:val="000000"/>
                <w:sz w:val="20"/>
                <w:lang w:val="fr-FR"/>
              </w:rPr>
              <w:t>Agence principale</w:t>
            </w:r>
          </w:p>
        </w:tc>
        <w:tc>
          <w:tcPr>
            <w:tcW w:w="1727" w:type="pct"/>
            <w:gridSpan w:val="2"/>
            <w:tcBorders>
              <w:top w:val="single" w:sz="4" w:space="0" w:color="auto"/>
              <w:left w:val="nil"/>
              <w:bottom w:val="single" w:sz="4" w:space="0" w:color="auto"/>
              <w:right w:val="single" w:sz="4" w:space="0" w:color="auto"/>
            </w:tcBorders>
            <w:vAlign w:val="center"/>
            <w:hideMark/>
          </w:tcPr>
          <w:p w14:paraId="40503B96" w14:textId="402159C8" w:rsidR="00B4447D" w:rsidRPr="006E3020" w:rsidRDefault="00B4447D" w:rsidP="00C072C9">
            <w:pPr>
              <w:jc w:val="center"/>
              <w:rPr>
                <w:b/>
                <w:bCs/>
                <w:color w:val="000000"/>
                <w:sz w:val="20"/>
                <w:lang w:val="fr-FR"/>
              </w:rPr>
            </w:pPr>
            <w:r w:rsidRPr="006E3020">
              <w:rPr>
                <w:b/>
                <w:bCs/>
                <w:color w:val="000000"/>
                <w:sz w:val="20"/>
                <w:lang w:val="fr-FR"/>
              </w:rPr>
              <w:t>Fonds pour les accords pluriannuels ($</w:t>
            </w:r>
            <w:r w:rsidR="0013475C">
              <w:rPr>
                <w:b/>
                <w:bCs/>
                <w:color w:val="000000"/>
                <w:sz w:val="20"/>
                <w:lang w:val="fr-FR"/>
              </w:rPr>
              <w:t xml:space="preserve"> </w:t>
            </w:r>
            <w:r w:rsidRPr="006E3020">
              <w:rPr>
                <w:b/>
                <w:bCs/>
                <w:color w:val="000000"/>
                <w:sz w:val="20"/>
                <w:lang w:val="fr-FR"/>
              </w:rPr>
              <w:t>US)</w:t>
            </w:r>
          </w:p>
        </w:tc>
        <w:tc>
          <w:tcPr>
            <w:tcW w:w="1727" w:type="pct"/>
            <w:gridSpan w:val="2"/>
            <w:tcBorders>
              <w:top w:val="single" w:sz="4" w:space="0" w:color="auto"/>
              <w:left w:val="nil"/>
              <w:bottom w:val="single" w:sz="4" w:space="0" w:color="auto"/>
              <w:right w:val="single" w:sz="4" w:space="0" w:color="auto"/>
            </w:tcBorders>
            <w:vAlign w:val="center"/>
            <w:hideMark/>
          </w:tcPr>
          <w:p w14:paraId="610AB11F" w14:textId="77777777" w:rsidR="00B4447D" w:rsidRPr="006E3020" w:rsidRDefault="00B4447D" w:rsidP="00C072C9">
            <w:pPr>
              <w:jc w:val="center"/>
              <w:rPr>
                <w:b/>
                <w:bCs/>
                <w:color w:val="000000"/>
                <w:sz w:val="20"/>
                <w:lang w:val="fr-FR"/>
              </w:rPr>
            </w:pPr>
            <w:r w:rsidRPr="006E3020">
              <w:rPr>
                <w:b/>
                <w:bCs/>
                <w:color w:val="000000"/>
                <w:sz w:val="20"/>
                <w:lang w:val="fr-FR"/>
              </w:rPr>
              <w:t>Tonnes PAO éliminées</w:t>
            </w:r>
          </w:p>
        </w:tc>
        <w:tc>
          <w:tcPr>
            <w:tcW w:w="799" w:type="pct"/>
            <w:vMerge w:val="restart"/>
            <w:tcBorders>
              <w:top w:val="single" w:sz="4" w:space="0" w:color="auto"/>
              <w:left w:val="single" w:sz="4" w:space="0" w:color="auto"/>
              <w:bottom w:val="single" w:sz="4" w:space="0" w:color="auto"/>
              <w:right w:val="single" w:sz="4" w:space="0" w:color="auto"/>
            </w:tcBorders>
            <w:vAlign w:val="center"/>
            <w:hideMark/>
          </w:tcPr>
          <w:p w14:paraId="7239E4F9" w14:textId="77777777" w:rsidR="00B4447D" w:rsidRPr="006E3020" w:rsidRDefault="00B4447D" w:rsidP="00C072C9">
            <w:pPr>
              <w:jc w:val="center"/>
              <w:rPr>
                <w:b/>
                <w:bCs/>
                <w:color w:val="000000"/>
                <w:sz w:val="20"/>
                <w:lang w:val="fr-FR"/>
              </w:rPr>
            </w:pPr>
            <w:r w:rsidRPr="006E3020">
              <w:rPr>
                <w:b/>
                <w:bCs/>
                <w:color w:val="000000"/>
                <w:sz w:val="20"/>
                <w:lang w:val="fr-FR"/>
              </w:rPr>
              <w:t>Retards moyens (en mois)</w:t>
            </w:r>
          </w:p>
        </w:tc>
      </w:tr>
      <w:tr w:rsidR="00B4447D" w:rsidRPr="006E3020" w14:paraId="42D594E8" w14:textId="77777777" w:rsidTr="00C072C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C5322" w14:textId="77777777" w:rsidR="00B4447D" w:rsidRPr="006E3020" w:rsidRDefault="00B4447D" w:rsidP="00C072C9">
            <w:pPr>
              <w:jc w:val="left"/>
              <w:rPr>
                <w:b/>
                <w:bCs/>
                <w:color w:val="000000"/>
                <w:sz w:val="20"/>
                <w:lang w:val="fr-FR" w:eastAsia="en-CA"/>
              </w:rPr>
            </w:pPr>
          </w:p>
        </w:tc>
        <w:tc>
          <w:tcPr>
            <w:tcW w:w="863" w:type="pct"/>
            <w:tcBorders>
              <w:top w:val="nil"/>
              <w:left w:val="nil"/>
              <w:bottom w:val="single" w:sz="4" w:space="0" w:color="auto"/>
              <w:right w:val="single" w:sz="4" w:space="0" w:color="auto"/>
            </w:tcBorders>
            <w:vAlign w:val="center"/>
            <w:hideMark/>
          </w:tcPr>
          <w:p w14:paraId="712E4B2A" w14:textId="77777777" w:rsidR="00B4447D" w:rsidRPr="006E3020" w:rsidRDefault="00B4447D" w:rsidP="00C072C9">
            <w:pPr>
              <w:jc w:val="center"/>
              <w:rPr>
                <w:b/>
                <w:bCs/>
                <w:color w:val="000000"/>
                <w:sz w:val="20"/>
                <w:lang w:val="fr-FR"/>
              </w:rPr>
            </w:pPr>
            <w:r w:rsidRPr="006E3020">
              <w:rPr>
                <w:b/>
                <w:bCs/>
                <w:color w:val="000000"/>
                <w:sz w:val="20"/>
                <w:lang w:val="fr-FR"/>
              </w:rPr>
              <w:t>Approuvés</w:t>
            </w:r>
          </w:p>
        </w:tc>
        <w:tc>
          <w:tcPr>
            <w:tcW w:w="864" w:type="pct"/>
            <w:tcBorders>
              <w:top w:val="nil"/>
              <w:left w:val="nil"/>
              <w:bottom w:val="single" w:sz="4" w:space="0" w:color="auto"/>
              <w:right w:val="single" w:sz="4" w:space="0" w:color="auto"/>
            </w:tcBorders>
            <w:vAlign w:val="center"/>
            <w:hideMark/>
          </w:tcPr>
          <w:p w14:paraId="1806885D" w14:textId="77777777" w:rsidR="00B4447D" w:rsidRPr="006E3020" w:rsidRDefault="00B4447D" w:rsidP="00C072C9">
            <w:pPr>
              <w:jc w:val="center"/>
              <w:rPr>
                <w:b/>
                <w:bCs/>
                <w:color w:val="000000"/>
                <w:sz w:val="20"/>
                <w:lang w:val="fr-FR"/>
              </w:rPr>
            </w:pPr>
            <w:r w:rsidRPr="006E3020">
              <w:rPr>
                <w:b/>
                <w:bCs/>
                <w:color w:val="000000"/>
                <w:sz w:val="20"/>
                <w:lang w:val="fr-FR"/>
              </w:rPr>
              <w:t>Décaissés</w:t>
            </w:r>
          </w:p>
        </w:tc>
        <w:tc>
          <w:tcPr>
            <w:tcW w:w="863" w:type="pct"/>
            <w:tcBorders>
              <w:top w:val="nil"/>
              <w:left w:val="nil"/>
              <w:bottom w:val="single" w:sz="4" w:space="0" w:color="auto"/>
              <w:right w:val="single" w:sz="4" w:space="0" w:color="auto"/>
            </w:tcBorders>
            <w:vAlign w:val="center"/>
            <w:hideMark/>
          </w:tcPr>
          <w:p w14:paraId="4DAA263C" w14:textId="77777777" w:rsidR="00B4447D" w:rsidRPr="006E3020" w:rsidRDefault="00B4447D" w:rsidP="00C072C9">
            <w:pPr>
              <w:jc w:val="center"/>
              <w:rPr>
                <w:b/>
                <w:bCs/>
                <w:color w:val="000000"/>
                <w:sz w:val="20"/>
                <w:lang w:val="fr-FR"/>
              </w:rPr>
            </w:pPr>
            <w:r w:rsidRPr="006E3020">
              <w:rPr>
                <w:b/>
                <w:bCs/>
                <w:color w:val="000000"/>
                <w:sz w:val="20"/>
                <w:lang w:val="fr-FR"/>
              </w:rPr>
              <w:t>Approuvées</w:t>
            </w:r>
          </w:p>
        </w:tc>
        <w:tc>
          <w:tcPr>
            <w:tcW w:w="864" w:type="pct"/>
            <w:tcBorders>
              <w:top w:val="nil"/>
              <w:left w:val="nil"/>
              <w:bottom w:val="single" w:sz="4" w:space="0" w:color="auto"/>
              <w:right w:val="single" w:sz="4" w:space="0" w:color="auto"/>
            </w:tcBorders>
            <w:vAlign w:val="center"/>
            <w:hideMark/>
          </w:tcPr>
          <w:p w14:paraId="1389AC75" w14:textId="77777777" w:rsidR="00B4447D" w:rsidRPr="006E3020" w:rsidRDefault="00B4447D" w:rsidP="00C072C9">
            <w:pPr>
              <w:jc w:val="center"/>
              <w:rPr>
                <w:b/>
                <w:bCs/>
                <w:color w:val="000000"/>
                <w:sz w:val="20"/>
                <w:lang w:val="fr-FR"/>
              </w:rPr>
            </w:pPr>
            <w:r w:rsidRPr="006E3020">
              <w:rPr>
                <w:b/>
                <w:bCs/>
                <w:color w:val="000000"/>
                <w:sz w:val="20"/>
                <w:lang w:val="fr-FR"/>
              </w:rPr>
              <w:t>Réelles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9C41F" w14:textId="77777777" w:rsidR="00B4447D" w:rsidRPr="006E3020" w:rsidRDefault="00B4447D" w:rsidP="00C072C9">
            <w:pPr>
              <w:jc w:val="left"/>
              <w:rPr>
                <w:b/>
                <w:bCs/>
                <w:color w:val="000000"/>
                <w:sz w:val="20"/>
                <w:lang w:val="fr-FR" w:eastAsia="en-CA"/>
              </w:rPr>
            </w:pPr>
          </w:p>
        </w:tc>
      </w:tr>
      <w:tr w:rsidR="00B4447D" w:rsidRPr="006E3020" w14:paraId="550FAC87"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hideMark/>
          </w:tcPr>
          <w:p w14:paraId="16BE523D" w14:textId="77777777" w:rsidR="00B4447D" w:rsidRPr="006E3020" w:rsidRDefault="00B4447D" w:rsidP="00C072C9">
            <w:pPr>
              <w:jc w:val="left"/>
              <w:rPr>
                <w:color w:val="000000"/>
                <w:sz w:val="20"/>
                <w:lang w:val="fr-FR"/>
              </w:rPr>
            </w:pPr>
            <w:r w:rsidRPr="006E3020">
              <w:rPr>
                <w:color w:val="000000"/>
                <w:sz w:val="20"/>
                <w:lang w:val="fr-FR"/>
              </w:rPr>
              <w:t>Canada</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E65AC5A" w14:textId="58F9283A" w:rsidR="00B4447D" w:rsidRPr="006E3020" w:rsidRDefault="00B4447D" w:rsidP="00C072C9">
            <w:pPr>
              <w:jc w:val="right"/>
              <w:rPr>
                <w:color w:val="000000"/>
                <w:sz w:val="20"/>
                <w:lang w:val="fr-FR"/>
              </w:rPr>
            </w:pPr>
            <w:r w:rsidRPr="006E3020">
              <w:rPr>
                <w:color w:val="000000"/>
                <w:sz w:val="20"/>
                <w:lang w:val="fr-FR"/>
              </w:rPr>
              <w:t>534</w:t>
            </w:r>
            <w:r w:rsidR="00C95548">
              <w:rPr>
                <w:color w:val="000000"/>
                <w:sz w:val="20"/>
                <w:lang w:val="fr-FR"/>
              </w:rPr>
              <w:t> </w:t>
            </w:r>
            <w:r w:rsidRPr="006E3020">
              <w:rPr>
                <w:color w:val="000000"/>
                <w:sz w:val="20"/>
                <w:lang w:val="fr-FR"/>
              </w:rPr>
              <w:t>848</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D91C965" w14:textId="49C72768" w:rsidR="00B4447D" w:rsidRPr="006E3020" w:rsidRDefault="00B4447D" w:rsidP="00C072C9">
            <w:pPr>
              <w:jc w:val="right"/>
              <w:rPr>
                <w:color w:val="000000"/>
                <w:sz w:val="20"/>
                <w:lang w:val="fr-FR"/>
              </w:rPr>
            </w:pPr>
            <w:r w:rsidRPr="006E3020">
              <w:rPr>
                <w:color w:val="000000"/>
                <w:sz w:val="20"/>
                <w:lang w:val="fr-FR"/>
              </w:rPr>
              <w:t>534</w:t>
            </w:r>
            <w:r w:rsidR="00C95548">
              <w:rPr>
                <w:color w:val="000000"/>
                <w:sz w:val="20"/>
                <w:lang w:val="fr-FR"/>
              </w:rPr>
              <w:t> </w:t>
            </w:r>
            <w:r w:rsidRPr="006E3020">
              <w:rPr>
                <w:color w:val="000000"/>
                <w:sz w:val="20"/>
                <w:lang w:val="fr-FR"/>
              </w:rPr>
              <w:t>848</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CE7F339" w14:textId="77777777" w:rsidR="00B4447D" w:rsidRPr="006E3020" w:rsidRDefault="00B4447D" w:rsidP="00C072C9">
            <w:pPr>
              <w:jc w:val="right"/>
              <w:rPr>
                <w:color w:val="000000"/>
                <w:sz w:val="20"/>
                <w:lang w:val="fr-FR"/>
              </w:rPr>
            </w:pPr>
            <w:r w:rsidRPr="006E3020">
              <w:rPr>
                <w:color w:val="000000"/>
                <w:sz w:val="20"/>
                <w:lang w:val="fr-FR"/>
              </w:rPr>
              <w:t>26,9</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96A88C8" w14:textId="77777777" w:rsidR="00B4447D" w:rsidRPr="006E3020" w:rsidRDefault="00B4447D" w:rsidP="00C072C9">
            <w:pPr>
              <w:jc w:val="right"/>
              <w:rPr>
                <w:color w:val="000000"/>
                <w:sz w:val="20"/>
                <w:lang w:val="fr-FR"/>
              </w:rPr>
            </w:pPr>
            <w:r w:rsidRPr="006E3020">
              <w:rPr>
                <w:color w:val="000000"/>
                <w:sz w:val="20"/>
                <w:lang w:val="fr-FR"/>
              </w:rPr>
              <w:t>26,9</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70E278A" w14:textId="77777777" w:rsidR="00B4447D" w:rsidRPr="006E3020" w:rsidRDefault="00B4447D" w:rsidP="00C072C9">
            <w:pPr>
              <w:jc w:val="right"/>
              <w:rPr>
                <w:color w:val="000000"/>
                <w:sz w:val="20"/>
                <w:lang w:val="fr-FR"/>
              </w:rPr>
            </w:pPr>
            <w:r w:rsidRPr="006E3020">
              <w:rPr>
                <w:color w:val="000000"/>
                <w:sz w:val="20"/>
                <w:lang w:val="fr-FR"/>
              </w:rPr>
              <w:t>28</w:t>
            </w:r>
          </w:p>
        </w:tc>
      </w:tr>
      <w:tr w:rsidR="00B4447D" w:rsidRPr="006E3020" w14:paraId="52B09B72"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tcPr>
          <w:p w14:paraId="555A9740" w14:textId="77777777" w:rsidR="00B4447D" w:rsidRPr="006E3020" w:rsidRDefault="00B4447D" w:rsidP="00C072C9">
            <w:pPr>
              <w:jc w:val="left"/>
              <w:rPr>
                <w:color w:val="000000"/>
                <w:sz w:val="20"/>
                <w:lang w:val="fr-FR"/>
              </w:rPr>
            </w:pPr>
            <w:r w:rsidRPr="006E3020">
              <w:rPr>
                <w:color w:val="000000"/>
                <w:sz w:val="20"/>
                <w:lang w:val="fr-FR"/>
              </w:rPr>
              <w:t>France</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0F6954C9" w14:textId="3BDC2EC5" w:rsidR="00B4447D" w:rsidRPr="006E3020" w:rsidRDefault="00B4447D" w:rsidP="00C072C9">
            <w:pPr>
              <w:jc w:val="right"/>
              <w:rPr>
                <w:color w:val="000000"/>
                <w:sz w:val="20"/>
                <w:lang w:val="fr-FR"/>
              </w:rPr>
            </w:pPr>
            <w:r w:rsidRPr="006E3020">
              <w:rPr>
                <w:color w:val="000000"/>
                <w:sz w:val="20"/>
                <w:lang w:val="fr-FR"/>
              </w:rPr>
              <w:t>1</w:t>
            </w:r>
            <w:r w:rsidR="00C95548">
              <w:rPr>
                <w:color w:val="000000"/>
                <w:sz w:val="20"/>
                <w:lang w:val="fr-FR"/>
              </w:rPr>
              <w:t> 358 </w:t>
            </w:r>
            <w:r w:rsidRPr="006E3020">
              <w:rPr>
                <w:color w:val="000000"/>
                <w:sz w:val="20"/>
                <w:lang w:val="fr-FR"/>
              </w:rPr>
              <w:t>639</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56E65106" w14:textId="2240562A" w:rsidR="00B4447D" w:rsidRPr="006E3020" w:rsidRDefault="00B4447D" w:rsidP="00C072C9">
            <w:pPr>
              <w:jc w:val="right"/>
              <w:rPr>
                <w:color w:val="000000"/>
                <w:sz w:val="20"/>
                <w:lang w:val="fr-FR"/>
              </w:rPr>
            </w:pPr>
            <w:r w:rsidRPr="006E3020">
              <w:rPr>
                <w:color w:val="000000"/>
                <w:sz w:val="20"/>
                <w:lang w:val="fr-FR"/>
              </w:rPr>
              <w:t>1</w:t>
            </w:r>
            <w:r w:rsidR="00C95548">
              <w:rPr>
                <w:color w:val="000000"/>
                <w:sz w:val="20"/>
                <w:lang w:val="fr-FR"/>
              </w:rPr>
              <w:t> 358 </w:t>
            </w:r>
            <w:r w:rsidRPr="006E3020">
              <w:rPr>
                <w:color w:val="000000"/>
                <w:sz w:val="20"/>
                <w:lang w:val="fr-FR"/>
              </w:rPr>
              <w:t>639</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5CBF413F" w14:textId="77777777" w:rsidR="00B4447D" w:rsidRPr="006E3020" w:rsidRDefault="00B4447D" w:rsidP="00C072C9">
            <w:pPr>
              <w:jc w:val="right"/>
              <w:rPr>
                <w:color w:val="000000"/>
                <w:sz w:val="20"/>
                <w:lang w:val="fr-FR"/>
              </w:rPr>
            </w:pPr>
            <w:r w:rsidRPr="006E3020">
              <w:rPr>
                <w:color w:val="000000"/>
                <w:sz w:val="20"/>
                <w:lang w:val="fr-FR"/>
              </w:rPr>
              <w:t>431,0</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30370792" w14:textId="77777777" w:rsidR="00B4447D" w:rsidRPr="006E3020" w:rsidRDefault="00B4447D" w:rsidP="00C072C9">
            <w:pPr>
              <w:jc w:val="right"/>
              <w:rPr>
                <w:color w:val="000000"/>
                <w:sz w:val="20"/>
                <w:lang w:val="fr-FR"/>
              </w:rPr>
            </w:pPr>
            <w:r w:rsidRPr="006E3020">
              <w:rPr>
                <w:color w:val="000000"/>
                <w:sz w:val="20"/>
                <w:lang w:val="fr-FR"/>
              </w:rPr>
              <w:t>94,3</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4A2A4547" w14:textId="77777777" w:rsidR="00B4447D" w:rsidRPr="006E3020" w:rsidRDefault="00B4447D" w:rsidP="00C072C9">
            <w:pPr>
              <w:jc w:val="right"/>
              <w:rPr>
                <w:color w:val="000000"/>
                <w:sz w:val="20"/>
                <w:lang w:val="fr-FR"/>
              </w:rPr>
            </w:pPr>
            <w:r w:rsidRPr="006E3020">
              <w:rPr>
                <w:color w:val="000000"/>
                <w:sz w:val="20"/>
                <w:lang w:val="fr-FR"/>
              </w:rPr>
              <w:t>30</w:t>
            </w:r>
          </w:p>
        </w:tc>
      </w:tr>
      <w:tr w:rsidR="00B4447D" w:rsidRPr="006E3020" w14:paraId="04EB406C"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hideMark/>
          </w:tcPr>
          <w:p w14:paraId="5C483868" w14:textId="77777777" w:rsidR="00B4447D" w:rsidRPr="006E3020" w:rsidRDefault="00B4447D" w:rsidP="00C072C9">
            <w:pPr>
              <w:jc w:val="left"/>
              <w:rPr>
                <w:color w:val="000000"/>
                <w:sz w:val="20"/>
                <w:lang w:val="fr-FR"/>
              </w:rPr>
            </w:pPr>
            <w:r w:rsidRPr="006E3020">
              <w:rPr>
                <w:color w:val="000000"/>
                <w:sz w:val="20"/>
                <w:lang w:val="fr-FR"/>
              </w:rPr>
              <w:t>PNUD</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9A8DF5F" w14:textId="52ECB123" w:rsidR="00B4447D" w:rsidRPr="006E3020" w:rsidRDefault="00B4447D" w:rsidP="00C072C9">
            <w:pPr>
              <w:jc w:val="right"/>
              <w:rPr>
                <w:color w:val="000000"/>
                <w:sz w:val="20"/>
                <w:lang w:val="fr-FR"/>
              </w:rPr>
            </w:pPr>
            <w:r w:rsidRPr="006E3020">
              <w:rPr>
                <w:color w:val="000000"/>
                <w:sz w:val="20"/>
                <w:lang w:val="fr-FR"/>
              </w:rPr>
              <w:t>4</w:t>
            </w:r>
            <w:r w:rsidR="00C95548">
              <w:rPr>
                <w:color w:val="000000"/>
                <w:sz w:val="20"/>
                <w:lang w:val="fr-FR"/>
              </w:rPr>
              <w:t> 406 </w:t>
            </w:r>
            <w:r w:rsidRPr="006E3020">
              <w:rPr>
                <w:color w:val="000000"/>
                <w:sz w:val="20"/>
                <w:lang w:val="fr-FR"/>
              </w:rPr>
              <w:t>420</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E8E2770" w14:textId="0BDF7235" w:rsidR="00B4447D" w:rsidRPr="006E3020" w:rsidRDefault="00B4447D" w:rsidP="00C072C9">
            <w:pPr>
              <w:jc w:val="right"/>
              <w:rPr>
                <w:color w:val="000000"/>
                <w:sz w:val="20"/>
                <w:lang w:val="fr-FR"/>
              </w:rPr>
            </w:pPr>
            <w:r w:rsidRPr="006E3020">
              <w:rPr>
                <w:color w:val="000000"/>
                <w:sz w:val="20"/>
                <w:lang w:val="fr-FR"/>
              </w:rPr>
              <w:t>4</w:t>
            </w:r>
            <w:r w:rsidR="00C95548">
              <w:rPr>
                <w:color w:val="000000"/>
                <w:sz w:val="20"/>
                <w:lang w:val="fr-FR"/>
              </w:rPr>
              <w:t> 333 </w:t>
            </w:r>
            <w:r w:rsidRPr="006E3020">
              <w:rPr>
                <w:color w:val="000000"/>
                <w:sz w:val="20"/>
                <w:lang w:val="fr-FR"/>
              </w:rPr>
              <w:t>433</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E8BCB0D" w14:textId="77777777" w:rsidR="00B4447D" w:rsidRPr="006E3020" w:rsidRDefault="00B4447D" w:rsidP="00C072C9">
            <w:pPr>
              <w:jc w:val="right"/>
              <w:rPr>
                <w:color w:val="000000"/>
                <w:sz w:val="20"/>
                <w:lang w:val="fr-FR"/>
              </w:rPr>
            </w:pPr>
            <w:r w:rsidRPr="006E3020">
              <w:rPr>
                <w:color w:val="000000"/>
                <w:sz w:val="20"/>
                <w:lang w:val="fr-FR"/>
              </w:rPr>
              <w:t>24,5</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3F9A9FD" w14:textId="77777777" w:rsidR="00B4447D" w:rsidRPr="006E3020" w:rsidRDefault="00B4447D" w:rsidP="00C072C9">
            <w:pPr>
              <w:jc w:val="right"/>
              <w:rPr>
                <w:color w:val="000000"/>
                <w:sz w:val="20"/>
                <w:lang w:val="fr-FR"/>
              </w:rPr>
            </w:pPr>
            <w:r w:rsidRPr="006E3020">
              <w:rPr>
                <w:color w:val="000000"/>
                <w:sz w:val="20"/>
                <w:lang w:val="fr-FR"/>
              </w:rPr>
              <w:t>24,5</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BFAF08E" w14:textId="77777777" w:rsidR="00B4447D" w:rsidRPr="006E3020" w:rsidRDefault="00B4447D" w:rsidP="00C072C9">
            <w:pPr>
              <w:jc w:val="right"/>
              <w:rPr>
                <w:color w:val="000000"/>
                <w:sz w:val="20"/>
                <w:lang w:val="fr-FR"/>
              </w:rPr>
            </w:pPr>
            <w:r w:rsidRPr="006E3020">
              <w:rPr>
                <w:color w:val="000000"/>
                <w:sz w:val="20"/>
                <w:lang w:val="fr-FR"/>
              </w:rPr>
              <w:t>22</w:t>
            </w:r>
          </w:p>
        </w:tc>
      </w:tr>
      <w:tr w:rsidR="00B4447D" w:rsidRPr="006E3020" w14:paraId="7BF828CD"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tcPr>
          <w:p w14:paraId="501311A0" w14:textId="77777777" w:rsidR="00B4447D" w:rsidRPr="006E3020" w:rsidRDefault="00B4447D" w:rsidP="00C072C9">
            <w:pPr>
              <w:jc w:val="left"/>
              <w:rPr>
                <w:color w:val="000000"/>
                <w:sz w:val="20"/>
                <w:lang w:val="fr-FR"/>
              </w:rPr>
            </w:pPr>
            <w:r w:rsidRPr="006E3020">
              <w:rPr>
                <w:color w:val="000000"/>
                <w:sz w:val="20"/>
                <w:lang w:val="fr-FR"/>
              </w:rPr>
              <w:t>PNUE</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06980F47" w14:textId="6AD45C58" w:rsidR="00B4447D" w:rsidRPr="006E3020" w:rsidRDefault="00B4447D" w:rsidP="00C072C9">
            <w:pPr>
              <w:jc w:val="right"/>
              <w:rPr>
                <w:color w:val="000000"/>
                <w:sz w:val="20"/>
                <w:lang w:val="fr-FR"/>
              </w:rPr>
            </w:pPr>
            <w:r w:rsidRPr="006E3020">
              <w:rPr>
                <w:color w:val="000000"/>
                <w:sz w:val="20"/>
                <w:lang w:val="fr-FR"/>
              </w:rPr>
              <w:t>6</w:t>
            </w:r>
            <w:r w:rsidR="0013475C">
              <w:rPr>
                <w:color w:val="000000"/>
                <w:sz w:val="20"/>
                <w:lang w:val="fr-FR"/>
              </w:rPr>
              <w:t> 099 </w:t>
            </w:r>
            <w:r w:rsidRPr="006E3020">
              <w:rPr>
                <w:color w:val="000000"/>
                <w:sz w:val="20"/>
                <w:lang w:val="fr-FR"/>
              </w:rPr>
              <w:t>473</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128EDCB4" w14:textId="1ED2EA2F" w:rsidR="00B4447D" w:rsidRPr="006E3020" w:rsidRDefault="00B4447D" w:rsidP="00C072C9">
            <w:pPr>
              <w:jc w:val="right"/>
              <w:rPr>
                <w:color w:val="000000"/>
                <w:sz w:val="20"/>
                <w:lang w:val="fr-FR"/>
              </w:rPr>
            </w:pPr>
            <w:r w:rsidRPr="006E3020">
              <w:rPr>
                <w:color w:val="000000"/>
                <w:sz w:val="20"/>
                <w:lang w:val="fr-FR"/>
              </w:rPr>
              <w:t>5</w:t>
            </w:r>
            <w:r w:rsidR="0013475C">
              <w:rPr>
                <w:color w:val="000000"/>
                <w:sz w:val="20"/>
                <w:lang w:val="fr-FR"/>
              </w:rPr>
              <w:t> 207 </w:t>
            </w:r>
            <w:r w:rsidRPr="006E3020">
              <w:rPr>
                <w:color w:val="000000"/>
                <w:sz w:val="20"/>
                <w:lang w:val="fr-FR"/>
              </w:rPr>
              <w:t>833</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0DB5AAED" w14:textId="77777777" w:rsidR="00B4447D" w:rsidRPr="006E3020" w:rsidRDefault="00B4447D" w:rsidP="00C072C9">
            <w:pPr>
              <w:jc w:val="right"/>
              <w:rPr>
                <w:color w:val="000000"/>
                <w:sz w:val="20"/>
                <w:lang w:val="fr-FR"/>
              </w:rPr>
            </w:pPr>
            <w:r w:rsidRPr="006E3020">
              <w:rPr>
                <w:color w:val="000000"/>
                <w:sz w:val="20"/>
                <w:lang w:val="fr-FR"/>
              </w:rPr>
              <w:t>15,0</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0D6B0F28" w14:textId="77777777" w:rsidR="00B4447D" w:rsidRPr="006E3020" w:rsidRDefault="00B4447D" w:rsidP="00C072C9">
            <w:pPr>
              <w:jc w:val="right"/>
              <w:rPr>
                <w:color w:val="000000"/>
                <w:sz w:val="20"/>
                <w:lang w:val="fr-FR"/>
              </w:rPr>
            </w:pPr>
            <w:r w:rsidRPr="006E3020">
              <w:rPr>
                <w:color w:val="000000"/>
                <w:sz w:val="20"/>
                <w:lang w:val="fr-FR"/>
              </w:rPr>
              <w:t>15,0</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tcPr>
          <w:p w14:paraId="5F3128D4" w14:textId="77777777" w:rsidR="00B4447D" w:rsidRPr="006E3020" w:rsidRDefault="00B4447D" w:rsidP="00C072C9">
            <w:pPr>
              <w:jc w:val="right"/>
              <w:rPr>
                <w:color w:val="000000"/>
                <w:sz w:val="20"/>
                <w:lang w:val="fr-FR"/>
              </w:rPr>
            </w:pPr>
            <w:r w:rsidRPr="006E3020">
              <w:rPr>
                <w:color w:val="000000"/>
                <w:sz w:val="20"/>
                <w:lang w:val="fr-FR"/>
              </w:rPr>
              <w:t>43</w:t>
            </w:r>
          </w:p>
        </w:tc>
      </w:tr>
      <w:tr w:rsidR="00B4447D" w:rsidRPr="006E3020" w14:paraId="400159BE"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hideMark/>
          </w:tcPr>
          <w:p w14:paraId="7A422DDD" w14:textId="77777777" w:rsidR="00B4447D" w:rsidRPr="006E3020" w:rsidRDefault="00B4447D" w:rsidP="00C072C9">
            <w:pPr>
              <w:jc w:val="left"/>
              <w:rPr>
                <w:color w:val="000000"/>
                <w:sz w:val="20"/>
                <w:lang w:val="fr-FR"/>
              </w:rPr>
            </w:pPr>
            <w:r w:rsidRPr="006E3020">
              <w:rPr>
                <w:color w:val="000000"/>
                <w:sz w:val="20"/>
                <w:lang w:val="fr-FR"/>
              </w:rPr>
              <w:t>ONUDI</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7E67EFB" w14:textId="64CE79FD" w:rsidR="00B4447D" w:rsidRPr="006E3020" w:rsidRDefault="00B4447D" w:rsidP="00C072C9">
            <w:pPr>
              <w:jc w:val="right"/>
              <w:rPr>
                <w:color w:val="000000"/>
                <w:sz w:val="20"/>
                <w:lang w:val="fr-FR"/>
              </w:rPr>
            </w:pPr>
            <w:r w:rsidRPr="006E3020">
              <w:rPr>
                <w:color w:val="000000"/>
                <w:sz w:val="20"/>
                <w:lang w:val="fr-FR"/>
              </w:rPr>
              <w:t>14</w:t>
            </w:r>
            <w:r w:rsidR="0013475C">
              <w:rPr>
                <w:color w:val="000000"/>
                <w:sz w:val="20"/>
                <w:lang w:val="fr-FR"/>
              </w:rPr>
              <w:t> 789 </w:t>
            </w:r>
            <w:r w:rsidRPr="006E3020">
              <w:rPr>
                <w:color w:val="000000"/>
                <w:sz w:val="20"/>
                <w:lang w:val="fr-FR"/>
              </w:rPr>
              <w:t>339</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0A23B3A" w14:textId="6625FF92" w:rsidR="00B4447D" w:rsidRPr="006E3020" w:rsidRDefault="00B4447D" w:rsidP="00C072C9">
            <w:pPr>
              <w:jc w:val="right"/>
              <w:rPr>
                <w:color w:val="000000"/>
                <w:sz w:val="20"/>
                <w:lang w:val="fr-FR"/>
              </w:rPr>
            </w:pPr>
            <w:r w:rsidRPr="006E3020">
              <w:rPr>
                <w:color w:val="000000"/>
                <w:sz w:val="20"/>
                <w:lang w:val="fr-FR"/>
              </w:rPr>
              <w:t>14</w:t>
            </w:r>
            <w:r w:rsidR="0013475C">
              <w:rPr>
                <w:color w:val="000000"/>
                <w:sz w:val="20"/>
                <w:lang w:val="fr-FR"/>
              </w:rPr>
              <w:t> 728 </w:t>
            </w:r>
            <w:r w:rsidRPr="006E3020">
              <w:rPr>
                <w:color w:val="000000"/>
                <w:sz w:val="20"/>
                <w:lang w:val="fr-FR"/>
              </w:rPr>
              <w:t>789</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AC6E3F5" w14:textId="21E4C260" w:rsidR="00B4447D" w:rsidRPr="006E3020" w:rsidRDefault="00B4447D" w:rsidP="00C072C9">
            <w:pPr>
              <w:jc w:val="right"/>
              <w:rPr>
                <w:color w:val="000000"/>
                <w:sz w:val="20"/>
                <w:lang w:val="fr-FR"/>
              </w:rPr>
            </w:pPr>
            <w:r w:rsidRPr="006E3020">
              <w:rPr>
                <w:color w:val="000000"/>
                <w:sz w:val="20"/>
                <w:lang w:val="fr-FR"/>
              </w:rPr>
              <w:t>1</w:t>
            </w:r>
            <w:r w:rsidR="0013475C">
              <w:rPr>
                <w:color w:val="000000"/>
                <w:sz w:val="20"/>
                <w:lang w:val="fr-FR"/>
              </w:rPr>
              <w:t> </w:t>
            </w:r>
            <w:r w:rsidRPr="006E3020">
              <w:rPr>
                <w:color w:val="000000"/>
                <w:sz w:val="20"/>
                <w:lang w:val="fr-FR"/>
              </w:rPr>
              <w:t>213,8</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B23F736" w14:textId="3AE2B223" w:rsidR="00B4447D" w:rsidRPr="006E3020" w:rsidRDefault="00B4447D" w:rsidP="00C072C9">
            <w:pPr>
              <w:jc w:val="right"/>
              <w:rPr>
                <w:color w:val="000000"/>
                <w:sz w:val="20"/>
                <w:lang w:val="fr-FR"/>
              </w:rPr>
            </w:pPr>
            <w:r w:rsidRPr="006E3020">
              <w:rPr>
                <w:color w:val="000000"/>
                <w:sz w:val="20"/>
                <w:lang w:val="fr-FR"/>
              </w:rPr>
              <w:t>1</w:t>
            </w:r>
            <w:r w:rsidR="0013475C">
              <w:rPr>
                <w:color w:val="000000"/>
                <w:sz w:val="20"/>
                <w:lang w:val="fr-FR"/>
              </w:rPr>
              <w:t> </w:t>
            </w:r>
            <w:r w:rsidRPr="006E3020">
              <w:rPr>
                <w:color w:val="000000"/>
                <w:sz w:val="20"/>
                <w:lang w:val="fr-FR"/>
              </w:rPr>
              <w:t>296,8</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DCF97DA" w14:textId="77777777" w:rsidR="00B4447D" w:rsidRPr="006E3020" w:rsidRDefault="00B4447D" w:rsidP="00C072C9">
            <w:pPr>
              <w:jc w:val="right"/>
              <w:rPr>
                <w:color w:val="000000"/>
                <w:sz w:val="20"/>
                <w:lang w:val="fr-FR"/>
              </w:rPr>
            </w:pPr>
            <w:r w:rsidRPr="006E3020">
              <w:rPr>
                <w:color w:val="000000"/>
                <w:sz w:val="20"/>
                <w:lang w:val="fr-FR"/>
              </w:rPr>
              <w:t>0</w:t>
            </w:r>
          </w:p>
        </w:tc>
      </w:tr>
      <w:tr w:rsidR="00B4447D" w:rsidRPr="006E3020" w14:paraId="5B0B17AD"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hideMark/>
          </w:tcPr>
          <w:p w14:paraId="0EDC95CF" w14:textId="77777777" w:rsidR="00B4447D" w:rsidRPr="006E3020" w:rsidRDefault="00B4447D" w:rsidP="00C072C9">
            <w:pPr>
              <w:jc w:val="left"/>
              <w:rPr>
                <w:color w:val="000000"/>
                <w:sz w:val="20"/>
                <w:lang w:val="fr-FR"/>
              </w:rPr>
            </w:pPr>
            <w:r w:rsidRPr="006E3020">
              <w:rPr>
                <w:color w:val="000000"/>
                <w:sz w:val="20"/>
                <w:lang w:val="fr-FR"/>
              </w:rPr>
              <w:t>Banque mondiale</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F6BDA20" w14:textId="091C82B5" w:rsidR="00B4447D" w:rsidRPr="006E3020" w:rsidRDefault="00B4447D" w:rsidP="00C072C9">
            <w:pPr>
              <w:jc w:val="right"/>
              <w:rPr>
                <w:color w:val="000000"/>
                <w:sz w:val="20"/>
                <w:lang w:val="fr-FR"/>
              </w:rPr>
            </w:pPr>
            <w:r w:rsidRPr="006E3020">
              <w:rPr>
                <w:color w:val="000000"/>
                <w:sz w:val="20"/>
                <w:lang w:val="fr-FR"/>
              </w:rPr>
              <w:t>18</w:t>
            </w:r>
            <w:r w:rsidR="0013475C">
              <w:rPr>
                <w:color w:val="000000"/>
                <w:sz w:val="20"/>
                <w:lang w:val="fr-FR"/>
              </w:rPr>
              <w:t> 108 </w:t>
            </w:r>
            <w:r w:rsidRPr="006E3020">
              <w:rPr>
                <w:color w:val="000000"/>
                <w:sz w:val="20"/>
                <w:lang w:val="fr-FR"/>
              </w:rPr>
              <w:t>630</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79BD2BF" w14:textId="149A1255" w:rsidR="00B4447D" w:rsidRPr="006E3020" w:rsidRDefault="00B4447D" w:rsidP="00C072C9">
            <w:pPr>
              <w:jc w:val="right"/>
              <w:rPr>
                <w:color w:val="000000"/>
                <w:sz w:val="20"/>
                <w:lang w:val="fr-FR"/>
              </w:rPr>
            </w:pPr>
            <w:r w:rsidRPr="006E3020">
              <w:rPr>
                <w:color w:val="000000"/>
                <w:sz w:val="20"/>
                <w:lang w:val="fr-FR"/>
              </w:rPr>
              <w:t>16</w:t>
            </w:r>
            <w:r w:rsidR="0013475C">
              <w:rPr>
                <w:color w:val="000000"/>
                <w:sz w:val="20"/>
                <w:lang w:val="fr-FR"/>
              </w:rPr>
              <w:t> 924 </w:t>
            </w:r>
            <w:r w:rsidRPr="006E3020">
              <w:rPr>
                <w:color w:val="000000"/>
                <w:sz w:val="20"/>
                <w:lang w:val="fr-FR"/>
              </w:rPr>
              <w:t>008</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FF0AA0D" w14:textId="77777777" w:rsidR="00B4447D" w:rsidRPr="006E3020" w:rsidRDefault="00B4447D" w:rsidP="00C072C9">
            <w:pPr>
              <w:jc w:val="right"/>
              <w:rPr>
                <w:color w:val="000000"/>
                <w:sz w:val="20"/>
                <w:lang w:val="fr-FR"/>
              </w:rPr>
            </w:pPr>
            <w:r w:rsidRPr="006E3020">
              <w:rPr>
                <w:color w:val="000000"/>
                <w:sz w:val="20"/>
                <w:lang w:val="fr-FR"/>
              </w:rPr>
              <w:t>234,7</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EB88531" w14:textId="77777777" w:rsidR="00B4447D" w:rsidRPr="006E3020" w:rsidRDefault="00B4447D" w:rsidP="00C072C9">
            <w:pPr>
              <w:jc w:val="right"/>
              <w:rPr>
                <w:color w:val="000000"/>
                <w:sz w:val="20"/>
                <w:lang w:val="fr-FR"/>
              </w:rPr>
            </w:pPr>
            <w:r w:rsidRPr="006E3020">
              <w:rPr>
                <w:color w:val="000000"/>
                <w:sz w:val="20"/>
                <w:lang w:val="fr-FR"/>
              </w:rPr>
              <w:t>159,7</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7DAAC27" w14:textId="77777777" w:rsidR="00B4447D" w:rsidRPr="006E3020" w:rsidRDefault="00B4447D" w:rsidP="00C072C9">
            <w:pPr>
              <w:jc w:val="right"/>
              <w:rPr>
                <w:color w:val="000000"/>
                <w:sz w:val="20"/>
                <w:lang w:val="fr-FR"/>
              </w:rPr>
            </w:pPr>
            <w:r w:rsidRPr="006E3020">
              <w:rPr>
                <w:color w:val="000000"/>
                <w:sz w:val="20"/>
                <w:lang w:val="fr-FR"/>
              </w:rPr>
              <w:t>N/A</w:t>
            </w:r>
          </w:p>
        </w:tc>
      </w:tr>
      <w:tr w:rsidR="00B4447D" w:rsidRPr="006E3020" w14:paraId="37CE467C" w14:textId="77777777" w:rsidTr="00C072C9">
        <w:trPr>
          <w:trHeight w:val="244"/>
        </w:trPr>
        <w:tc>
          <w:tcPr>
            <w:tcW w:w="747" w:type="pct"/>
            <w:tcBorders>
              <w:top w:val="nil"/>
              <w:left w:val="single" w:sz="4" w:space="0" w:color="auto"/>
              <w:bottom w:val="single" w:sz="4" w:space="0" w:color="auto"/>
              <w:right w:val="single" w:sz="4" w:space="0" w:color="auto"/>
            </w:tcBorders>
            <w:noWrap/>
            <w:vAlign w:val="bottom"/>
            <w:hideMark/>
          </w:tcPr>
          <w:p w14:paraId="53983AF0" w14:textId="77777777" w:rsidR="00B4447D" w:rsidRPr="006E3020" w:rsidRDefault="00B4447D" w:rsidP="00C072C9">
            <w:pPr>
              <w:jc w:val="left"/>
              <w:rPr>
                <w:b/>
                <w:color w:val="000000"/>
                <w:sz w:val="20"/>
                <w:lang w:val="fr-FR"/>
              </w:rPr>
            </w:pPr>
            <w:r w:rsidRPr="006E3020">
              <w:rPr>
                <w:b/>
                <w:bCs/>
                <w:color w:val="000000"/>
                <w:sz w:val="20"/>
                <w:lang w:val="fr-FR"/>
              </w:rPr>
              <w:t>Total</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219E308" w14:textId="138DCE7E" w:rsidR="00B4447D" w:rsidRPr="006E3020" w:rsidRDefault="00B4447D" w:rsidP="00C072C9">
            <w:pPr>
              <w:jc w:val="right"/>
              <w:rPr>
                <w:b/>
                <w:color w:val="000000"/>
                <w:sz w:val="20"/>
                <w:lang w:val="fr-FR"/>
              </w:rPr>
            </w:pPr>
            <w:r w:rsidRPr="006E3020">
              <w:rPr>
                <w:b/>
                <w:color w:val="000000"/>
                <w:sz w:val="20"/>
                <w:lang w:val="fr-FR"/>
              </w:rPr>
              <w:t>45</w:t>
            </w:r>
            <w:r w:rsidR="0013475C">
              <w:rPr>
                <w:b/>
                <w:color w:val="000000"/>
                <w:sz w:val="20"/>
                <w:lang w:val="fr-FR"/>
              </w:rPr>
              <w:t> 297 </w:t>
            </w:r>
            <w:r w:rsidRPr="006E3020">
              <w:rPr>
                <w:b/>
                <w:color w:val="000000"/>
                <w:sz w:val="20"/>
                <w:lang w:val="fr-FR"/>
              </w:rPr>
              <w:t>349</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6275538" w14:textId="659E2AF3" w:rsidR="00B4447D" w:rsidRPr="006E3020" w:rsidRDefault="00B4447D" w:rsidP="00C072C9">
            <w:pPr>
              <w:jc w:val="right"/>
              <w:rPr>
                <w:b/>
                <w:color w:val="000000"/>
                <w:sz w:val="20"/>
                <w:lang w:val="fr-FR"/>
              </w:rPr>
            </w:pPr>
            <w:r w:rsidRPr="006E3020">
              <w:rPr>
                <w:b/>
                <w:color w:val="000000"/>
                <w:sz w:val="20"/>
                <w:lang w:val="fr-FR"/>
              </w:rPr>
              <w:t>43</w:t>
            </w:r>
            <w:r w:rsidR="0013475C">
              <w:rPr>
                <w:b/>
                <w:color w:val="000000"/>
                <w:sz w:val="20"/>
                <w:lang w:val="fr-FR"/>
              </w:rPr>
              <w:t> 087 </w:t>
            </w:r>
            <w:r w:rsidRPr="006E3020">
              <w:rPr>
                <w:b/>
                <w:color w:val="000000"/>
                <w:sz w:val="20"/>
                <w:lang w:val="fr-FR"/>
              </w:rPr>
              <w:t>550</w:t>
            </w:r>
          </w:p>
        </w:tc>
        <w:tc>
          <w:tcPr>
            <w:tcW w:w="863"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DFCF85F" w14:textId="35928145" w:rsidR="00B4447D" w:rsidRPr="006E3020" w:rsidRDefault="00B4447D" w:rsidP="00C072C9">
            <w:pPr>
              <w:jc w:val="right"/>
              <w:rPr>
                <w:b/>
                <w:color w:val="000000"/>
                <w:sz w:val="20"/>
                <w:lang w:val="fr-FR"/>
              </w:rPr>
            </w:pPr>
            <w:r w:rsidRPr="006E3020">
              <w:rPr>
                <w:b/>
                <w:color w:val="000000"/>
                <w:sz w:val="20"/>
                <w:lang w:val="fr-FR"/>
              </w:rPr>
              <w:t>1</w:t>
            </w:r>
            <w:r w:rsidR="0013475C">
              <w:rPr>
                <w:b/>
                <w:color w:val="000000"/>
                <w:sz w:val="20"/>
                <w:lang w:val="fr-FR"/>
              </w:rPr>
              <w:t> </w:t>
            </w:r>
            <w:r w:rsidRPr="006E3020">
              <w:rPr>
                <w:b/>
                <w:color w:val="000000"/>
                <w:sz w:val="20"/>
                <w:lang w:val="fr-FR"/>
              </w:rPr>
              <w:t>945,9</w:t>
            </w:r>
          </w:p>
        </w:tc>
        <w:tc>
          <w:tcPr>
            <w:tcW w:w="864"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CD122BC" w14:textId="5C67CA4C" w:rsidR="00B4447D" w:rsidRPr="006E3020" w:rsidRDefault="00B4447D" w:rsidP="00C072C9">
            <w:pPr>
              <w:jc w:val="right"/>
              <w:rPr>
                <w:b/>
                <w:color w:val="000000"/>
                <w:sz w:val="20"/>
                <w:lang w:val="fr-FR"/>
              </w:rPr>
            </w:pPr>
            <w:r w:rsidRPr="006E3020">
              <w:rPr>
                <w:b/>
                <w:color w:val="000000"/>
                <w:sz w:val="20"/>
                <w:lang w:val="fr-FR"/>
              </w:rPr>
              <w:t>1</w:t>
            </w:r>
            <w:r w:rsidR="0013475C">
              <w:rPr>
                <w:b/>
                <w:color w:val="000000"/>
                <w:sz w:val="20"/>
                <w:lang w:val="fr-FR"/>
              </w:rPr>
              <w:t> </w:t>
            </w:r>
            <w:r w:rsidRPr="006E3020">
              <w:rPr>
                <w:b/>
                <w:color w:val="000000"/>
                <w:sz w:val="20"/>
                <w:lang w:val="fr-FR"/>
              </w:rPr>
              <w:t>617,2</w:t>
            </w:r>
          </w:p>
        </w:tc>
        <w:tc>
          <w:tcPr>
            <w:tcW w:w="799" w:type="pct"/>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E2E7869" w14:textId="77777777" w:rsidR="00B4447D" w:rsidRPr="006E3020" w:rsidRDefault="00B4447D" w:rsidP="00C072C9">
            <w:pPr>
              <w:jc w:val="right"/>
              <w:rPr>
                <w:b/>
                <w:color w:val="000000"/>
                <w:sz w:val="20"/>
                <w:lang w:val="fr-FR"/>
              </w:rPr>
            </w:pPr>
            <w:r w:rsidRPr="006E3020">
              <w:rPr>
                <w:b/>
                <w:color w:val="000000"/>
                <w:sz w:val="20"/>
                <w:lang w:val="fr-FR"/>
              </w:rPr>
              <w:t>24,6</w:t>
            </w:r>
          </w:p>
        </w:tc>
      </w:tr>
    </w:tbl>
    <w:p w14:paraId="7F72E3ED" w14:textId="77777777" w:rsidR="00B4447D" w:rsidRPr="006E3020" w:rsidRDefault="00B4447D" w:rsidP="00B4447D">
      <w:pPr>
        <w:rPr>
          <w:sz w:val="20"/>
          <w:szCs w:val="20"/>
          <w:lang w:val="fr-FR"/>
        </w:rPr>
      </w:pPr>
    </w:p>
    <w:p w14:paraId="759EF5FA" w14:textId="77777777" w:rsidR="00B4447D" w:rsidRPr="006E3020" w:rsidRDefault="00B4447D" w:rsidP="00B4447D">
      <w:pPr>
        <w:spacing w:before="120" w:after="240"/>
        <w:rPr>
          <w:b/>
          <w:szCs w:val="20"/>
          <w:lang w:val="fr-FR"/>
        </w:rPr>
      </w:pPr>
      <w:r w:rsidRPr="006E3020">
        <w:rPr>
          <w:b/>
          <w:szCs w:val="20"/>
          <w:lang w:val="fr-FR"/>
        </w:rPr>
        <w:t>Raisons des retards</w:t>
      </w:r>
    </w:p>
    <w:p w14:paraId="6E4F73D3" w14:textId="7B7565AF" w:rsidR="00B4447D" w:rsidRPr="006E3020" w:rsidRDefault="00B4447D" w:rsidP="00B4447D">
      <w:pPr>
        <w:pStyle w:val="Heading1"/>
        <w:numPr>
          <w:ilvl w:val="0"/>
          <w:numId w:val="23"/>
        </w:numPr>
        <w:spacing w:before="240"/>
        <w:rPr>
          <w:lang w:val="fr-FR"/>
        </w:rPr>
      </w:pPr>
      <w:r w:rsidRPr="006E3020">
        <w:rPr>
          <w:lang w:val="fr-FR"/>
        </w:rPr>
        <w:t>La conception et la planification des projets sont des motifs fréquents de retard. Des lourdeurs administratives, comme des retards de paiement dus à des modifications du système administratif du PNUE (UMOJA) ou des retards dans la signature des accords avec les gouvernements concernés à cause, entre autre</w:t>
      </w:r>
      <w:r w:rsidR="00E50D8F">
        <w:rPr>
          <w:lang w:val="fr-FR"/>
        </w:rPr>
        <w:t>s</w:t>
      </w:r>
      <w:r w:rsidR="00DB0D1E">
        <w:rPr>
          <w:lang w:val="fr-FR"/>
        </w:rPr>
        <w:t>,</w:t>
      </w:r>
      <w:r w:rsidRPr="006E3020">
        <w:rPr>
          <w:lang w:val="fr-FR"/>
        </w:rPr>
        <w:t xml:space="preserve"> d’instabilité politique constituent des motifs fréquents de retard. </w:t>
      </w:r>
    </w:p>
    <w:p w14:paraId="791B572A" w14:textId="2AA53156" w:rsidR="00B4447D" w:rsidRPr="006E3020" w:rsidRDefault="00B4447D" w:rsidP="00B4447D">
      <w:pPr>
        <w:pStyle w:val="Heading1"/>
        <w:numPr>
          <w:ilvl w:val="0"/>
          <w:numId w:val="23"/>
        </w:numPr>
        <w:spacing w:before="240"/>
        <w:rPr>
          <w:lang w:val="fr-FR"/>
        </w:rPr>
      </w:pPr>
      <w:r w:rsidRPr="006E3020">
        <w:rPr>
          <w:lang w:val="fr-FR"/>
        </w:rPr>
        <w:t>La mise en œuvre d’un projet en particulier a été retardée en raison de la complexité de celui-ci</w:t>
      </w:r>
      <w:r w:rsidR="00C717F6">
        <w:rPr>
          <w:lang w:val="fr-FR"/>
        </w:rPr>
        <w:t>,</w:t>
      </w:r>
      <w:r w:rsidRPr="006E3020">
        <w:rPr>
          <w:lang w:val="fr-FR"/>
        </w:rPr>
        <w:t xml:space="preserve"> car il impliquait un certain nombre de parties prenantes interdépendantes (c.-à-d. </w:t>
      </w:r>
      <w:r w:rsidR="003A0E27">
        <w:rPr>
          <w:lang w:val="fr-FR"/>
        </w:rPr>
        <w:t>d</w:t>
      </w:r>
      <w:r w:rsidRPr="006E3020">
        <w:rPr>
          <w:lang w:val="fr-FR"/>
        </w:rPr>
        <w:t>es agriculteurs, des entreprises de l</w:t>
      </w:r>
      <w:r w:rsidR="0025526A">
        <w:rPr>
          <w:lang w:val="fr-FR"/>
        </w:rPr>
        <w:t>’</w:t>
      </w:r>
      <w:r w:rsidRPr="006E3020">
        <w:rPr>
          <w:lang w:val="fr-FR"/>
        </w:rPr>
        <w:t>industrie chimique, des institutions de recherche et développement, des prestataires de services et des décideurs politiques). Des problèmes législatifs affectent aussi négativement le calendrier des projets</w:t>
      </w:r>
      <w:r w:rsidR="00C717F6">
        <w:rPr>
          <w:lang w:val="fr-FR"/>
        </w:rPr>
        <w:t>,</w:t>
      </w:r>
      <w:r w:rsidRPr="006E3020">
        <w:rPr>
          <w:lang w:val="fr-FR"/>
        </w:rPr>
        <w:t xml:space="preserve"> car les Unités nationales d’ozone (UNO) n’ont qu’une maîtrise limitée de ces enjeux. L’instabilité politique peut aussi affecter la mise en œuvre d’un projet. Par exemple, des difficultés politiques telles que le dialogue entre l’Afghanistan et le Pakistan, planifié pendant l’étape I du plan de gestion de l’élimination du HCFC (PGEH) organisé dans un troisième pays neutre (la Thaïlande). </w:t>
      </w:r>
    </w:p>
    <w:p w14:paraId="28EBEDA8" w14:textId="22BCAE93" w:rsidR="00B4447D" w:rsidRPr="006E3020" w:rsidRDefault="00B4447D" w:rsidP="00B4447D">
      <w:pPr>
        <w:pStyle w:val="Heading1"/>
        <w:numPr>
          <w:ilvl w:val="0"/>
          <w:numId w:val="23"/>
        </w:numPr>
        <w:spacing w:before="240"/>
        <w:rPr>
          <w:lang w:val="fr-FR"/>
        </w:rPr>
      </w:pPr>
      <w:r w:rsidRPr="006E3020">
        <w:rPr>
          <w:lang w:val="fr-FR"/>
        </w:rPr>
        <w:t>L’insuffisance des effectifs au niveau du gouvernement est une autre raison récurrente de retard et affecte directement les actions liées aux projets. Dans un cas, la mise en œuvre des activités a été très lente durant la seconde tranche du plan de gestion de l’élimination finale (PGEF), principalement en raison de deux changements consécutifs d</w:t>
      </w:r>
      <w:r w:rsidR="0025526A">
        <w:rPr>
          <w:lang w:val="fr-FR"/>
        </w:rPr>
        <w:t>’</w:t>
      </w:r>
      <w:r w:rsidRPr="006E3020">
        <w:rPr>
          <w:lang w:val="fr-FR"/>
        </w:rPr>
        <w:t xml:space="preserve">administrateur national de l’ozone. Un autre projet a rencontré des </w:t>
      </w:r>
      <w:r w:rsidRPr="006E3020">
        <w:rPr>
          <w:lang w:val="fr-FR"/>
        </w:rPr>
        <w:lastRenderedPageBreak/>
        <w:t xml:space="preserve">difficultés administratives depuis son approbation en raison du décès de l’administrateur national de l’ozone et du changement, deux fois en quatre ans, du responsable de l’Office public de l’environnement.  </w:t>
      </w:r>
    </w:p>
    <w:p w14:paraId="7E090232" w14:textId="6ACE7B58" w:rsidR="00B4447D" w:rsidRPr="006E3020" w:rsidRDefault="00B4447D" w:rsidP="00B4447D">
      <w:pPr>
        <w:pStyle w:val="Heading1"/>
        <w:numPr>
          <w:ilvl w:val="0"/>
          <w:numId w:val="23"/>
        </w:numPr>
        <w:spacing w:before="240"/>
        <w:rPr>
          <w:lang w:val="fr-FR"/>
        </w:rPr>
      </w:pPr>
      <w:r w:rsidRPr="006E3020">
        <w:rPr>
          <w:lang w:val="fr-FR"/>
        </w:rPr>
        <w:t>Les retards imputables aux entreprises sont dus, entre autre</w:t>
      </w:r>
      <w:r w:rsidR="00E50D8F">
        <w:rPr>
          <w:lang w:val="fr-FR"/>
        </w:rPr>
        <w:t>s</w:t>
      </w:r>
      <w:r w:rsidRPr="006E3020">
        <w:rPr>
          <w:lang w:val="fr-FR"/>
        </w:rPr>
        <w:t>, au</w:t>
      </w:r>
      <w:r w:rsidR="00D80A71">
        <w:rPr>
          <w:lang w:val="fr-FR"/>
        </w:rPr>
        <w:t>x</w:t>
      </w:r>
      <w:r w:rsidRPr="006E3020">
        <w:rPr>
          <w:lang w:val="fr-FR"/>
        </w:rPr>
        <w:t xml:space="preserve"> délai</w:t>
      </w:r>
      <w:r w:rsidR="00D80A71">
        <w:rPr>
          <w:lang w:val="fr-FR"/>
        </w:rPr>
        <w:t>s</w:t>
      </w:r>
      <w:r w:rsidRPr="006E3020">
        <w:rPr>
          <w:lang w:val="fr-FR"/>
        </w:rPr>
        <w:t xml:space="preserve"> supplémentaire</w:t>
      </w:r>
      <w:r w:rsidR="00D80A71">
        <w:rPr>
          <w:lang w:val="fr-FR"/>
        </w:rPr>
        <w:t>s</w:t>
      </w:r>
      <w:r w:rsidRPr="006E3020">
        <w:rPr>
          <w:lang w:val="fr-FR"/>
        </w:rPr>
        <w:t xml:space="preserve"> nécessaire</w:t>
      </w:r>
      <w:r w:rsidR="00D80A71">
        <w:rPr>
          <w:lang w:val="fr-FR"/>
        </w:rPr>
        <w:t>s</w:t>
      </w:r>
      <w:r w:rsidRPr="006E3020">
        <w:rPr>
          <w:lang w:val="fr-FR"/>
        </w:rPr>
        <w:t xml:space="preserve"> aux fabricants pour se convertir aux nouvelles technologies, mais aussi aux doutes et incertitudes des petites entreprises quant à la réaction du marché concernant les mousses sans SAO, malgré les efforts du gouvernement pour déjà sensibiliser à la future interdiction du HCFC-141b (deux ans avant sa mise en application)</w:t>
      </w:r>
      <w:r w:rsidR="00114E08">
        <w:rPr>
          <w:lang w:val="fr-FR"/>
        </w:rPr>
        <w:t> </w:t>
      </w:r>
      <w:r w:rsidRPr="006E3020">
        <w:rPr>
          <w:lang w:val="fr-FR"/>
        </w:rPr>
        <w:t xml:space="preserve">; enfin, la conversion décentralisée planifiée par chaque entreprise dans un pays donné qui ralentit la mise en œuvre dans son ensemble.  </w:t>
      </w:r>
    </w:p>
    <w:p w14:paraId="3AA632E6" w14:textId="77777777" w:rsidR="00B4447D" w:rsidRPr="006E3020" w:rsidRDefault="00B4447D" w:rsidP="00B4447D">
      <w:pPr>
        <w:pStyle w:val="Heading1"/>
        <w:numPr>
          <w:ilvl w:val="0"/>
          <w:numId w:val="23"/>
        </w:numPr>
        <w:spacing w:before="240"/>
        <w:rPr>
          <w:lang w:val="fr-FR"/>
        </w:rPr>
      </w:pPr>
      <w:r w:rsidRPr="006E3020">
        <w:rPr>
          <w:lang w:val="fr-FR"/>
        </w:rPr>
        <w:t xml:space="preserve">Les retards liés aux fournisseurs proviennent d’un manque d’équipement, à savoir l’accès à des compresseurs de difluorométhane (HFC-32) de grande capacité dans un cas, et dans un autre cas à l’impossibilité de se procurer l’équipement en Iran (République islamique d’) en raison de l’embargo sur le pays.  </w:t>
      </w:r>
    </w:p>
    <w:p w14:paraId="14FB696A" w14:textId="77777777" w:rsidR="00B4447D" w:rsidRPr="006E3020" w:rsidRDefault="00B4447D" w:rsidP="00B4447D">
      <w:pPr>
        <w:pStyle w:val="Heading1"/>
        <w:keepNext/>
        <w:numPr>
          <w:ilvl w:val="0"/>
          <w:numId w:val="0"/>
        </w:numPr>
        <w:tabs>
          <w:tab w:val="left" w:pos="720"/>
        </w:tabs>
        <w:rPr>
          <w:b/>
          <w:lang w:val="fr-FR"/>
        </w:rPr>
      </w:pPr>
      <w:r w:rsidRPr="006E3020">
        <w:rPr>
          <w:b/>
          <w:lang w:val="fr-FR"/>
        </w:rPr>
        <w:t>Enseignements tirés</w:t>
      </w:r>
      <w:r w:rsidRPr="006E3020">
        <w:rPr>
          <w:vertAlign w:val="superscript"/>
          <w:lang w:val="fr-FR"/>
        </w:rPr>
        <w:footnoteReference w:id="1"/>
      </w:r>
      <w:r w:rsidRPr="006E3020">
        <w:rPr>
          <w:lang w:val="fr-FR"/>
        </w:rPr>
        <w:t xml:space="preserve"> </w:t>
      </w:r>
    </w:p>
    <w:p w14:paraId="0C07C268" w14:textId="3A700366" w:rsidR="00B4447D" w:rsidRPr="006E3020" w:rsidRDefault="00B4447D" w:rsidP="00B4447D">
      <w:pPr>
        <w:pStyle w:val="Heading1"/>
        <w:numPr>
          <w:ilvl w:val="0"/>
          <w:numId w:val="23"/>
        </w:numPr>
        <w:spacing w:before="240"/>
        <w:rPr>
          <w:lang w:val="fr-FR"/>
        </w:rPr>
      </w:pPr>
      <w:bookmarkStart w:id="1" w:name="_Toc370910623"/>
      <w:bookmarkStart w:id="2" w:name="_Toc147920737"/>
      <w:bookmarkStart w:id="3" w:name="_Toc147387247"/>
      <w:bookmarkStart w:id="4" w:name="_Toc147305504"/>
      <w:bookmarkStart w:id="5" w:name="_Toc147305215"/>
      <w:bookmarkStart w:id="6" w:name="_Toc147292222"/>
      <w:bookmarkStart w:id="7" w:name="_Toc147283939"/>
      <w:bookmarkStart w:id="8" w:name="_Toc147217699"/>
      <w:bookmarkStart w:id="9" w:name="_Toc117922249"/>
      <w:bookmarkStart w:id="10" w:name="_Toc56412815"/>
      <w:r w:rsidRPr="006E3020">
        <w:rPr>
          <w:lang w:val="fr-FR"/>
        </w:rPr>
        <w:t>Un engagement fort du gouvernement et une équipe dédiée dans les institutions concernées sont des éléments cruciaux pour une élimination rapide et efficace. La coordination, la communication fréquente et la collaboration entre toutes les parties prenantes (c.-à-d., agences gouvernementales, agences d’exécution, associations industrielles et milieu universitaire), depuis la conception jusqu’à la mise en œuvre, sont essentielles pour assurer une mise en œuvre réussie des projets et sont mentionnées à plusieurs reprises par les agences d’exécution ainsi que leurs équivalents nationaux.</w:t>
      </w:r>
    </w:p>
    <w:p w14:paraId="20B9BA6B" w14:textId="2FE0FBDB" w:rsidR="00B4447D" w:rsidRPr="006E3020" w:rsidRDefault="00B4447D" w:rsidP="00B4447D">
      <w:pPr>
        <w:pStyle w:val="Heading1"/>
        <w:numPr>
          <w:ilvl w:val="0"/>
          <w:numId w:val="23"/>
        </w:numPr>
        <w:spacing w:before="240"/>
        <w:rPr>
          <w:lang w:val="fr-FR"/>
        </w:rPr>
      </w:pPr>
      <w:r w:rsidRPr="006E3020">
        <w:rPr>
          <w:lang w:val="fr-FR"/>
        </w:rPr>
        <w:t>Les enseignements tirés des conceptions de projet et des méthodes de mise en œuvre efficaces sont liés, entre autres, à l’utilité des projets de démonstration dans la conception des projets, les synergies et la flexibilité permise</w:t>
      </w:r>
      <w:r w:rsidR="001E5FE3">
        <w:rPr>
          <w:lang w:val="fr-FR"/>
        </w:rPr>
        <w:t>s</w:t>
      </w:r>
      <w:r w:rsidRPr="006E3020">
        <w:rPr>
          <w:lang w:val="fr-FR"/>
        </w:rPr>
        <w:t xml:space="preserve"> dans la conception de projets qui coïncident et la composante de su</w:t>
      </w:r>
      <w:r w:rsidR="001E5FE3">
        <w:rPr>
          <w:lang w:val="fr-FR"/>
        </w:rPr>
        <w:t>rveillance</w:t>
      </w:r>
      <w:r w:rsidRPr="006E3020">
        <w:rPr>
          <w:lang w:val="fr-FR"/>
        </w:rPr>
        <w:t xml:space="preserve">. </w:t>
      </w:r>
    </w:p>
    <w:p w14:paraId="10315BE9" w14:textId="7733E917" w:rsidR="00B4447D" w:rsidRPr="006E3020" w:rsidRDefault="00B4447D" w:rsidP="00B4447D">
      <w:pPr>
        <w:pStyle w:val="Heading1"/>
        <w:numPr>
          <w:ilvl w:val="0"/>
          <w:numId w:val="23"/>
        </w:numPr>
        <w:spacing w:before="240"/>
        <w:rPr>
          <w:lang w:val="fr-FR"/>
        </w:rPr>
      </w:pPr>
      <w:r w:rsidRPr="006E3020">
        <w:rPr>
          <w:lang w:val="fr-FR"/>
        </w:rPr>
        <w:t>Les projets de démonstration s’avèrent utiles même s</w:t>
      </w:r>
      <w:r w:rsidR="0025526A">
        <w:rPr>
          <w:lang w:val="fr-FR"/>
        </w:rPr>
        <w:t>’</w:t>
      </w:r>
      <w:r w:rsidRPr="006E3020">
        <w:rPr>
          <w:lang w:val="fr-FR"/>
        </w:rPr>
        <w:t xml:space="preserve">ils ne sont pas concluants, car ils servent de phase de préparation pour la recherche et la conception de projets et fournissent des enseignements qui allègent la charge de travail au moment de la phase de mise en œuvre des projets. </w:t>
      </w:r>
    </w:p>
    <w:p w14:paraId="509FC698" w14:textId="42847C82" w:rsidR="00B4447D" w:rsidRPr="006E3020" w:rsidRDefault="00B4447D" w:rsidP="00B4447D">
      <w:pPr>
        <w:pStyle w:val="Heading1"/>
        <w:numPr>
          <w:ilvl w:val="0"/>
          <w:numId w:val="23"/>
        </w:numPr>
        <w:spacing w:before="240"/>
        <w:rPr>
          <w:lang w:val="fr-FR"/>
        </w:rPr>
      </w:pPr>
      <w:r w:rsidRPr="006E3020">
        <w:rPr>
          <w:lang w:val="fr-FR"/>
        </w:rPr>
        <w:t xml:space="preserve">La collaboration entre plusieurs projets se révèle avantageuse, comme dans le cas de la coordination de la mise en œuvre du plan de production du bromure de méthyle (BM) et du plan d’élimination du BM qui s’est démontrée fondamentale pour créer les synergies nécessaires, en particulier dans des pays étendus (c.-à.-d. </w:t>
      </w:r>
      <w:r w:rsidR="00BE6F69">
        <w:rPr>
          <w:lang w:val="fr-FR"/>
        </w:rPr>
        <w:t>e</w:t>
      </w:r>
      <w:r w:rsidRPr="006E3020">
        <w:rPr>
          <w:lang w:val="fr-FR"/>
        </w:rPr>
        <w:t xml:space="preserve">n Chine). </w:t>
      </w:r>
    </w:p>
    <w:p w14:paraId="1C92A3F7" w14:textId="0480A0AF" w:rsidR="00B4447D" w:rsidRPr="006E3020" w:rsidRDefault="00B4447D" w:rsidP="00B4447D">
      <w:pPr>
        <w:pStyle w:val="Heading1"/>
        <w:numPr>
          <w:ilvl w:val="0"/>
          <w:numId w:val="23"/>
        </w:numPr>
        <w:spacing w:before="240"/>
        <w:rPr>
          <w:lang w:val="fr-FR"/>
        </w:rPr>
      </w:pPr>
      <w:r w:rsidRPr="006E3020">
        <w:rPr>
          <w:lang w:val="fr-FR"/>
        </w:rPr>
        <w:t>La conception d’un projet et l’affectation des fonds doi</w:t>
      </w:r>
      <w:r w:rsidR="00980EF0">
        <w:rPr>
          <w:lang w:val="fr-FR"/>
        </w:rPr>
        <w:t>ven</w:t>
      </w:r>
      <w:r w:rsidRPr="006E3020">
        <w:rPr>
          <w:lang w:val="fr-FR"/>
        </w:rPr>
        <w:t>t inclure un système de surveillance au niveau national pour superviser la distribution des activités et pour mesurer l’efficacité de la mise en œuvre. Cela faciliterait la soumission rapide des rapports d’avancement et une mise en œuvre sans problèmes des plans sectoriels et des plans de gestion de l’élimination (PGEH) et de la production du HCFC. La su</w:t>
      </w:r>
      <w:r w:rsidR="00E148CF">
        <w:rPr>
          <w:lang w:val="fr-FR"/>
        </w:rPr>
        <w:t>rveillance</w:t>
      </w:r>
      <w:r w:rsidRPr="006E3020">
        <w:rPr>
          <w:lang w:val="fr-FR"/>
        </w:rPr>
        <w:t xml:space="preserve"> du recyclage nécessite une mise en </w:t>
      </w:r>
      <w:r w:rsidR="00382701">
        <w:rPr>
          <w:lang w:val="fr-FR"/>
        </w:rPr>
        <w:t>application</w:t>
      </w:r>
      <w:r w:rsidRPr="006E3020">
        <w:rPr>
          <w:lang w:val="fr-FR"/>
        </w:rPr>
        <w:t xml:space="preserve"> physique qui n’est pas toujours envisageable, en particulier dans les pays les plus étendus.  </w:t>
      </w:r>
    </w:p>
    <w:p w14:paraId="40A9000A" w14:textId="08F8AB89" w:rsidR="00B4447D" w:rsidRPr="006E3020" w:rsidRDefault="00B4447D" w:rsidP="00B4447D">
      <w:pPr>
        <w:pStyle w:val="Heading1"/>
        <w:numPr>
          <w:ilvl w:val="0"/>
          <w:numId w:val="23"/>
        </w:numPr>
        <w:spacing w:before="240"/>
        <w:rPr>
          <w:lang w:val="fr-FR"/>
        </w:rPr>
      </w:pPr>
      <w:r w:rsidRPr="006E3020">
        <w:rPr>
          <w:lang w:val="fr-FR"/>
        </w:rPr>
        <w:t>De plus, une assistance technique à long terme et des systèmes de su</w:t>
      </w:r>
      <w:r w:rsidR="00E148CF">
        <w:rPr>
          <w:lang w:val="fr-FR"/>
        </w:rPr>
        <w:t>rveillance</w:t>
      </w:r>
      <w:r w:rsidRPr="006E3020">
        <w:rPr>
          <w:lang w:val="fr-FR"/>
        </w:rPr>
        <w:t xml:space="preserve"> sont nécessaires pour garantir la pérennité des technologies de remplacement mises en œuvre. Le budget de mise en œuvre et de supervision est souvent utilisé pour embaucher des consultants afin de coordonner la mise en place de ces activités. Quand ces activités rencontrent du retard, il </w:t>
      </w:r>
      <w:r w:rsidR="007B083F">
        <w:rPr>
          <w:lang w:val="fr-FR"/>
        </w:rPr>
        <w:t>arrive</w:t>
      </w:r>
      <w:r w:rsidRPr="006E3020">
        <w:rPr>
          <w:lang w:val="fr-FR"/>
        </w:rPr>
        <w:t xml:space="preserve"> que les consultants continuent à être payés</w:t>
      </w:r>
      <w:r w:rsidR="007B083F">
        <w:rPr>
          <w:lang w:val="fr-FR"/>
        </w:rPr>
        <w:t>,</w:t>
      </w:r>
      <w:r w:rsidRPr="006E3020">
        <w:rPr>
          <w:lang w:val="fr-FR"/>
        </w:rPr>
        <w:t xml:space="preserve"> entraînant un déséquilibre des budgets de mise en œuvre et de supervision au détriment des budgets dévolus </w:t>
      </w:r>
      <w:r w:rsidRPr="006E3020">
        <w:rPr>
          <w:lang w:val="fr-FR"/>
        </w:rPr>
        <w:lastRenderedPageBreak/>
        <w:t xml:space="preserve">aux activités de projet. </w:t>
      </w:r>
      <w:r w:rsidR="00AA4C6B">
        <w:rPr>
          <w:lang w:val="fr-FR"/>
        </w:rPr>
        <w:t>Il s’avère crucial de l</w:t>
      </w:r>
      <w:r w:rsidRPr="006E3020">
        <w:rPr>
          <w:lang w:val="fr-FR"/>
        </w:rPr>
        <w:t xml:space="preserve">ier plus directement les contrats et paiements associés à la mise en œuvre et </w:t>
      </w:r>
      <w:r w:rsidR="00AA4C6B">
        <w:rPr>
          <w:lang w:val="fr-FR"/>
        </w:rPr>
        <w:t xml:space="preserve">à </w:t>
      </w:r>
      <w:r w:rsidRPr="006E3020">
        <w:rPr>
          <w:lang w:val="fr-FR"/>
        </w:rPr>
        <w:t>la su</w:t>
      </w:r>
      <w:r w:rsidR="004D17E7">
        <w:rPr>
          <w:lang w:val="fr-FR"/>
        </w:rPr>
        <w:t>rveillance</w:t>
      </w:r>
      <w:r w:rsidRPr="006E3020">
        <w:rPr>
          <w:lang w:val="fr-FR"/>
        </w:rPr>
        <w:t xml:space="preserve"> locales avec les résultats attendus en livraison</w:t>
      </w:r>
      <w:r w:rsidR="00AA4C6B">
        <w:rPr>
          <w:lang w:val="fr-FR"/>
        </w:rPr>
        <w:t>.</w:t>
      </w:r>
    </w:p>
    <w:p w14:paraId="2E735A26" w14:textId="7CA27EB2" w:rsidR="00B4447D" w:rsidRPr="006E3020" w:rsidRDefault="00B4447D" w:rsidP="00B4447D">
      <w:pPr>
        <w:pStyle w:val="Heading1"/>
        <w:numPr>
          <w:ilvl w:val="0"/>
          <w:numId w:val="23"/>
        </w:numPr>
        <w:spacing w:before="240"/>
        <w:rPr>
          <w:lang w:val="fr-FR"/>
        </w:rPr>
      </w:pPr>
      <w:r w:rsidRPr="006E3020">
        <w:rPr>
          <w:lang w:val="fr-FR"/>
        </w:rPr>
        <w:t>En ce qui concerne le renforcement de la capacité, les enseignements tirés font référence, entre autres, à</w:t>
      </w:r>
      <w:r w:rsidR="00114E08">
        <w:rPr>
          <w:lang w:val="fr-FR"/>
        </w:rPr>
        <w:t> </w:t>
      </w:r>
      <w:r w:rsidRPr="006E3020">
        <w:rPr>
          <w:lang w:val="fr-FR"/>
        </w:rPr>
        <w:t>: une formation pratique, continue et intégrée, une coopération entre les pays article</w:t>
      </w:r>
      <w:r w:rsidR="00852D8F">
        <w:rPr>
          <w:lang w:val="fr-FR"/>
        </w:rPr>
        <w:t> </w:t>
      </w:r>
      <w:r w:rsidRPr="006E3020">
        <w:rPr>
          <w:lang w:val="fr-FR"/>
        </w:rPr>
        <w:t>5</w:t>
      </w:r>
      <w:r w:rsidR="000C3A38">
        <w:rPr>
          <w:lang w:val="fr-FR"/>
        </w:rPr>
        <w:t xml:space="preserve"> et</w:t>
      </w:r>
      <w:r w:rsidRPr="006E3020">
        <w:rPr>
          <w:lang w:val="fr-FR"/>
        </w:rPr>
        <w:t xml:space="preserve"> des normes et codes de bonnes pratiques.</w:t>
      </w:r>
    </w:p>
    <w:p w14:paraId="1A562778" w14:textId="05D29896" w:rsidR="00B4447D" w:rsidRPr="006E3020" w:rsidRDefault="00B4447D" w:rsidP="00B4447D">
      <w:pPr>
        <w:pStyle w:val="Heading1"/>
        <w:numPr>
          <w:ilvl w:val="0"/>
          <w:numId w:val="23"/>
        </w:numPr>
        <w:spacing w:before="240"/>
        <w:rPr>
          <w:lang w:val="fr-FR"/>
        </w:rPr>
      </w:pPr>
      <w:r w:rsidRPr="006E3020">
        <w:rPr>
          <w:lang w:val="fr-FR"/>
        </w:rPr>
        <w:t>Les sessions de formation pour les techniciens dans le secteur du froid et de la climatisation devraient inclure plus de sessions pratiques et un nombre accru d’outils de formation. De plus, étant donné le renouvellement régulier des agents des douanes, leur expertise doit être améliorée et ils doivent suivre des formations continues. Une telle coopération doit être institutionnalisée à travers des accords contraignants et doit être intégré</w:t>
      </w:r>
      <w:r w:rsidR="008143CB">
        <w:rPr>
          <w:lang w:val="fr-FR"/>
        </w:rPr>
        <w:t>e</w:t>
      </w:r>
      <w:r w:rsidRPr="006E3020">
        <w:rPr>
          <w:lang w:val="fr-FR"/>
        </w:rPr>
        <w:t xml:space="preserve"> dans le programme de formation des douanes. Dans un pays, un système de gestion de l’information à guichet unique </w:t>
      </w:r>
      <w:r w:rsidR="00E31277">
        <w:rPr>
          <w:lang w:val="fr-FR"/>
        </w:rPr>
        <w:t>a</w:t>
      </w:r>
      <w:r w:rsidRPr="006E3020">
        <w:rPr>
          <w:lang w:val="fr-FR"/>
        </w:rPr>
        <w:t xml:space="preserve"> été mis en place p</w:t>
      </w:r>
      <w:r w:rsidR="00E31277">
        <w:rPr>
          <w:lang w:val="fr-FR"/>
        </w:rPr>
        <w:t>a</w:t>
      </w:r>
      <w:r w:rsidRPr="006E3020">
        <w:rPr>
          <w:lang w:val="fr-FR"/>
        </w:rPr>
        <w:t>r l</w:t>
      </w:r>
      <w:r w:rsidR="00190DF0">
        <w:rPr>
          <w:lang w:val="fr-FR"/>
        </w:rPr>
        <w:t>’</w:t>
      </w:r>
      <w:r w:rsidRPr="006E3020">
        <w:rPr>
          <w:lang w:val="fr-FR"/>
        </w:rPr>
        <w:t>administration des douanes pour contrôler l’import/export et intégrer ce dernier avec les quotas de SAO et le système d’octroi de licence. Cela améliore le processus de mise en application des quotas de SAO et d’octroi de licence en facilitant et accélérant la gestion des données pour toutes les parties prenantes</w:t>
      </w:r>
      <w:r w:rsidR="003F3D36">
        <w:rPr>
          <w:lang w:val="fr-FR"/>
        </w:rPr>
        <w:t>,</w:t>
      </w:r>
      <w:r w:rsidRPr="006E3020">
        <w:rPr>
          <w:lang w:val="fr-FR"/>
        </w:rPr>
        <w:t xml:space="preserve"> y compris l’utilisateur final. </w:t>
      </w:r>
    </w:p>
    <w:p w14:paraId="7634DAE4" w14:textId="442D16C4" w:rsidR="00B4447D" w:rsidRPr="006E3020" w:rsidRDefault="00B4447D" w:rsidP="00B4447D">
      <w:pPr>
        <w:pStyle w:val="Heading1"/>
        <w:numPr>
          <w:ilvl w:val="0"/>
          <w:numId w:val="23"/>
        </w:numPr>
        <w:spacing w:before="240"/>
        <w:rPr>
          <w:lang w:val="fr-FR"/>
        </w:rPr>
      </w:pPr>
      <w:r w:rsidRPr="006E3020">
        <w:rPr>
          <w:lang w:val="fr-FR"/>
        </w:rPr>
        <w:t>La coopération Sud-Sud en matière de formation des techniciens sur les technologies inflammables à faible potentiel de réchauffement de la planète (PRG) est devenue très populaire et devrait continuer à être une activité phare. La coopération en matière de dialogue transf</w:t>
      </w:r>
      <w:r w:rsidR="008143CB">
        <w:rPr>
          <w:lang w:val="fr-FR"/>
        </w:rPr>
        <w:t>r</w:t>
      </w:r>
      <w:r w:rsidRPr="006E3020">
        <w:rPr>
          <w:lang w:val="fr-FR"/>
        </w:rPr>
        <w:t>ontalier et d’échange d</w:t>
      </w:r>
      <w:r w:rsidR="00190DF0">
        <w:rPr>
          <w:lang w:val="fr-FR"/>
        </w:rPr>
        <w:t>’</w:t>
      </w:r>
      <w:r w:rsidRPr="006E3020">
        <w:rPr>
          <w:lang w:val="fr-FR"/>
        </w:rPr>
        <w:t>informations entre des pays voisins s’avère crucial</w:t>
      </w:r>
      <w:r w:rsidR="00A31384">
        <w:rPr>
          <w:lang w:val="fr-FR"/>
        </w:rPr>
        <w:t>e</w:t>
      </w:r>
      <w:r w:rsidRPr="006E3020">
        <w:rPr>
          <w:lang w:val="fr-FR"/>
        </w:rPr>
        <w:t xml:space="preserve"> pour empêcher tout commerce illégal de SAO. L</w:t>
      </w:r>
      <w:r w:rsidR="00190DF0">
        <w:rPr>
          <w:lang w:val="fr-FR"/>
        </w:rPr>
        <w:t>’</w:t>
      </w:r>
      <w:r w:rsidRPr="006E3020">
        <w:rPr>
          <w:lang w:val="fr-FR"/>
        </w:rPr>
        <w:t>utilisation d</w:t>
      </w:r>
      <w:r w:rsidR="00190DF0">
        <w:rPr>
          <w:lang w:val="fr-FR"/>
        </w:rPr>
        <w:t>’</w:t>
      </w:r>
      <w:r w:rsidRPr="006E3020">
        <w:rPr>
          <w:lang w:val="fr-FR"/>
        </w:rPr>
        <w:t>un système d’octroi de licence en ligne a permis une supervision en temps réel du marché des SAO.</w:t>
      </w:r>
      <w:r w:rsidR="00506937">
        <w:rPr>
          <w:lang w:val="fr-FR"/>
        </w:rPr>
        <w:t xml:space="preserve"> </w:t>
      </w:r>
      <w:r w:rsidRPr="006E3020">
        <w:rPr>
          <w:lang w:val="fr-FR"/>
        </w:rPr>
        <w:t xml:space="preserve">Le système doit être mis à jour régulièrement pour s’adapter au paysage changeant des produits de remplacement entrant sur le marché tant global que local. </w:t>
      </w:r>
    </w:p>
    <w:p w14:paraId="64BE54C9" w14:textId="726D935F" w:rsidR="00B4447D" w:rsidRPr="006E3020" w:rsidRDefault="00B4447D" w:rsidP="00B4447D">
      <w:pPr>
        <w:pStyle w:val="Heading1"/>
        <w:numPr>
          <w:ilvl w:val="0"/>
          <w:numId w:val="23"/>
        </w:numPr>
        <w:spacing w:before="240"/>
        <w:rPr>
          <w:lang w:val="fr-FR"/>
        </w:rPr>
      </w:pPr>
      <w:r w:rsidRPr="006E3020">
        <w:rPr>
          <w:lang w:val="fr-FR"/>
        </w:rPr>
        <w:t>La mise en place des codes/normes de bonnes pratiques</w:t>
      </w:r>
      <w:r w:rsidR="00815DED">
        <w:rPr>
          <w:lang w:val="fr-FR"/>
        </w:rPr>
        <w:t>,</w:t>
      </w:r>
      <w:r w:rsidRPr="006E3020">
        <w:rPr>
          <w:lang w:val="fr-FR"/>
        </w:rPr>
        <w:t xml:space="preserve"> y compris concernant le recyclage/la récupération</w:t>
      </w:r>
      <w:r w:rsidR="00815DED">
        <w:rPr>
          <w:lang w:val="fr-FR"/>
        </w:rPr>
        <w:t>,</w:t>
      </w:r>
      <w:r w:rsidRPr="006E3020">
        <w:rPr>
          <w:lang w:val="fr-FR"/>
        </w:rPr>
        <w:t xml:space="preserve"> est essentielle avant de finaliser les supports de formation. Les politiques concernant les technologies doivent prendre en compte les aspects d’efficacité énergétique dans la promotion de toute nouvelle technologie, un système de quotas strict et une interdiction anticipée de l’import et de la fabrication des équipements utilisant des HCFC pour réduire leur besoin et donc minimiser leur consommation. </w:t>
      </w:r>
    </w:p>
    <w:p w14:paraId="74C79BE0" w14:textId="77777777" w:rsidR="00B4447D" w:rsidRPr="006E3020" w:rsidRDefault="00B4447D" w:rsidP="00B4447D">
      <w:pPr>
        <w:pStyle w:val="Heading1"/>
        <w:numPr>
          <w:ilvl w:val="0"/>
          <w:numId w:val="23"/>
        </w:numPr>
        <w:spacing w:before="240"/>
        <w:rPr>
          <w:lang w:val="fr-FR"/>
        </w:rPr>
      </w:pPr>
      <w:r w:rsidRPr="006E3020">
        <w:rPr>
          <w:lang w:val="fr-FR"/>
        </w:rPr>
        <w:t xml:space="preserve">Concernant la disponibilité de technologies de remplacement, on peut tirer des enseignements du manque de connaissances techniques et des réticences du marché.   </w:t>
      </w:r>
    </w:p>
    <w:p w14:paraId="28B3E00E" w14:textId="29AB50BB" w:rsidR="00B4447D" w:rsidRPr="006E3020" w:rsidRDefault="00B4447D" w:rsidP="00B4447D">
      <w:pPr>
        <w:pStyle w:val="Heading1"/>
        <w:numPr>
          <w:ilvl w:val="0"/>
          <w:numId w:val="23"/>
        </w:numPr>
        <w:spacing w:before="240"/>
        <w:rPr>
          <w:lang w:val="fr-FR"/>
        </w:rPr>
      </w:pPr>
      <w:r w:rsidRPr="006E3020">
        <w:rPr>
          <w:lang w:val="fr-FR"/>
        </w:rPr>
        <w:t>Les connaissances techniques des parties prenantes concernant l’utilisation des produits de remplacement inflammables seraient améliorées par l’expérience des industries de premier plan dans l</w:t>
      </w:r>
      <w:r w:rsidR="00DE1BB3">
        <w:rPr>
          <w:lang w:val="fr-FR"/>
        </w:rPr>
        <w:t>eur</w:t>
      </w:r>
      <w:r w:rsidRPr="006E3020">
        <w:rPr>
          <w:lang w:val="fr-FR"/>
        </w:rPr>
        <w:t xml:space="preserve"> mise en œuvre sûre et fiable ainsi que par la connaissance des normes et des bonnes pratiques nationales et internationales. Ainsi, le manque de connaissances techniques se traduit au niveau du marché par une réticence à composer avec les technologies de remplacement, en particulier les technologies basées sur les les réfrigérants toxiques on inflammables (comme les hydrocarbures et l’ammoniac). Le développement et l’introduction de codes et de normes relati</w:t>
      </w:r>
      <w:r w:rsidR="003A4108">
        <w:rPr>
          <w:lang w:val="fr-FR"/>
        </w:rPr>
        <w:t>f</w:t>
      </w:r>
      <w:r w:rsidRPr="006E3020">
        <w:rPr>
          <w:lang w:val="fr-FR"/>
        </w:rPr>
        <w:t>s aux équipements et aux systèmes utilisant de tels produits de remplacement créerai</w:t>
      </w:r>
      <w:r w:rsidR="00332EDE">
        <w:rPr>
          <w:lang w:val="fr-FR"/>
        </w:rPr>
        <w:t>en</w:t>
      </w:r>
      <w:r w:rsidRPr="006E3020">
        <w:rPr>
          <w:lang w:val="fr-FR"/>
        </w:rPr>
        <w:t>t la plateforme nécessaire à leur promotion adéquate et donc développerai</w:t>
      </w:r>
      <w:r w:rsidR="00332EDE">
        <w:rPr>
          <w:lang w:val="fr-FR"/>
        </w:rPr>
        <w:t>en</w:t>
      </w:r>
      <w:r w:rsidRPr="006E3020">
        <w:rPr>
          <w:lang w:val="fr-FR"/>
        </w:rPr>
        <w:t xml:space="preserve">t leur utilisation. </w:t>
      </w:r>
    </w:p>
    <w:p w14:paraId="17A74058" w14:textId="77777777" w:rsidR="00B4447D" w:rsidRPr="006E3020" w:rsidRDefault="00B4447D" w:rsidP="00B4447D">
      <w:pPr>
        <w:pStyle w:val="IIntroduction"/>
        <w:keepNext/>
        <w:numPr>
          <w:ilvl w:val="0"/>
          <w:numId w:val="0"/>
        </w:numPr>
        <w:tabs>
          <w:tab w:val="left" w:pos="720"/>
        </w:tabs>
        <w:spacing w:before="0"/>
        <w:ind w:left="720" w:hanging="720"/>
        <w:rPr>
          <w:sz w:val="22"/>
          <w:szCs w:val="22"/>
        </w:rPr>
      </w:pPr>
      <w:r w:rsidRPr="006E3020">
        <w:rPr>
          <w:sz w:val="22"/>
          <w:szCs w:val="22"/>
        </w:rPr>
        <w:t xml:space="preserve">Rapports d’achèvement de projets individuels reçus </w:t>
      </w:r>
      <w:bookmarkEnd w:id="1"/>
      <w:bookmarkEnd w:id="2"/>
      <w:bookmarkEnd w:id="3"/>
      <w:bookmarkEnd w:id="4"/>
      <w:bookmarkEnd w:id="5"/>
      <w:bookmarkEnd w:id="6"/>
      <w:bookmarkEnd w:id="7"/>
      <w:bookmarkEnd w:id="8"/>
      <w:bookmarkEnd w:id="9"/>
      <w:bookmarkEnd w:id="10"/>
    </w:p>
    <w:p w14:paraId="065C3FD9" w14:textId="16EE9D7F" w:rsidR="00B4447D" w:rsidRPr="006E3020" w:rsidRDefault="00B4447D" w:rsidP="00B4447D">
      <w:pPr>
        <w:pStyle w:val="Heading1"/>
        <w:numPr>
          <w:ilvl w:val="0"/>
          <w:numId w:val="23"/>
        </w:numPr>
        <w:tabs>
          <w:tab w:val="clear" w:pos="0"/>
          <w:tab w:val="num" w:pos="720"/>
        </w:tabs>
        <w:rPr>
          <w:lang w:val="fr-FR"/>
        </w:rPr>
      </w:pPr>
      <w:r w:rsidRPr="006E3020">
        <w:rPr>
          <w:lang w:val="fr-FR"/>
        </w:rPr>
        <w:t>Les agences bilatérales et d’exécution ont soumis au total 1</w:t>
      </w:r>
      <w:r w:rsidR="0013475C">
        <w:rPr>
          <w:lang w:val="fr-FR"/>
        </w:rPr>
        <w:t> </w:t>
      </w:r>
      <w:r w:rsidRPr="006E3020">
        <w:rPr>
          <w:lang w:val="fr-FR"/>
        </w:rPr>
        <w:t>848 rapports d’achèvement de projet sur les 1</w:t>
      </w:r>
      <w:r w:rsidR="0013475C">
        <w:rPr>
          <w:lang w:val="fr-FR"/>
        </w:rPr>
        <w:t> </w:t>
      </w:r>
      <w:r w:rsidRPr="006E3020">
        <w:rPr>
          <w:lang w:val="fr-FR"/>
        </w:rPr>
        <w:t>854 projets d’investissement achevés, ce qui représente 6 rapports d’achèvement de projet en souffrance, comme indiqué au tableau</w:t>
      </w:r>
      <w:r w:rsidR="00852D8F">
        <w:rPr>
          <w:lang w:val="fr-FR"/>
        </w:rPr>
        <w:t> </w:t>
      </w:r>
      <w:r w:rsidRPr="006E3020">
        <w:rPr>
          <w:lang w:val="fr-FR"/>
        </w:rPr>
        <w:t xml:space="preserve">3. </w:t>
      </w:r>
    </w:p>
    <w:p w14:paraId="1C0A0D13" w14:textId="54DF7866" w:rsidR="00B4447D" w:rsidRPr="006E3020" w:rsidRDefault="00B4447D" w:rsidP="00B4447D">
      <w:pPr>
        <w:pStyle w:val="FootnoteText"/>
        <w:keepNext/>
        <w:keepLines/>
        <w:ind w:left="14"/>
        <w:contextualSpacing/>
        <w:rPr>
          <w:b/>
          <w:sz w:val="21"/>
          <w:szCs w:val="21"/>
        </w:rPr>
      </w:pPr>
      <w:r w:rsidRPr="006E3020">
        <w:rPr>
          <w:b/>
          <w:sz w:val="21"/>
          <w:szCs w:val="21"/>
        </w:rPr>
        <w:lastRenderedPageBreak/>
        <w:t>Tableau</w:t>
      </w:r>
      <w:r w:rsidR="00852D8F">
        <w:rPr>
          <w:b/>
          <w:sz w:val="21"/>
          <w:szCs w:val="21"/>
        </w:rPr>
        <w:t> </w:t>
      </w:r>
      <w:r w:rsidRPr="006E3020">
        <w:rPr>
          <w:b/>
          <w:sz w:val="21"/>
          <w:szCs w:val="21"/>
        </w:rPr>
        <w:t>3. Rapports d’achèvement de projet soumis pour des projets d’investissement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454"/>
        <w:gridCol w:w="1724"/>
        <w:gridCol w:w="1724"/>
        <w:gridCol w:w="1724"/>
        <w:gridCol w:w="1724"/>
      </w:tblGrid>
      <w:tr w:rsidR="00B4447D" w:rsidRPr="006E3020" w14:paraId="11F50B86" w14:textId="77777777" w:rsidTr="00C072C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48A44FF1" w14:textId="77777777" w:rsidR="00B4447D" w:rsidRPr="006E3020" w:rsidRDefault="00B4447D" w:rsidP="00C072C9">
            <w:pPr>
              <w:keepNext/>
              <w:keepLines/>
              <w:suppressAutoHyphens/>
              <w:jc w:val="left"/>
              <w:rPr>
                <w:b/>
                <w:snapToGrid w:val="0"/>
                <w:sz w:val="21"/>
                <w:szCs w:val="21"/>
                <w:lang w:val="fr-FR"/>
              </w:rPr>
            </w:pPr>
            <w:r w:rsidRPr="006E3020">
              <w:rPr>
                <w:b/>
                <w:snapToGrid w:val="0"/>
                <w:sz w:val="21"/>
                <w:szCs w:val="21"/>
                <w:lang w:val="fr-FR"/>
              </w:rPr>
              <w:t>Agence</w:t>
            </w:r>
          </w:p>
        </w:tc>
        <w:tc>
          <w:tcPr>
            <w:tcW w:w="922" w:type="pct"/>
            <w:tcBorders>
              <w:top w:val="single" w:sz="4" w:space="0" w:color="auto"/>
              <w:left w:val="single" w:sz="4" w:space="0" w:color="auto"/>
              <w:bottom w:val="single" w:sz="4" w:space="0" w:color="auto"/>
              <w:right w:val="single" w:sz="4" w:space="0" w:color="auto"/>
            </w:tcBorders>
            <w:hideMark/>
          </w:tcPr>
          <w:p w14:paraId="629BB9AC" w14:textId="77777777" w:rsidR="00B4447D" w:rsidRPr="006E3020" w:rsidRDefault="00B4447D" w:rsidP="00C072C9">
            <w:pPr>
              <w:keepNext/>
              <w:keepLines/>
              <w:suppressAutoHyphens/>
              <w:jc w:val="center"/>
              <w:rPr>
                <w:b/>
                <w:snapToGrid w:val="0"/>
                <w:sz w:val="21"/>
                <w:szCs w:val="21"/>
                <w:lang w:val="fr-FR"/>
              </w:rPr>
            </w:pPr>
            <w:r w:rsidRPr="006E3020">
              <w:rPr>
                <w:b/>
                <w:snapToGrid w:val="0"/>
                <w:sz w:val="21"/>
                <w:szCs w:val="21"/>
                <w:lang w:val="fr-FR"/>
              </w:rPr>
              <w:t>Achevés</w:t>
            </w:r>
          </w:p>
        </w:tc>
        <w:tc>
          <w:tcPr>
            <w:tcW w:w="922" w:type="pct"/>
            <w:tcBorders>
              <w:top w:val="single" w:sz="4" w:space="0" w:color="auto"/>
              <w:left w:val="single" w:sz="4" w:space="0" w:color="auto"/>
              <w:bottom w:val="single" w:sz="4" w:space="0" w:color="auto"/>
              <w:right w:val="single" w:sz="4" w:space="0" w:color="auto"/>
            </w:tcBorders>
            <w:hideMark/>
          </w:tcPr>
          <w:p w14:paraId="0B2EF59F" w14:textId="77777777" w:rsidR="00B4447D" w:rsidRPr="006E3020" w:rsidRDefault="00B4447D" w:rsidP="00C072C9">
            <w:pPr>
              <w:keepNext/>
              <w:keepLines/>
              <w:jc w:val="center"/>
              <w:rPr>
                <w:b/>
                <w:sz w:val="20"/>
                <w:szCs w:val="20"/>
                <w:lang w:val="fr-FR"/>
              </w:rPr>
            </w:pPr>
            <w:r w:rsidRPr="006E3020">
              <w:rPr>
                <w:b/>
                <w:sz w:val="20"/>
                <w:szCs w:val="20"/>
                <w:lang w:val="fr-FR"/>
              </w:rPr>
              <w:t xml:space="preserve">Reçus avant la </w:t>
            </w:r>
          </w:p>
          <w:p w14:paraId="23918B16" w14:textId="77777777" w:rsidR="00B4447D" w:rsidRPr="006E3020" w:rsidRDefault="00B4447D" w:rsidP="00C072C9">
            <w:pPr>
              <w:keepNext/>
              <w:keepLines/>
              <w:jc w:val="center"/>
              <w:rPr>
                <w:b/>
                <w:sz w:val="20"/>
                <w:szCs w:val="20"/>
                <w:lang w:val="fr-FR"/>
              </w:rPr>
            </w:pPr>
            <w:r w:rsidRPr="006E3020">
              <w:rPr>
                <w:b/>
                <w:sz w:val="20"/>
                <w:szCs w:val="20"/>
                <w:lang w:val="fr-FR"/>
              </w:rPr>
              <w:t xml:space="preserve"> 83e réunion</w:t>
            </w:r>
          </w:p>
        </w:tc>
        <w:tc>
          <w:tcPr>
            <w:tcW w:w="922" w:type="pct"/>
            <w:tcBorders>
              <w:top w:val="single" w:sz="4" w:space="0" w:color="auto"/>
              <w:left w:val="single" w:sz="4" w:space="0" w:color="auto"/>
              <w:bottom w:val="single" w:sz="4" w:space="0" w:color="auto"/>
              <w:right w:val="single" w:sz="4" w:space="0" w:color="auto"/>
            </w:tcBorders>
            <w:hideMark/>
          </w:tcPr>
          <w:p w14:paraId="219198EB" w14:textId="77777777" w:rsidR="00B4447D" w:rsidRPr="006E3020" w:rsidRDefault="00B4447D" w:rsidP="00C072C9">
            <w:pPr>
              <w:keepNext/>
              <w:keepLines/>
              <w:suppressAutoHyphens/>
              <w:jc w:val="center"/>
              <w:rPr>
                <w:b/>
                <w:sz w:val="20"/>
                <w:szCs w:val="20"/>
                <w:lang w:val="fr-FR"/>
              </w:rPr>
            </w:pPr>
            <w:r w:rsidRPr="006E3020">
              <w:rPr>
                <w:b/>
                <w:sz w:val="20"/>
                <w:szCs w:val="20"/>
                <w:lang w:val="fr-FR"/>
              </w:rPr>
              <w:t xml:space="preserve">Reçus après la </w:t>
            </w:r>
          </w:p>
          <w:p w14:paraId="69A4459D" w14:textId="77777777" w:rsidR="00B4447D" w:rsidRPr="006E3020" w:rsidRDefault="00B4447D" w:rsidP="00C072C9">
            <w:pPr>
              <w:keepNext/>
              <w:keepLines/>
              <w:suppressAutoHyphens/>
              <w:jc w:val="center"/>
              <w:rPr>
                <w:b/>
                <w:snapToGrid w:val="0"/>
                <w:sz w:val="20"/>
                <w:szCs w:val="20"/>
                <w:lang w:val="fr-FR"/>
              </w:rPr>
            </w:pPr>
            <w:r w:rsidRPr="006E3020">
              <w:rPr>
                <w:b/>
                <w:sz w:val="20"/>
                <w:szCs w:val="20"/>
                <w:lang w:val="fr-FR"/>
              </w:rPr>
              <w:t>83e réunion</w:t>
            </w:r>
          </w:p>
        </w:tc>
        <w:tc>
          <w:tcPr>
            <w:tcW w:w="922" w:type="pct"/>
            <w:tcBorders>
              <w:top w:val="single" w:sz="4" w:space="0" w:color="auto"/>
              <w:left w:val="single" w:sz="4" w:space="0" w:color="auto"/>
              <w:bottom w:val="single" w:sz="4" w:space="0" w:color="auto"/>
              <w:right w:val="single" w:sz="4" w:space="0" w:color="auto"/>
            </w:tcBorders>
            <w:hideMark/>
          </w:tcPr>
          <w:p w14:paraId="5E0F747F" w14:textId="77777777" w:rsidR="00B4447D" w:rsidRPr="006E3020" w:rsidRDefault="00B4447D" w:rsidP="00C072C9">
            <w:pPr>
              <w:keepNext/>
              <w:keepLines/>
              <w:suppressAutoHyphens/>
              <w:jc w:val="center"/>
              <w:rPr>
                <w:b/>
                <w:snapToGrid w:val="0"/>
                <w:sz w:val="20"/>
                <w:szCs w:val="20"/>
                <w:lang w:val="fr-FR"/>
              </w:rPr>
            </w:pPr>
            <w:r w:rsidRPr="006E3020">
              <w:rPr>
                <w:b/>
                <w:sz w:val="20"/>
                <w:szCs w:val="20"/>
                <w:lang w:val="fr-FR"/>
              </w:rPr>
              <w:t>En souffrance</w:t>
            </w:r>
          </w:p>
        </w:tc>
      </w:tr>
      <w:tr w:rsidR="00B4447D" w:rsidRPr="006E3020" w14:paraId="07B7373F"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00C7CFED"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France</w:t>
            </w:r>
          </w:p>
        </w:tc>
        <w:tc>
          <w:tcPr>
            <w:tcW w:w="922" w:type="pct"/>
            <w:tcBorders>
              <w:top w:val="single" w:sz="4" w:space="0" w:color="auto"/>
              <w:left w:val="single" w:sz="4" w:space="0" w:color="auto"/>
              <w:bottom w:val="single" w:sz="4" w:space="0" w:color="auto"/>
              <w:right w:val="single" w:sz="4" w:space="0" w:color="auto"/>
            </w:tcBorders>
            <w:hideMark/>
          </w:tcPr>
          <w:p w14:paraId="0C806C13"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13</w:t>
            </w:r>
          </w:p>
        </w:tc>
        <w:tc>
          <w:tcPr>
            <w:tcW w:w="922" w:type="pct"/>
            <w:tcBorders>
              <w:top w:val="single" w:sz="4" w:space="0" w:color="auto"/>
              <w:left w:val="single" w:sz="4" w:space="0" w:color="auto"/>
              <w:bottom w:val="single" w:sz="4" w:space="0" w:color="auto"/>
              <w:right w:val="single" w:sz="4" w:space="0" w:color="auto"/>
            </w:tcBorders>
            <w:hideMark/>
          </w:tcPr>
          <w:p w14:paraId="35BED87D"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13</w:t>
            </w:r>
          </w:p>
        </w:tc>
        <w:tc>
          <w:tcPr>
            <w:tcW w:w="922" w:type="pct"/>
            <w:tcBorders>
              <w:top w:val="single" w:sz="4" w:space="0" w:color="auto"/>
              <w:left w:val="single" w:sz="4" w:space="0" w:color="auto"/>
              <w:bottom w:val="single" w:sz="4" w:space="0" w:color="auto"/>
              <w:right w:val="single" w:sz="4" w:space="0" w:color="auto"/>
            </w:tcBorders>
            <w:hideMark/>
          </w:tcPr>
          <w:p w14:paraId="7584129B"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66CAA8B6"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4FFF1EAE"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1ACF194C"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Allemagne</w:t>
            </w:r>
          </w:p>
        </w:tc>
        <w:tc>
          <w:tcPr>
            <w:tcW w:w="922" w:type="pct"/>
            <w:tcBorders>
              <w:top w:val="single" w:sz="4" w:space="0" w:color="auto"/>
              <w:left w:val="single" w:sz="4" w:space="0" w:color="auto"/>
              <w:bottom w:val="single" w:sz="4" w:space="0" w:color="auto"/>
              <w:right w:val="single" w:sz="4" w:space="0" w:color="auto"/>
            </w:tcBorders>
            <w:hideMark/>
          </w:tcPr>
          <w:p w14:paraId="160A2EEF"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20</w:t>
            </w:r>
          </w:p>
        </w:tc>
        <w:tc>
          <w:tcPr>
            <w:tcW w:w="922" w:type="pct"/>
            <w:tcBorders>
              <w:top w:val="single" w:sz="4" w:space="0" w:color="auto"/>
              <w:left w:val="single" w:sz="4" w:space="0" w:color="auto"/>
              <w:bottom w:val="single" w:sz="4" w:space="0" w:color="auto"/>
              <w:right w:val="single" w:sz="4" w:space="0" w:color="auto"/>
            </w:tcBorders>
            <w:hideMark/>
          </w:tcPr>
          <w:p w14:paraId="1FB754C0"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19</w:t>
            </w:r>
          </w:p>
        </w:tc>
        <w:tc>
          <w:tcPr>
            <w:tcW w:w="922" w:type="pct"/>
            <w:tcBorders>
              <w:top w:val="single" w:sz="4" w:space="0" w:color="auto"/>
              <w:left w:val="single" w:sz="4" w:space="0" w:color="auto"/>
              <w:bottom w:val="single" w:sz="4" w:space="0" w:color="auto"/>
              <w:right w:val="single" w:sz="4" w:space="0" w:color="auto"/>
            </w:tcBorders>
            <w:hideMark/>
          </w:tcPr>
          <w:p w14:paraId="573B1FFE"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12472FBD"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r>
      <w:tr w:rsidR="00B4447D" w:rsidRPr="006E3020" w14:paraId="47578F2C"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0948DBD2"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Italie</w:t>
            </w:r>
          </w:p>
        </w:tc>
        <w:tc>
          <w:tcPr>
            <w:tcW w:w="922" w:type="pct"/>
            <w:tcBorders>
              <w:top w:val="single" w:sz="4" w:space="0" w:color="auto"/>
              <w:left w:val="single" w:sz="4" w:space="0" w:color="auto"/>
              <w:bottom w:val="single" w:sz="4" w:space="0" w:color="auto"/>
              <w:right w:val="single" w:sz="4" w:space="0" w:color="auto"/>
            </w:tcBorders>
            <w:hideMark/>
          </w:tcPr>
          <w:p w14:paraId="4B25BC43"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11</w:t>
            </w:r>
          </w:p>
        </w:tc>
        <w:tc>
          <w:tcPr>
            <w:tcW w:w="922" w:type="pct"/>
            <w:tcBorders>
              <w:top w:val="single" w:sz="4" w:space="0" w:color="auto"/>
              <w:left w:val="single" w:sz="4" w:space="0" w:color="auto"/>
              <w:bottom w:val="single" w:sz="4" w:space="0" w:color="auto"/>
              <w:right w:val="single" w:sz="4" w:space="0" w:color="auto"/>
            </w:tcBorders>
            <w:hideMark/>
          </w:tcPr>
          <w:p w14:paraId="01B4404B"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10</w:t>
            </w:r>
          </w:p>
        </w:tc>
        <w:tc>
          <w:tcPr>
            <w:tcW w:w="922" w:type="pct"/>
            <w:tcBorders>
              <w:top w:val="single" w:sz="4" w:space="0" w:color="auto"/>
              <w:left w:val="single" w:sz="4" w:space="0" w:color="auto"/>
              <w:bottom w:val="single" w:sz="4" w:space="0" w:color="auto"/>
              <w:right w:val="single" w:sz="4" w:space="0" w:color="auto"/>
            </w:tcBorders>
            <w:hideMark/>
          </w:tcPr>
          <w:p w14:paraId="7B132A93"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c>
          <w:tcPr>
            <w:tcW w:w="922" w:type="pct"/>
            <w:tcBorders>
              <w:top w:val="single" w:sz="4" w:space="0" w:color="auto"/>
              <w:left w:val="single" w:sz="4" w:space="0" w:color="auto"/>
              <w:bottom w:val="single" w:sz="4" w:space="0" w:color="auto"/>
              <w:right w:val="single" w:sz="4" w:space="0" w:color="auto"/>
            </w:tcBorders>
            <w:hideMark/>
          </w:tcPr>
          <w:p w14:paraId="2955457D"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24BF14ED"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051C5EC2"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Japon</w:t>
            </w:r>
          </w:p>
        </w:tc>
        <w:tc>
          <w:tcPr>
            <w:tcW w:w="922" w:type="pct"/>
            <w:tcBorders>
              <w:top w:val="single" w:sz="4" w:space="0" w:color="auto"/>
              <w:left w:val="single" w:sz="4" w:space="0" w:color="auto"/>
              <w:bottom w:val="single" w:sz="4" w:space="0" w:color="auto"/>
              <w:right w:val="single" w:sz="4" w:space="0" w:color="auto"/>
            </w:tcBorders>
            <w:hideMark/>
          </w:tcPr>
          <w:p w14:paraId="2C6BEECD"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6</w:t>
            </w:r>
          </w:p>
        </w:tc>
        <w:tc>
          <w:tcPr>
            <w:tcW w:w="922" w:type="pct"/>
            <w:tcBorders>
              <w:top w:val="single" w:sz="4" w:space="0" w:color="auto"/>
              <w:left w:val="single" w:sz="4" w:space="0" w:color="auto"/>
              <w:bottom w:val="single" w:sz="4" w:space="0" w:color="auto"/>
              <w:right w:val="single" w:sz="4" w:space="0" w:color="auto"/>
            </w:tcBorders>
            <w:hideMark/>
          </w:tcPr>
          <w:p w14:paraId="43B4FC66"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6</w:t>
            </w:r>
          </w:p>
        </w:tc>
        <w:tc>
          <w:tcPr>
            <w:tcW w:w="922" w:type="pct"/>
            <w:tcBorders>
              <w:top w:val="single" w:sz="4" w:space="0" w:color="auto"/>
              <w:left w:val="single" w:sz="4" w:space="0" w:color="auto"/>
              <w:bottom w:val="single" w:sz="4" w:space="0" w:color="auto"/>
              <w:right w:val="single" w:sz="4" w:space="0" w:color="auto"/>
            </w:tcBorders>
            <w:hideMark/>
          </w:tcPr>
          <w:p w14:paraId="1143AB4D"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6C0F5F12"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130E70D2"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5192846A"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Espagne</w:t>
            </w:r>
          </w:p>
        </w:tc>
        <w:tc>
          <w:tcPr>
            <w:tcW w:w="922" w:type="pct"/>
            <w:tcBorders>
              <w:top w:val="single" w:sz="4" w:space="0" w:color="auto"/>
              <w:left w:val="single" w:sz="4" w:space="0" w:color="auto"/>
              <w:bottom w:val="single" w:sz="4" w:space="0" w:color="auto"/>
              <w:right w:val="single" w:sz="4" w:space="0" w:color="auto"/>
            </w:tcBorders>
            <w:hideMark/>
          </w:tcPr>
          <w:p w14:paraId="7CEEB8CF"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c>
          <w:tcPr>
            <w:tcW w:w="922" w:type="pct"/>
            <w:tcBorders>
              <w:top w:val="single" w:sz="4" w:space="0" w:color="auto"/>
              <w:left w:val="single" w:sz="4" w:space="0" w:color="auto"/>
              <w:bottom w:val="single" w:sz="4" w:space="0" w:color="auto"/>
              <w:right w:val="single" w:sz="4" w:space="0" w:color="auto"/>
            </w:tcBorders>
            <w:hideMark/>
          </w:tcPr>
          <w:p w14:paraId="6D34E963"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c>
          <w:tcPr>
            <w:tcW w:w="922" w:type="pct"/>
            <w:tcBorders>
              <w:top w:val="single" w:sz="4" w:space="0" w:color="auto"/>
              <w:left w:val="single" w:sz="4" w:space="0" w:color="auto"/>
              <w:bottom w:val="single" w:sz="4" w:space="0" w:color="auto"/>
              <w:right w:val="single" w:sz="4" w:space="0" w:color="auto"/>
            </w:tcBorders>
            <w:hideMark/>
          </w:tcPr>
          <w:p w14:paraId="21EA757A"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3AA97C33"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30DCF6D5"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2C0AD5EC"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 xml:space="preserve">Royaume-Uni de Grande-Bretagne et d’Irlande du Nord </w:t>
            </w:r>
          </w:p>
        </w:tc>
        <w:tc>
          <w:tcPr>
            <w:tcW w:w="922" w:type="pct"/>
            <w:tcBorders>
              <w:top w:val="single" w:sz="4" w:space="0" w:color="auto"/>
              <w:left w:val="single" w:sz="4" w:space="0" w:color="auto"/>
              <w:bottom w:val="single" w:sz="4" w:space="0" w:color="auto"/>
              <w:right w:val="single" w:sz="4" w:space="0" w:color="auto"/>
            </w:tcBorders>
            <w:vAlign w:val="center"/>
            <w:hideMark/>
          </w:tcPr>
          <w:p w14:paraId="36BD89F7"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c>
          <w:tcPr>
            <w:tcW w:w="922" w:type="pct"/>
            <w:tcBorders>
              <w:top w:val="single" w:sz="4" w:space="0" w:color="auto"/>
              <w:left w:val="single" w:sz="4" w:space="0" w:color="auto"/>
              <w:bottom w:val="single" w:sz="4" w:space="0" w:color="auto"/>
              <w:right w:val="single" w:sz="4" w:space="0" w:color="auto"/>
            </w:tcBorders>
            <w:vAlign w:val="center"/>
            <w:hideMark/>
          </w:tcPr>
          <w:p w14:paraId="20628A4C"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c>
          <w:tcPr>
            <w:tcW w:w="922" w:type="pct"/>
            <w:tcBorders>
              <w:top w:val="single" w:sz="4" w:space="0" w:color="auto"/>
              <w:left w:val="single" w:sz="4" w:space="0" w:color="auto"/>
              <w:bottom w:val="single" w:sz="4" w:space="0" w:color="auto"/>
              <w:right w:val="single" w:sz="4" w:space="0" w:color="auto"/>
            </w:tcBorders>
            <w:vAlign w:val="center"/>
            <w:hideMark/>
          </w:tcPr>
          <w:p w14:paraId="7F60369C"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vAlign w:val="center"/>
            <w:hideMark/>
          </w:tcPr>
          <w:p w14:paraId="291BF6EF"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137A5C17"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27F61236"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États-Unis d’Amérique</w:t>
            </w:r>
          </w:p>
        </w:tc>
        <w:tc>
          <w:tcPr>
            <w:tcW w:w="922" w:type="pct"/>
            <w:tcBorders>
              <w:top w:val="single" w:sz="4" w:space="0" w:color="auto"/>
              <w:left w:val="single" w:sz="4" w:space="0" w:color="auto"/>
              <w:bottom w:val="single" w:sz="4" w:space="0" w:color="auto"/>
              <w:right w:val="single" w:sz="4" w:space="0" w:color="auto"/>
            </w:tcBorders>
            <w:hideMark/>
          </w:tcPr>
          <w:p w14:paraId="26256A60"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2</w:t>
            </w:r>
          </w:p>
        </w:tc>
        <w:tc>
          <w:tcPr>
            <w:tcW w:w="922" w:type="pct"/>
            <w:tcBorders>
              <w:top w:val="single" w:sz="4" w:space="0" w:color="auto"/>
              <w:left w:val="single" w:sz="4" w:space="0" w:color="auto"/>
              <w:bottom w:val="single" w:sz="4" w:space="0" w:color="auto"/>
              <w:right w:val="single" w:sz="4" w:space="0" w:color="auto"/>
            </w:tcBorders>
            <w:hideMark/>
          </w:tcPr>
          <w:p w14:paraId="046EA6AA"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2</w:t>
            </w:r>
          </w:p>
        </w:tc>
        <w:tc>
          <w:tcPr>
            <w:tcW w:w="922" w:type="pct"/>
            <w:tcBorders>
              <w:top w:val="single" w:sz="4" w:space="0" w:color="auto"/>
              <w:left w:val="single" w:sz="4" w:space="0" w:color="auto"/>
              <w:bottom w:val="single" w:sz="4" w:space="0" w:color="auto"/>
              <w:right w:val="single" w:sz="4" w:space="0" w:color="auto"/>
            </w:tcBorders>
            <w:hideMark/>
          </w:tcPr>
          <w:p w14:paraId="23FC8DAB"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2AD39EA8"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1CEFB794"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582B95A7"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PNUD</w:t>
            </w:r>
          </w:p>
        </w:tc>
        <w:tc>
          <w:tcPr>
            <w:tcW w:w="922" w:type="pct"/>
            <w:tcBorders>
              <w:top w:val="single" w:sz="4" w:space="0" w:color="auto"/>
              <w:left w:val="single" w:sz="4" w:space="0" w:color="auto"/>
              <w:bottom w:val="single" w:sz="4" w:space="0" w:color="auto"/>
              <w:right w:val="single" w:sz="4" w:space="0" w:color="auto"/>
            </w:tcBorders>
            <w:hideMark/>
          </w:tcPr>
          <w:p w14:paraId="1B190375"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895</w:t>
            </w:r>
          </w:p>
        </w:tc>
        <w:tc>
          <w:tcPr>
            <w:tcW w:w="922" w:type="pct"/>
            <w:tcBorders>
              <w:top w:val="single" w:sz="4" w:space="0" w:color="auto"/>
              <w:left w:val="single" w:sz="4" w:space="0" w:color="auto"/>
              <w:bottom w:val="single" w:sz="4" w:space="0" w:color="auto"/>
              <w:right w:val="single" w:sz="4" w:space="0" w:color="auto"/>
            </w:tcBorders>
            <w:hideMark/>
          </w:tcPr>
          <w:p w14:paraId="29A6668A"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894</w:t>
            </w:r>
          </w:p>
        </w:tc>
        <w:tc>
          <w:tcPr>
            <w:tcW w:w="922" w:type="pct"/>
            <w:tcBorders>
              <w:top w:val="single" w:sz="4" w:space="0" w:color="auto"/>
              <w:left w:val="single" w:sz="4" w:space="0" w:color="auto"/>
              <w:bottom w:val="single" w:sz="4" w:space="0" w:color="auto"/>
              <w:right w:val="single" w:sz="4" w:space="0" w:color="auto"/>
            </w:tcBorders>
            <w:hideMark/>
          </w:tcPr>
          <w:p w14:paraId="6FB87719"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1</w:t>
            </w:r>
          </w:p>
        </w:tc>
        <w:tc>
          <w:tcPr>
            <w:tcW w:w="922" w:type="pct"/>
            <w:tcBorders>
              <w:top w:val="single" w:sz="4" w:space="0" w:color="auto"/>
              <w:left w:val="single" w:sz="4" w:space="0" w:color="auto"/>
              <w:bottom w:val="single" w:sz="4" w:space="0" w:color="auto"/>
              <w:right w:val="single" w:sz="4" w:space="0" w:color="auto"/>
            </w:tcBorders>
            <w:hideMark/>
          </w:tcPr>
          <w:p w14:paraId="12BDF86A"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7AE3D99F"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33625DAB"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ONUDI</w:t>
            </w:r>
          </w:p>
        </w:tc>
        <w:tc>
          <w:tcPr>
            <w:tcW w:w="922" w:type="pct"/>
            <w:tcBorders>
              <w:top w:val="single" w:sz="4" w:space="0" w:color="auto"/>
              <w:left w:val="single" w:sz="4" w:space="0" w:color="auto"/>
              <w:bottom w:val="single" w:sz="4" w:space="0" w:color="auto"/>
              <w:right w:val="single" w:sz="4" w:space="0" w:color="auto"/>
            </w:tcBorders>
            <w:hideMark/>
          </w:tcPr>
          <w:p w14:paraId="5FB025BD"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448</w:t>
            </w:r>
          </w:p>
        </w:tc>
        <w:tc>
          <w:tcPr>
            <w:tcW w:w="922" w:type="pct"/>
            <w:tcBorders>
              <w:top w:val="single" w:sz="4" w:space="0" w:color="auto"/>
              <w:left w:val="single" w:sz="4" w:space="0" w:color="auto"/>
              <w:bottom w:val="single" w:sz="4" w:space="0" w:color="auto"/>
              <w:right w:val="single" w:sz="4" w:space="0" w:color="auto"/>
            </w:tcBorders>
            <w:hideMark/>
          </w:tcPr>
          <w:p w14:paraId="03A49B7B"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448</w:t>
            </w:r>
          </w:p>
        </w:tc>
        <w:tc>
          <w:tcPr>
            <w:tcW w:w="922" w:type="pct"/>
            <w:tcBorders>
              <w:top w:val="single" w:sz="4" w:space="0" w:color="auto"/>
              <w:left w:val="single" w:sz="4" w:space="0" w:color="auto"/>
              <w:bottom w:val="single" w:sz="4" w:space="0" w:color="auto"/>
              <w:right w:val="single" w:sz="4" w:space="0" w:color="auto"/>
            </w:tcBorders>
            <w:hideMark/>
          </w:tcPr>
          <w:p w14:paraId="5CED6CAA"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1B6E8B54"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r>
      <w:tr w:rsidR="00B4447D" w:rsidRPr="006E3020" w14:paraId="4F54AB57"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1220AD3D" w14:textId="77777777" w:rsidR="00B4447D" w:rsidRPr="006E3020" w:rsidRDefault="00B4447D" w:rsidP="00C072C9">
            <w:pPr>
              <w:suppressAutoHyphens/>
              <w:jc w:val="left"/>
              <w:rPr>
                <w:snapToGrid w:val="0"/>
                <w:sz w:val="21"/>
                <w:szCs w:val="21"/>
                <w:lang w:val="fr-FR"/>
              </w:rPr>
            </w:pPr>
            <w:r w:rsidRPr="006E3020">
              <w:rPr>
                <w:snapToGrid w:val="0"/>
                <w:sz w:val="21"/>
                <w:szCs w:val="21"/>
                <w:lang w:val="fr-FR"/>
              </w:rPr>
              <w:t>Banque mondiale</w:t>
            </w:r>
          </w:p>
        </w:tc>
        <w:tc>
          <w:tcPr>
            <w:tcW w:w="922" w:type="pct"/>
            <w:tcBorders>
              <w:top w:val="single" w:sz="4" w:space="0" w:color="auto"/>
              <w:left w:val="single" w:sz="4" w:space="0" w:color="auto"/>
              <w:bottom w:val="single" w:sz="4" w:space="0" w:color="auto"/>
              <w:right w:val="single" w:sz="4" w:space="0" w:color="auto"/>
            </w:tcBorders>
            <w:hideMark/>
          </w:tcPr>
          <w:p w14:paraId="0AA2B609"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457</w:t>
            </w:r>
          </w:p>
        </w:tc>
        <w:tc>
          <w:tcPr>
            <w:tcW w:w="922" w:type="pct"/>
            <w:tcBorders>
              <w:top w:val="single" w:sz="4" w:space="0" w:color="auto"/>
              <w:left w:val="single" w:sz="4" w:space="0" w:color="auto"/>
              <w:bottom w:val="single" w:sz="4" w:space="0" w:color="auto"/>
              <w:right w:val="single" w:sz="4" w:space="0" w:color="auto"/>
            </w:tcBorders>
            <w:hideMark/>
          </w:tcPr>
          <w:p w14:paraId="1F2E2594"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452</w:t>
            </w:r>
          </w:p>
        </w:tc>
        <w:tc>
          <w:tcPr>
            <w:tcW w:w="922" w:type="pct"/>
            <w:tcBorders>
              <w:top w:val="single" w:sz="4" w:space="0" w:color="auto"/>
              <w:left w:val="single" w:sz="4" w:space="0" w:color="auto"/>
              <w:bottom w:val="single" w:sz="4" w:space="0" w:color="auto"/>
              <w:right w:val="single" w:sz="4" w:space="0" w:color="auto"/>
            </w:tcBorders>
            <w:hideMark/>
          </w:tcPr>
          <w:p w14:paraId="48645BFB"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0</w:t>
            </w:r>
          </w:p>
        </w:tc>
        <w:tc>
          <w:tcPr>
            <w:tcW w:w="922" w:type="pct"/>
            <w:tcBorders>
              <w:top w:val="single" w:sz="4" w:space="0" w:color="auto"/>
              <w:left w:val="single" w:sz="4" w:space="0" w:color="auto"/>
              <w:bottom w:val="single" w:sz="4" w:space="0" w:color="auto"/>
              <w:right w:val="single" w:sz="4" w:space="0" w:color="auto"/>
            </w:tcBorders>
            <w:hideMark/>
          </w:tcPr>
          <w:p w14:paraId="4D299562" w14:textId="77777777" w:rsidR="00B4447D" w:rsidRPr="006E3020" w:rsidRDefault="00B4447D" w:rsidP="00C072C9">
            <w:pPr>
              <w:suppressAutoHyphens/>
              <w:jc w:val="center"/>
              <w:rPr>
                <w:snapToGrid w:val="0"/>
                <w:sz w:val="20"/>
                <w:szCs w:val="20"/>
                <w:lang w:val="fr-FR"/>
              </w:rPr>
            </w:pPr>
            <w:r w:rsidRPr="006E3020">
              <w:rPr>
                <w:snapToGrid w:val="0"/>
                <w:sz w:val="20"/>
                <w:szCs w:val="20"/>
                <w:lang w:val="fr-FR"/>
              </w:rPr>
              <w:t>5</w:t>
            </w:r>
          </w:p>
        </w:tc>
      </w:tr>
      <w:tr w:rsidR="00B4447D" w:rsidRPr="006E3020" w14:paraId="168DCF57" w14:textId="77777777" w:rsidTr="00C072C9">
        <w:trPr>
          <w:cantSplit/>
        </w:trPr>
        <w:tc>
          <w:tcPr>
            <w:tcW w:w="1312" w:type="pct"/>
            <w:tcBorders>
              <w:top w:val="single" w:sz="4" w:space="0" w:color="auto"/>
              <w:left w:val="single" w:sz="4" w:space="0" w:color="auto"/>
              <w:bottom w:val="single" w:sz="4" w:space="0" w:color="auto"/>
              <w:right w:val="single" w:sz="4" w:space="0" w:color="auto"/>
            </w:tcBorders>
            <w:hideMark/>
          </w:tcPr>
          <w:p w14:paraId="7E3E012B" w14:textId="77777777" w:rsidR="00B4447D" w:rsidRPr="006E3020" w:rsidRDefault="00B4447D" w:rsidP="00C072C9">
            <w:pPr>
              <w:suppressAutoHyphens/>
              <w:jc w:val="left"/>
              <w:rPr>
                <w:b/>
                <w:snapToGrid w:val="0"/>
                <w:sz w:val="21"/>
                <w:szCs w:val="21"/>
                <w:lang w:val="fr-FR"/>
              </w:rPr>
            </w:pPr>
            <w:r w:rsidRPr="006E3020">
              <w:rPr>
                <w:b/>
                <w:snapToGrid w:val="0"/>
                <w:sz w:val="21"/>
                <w:szCs w:val="21"/>
                <w:lang w:val="fr-FR"/>
              </w:rPr>
              <w:t>Total</w:t>
            </w:r>
          </w:p>
        </w:tc>
        <w:tc>
          <w:tcPr>
            <w:tcW w:w="922" w:type="pct"/>
            <w:tcBorders>
              <w:top w:val="single" w:sz="4" w:space="0" w:color="auto"/>
              <w:left w:val="single" w:sz="4" w:space="0" w:color="auto"/>
              <w:bottom w:val="single" w:sz="4" w:space="0" w:color="auto"/>
              <w:right w:val="single" w:sz="4" w:space="0" w:color="auto"/>
            </w:tcBorders>
            <w:hideMark/>
          </w:tcPr>
          <w:p w14:paraId="2BBFC349" w14:textId="7A64A48E" w:rsidR="00B4447D" w:rsidRPr="006E3020" w:rsidRDefault="00B4447D" w:rsidP="00C072C9">
            <w:pPr>
              <w:tabs>
                <w:tab w:val="left" w:pos="600"/>
                <w:tab w:val="center" w:pos="915"/>
              </w:tabs>
              <w:suppressAutoHyphens/>
              <w:jc w:val="center"/>
              <w:rPr>
                <w:b/>
                <w:snapToGrid w:val="0"/>
                <w:sz w:val="20"/>
                <w:szCs w:val="20"/>
                <w:lang w:val="fr-FR"/>
              </w:rPr>
            </w:pPr>
            <w:r w:rsidRPr="006E3020">
              <w:rPr>
                <w:b/>
                <w:snapToGrid w:val="0"/>
                <w:sz w:val="20"/>
                <w:szCs w:val="20"/>
                <w:lang w:val="fr-FR"/>
              </w:rPr>
              <w:t>1</w:t>
            </w:r>
            <w:r w:rsidR="0013475C">
              <w:rPr>
                <w:b/>
                <w:snapToGrid w:val="0"/>
                <w:sz w:val="20"/>
                <w:szCs w:val="20"/>
                <w:lang w:val="fr-FR"/>
              </w:rPr>
              <w:t> </w:t>
            </w:r>
            <w:r w:rsidRPr="006E3020">
              <w:rPr>
                <w:b/>
                <w:snapToGrid w:val="0"/>
                <w:sz w:val="20"/>
                <w:szCs w:val="20"/>
                <w:lang w:val="fr-FR"/>
              </w:rPr>
              <w:t>854</w:t>
            </w:r>
          </w:p>
        </w:tc>
        <w:tc>
          <w:tcPr>
            <w:tcW w:w="922" w:type="pct"/>
            <w:tcBorders>
              <w:top w:val="single" w:sz="4" w:space="0" w:color="auto"/>
              <w:left w:val="single" w:sz="4" w:space="0" w:color="auto"/>
              <w:bottom w:val="single" w:sz="4" w:space="0" w:color="auto"/>
              <w:right w:val="single" w:sz="4" w:space="0" w:color="auto"/>
            </w:tcBorders>
            <w:hideMark/>
          </w:tcPr>
          <w:p w14:paraId="76B39A50" w14:textId="50867771" w:rsidR="00B4447D" w:rsidRPr="006E3020" w:rsidRDefault="00B4447D" w:rsidP="00C072C9">
            <w:pPr>
              <w:suppressAutoHyphens/>
              <w:jc w:val="center"/>
              <w:rPr>
                <w:b/>
                <w:snapToGrid w:val="0"/>
                <w:sz w:val="20"/>
                <w:szCs w:val="20"/>
                <w:lang w:val="fr-FR"/>
              </w:rPr>
            </w:pPr>
            <w:r w:rsidRPr="006E3020">
              <w:rPr>
                <w:b/>
                <w:snapToGrid w:val="0"/>
                <w:sz w:val="20"/>
                <w:szCs w:val="20"/>
                <w:lang w:val="fr-FR"/>
              </w:rPr>
              <w:t>1</w:t>
            </w:r>
            <w:r w:rsidR="0013475C">
              <w:rPr>
                <w:b/>
                <w:snapToGrid w:val="0"/>
                <w:sz w:val="20"/>
                <w:szCs w:val="20"/>
                <w:lang w:val="fr-FR"/>
              </w:rPr>
              <w:t> </w:t>
            </w:r>
            <w:r w:rsidRPr="006E3020">
              <w:rPr>
                <w:b/>
                <w:snapToGrid w:val="0"/>
                <w:sz w:val="20"/>
                <w:szCs w:val="20"/>
                <w:lang w:val="fr-FR"/>
              </w:rPr>
              <w:t>846</w:t>
            </w:r>
          </w:p>
        </w:tc>
        <w:tc>
          <w:tcPr>
            <w:tcW w:w="922" w:type="pct"/>
            <w:tcBorders>
              <w:top w:val="single" w:sz="4" w:space="0" w:color="auto"/>
              <w:left w:val="single" w:sz="4" w:space="0" w:color="auto"/>
              <w:bottom w:val="single" w:sz="4" w:space="0" w:color="auto"/>
              <w:right w:val="single" w:sz="4" w:space="0" w:color="auto"/>
            </w:tcBorders>
            <w:hideMark/>
          </w:tcPr>
          <w:p w14:paraId="6333E440" w14:textId="77777777" w:rsidR="00B4447D" w:rsidRPr="006E3020" w:rsidRDefault="00B4447D" w:rsidP="00C072C9">
            <w:pPr>
              <w:suppressAutoHyphens/>
              <w:jc w:val="center"/>
              <w:rPr>
                <w:b/>
                <w:snapToGrid w:val="0"/>
                <w:sz w:val="20"/>
                <w:szCs w:val="20"/>
                <w:lang w:val="fr-FR"/>
              </w:rPr>
            </w:pPr>
            <w:r w:rsidRPr="006E3020">
              <w:rPr>
                <w:b/>
                <w:snapToGrid w:val="0"/>
                <w:sz w:val="20"/>
                <w:szCs w:val="20"/>
                <w:lang w:val="fr-FR"/>
              </w:rPr>
              <w:t>2</w:t>
            </w:r>
          </w:p>
        </w:tc>
        <w:tc>
          <w:tcPr>
            <w:tcW w:w="922" w:type="pct"/>
            <w:tcBorders>
              <w:top w:val="single" w:sz="4" w:space="0" w:color="auto"/>
              <w:left w:val="single" w:sz="4" w:space="0" w:color="auto"/>
              <w:bottom w:val="single" w:sz="4" w:space="0" w:color="auto"/>
              <w:right w:val="single" w:sz="4" w:space="0" w:color="auto"/>
            </w:tcBorders>
            <w:hideMark/>
          </w:tcPr>
          <w:p w14:paraId="58C84862" w14:textId="77777777" w:rsidR="00B4447D" w:rsidRPr="006E3020" w:rsidRDefault="00B4447D" w:rsidP="00C072C9">
            <w:pPr>
              <w:suppressAutoHyphens/>
              <w:jc w:val="center"/>
              <w:rPr>
                <w:b/>
                <w:snapToGrid w:val="0"/>
                <w:sz w:val="20"/>
                <w:szCs w:val="20"/>
                <w:lang w:val="fr-FR"/>
              </w:rPr>
            </w:pPr>
            <w:r w:rsidRPr="006E3020">
              <w:rPr>
                <w:b/>
                <w:snapToGrid w:val="0"/>
                <w:sz w:val="20"/>
                <w:szCs w:val="20"/>
                <w:lang w:val="fr-FR"/>
              </w:rPr>
              <w:t>6</w:t>
            </w:r>
          </w:p>
        </w:tc>
      </w:tr>
    </w:tbl>
    <w:p w14:paraId="5957FA1F" w14:textId="5EC54BDF" w:rsidR="00B4447D" w:rsidRPr="006E3020" w:rsidRDefault="00B4447D" w:rsidP="00B4447D">
      <w:pPr>
        <w:pStyle w:val="Heading1"/>
        <w:numPr>
          <w:ilvl w:val="0"/>
          <w:numId w:val="23"/>
        </w:numPr>
        <w:spacing w:before="240"/>
        <w:rPr>
          <w:lang w:val="fr-FR"/>
        </w:rPr>
      </w:pPr>
      <w:r w:rsidRPr="006E3020">
        <w:rPr>
          <w:lang w:val="fr-FR"/>
        </w:rPr>
        <w:t>Sur les 1</w:t>
      </w:r>
      <w:r w:rsidR="0013475C">
        <w:rPr>
          <w:lang w:val="fr-FR"/>
        </w:rPr>
        <w:t> </w:t>
      </w:r>
      <w:r w:rsidRPr="006E3020">
        <w:rPr>
          <w:lang w:val="fr-FR"/>
        </w:rPr>
        <w:t>216 projets ne portant pas sur des investissements</w:t>
      </w:r>
      <w:r w:rsidRPr="006E3020">
        <w:rPr>
          <w:rStyle w:val="FootnoteReference"/>
          <w:lang w:val="fr-FR"/>
        </w:rPr>
        <w:footnoteReference w:id="2"/>
      </w:r>
      <w:r w:rsidRPr="006E3020">
        <w:rPr>
          <w:lang w:val="fr-FR"/>
        </w:rPr>
        <w:t xml:space="preserve"> menés à bien, les agences bilatérales et d’exécution ont soumis 1</w:t>
      </w:r>
      <w:r w:rsidR="0013475C">
        <w:rPr>
          <w:lang w:val="fr-FR"/>
        </w:rPr>
        <w:t> </w:t>
      </w:r>
      <w:r w:rsidRPr="006E3020">
        <w:rPr>
          <w:lang w:val="fr-FR"/>
        </w:rPr>
        <w:t>184 rapports d’achèvement de projet, soit 32 rapports d’achèvement de projets en souffrance, comme l’indique le tableau</w:t>
      </w:r>
      <w:r w:rsidR="00852D8F">
        <w:rPr>
          <w:lang w:val="fr-FR"/>
        </w:rPr>
        <w:t> </w:t>
      </w:r>
      <w:r w:rsidRPr="006E3020">
        <w:rPr>
          <w:lang w:val="fr-FR"/>
        </w:rPr>
        <w:t xml:space="preserve">4. </w:t>
      </w:r>
    </w:p>
    <w:p w14:paraId="1F2355F9" w14:textId="2BA47B88" w:rsidR="00B4447D" w:rsidRPr="006E3020" w:rsidRDefault="00B4447D" w:rsidP="00B4447D">
      <w:pPr>
        <w:pStyle w:val="FootnoteText"/>
        <w:keepNext/>
        <w:keepLines/>
        <w:ind w:left="14"/>
        <w:contextualSpacing/>
        <w:rPr>
          <w:b/>
          <w:sz w:val="21"/>
          <w:szCs w:val="21"/>
        </w:rPr>
      </w:pPr>
      <w:r w:rsidRPr="006E3020">
        <w:rPr>
          <w:b/>
          <w:sz w:val="21"/>
          <w:szCs w:val="21"/>
        </w:rPr>
        <w:t>Tableau</w:t>
      </w:r>
      <w:r w:rsidR="00852D8F">
        <w:rPr>
          <w:b/>
          <w:sz w:val="21"/>
          <w:szCs w:val="21"/>
        </w:rPr>
        <w:t> </w:t>
      </w:r>
      <w:r w:rsidRPr="006E3020">
        <w:rPr>
          <w:b/>
          <w:sz w:val="21"/>
          <w:szCs w:val="21"/>
        </w:rPr>
        <w:t>4. Rapports d’achèvement de projet soumis pour des projets ne portant pas sur des investissements</w:t>
      </w: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60"/>
        <w:gridCol w:w="2127"/>
        <w:gridCol w:w="2255"/>
        <w:gridCol w:w="1844"/>
      </w:tblGrid>
      <w:tr w:rsidR="00B4447D" w:rsidRPr="006E3020" w14:paraId="574F0EA3" w14:textId="77777777" w:rsidTr="00C072C9">
        <w:trPr>
          <w:trHeight w:val="467"/>
          <w:tblHeader/>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29A5FBB6" w14:textId="77777777" w:rsidR="00B4447D" w:rsidRPr="006E3020" w:rsidRDefault="00B4447D" w:rsidP="00C072C9">
            <w:pPr>
              <w:jc w:val="left"/>
              <w:rPr>
                <w:b/>
                <w:color w:val="000000"/>
                <w:sz w:val="20"/>
                <w:szCs w:val="20"/>
                <w:lang w:val="fr-FR"/>
              </w:rPr>
            </w:pPr>
            <w:r w:rsidRPr="006E3020">
              <w:rPr>
                <w:b/>
                <w:color w:val="000000"/>
                <w:sz w:val="20"/>
                <w:szCs w:val="20"/>
                <w:lang w:val="fr-FR"/>
              </w:rPr>
              <w:t>Agence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FB64F2E" w14:textId="77777777" w:rsidR="00B4447D" w:rsidRPr="006E3020" w:rsidRDefault="00B4447D" w:rsidP="00C072C9">
            <w:pPr>
              <w:jc w:val="center"/>
              <w:rPr>
                <w:b/>
                <w:color w:val="000000"/>
                <w:sz w:val="20"/>
                <w:szCs w:val="20"/>
                <w:lang w:val="fr-FR"/>
              </w:rPr>
            </w:pPr>
            <w:r w:rsidRPr="006E3020">
              <w:rPr>
                <w:b/>
                <w:color w:val="000000"/>
                <w:sz w:val="20"/>
                <w:szCs w:val="20"/>
                <w:lang w:val="fr-FR"/>
              </w:rPr>
              <w:t>Achevés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087E49" w14:textId="77777777" w:rsidR="00B4447D" w:rsidRPr="006E3020" w:rsidRDefault="00B4447D" w:rsidP="00C072C9">
            <w:pPr>
              <w:jc w:val="center"/>
              <w:rPr>
                <w:b/>
                <w:sz w:val="20"/>
                <w:szCs w:val="20"/>
                <w:lang w:val="fr-FR"/>
              </w:rPr>
            </w:pPr>
            <w:r w:rsidRPr="006E3020">
              <w:rPr>
                <w:b/>
                <w:sz w:val="20"/>
                <w:szCs w:val="20"/>
                <w:lang w:val="fr-FR"/>
              </w:rPr>
              <w:t xml:space="preserve">Reçus avant la </w:t>
            </w:r>
          </w:p>
          <w:p w14:paraId="10E1A9EA" w14:textId="77777777" w:rsidR="00B4447D" w:rsidRPr="006E3020" w:rsidRDefault="00B4447D" w:rsidP="00C072C9">
            <w:pPr>
              <w:jc w:val="center"/>
              <w:rPr>
                <w:b/>
                <w:sz w:val="20"/>
                <w:szCs w:val="20"/>
                <w:lang w:val="fr-FR"/>
              </w:rPr>
            </w:pPr>
            <w:r w:rsidRPr="006E3020">
              <w:rPr>
                <w:b/>
                <w:sz w:val="20"/>
                <w:szCs w:val="20"/>
                <w:lang w:val="fr-FR"/>
              </w:rPr>
              <w:t>83e réunion</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C401EFF" w14:textId="77777777" w:rsidR="00B4447D" w:rsidRPr="006E3020" w:rsidRDefault="00B4447D" w:rsidP="00C072C9">
            <w:pPr>
              <w:jc w:val="center"/>
              <w:rPr>
                <w:b/>
                <w:sz w:val="20"/>
                <w:szCs w:val="20"/>
                <w:lang w:val="fr-FR"/>
              </w:rPr>
            </w:pPr>
            <w:r w:rsidRPr="006E3020">
              <w:rPr>
                <w:b/>
                <w:sz w:val="20"/>
                <w:szCs w:val="20"/>
                <w:lang w:val="fr-FR"/>
              </w:rPr>
              <w:t xml:space="preserve">Reçus après la </w:t>
            </w:r>
          </w:p>
          <w:p w14:paraId="02F1DDD4" w14:textId="77777777" w:rsidR="00B4447D" w:rsidRPr="006E3020" w:rsidRDefault="00B4447D" w:rsidP="00C072C9">
            <w:pPr>
              <w:jc w:val="center"/>
              <w:rPr>
                <w:b/>
                <w:sz w:val="20"/>
                <w:szCs w:val="20"/>
                <w:lang w:val="fr-FR"/>
              </w:rPr>
            </w:pPr>
            <w:r w:rsidRPr="006E3020">
              <w:rPr>
                <w:b/>
                <w:sz w:val="20"/>
                <w:szCs w:val="20"/>
                <w:lang w:val="fr-FR"/>
              </w:rPr>
              <w:t>83e réunion</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3D7C28B" w14:textId="77777777" w:rsidR="00B4447D" w:rsidRPr="006E3020" w:rsidRDefault="00B4447D" w:rsidP="00C072C9">
            <w:pPr>
              <w:jc w:val="center"/>
              <w:rPr>
                <w:b/>
                <w:sz w:val="20"/>
                <w:szCs w:val="20"/>
                <w:lang w:val="fr-FR"/>
              </w:rPr>
            </w:pPr>
            <w:r w:rsidRPr="006E3020">
              <w:rPr>
                <w:b/>
                <w:sz w:val="20"/>
                <w:szCs w:val="20"/>
                <w:lang w:val="fr-FR"/>
              </w:rPr>
              <w:t>En souffrance</w:t>
            </w:r>
          </w:p>
        </w:tc>
      </w:tr>
      <w:tr w:rsidR="00B4447D" w:rsidRPr="006E3020" w14:paraId="69D97FD0"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EF16047" w14:textId="77777777" w:rsidR="00B4447D" w:rsidRPr="006E3020" w:rsidRDefault="00B4447D" w:rsidP="00C072C9">
            <w:pPr>
              <w:jc w:val="left"/>
              <w:rPr>
                <w:color w:val="000000"/>
                <w:sz w:val="20"/>
                <w:szCs w:val="20"/>
                <w:lang w:val="fr-FR"/>
              </w:rPr>
            </w:pPr>
            <w:r w:rsidRPr="006E3020">
              <w:rPr>
                <w:color w:val="000000"/>
                <w:sz w:val="20"/>
                <w:szCs w:val="20"/>
                <w:lang w:val="fr-FR"/>
              </w:rPr>
              <w:t>Canada</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5D074E32" w14:textId="77777777" w:rsidR="00B4447D" w:rsidRPr="006E3020" w:rsidRDefault="00B4447D" w:rsidP="00C072C9">
            <w:pPr>
              <w:ind w:left="-25" w:right="-605"/>
              <w:jc w:val="center"/>
              <w:rPr>
                <w:sz w:val="20"/>
                <w:szCs w:val="20"/>
                <w:lang w:val="fr-FR"/>
              </w:rPr>
            </w:pPr>
            <w:r w:rsidRPr="006E3020">
              <w:rPr>
                <w:sz w:val="20"/>
                <w:szCs w:val="20"/>
                <w:lang w:val="fr-FR"/>
              </w:rPr>
              <w:t>57</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C4FBC29" w14:textId="77777777" w:rsidR="00B4447D" w:rsidRPr="006E3020" w:rsidRDefault="00B4447D" w:rsidP="00C072C9">
            <w:pPr>
              <w:ind w:left="778"/>
              <w:jc w:val="center"/>
              <w:rPr>
                <w:sz w:val="20"/>
                <w:szCs w:val="20"/>
                <w:lang w:val="fr-FR"/>
              </w:rPr>
            </w:pPr>
            <w:r w:rsidRPr="006E3020">
              <w:rPr>
                <w:sz w:val="20"/>
                <w:szCs w:val="20"/>
                <w:lang w:val="fr-FR"/>
              </w:rPr>
              <w:t>56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9F27598"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05961613" w14:textId="77777777" w:rsidR="00B4447D" w:rsidRPr="006E3020" w:rsidRDefault="00B4447D" w:rsidP="00C072C9">
            <w:pPr>
              <w:ind w:right="-799"/>
              <w:jc w:val="center"/>
              <w:rPr>
                <w:sz w:val="20"/>
                <w:szCs w:val="20"/>
                <w:lang w:val="fr-FR"/>
              </w:rPr>
            </w:pPr>
            <w:r w:rsidRPr="006E3020">
              <w:rPr>
                <w:sz w:val="20"/>
                <w:szCs w:val="20"/>
                <w:lang w:val="fr-FR"/>
              </w:rPr>
              <w:t>1</w:t>
            </w:r>
          </w:p>
        </w:tc>
      </w:tr>
      <w:tr w:rsidR="00B4447D" w:rsidRPr="006E3020" w14:paraId="16BDEFFC"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58092F25" w14:textId="77777777" w:rsidR="00B4447D" w:rsidRPr="006E3020" w:rsidRDefault="00B4447D" w:rsidP="00C072C9">
            <w:pPr>
              <w:jc w:val="left"/>
              <w:rPr>
                <w:color w:val="000000"/>
                <w:sz w:val="20"/>
                <w:szCs w:val="20"/>
                <w:lang w:val="fr-FR"/>
              </w:rPr>
            </w:pPr>
            <w:r w:rsidRPr="006E3020">
              <w:rPr>
                <w:color w:val="000000"/>
                <w:sz w:val="20"/>
                <w:szCs w:val="20"/>
                <w:lang w:val="fr-FR"/>
              </w:rPr>
              <w:t>France</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73627D73" w14:textId="77777777" w:rsidR="00B4447D" w:rsidRPr="006E3020" w:rsidRDefault="00B4447D" w:rsidP="00C072C9">
            <w:pPr>
              <w:ind w:left="-25" w:right="-605"/>
              <w:jc w:val="center"/>
              <w:rPr>
                <w:sz w:val="20"/>
                <w:szCs w:val="20"/>
                <w:lang w:val="fr-FR"/>
              </w:rPr>
            </w:pPr>
            <w:r w:rsidRPr="006E3020">
              <w:rPr>
                <w:sz w:val="20"/>
                <w:szCs w:val="20"/>
                <w:lang w:val="fr-FR"/>
              </w:rPr>
              <w:t>34</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4738AE8" w14:textId="77777777" w:rsidR="00B4447D" w:rsidRPr="006E3020" w:rsidRDefault="00B4447D" w:rsidP="00C072C9">
            <w:pPr>
              <w:ind w:left="778"/>
              <w:jc w:val="center"/>
              <w:rPr>
                <w:sz w:val="20"/>
                <w:szCs w:val="20"/>
                <w:lang w:val="fr-FR"/>
              </w:rPr>
            </w:pPr>
            <w:r w:rsidRPr="006E3020">
              <w:rPr>
                <w:sz w:val="20"/>
                <w:szCs w:val="20"/>
                <w:lang w:val="fr-FR"/>
              </w:rPr>
              <w:t>34</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FA4AFEF"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BFE52DE" w14:textId="77777777" w:rsidR="00B4447D" w:rsidRPr="006E3020" w:rsidRDefault="00B4447D" w:rsidP="00C072C9">
            <w:pPr>
              <w:ind w:right="-799"/>
              <w:jc w:val="center"/>
              <w:rPr>
                <w:sz w:val="20"/>
                <w:szCs w:val="20"/>
                <w:lang w:val="fr-FR"/>
              </w:rPr>
            </w:pPr>
            <w:r w:rsidRPr="006E3020">
              <w:rPr>
                <w:sz w:val="20"/>
                <w:szCs w:val="20"/>
                <w:lang w:val="fr-FR"/>
              </w:rPr>
              <w:t>0</w:t>
            </w:r>
          </w:p>
        </w:tc>
      </w:tr>
      <w:tr w:rsidR="00B4447D" w:rsidRPr="006E3020" w14:paraId="72B69ECD"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FAC483A" w14:textId="77777777" w:rsidR="00B4447D" w:rsidRPr="006E3020" w:rsidRDefault="00B4447D" w:rsidP="00C072C9">
            <w:pPr>
              <w:jc w:val="left"/>
              <w:rPr>
                <w:color w:val="000000"/>
                <w:sz w:val="20"/>
                <w:szCs w:val="20"/>
                <w:lang w:val="fr-FR"/>
              </w:rPr>
            </w:pPr>
            <w:r w:rsidRPr="006E3020">
              <w:rPr>
                <w:color w:val="000000"/>
                <w:sz w:val="20"/>
                <w:szCs w:val="20"/>
                <w:lang w:val="fr-FR"/>
              </w:rPr>
              <w:t>Allemagne</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5F5B9CF4" w14:textId="77777777" w:rsidR="00B4447D" w:rsidRPr="006E3020" w:rsidRDefault="00B4447D" w:rsidP="00C072C9">
            <w:pPr>
              <w:ind w:left="-25" w:right="-605"/>
              <w:jc w:val="center"/>
              <w:rPr>
                <w:sz w:val="20"/>
                <w:szCs w:val="20"/>
                <w:lang w:val="fr-FR"/>
              </w:rPr>
            </w:pPr>
            <w:r w:rsidRPr="006E3020">
              <w:rPr>
                <w:sz w:val="20"/>
                <w:szCs w:val="20"/>
                <w:lang w:val="fr-FR"/>
              </w:rPr>
              <w:t>61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58A12C35" w14:textId="77777777" w:rsidR="00B4447D" w:rsidRPr="006E3020" w:rsidRDefault="00B4447D" w:rsidP="00C072C9">
            <w:pPr>
              <w:ind w:left="778"/>
              <w:jc w:val="center"/>
              <w:rPr>
                <w:sz w:val="20"/>
                <w:szCs w:val="20"/>
                <w:lang w:val="fr-FR"/>
              </w:rPr>
            </w:pPr>
            <w:r w:rsidRPr="006E3020">
              <w:rPr>
                <w:sz w:val="20"/>
                <w:szCs w:val="20"/>
                <w:lang w:val="fr-FR"/>
              </w:rPr>
              <w:t>60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A29D8DA"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270F6BD" w14:textId="77777777" w:rsidR="00B4447D" w:rsidRPr="006E3020" w:rsidRDefault="00B4447D" w:rsidP="00C072C9">
            <w:pPr>
              <w:ind w:right="-799"/>
              <w:jc w:val="center"/>
              <w:rPr>
                <w:sz w:val="20"/>
                <w:szCs w:val="20"/>
                <w:lang w:val="fr-FR"/>
              </w:rPr>
            </w:pPr>
            <w:r w:rsidRPr="006E3020">
              <w:rPr>
                <w:sz w:val="20"/>
                <w:szCs w:val="20"/>
                <w:lang w:val="fr-FR"/>
              </w:rPr>
              <w:t>1</w:t>
            </w:r>
          </w:p>
        </w:tc>
      </w:tr>
      <w:tr w:rsidR="00B4447D" w:rsidRPr="006E3020" w14:paraId="071355CA"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62F71F46" w14:textId="77777777" w:rsidR="00B4447D" w:rsidRPr="006E3020" w:rsidRDefault="00B4447D" w:rsidP="00C072C9">
            <w:pPr>
              <w:jc w:val="left"/>
              <w:rPr>
                <w:color w:val="000000"/>
                <w:sz w:val="20"/>
                <w:szCs w:val="20"/>
                <w:lang w:val="fr-FR"/>
              </w:rPr>
            </w:pPr>
            <w:r w:rsidRPr="006E3020">
              <w:rPr>
                <w:color w:val="000000"/>
                <w:sz w:val="20"/>
                <w:szCs w:val="20"/>
                <w:lang w:val="fr-FR"/>
              </w:rPr>
              <w:t>Italie</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3D77A38F" w14:textId="77777777" w:rsidR="00B4447D" w:rsidRPr="006E3020" w:rsidRDefault="00B4447D" w:rsidP="00C072C9">
            <w:pPr>
              <w:ind w:left="-25" w:right="-605"/>
              <w:jc w:val="center"/>
              <w:rPr>
                <w:sz w:val="20"/>
                <w:szCs w:val="20"/>
                <w:lang w:val="fr-FR"/>
              </w:rPr>
            </w:pPr>
            <w:r w:rsidRPr="006E3020">
              <w:rPr>
                <w:sz w:val="20"/>
                <w:szCs w:val="20"/>
                <w:lang w:val="fr-FR"/>
              </w:rPr>
              <w:t>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1CA8AB4" w14:textId="77777777" w:rsidR="00B4447D" w:rsidRPr="006E3020" w:rsidRDefault="00B4447D" w:rsidP="00C072C9">
            <w:pPr>
              <w:ind w:left="778"/>
              <w:jc w:val="center"/>
              <w:rPr>
                <w:sz w:val="20"/>
                <w:szCs w:val="20"/>
                <w:lang w:val="fr-FR"/>
              </w:rPr>
            </w:pPr>
            <w:r w:rsidRPr="006E3020">
              <w:rPr>
                <w:sz w:val="20"/>
                <w:szCs w:val="20"/>
                <w:lang w:val="fr-FR"/>
              </w:rPr>
              <w:t>1</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237E87E"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5DF0016" w14:textId="77777777" w:rsidR="00B4447D" w:rsidRPr="006E3020" w:rsidRDefault="00B4447D" w:rsidP="00C072C9">
            <w:pPr>
              <w:ind w:right="-799"/>
              <w:jc w:val="center"/>
              <w:rPr>
                <w:sz w:val="20"/>
                <w:szCs w:val="20"/>
                <w:lang w:val="fr-FR"/>
              </w:rPr>
            </w:pPr>
            <w:r w:rsidRPr="006E3020">
              <w:rPr>
                <w:sz w:val="20"/>
                <w:szCs w:val="20"/>
                <w:lang w:val="fr-FR"/>
              </w:rPr>
              <w:t>0</w:t>
            </w:r>
          </w:p>
        </w:tc>
      </w:tr>
      <w:tr w:rsidR="00B4447D" w:rsidRPr="006E3020" w14:paraId="4B5E6FCE"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BCEDB5C" w14:textId="77777777" w:rsidR="00B4447D" w:rsidRPr="006E3020" w:rsidRDefault="00B4447D" w:rsidP="00C072C9">
            <w:pPr>
              <w:jc w:val="left"/>
              <w:rPr>
                <w:color w:val="000000"/>
                <w:sz w:val="20"/>
                <w:szCs w:val="20"/>
                <w:lang w:val="fr-FR"/>
              </w:rPr>
            </w:pPr>
            <w:r w:rsidRPr="006E3020">
              <w:rPr>
                <w:color w:val="000000"/>
                <w:sz w:val="20"/>
                <w:szCs w:val="20"/>
                <w:lang w:val="fr-FR"/>
              </w:rPr>
              <w:t>Japon</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19C21C03" w14:textId="77777777" w:rsidR="00B4447D" w:rsidRPr="006E3020" w:rsidRDefault="00B4447D" w:rsidP="00C072C9">
            <w:pPr>
              <w:ind w:left="-25" w:right="-605"/>
              <w:jc w:val="center"/>
              <w:rPr>
                <w:sz w:val="20"/>
                <w:szCs w:val="20"/>
                <w:lang w:val="fr-FR"/>
              </w:rPr>
            </w:pPr>
            <w:r w:rsidRPr="006E3020">
              <w:rPr>
                <w:sz w:val="20"/>
                <w:szCs w:val="20"/>
                <w:lang w:val="fr-FR"/>
              </w:rPr>
              <w:t>17</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6B94C6C" w14:textId="77777777" w:rsidR="00B4447D" w:rsidRPr="006E3020" w:rsidRDefault="00B4447D" w:rsidP="00C072C9">
            <w:pPr>
              <w:ind w:left="778"/>
              <w:jc w:val="center"/>
              <w:rPr>
                <w:sz w:val="20"/>
                <w:szCs w:val="20"/>
                <w:lang w:val="fr-FR"/>
              </w:rPr>
            </w:pPr>
            <w:r w:rsidRPr="006E3020">
              <w:rPr>
                <w:sz w:val="20"/>
                <w:szCs w:val="20"/>
                <w:lang w:val="fr-FR"/>
              </w:rPr>
              <w:t>16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DB5A0F4" w14:textId="77777777" w:rsidR="00B4447D" w:rsidRPr="006E3020" w:rsidRDefault="00B4447D" w:rsidP="00C072C9">
            <w:pPr>
              <w:ind w:left="875"/>
              <w:jc w:val="center"/>
              <w:rPr>
                <w:sz w:val="20"/>
                <w:szCs w:val="20"/>
                <w:lang w:val="fr-FR"/>
              </w:rPr>
            </w:pPr>
            <w:r w:rsidRPr="006E3020">
              <w:rPr>
                <w:sz w:val="20"/>
                <w:szCs w:val="20"/>
                <w:lang w:val="fr-FR"/>
              </w:rPr>
              <w:t>1</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BEC82B0" w14:textId="77777777" w:rsidR="00B4447D" w:rsidRPr="006E3020" w:rsidRDefault="00B4447D" w:rsidP="00C072C9">
            <w:pPr>
              <w:ind w:right="-799"/>
              <w:jc w:val="center"/>
              <w:rPr>
                <w:sz w:val="20"/>
                <w:szCs w:val="20"/>
                <w:lang w:val="fr-FR"/>
              </w:rPr>
            </w:pPr>
            <w:r w:rsidRPr="006E3020">
              <w:rPr>
                <w:sz w:val="20"/>
                <w:szCs w:val="20"/>
                <w:lang w:val="fr-FR"/>
              </w:rPr>
              <w:t>0</w:t>
            </w:r>
          </w:p>
        </w:tc>
      </w:tr>
      <w:tr w:rsidR="00B4447D" w:rsidRPr="006E3020" w14:paraId="246DBCC0"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0F411D3" w14:textId="77777777" w:rsidR="00B4447D" w:rsidRPr="006E3020" w:rsidRDefault="00B4447D" w:rsidP="00C072C9">
            <w:pPr>
              <w:jc w:val="left"/>
              <w:rPr>
                <w:color w:val="000000"/>
                <w:sz w:val="20"/>
                <w:szCs w:val="20"/>
                <w:lang w:val="fr-FR"/>
              </w:rPr>
            </w:pPr>
            <w:r w:rsidRPr="006E3020">
              <w:rPr>
                <w:color w:val="000000"/>
                <w:sz w:val="20"/>
                <w:szCs w:val="20"/>
                <w:lang w:val="fr-FR"/>
              </w:rPr>
              <w:t>Portugal</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2E5C72EB" w14:textId="77777777" w:rsidR="00B4447D" w:rsidRPr="006E3020" w:rsidRDefault="00B4447D" w:rsidP="00C072C9">
            <w:pPr>
              <w:ind w:left="-25" w:right="-605"/>
              <w:jc w:val="center"/>
              <w:rPr>
                <w:sz w:val="20"/>
                <w:szCs w:val="20"/>
                <w:lang w:val="fr-FR"/>
              </w:rPr>
            </w:pPr>
            <w:r w:rsidRPr="006E3020">
              <w:rPr>
                <w:sz w:val="20"/>
                <w:szCs w:val="20"/>
                <w:lang w:val="fr-FR"/>
              </w:rPr>
              <w:t>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BB15BBE" w14:textId="77777777" w:rsidR="00B4447D" w:rsidRPr="006E3020" w:rsidRDefault="00B4447D" w:rsidP="00C072C9">
            <w:pPr>
              <w:ind w:left="778"/>
              <w:jc w:val="center"/>
              <w:rPr>
                <w:sz w:val="20"/>
                <w:szCs w:val="20"/>
                <w:lang w:val="fr-FR"/>
              </w:rPr>
            </w:pPr>
            <w:r w:rsidRPr="006E3020">
              <w:rPr>
                <w:sz w:val="20"/>
                <w:szCs w:val="20"/>
                <w:lang w:val="fr-FR"/>
              </w:rPr>
              <w:t>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E195A1B"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DA2AA58" w14:textId="77777777" w:rsidR="00B4447D" w:rsidRPr="006E3020" w:rsidRDefault="00B4447D" w:rsidP="00C072C9">
            <w:pPr>
              <w:ind w:right="-799"/>
              <w:jc w:val="center"/>
              <w:rPr>
                <w:sz w:val="20"/>
                <w:szCs w:val="20"/>
                <w:lang w:val="fr-FR"/>
              </w:rPr>
            </w:pPr>
            <w:r w:rsidRPr="006E3020">
              <w:rPr>
                <w:sz w:val="20"/>
                <w:szCs w:val="20"/>
                <w:lang w:val="fr-FR"/>
              </w:rPr>
              <w:t>1</w:t>
            </w:r>
          </w:p>
        </w:tc>
      </w:tr>
      <w:tr w:rsidR="00B4447D" w:rsidRPr="006E3020" w14:paraId="236A0028"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20EECFDE" w14:textId="77777777" w:rsidR="00B4447D" w:rsidRPr="006E3020" w:rsidRDefault="00B4447D" w:rsidP="00C072C9">
            <w:pPr>
              <w:jc w:val="left"/>
              <w:rPr>
                <w:color w:val="000000"/>
                <w:sz w:val="20"/>
                <w:szCs w:val="20"/>
                <w:lang w:val="fr-FR"/>
              </w:rPr>
            </w:pPr>
            <w:r w:rsidRPr="006E3020">
              <w:rPr>
                <w:color w:val="000000"/>
                <w:sz w:val="20"/>
                <w:szCs w:val="20"/>
                <w:lang w:val="fr-FR"/>
              </w:rPr>
              <w:t>PNUD</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04A94162" w14:textId="77777777" w:rsidR="00B4447D" w:rsidRPr="006E3020" w:rsidRDefault="00B4447D" w:rsidP="00C072C9">
            <w:pPr>
              <w:ind w:left="-25" w:right="-605"/>
              <w:jc w:val="center"/>
              <w:rPr>
                <w:sz w:val="20"/>
                <w:szCs w:val="20"/>
                <w:lang w:val="fr-FR"/>
              </w:rPr>
            </w:pPr>
            <w:r w:rsidRPr="006E3020">
              <w:rPr>
                <w:sz w:val="20"/>
                <w:szCs w:val="20"/>
                <w:lang w:val="fr-FR"/>
              </w:rPr>
              <w:t>292</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C3DF5E2" w14:textId="77777777" w:rsidR="00B4447D" w:rsidRPr="006E3020" w:rsidRDefault="00B4447D" w:rsidP="00C072C9">
            <w:pPr>
              <w:ind w:left="778"/>
              <w:jc w:val="center"/>
              <w:rPr>
                <w:sz w:val="20"/>
                <w:szCs w:val="20"/>
                <w:lang w:val="fr-FR"/>
              </w:rPr>
            </w:pPr>
            <w:r w:rsidRPr="006E3020">
              <w:rPr>
                <w:sz w:val="20"/>
                <w:szCs w:val="20"/>
                <w:lang w:val="fr-FR"/>
              </w:rPr>
              <w:t>285</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00EE287" w14:textId="77777777" w:rsidR="00B4447D" w:rsidRPr="006E3020" w:rsidRDefault="00B4447D" w:rsidP="00C072C9">
            <w:pPr>
              <w:ind w:left="875"/>
              <w:jc w:val="center"/>
              <w:rPr>
                <w:sz w:val="20"/>
                <w:szCs w:val="20"/>
                <w:lang w:val="fr-FR"/>
              </w:rPr>
            </w:pPr>
            <w:r w:rsidRPr="006E3020">
              <w:rPr>
                <w:sz w:val="20"/>
                <w:szCs w:val="20"/>
                <w:lang w:val="fr-FR"/>
              </w:rPr>
              <w:t>4</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6151F98" w14:textId="77777777" w:rsidR="00B4447D" w:rsidRPr="006E3020" w:rsidRDefault="00B4447D" w:rsidP="00C072C9">
            <w:pPr>
              <w:ind w:right="-799"/>
              <w:jc w:val="center"/>
              <w:rPr>
                <w:sz w:val="20"/>
                <w:szCs w:val="20"/>
                <w:lang w:val="fr-FR"/>
              </w:rPr>
            </w:pPr>
            <w:r w:rsidRPr="006E3020">
              <w:rPr>
                <w:sz w:val="20"/>
                <w:szCs w:val="20"/>
                <w:lang w:val="fr-FR"/>
              </w:rPr>
              <w:t>3</w:t>
            </w:r>
          </w:p>
        </w:tc>
      </w:tr>
      <w:tr w:rsidR="00B4447D" w:rsidRPr="006E3020" w14:paraId="76737D71"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3494D4C6" w14:textId="77777777" w:rsidR="00B4447D" w:rsidRPr="006E3020" w:rsidRDefault="00B4447D" w:rsidP="00C072C9">
            <w:pPr>
              <w:jc w:val="left"/>
              <w:rPr>
                <w:color w:val="000000"/>
                <w:sz w:val="20"/>
                <w:szCs w:val="20"/>
                <w:lang w:val="fr-FR"/>
              </w:rPr>
            </w:pPr>
            <w:r w:rsidRPr="006E3020">
              <w:rPr>
                <w:color w:val="000000"/>
                <w:sz w:val="20"/>
                <w:szCs w:val="20"/>
                <w:lang w:val="fr-FR"/>
              </w:rPr>
              <w:t>PNUE</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4CB38C64" w14:textId="77777777" w:rsidR="00B4447D" w:rsidRPr="006E3020" w:rsidRDefault="00B4447D" w:rsidP="00C072C9">
            <w:pPr>
              <w:ind w:left="-25" w:right="-605"/>
              <w:jc w:val="center"/>
              <w:rPr>
                <w:sz w:val="20"/>
                <w:szCs w:val="20"/>
                <w:lang w:val="fr-FR"/>
              </w:rPr>
            </w:pPr>
            <w:r w:rsidRPr="006E3020">
              <w:rPr>
                <w:sz w:val="20"/>
                <w:szCs w:val="20"/>
                <w:lang w:val="fr-FR"/>
              </w:rPr>
              <w:t>471</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1F1DB7B7" w14:textId="77777777" w:rsidR="00B4447D" w:rsidRPr="006E3020" w:rsidRDefault="00B4447D" w:rsidP="00C072C9">
            <w:pPr>
              <w:ind w:left="778"/>
              <w:jc w:val="center"/>
              <w:rPr>
                <w:sz w:val="20"/>
                <w:szCs w:val="20"/>
                <w:lang w:val="fr-FR"/>
              </w:rPr>
            </w:pPr>
            <w:r w:rsidRPr="006E3020">
              <w:rPr>
                <w:sz w:val="20"/>
                <w:szCs w:val="20"/>
                <w:lang w:val="fr-FR"/>
              </w:rPr>
              <w:t>436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521DA3B9" w14:textId="77777777" w:rsidR="00B4447D" w:rsidRPr="006E3020" w:rsidRDefault="00B4447D" w:rsidP="00C072C9">
            <w:pPr>
              <w:ind w:left="875"/>
              <w:jc w:val="center"/>
              <w:rPr>
                <w:sz w:val="20"/>
                <w:szCs w:val="20"/>
                <w:lang w:val="fr-FR"/>
              </w:rPr>
            </w:pPr>
            <w:r w:rsidRPr="006E3020">
              <w:rPr>
                <w:sz w:val="20"/>
                <w:szCs w:val="20"/>
                <w:lang w:val="fr-FR"/>
              </w:rPr>
              <w:t>22*</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561ECB8B" w14:textId="77777777" w:rsidR="00B4447D" w:rsidRPr="006E3020" w:rsidRDefault="00B4447D" w:rsidP="00C072C9">
            <w:pPr>
              <w:ind w:right="-799"/>
              <w:jc w:val="center"/>
              <w:rPr>
                <w:sz w:val="20"/>
                <w:szCs w:val="20"/>
                <w:lang w:val="fr-FR"/>
              </w:rPr>
            </w:pPr>
            <w:r w:rsidRPr="006E3020">
              <w:rPr>
                <w:sz w:val="20"/>
                <w:szCs w:val="20"/>
                <w:lang w:val="fr-FR"/>
              </w:rPr>
              <w:t>13</w:t>
            </w:r>
          </w:p>
        </w:tc>
      </w:tr>
      <w:tr w:rsidR="00B4447D" w:rsidRPr="006E3020" w14:paraId="40AACE39"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47A0521C" w14:textId="77777777" w:rsidR="00B4447D" w:rsidRPr="006E3020" w:rsidRDefault="00B4447D" w:rsidP="00C072C9">
            <w:pPr>
              <w:jc w:val="left"/>
              <w:rPr>
                <w:color w:val="000000"/>
                <w:sz w:val="20"/>
                <w:szCs w:val="20"/>
                <w:lang w:val="fr-FR"/>
              </w:rPr>
            </w:pPr>
            <w:r w:rsidRPr="006E3020">
              <w:rPr>
                <w:color w:val="000000"/>
                <w:sz w:val="20"/>
                <w:szCs w:val="20"/>
                <w:lang w:val="fr-FR"/>
              </w:rPr>
              <w:t>ONUDI</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6C7AD1F6" w14:textId="77777777" w:rsidR="00B4447D" w:rsidRPr="006E3020" w:rsidRDefault="00B4447D" w:rsidP="00C072C9">
            <w:pPr>
              <w:ind w:left="-25" w:right="-605"/>
              <w:jc w:val="center"/>
              <w:rPr>
                <w:sz w:val="20"/>
                <w:szCs w:val="20"/>
                <w:lang w:val="fr-FR"/>
              </w:rPr>
            </w:pPr>
            <w:r w:rsidRPr="006E3020">
              <w:rPr>
                <w:sz w:val="20"/>
                <w:szCs w:val="20"/>
                <w:lang w:val="fr-FR"/>
              </w:rPr>
              <w:t>148</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ED5C9BF" w14:textId="77777777" w:rsidR="00B4447D" w:rsidRPr="006E3020" w:rsidRDefault="00B4447D" w:rsidP="00C072C9">
            <w:pPr>
              <w:ind w:left="778"/>
              <w:jc w:val="center"/>
              <w:rPr>
                <w:sz w:val="20"/>
                <w:szCs w:val="20"/>
                <w:lang w:val="fr-FR"/>
              </w:rPr>
            </w:pPr>
            <w:r w:rsidRPr="006E3020">
              <w:rPr>
                <w:sz w:val="20"/>
                <w:szCs w:val="20"/>
                <w:lang w:val="fr-FR"/>
              </w:rPr>
              <w:t>142</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AA97623" w14:textId="77777777" w:rsidR="00B4447D" w:rsidRPr="006E3020" w:rsidRDefault="00B4447D" w:rsidP="00C072C9">
            <w:pPr>
              <w:ind w:left="875"/>
              <w:jc w:val="center"/>
              <w:rPr>
                <w:sz w:val="20"/>
                <w:szCs w:val="20"/>
                <w:lang w:val="fr-FR"/>
              </w:rPr>
            </w:pPr>
            <w:r w:rsidRPr="006E3020">
              <w:rPr>
                <w:sz w:val="20"/>
                <w:szCs w:val="20"/>
                <w:lang w:val="fr-FR"/>
              </w:rPr>
              <w:t>1</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225D6B6" w14:textId="77777777" w:rsidR="00B4447D" w:rsidRPr="006E3020" w:rsidRDefault="00B4447D" w:rsidP="00C072C9">
            <w:pPr>
              <w:ind w:right="-799"/>
              <w:jc w:val="center"/>
              <w:rPr>
                <w:sz w:val="20"/>
                <w:szCs w:val="20"/>
                <w:lang w:val="fr-FR"/>
              </w:rPr>
            </w:pPr>
            <w:r w:rsidRPr="006E3020">
              <w:rPr>
                <w:sz w:val="20"/>
                <w:szCs w:val="20"/>
                <w:lang w:val="fr-FR"/>
              </w:rPr>
              <w:t>5</w:t>
            </w:r>
          </w:p>
        </w:tc>
      </w:tr>
      <w:tr w:rsidR="00B4447D" w:rsidRPr="006E3020" w14:paraId="69697503"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73B62CD5" w14:textId="77777777" w:rsidR="00B4447D" w:rsidRPr="006E3020" w:rsidRDefault="00B4447D" w:rsidP="00C072C9">
            <w:pPr>
              <w:jc w:val="left"/>
              <w:rPr>
                <w:color w:val="000000"/>
                <w:sz w:val="20"/>
                <w:szCs w:val="20"/>
                <w:lang w:val="fr-FR"/>
              </w:rPr>
            </w:pPr>
            <w:r w:rsidRPr="006E3020">
              <w:rPr>
                <w:color w:val="000000"/>
                <w:sz w:val="20"/>
                <w:szCs w:val="20"/>
                <w:lang w:val="fr-FR"/>
              </w:rPr>
              <w:t>Banque mondiale</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2EE2D633" w14:textId="77777777" w:rsidR="00B4447D" w:rsidRPr="006E3020" w:rsidRDefault="00B4447D" w:rsidP="00C072C9">
            <w:pPr>
              <w:ind w:left="-25" w:right="-605"/>
              <w:jc w:val="center"/>
              <w:rPr>
                <w:sz w:val="20"/>
                <w:szCs w:val="20"/>
                <w:lang w:val="fr-FR"/>
              </w:rPr>
            </w:pPr>
            <w:r w:rsidRPr="006E3020">
              <w:rPr>
                <w:sz w:val="20"/>
                <w:szCs w:val="20"/>
                <w:lang w:val="fr-FR"/>
              </w:rPr>
              <w:t>44</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4F402EE1" w14:textId="77777777" w:rsidR="00B4447D" w:rsidRPr="006E3020" w:rsidRDefault="00B4447D" w:rsidP="00C072C9">
            <w:pPr>
              <w:ind w:left="778"/>
              <w:jc w:val="center"/>
              <w:rPr>
                <w:sz w:val="20"/>
                <w:szCs w:val="20"/>
                <w:lang w:val="fr-FR"/>
              </w:rPr>
            </w:pPr>
            <w:r w:rsidRPr="006E3020">
              <w:rPr>
                <w:sz w:val="20"/>
                <w:szCs w:val="20"/>
                <w:lang w:val="fr-FR"/>
              </w:rPr>
              <w:t>36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6C534B19"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5274E45C" w14:textId="77777777" w:rsidR="00B4447D" w:rsidRPr="006E3020" w:rsidRDefault="00B4447D" w:rsidP="00C072C9">
            <w:pPr>
              <w:ind w:right="-799"/>
              <w:jc w:val="center"/>
              <w:rPr>
                <w:sz w:val="20"/>
                <w:szCs w:val="20"/>
                <w:lang w:val="fr-FR"/>
              </w:rPr>
            </w:pPr>
            <w:r w:rsidRPr="006E3020">
              <w:rPr>
                <w:sz w:val="20"/>
                <w:szCs w:val="20"/>
                <w:lang w:val="fr-FR"/>
              </w:rPr>
              <w:t>8</w:t>
            </w:r>
          </w:p>
        </w:tc>
      </w:tr>
      <w:tr w:rsidR="00B4447D" w:rsidRPr="006E3020" w14:paraId="15669928"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0DBADAE5" w14:textId="77777777" w:rsidR="00B4447D" w:rsidRPr="006E3020" w:rsidRDefault="00B4447D" w:rsidP="00C072C9">
            <w:pPr>
              <w:jc w:val="left"/>
              <w:rPr>
                <w:color w:val="000000"/>
                <w:sz w:val="20"/>
                <w:szCs w:val="20"/>
                <w:lang w:val="fr-FR"/>
              </w:rPr>
            </w:pPr>
            <w:r w:rsidRPr="006E3020">
              <w:rPr>
                <w:color w:val="000000"/>
                <w:sz w:val="20"/>
                <w:szCs w:val="20"/>
                <w:lang w:val="fr-FR"/>
              </w:rPr>
              <w:t>Autres</w:t>
            </w:r>
            <w:r w:rsidRPr="006E3020">
              <w:rPr>
                <w:rStyle w:val="FootnoteReference"/>
                <w:color w:val="000000"/>
                <w:sz w:val="20"/>
                <w:szCs w:val="20"/>
                <w:lang w:val="fr-FR"/>
              </w:rPr>
              <w:footnoteReference w:id="3"/>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546C3EC2" w14:textId="77777777" w:rsidR="00B4447D" w:rsidRPr="006E3020" w:rsidRDefault="00B4447D" w:rsidP="00C072C9">
            <w:pPr>
              <w:ind w:left="-25" w:right="-605"/>
              <w:jc w:val="center"/>
              <w:rPr>
                <w:sz w:val="20"/>
                <w:szCs w:val="20"/>
                <w:lang w:val="fr-FR"/>
              </w:rPr>
            </w:pPr>
            <w:r w:rsidRPr="006E3020">
              <w:rPr>
                <w:sz w:val="20"/>
                <w:szCs w:val="20"/>
                <w:lang w:val="fr-FR"/>
              </w:rPr>
              <w:t>90</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57B081D3" w14:textId="77777777" w:rsidR="00B4447D" w:rsidRPr="006E3020" w:rsidRDefault="00B4447D" w:rsidP="00C072C9">
            <w:pPr>
              <w:ind w:left="778"/>
              <w:jc w:val="center"/>
              <w:rPr>
                <w:sz w:val="20"/>
                <w:szCs w:val="20"/>
                <w:lang w:val="fr-FR"/>
              </w:rPr>
            </w:pPr>
            <w:r w:rsidRPr="006E3020">
              <w:rPr>
                <w:sz w:val="20"/>
                <w:szCs w:val="20"/>
                <w:lang w:val="fr-FR"/>
              </w:rPr>
              <w:t>90</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29716454" w14:textId="77777777" w:rsidR="00B4447D" w:rsidRPr="006E3020" w:rsidRDefault="00B4447D" w:rsidP="00C072C9">
            <w:pPr>
              <w:ind w:left="875"/>
              <w:jc w:val="center"/>
              <w:rPr>
                <w:sz w:val="20"/>
                <w:szCs w:val="20"/>
                <w:lang w:val="fr-FR"/>
              </w:rPr>
            </w:pPr>
            <w:r w:rsidRPr="006E3020">
              <w:rPr>
                <w:sz w:val="20"/>
                <w:szCs w:val="20"/>
                <w:lang w:val="fr-FR"/>
              </w:rPr>
              <w:t>0</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E22BAD6" w14:textId="77777777" w:rsidR="00B4447D" w:rsidRPr="006E3020" w:rsidRDefault="00B4447D" w:rsidP="00C072C9">
            <w:pPr>
              <w:ind w:right="-799"/>
              <w:jc w:val="center"/>
              <w:rPr>
                <w:sz w:val="20"/>
                <w:szCs w:val="20"/>
                <w:lang w:val="fr-FR"/>
              </w:rPr>
            </w:pPr>
            <w:r w:rsidRPr="006E3020">
              <w:rPr>
                <w:sz w:val="20"/>
                <w:szCs w:val="20"/>
                <w:lang w:val="fr-FR"/>
              </w:rPr>
              <w:t>0</w:t>
            </w:r>
          </w:p>
        </w:tc>
      </w:tr>
      <w:tr w:rsidR="00B4447D" w:rsidRPr="006E3020" w14:paraId="27CB214E" w14:textId="77777777" w:rsidTr="00C072C9">
        <w:trPr>
          <w:trHeight w:val="233"/>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1C0E5F49" w14:textId="77777777" w:rsidR="00B4447D" w:rsidRPr="006E3020" w:rsidRDefault="00B4447D" w:rsidP="00C072C9">
            <w:pPr>
              <w:jc w:val="left"/>
              <w:rPr>
                <w:b/>
                <w:color w:val="000000"/>
                <w:sz w:val="20"/>
                <w:szCs w:val="20"/>
                <w:lang w:val="fr-FR"/>
              </w:rPr>
            </w:pPr>
            <w:r w:rsidRPr="006E3020">
              <w:rPr>
                <w:b/>
                <w:color w:val="000000"/>
                <w:sz w:val="20"/>
                <w:szCs w:val="20"/>
                <w:lang w:val="fr-FR"/>
              </w:rPr>
              <w:t>Total</w:t>
            </w:r>
          </w:p>
        </w:tc>
        <w:tc>
          <w:tcPr>
            <w:tcW w:w="156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6" w:type="dxa"/>
            </w:tcMar>
            <w:vAlign w:val="center"/>
            <w:hideMark/>
          </w:tcPr>
          <w:p w14:paraId="6E6A3F7F" w14:textId="63603108" w:rsidR="00B4447D" w:rsidRPr="006E3020" w:rsidRDefault="00B4447D" w:rsidP="00C072C9">
            <w:pPr>
              <w:ind w:left="-25" w:right="-605"/>
              <w:jc w:val="center"/>
              <w:rPr>
                <w:b/>
                <w:sz w:val="20"/>
                <w:szCs w:val="20"/>
                <w:lang w:val="fr-FR"/>
              </w:rPr>
            </w:pPr>
            <w:r w:rsidRPr="006E3020">
              <w:rPr>
                <w:b/>
                <w:sz w:val="20"/>
                <w:szCs w:val="20"/>
                <w:lang w:val="fr-FR"/>
              </w:rPr>
              <w:t>1</w:t>
            </w:r>
            <w:r w:rsidR="0013475C">
              <w:rPr>
                <w:b/>
                <w:sz w:val="20"/>
                <w:szCs w:val="20"/>
                <w:lang w:val="fr-FR"/>
              </w:rPr>
              <w:t> </w:t>
            </w:r>
            <w:r w:rsidRPr="006E3020">
              <w:rPr>
                <w:b/>
                <w:sz w:val="20"/>
                <w:szCs w:val="20"/>
                <w:lang w:val="fr-FR"/>
              </w:rPr>
              <w:t>216</w:t>
            </w:r>
          </w:p>
        </w:tc>
        <w:tc>
          <w:tcPr>
            <w:tcW w:w="2127"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7D12CC04" w14:textId="209990B9" w:rsidR="00B4447D" w:rsidRPr="006E3020" w:rsidRDefault="00B4447D" w:rsidP="00C072C9">
            <w:pPr>
              <w:ind w:left="778"/>
              <w:jc w:val="center"/>
              <w:rPr>
                <w:b/>
                <w:sz w:val="20"/>
                <w:szCs w:val="20"/>
                <w:lang w:val="fr-FR"/>
              </w:rPr>
            </w:pPr>
            <w:r w:rsidRPr="006E3020">
              <w:rPr>
                <w:b/>
                <w:sz w:val="20"/>
                <w:szCs w:val="20"/>
                <w:lang w:val="fr-FR"/>
              </w:rPr>
              <w:t>1</w:t>
            </w:r>
            <w:r w:rsidR="0013475C">
              <w:rPr>
                <w:b/>
                <w:sz w:val="20"/>
                <w:szCs w:val="20"/>
                <w:lang w:val="fr-FR"/>
              </w:rPr>
              <w:t> </w:t>
            </w:r>
            <w:r w:rsidRPr="006E3020">
              <w:rPr>
                <w:b/>
                <w:sz w:val="20"/>
                <w:szCs w:val="20"/>
                <w:lang w:val="fr-FR"/>
              </w:rPr>
              <w:t>156</w:t>
            </w:r>
          </w:p>
        </w:tc>
        <w:tc>
          <w:tcPr>
            <w:tcW w:w="2255"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5529B069" w14:textId="77777777" w:rsidR="00B4447D" w:rsidRPr="006E3020" w:rsidRDefault="00B4447D" w:rsidP="00C072C9">
            <w:pPr>
              <w:ind w:left="875"/>
              <w:jc w:val="center"/>
              <w:rPr>
                <w:b/>
                <w:sz w:val="20"/>
                <w:szCs w:val="20"/>
                <w:lang w:val="fr-FR"/>
              </w:rPr>
            </w:pPr>
            <w:r w:rsidRPr="006E3020">
              <w:rPr>
                <w:b/>
                <w:sz w:val="20"/>
                <w:szCs w:val="20"/>
                <w:lang w:val="fr-FR"/>
              </w:rPr>
              <w:t>28</w:t>
            </w:r>
          </w:p>
        </w:tc>
        <w:tc>
          <w:tcPr>
            <w:tcW w:w="1844" w:type="dxa"/>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14:paraId="3B6188D5" w14:textId="77777777" w:rsidR="00B4447D" w:rsidRPr="006E3020" w:rsidRDefault="00B4447D" w:rsidP="00C072C9">
            <w:pPr>
              <w:ind w:right="-799"/>
              <w:jc w:val="center"/>
              <w:rPr>
                <w:b/>
                <w:sz w:val="20"/>
                <w:szCs w:val="20"/>
                <w:lang w:val="fr-FR"/>
              </w:rPr>
            </w:pPr>
            <w:r w:rsidRPr="006E3020">
              <w:rPr>
                <w:b/>
                <w:sz w:val="20"/>
                <w:szCs w:val="20"/>
                <w:lang w:val="fr-FR"/>
              </w:rPr>
              <w:t>32</w:t>
            </w:r>
          </w:p>
        </w:tc>
      </w:tr>
    </w:tbl>
    <w:p w14:paraId="36C98394" w14:textId="70D53D03" w:rsidR="00B4447D" w:rsidRPr="006E3020" w:rsidRDefault="00B4447D" w:rsidP="00B4447D">
      <w:pPr>
        <w:pStyle w:val="Heading1"/>
        <w:numPr>
          <w:ilvl w:val="0"/>
          <w:numId w:val="0"/>
        </w:numPr>
        <w:spacing w:after="0"/>
        <w:rPr>
          <w:sz w:val="20"/>
          <w:szCs w:val="20"/>
          <w:lang w:val="fr-FR"/>
        </w:rPr>
      </w:pPr>
      <w:r w:rsidRPr="006E3020">
        <w:rPr>
          <w:sz w:val="20"/>
          <w:szCs w:val="20"/>
          <w:lang w:val="fr-FR"/>
        </w:rPr>
        <w:t xml:space="preserve">* En outre, le PNUE a déposé 5 rapports </w:t>
      </w:r>
      <w:r w:rsidR="00916F13">
        <w:rPr>
          <w:sz w:val="20"/>
          <w:szCs w:val="20"/>
          <w:lang w:val="fr-FR"/>
        </w:rPr>
        <w:t>globaux</w:t>
      </w:r>
      <w:r w:rsidR="008B693E" w:rsidRPr="006E3020">
        <w:rPr>
          <w:sz w:val="20"/>
          <w:szCs w:val="20"/>
          <w:lang w:val="fr-FR"/>
        </w:rPr>
        <w:t xml:space="preserve"> </w:t>
      </w:r>
      <w:r w:rsidRPr="006E3020">
        <w:rPr>
          <w:sz w:val="20"/>
          <w:szCs w:val="20"/>
          <w:lang w:val="fr-FR"/>
        </w:rPr>
        <w:t xml:space="preserve">d’achèvement </w:t>
      </w:r>
      <w:r w:rsidR="00B34A29">
        <w:rPr>
          <w:sz w:val="20"/>
          <w:szCs w:val="20"/>
          <w:lang w:val="fr-FR"/>
        </w:rPr>
        <w:t xml:space="preserve">de projet </w:t>
      </w:r>
      <w:r w:rsidR="008B693E">
        <w:rPr>
          <w:sz w:val="20"/>
          <w:szCs w:val="20"/>
          <w:lang w:val="fr-FR"/>
        </w:rPr>
        <w:t>d</w:t>
      </w:r>
      <w:r w:rsidRPr="006E3020">
        <w:rPr>
          <w:sz w:val="20"/>
          <w:szCs w:val="20"/>
          <w:lang w:val="fr-FR"/>
        </w:rPr>
        <w:t xml:space="preserve">’enquête sur les produits de remplacement </w:t>
      </w:r>
      <w:r w:rsidR="00C43853">
        <w:rPr>
          <w:sz w:val="20"/>
          <w:szCs w:val="20"/>
          <w:lang w:val="fr-FR"/>
        </w:rPr>
        <w:t>des</w:t>
      </w:r>
      <w:r w:rsidRPr="006E3020">
        <w:rPr>
          <w:sz w:val="20"/>
          <w:szCs w:val="20"/>
          <w:lang w:val="fr-FR"/>
        </w:rPr>
        <w:t xml:space="preserve"> SAO au niveau national pour 5 sous-régions (Afrique anglophone, Asie et Pacifique, Caraïbes, Europe et Asie Centrale et Asie de l’Ouest). </w:t>
      </w:r>
    </w:p>
    <w:p w14:paraId="6BC9A13A" w14:textId="41C96173" w:rsidR="00B4447D" w:rsidRPr="006E3020" w:rsidRDefault="00B4447D" w:rsidP="00B4447D">
      <w:pPr>
        <w:pStyle w:val="Heading1"/>
        <w:tabs>
          <w:tab w:val="clear" w:pos="0"/>
          <w:tab w:val="num" w:pos="720"/>
        </w:tabs>
        <w:spacing w:before="240"/>
        <w:rPr>
          <w:lang w:val="fr-FR"/>
        </w:rPr>
      </w:pPr>
      <w:r w:rsidRPr="006E3020">
        <w:rPr>
          <w:lang w:val="fr-FR"/>
        </w:rPr>
        <w:t xml:space="preserve">La liste des 35 rapports d’achèvement de projets (incluant les 5 </w:t>
      </w:r>
      <w:r w:rsidR="00B34A29" w:rsidRPr="006E3020">
        <w:rPr>
          <w:sz w:val="20"/>
          <w:szCs w:val="20"/>
          <w:lang w:val="fr-FR"/>
        </w:rPr>
        <w:t xml:space="preserve">rapports </w:t>
      </w:r>
      <w:r w:rsidR="00B34A29">
        <w:rPr>
          <w:sz w:val="20"/>
          <w:szCs w:val="20"/>
          <w:lang w:val="fr-FR"/>
        </w:rPr>
        <w:t>globaux</w:t>
      </w:r>
      <w:r w:rsidR="00B34A29" w:rsidRPr="006E3020">
        <w:rPr>
          <w:sz w:val="20"/>
          <w:szCs w:val="20"/>
          <w:lang w:val="fr-FR"/>
        </w:rPr>
        <w:t xml:space="preserve"> d’achèvement </w:t>
      </w:r>
      <w:r w:rsidR="00B34A29">
        <w:rPr>
          <w:sz w:val="20"/>
          <w:szCs w:val="20"/>
          <w:lang w:val="fr-FR"/>
        </w:rPr>
        <w:t>de projet</w:t>
      </w:r>
      <w:r w:rsidRPr="006E3020">
        <w:rPr>
          <w:lang w:val="fr-FR"/>
        </w:rPr>
        <w:t xml:space="preserve"> </w:t>
      </w:r>
      <w:r w:rsidR="008B693E">
        <w:rPr>
          <w:lang w:val="fr-FR"/>
        </w:rPr>
        <w:t>d</w:t>
      </w:r>
      <w:r w:rsidRPr="006E3020">
        <w:rPr>
          <w:lang w:val="fr-FR"/>
        </w:rPr>
        <w:t xml:space="preserve">’enquête sur les produits de remplacement </w:t>
      </w:r>
      <w:r w:rsidR="00733443">
        <w:rPr>
          <w:lang w:val="fr-FR"/>
        </w:rPr>
        <w:t>des</w:t>
      </w:r>
      <w:r w:rsidRPr="006E3020">
        <w:rPr>
          <w:lang w:val="fr-FR"/>
        </w:rPr>
        <w:t xml:space="preserve"> SAO au niveau national) ne portant pas sur des investissements reçus</w:t>
      </w:r>
      <w:r w:rsidR="00BE3341">
        <w:rPr>
          <w:lang w:val="fr-FR"/>
        </w:rPr>
        <w:t xml:space="preserve"> </w:t>
      </w:r>
      <w:r w:rsidR="00AF7F80">
        <w:rPr>
          <w:lang w:val="fr-FR"/>
        </w:rPr>
        <w:t>a</w:t>
      </w:r>
      <w:r w:rsidRPr="006E3020">
        <w:rPr>
          <w:lang w:val="fr-FR"/>
        </w:rPr>
        <w:t>près la 81e réunion figure à l’annexe</w:t>
      </w:r>
      <w:r w:rsidR="00852D8F">
        <w:rPr>
          <w:lang w:val="fr-FR"/>
        </w:rPr>
        <w:t> </w:t>
      </w:r>
      <w:r w:rsidRPr="006E3020">
        <w:rPr>
          <w:lang w:val="fr-FR"/>
        </w:rPr>
        <w:t>II au présent document. Les résultats globaux portant sur le décaissement, l’élimination réelle et les retards sont indiqués au tableau</w:t>
      </w:r>
      <w:r w:rsidR="00852D8F">
        <w:rPr>
          <w:lang w:val="fr-FR"/>
        </w:rPr>
        <w:t> </w:t>
      </w:r>
      <w:r w:rsidRPr="006E3020">
        <w:rPr>
          <w:lang w:val="fr-FR"/>
        </w:rPr>
        <w:t>5.</w:t>
      </w:r>
    </w:p>
    <w:p w14:paraId="313B0D75" w14:textId="136558F0" w:rsidR="00B4447D" w:rsidRPr="006E3020" w:rsidRDefault="00B4447D" w:rsidP="00B4447D">
      <w:pPr>
        <w:pStyle w:val="Heading1"/>
        <w:keepNext/>
        <w:keepLines/>
        <w:numPr>
          <w:ilvl w:val="0"/>
          <w:numId w:val="0"/>
        </w:numPr>
        <w:tabs>
          <w:tab w:val="left" w:pos="720"/>
        </w:tabs>
        <w:spacing w:after="0"/>
        <w:rPr>
          <w:b/>
          <w:lang w:val="fr-FR"/>
        </w:rPr>
      </w:pPr>
      <w:r w:rsidRPr="006E3020">
        <w:rPr>
          <w:b/>
          <w:lang w:val="fr-FR"/>
        </w:rPr>
        <w:lastRenderedPageBreak/>
        <w:t>Tableau</w:t>
      </w:r>
      <w:r w:rsidR="00852D8F">
        <w:rPr>
          <w:b/>
          <w:lang w:val="fr-FR"/>
        </w:rPr>
        <w:t> </w:t>
      </w:r>
      <w:r w:rsidRPr="006E3020">
        <w:rPr>
          <w:b/>
          <w:lang w:val="fr-FR"/>
        </w:rPr>
        <w:t>5. Aperçu du budget, de l’élimination des SAO et des retards dans les projets individuels soumis après la 83</w:t>
      </w:r>
      <w:r w:rsidRPr="006E3020">
        <w:rPr>
          <w:b/>
          <w:vertAlign w:val="superscript"/>
          <w:lang w:val="fr-FR"/>
        </w:rPr>
        <w:t>e</w:t>
      </w:r>
      <w:r w:rsidRPr="006E3020">
        <w:rPr>
          <w:b/>
          <w:lang w:val="fr-FR"/>
        </w:rPr>
        <w:t xml:space="preserve"> réunion</w:t>
      </w:r>
    </w:p>
    <w:tbl>
      <w:tblPr>
        <w:tblW w:w="93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143"/>
        <w:gridCol w:w="1376"/>
        <w:gridCol w:w="1207"/>
        <w:gridCol w:w="1239"/>
        <w:gridCol w:w="1088"/>
        <w:gridCol w:w="10"/>
        <w:gridCol w:w="1078"/>
        <w:gridCol w:w="1088"/>
      </w:tblGrid>
      <w:tr w:rsidR="00B4447D" w:rsidRPr="006E3020" w14:paraId="1576EC57" w14:textId="77777777" w:rsidTr="00C072C9">
        <w:trPr>
          <w:trHeight w:val="144"/>
        </w:trPr>
        <w:tc>
          <w:tcPr>
            <w:tcW w:w="1304" w:type="dxa"/>
            <w:vMerge w:val="restart"/>
            <w:shd w:val="clear" w:color="auto" w:fill="auto"/>
            <w:vAlign w:val="center"/>
            <w:hideMark/>
          </w:tcPr>
          <w:p w14:paraId="417FFDD2"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Agence</w:t>
            </w:r>
          </w:p>
        </w:tc>
        <w:tc>
          <w:tcPr>
            <w:tcW w:w="1143" w:type="dxa"/>
            <w:vMerge w:val="restart"/>
            <w:shd w:val="clear" w:color="auto" w:fill="auto"/>
            <w:vAlign w:val="center"/>
            <w:hideMark/>
          </w:tcPr>
          <w:p w14:paraId="66394398"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Nombre de projets</w:t>
            </w:r>
          </w:p>
        </w:tc>
        <w:tc>
          <w:tcPr>
            <w:tcW w:w="2583" w:type="dxa"/>
            <w:gridSpan w:val="2"/>
            <w:shd w:val="clear" w:color="auto" w:fill="auto"/>
            <w:vAlign w:val="center"/>
            <w:hideMark/>
          </w:tcPr>
          <w:p w14:paraId="3DE3040C" w14:textId="5A7E28D8" w:rsidR="00B4447D" w:rsidRPr="006E3020" w:rsidRDefault="00B4447D" w:rsidP="00C072C9">
            <w:pPr>
              <w:jc w:val="center"/>
              <w:rPr>
                <w:b/>
                <w:bCs/>
                <w:color w:val="000000"/>
                <w:sz w:val="20"/>
                <w:szCs w:val="20"/>
                <w:lang w:val="fr-FR"/>
              </w:rPr>
            </w:pPr>
            <w:r w:rsidRPr="006E3020">
              <w:rPr>
                <w:b/>
                <w:bCs/>
                <w:color w:val="000000"/>
                <w:sz w:val="20"/>
                <w:szCs w:val="20"/>
                <w:lang w:val="fr-FR"/>
              </w:rPr>
              <w:t>Montant des fonds ($</w:t>
            </w:r>
            <w:r w:rsidR="0013475C">
              <w:rPr>
                <w:b/>
                <w:bCs/>
                <w:color w:val="000000"/>
                <w:sz w:val="20"/>
                <w:szCs w:val="20"/>
                <w:lang w:val="fr-FR"/>
              </w:rPr>
              <w:t xml:space="preserve"> </w:t>
            </w:r>
            <w:r w:rsidRPr="006E3020">
              <w:rPr>
                <w:b/>
                <w:bCs/>
                <w:color w:val="000000"/>
                <w:sz w:val="20"/>
                <w:szCs w:val="20"/>
                <w:lang w:val="fr-FR"/>
              </w:rPr>
              <w:t>US)</w:t>
            </w:r>
          </w:p>
        </w:tc>
        <w:tc>
          <w:tcPr>
            <w:tcW w:w="2186" w:type="dxa"/>
            <w:gridSpan w:val="3"/>
            <w:shd w:val="clear" w:color="auto" w:fill="auto"/>
            <w:vAlign w:val="center"/>
            <w:hideMark/>
          </w:tcPr>
          <w:p w14:paraId="491F146E"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Tonnes PAO éliminées</w:t>
            </w:r>
          </w:p>
        </w:tc>
        <w:tc>
          <w:tcPr>
            <w:tcW w:w="2165" w:type="dxa"/>
            <w:gridSpan w:val="2"/>
            <w:shd w:val="clear" w:color="auto" w:fill="auto"/>
            <w:vAlign w:val="center"/>
            <w:hideMark/>
          </w:tcPr>
          <w:p w14:paraId="485F9228"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Retards moyens (en mois)</w:t>
            </w:r>
          </w:p>
        </w:tc>
      </w:tr>
      <w:tr w:rsidR="00B4447D" w:rsidRPr="006E3020" w14:paraId="517FC333" w14:textId="77777777" w:rsidTr="00C072C9">
        <w:trPr>
          <w:trHeight w:val="51"/>
        </w:trPr>
        <w:tc>
          <w:tcPr>
            <w:tcW w:w="1304" w:type="dxa"/>
            <w:vMerge/>
            <w:vAlign w:val="center"/>
            <w:hideMark/>
          </w:tcPr>
          <w:p w14:paraId="0E5576FD" w14:textId="77777777" w:rsidR="00B4447D" w:rsidRPr="006E3020" w:rsidRDefault="00B4447D" w:rsidP="00C072C9">
            <w:pPr>
              <w:jc w:val="left"/>
              <w:rPr>
                <w:b/>
                <w:bCs/>
                <w:color w:val="000000"/>
                <w:sz w:val="20"/>
                <w:szCs w:val="20"/>
                <w:lang w:val="fr-FR" w:eastAsia="en-CA"/>
              </w:rPr>
            </w:pPr>
          </w:p>
        </w:tc>
        <w:tc>
          <w:tcPr>
            <w:tcW w:w="1143" w:type="dxa"/>
            <w:vMerge/>
            <w:vAlign w:val="center"/>
            <w:hideMark/>
          </w:tcPr>
          <w:p w14:paraId="7FC26FEB" w14:textId="77777777" w:rsidR="00B4447D" w:rsidRPr="006E3020" w:rsidRDefault="00B4447D" w:rsidP="00C072C9">
            <w:pPr>
              <w:jc w:val="left"/>
              <w:rPr>
                <w:b/>
                <w:bCs/>
                <w:color w:val="000000"/>
                <w:sz w:val="20"/>
                <w:szCs w:val="20"/>
                <w:lang w:val="fr-FR" w:eastAsia="en-CA"/>
              </w:rPr>
            </w:pPr>
          </w:p>
        </w:tc>
        <w:tc>
          <w:tcPr>
            <w:tcW w:w="1376" w:type="dxa"/>
            <w:shd w:val="clear" w:color="auto" w:fill="auto"/>
            <w:vAlign w:val="center"/>
            <w:hideMark/>
          </w:tcPr>
          <w:p w14:paraId="614C8A6C"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Approuvées</w:t>
            </w:r>
          </w:p>
        </w:tc>
        <w:tc>
          <w:tcPr>
            <w:tcW w:w="1207" w:type="dxa"/>
            <w:shd w:val="clear" w:color="auto" w:fill="auto"/>
            <w:vAlign w:val="center"/>
            <w:hideMark/>
          </w:tcPr>
          <w:p w14:paraId="50673B68"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Décaissés</w:t>
            </w:r>
          </w:p>
        </w:tc>
        <w:tc>
          <w:tcPr>
            <w:tcW w:w="1088" w:type="dxa"/>
            <w:shd w:val="clear" w:color="auto" w:fill="auto"/>
            <w:vAlign w:val="center"/>
            <w:hideMark/>
          </w:tcPr>
          <w:p w14:paraId="235EED62"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Approuvées</w:t>
            </w:r>
          </w:p>
        </w:tc>
        <w:tc>
          <w:tcPr>
            <w:tcW w:w="1088" w:type="dxa"/>
            <w:shd w:val="clear" w:color="auto" w:fill="auto"/>
            <w:vAlign w:val="center"/>
            <w:hideMark/>
          </w:tcPr>
          <w:p w14:paraId="0BC591F6"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Réelles</w:t>
            </w:r>
          </w:p>
        </w:tc>
        <w:tc>
          <w:tcPr>
            <w:tcW w:w="1088" w:type="dxa"/>
            <w:gridSpan w:val="2"/>
            <w:shd w:val="clear" w:color="auto" w:fill="auto"/>
            <w:vAlign w:val="center"/>
            <w:hideMark/>
          </w:tcPr>
          <w:p w14:paraId="357D372D"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Durée</w:t>
            </w:r>
          </w:p>
        </w:tc>
        <w:tc>
          <w:tcPr>
            <w:tcW w:w="1088" w:type="dxa"/>
            <w:shd w:val="clear" w:color="auto" w:fill="auto"/>
            <w:vAlign w:val="center"/>
            <w:hideMark/>
          </w:tcPr>
          <w:p w14:paraId="1FBA84A7" w14:textId="77777777" w:rsidR="00B4447D" w:rsidRPr="006E3020" w:rsidRDefault="00B4447D" w:rsidP="00C072C9">
            <w:pPr>
              <w:jc w:val="center"/>
              <w:rPr>
                <w:b/>
                <w:bCs/>
                <w:color w:val="000000"/>
                <w:sz w:val="20"/>
                <w:szCs w:val="20"/>
                <w:lang w:val="fr-FR"/>
              </w:rPr>
            </w:pPr>
            <w:r w:rsidRPr="006E3020">
              <w:rPr>
                <w:b/>
                <w:bCs/>
                <w:color w:val="000000"/>
                <w:sz w:val="20"/>
                <w:szCs w:val="20"/>
                <w:lang w:val="fr-FR"/>
              </w:rPr>
              <w:t>Retards</w:t>
            </w:r>
          </w:p>
        </w:tc>
      </w:tr>
      <w:tr w:rsidR="00B4447D" w:rsidRPr="006E3020" w14:paraId="7979A633" w14:textId="77777777" w:rsidTr="00C072C9">
        <w:trPr>
          <w:trHeight w:val="61"/>
        </w:trPr>
        <w:tc>
          <w:tcPr>
            <w:tcW w:w="1304" w:type="dxa"/>
            <w:shd w:val="clear" w:color="auto" w:fill="auto"/>
            <w:noWrap/>
            <w:vAlign w:val="center"/>
            <w:hideMark/>
          </w:tcPr>
          <w:p w14:paraId="2D704EC6" w14:textId="77777777" w:rsidR="00B4447D" w:rsidRPr="006E3020" w:rsidRDefault="00B4447D" w:rsidP="00C072C9">
            <w:pPr>
              <w:rPr>
                <w:color w:val="000000"/>
                <w:sz w:val="20"/>
                <w:szCs w:val="20"/>
                <w:lang w:val="fr-FR"/>
              </w:rPr>
            </w:pPr>
            <w:r w:rsidRPr="006E3020">
              <w:rPr>
                <w:color w:val="000000"/>
                <w:sz w:val="20"/>
                <w:szCs w:val="20"/>
                <w:lang w:val="fr-FR"/>
              </w:rPr>
              <w:t>Italie</w:t>
            </w:r>
          </w:p>
        </w:tc>
        <w:tc>
          <w:tcPr>
            <w:tcW w:w="1143" w:type="dxa"/>
            <w:shd w:val="clear" w:color="auto" w:fill="auto"/>
            <w:noWrap/>
            <w:vAlign w:val="center"/>
            <w:hideMark/>
          </w:tcPr>
          <w:p w14:paraId="488AD433" w14:textId="77777777" w:rsidR="00B4447D" w:rsidRPr="006E3020" w:rsidRDefault="00B4447D" w:rsidP="00C072C9">
            <w:pPr>
              <w:jc w:val="center"/>
              <w:rPr>
                <w:color w:val="000000"/>
                <w:lang w:val="fr-FR"/>
              </w:rPr>
            </w:pPr>
            <w:r w:rsidRPr="006E3020">
              <w:rPr>
                <w:color w:val="000000"/>
                <w:lang w:val="fr-FR"/>
              </w:rPr>
              <w:t>1</w:t>
            </w:r>
          </w:p>
        </w:tc>
        <w:tc>
          <w:tcPr>
            <w:tcW w:w="1376" w:type="dxa"/>
            <w:shd w:val="clear" w:color="auto" w:fill="auto"/>
            <w:noWrap/>
            <w:vAlign w:val="center"/>
            <w:hideMark/>
          </w:tcPr>
          <w:p w14:paraId="10FB934E" w14:textId="624745A8" w:rsidR="00B4447D" w:rsidRPr="006E3020" w:rsidRDefault="00B4447D" w:rsidP="00C072C9">
            <w:pPr>
              <w:jc w:val="right"/>
              <w:rPr>
                <w:color w:val="000000"/>
                <w:lang w:val="fr-FR"/>
              </w:rPr>
            </w:pPr>
            <w:r w:rsidRPr="006E3020">
              <w:rPr>
                <w:color w:val="000000"/>
                <w:lang w:val="fr-FR"/>
              </w:rPr>
              <w:t>1</w:t>
            </w:r>
            <w:r w:rsidR="0013475C">
              <w:rPr>
                <w:color w:val="000000"/>
                <w:lang w:val="fr-FR"/>
              </w:rPr>
              <w:t> 940 </w:t>
            </w:r>
            <w:r w:rsidRPr="006E3020">
              <w:rPr>
                <w:color w:val="000000"/>
                <w:lang w:val="fr-FR"/>
              </w:rPr>
              <w:t>514</w:t>
            </w:r>
          </w:p>
        </w:tc>
        <w:tc>
          <w:tcPr>
            <w:tcW w:w="1207" w:type="dxa"/>
            <w:shd w:val="clear" w:color="auto" w:fill="auto"/>
            <w:noWrap/>
            <w:vAlign w:val="center"/>
            <w:hideMark/>
          </w:tcPr>
          <w:p w14:paraId="1E4EC498" w14:textId="61F63E98" w:rsidR="00B4447D" w:rsidRPr="006E3020" w:rsidRDefault="00B4447D" w:rsidP="00C072C9">
            <w:pPr>
              <w:jc w:val="right"/>
              <w:rPr>
                <w:color w:val="000000"/>
                <w:lang w:val="fr-FR"/>
              </w:rPr>
            </w:pPr>
            <w:r w:rsidRPr="006E3020">
              <w:rPr>
                <w:color w:val="000000"/>
                <w:lang w:val="fr-FR"/>
              </w:rPr>
              <w:t>1</w:t>
            </w:r>
            <w:r w:rsidR="0013475C">
              <w:rPr>
                <w:color w:val="000000"/>
                <w:lang w:val="fr-FR"/>
              </w:rPr>
              <w:t> 940 </w:t>
            </w:r>
            <w:r w:rsidRPr="006E3020">
              <w:rPr>
                <w:color w:val="000000"/>
                <w:lang w:val="fr-FR"/>
              </w:rPr>
              <w:t>514</w:t>
            </w:r>
          </w:p>
        </w:tc>
        <w:tc>
          <w:tcPr>
            <w:tcW w:w="1088" w:type="dxa"/>
            <w:shd w:val="clear" w:color="auto" w:fill="auto"/>
            <w:noWrap/>
            <w:vAlign w:val="center"/>
            <w:hideMark/>
          </w:tcPr>
          <w:p w14:paraId="4ED8C9F8" w14:textId="77777777" w:rsidR="00B4447D" w:rsidRPr="006E3020" w:rsidRDefault="00B4447D" w:rsidP="00C072C9">
            <w:pPr>
              <w:jc w:val="right"/>
              <w:rPr>
                <w:color w:val="000000"/>
                <w:lang w:val="fr-FR"/>
              </w:rPr>
            </w:pPr>
            <w:r w:rsidRPr="006E3020">
              <w:rPr>
                <w:color w:val="000000"/>
                <w:lang w:val="fr-FR"/>
              </w:rPr>
              <w:t>139,7</w:t>
            </w:r>
          </w:p>
        </w:tc>
        <w:tc>
          <w:tcPr>
            <w:tcW w:w="1088" w:type="dxa"/>
            <w:shd w:val="clear" w:color="auto" w:fill="auto"/>
            <w:noWrap/>
            <w:vAlign w:val="center"/>
            <w:hideMark/>
          </w:tcPr>
          <w:p w14:paraId="6DC90542" w14:textId="77777777" w:rsidR="00B4447D" w:rsidRPr="006E3020" w:rsidRDefault="00B4447D" w:rsidP="00C072C9">
            <w:pPr>
              <w:jc w:val="right"/>
              <w:rPr>
                <w:color w:val="000000"/>
                <w:lang w:val="fr-FR"/>
              </w:rPr>
            </w:pPr>
            <w:r w:rsidRPr="006E3020">
              <w:rPr>
                <w:color w:val="000000"/>
                <w:lang w:val="fr-FR"/>
              </w:rPr>
              <w:t>139,7</w:t>
            </w:r>
          </w:p>
        </w:tc>
        <w:tc>
          <w:tcPr>
            <w:tcW w:w="1088" w:type="dxa"/>
            <w:gridSpan w:val="2"/>
            <w:shd w:val="clear" w:color="auto" w:fill="auto"/>
            <w:noWrap/>
            <w:vAlign w:val="center"/>
            <w:hideMark/>
          </w:tcPr>
          <w:p w14:paraId="53DBB0D5" w14:textId="77777777" w:rsidR="00B4447D" w:rsidRPr="006E3020" w:rsidRDefault="00B4447D" w:rsidP="00C072C9">
            <w:pPr>
              <w:jc w:val="right"/>
              <w:rPr>
                <w:color w:val="000000"/>
                <w:lang w:val="fr-FR"/>
              </w:rPr>
            </w:pPr>
            <w:r w:rsidRPr="006E3020">
              <w:rPr>
                <w:color w:val="000000"/>
                <w:lang w:val="fr-FR"/>
              </w:rPr>
              <w:t xml:space="preserve">60,87 </w:t>
            </w:r>
          </w:p>
        </w:tc>
        <w:tc>
          <w:tcPr>
            <w:tcW w:w="1088" w:type="dxa"/>
            <w:shd w:val="clear" w:color="auto" w:fill="auto"/>
            <w:noWrap/>
            <w:vAlign w:val="center"/>
            <w:hideMark/>
          </w:tcPr>
          <w:p w14:paraId="2E1BBEF6" w14:textId="77777777" w:rsidR="00B4447D" w:rsidRPr="006E3020" w:rsidRDefault="00B4447D" w:rsidP="00C072C9">
            <w:pPr>
              <w:jc w:val="right"/>
              <w:rPr>
                <w:color w:val="000000"/>
                <w:lang w:val="fr-FR"/>
              </w:rPr>
            </w:pPr>
            <w:r w:rsidRPr="006E3020">
              <w:rPr>
                <w:color w:val="000000"/>
                <w:lang w:val="fr-FR"/>
              </w:rPr>
              <w:t xml:space="preserve">0,00 </w:t>
            </w:r>
          </w:p>
        </w:tc>
      </w:tr>
      <w:tr w:rsidR="00B4447D" w:rsidRPr="006E3020" w14:paraId="55AE106B" w14:textId="77777777" w:rsidTr="00C072C9">
        <w:trPr>
          <w:trHeight w:val="80"/>
        </w:trPr>
        <w:tc>
          <w:tcPr>
            <w:tcW w:w="1304" w:type="dxa"/>
            <w:shd w:val="clear" w:color="auto" w:fill="auto"/>
            <w:noWrap/>
            <w:vAlign w:val="center"/>
            <w:hideMark/>
          </w:tcPr>
          <w:p w14:paraId="4AE9F3A1" w14:textId="77777777" w:rsidR="00B4447D" w:rsidRPr="006E3020" w:rsidRDefault="00B4447D" w:rsidP="00C072C9">
            <w:pPr>
              <w:rPr>
                <w:color w:val="000000"/>
                <w:sz w:val="20"/>
                <w:szCs w:val="20"/>
                <w:lang w:val="fr-FR"/>
              </w:rPr>
            </w:pPr>
            <w:r w:rsidRPr="006E3020">
              <w:rPr>
                <w:color w:val="000000"/>
                <w:sz w:val="20"/>
                <w:szCs w:val="20"/>
                <w:lang w:val="fr-FR"/>
              </w:rPr>
              <w:t>Japon</w:t>
            </w:r>
          </w:p>
        </w:tc>
        <w:tc>
          <w:tcPr>
            <w:tcW w:w="1143" w:type="dxa"/>
            <w:shd w:val="clear" w:color="auto" w:fill="auto"/>
            <w:noWrap/>
            <w:vAlign w:val="center"/>
            <w:hideMark/>
          </w:tcPr>
          <w:p w14:paraId="0C344022" w14:textId="77777777" w:rsidR="00B4447D" w:rsidRPr="006E3020" w:rsidRDefault="00B4447D" w:rsidP="00C072C9">
            <w:pPr>
              <w:jc w:val="center"/>
              <w:rPr>
                <w:color w:val="000000"/>
                <w:lang w:val="fr-FR"/>
              </w:rPr>
            </w:pPr>
            <w:r w:rsidRPr="006E3020">
              <w:rPr>
                <w:color w:val="000000"/>
                <w:lang w:val="fr-FR"/>
              </w:rPr>
              <w:t>1</w:t>
            </w:r>
          </w:p>
        </w:tc>
        <w:tc>
          <w:tcPr>
            <w:tcW w:w="1376" w:type="dxa"/>
            <w:shd w:val="clear" w:color="auto" w:fill="auto"/>
            <w:noWrap/>
            <w:vAlign w:val="center"/>
            <w:hideMark/>
          </w:tcPr>
          <w:p w14:paraId="4B8D0742" w14:textId="39DDB24B" w:rsidR="00B4447D" w:rsidRPr="006E3020" w:rsidRDefault="00B4447D" w:rsidP="00C072C9">
            <w:pPr>
              <w:jc w:val="right"/>
              <w:rPr>
                <w:color w:val="000000"/>
                <w:lang w:val="fr-FR"/>
              </w:rPr>
            </w:pPr>
            <w:r w:rsidRPr="006E3020">
              <w:rPr>
                <w:color w:val="000000"/>
                <w:lang w:val="fr-FR"/>
              </w:rPr>
              <w:t>205</w:t>
            </w:r>
            <w:r w:rsidR="0013475C">
              <w:rPr>
                <w:color w:val="000000"/>
                <w:lang w:val="fr-FR"/>
              </w:rPr>
              <w:t> </w:t>
            </w:r>
            <w:r w:rsidRPr="006E3020">
              <w:rPr>
                <w:color w:val="000000"/>
                <w:lang w:val="fr-FR"/>
              </w:rPr>
              <w:t>616</w:t>
            </w:r>
          </w:p>
        </w:tc>
        <w:tc>
          <w:tcPr>
            <w:tcW w:w="1207" w:type="dxa"/>
            <w:shd w:val="clear" w:color="auto" w:fill="auto"/>
            <w:noWrap/>
            <w:vAlign w:val="center"/>
            <w:hideMark/>
          </w:tcPr>
          <w:p w14:paraId="7C5C3D93" w14:textId="6EB2864D" w:rsidR="00B4447D" w:rsidRPr="006E3020" w:rsidRDefault="00B4447D" w:rsidP="00C072C9">
            <w:pPr>
              <w:jc w:val="right"/>
              <w:rPr>
                <w:color w:val="000000"/>
                <w:lang w:val="fr-FR"/>
              </w:rPr>
            </w:pPr>
            <w:r w:rsidRPr="006E3020">
              <w:rPr>
                <w:color w:val="000000"/>
                <w:lang w:val="fr-FR"/>
              </w:rPr>
              <w:t>205</w:t>
            </w:r>
            <w:r w:rsidR="0013475C">
              <w:rPr>
                <w:color w:val="000000"/>
                <w:lang w:val="fr-FR"/>
              </w:rPr>
              <w:t> </w:t>
            </w:r>
            <w:r w:rsidRPr="006E3020">
              <w:rPr>
                <w:color w:val="000000"/>
                <w:lang w:val="fr-FR"/>
              </w:rPr>
              <w:t>616</w:t>
            </w:r>
          </w:p>
        </w:tc>
        <w:tc>
          <w:tcPr>
            <w:tcW w:w="1088" w:type="dxa"/>
            <w:shd w:val="clear" w:color="auto" w:fill="auto"/>
            <w:noWrap/>
            <w:vAlign w:val="center"/>
            <w:hideMark/>
          </w:tcPr>
          <w:p w14:paraId="79B31EFE" w14:textId="77777777" w:rsidR="00B4447D" w:rsidRPr="006E3020" w:rsidRDefault="00B4447D" w:rsidP="00C072C9">
            <w:pPr>
              <w:jc w:val="right"/>
              <w:rPr>
                <w:color w:val="000000"/>
                <w:lang w:val="fr-FR"/>
              </w:rPr>
            </w:pPr>
            <w:r w:rsidRPr="006E3020">
              <w:rPr>
                <w:color w:val="000000"/>
                <w:lang w:val="fr-FR"/>
              </w:rPr>
              <w:t>1,1</w:t>
            </w:r>
          </w:p>
        </w:tc>
        <w:tc>
          <w:tcPr>
            <w:tcW w:w="1088" w:type="dxa"/>
            <w:shd w:val="clear" w:color="auto" w:fill="auto"/>
            <w:noWrap/>
            <w:vAlign w:val="center"/>
            <w:hideMark/>
          </w:tcPr>
          <w:p w14:paraId="67B8FA5F" w14:textId="77777777" w:rsidR="00B4447D" w:rsidRPr="006E3020" w:rsidRDefault="00B4447D" w:rsidP="00C072C9">
            <w:pPr>
              <w:jc w:val="right"/>
              <w:rPr>
                <w:color w:val="000000"/>
                <w:lang w:val="fr-FR"/>
              </w:rPr>
            </w:pPr>
            <w:r w:rsidRPr="006E3020">
              <w:rPr>
                <w:color w:val="000000"/>
                <w:lang w:val="fr-FR"/>
              </w:rPr>
              <w:t>1,1</w:t>
            </w:r>
          </w:p>
        </w:tc>
        <w:tc>
          <w:tcPr>
            <w:tcW w:w="1088" w:type="dxa"/>
            <w:gridSpan w:val="2"/>
            <w:shd w:val="clear" w:color="auto" w:fill="auto"/>
            <w:noWrap/>
            <w:vAlign w:val="center"/>
            <w:hideMark/>
          </w:tcPr>
          <w:p w14:paraId="3E69F158" w14:textId="77777777" w:rsidR="00B4447D" w:rsidRPr="006E3020" w:rsidRDefault="00B4447D" w:rsidP="00C072C9">
            <w:pPr>
              <w:jc w:val="right"/>
              <w:rPr>
                <w:color w:val="000000"/>
                <w:lang w:val="fr-FR"/>
              </w:rPr>
            </w:pPr>
            <w:r w:rsidRPr="006E3020">
              <w:rPr>
                <w:color w:val="000000"/>
                <w:lang w:val="fr-FR"/>
              </w:rPr>
              <w:t xml:space="preserve">28,47 </w:t>
            </w:r>
          </w:p>
        </w:tc>
        <w:tc>
          <w:tcPr>
            <w:tcW w:w="1088" w:type="dxa"/>
            <w:shd w:val="clear" w:color="auto" w:fill="auto"/>
            <w:noWrap/>
            <w:vAlign w:val="center"/>
            <w:hideMark/>
          </w:tcPr>
          <w:p w14:paraId="015C86DA" w14:textId="77777777" w:rsidR="00B4447D" w:rsidRPr="006E3020" w:rsidRDefault="00B4447D" w:rsidP="00C072C9">
            <w:pPr>
              <w:jc w:val="right"/>
              <w:rPr>
                <w:color w:val="000000"/>
                <w:lang w:val="fr-FR"/>
              </w:rPr>
            </w:pPr>
            <w:r w:rsidRPr="006E3020">
              <w:rPr>
                <w:color w:val="000000"/>
                <w:lang w:val="fr-FR"/>
              </w:rPr>
              <w:t xml:space="preserve">14,20 </w:t>
            </w:r>
          </w:p>
        </w:tc>
      </w:tr>
      <w:tr w:rsidR="00B4447D" w:rsidRPr="006E3020" w14:paraId="59B73092" w14:textId="77777777" w:rsidTr="00C072C9">
        <w:trPr>
          <w:trHeight w:val="83"/>
        </w:trPr>
        <w:tc>
          <w:tcPr>
            <w:tcW w:w="1304" w:type="dxa"/>
            <w:shd w:val="clear" w:color="auto" w:fill="auto"/>
            <w:noWrap/>
            <w:vAlign w:val="center"/>
            <w:hideMark/>
          </w:tcPr>
          <w:p w14:paraId="11B8ADB2" w14:textId="77777777" w:rsidR="00B4447D" w:rsidRPr="006E3020" w:rsidRDefault="00B4447D" w:rsidP="00C072C9">
            <w:pPr>
              <w:rPr>
                <w:color w:val="000000"/>
                <w:sz w:val="20"/>
                <w:szCs w:val="20"/>
                <w:lang w:val="fr-FR"/>
              </w:rPr>
            </w:pPr>
            <w:r w:rsidRPr="006E3020">
              <w:rPr>
                <w:color w:val="000000"/>
                <w:sz w:val="20"/>
                <w:szCs w:val="20"/>
                <w:lang w:val="fr-FR"/>
              </w:rPr>
              <w:t>PNUD</w:t>
            </w:r>
          </w:p>
        </w:tc>
        <w:tc>
          <w:tcPr>
            <w:tcW w:w="1143" w:type="dxa"/>
            <w:shd w:val="clear" w:color="auto" w:fill="auto"/>
            <w:noWrap/>
            <w:vAlign w:val="center"/>
            <w:hideMark/>
          </w:tcPr>
          <w:p w14:paraId="74EC35EA" w14:textId="77777777" w:rsidR="00B4447D" w:rsidRPr="006E3020" w:rsidRDefault="00B4447D" w:rsidP="00C072C9">
            <w:pPr>
              <w:jc w:val="center"/>
              <w:rPr>
                <w:color w:val="000000"/>
                <w:lang w:val="fr-FR"/>
              </w:rPr>
            </w:pPr>
            <w:r w:rsidRPr="006E3020">
              <w:rPr>
                <w:color w:val="000000"/>
                <w:lang w:val="fr-FR"/>
              </w:rPr>
              <w:t>5</w:t>
            </w:r>
          </w:p>
        </w:tc>
        <w:tc>
          <w:tcPr>
            <w:tcW w:w="1376" w:type="dxa"/>
            <w:shd w:val="clear" w:color="auto" w:fill="auto"/>
            <w:noWrap/>
            <w:vAlign w:val="center"/>
            <w:hideMark/>
          </w:tcPr>
          <w:p w14:paraId="24DD5150" w14:textId="4698FEDB" w:rsidR="00B4447D" w:rsidRPr="006E3020" w:rsidRDefault="00B4447D" w:rsidP="00C072C9">
            <w:pPr>
              <w:jc w:val="right"/>
              <w:rPr>
                <w:color w:val="000000"/>
                <w:lang w:val="fr-FR"/>
              </w:rPr>
            </w:pPr>
            <w:r w:rsidRPr="006E3020">
              <w:rPr>
                <w:color w:val="000000"/>
                <w:lang w:val="fr-FR"/>
              </w:rPr>
              <w:t>8</w:t>
            </w:r>
            <w:r w:rsidR="0013475C">
              <w:rPr>
                <w:color w:val="000000"/>
                <w:lang w:val="fr-FR"/>
              </w:rPr>
              <w:t> 621 </w:t>
            </w:r>
            <w:r w:rsidRPr="006E3020">
              <w:rPr>
                <w:color w:val="000000"/>
                <w:lang w:val="fr-FR"/>
              </w:rPr>
              <w:t>990</w:t>
            </w:r>
          </w:p>
        </w:tc>
        <w:tc>
          <w:tcPr>
            <w:tcW w:w="1207" w:type="dxa"/>
            <w:shd w:val="clear" w:color="auto" w:fill="auto"/>
            <w:noWrap/>
            <w:vAlign w:val="center"/>
            <w:hideMark/>
          </w:tcPr>
          <w:p w14:paraId="598534EA" w14:textId="262AC2AF" w:rsidR="00B4447D" w:rsidRPr="006E3020" w:rsidRDefault="00B4447D" w:rsidP="00C072C9">
            <w:pPr>
              <w:jc w:val="right"/>
              <w:rPr>
                <w:color w:val="000000"/>
                <w:lang w:val="fr-FR"/>
              </w:rPr>
            </w:pPr>
            <w:r w:rsidRPr="006E3020">
              <w:rPr>
                <w:color w:val="000000"/>
                <w:lang w:val="fr-FR"/>
              </w:rPr>
              <w:t>8</w:t>
            </w:r>
            <w:r w:rsidR="0013475C">
              <w:rPr>
                <w:color w:val="000000"/>
                <w:lang w:val="fr-FR"/>
              </w:rPr>
              <w:t> 607 </w:t>
            </w:r>
            <w:r w:rsidRPr="006E3020">
              <w:rPr>
                <w:color w:val="000000"/>
                <w:lang w:val="fr-FR"/>
              </w:rPr>
              <w:t>326</w:t>
            </w:r>
          </w:p>
        </w:tc>
        <w:tc>
          <w:tcPr>
            <w:tcW w:w="1088" w:type="dxa"/>
            <w:shd w:val="clear" w:color="auto" w:fill="auto"/>
            <w:noWrap/>
            <w:vAlign w:val="center"/>
            <w:hideMark/>
          </w:tcPr>
          <w:p w14:paraId="664BE074" w14:textId="77777777" w:rsidR="00B4447D" w:rsidRPr="006E3020" w:rsidRDefault="00B4447D" w:rsidP="00C072C9">
            <w:pPr>
              <w:jc w:val="right"/>
              <w:rPr>
                <w:color w:val="000000"/>
                <w:lang w:val="fr-FR"/>
              </w:rPr>
            </w:pPr>
            <w:r w:rsidRPr="006E3020">
              <w:rPr>
                <w:color w:val="000000"/>
                <w:lang w:val="fr-FR"/>
              </w:rPr>
              <w:t>564,6</w:t>
            </w:r>
          </w:p>
        </w:tc>
        <w:tc>
          <w:tcPr>
            <w:tcW w:w="1088" w:type="dxa"/>
            <w:shd w:val="clear" w:color="auto" w:fill="auto"/>
            <w:noWrap/>
            <w:vAlign w:val="center"/>
            <w:hideMark/>
          </w:tcPr>
          <w:p w14:paraId="07EEAE1E" w14:textId="77777777" w:rsidR="00B4447D" w:rsidRPr="006E3020" w:rsidRDefault="00B4447D" w:rsidP="00C072C9">
            <w:pPr>
              <w:jc w:val="right"/>
              <w:rPr>
                <w:color w:val="000000"/>
                <w:lang w:val="fr-FR"/>
              </w:rPr>
            </w:pPr>
            <w:r w:rsidRPr="006E3020">
              <w:rPr>
                <w:color w:val="000000"/>
                <w:lang w:val="fr-FR"/>
              </w:rPr>
              <w:t>564,6</w:t>
            </w:r>
          </w:p>
        </w:tc>
        <w:tc>
          <w:tcPr>
            <w:tcW w:w="1088" w:type="dxa"/>
            <w:gridSpan w:val="2"/>
            <w:shd w:val="clear" w:color="auto" w:fill="auto"/>
            <w:noWrap/>
            <w:vAlign w:val="center"/>
            <w:hideMark/>
          </w:tcPr>
          <w:p w14:paraId="6A9A5E8E" w14:textId="77777777" w:rsidR="00B4447D" w:rsidRPr="006E3020" w:rsidRDefault="00B4447D" w:rsidP="00C072C9">
            <w:pPr>
              <w:jc w:val="right"/>
              <w:rPr>
                <w:color w:val="000000"/>
                <w:lang w:val="fr-FR"/>
              </w:rPr>
            </w:pPr>
            <w:r w:rsidRPr="006E3020">
              <w:rPr>
                <w:color w:val="000000"/>
                <w:lang w:val="fr-FR"/>
              </w:rPr>
              <w:t xml:space="preserve">37,94 </w:t>
            </w:r>
          </w:p>
        </w:tc>
        <w:tc>
          <w:tcPr>
            <w:tcW w:w="1088" w:type="dxa"/>
            <w:shd w:val="clear" w:color="auto" w:fill="auto"/>
            <w:noWrap/>
            <w:vAlign w:val="center"/>
            <w:hideMark/>
          </w:tcPr>
          <w:p w14:paraId="3F2A6D7D" w14:textId="77777777" w:rsidR="00B4447D" w:rsidRPr="006E3020" w:rsidRDefault="00B4447D" w:rsidP="00C072C9">
            <w:pPr>
              <w:jc w:val="right"/>
              <w:rPr>
                <w:color w:val="000000"/>
                <w:lang w:val="fr-FR"/>
              </w:rPr>
            </w:pPr>
            <w:r w:rsidRPr="006E3020">
              <w:rPr>
                <w:color w:val="000000"/>
                <w:lang w:val="fr-FR"/>
              </w:rPr>
              <w:t xml:space="preserve">8,54 </w:t>
            </w:r>
          </w:p>
        </w:tc>
      </w:tr>
      <w:tr w:rsidR="00B4447D" w:rsidRPr="006E3020" w14:paraId="0463ACAB" w14:textId="77777777" w:rsidTr="00C072C9">
        <w:trPr>
          <w:trHeight w:val="104"/>
        </w:trPr>
        <w:tc>
          <w:tcPr>
            <w:tcW w:w="1304" w:type="dxa"/>
            <w:shd w:val="clear" w:color="auto" w:fill="auto"/>
            <w:noWrap/>
            <w:vAlign w:val="center"/>
            <w:hideMark/>
          </w:tcPr>
          <w:p w14:paraId="63CF3AE9" w14:textId="77777777" w:rsidR="00B4447D" w:rsidRPr="006E3020" w:rsidRDefault="00B4447D" w:rsidP="00C072C9">
            <w:pPr>
              <w:rPr>
                <w:color w:val="000000"/>
                <w:sz w:val="20"/>
                <w:szCs w:val="20"/>
                <w:lang w:val="fr-FR"/>
              </w:rPr>
            </w:pPr>
            <w:r w:rsidRPr="006E3020">
              <w:rPr>
                <w:color w:val="000000"/>
                <w:sz w:val="20"/>
                <w:szCs w:val="20"/>
                <w:lang w:val="fr-FR"/>
              </w:rPr>
              <w:t>PNUE</w:t>
            </w:r>
          </w:p>
        </w:tc>
        <w:tc>
          <w:tcPr>
            <w:tcW w:w="1143" w:type="dxa"/>
            <w:shd w:val="clear" w:color="auto" w:fill="auto"/>
            <w:noWrap/>
            <w:vAlign w:val="center"/>
            <w:hideMark/>
          </w:tcPr>
          <w:p w14:paraId="2013EFBD" w14:textId="77777777" w:rsidR="00B4447D" w:rsidRPr="006E3020" w:rsidRDefault="00B4447D" w:rsidP="00C072C9">
            <w:pPr>
              <w:jc w:val="center"/>
              <w:rPr>
                <w:color w:val="000000"/>
                <w:lang w:val="fr-FR"/>
              </w:rPr>
            </w:pPr>
            <w:r w:rsidRPr="006E3020">
              <w:rPr>
                <w:color w:val="000000"/>
                <w:lang w:val="fr-FR"/>
              </w:rPr>
              <w:t>27*</w:t>
            </w:r>
          </w:p>
        </w:tc>
        <w:tc>
          <w:tcPr>
            <w:tcW w:w="1376" w:type="dxa"/>
            <w:shd w:val="clear" w:color="auto" w:fill="auto"/>
            <w:noWrap/>
            <w:vAlign w:val="center"/>
            <w:hideMark/>
          </w:tcPr>
          <w:p w14:paraId="37E0D923" w14:textId="0AC7BA60" w:rsidR="00B4447D" w:rsidRPr="006E3020" w:rsidRDefault="00B4447D" w:rsidP="00C072C9">
            <w:pPr>
              <w:jc w:val="right"/>
              <w:rPr>
                <w:color w:val="000000"/>
                <w:lang w:val="fr-FR"/>
              </w:rPr>
            </w:pPr>
            <w:r w:rsidRPr="006E3020">
              <w:rPr>
                <w:color w:val="000000"/>
                <w:lang w:val="fr-FR"/>
              </w:rPr>
              <w:t>4</w:t>
            </w:r>
            <w:r w:rsidR="0013475C">
              <w:rPr>
                <w:color w:val="000000"/>
                <w:lang w:val="fr-FR"/>
              </w:rPr>
              <w:t> 851 </w:t>
            </w:r>
            <w:r w:rsidRPr="006E3020">
              <w:rPr>
                <w:color w:val="000000"/>
                <w:lang w:val="fr-FR"/>
              </w:rPr>
              <w:t>468</w:t>
            </w:r>
          </w:p>
        </w:tc>
        <w:tc>
          <w:tcPr>
            <w:tcW w:w="1207" w:type="dxa"/>
            <w:shd w:val="clear" w:color="auto" w:fill="auto"/>
            <w:noWrap/>
            <w:vAlign w:val="center"/>
            <w:hideMark/>
          </w:tcPr>
          <w:p w14:paraId="47F6E563" w14:textId="2A07D9FD" w:rsidR="00B4447D" w:rsidRPr="006E3020" w:rsidRDefault="00B4447D" w:rsidP="00C072C9">
            <w:pPr>
              <w:jc w:val="right"/>
              <w:rPr>
                <w:color w:val="000000"/>
                <w:lang w:val="fr-FR"/>
              </w:rPr>
            </w:pPr>
            <w:r w:rsidRPr="006E3020">
              <w:rPr>
                <w:color w:val="000000"/>
                <w:lang w:val="fr-FR"/>
              </w:rPr>
              <w:t>4</w:t>
            </w:r>
            <w:r w:rsidR="0013475C">
              <w:rPr>
                <w:color w:val="000000"/>
                <w:lang w:val="fr-FR"/>
              </w:rPr>
              <w:t> 077 </w:t>
            </w:r>
            <w:r w:rsidRPr="006E3020">
              <w:rPr>
                <w:color w:val="000000"/>
                <w:lang w:val="fr-FR"/>
              </w:rPr>
              <w:t>792</w:t>
            </w:r>
          </w:p>
        </w:tc>
        <w:tc>
          <w:tcPr>
            <w:tcW w:w="1088" w:type="dxa"/>
            <w:shd w:val="clear" w:color="auto" w:fill="auto"/>
            <w:noWrap/>
            <w:vAlign w:val="center"/>
            <w:hideMark/>
          </w:tcPr>
          <w:p w14:paraId="65CAE05A" w14:textId="77777777" w:rsidR="00B4447D" w:rsidRPr="006E3020" w:rsidRDefault="00B4447D" w:rsidP="00C072C9">
            <w:pPr>
              <w:jc w:val="right"/>
              <w:rPr>
                <w:color w:val="000000"/>
                <w:lang w:val="fr-FR"/>
              </w:rPr>
            </w:pPr>
            <w:r w:rsidRPr="006E3020">
              <w:rPr>
                <w:color w:val="000000"/>
                <w:lang w:val="fr-FR"/>
              </w:rPr>
              <w:t>0,0</w:t>
            </w:r>
          </w:p>
        </w:tc>
        <w:tc>
          <w:tcPr>
            <w:tcW w:w="1088" w:type="dxa"/>
            <w:shd w:val="clear" w:color="auto" w:fill="auto"/>
            <w:noWrap/>
            <w:vAlign w:val="center"/>
            <w:hideMark/>
          </w:tcPr>
          <w:p w14:paraId="330DD149" w14:textId="77777777" w:rsidR="00B4447D" w:rsidRPr="006E3020" w:rsidRDefault="00B4447D" w:rsidP="00C072C9">
            <w:pPr>
              <w:jc w:val="right"/>
              <w:rPr>
                <w:color w:val="000000"/>
                <w:lang w:val="fr-FR"/>
              </w:rPr>
            </w:pPr>
            <w:r w:rsidRPr="006E3020">
              <w:rPr>
                <w:color w:val="000000"/>
                <w:lang w:val="fr-FR"/>
              </w:rPr>
              <w:t>0,0</w:t>
            </w:r>
          </w:p>
        </w:tc>
        <w:tc>
          <w:tcPr>
            <w:tcW w:w="1088" w:type="dxa"/>
            <w:gridSpan w:val="2"/>
            <w:shd w:val="clear" w:color="auto" w:fill="auto"/>
            <w:noWrap/>
            <w:vAlign w:val="center"/>
            <w:hideMark/>
          </w:tcPr>
          <w:p w14:paraId="3422A946" w14:textId="77777777" w:rsidR="00B4447D" w:rsidRPr="006E3020" w:rsidRDefault="00B4447D" w:rsidP="00C072C9">
            <w:pPr>
              <w:jc w:val="right"/>
              <w:rPr>
                <w:color w:val="000000"/>
                <w:lang w:val="fr-FR"/>
              </w:rPr>
            </w:pPr>
            <w:r w:rsidRPr="006E3020">
              <w:rPr>
                <w:color w:val="000000"/>
                <w:lang w:val="fr-FR"/>
              </w:rPr>
              <w:t xml:space="preserve">63,78 </w:t>
            </w:r>
          </w:p>
        </w:tc>
        <w:tc>
          <w:tcPr>
            <w:tcW w:w="1088" w:type="dxa"/>
            <w:shd w:val="clear" w:color="auto" w:fill="auto"/>
            <w:noWrap/>
            <w:vAlign w:val="center"/>
            <w:hideMark/>
          </w:tcPr>
          <w:p w14:paraId="30C4AE69" w14:textId="77777777" w:rsidR="00B4447D" w:rsidRPr="006E3020" w:rsidRDefault="00B4447D" w:rsidP="00C072C9">
            <w:pPr>
              <w:jc w:val="right"/>
              <w:rPr>
                <w:color w:val="000000"/>
                <w:lang w:val="fr-FR"/>
              </w:rPr>
            </w:pPr>
            <w:r w:rsidRPr="006E3020">
              <w:rPr>
                <w:color w:val="000000"/>
                <w:lang w:val="fr-FR"/>
              </w:rPr>
              <w:t xml:space="preserve">36,48 </w:t>
            </w:r>
          </w:p>
        </w:tc>
      </w:tr>
      <w:tr w:rsidR="00B4447D" w:rsidRPr="006E3020" w14:paraId="6C3D1EE4" w14:textId="77777777" w:rsidTr="00C072C9">
        <w:trPr>
          <w:trHeight w:val="108"/>
        </w:trPr>
        <w:tc>
          <w:tcPr>
            <w:tcW w:w="1304" w:type="dxa"/>
            <w:shd w:val="clear" w:color="auto" w:fill="auto"/>
            <w:noWrap/>
            <w:vAlign w:val="center"/>
            <w:hideMark/>
          </w:tcPr>
          <w:p w14:paraId="7EE3CA46" w14:textId="77777777" w:rsidR="00B4447D" w:rsidRPr="006E3020" w:rsidRDefault="00B4447D" w:rsidP="00C072C9">
            <w:pPr>
              <w:rPr>
                <w:color w:val="000000"/>
                <w:sz w:val="20"/>
                <w:szCs w:val="20"/>
                <w:lang w:val="fr-FR"/>
              </w:rPr>
            </w:pPr>
            <w:r w:rsidRPr="006E3020">
              <w:rPr>
                <w:color w:val="000000"/>
                <w:sz w:val="20"/>
                <w:szCs w:val="20"/>
                <w:lang w:val="fr-FR"/>
              </w:rPr>
              <w:t>ONUDI</w:t>
            </w:r>
          </w:p>
        </w:tc>
        <w:tc>
          <w:tcPr>
            <w:tcW w:w="1143" w:type="dxa"/>
            <w:shd w:val="clear" w:color="auto" w:fill="auto"/>
            <w:noWrap/>
            <w:vAlign w:val="center"/>
            <w:hideMark/>
          </w:tcPr>
          <w:p w14:paraId="03D3DB71" w14:textId="77777777" w:rsidR="00B4447D" w:rsidRPr="006E3020" w:rsidRDefault="00B4447D" w:rsidP="00C072C9">
            <w:pPr>
              <w:jc w:val="center"/>
              <w:rPr>
                <w:color w:val="000000"/>
                <w:lang w:val="fr-FR"/>
              </w:rPr>
            </w:pPr>
            <w:r w:rsidRPr="006E3020">
              <w:rPr>
                <w:color w:val="000000"/>
                <w:lang w:val="fr-FR"/>
              </w:rPr>
              <w:t>1</w:t>
            </w:r>
          </w:p>
        </w:tc>
        <w:tc>
          <w:tcPr>
            <w:tcW w:w="1376" w:type="dxa"/>
            <w:shd w:val="clear" w:color="auto" w:fill="auto"/>
            <w:noWrap/>
            <w:vAlign w:val="center"/>
            <w:hideMark/>
          </w:tcPr>
          <w:p w14:paraId="719622D6" w14:textId="37E50FAE" w:rsidR="00B4447D" w:rsidRPr="006E3020" w:rsidRDefault="00B4447D" w:rsidP="00C072C9">
            <w:pPr>
              <w:jc w:val="right"/>
              <w:rPr>
                <w:color w:val="000000"/>
                <w:lang w:val="fr-FR"/>
              </w:rPr>
            </w:pPr>
            <w:r w:rsidRPr="006E3020">
              <w:rPr>
                <w:color w:val="000000"/>
                <w:lang w:val="fr-FR"/>
              </w:rPr>
              <w:t>63</w:t>
            </w:r>
            <w:r w:rsidR="0013475C">
              <w:rPr>
                <w:color w:val="000000"/>
                <w:lang w:val="fr-FR"/>
              </w:rPr>
              <w:t> </w:t>
            </w:r>
            <w:r w:rsidRPr="006E3020">
              <w:rPr>
                <w:color w:val="000000"/>
                <w:lang w:val="fr-FR"/>
              </w:rPr>
              <w:t>521</w:t>
            </w:r>
          </w:p>
        </w:tc>
        <w:tc>
          <w:tcPr>
            <w:tcW w:w="1207" w:type="dxa"/>
            <w:shd w:val="clear" w:color="auto" w:fill="auto"/>
            <w:noWrap/>
            <w:vAlign w:val="center"/>
            <w:hideMark/>
          </w:tcPr>
          <w:p w14:paraId="27C37311" w14:textId="707796F1" w:rsidR="00B4447D" w:rsidRPr="006E3020" w:rsidRDefault="00B4447D" w:rsidP="00C072C9">
            <w:pPr>
              <w:jc w:val="right"/>
              <w:rPr>
                <w:color w:val="000000"/>
                <w:lang w:val="fr-FR"/>
              </w:rPr>
            </w:pPr>
            <w:r w:rsidRPr="006E3020">
              <w:rPr>
                <w:color w:val="000000"/>
                <w:lang w:val="fr-FR"/>
              </w:rPr>
              <w:t>62</w:t>
            </w:r>
            <w:r w:rsidR="0013475C">
              <w:rPr>
                <w:color w:val="000000"/>
                <w:lang w:val="fr-FR"/>
              </w:rPr>
              <w:t> </w:t>
            </w:r>
            <w:r w:rsidRPr="006E3020">
              <w:rPr>
                <w:color w:val="000000"/>
                <w:lang w:val="fr-FR"/>
              </w:rPr>
              <w:t>189</w:t>
            </w:r>
          </w:p>
        </w:tc>
        <w:tc>
          <w:tcPr>
            <w:tcW w:w="1088" w:type="dxa"/>
            <w:shd w:val="clear" w:color="auto" w:fill="auto"/>
            <w:noWrap/>
            <w:vAlign w:val="center"/>
            <w:hideMark/>
          </w:tcPr>
          <w:p w14:paraId="10220874" w14:textId="77777777" w:rsidR="00B4447D" w:rsidRPr="006E3020" w:rsidRDefault="00B4447D" w:rsidP="00C072C9">
            <w:pPr>
              <w:jc w:val="right"/>
              <w:rPr>
                <w:color w:val="000000"/>
                <w:lang w:val="fr-FR"/>
              </w:rPr>
            </w:pPr>
            <w:r w:rsidRPr="006E3020">
              <w:rPr>
                <w:color w:val="000000"/>
                <w:lang w:val="fr-FR"/>
              </w:rPr>
              <w:t>0,0</w:t>
            </w:r>
          </w:p>
        </w:tc>
        <w:tc>
          <w:tcPr>
            <w:tcW w:w="1088" w:type="dxa"/>
            <w:shd w:val="clear" w:color="auto" w:fill="auto"/>
            <w:noWrap/>
            <w:vAlign w:val="center"/>
            <w:hideMark/>
          </w:tcPr>
          <w:p w14:paraId="04AB033D" w14:textId="77777777" w:rsidR="00B4447D" w:rsidRPr="006E3020" w:rsidRDefault="00B4447D" w:rsidP="00C072C9">
            <w:pPr>
              <w:jc w:val="right"/>
              <w:rPr>
                <w:color w:val="000000"/>
                <w:lang w:val="fr-FR"/>
              </w:rPr>
            </w:pPr>
            <w:r w:rsidRPr="006E3020">
              <w:rPr>
                <w:color w:val="000000"/>
                <w:lang w:val="fr-FR"/>
              </w:rPr>
              <w:t>0,0</w:t>
            </w:r>
          </w:p>
        </w:tc>
        <w:tc>
          <w:tcPr>
            <w:tcW w:w="1088" w:type="dxa"/>
            <w:gridSpan w:val="2"/>
            <w:shd w:val="clear" w:color="auto" w:fill="auto"/>
            <w:noWrap/>
            <w:vAlign w:val="center"/>
            <w:hideMark/>
          </w:tcPr>
          <w:p w14:paraId="2FA7FE5F" w14:textId="77777777" w:rsidR="00B4447D" w:rsidRPr="006E3020" w:rsidRDefault="00B4447D" w:rsidP="00C072C9">
            <w:pPr>
              <w:jc w:val="right"/>
              <w:rPr>
                <w:color w:val="000000"/>
                <w:lang w:val="fr-FR"/>
              </w:rPr>
            </w:pPr>
            <w:r w:rsidRPr="006E3020">
              <w:rPr>
                <w:color w:val="000000"/>
                <w:lang w:val="fr-FR"/>
              </w:rPr>
              <w:t xml:space="preserve">37,53 </w:t>
            </w:r>
          </w:p>
        </w:tc>
        <w:tc>
          <w:tcPr>
            <w:tcW w:w="1088" w:type="dxa"/>
            <w:shd w:val="clear" w:color="auto" w:fill="auto"/>
            <w:noWrap/>
            <w:vAlign w:val="center"/>
            <w:hideMark/>
          </w:tcPr>
          <w:p w14:paraId="5AD659BA" w14:textId="77777777" w:rsidR="00B4447D" w:rsidRPr="006E3020" w:rsidRDefault="00B4447D" w:rsidP="00C072C9">
            <w:pPr>
              <w:jc w:val="right"/>
              <w:rPr>
                <w:color w:val="000000"/>
                <w:lang w:val="fr-FR"/>
              </w:rPr>
            </w:pPr>
            <w:r w:rsidRPr="006E3020">
              <w:rPr>
                <w:color w:val="000000"/>
                <w:lang w:val="fr-FR"/>
              </w:rPr>
              <w:t xml:space="preserve">12,17 </w:t>
            </w:r>
          </w:p>
        </w:tc>
      </w:tr>
      <w:tr w:rsidR="00B4447D" w:rsidRPr="006E3020" w14:paraId="47D66BD9" w14:textId="77777777" w:rsidTr="00C072C9">
        <w:trPr>
          <w:trHeight w:val="126"/>
        </w:trPr>
        <w:tc>
          <w:tcPr>
            <w:tcW w:w="1304" w:type="dxa"/>
            <w:shd w:val="clear" w:color="auto" w:fill="auto"/>
            <w:noWrap/>
            <w:vAlign w:val="center"/>
            <w:hideMark/>
          </w:tcPr>
          <w:p w14:paraId="7FD7075C" w14:textId="77777777" w:rsidR="00B4447D" w:rsidRPr="006E3020" w:rsidRDefault="00B4447D" w:rsidP="00C072C9">
            <w:pPr>
              <w:jc w:val="left"/>
              <w:rPr>
                <w:b/>
                <w:bCs/>
                <w:color w:val="000000"/>
                <w:sz w:val="20"/>
                <w:szCs w:val="20"/>
                <w:lang w:val="fr-FR"/>
              </w:rPr>
            </w:pPr>
            <w:r w:rsidRPr="006E3020">
              <w:rPr>
                <w:b/>
                <w:bCs/>
                <w:color w:val="000000"/>
                <w:sz w:val="20"/>
                <w:szCs w:val="20"/>
                <w:lang w:val="fr-FR"/>
              </w:rPr>
              <w:t>Total</w:t>
            </w:r>
          </w:p>
        </w:tc>
        <w:tc>
          <w:tcPr>
            <w:tcW w:w="1143" w:type="dxa"/>
            <w:shd w:val="clear" w:color="auto" w:fill="auto"/>
            <w:noWrap/>
            <w:vAlign w:val="center"/>
            <w:hideMark/>
          </w:tcPr>
          <w:p w14:paraId="77426268" w14:textId="77777777" w:rsidR="00B4447D" w:rsidRPr="006E3020" w:rsidRDefault="00B4447D" w:rsidP="00C072C9">
            <w:pPr>
              <w:jc w:val="center"/>
              <w:rPr>
                <w:b/>
                <w:bCs/>
                <w:color w:val="000000"/>
                <w:lang w:val="fr-FR"/>
              </w:rPr>
            </w:pPr>
            <w:r w:rsidRPr="006E3020">
              <w:rPr>
                <w:b/>
                <w:bCs/>
                <w:color w:val="000000"/>
                <w:lang w:val="fr-FR"/>
              </w:rPr>
              <w:t>35</w:t>
            </w:r>
          </w:p>
        </w:tc>
        <w:tc>
          <w:tcPr>
            <w:tcW w:w="1376" w:type="dxa"/>
            <w:shd w:val="clear" w:color="auto" w:fill="auto"/>
            <w:noWrap/>
            <w:vAlign w:val="center"/>
            <w:hideMark/>
          </w:tcPr>
          <w:p w14:paraId="48C63813" w14:textId="46E3D904" w:rsidR="00B4447D" w:rsidRPr="006E3020" w:rsidRDefault="00B4447D" w:rsidP="00C072C9">
            <w:pPr>
              <w:jc w:val="right"/>
              <w:rPr>
                <w:b/>
                <w:bCs/>
                <w:color w:val="000000"/>
                <w:lang w:val="fr-FR"/>
              </w:rPr>
            </w:pPr>
            <w:r w:rsidRPr="006E3020">
              <w:rPr>
                <w:b/>
                <w:bCs/>
                <w:color w:val="000000"/>
                <w:lang w:val="fr-FR"/>
              </w:rPr>
              <w:t>15</w:t>
            </w:r>
            <w:r w:rsidR="0013475C">
              <w:rPr>
                <w:b/>
                <w:bCs/>
                <w:color w:val="000000"/>
                <w:lang w:val="fr-FR"/>
              </w:rPr>
              <w:t> 683 </w:t>
            </w:r>
            <w:r w:rsidRPr="006E3020">
              <w:rPr>
                <w:b/>
                <w:bCs/>
                <w:color w:val="000000"/>
                <w:lang w:val="fr-FR"/>
              </w:rPr>
              <w:t>109</w:t>
            </w:r>
          </w:p>
        </w:tc>
        <w:tc>
          <w:tcPr>
            <w:tcW w:w="1207" w:type="dxa"/>
            <w:shd w:val="clear" w:color="auto" w:fill="auto"/>
            <w:noWrap/>
            <w:vAlign w:val="center"/>
            <w:hideMark/>
          </w:tcPr>
          <w:p w14:paraId="77621A53" w14:textId="36B10534" w:rsidR="00B4447D" w:rsidRPr="006E3020" w:rsidRDefault="00B4447D" w:rsidP="00C072C9">
            <w:pPr>
              <w:jc w:val="right"/>
              <w:rPr>
                <w:b/>
                <w:bCs/>
                <w:color w:val="000000"/>
                <w:lang w:val="fr-FR"/>
              </w:rPr>
            </w:pPr>
            <w:r w:rsidRPr="006E3020">
              <w:rPr>
                <w:b/>
                <w:bCs/>
                <w:color w:val="000000"/>
                <w:lang w:val="fr-FR"/>
              </w:rPr>
              <w:t>14</w:t>
            </w:r>
            <w:r w:rsidR="0013475C">
              <w:rPr>
                <w:b/>
                <w:bCs/>
                <w:color w:val="000000"/>
                <w:lang w:val="fr-FR"/>
              </w:rPr>
              <w:t> 893 </w:t>
            </w:r>
            <w:r w:rsidRPr="006E3020">
              <w:rPr>
                <w:b/>
                <w:bCs/>
                <w:color w:val="000000"/>
                <w:lang w:val="fr-FR"/>
              </w:rPr>
              <w:t>437</w:t>
            </w:r>
          </w:p>
        </w:tc>
        <w:tc>
          <w:tcPr>
            <w:tcW w:w="1088" w:type="dxa"/>
            <w:shd w:val="clear" w:color="auto" w:fill="auto"/>
            <w:noWrap/>
            <w:vAlign w:val="center"/>
            <w:hideMark/>
          </w:tcPr>
          <w:p w14:paraId="0998D1CD" w14:textId="77777777" w:rsidR="00B4447D" w:rsidRPr="006E3020" w:rsidRDefault="00B4447D" w:rsidP="00C072C9">
            <w:pPr>
              <w:jc w:val="right"/>
              <w:rPr>
                <w:b/>
                <w:bCs/>
                <w:color w:val="000000"/>
                <w:lang w:val="fr-FR"/>
              </w:rPr>
            </w:pPr>
            <w:r w:rsidRPr="006E3020">
              <w:rPr>
                <w:b/>
                <w:bCs/>
                <w:color w:val="000000"/>
                <w:lang w:val="fr-FR"/>
              </w:rPr>
              <w:t>705,4</w:t>
            </w:r>
          </w:p>
        </w:tc>
        <w:tc>
          <w:tcPr>
            <w:tcW w:w="1088" w:type="dxa"/>
            <w:shd w:val="clear" w:color="auto" w:fill="auto"/>
            <w:noWrap/>
            <w:vAlign w:val="center"/>
            <w:hideMark/>
          </w:tcPr>
          <w:p w14:paraId="46B54B76" w14:textId="77777777" w:rsidR="00B4447D" w:rsidRPr="006E3020" w:rsidRDefault="00B4447D" w:rsidP="00C072C9">
            <w:pPr>
              <w:jc w:val="right"/>
              <w:rPr>
                <w:b/>
                <w:bCs/>
                <w:color w:val="000000"/>
                <w:lang w:val="fr-FR"/>
              </w:rPr>
            </w:pPr>
            <w:r w:rsidRPr="006E3020">
              <w:rPr>
                <w:b/>
                <w:bCs/>
                <w:color w:val="000000"/>
                <w:lang w:val="fr-FR"/>
              </w:rPr>
              <w:t>705,4</w:t>
            </w:r>
          </w:p>
        </w:tc>
        <w:tc>
          <w:tcPr>
            <w:tcW w:w="1088" w:type="dxa"/>
            <w:gridSpan w:val="2"/>
            <w:shd w:val="clear" w:color="auto" w:fill="auto"/>
            <w:noWrap/>
            <w:vAlign w:val="center"/>
            <w:hideMark/>
          </w:tcPr>
          <w:p w14:paraId="341CCB3B" w14:textId="77777777" w:rsidR="00B4447D" w:rsidRPr="006E3020" w:rsidRDefault="00B4447D" w:rsidP="00C072C9">
            <w:pPr>
              <w:jc w:val="right"/>
              <w:rPr>
                <w:b/>
                <w:bCs/>
                <w:color w:val="000000"/>
                <w:lang w:val="fr-FR"/>
              </w:rPr>
            </w:pPr>
            <w:r w:rsidRPr="006E3020">
              <w:rPr>
                <w:b/>
                <w:bCs/>
                <w:color w:val="000000"/>
                <w:lang w:val="fr-FR"/>
              </w:rPr>
              <w:t xml:space="preserve">57,33 </w:t>
            </w:r>
          </w:p>
        </w:tc>
        <w:tc>
          <w:tcPr>
            <w:tcW w:w="1088" w:type="dxa"/>
            <w:shd w:val="clear" w:color="auto" w:fill="auto"/>
            <w:noWrap/>
            <w:vAlign w:val="center"/>
            <w:hideMark/>
          </w:tcPr>
          <w:p w14:paraId="4FAD5659" w14:textId="77777777" w:rsidR="00B4447D" w:rsidRPr="006E3020" w:rsidRDefault="00B4447D" w:rsidP="00C072C9">
            <w:pPr>
              <w:jc w:val="right"/>
              <w:rPr>
                <w:b/>
                <w:bCs/>
                <w:color w:val="000000"/>
                <w:lang w:val="fr-FR"/>
              </w:rPr>
            </w:pPr>
            <w:r w:rsidRPr="006E3020">
              <w:rPr>
                <w:b/>
                <w:bCs/>
                <w:color w:val="000000"/>
                <w:lang w:val="fr-FR"/>
              </w:rPr>
              <w:t xml:space="preserve">29,06 </w:t>
            </w:r>
          </w:p>
        </w:tc>
      </w:tr>
    </w:tbl>
    <w:p w14:paraId="07F443AB" w14:textId="1E4F100E" w:rsidR="00B4447D" w:rsidRPr="006E3020" w:rsidRDefault="00B4447D" w:rsidP="00B4447D">
      <w:pPr>
        <w:spacing w:after="240"/>
        <w:rPr>
          <w:sz w:val="20"/>
          <w:szCs w:val="20"/>
          <w:lang w:val="fr-FR"/>
        </w:rPr>
      </w:pPr>
      <w:r w:rsidRPr="006E3020">
        <w:rPr>
          <w:sz w:val="20"/>
          <w:szCs w:val="20"/>
          <w:lang w:val="fr-FR"/>
        </w:rPr>
        <w:t xml:space="preserve">* Incluant 5 </w:t>
      </w:r>
      <w:r w:rsidR="00B34A29" w:rsidRPr="006E3020">
        <w:rPr>
          <w:sz w:val="20"/>
          <w:szCs w:val="20"/>
          <w:lang w:val="fr-FR"/>
        </w:rPr>
        <w:t xml:space="preserve">rapports </w:t>
      </w:r>
      <w:r w:rsidR="00B34A29">
        <w:rPr>
          <w:sz w:val="20"/>
          <w:szCs w:val="20"/>
          <w:lang w:val="fr-FR"/>
        </w:rPr>
        <w:t>globaux</w:t>
      </w:r>
      <w:r w:rsidR="00B34A29" w:rsidRPr="006E3020">
        <w:rPr>
          <w:sz w:val="20"/>
          <w:szCs w:val="20"/>
          <w:lang w:val="fr-FR"/>
        </w:rPr>
        <w:t xml:space="preserve"> d’achèvement </w:t>
      </w:r>
      <w:r w:rsidR="00B34A29">
        <w:rPr>
          <w:sz w:val="20"/>
          <w:szCs w:val="20"/>
          <w:lang w:val="fr-FR"/>
        </w:rPr>
        <w:t xml:space="preserve">de projet </w:t>
      </w:r>
      <w:r w:rsidRPr="006E3020">
        <w:rPr>
          <w:sz w:val="20"/>
          <w:szCs w:val="20"/>
          <w:lang w:val="fr-FR"/>
        </w:rPr>
        <w:t xml:space="preserve">d’enquête sur des produits de remplacement </w:t>
      </w:r>
      <w:r w:rsidR="00091FB5">
        <w:rPr>
          <w:sz w:val="20"/>
          <w:szCs w:val="20"/>
          <w:lang w:val="fr-FR"/>
        </w:rPr>
        <w:t>des</w:t>
      </w:r>
      <w:r w:rsidRPr="006E3020">
        <w:rPr>
          <w:sz w:val="20"/>
          <w:szCs w:val="20"/>
          <w:lang w:val="fr-FR"/>
        </w:rPr>
        <w:t xml:space="preserve"> SAO au niveau national. </w:t>
      </w:r>
    </w:p>
    <w:p w14:paraId="40D4B6CF" w14:textId="77777777" w:rsidR="00B4447D" w:rsidRPr="006E3020" w:rsidRDefault="00B4447D" w:rsidP="00B4447D">
      <w:pPr>
        <w:keepNext/>
        <w:keepLines/>
        <w:spacing w:before="120" w:after="240"/>
        <w:rPr>
          <w:b/>
          <w:lang w:val="fr-FR"/>
        </w:rPr>
      </w:pPr>
      <w:r w:rsidRPr="006E3020">
        <w:rPr>
          <w:b/>
          <w:lang w:val="fr-FR"/>
        </w:rPr>
        <w:t xml:space="preserve">Raisons des retards </w:t>
      </w:r>
    </w:p>
    <w:p w14:paraId="3B760C2D" w14:textId="6F84A6F1" w:rsidR="00B4447D" w:rsidRPr="006E3020" w:rsidRDefault="00B4447D" w:rsidP="00B4447D">
      <w:pPr>
        <w:pStyle w:val="Heading1"/>
        <w:tabs>
          <w:tab w:val="clear" w:pos="0"/>
          <w:tab w:val="num" w:pos="720"/>
        </w:tabs>
        <w:spacing w:before="240"/>
        <w:rPr>
          <w:lang w:val="fr-FR"/>
        </w:rPr>
      </w:pPr>
      <w:r w:rsidRPr="006E3020">
        <w:rPr>
          <w:lang w:val="fr-FR"/>
        </w:rPr>
        <w:t>Les projets pilotes de démonstration sur le traitement et la gestion des déchets de SAO ont été retardé</w:t>
      </w:r>
      <w:r w:rsidR="00C13B0C">
        <w:rPr>
          <w:lang w:val="fr-FR"/>
        </w:rPr>
        <w:t>s</w:t>
      </w:r>
      <w:r w:rsidRPr="006E3020">
        <w:rPr>
          <w:lang w:val="fr-FR"/>
        </w:rPr>
        <w:t>, entre autres, à cause</w:t>
      </w:r>
      <w:r w:rsidR="00114E08">
        <w:rPr>
          <w:lang w:val="fr-FR"/>
        </w:rPr>
        <w:t> </w:t>
      </w:r>
      <w:r w:rsidRPr="006E3020">
        <w:rPr>
          <w:lang w:val="fr-FR"/>
        </w:rPr>
        <w:t xml:space="preserve">: de coût plus élevé de mise en œuvre des activités préparatoires, du manque de consolidation effective des réserves de SAO indésirables par rapport aux quantités prévues de déchets issus de </w:t>
      </w:r>
      <w:r w:rsidR="00FB407B">
        <w:rPr>
          <w:lang w:val="fr-FR"/>
        </w:rPr>
        <w:t>frigorigènes</w:t>
      </w:r>
      <w:r w:rsidRPr="006E3020">
        <w:rPr>
          <w:lang w:val="fr-FR"/>
        </w:rPr>
        <w:t xml:space="preserve">, la difficulté de synchronisation des envois provenant de différents pays, la complexité de trouver des synergies avec les projets de destruction de polluants organiques persistants ainsi que le manque de sensibilisation des parties prenantes aux bénéfices de ces projets. </w:t>
      </w:r>
    </w:p>
    <w:p w14:paraId="3ABDE02E" w14:textId="68483415" w:rsidR="00B4447D" w:rsidRPr="006E3020" w:rsidRDefault="00B4447D" w:rsidP="00B4447D">
      <w:pPr>
        <w:pStyle w:val="Heading1"/>
        <w:tabs>
          <w:tab w:val="clear" w:pos="0"/>
          <w:tab w:val="num" w:pos="720"/>
        </w:tabs>
        <w:spacing w:before="120"/>
        <w:rPr>
          <w:u w:val="single"/>
          <w:lang w:val="fr-FR"/>
        </w:rPr>
      </w:pPr>
      <w:r w:rsidRPr="006E3020">
        <w:rPr>
          <w:lang w:val="fr-FR"/>
        </w:rPr>
        <w:t xml:space="preserve">Les retards </w:t>
      </w:r>
      <w:r w:rsidR="00145E7D">
        <w:rPr>
          <w:lang w:val="fr-FR"/>
        </w:rPr>
        <w:t>concernant</w:t>
      </w:r>
      <w:r w:rsidRPr="006E3020">
        <w:rPr>
          <w:lang w:val="fr-FR"/>
        </w:rPr>
        <w:t xml:space="preserve"> d’autres projets individuels sont souvent causés par des processus administratifs</w:t>
      </w:r>
      <w:r w:rsidR="00145E7D">
        <w:rPr>
          <w:lang w:val="fr-FR"/>
        </w:rPr>
        <w:t>,</w:t>
      </w:r>
      <w:r w:rsidRPr="006E3020">
        <w:rPr>
          <w:lang w:val="fr-FR"/>
        </w:rPr>
        <w:t xml:space="preserve"> comme la finalisation et la signature des accords de financement ainsi que les autorisations d’octroi de licences et de permis. De la même manière, des retards ont été causés par un manque de communication avec les UNO en raison d’un changement de personnel et d’obstacles dans les dispositions aussi bien institutionnelles que légales des pays bénéficiaires.</w:t>
      </w:r>
    </w:p>
    <w:p w14:paraId="214E29A4" w14:textId="77777777" w:rsidR="00B4447D" w:rsidRPr="006E3020" w:rsidRDefault="00B4447D" w:rsidP="00B4447D">
      <w:pPr>
        <w:pStyle w:val="Heading1"/>
        <w:tabs>
          <w:tab w:val="clear" w:pos="0"/>
          <w:tab w:val="num" w:pos="720"/>
        </w:tabs>
        <w:spacing w:before="120"/>
        <w:rPr>
          <w:u w:val="single"/>
          <w:lang w:val="fr-FR"/>
        </w:rPr>
      </w:pPr>
      <w:r w:rsidRPr="006E3020">
        <w:rPr>
          <w:lang w:val="fr-FR"/>
        </w:rPr>
        <w:t>Parmi les autres facteurs de retard, on retrouve le long processus de sélection des fournisseurs d’équipements, le refus des institutions d’héberger des centres de recyclage et de récupération ainsi que des tensions politiques, des troubles civils et des guerres.</w:t>
      </w:r>
    </w:p>
    <w:p w14:paraId="4EA045C1" w14:textId="556C2992" w:rsidR="00B4447D" w:rsidRPr="006E3020" w:rsidRDefault="00B4447D" w:rsidP="00B4447D">
      <w:pPr>
        <w:pStyle w:val="Heading1"/>
        <w:numPr>
          <w:ilvl w:val="0"/>
          <w:numId w:val="0"/>
        </w:numPr>
        <w:spacing w:before="240"/>
        <w:rPr>
          <w:u w:val="single"/>
          <w:lang w:val="fr-FR"/>
        </w:rPr>
      </w:pPr>
      <w:r w:rsidRPr="006E3020">
        <w:rPr>
          <w:u w:val="single"/>
          <w:lang w:val="fr-FR"/>
        </w:rPr>
        <w:t xml:space="preserve">Enquêtes sur les produits de remplacement </w:t>
      </w:r>
      <w:r w:rsidR="00234B50">
        <w:rPr>
          <w:u w:val="single"/>
          <w:lang w:val="fr-FR"/>
        </w:rPr>
        <w:t>des</w:t>
      </w:r>
      <w:r w:rsidRPr="006E3020">
        <w:rPr>
          <w:u w:val="single"/>
          <w:lang w:val="fr-FR"/>
        </w:rPr>
        <w:t xml:space="preserve"> SAO</w:t>
      </w:r>
    </w:p>
    <w:p w14:paraId="75A0DA65" w14:textId="2ADBF495" w:rsidR="00B4447D" w:rsidRPr="006E3020" w:rsidRDefault="00B4447D" w:rsidP="00B4447D">
      <w:pPr>
        <w:pStyle w:val="Heading1"/>
        <w:tabs>
          <w:tab w:val="clear" w:pos="0"/>
          <w:tab w:val="num" w:pos="720"/>
        </w:tabs>
        <w:spacing w:before="240"/>
        <w:rPr>
          <w:lang w:val="fr-FR"/>
        </w:rPr>
      </w:pPr>
      <w:r w:rsidRPr="006E3020">
        <w:rPr>
          <w:lang w:val="fr-FR"/>
        </w:rPr>
        <w:t xml:space="preserve">De nombreux rapports d’achèvement </w:t>
      </w:r>
      <w:r w:rsidR="00234B50">
        <w:rPr>
          <w:lang w:val="fr-FR"/>
        </w:rPr>
        <w:t>d’</w:t>
      </w:r>
      <w:r w:rsidRPr="006E3020">
        <w:rPr>
          <w:lang w:val="fr-FR"/>
        </w:rPr>
        <w:t xml:space="preserve">enquêtes sur les produits de remplacement des SAO font mention de retard dans l’enquête à cause, entre autres, de la difficulté de trouver des experts locaux, </w:t>
      </w:r>
      <w:r w:rsidR="00234B50">
        <w:rPr>
          <w:lang w:val="fr-FR"/>
        </w:rPr>
        <w:t>du</w:t>
      </w:r>
      <w:r w:rsidRPr="006E3020">
        <w:rPr>
          <w:lang w:val="fr-FR"/>
        </w:rPr>
        <w:t xml:space="preserve"> manque ou </w:t>
      </w:r>
      <w:r w:rsidR="00234B50">
        <w:rPr>
          <w:lang w:val="fr-FR"/>
        </w:rPr>
        <w:t>du</w:t>
      </w:r>
      <w:r w:rsidRPr="006E3020">
        <w:rPr>
          <w:lang w:val="fr-FR"/>
        </w:rPr>
        <w:t xml:space="preserve"> renouvellement fréquent du personnel des UNO, </w:t>
      </w:r>
      <w:r w:rsidR="00234B50">
        <w:rPr>
          <w:lang w:val="fr-FR"/>
        </w:rPr>
        <w:t>du</w:t>
      </w:r>
      <w:r w:rsidRPr="006E3020">
        <w:rPr>
          <w:lang w:val="fr-FR"/>
        </w:rPr>
        <w:t xml:space="preserve"> manque de données, </w:t>
      </w:r>
      <w:r w:rsidR="00234B50">
        <w:rPr>
          <w:lang w:val="fr-FR"/>
        </w:rPr>
        <w:t xml:space="preserve">de </w:t>
      </w:r>
      <w:r w:rsidRPr="006E3020">
        <w:rPr>
          <w:lang w:val="fr-FR"/>
        </w:rPr>
        <w:t xml:space="preserve">la qualité des données réunies ou </w:t>
      </w:r>
      <w:r w:rsidR="00234B50">
        <w:rPr>
          <w:lang w:val="fr-FR"/>
        </w:rPr>
        <w:t>d</w:t>
      </w:r>
      <w:r w:rsidRPr="006E3020">
        <w:rPr>
          <w:lang w:val="fr-FR"/>
        </w:rPr>
        <w:t>es incohérences dans les données entre les douanes et les autres parties prenantes ainsi que</w:t>
      </w:r>
      <w:r w:rsidR="00234B50">
        <w:rPr>
          <w:lang w:val="fr-FR"/>
        </w:rPr>
        <w:t xml:space="preserve"> de</w:t>
      </w:r>
      <w:r w:rsidRPr="006E3020">
        <w:rPr>
          <w:lang w:val="fr-FR"/>
        </w:rPr>
        <w:t xml:space="preserve"> la dispersion géographique et </w:t>
      </w:r>
      <w:r w:rsidR="00234B50">
        <w:rPr>
          <w:lang w:val="fr-FR"/>
        </w:rPr>
        <w:t xml:space="preserve">de </w:t>
      </w:r>
      <w:r w:rsidRPr="006E3020">
        <w:rPr>
          <w:lang w:val="fr-FR"/>
        </w:rPr>
        <w:t xml:space="preserve">la large variété de parties prenantes. </w:t>
      </w:r>
    </w:p>
    <w:p w14:paraId="36E75A5D" w14:textId="08BFB7EA" w:rsidR="00B4447D" w:rsidRPr="006E3020" w:rsidRDefault="00B4447D" w:rsidP="00B4447D">
      <w:pPr>
        <w:pStyle w:val="Heading1"/>
        <w:tabs>
          <w:tab w:val="clear" w:pos="0"/>
          <w:tab w:val="num" w:pos="720"/>
        </w:tabs>
        <w:spacing w:before="240"/>
        <w:rPr>
          <w:lang w:val="fr-FR"/>
        </w:rPr>
      </w:pPr>
      <w:r w:rsidRPr="006E3020">
        <w:rPr>
          <w:lang w:val="fr-FR"/>
        </w:rPr>
        <w:t>Les agences bilatérales et d’exécution s’attaque</w:t>
      </w:r>
      <w:r w:rsidR="00C13B0C">
        <w:rPr>
          <w:lang w:val="fr-FR"/>
        </w:rPr>
        <w:t>nt</w:t>
      </w:r>
      <w:r w:rsidRPr="006E3020">
        <w:rPr>
          <w:lang w:val="fr-FR"/>
        </w:rPr>
        <w:t xml:space="preserve"> à ces enjeux en favorisant la coopération entre les gouvernements respectifs et les consultants nationaux pour réunir les données nécessaires et </w:t>
      </w:r>
      <w:r w:rsidR="00E437CA">
        <w:rPr>
          <w:lang w:val="fr-FR"/>
        </w:rPr>
        <w:t>respecter</w:t>
      </w:r>
      <w:r w:rsidRPr="006E3020">
        <w:rPr>
          <w:lang w:val="fr-FR"/>
        </w:rPr>
        <w:t xml:space="preserve"> le calendrier prévu des activités de projet. </w:t>
      </w:r>
    </w:p>
    <w:p w14:paraId="64827D6C" w14:textId="77777777" w:rsidR="00B4447D" w:rsidRPr="006E3020" w:rsidRDefault="00B4447D" w:rsidP="00B4447D">
      <w:pPr>
        <w:pStyle w:val="Heading1"/>
        <w:keepNext/>
        <w:keepLines/>
        <w:numPr>
          <w:ilvl w:val="0"/>
          <w:numId w:val="0"/>
        </w:numPr>
        <w:tabs>
          <w:tab w:val="left" w:pos="720"/>
        </w:tabs>
        <w:rPr>
          <w:b/>
          <w:lang w:val="fr-FR"/>
        </w:rPr>
      </w:pPr>
      <w:r w:rsidRPr="006E3020">
        <w:rPr>
          <w:b/>
          <w:lang w:val="fr-FR"/>
        </w:rPr>
        <w:t>Enseignements tirés</w:t>
      </w:r>
      <w:r w:rsidRPr="006E3020">
        <w:rPr>
          <w:vertAlign w:val="superscript"/>
          <w:lang w:val="fr-FR"/>
        </w:rPr>
        <w:footnoteReference w:id="4"/>
      </w:r>
    </w:p>
    <w:p w14:paraId="7D1277B1" w14:textId="77777777" w:rsidR="00B4447D" w:rsidRPr="006E3020" w:rsidRDefault="00B4447D" w:rsidP="00B4447D">
      <w:pPr>
        <w:spacing w:before="120" w:after="240"/>
        <w:rPr>
          <w:u w:val="single"/>
          <w:lang w:val="fr-FR"/>
        </w:rPr>
      </w:pPr>
      <w:r w:rsidRPr="006E3020">
        <w:rPr>
          <w:u w:val="single"/>
          <w:lang w:val="fr-FR"/>
        </w:rPr>
        <w:t>Projets pilotes de démonstration</w:t>
      </w:r>
    </w:p>
    <w:p w14:paraId="4886AAE0" w14:textId="7E5D7457" w:rsidR="00B4447D" w:rsidRPr="006E3020" w:rsidRDefault="00B4447D" w:rsidP="00B4447D">
      <w:pPr>
        <w:pStyle w:val="Heading1"/>
        <w:tabs>
          <w:tab w:val="clear" w:pos="0"/>
          <w:tab w:val="num" w:pos="720"/>
        </w:tabs>
        <w:spacing w:before="240"/>
        <w:rPr>
          <w:lang w:val="fr-FR"/>
        </w:rPr>
      </w:pPr>
      <w:r w:rsidRPr="006E3020">
        <w:rPr>
          <w:lang w:val="fr-FR"/>
        </w:rPr>
        <w:t xml:space="preserve">Des enseignements ont pu être tirés des projets pilotes de démonstration. Il s’agit, entre autres, de l’importance qu’un projet soit capable de générer et de renforcer la capacité nationale, le besoin de machines </w:t>
      </w:r>
      <w:r w:rsidRPr="006E3020">
        <w:rPr>
          <w:lang w:val="fr-FR"/>
        </w:rPr>
        <w:lastRenderedPageBreak/>
        <w:t xml:space="preserve">portables de récupération des frigorigènes et d’appareils portatifs permettant d’identifier les frigorigènes </w:t>
      </w:r>
      <w:r w:rsidR="00F90918">
        <w:rPr>
          <w:lang w:val="fr-FR"/>
        </w:rPr>
        <w:t>afin de,</w:t>
      </w:r>
      <w:r w:rsidRPr="006E3020">
        <w:rPr>
          <w:lang w:val="fr-FR"/>
        </w:rPr>
        <w:t xml:space="preserve"> respectivement</w:t>
      </w:r>
      <w:r w:rsidR="00F90918">
        <w:rPr>
          <w:lang w:val="fr-FR"/>
        </w:rPr>
        <w:t>,</w:t>
      </w:r>
      <w:r w:rsidRPr="006E3020">
        <w:rPr>
          <w:lang w:val="fr-FR"/>
        </w:rPr>
        <w:t xml:space="preserve"> restaurer les frigorigènes à un niveau acceptable pour une réutilisation possible pour éviter toute contamination croisée et le besoin de ceinture chauffante pour bouteilles de frigorigène pour accélérer le transfert des SAO d’une bouteille à une autre durant leur récupération et leur transvasement avant export. Dans un cas, un chauffe-eau électrique portable a été improvisé pour accélérer la procédure de transvasement.</w:t>
      </w:r>
    </w:p>
    <w:p w14:paraId="71562AAA" w14:textId="6E6E6E67" w:rsidR="00B4447D" w:rsidRPr="006E3020" w:rsidRDefault="00B4447D" w:rsidP="00B4447D">
      <w:pPr>
        <w:pStyle w:val="Heading1"/>
        <w:tabs>
          <w:tab w:val="clear" w:pos="0"/>
          <w:tab w:val="num" w:pos="720"/>
        </w:tabs>
        <w:spacing w:before="240"/>
        <w:rPr>
          <w:lang w:val="fr-FR"/>
        </w:rPr>
      </w:pPr>
      <w:r w:rsidRPr="006E3020">
        <w:rPr>
          <w:lang w:val="fr-FR"/>
        </w:rPr>
        <w:t xml:space="preserve">Un pays a expliqué les écarts entre les CFC estimés par l’absence de compresseurs dans les appareils récupérés, qui a mené à des fuites et, dans un deuxième temps, à la contamination des gaz non </w:t>
      </w:r>
      <w:r w:rsidR="005068CC">
        <w:rPr>
          <w:lang w:val="fr-FR"/>
        </w:rPr>
        <w:t>condensables</w:t>
      </w:r>
      <w:r w:rsidRPr="006E3020">
        <w:rPr>
          <w:lang w:val="fr-FR"/>
        </w:rPr>
        <w:t xml:space="preserve"> dans le mélange, ce qui peut s’avérer dangereux durant le procédé de transvasement avant l’export.</w:t>
      </w:r>
    </w:p>
    <w:p w14:paraId="11AFAD0D" w14:textId="231AE7ED" w:rsidR="00B4447D" w:rsidRPr="006E3020" w:rsidRDefault="00B4447D" w:rsidP="00B4447D">
      <w:pPr>
        <w:pStyle w:val="Heading1"/>
        <w:tabs>
          <w:tab w:val="clear" w:pos="0"/>
          <w:tab w:val="num" w:pos="720"/>
        </w:tabs>
        <w:spacing w:before="240"/>
        <w:rPr>
          <w:lang w:val="fr-FR"/>
        </w:rPr>
      </w:pPr>
      <w:r w:rsidRPr="006E3020">
        <w:rPr>
          <w:lang w:val="fr-FR"/>
        </w:rPr>
        <w:t>Ces projets suggèrent de prendre en compte, durant la phase de mise en œuvre, les améliorations possibles pour de nouveaux équipements, tout en laissant plus de temps pour les réglages et les améliorations</w:t>
      </w:r>
      <w:r w:rsidR="00C06975">
        <w:rPr>
          <w:lang w:val="fr-FR"/>
        </w:rPr>
        <w:t> ;</w:t>
      </w:r>
      <w:r w:rsidRPr="006E3020">
        <w:rPr>
          <w:lang w:val="fr-FR"/>
        </w:rPr>
        <w:t xml:space="preserve"> d’encourager les visites dans des pays voisins qui ont déjà adopté des technologies de remplacement et, au moment de sélectionner ces technologies, de soutenir les décideurs dans leur choix.</w:t>
      </w:r>
    </w:p>
    <w:p w14:paraId="1B8E97C7" w14:textId="441F9894" w:rsidR="00B4447D" w:rsidRPr="006E3020" w:rsidRDefault="00B4447D" w:rsidP="00B4447D">
      <w:pPr>
        <w:rPr>
          <w:u w:val="single"/>
          <w:lang w:val="fr-FR"/>
        </w:rPr>
      </w:pPr>
      <w:r w:rsidRPr="006E3020">
        <w:rPr>
          <w:u w:val="single"/>
          <w:lang w:val="fr-FR"/>
        </w:rPr>
        <w:t xml:space="preserve">Pays à haute température ambiante </w:t>
      </w:r>
    </w:p>
    <w:p w14:paraId="48616EC8" w14:textId="599126CF" w:rsidR="00B4447D" w:rsidRPr="006E3020" w:rsidRDefault="00B4447D" w:rsidP="00B4447D">
      <w:pPr>
        <w:pStyle w:val="Heading1"/>
        <w:tabs>
          <w:tab w:val="clear" w:pos="0"/>
          <w:tab w:val="num" w:pos="720"/>
        </w:tabs>
        <w:spacing w:before="240"/>
        <w:rPr>
          <w:lang w:val="fr-FR"/>
        </w:rPr>
      </w:pPr>
      <w:r w:rsidRPr="006E3020">
        <w:rPr>
          <w:lang w:val="fr-FR"/>
        </w:rPr>
        <w:t xml:space="preserve">Les pays à haute température ambiante ont mentionné le besoin d’améliorer la capacité en recherche et développement de leur industrie locale de climatisation, en particulier pour concevoir et optimiser les </w:t>
      </w:r>
      <w:r w:rsidR="00244FC5">
        <w:rPr>
          <w:lang w:val="fr-FR"/>
        </w:rPr>
        <w:t>équipements</w:t>
      </w:r>
      <w:r w:rsidRPr="006E3020">
        <w:rPr>
          <w:lang w:val="fr-FR"/>
        </w:rPr>
        <w:t xml:space="preserve"> utilisant des produits de remplacement à faible PRG et s’attaquer à des enjeux tels que l’inflammabilité, les pressions excessives, le glissement des températures et la température de décharge trop élevé</w:t>
      </w:r>
      <w:r w:rsidR="00123E2A">
        <w:rPr>
          <w:lang w:val="fr-FR"/>
        </w:rPr>
        <w:t>e</w:t>
      </w:r>
      <w:r w:rsidRPr="006E3020">
        <w:rPr>
          <w:lang w:val="fr-FR"/>
        </w:rPr>
        <w:t>. Il manque des programmes institutionnels abordant les technologies de remplacement et réduisant la dépendance aux produits de remplacement à fort PRG dans les pays à haute température ambiante</w:t>
      </w:r>
      <w:r w:rsidR="00C717F6">
        <w:rPr>
          <w:lang w:val="fr-FR"/>
        </w:rPr>
        <w:t>,</w:t>
      </w:r>
      <w:r w:rsidRPr="006E3020">
        <w:rPr>
          <w:lang w:val="fr-FR"/>
        </w:rPr>
        <w:t xml:space="preserve"> car le marché se concentre sur des options </w:t>
      </w:r>
      <w:r w:rsidR="00527355">
        <w:rPr>
          <w:lang w:val="fr-FR"/>
        </w:rPr>
        <w:t xml:space="preserve">commercialement </w:t>
      </w:r>
      <w:r w:rsidRPr="006E3020">
        <w:rPr>
          <w:lang w:val="fr-FR"/>
        </w:rPr>
        <w:t>disponibles. En conséquence, en raison de la nature de</w:t>
      </w:r>
      <w:r w:rsidR="00527355">
        <w:rPr>
          <w:lang w:val="fr-FR"/>
        </w:rPr>
        <w:t>s</w:t>
      </w:r>
      <w:r w:rsidRPr="006E3020">
        <w:rPr>
          <w:lang w:val="fr-FR"/>
        </w:rPr>
        <w:t xml:space="preserve"> </w:t>
      </w:r>
      <w:r w:rsidR="00527355" w:rsidRPr="006E3020">
        <w:rPr>
          <w:lang w:val="fr-FR"/>
        </w:rPr>
        <w:t>futur</w:t>
      </w:r>
      <w:r w:rsidR="00527355">
        <w:rPr>
          <w:lang w:val="fr-FR"/>
        </w:rPr>
        <w:t>s</w:t>
      </w:r>
      <w:r w:rsidR="00527355" w:rsidRPr="006E3020">
        <w:rPr>
          <w:lang w:val="fr-FR"/>
        </w:rPr>
        <w:t xml:space="preserve"> </w:t>
      </w:r>
      <w:r w:rsidRPr="006E3020">
        <w:rPr>
          <w:lang w:val="fr-FR"/>
        </w:rPr>
        <w:t xml:space="preserve">produits de remplacement dans ces pays, une analyse de risque exhaustive et individualisée est nécessaire pour aborder la fabrication, la commercialisation, la maintenance et la fin de vie de ces équipements. </w:t>
      </w:r>
    </w:p>
    <w:p w14:paraId="5CE3BF0E" w14:textId="77777777" w:rsidR="00B4447D" w:rsidRPr="006E3020" w:rsidRDefault="00B4447D" w:rsidP="00B4447D">
      <w:pPr>
        <w:spacing w:after="240"/>
        <w:rPr>
          <w:u w:val="single"/>
          <w:lang w:val="fr-FR"/>
        </w:rPr>
      </w:pPr>
      <w:r w:rsidRPr="006E3020">
        <w:rPr>
          <w:u w:val="single"/>
          <w:lang w:val="fr-FR"/>
        </w:rPr>
        <w:t>Rapport de vérification</w:t>
      </w:r>
    </w:p>
    <w:p w14:paraId="2825521B" w14:textId="5150BA64" w:rsidR="00B4447D" w:rsidRPr="006E3020" w:rsidRDefault="00B4447D" w:rsidP="00B4447D">
      <w:pPr>
        <w:pStyle w:val="Heading1"/>
        <w:tabs>
          <w:tab w:val="clear" w:pos="0"/>
          <w:tab w:val="num" w:pos="720"/>
        </w:tabs>
        <w:spacing w:before="240"/>
        <w:rPr>
          <w:lang w:val="fr-FR"/>
        </w:rPr>
      </w:pPr>
      <w:r w:rsidRPr="006E3020">
        <w:rPr>
          <w:lang w:val="fr-FR"/>
        </w:rPr>
        <w:t>Les rapports de vérification contiennent une série de recommandations pour les projets futurs et en cours. Ils suggèrent ainsi que les UNO suivent strictement les attributions de quotas aux utilisateurs enregistrés et délivrent des permis et licences liés à ces quotas</w:t>
      </w:r>
      <w:r w:rsidR="00163782">
        <w:rPr>
          <w:lang w:val="fr-FR"/>
        </w:rPr>
        <w:t>,</w:t>
      </w:r>
      <w:r w:rsidRPr="006E3020">
        <w:rPr>
          <w:lang w:val="fr-FR"/>
        </w:rPr>
        <w:t xml:space="preserve"> plutôt qu’avec la méthode du premier arrivé, premier servi, adoptée jusque-là</w:t>
      </w:r>
      <w:r w:rsidR="00114E08">
        <w:rPr>
          <w:lang w:val="fr-FR"/>
        </w:rPr>
        <w:t> </w:t>
      </w:r>
      <w:r w:rsidRPr="006E3020">
        <w:rPr>
          <w:lang w:val="fr-FR"/>
        </w:rPr>
        <w:t>; que les UNO vérifient régulièrement leurs rapports par recoupement avec les données des entreprises importatrices pour éviter des différences dans les quantités consommées</w:t>
      </w:r>
      <w:r w:rsidR="00114E08">
        <w:rPr>
          <w:lang w:val="fr-FR"/>
        </w:rPr>
        <w:t> </w:t>
      </w:r>
      <w:r w:rsidRPr="006E3020">
        <w:rPr>
          <w:lang w:val="fr-FR"/>
        </w:rPr>
        <w:t xml:space="preserve">; </w:t>
      </w:r>
      <w:r w:rsidR="00FD55EA">
        <w:rPr>
          <w:lang w:val="fr-FR"/>
        </w:rPr>
        <w:t>qu’elles</w:t>
      </w:r>
      <w:r w:rsidRPr="006E3020">
        <w:rPr>
          <w:lang w:val="fr-FR"/>
        </w:rPr>
        <w:t xml:space="preserve"> diminue</w:t>
      </w:r>
      <w:r w:rsidR="00FD55EA">
        <w:rPr>
          <w:lang w:val="fr-FR"/>
        </w:rPr>
        <w:t>nt</w:t>
      </w:r>
      <w:r w:rsidRPr="006E3020">
        <w:rPr>
          <w:lang w:val="fr-FR"/>
        </w:rPr>
        <w:t xml:space="preserve"> les écarts de données avec les douanes (c’est-à-dire l’utilisation de codes système mal harmonisés, </w:t>
      </w:r>
      <w:r w:rsidR="00371F1F">
        <w:rPr>
          <w:lang w:val="fr-FR"/>
        </w:rPr>
        <w:t xml:space="preserve">de </w:t>
      </w:r>
      <w:r w:rsidRPr="006E3020">
        <w:rPr>
          <w:lang w:val="fr-FR"/>
        </w:rPr>
        <w:t>différentes unités de mesure pour les quantités envoyées et la non</w:t>
      </w:r>
      <w:r w:rsidR="00805D4C">
        <w:rPr>
          <w:lang w:val="fr-FR"/>
        </w:rPr>
        <w:t>-</w:t>
      </w:r>
      <w:r w:rsidRPr="006E3020">
        <w:rPr>
          <w:lang w:val="fr-FR"/>
        </w:rPr>
        <w:t xml:space="preserve">disponibilité des dates réelles d’envoi). Ils conseillent aussi de favoriser le renforcement de la capacité et d’établir un canal formel de communication entre les agences de douane et les UNO. De plus, une durée suffisante devrait être allouée à la planification de projet pour laisser du temps aux procédures gouvernementales (c’est-à-dire à l’adoption de lois) </w:t>
      </w:r>
      <w:r w:rsidR="007143DB">
        <w:rPr>
          <w:lang w:val="fr-FR"/>
        </w:rPr>
        <w:t xml:space="preserve">de se mettre en place </w:t>
      </w:r>
      <w:r w:rsidRPr="006E3020">
        <w:rPr>
          <w:lang w:val="fr-FR"/>
        </w:rPr>
        <w:t>entre l’approbation du projet et sa mise en œuvre.</w:t>
      </w:r>
    </w:p>
    <w:p w14:paraId="3ACB9D5E" w14:textId="6DBC43B9" w:rsidR="00B4447D" w:rsidRPr="006E3020" w:rsidRDefault="00B4447D" w:rsidP="00B4447D">
      <w:pPr>
        <w:pStyle w:val="Heading1"/>
        <w:tabs>
          <w:tab w:val="clear" w:pos="0"/>
          <w:tab w:val="num" w:pos="720"/>
        </w:tabs>
        <w:spacing w:before="240"/>
        <w:rPr>
          <w:lang w:val="fr-FR"/>
        </w:rPr>
      </w:pPr>
      <w:r w:rsidRPr="006E3020">
        <w:rPr>
          <w:lang w:val="fr-FR"/>
        </w:rPr>
        <w:t xml:space="preserve">Deux rapports de vérification mentionnent la technologie prometteuse de climatisation à l’eau naturellement froide qui peut s’appliquer à des </w:t>
      </w:r>
      <w:r w:rsidR="001163F2">
        <w:rPr>
          <w:lang w:val="fr-FR"/>
        </w:rPr>
        <w:t>villes</w:t>
      </w:r>
      <w:r w:rsidRPr="006E3020">
        <w:rPr>
          <w:lang w:val="fr-FR"/>
        </w:rPr>
        <w:t xml:space="preserve"> en bord de mer (c’est-à-dire la Méditerranée et la mer Rouge). Un cas a démontré qu’un système de substitution de climatisation à l’eau naturellement froide possède un meilleur rendement énergétique qu’un système classique de même capacité et permet d’économiser 20</w:t>
      </w:r>
      <w:r w:rsidR="00852D8F">
        <w:rPr>
          <w:lang w:val="fr-FR"/>
        </w:rPr>
        <w:t> </w:t>
      </w:r>
      <w:r w:rsidRPr="006E3020">
        <w:rPr>
          <w:lang w:val="fr-FR"/>
        </w:rPr>
        <w:t>% en valeur actuelle nette par utilisateur. De la même manière, un système de refroidissement urbain de substitution assisté par un système classique possède un meilleur rendement énergétique qu’un système équivalent classique et permet d’économiser 35</w:t>
      </w:r>
      <w:r w:rsidR="00852D8F">
        <w:rPr>
          <w:lang w:val="fr-FR"/>
        </w:rPr>
        <w:t> </w:t>
      </w:r>
      <w:r w:rsidRPr="006E3020">
        <w:rPr>
          <w:lang w:val="fr-FR"/>
        </w:rPr>
        <w:t>%.</w:t>
      </w:r>
    </w:p>
    <w:p w14:paraId="3060E489" w14:textId="77777777" w:rsidR="00B4447D" w:rsidRPr="006E3020" w:rsidRDefault="00B4447D" w:rsidP="00014F75">
      <w:pPr>
        <w:pStyle w:val="Heading1"/>
        <w:keepNext/>
        <w:keepLines/>
        <w:numPr>
          <w:ilvl w:val="0"/>
          <w:numId w:val="0"/>
        </w:numPr>
        <w:spacing w:before="240"/>
        <w:rPr>
          <w:u w:val="single"/>
          <w:lang w:val="fr-FR"/>
        </w:rPr>
      </w:pPr>
      <w:r w:rsidRPr="006E3020">
        <w:rPr>
          <w:u w:val="single"/>
          <w:lang w:val="fr-FR"/>
        </w:rPr>
        <w:lastRenderedPageBreak/>
        <w:t>Plan de gestion des frigorigènes (PGF)</w:t>
      </w:r>
    </w:p>
    <w:p w14:paraId="102C16E4" w14:textId="4E4E9309" w:rsidR="00B4447D" w:rsidRPr="006E3020" w:rsidRDefault="00B4447D" w:rsidP="00014F75">
      <w:pPr>
        <w:pStyle w:val="Heading1"/>
        <w:keepNext/>
        <w:keepLines/>
        <w:tabs>
          <w:tab w:val="clear" w:pos="0"/>
          <w:tab w:val="num" w:pos="720"/>
        </w:tabs>
        <w:spacing w:before="240"/>
        <w:rPr>
          <w:color w:val="000000"/>
          <w:lang w:val="fr-FR"/>
        </w:rPr>
      </w:pPr>
      <w:r w:rsidRPr="006E3020">
        <w:rPr>
          <w:lang w:val="fr-FR"/>
        </w:rPr>
        <w:t>De plans de gestion des frigorigènes antérieurs ont été tiré des enseignements importants, notamment l’importance de</w:t>
      </w:r>
      <w:r w:rsidR="00114E08">
        <w:rPr>
          <w:lang w:val="fr-FR"/>
        </w:rPr>
        <w:t> </w:t>
      </w:r>
      <w:r w:rsidRPr="006E3020">
        <w:rPr>
          <w:lang w:val="fr-FR"/>
        </w:rPr>
        <w:t>: l’inclusion de la contribution de toutes les parties prenantes concernées dans la conception des projets</w:t>
      </w:r>
      <w:r w:rsidR="00114E08">
        <w:rPr>
          <w:lang w:val="fr-FR"/>
        </w:rPr>
        <w:t> </w:t>
      </w:r>
      <w:r w:rsidRPr="006E3020">
        <w:rPr>
          <w:lang w:val="fr-FR"/>
        </w:rPr>
        <w:t>; l’existence d’une base de données des importateurs, exportateurs et utilisateurs de SAO pour aider l’UNO à surveiller le commerce lié aux SAO et à faire appliquer la législation en vigueur</w:t>
      </w:r>
      <w:r w:rsidR="00114E08">
        <w:rPr>
          <w:lang w:val="fr-FR"/>
        </w:rPr>
        <w:t> </w:t>
      </w:r>
      <w:r w:rsidRPr="006E3020">
        <w:rPr>
          <w:lang w:val="fr-FR"/>
        </w:rPr>
        <w:t>; la création d’un comité d’organisation mixte issu des différentes parties prenantes (</w:t>
      </w:r>
      <w:r w:rsidR="00951D93" w:rsidRPr="006E3020">
        <w:rPr>
          <w:lang w:val="fr-FR"/>
        </w:rPr>
        <w:t>c.-à-d.</w:t>
      </w:r>
      <w:r w:rsidRPr="006E3020">
        <w:rPr>
          <w:lang w:val="fr-FR"/>
        </w:rPr>
        <w:t xml:space="preserve"> douanes et départements concernés) pour former les formateurs et faciliter le processus de formation</w:t>
      </w:r>
      <w:r w:rsidR="001640D8">
        <w:rPr>
          <w:lang w:val="fr-FR"/>
        </w:rPr>
        <w:t> ;</w:t>
      </w:r>
      <w:r w:rsidRPr="006E3020">
        <w:rPr>
          <w:lang w:val="fr-FR"/>
        </w:rPr>
        <w:t xml:space="preserve"> enfin fournir tout le matériau pertinent dans la langue locale</w:t>
      </w:r>
      <w:r w:rsidR="001640D8">
        <w:rPr>
          <w:lang w:val="fr-FR"/>
        </w:rPr>
        <w:t>,</w:t>
      </w:r>
      <w:r w:rsidRPr="006E3020">
        <w:rPr>
          <w:lang w:val="fr-FR"/>
        </w:rPr>
        <w:t xml:space="preserve"> en particulier pour les projets abordant le secteur du service.</w:t>
      </w:r>
      <w:r w:rsidRPr="006E3020">
        <w:rPr>
          <w:color w:val="000000"/>
          <w:lang w:val="fr-FR"/>
        </w:rPr>
        <w:t xml:space="preserve"> </w:t>
      </w:r>
    </w:p>
    <w:p w14:paraId="0676E85F" w14:textId="4720B948" w:rsidR="00B4447D" w:rsidRPr="006E3020" w:rsidRDefault="00B4447D" w:rsidP="00B4447D">
      <w:pPr>
        <w:pStyle w:val="Heading1"/>
        <w:tabs>
          <w:tab w:val="clear" w:pos="0"/>
          <w:tab w:val="num" w:pos="720"/>
        </w:tabs>
        <w:spacing w:before="240"/>
        <w:rPr>
          <w:u w:val="single"/>
          <w:lang w:val="fr-FR"/>
        </w:rPr>
      </w:pPr>
      <w:r w:rsidRPr="006E3020">
        <w:rPr>
          <w:lang w:val="fr-FR"/>
        </w:rPr>
        <w:t xml:space="preserve">La contrefaçon de frigorigène constitue un enjeu majeur du secteur des services et contribue à augmenter la consommation </w:t>
      </w:r>
      <w:r w:rsidR="00DB2721">
        <w:rPr>
          <w:lang w:val="fr-FR"/>
        </w:rPr>
        <w:t>en raison de</w:t>
      </w:r>
      <w:r w:rsidRPr="006E3020">
        <w:rPr>
          <w:lang w:val="fr-FR"/>
        </w:rPr>
        <w:t xml:space="preserve"> problèmes techniques</w:t>
      </w:r>
      <w:r w:rsidR="00DB2721">
        <w:rPr>
          <w:lang w:val="fr-FR"/>
        </w:rPr>
        <w:t>,</w:t>
      </w:r>
      <w:r w:rsidRPr="006E3020">
        <w:rPr>
          <w:lang w:val="fr-FR"/>
        </w:rPr>
        <w:t xml:space="preserve"> incluant les défaillances système, un refroidissement inefficace et</w:t>
      </w:r>
      <w:r w:rsidR="00DB2721">
        <w:rPr>
          <w:lang w:val="fr-FR"/>
        </w:rPr>
        <w:t>,</w:t>
      </w:r>
      <w:r w:rsidRPr="006E3020">
        <w:rPr>
          <w:lang w:val="fr-FR"/>
        </w:rPr>
        <w:t xml:space="preserve"> dans certains cas</w:t>
      </w:r>
      <w:r w:rsidR="00DB2721">
        <w:rPr>
          <w:lang w:val="fr-FR"/>
        </w:rPr>
        <w:t>,</w:t>
      </w:r>
      <w:r w:rsidRPr="006E3020">
        <w:rPr>
          <w:lang w:val="fr-FR"/>
        </w:rPr>
        <w:t xml:space="preserve"> la carbonisation des compresseurs.</w:t>
      </w:r>
    </w:p>
    <w:p w14:paraId="1ABD3930" w14:textId="2429BDA2" w:rsidR="00B4447D" w:rsidRPr="006E3020" w:rsidRDefault="00B4447D" w:rsidP="00B4447D">
      <w:pPr>
        <w:pStyle w:val="Heading1"/>
        <w:keepNext/>
        <w:keepLines/>
        <w:numPr>
          <w:ilvl w:val="0"/>
          <w:numId w:val="0"/>
        </w:numPr>
        <w:spacing w:before="240"/>
        <w:rPr>
          <w:u w:val="single"/>
          <w:lang w:val="fr-FR"/>
        </w:rPr>
      </w:pPr>
      <w:r w:rsidRPr="006E3020">
        <w:rPr>
          <w:u w:val="single"/>
          <w:lang w:val="fr-FR"/>
        </w:rPr>
        <w:t xml:space="preserve">Enquêtes sur les produits de remplacement </w:t>
      </w:r>
      <w:r w:rsidR="00DB2721">
        <w:rPr>
          <w:u w:val="single"/>
          <w:lang w:val="fr-FR"/>
        </w:rPr>
        <w:t>des</w:t>
      </w:r>
      <w:r w:rsidRPr="006E3020">
        <w:rPr>
          <w:u w:val="single"/>
          <w:lang w:val="fr-FR"/>
        </w:rPr>
        <w:t xml:space="preserve"> SAO</w:t>
      </w:r>
    </w:p>
    <w:p w14:paraId="6847B483" w14:textId="283ED3FA" w:rsidR="00B4447D" w:rsidRPr="006E3020" w:rsidRDefault="00B4447D" w:rsidP="00B4447D">
      <w:pPr>
        <w:pStyle w:val="Heading1"/>
        <w:tabs>
          <w:tab w:val="clear" w:pos="0"/>
          <w:tab w:val="num" w:pos="720"/>
        </w:tabs>
        <w:spacing w:before="240"/>
        <w:rPr>
          <w:lang w:val="fr-FR"/>
        </w:rPr>
      </w:pPr>
      <w:r w:rsidRPr="006E3020">
        <w:rPr>
          <w:lang w:val="fr-FR"/>
        </w:rPr>
        <w:t>Au vu de l’importante quantité de projets inclus dans les rapports</w:t>
      </w:r>
      <w:r w:rsidR="008C7F63">
        <w:rPr>
          <w:lang w:val="fr-FR"/>
        </w:rPr>
        <w:t xml:space="preserve"> globaux</w:t>
      </w:r>
      <w:r w:rsidRPr="006E3020">
        <w:rPr>
          <w:lang w:val="fr-FR"/>
        </w:rPr>
        <w:t xml:space="preserve"> d’achèvement </w:t>
      </w:r>
      <w:r w:rsidR="00685EAC">
        <w:rPr>
          <w:lang w:val="fr-FR"/>
        </w:rPr>
        <w:t xml:space="preserve">de projet </w:t>
      </w:r>
      <w:r w:rsidRPr="006E3020">
        <w:rPr>
          <w:lang w:val="fr-FR"/>
        </w:rPr>
        <w:t>soumis concernant les enquêtes sur des produits de remplacement des SAO et à la suite des raisons de retard listé</w:t>
      </w:r>
      <w:r w:rsidR="008C33DF">
        <w:rPr>
          <w:lang w:val="fr-FR"/>
        </w:rPr>
        <w:t>es</w:t>
      </w:r>
      <w:r w:rsidRPr="006E3020">
        <w:rPr>
          <w:lang w:val="fr-FR"/>
        </w:rPr>
        <w:t xml:space="preserve"> ci-dessus, un résumé des enseignements tirés de ces projets est disponible ci-dessous et a trait, entre autres, aux défis présenté</w:t>
      </w:r>
      <w:r w:rsidR="004F0CF3">
        <w:rPr>
          <w:lang w:val="fr-FR"/>
        </w:rPr>
        <w:t>s</w:t>
      </w:r>
      <w:r w:rsidRPr="006E3020">
        <w:rPr>
          <w:lang w:val="fr-FR"/>
        </w:rPr>
        <w:t xml:space="preserve"> par l’adoption de produits de remplacement </w:t>
      </w:r>
      <w:r w:rsidR="00DA4CDE">
        <w:rPr>
          <w:lang w:val="fr-FR"/>
        </w:rPr>
        <w:t>des</w:t>
      </w:r>
      <w:r w:rsidRPr="006E3020">
        <w:rPr>
          <w:lang w:val="fr-FR"/>
        </w:rPr>
        <w:t xml:space="preserve"> SAO, </w:t>
      </w:r>
      <w:r w:rsidR="00B21C09">
        <w:rPr>
          <w:lang w:val="fr-FR"/>
        </w:rPr>
        <w:t>au</w:t>
      </w:r>
      <w:r w:rsidRPr="006E3020">
        <w:rPr>
          <w:lang w:val="fr-FR"/>
        </w:rPr>
        <w:t xml:space="preserve"> choix des technologies, </w:t>
      </w:r>
      <w:r w:rsidR="00B21C09">
        <w:rPr>
          <w:lang w:val="fr-FR"/>
        </w:rPr>
        <w:t>aux</w:t>
      </w:r>
      <w:r w:rsidRPr="006E3020">
        <w:rPr>
          <w:lang w:val="fr-FR"/>
        </w:rPr>
        <w:t xml:space="preserve"> normes et législations nationales, </w:t>
      </w:r>
      <w:r w:rsidR="00B21C09">
        <w:rPr>
          <w:lang w:val="fr-FR"/>
        </w:rPr>
        <w:t xml:space="preserve">à </w:t>
      </w:r>
      <w:r w:rsidRPr="006E3020">
        <w:rPr>
          <w:lang w:val="fr-FR"/>
        </w:rPr>
        <w:t xml:space="preserve">l’augmentation de la sensibilisation et de la communication et </w:t>
      </w:r>
      <w:r w:rsidR="00B21C09">
        <w:rPr>
          <w:lang w:val="fr-FR"/>
        </w:rPr>
        <w:t>aux</w:t>
      </w:r>
      <w:r w:rsidRPr="006E3020">
        <w:rPr>
          <w:lang w:val="fr-FR"/>
        </w:rPr>
        <w:t xml:space="preserve"> enjeux liés aux données.</w:t>
      </w:r>
    </w:p>
    <w:p w14:paraId="21E4E9C5" w14:textId="22755901" w:rsidR="00B4447D" w:rsidRPr="006E3020" w:rsidRDefault="00B4447D" w:rsidP="00B4447D">
      <w:pPr>
        <w:pStyle w:val="Heading1"/>
        <w:tabs>
          <w:tab w:val="clear" w:pos="0"/>
          <w:tab w:val="num" w:pos="720"/>
        </w:tabs>
        <w:spacing w:before="240"/>
        <w:rPr>
          <w:color w:val="000000"/>
          <w:lang w:val="fr-FR"/>
        </w:rPr>
      </w:pPr>
      <w:r w:rsidRPr="006E3020">
        <w:rPr>
          <w:lang w:val="fr-FR"/>
        </w:rPr>
        <w:t xml:space="preserve">Il y a plusieurs obstacles empêchant l’adoption des produits de remplacement </w:t>
      </w:r>
      <w:r w:rsidR="00DA4CDE">
        <w:rPr>
          <w:lang w:val="fr-FR"/>
        </w:rPr>
        <w:t>des</w:t>
      </w:r>
      <w:r w:rsidRPr="006E3020">
        <w:rPr>
          <w:lang w:val="fr-FR"/>
        </w:rPr>
        <w:t xml:space="preserve"> SAO tels que</w:t>
      </w:r>
      <w:r w:rsidR="00114E08">
        <w:rPr>
          <w:lang w:val="fr-FR"/>
        </w:rPr>
        <w:t> </w:t>
      </w:r>
      <w:r w:rsidRPr="006E3020">
        <w:rPr>
          <w:lang w:val="fr-FR"/>
        </w:rPr>
        <w:t xml:space="preserve">: le manque de technologie, le manque de capacité, l’indisponibilité et/ou le coût des technologies, des enjeux de santé et sécurité et l’absence de politiques et de réglementations pour promouvoir les produits de remplacement </w:t>
      </w:r>
      <w:r w:rsidR="005B393B">
        <w:rPr>
          <w:lang w:val="fr-FR"/>
        </w:rPr>
        <w:t>des</w:t>
      </w:r>
      <w:r w:rsidRPr="006E3020">
        <w:rPr>
          <w:lang w:val="fr-FR"/>
        </w:rPr>
        <w:t xml:space="preserve"> SAO, des contraintes temporelles, une tenue imparfaite des documents et un faible taux de réponse parmi les importateurs et les techniciens dans le secteur du froid et de la climatisation. </w:t>
      </w:r>
    </w:p>
    <w:p w14:paraId="65E8FEC9" w14:textId="6B912ECC" w:rsidR="00B4447D" w:rsidRPr="006E3020" w:rsidRDefault="00B4447D" w:rsidP="00B4447D">
      <w:pPr>
        <w:pStyle w:val="Heading1"/>
        <w:tabs>
          <w:tab w:val="clear" w:pos="0"/>
          <w:tab w:val="num" w:pos="720"/>
        </w:tabs>
        <w:spacing w:before="240"/>
        <w:rPr>
          <w:color w:val="000000"/>
          <w:lang w:val="fr-FR"/>
        </w:rPr>
      </w:pPr>
      <w:r w:rsidRPr="006E3020">
        <w:rPr>
          <w:lang w:val="fr-FR"/>
        </w:rPr>
        <w:t>Le choix des technologies est orienté par la disponibilité sur le marché.</w:t>
      </w:r>
      <w:r w:rsidRPr="006E3020">
        <w:rPr>
          <w:color w:val="000000"/>
          <w:lang w:val="fr-FR"/>
        </w:rPr>
        <w:t xml:space="preserve"> Les UNO, en coopération avec les agences bilatérales et d’exécution doivent considér</w:t>
      </w:r>
      <w:r w:rsidR="007F3A02">
        <w:rPr>
          <w:color w:val="000000"/>
          <w:lang w:val="fr-FR"/>
        </w:rPr>
        <w:t>er</w:t>
      </w:r>
      <w:r w:rsidRPr="006E3020">
        <w:rPr>
          <w:color w:val="000000"/>
          <w:lang w:val="fr-FR"/>
        </w:rPr>
        <w:t xml:space="preserve"> comment aborder ce sujet au sein de la phase</w:t>
      </w:r>
      <w:r w:rsidR="00852D8F">
        <w:rPr>
          <w:color w:val="000000"/>
          <w:lang w:val="fr-FR"/>
        </w:rPr>
        <w:t> </w:t>
      </w:r>
      <w:r w:rsidRPr="006E3020">
        <w:rPr>
          <w:color w:val="000000"/>
          <w:lang w:val="fr-FR"/>
        </w:rPr>
        <w:t xml:space="preserve">II du PGEH et de la réduction progressive des HFC. </w:t>
      </w:r>
    </w:p>
    <w:p w14:paraId="36834527" w14:textId="578C28B0" w:rsidR="00B4447D" w:rsidRPr="006E3020" w:rsidRDefault="00B4447D" w:rsidP="00B4447D">
      <w:pPr>
        <w:pStyle w:val="Heading1"/>
        <w:tabs>
          <w:tab w:val="clear" w:pos="0"/>
          <w:tab w:val="num" w:pos="720"/>
        </w:tabs>
        <w:spacing w:before="240"/>
        <w:rPr>
          <w:color w:val="000000"/>
          <w:lang w:val="fr-FR"/>
        </w:rPr>
      </w:pPr>
      <w:r w:rsidRPr="006E3020">
        <w:rPr>
          <w:color w:val="000000"/>
          <w:lang w:val="fr-FR"/>
        </w:rPr>
        <w:t xml:space="preserve">Le développement de normes nationales est essentiel pour guider les parties prenantes dans le choix et l’utilisation de produits de remplacement à faible PRG et à meilleur rendement énergétique. De même, c’est du gouvernement que doit venir la volonté de développer une législation et des mesures incitatives pour promouvoir l’adoption de nouvelles technologies à haut rendement énergétique. Il est vital que toutes les parties prenantes reçoivent les mises à jour concernant les dernières mesures politiques, les meilleures technologies disponibles et les bonnes pratiques environnementales, en particulier dans </w:t>
      </w:r>
      <w:r w:rsidR="00D559D8">
        <w:rPr>
          <w:color w:val="000000"/>
          <w:lang w:val="fr-FR"/>
        </w:rPr>
        <w:t>l</w:t>
      </w:r>
      <w:r w:rsidRPr="006E3020">
        <w:rPr>
          <w:color w:val="000000"/>
          <w:lang w:val="fr-FR"/>
        </w:rPr>
        <w:t>’industrie de transformation.</w:t>
      </w:r>
    </w:p>
    <w:p w14:paraId="6500C4BA" w14:textId="14C7D5AB" w:rsidR="00B4447D" w:rsidRPr="006E3020" w:rsidRDefault="00B4447D" w:rsidP="00B4447D">
      <w:pPr>
        <w:pStyle w:val="Heading1"/>
        <w:tabs>
          <w:tab w:val="clear" w:pos="0"/>
          <w:tab w:val="num" w:pos="720"/>
        </w:tabs>
        <w:spacing w:before="240"/>
        <w:rPr>
          <w:color w:val="000000"/>
          <w:lang w:val="fr-FR"/>
        </w:rPr>
      </w:pPr>
      <w:r w:rsidRPr="006E3020">
        <w:rPr>
          <w:color w:val="000000"/>
          <w:lang w:val="fr-FR"/>
        </w:rPr>
        <w:t xml:space="preserve">Les enjeux liés aux données sont un sujet récurrent qui s’étend de la qualité et la disponibilité des données à leur compilation. Une enquête propose d’établir un système </w:t>
      </w:r>
      <w:r w:rsidR="003C1D8E" w:rsidRPr="006E3020">
        <w:rPr>
          <w:color w:val="000000"/>
          <w:lang w:val="fr-FR"/>
        </w:rPr>
        <w:t xml:space="preserve">national </w:t>
      </w:r>
      <w:r w:rsidRPr="006E3020">
        <w:rPr>
          <w:color w:val="000000"/>
          <w:lang w:val="fr-FR"/>
        </w:rPr>
        <w:t>de gestion de bases de données exploit</w:t>
      </w:r>
      <w:r w:rsidR="003C1D8E">
        <w:rPr>
          <w:color w:val="000000"/>
          <w:lang w:val="fr-FR"/>
        </w:rPr>
        <w:t>é</w:t>
      </w:r>
      <w:r w:rsidRPr="006E3020">
        <w:rPr>
          <w:color w:val="000000"/>
          <w:lang w:val="fr-FR"/>
        </w:rPr>
        <w:t xml:space="preserve"> par l’UNO pour compiler toutes les données obtenues durant cette enquête</w:t>
      </w:r>
      <w:r w:rsidR="003C1D8E">
        <w:rPr>
          <w:color w:val="000000"/>
          <w:lang w:val="fr-FR"/>
        </w:rPr>
        <w:t>,</w:t>
      </w:r>
      <w:r w:rsidRPr="006E3020">
        <w:rPr>
          <w:color w:val="000000"/>
          <w:lang w:val="fr-FR"/>
        </w:rPr>
        <w:t xml:space="preserve"> ainsi que toutes les informations historiques obtenues dans des rapports </w:t>
      </w:r>
      <w:r w:rsidR="007446C9">
        <w:rPr>
          <w:color w:val="000000"/>
          <w:lang w:val="fr-FR"/>
        </w:rPr>
        <w:t xml:space="preserve">et </w:t>
      </w:r>
      <w:r w:rsidRPr="006E3020">
        <w:rPr>
          <w:color w:val="000000"/>
          <w:lang w:val="fr-FR"/>
        </w:rPr>
        <w:t>étude</w:t>
      </w:r>
      <w:r w:rsidR="007446C9">
        <w:rPr>
          <w:color w:val="000000"/>
          <w:lang w:val="fr-FR"/>
        </w:rPr>
        <w:t>s</w:t>
      </w:r>
      <w:r w:rsidRPr="006E3020">
        <w:rPr>
          <w:color w:val="000000"/>
          <w:lang w:val="fr-FR"/>
        </w:rPr>
        <w:t xml:space="preserve"> précédent</w:t>
      </w:r>
      <w:r w:rsidR="00DA4CF9">
        <w:rPr>
          <w:color w:val="000000"/>
          <w:lang w:val="fr-FR"/>
        </w:rPr>
        <w:t>s</w:t>
      </w:r>
      <w:r w:rsidRPr="006E3020">
        <w:rPr>
          <w:color w:val="000000"/>
          <w:lang w:val="fr-FR"/>
        </w:rPr>
        <w:t xml:space="preserve"> relatif</w:t>
      </w:r>
      <w:r w:rsidR="007446C9">
        <w:rPr>
          <w:color w:val="000000"/>
          <w:lang w:val="fr-FR"/>
        </w:rPr>
        <w:t>s</w:t>
      </w:r>
      <w:r w:rsidRPr="006E3020">
        <w:rPr>
          <w:color w:val="000000"/>
          <w:lang w:val="fr-FR"/>
        </w:rPr>
        <w:t xml:space="preserve"> aux SAO et aux produits de remplacement </w:t>
      </w:r>
      <w:r w:rsidR="00DA4CF9">
        <w:rPr>
          <w:color w:val="000000"/>
          <w:lang w:val="fr-FR"/>
        </w:rPr>
        <w:t>des</w:t>
      </w:r>
      <w:r w:rsidRPr="006E3020">
        <w:rPr>
          <w:color w:val="000000"/>
          <w:lang w:val="fr-FR"/>
        </w:rPr>
        <w:t xml:space="preserve"> SAO dans le pays. Bien qu’ayant reçu le modèle de rapport d’enquête sur les produits de remplacement </w:t>
      </w:r>
      <w:r w:rsidR="00CB5EF9">
        <w:rPr>
          <w:color w:val="000000"/>
          <w:lang w:val="fr-FR"/>
        </w:rPr>
        <w:t>des</w:t>
      </w:r>
      <w:r w:rsidRPr="006E3020">
        <w:rPr>
          <w:color w:val="000000"/>
          <w:lang w:val="fr-FR"/>
        </w:rPr>
        <w:t xml:space="preserve"> SAO, de nombreux pays ne les ont pas utilisés, entraînant un </w:t>
      </w:r>
      <w:r w:rsidR="00CB5EF9">
        <w:rPr>
          <w:color w:val="000000"/>
          <w:lang w:val="fr-FR"/>
        </w:rPr>
        <w:t xml:space="preserve">surplus de </w:t>
      </w:r>
      <w:r w:rsidRPr="006E3020">
        <w:rPr>
          <w:color w:val="000000"/>
          <w:lang w:val="fr-FR"/>
        </w:rPr>
        <w:t>travail inutile ainsi que des efforts passés à remettre en forme et réviser les ébauches de rapports soumises. Le recrutement d’un consultant international est crucial pour fournir un support dans la collecte et le traitement de ces données.</w:t>
      </w:r>
    </w:p>
    <w:p w14:paraId="6988126C" w14:textId="0918A41A" w:rsidR="00B4447D" w:rsidRPr="006E3020" w:rsidRDefault="00B4447D" w:rsidP="00B4447D">
      <w:pPr>
        <w:pStyle w:val="Heading1"/>
        <w:tabs>
          <w:tab w:val="clear" w:pos="0"/>
          <w:tab w:val="num" w:pos="720"/>
        </w:tabs>
        <w:spacing w:before="240"/>
        <w:rPr>
          <w:color w:val="000000"/>
          <w:lang w:val="fr-FR"/>
        </w:rPr>
      </w:pPr>
      <w:r w:rsidRPr="006E3020">
        <w:rPr>
          <w:color w:val="000000"/>
          <w:lang w:val="fr-FR"/>
        </w:rPr>
        <w:t>Les enquêtes identifient plusieurs solutions pour aborder les défis mentionnés ci-dessus comme</w:t>
      </w:r>
      <w:r w:rsidR="005A69EE">
        <w:rPr>
          <w:color w:val="000000"/>
          <w:lang w:val="fr-FR"/>
        </w:rPr>
        <w:t> :</w:t>
      </w:r>
      <w:r w:rsidRPr="006E3020">
        <w:rPr>
          <w:color w:val="000000"/>
          <w:lang w:val="fr-FR"/>
        </w:rPr>
        <w:t xml:space="preserve"> </w:t>
      </w:r>
      <w:r w:rsidR="00643938">
        <w:rPr>
          <w:color w:val="000000"/>
          <w:lang w:val="fr-FR"/>
        </w:rPr>
        <w:t>u</w:t>
      </w:r>
      <w:r w:rsidRPr="006E3020">
        <w:rPr>
          <w:color w:val="000000"/>
          <w:lang w:val="fr-FR"/>
        </w:rPr>
        <w:t xml:space="preserve">ne formation supplémentaire et un renforcement de la capacité, une augmentation de l’éducation du public </w:t>
      </w:r>
      <w:r w:rsidRPr="006E3020">
        <w:rPr>
          <w:color w:val="000000"/>
          <w:lang w:val="fr-FR"/>
        </w:rPr>
        <w:lastRenderedPageBreak/>
        <w:t xml:space="preserve">et des programmes de sensibilisation, un renforcement institutionnel et une collaboration sectorielle améliorée, la création d’une association nationale de la réfrigération et son inclusion dans la conception des projets et enfin la création d’accords régionaux concernant le mouvement et l’enregistrement des SAO et de leurs coproduits. </w:t>
      </w:r>
    </w:p>
    <w:p w14:paraId="2437A6EE" w14:textId="77777777" w:rsidR="00B4447D" w:rsidRPr="006E3020" w:rsidRDefault="00B4447D" w:rsidP="00B4447D">
      <w:pPr>
        <w:pStyle w:val="Heading1"/>
        <w:tabs>
          <w:tab w:val="clear" w:pos="0"/>
          <w:tab w:val="num" w:pos="720"/>
        </w:tabs>
        <w:spacing w:before="240"/>
        <w:rPr>
          <w:color w:val="000000"/>
          <w:lang w:val="fr-FR"/>
        </w:rPr>
      </w:pPr>
      <w:r w:rsidRPr="006E3020">
        <w:rPr>
          <w:color w:val="000000"/>
          <w:lang w:val="fr-FR"/>
        </w:rPr>
        <w:t>Afin d’améliorer la situation de tenue des registres dans certaines sociétés, la mise en place d’un système d’information pour collecter et envoyer automatiquement les données des importateurs aux UNO est recommandée.</w:t>
      </w:r>
    </w:p>
    <w:p w14:paraId="060BCF4F" w14:textId="3B09EB09" w:rsidR="00B4447D" w:rsidRPr="006E3020" w:rsidRDefault="00B4447D" w:rsidP="00B4447D">
      <w:pPr>
        <w:pStyle w:val="Heading1"/>
        <w:tabs>
          <w:tab w:val="clear" w:pos="0"/>
          <w:tab w:val="num" w:pos="720"/>
        </w:tabs>
        <w:spacing w:before="240"/>
        <w:rPr>
          <w:color w:val="000000"/>
          <w:lang w:val="fr-FR"/>
        </w:rPr>
      </w:pPr>
      <w:r w:rsidRPr="006E3020">
        <w:rPr>
          <w:color w:val="000000"/>
          <w:lang w:val="fr-FR"/>
        </w:rPr>
        <w:t>La communication ét</w:t>
      </w:r>
      <w:r w:rsidR="00643938">
        <w:rPr>
          <w:color w:val="000000"/>
          <w:lang w:val="fr-FR"/>
        </w:rPr>
        <w:t>ant</w:t>
      </w:r>
      <w:r w:rsidRPr="006E3020">
        <w:rPr>
          <w:color w:val="000000"/>
          <w:lang w:val="fr-FR"/>
        </w:rPr>
        <w:t xml:space="preserve"> un élément clé, une liste détaillée et à jour de toutes les parties prenantes assurerait une communication facilitée et une dissémination des informations entre les parties prenantes </w:t>
      </w:r>
      <w:r w:rsidR="00502629">
        <w:rPr>
          <w:color w:val="000000"/>
          <w:lang w:val="fr-FR"/>
        </w:rPr>
        <w:t xml:space="preserve">et </w:t>
      </w:r>
      <w:r w:rsidRPr="006E3020">
        <w:rPr>
          <w:color w:val="000000"/>
          <w:lang w:val="fr-FR"/>
        </w:rPr>
        <w:t>un système de communication des données. L’expansion du cadre réglementaire et du système d’octroi de licences devrait être considéré</w:t>
      </w:r>
      <w:r w:rsidR="000B3CB0">
        <w:rPr>
          <w:color w:val="000000"/>
          <w:lang w:val="fr-FR"/>
        </w:rPr>
        <w:t>e</w:t>
      </w:r>
      <w:r w:rsidRPr="006E3020">
        <w:rPr>
          <w:color w:val="000000"/>
          <w:lang w:val="fr-FR"/>
        </w:rPr>
        <w:t xml:space="preserve"> pour couvrir les contrôles du commerce des produits de remplacement </w:t>
      </w:r>
      <w:r w:rsidR="00BC122F">
        <w:rPr>
          <w:color w:val="000000"/>
          <w:lang w:val="fr-FR"/>
        </w:rPr>
        <w:t>des</w:t>
      </w:r>
      <w:r w:rsidRPr="006E3020">
        <w:rPr>
          <w:color w:val="000000"/>
          <w:lang w:val="fr-FR"/>
        </w:rPr>
        <w:t xml:space="preserve"> SAO. </w:t>
      </w:r>
    </w:p>
    <w:p w14:paraId="0E1CAAD2" w14:textId="77777777" w:rsidR="00B4447D" w:rsidRPr="006E3020" w:rsidRDefault="00B4447D" w:rsidP="00B4447D">
      <w:pPr>
        <w:pStyle w:val="Heading1"/>
        <w:keepNext/>
        <w:keepLines/>
        <w:numPr>
          <w:ilvl w:val="0"/>
          <w:numId w:val="0"/>
        </w:numPr>
        <w:tabs>
          <w:tab w:val="left" w:pos="720"/>
        </w:tabs>
        <w:spacing w:before="120"/>
        <w:rPr>
          <w:b/>
          <w:lang w:val="fr-FR"/>
        </w:rPr>
      </w:pPr>
      <w:r w:rsidRPr="006E3020">
        <w:rPr>
          <w:b/>
          <w:lang w:val="fr-FR"/>
        </w:rPr>
        <w:t>Rapports d’achèvement de projet et rapports d’achèvement de projets pluriannuels en souffrance</w:t>
      </w:r>
    </w:p>
    <w:p w14:paraId="7CD1F8B3" w14:textId="77777777" w:rsidR="00B4447D" w:rsidRPr="006E3020" w:rsidRDefault="00B4447D" w:rsidP="00B4447D">
      <w:pPr>
        <w:pStyle w:val="Heading1"/>
        <w:numPr>
          <w:ilvl w:val="0"/>
          <w:numId w:val="23"/>
        </w:numPr>
        <w:tabs>
          <w:tab w:val="clear" w:pos="0"/>
          <w:tab w:val="num" w:pos="720"/>
        </w:tabs>
        <w:rPr>
          <w:color w:val="1F497D"/>
          <w:lang w:val="fr-FR"/>
        </w:rPr>
      </w:pPr>
      <w:r w:rsidRPr="006E3020">
        <w:rPr>
          <w:lang w:val="fr-FR"/>
        </w:rPr>
        <w:t>Le Secrétariat apprécie les mesures prises par certaines agences bilatérales et d’exécution pour prendre en main le problème des rapports d’achèvement de projet en souffrance.</w:t>
      </w:r>
      <w:r w:rsidRPr="006E3020">
        <w:rPr>
          <w:rStyle w:val="FootnoteReference"/>
          <w:lang w:val="fr-FR"/>
        </w:rPr>
        <w:footnoteReference w:id="5"/>
      </w:r>
      <w:r w:rsidRPr="006E3020">
        <w:rPr>
          <w:lang w:val="fr-FR"/>
        </w:rPr>
        <w:t xml:space="preserve"> Le Secrétariat a souligné la question de la soumission des rapports d’achèvement de projet pour la phase I du PGEH aux agences bilatérales et d’exécution, étant donné que ceux-ci sont obligatoires pour l’approbation de la deuxième phase</w:t>
      </w:r>
      <w:r w:rsidRPr="006E3020">
        <w:rPr>
          <w:rStyle w:val="FootnoteReference"/>
          <w:lang w:val="fr-FR"/>
        </w:rPr>
        <w:footnoteReference w:id="6"/>
      </w:r>
      <w:r w:rsidRPr="006E3020">
        <w:rPr>
          <w:lang w:val="fr-FR"/>
        </w:rPr>
        <w:t>.</w:t>
      </w:r>
    </w:p>
    <w:p w14:paraId="1E3EF6FF" w14:textId="77777777" w:rsidR="00B4447D" w:rsidRPr="006E3020" w:rsidRDefault="00B4447D" w:rsidP="00B4447D">
      <w:pPr>
        <w:pStyle w:val="Heading1"/>
        <w:keepNext/>
        <w:keepLines/>
        <w:numPr>
          <w:ilvl w:val="0"/>
          <w:numId w:val="0"/>
        </w:numPr>
        <w:tabs>
          <w:tab w:val="num" w:pos="720"/>
        </w:tabs>
        <w:rPr>
          <w:b/>
          <w:lang w:val="fr-FR"/>
        </w:rPr>
      </w:pPr>
      <w:r w:rsidRPr="006E3020">
        <w:rPr>
          <w:b/>
          <w:lang w:val="fr-FR"/>
        </w:rPr>
        <w:t>RECOMMANDATION</w:t>
      </w:r>
    </w:p>
    <w:p w14:paraId="709653CC" w14:textId="1393E62F" w:rsidR="00B4447D" w:rsidRPr="006E3020" w:rsidRDefault="00B4447D" w:rsidP="00B4447D">
      <w:pPr>
        <w:pStyle w:val="Heading1"/>
        <w:keepNext/>
        <w:keepLines/>
        <w:numPr>
          <w:ilvl w:val="0"/>
          <w:numId w:val="23"/>
        </w:numPr>
        <w:tabs>
          <w:tab w:val="clear" w:pos="0"/>
          <w:tab w:val="num" w:pos="720"/>
        </w:tabs>
        <w:rPr>
          <w:lang w:val="fr-FR"/>
        </w:rPr>
      </w:pPr>
      <w:r w:rsidRPr="006E3020">
        <w:rPr>
          <w:lang w:val="fr-FR"/>
        </w:rPr>
        <w:t>Le Comité exécutif pourrait envisager de</w:t>
      </w:r>
      <w:r w:rsidR="00114E08">
        <w:rPr>
          <w:lang w:val="fr-FR"/>
        </w:rPr>
        <w:t> </w:t>
      </w:r>
      <w:r w:rsidRPr="006E3020">
        <w:rPr>
          <w:lang w:val="fr-FR"/>
        </w:rPr>
        <w:t xml:space="preserve">: </w:t>
      </w:r>
    </w:p>
    <w:p w14:paraId="5219BE08" w14:textId="5B05B625" w:rsidR="00B4447D" w:rsidRPr="006E3020" w:rsidRDefault="00B4447D" w:rsidP="00B4447D">
      <w:pPr>
        <w:pStyle w:val="Heading2"/>
        <w:keepNext/>
        <w:keepLines/>
        <w:widowControl/>
        <w:numPr>
          <w:ilvl w:val="1"/>
          <w:numId w:val="23"/>
        </w:numPr>
        <w:tabs>
          <w:tab w:val="clear" w:pos="0"/>
          <w:tab w:val="num" w:pos="-540"/>
        </w:tabs>
        <w:rPr>
          <w:lang w:val="fr-FR"/>
        </w:rPr>
      </w:pPr>
      <w:r w:rsidRPr="006E3020">
        <w:rPr>
          <w:lang w:val="fr-FR"/>
        </w:rPr>
        <w:t>Prendre note du rapport global d’achèvement des projets de 2019 présenté dans le document UNEP/OzL.Pro/ExCom/84/23</w:t>
      </w:r>
      <w:r w:rsidR="00114E08">
        <w:rPr>
          <w:lang w:val="fr-FR"/>
        </w:rPr>
        <w:t> </w:t>
      </w:r>
      <w:r w:rsidRPr="006E3020">
        <w:rPr>
          <w:lang w:val="fr-FR"/>
        </w:rPr>
        <w:t xml:space="preserve">; </w:t>
      </w:r>
    </w:p>
    <w:p w14:paraId="409C1BBD" w14:textId="275013CB" w:rsidR="00B4447D" w:rsidRPr="006E3020" w:rsidRDefault="00B4447D" w:rsidP="00B4447D">
      <w:pPr>
        <w:pStyle w:val="Heading2"/>
        <w:numPr>
          <w:ilvl w:val="1"/>
          <w:numId w:val="23"/>
        </w:numPr>
        <w:tabs>
          <w:tab w:val="clear" w:pos="0"/>
          <w:tab w:val="num" w:pos="-540"/>
        </w:tabs>
        <w:rPr>
          <w:lang w:val="fr-FR"/>
        </w:rPr>
      </w:pPr>
      <w:r w:rsidRPr="006E3020">
        <w:rPr>
          <w:lang w:val="fr-FR"/>
        </w:rPr>
        <w:t>Inciter les agences bilatérales et d’exécution à soumettre à la 85</w:t>
      </w:r>
      <w:r w:rsidRPr="006E3020">
        <w:rPr>
          <w:vertAlign w:val="superscript"/>
          <w:lang w:val="fr-FR"/>
        </w:rPr>
        <w:t>e</w:t>
      </w:r>
      <w:r w:rsidRPr="006E3020">
        <w:rPr>
          <w:lang w:val="fr-FR"/>
        </w:rPr>
        <w:t xml:space="preserve"> réunion les rapports d’achèvement de projet attendus pour des accords pluriannuels et des projets individuels et, à défaut, à fournir les raisons des retards</w:t>
      </w:r>
      <w:r w:rsidR="00114E08">
        <w:rPr>
          <w:lang w:val="fr-FR"/>
        </w:rPr>
        <w:t> </w:t>
      </w:r>
      <w:r w:rsidRPr="006E3020">
        <w:rPr>
          <w:lang w:val="fr-FR"/>
        </w:rPr>
        <w:t xml:space="preserve">; </w:t>
      </w:r>
    </w:p>
    <w:p w14:paraId="3FE0EB8A" w14:textId="0A703CAD" w:rsidR="00B4447D" w:rsidRPr="006E3020" w:rsidRDefault="00B4447D" w:rsidP="00B4447D">
      <w:pPr>
        <w:pStyle w:val="Heading2"/>
        <w:numPr>
          <w:ilvl w:val="1"/>
          <w:numId w:val="23"/>
        </w:numPr>
        <w:tabs>
          <w:tab w:val="clear" w:pos="0"/>
          <w:tab w:val="num" w:pos="-540"/>
        </w:tabs>
        <w:rPr>
          <w:lang w:val="fr-FR"/>
        </w:rPr>
      </w:pPr>
      <w:r w:rsidRPr="006E3020">
        <w:rPr>
          <w:lang w:val="fr-FR"/>
        </w:rPr>
        <w:t>Inciter les agences principales et de coopération à coordonner étroitement leurs travaux en vue de finaliser leurs sections des rapports d’achèvement de projet pour permettre à l’agence d’exécution principale de les remettre aux dates prévues</w:t>
      </w:r>
      <w:r w:rsidR="00114E08">
        <w:rPr>
          <w:lang w:val="fr-FR"/>
        </w:rPr>
        <w:t> </w:t>
      </w:r>
      <w:r w:rsidRPr="006E3020">
        <w:rPr>
          <w:lang w:val="fr-FR"/>
        </w:rPr>
        <w:t>;</w:t>
      </w:r>
    </w:p>
    <w:p w14:paraId="32B8EAB8" w14:textId="04021836" w:rsidR="00B4447D" w:rsidRPr="006E3020" w:rsidRDefault="00B4447D" w:rsidP="00B4447D">
      <w:pPr>
        <w:pStyle w:val="Heading2"/>
        <w:widowControl/>
        <w:numPr>
          <w:ilvl w:val="1"/>
          <w:numId w:val="23"/>
        </w:numPr>
        <w:tabs>
          <w:tab w:val="clear" w:pos="0"/>
          <w:tab w:val="num" w:pos="-540"/>
        </w:tabs>
        <w:rPr>
          <w:lang w:val="fr-FR"/>
        </w:rPr>
      </w:pPr>
      <w:r w:rsidRPr="006E3020">
        <w:rPr>
          <w:lang w:val="fr-FR"/>
        </w:rPr>
        <w:t>Inciter les agences bilatérales et d’exécution dans le contexte de la remise de leurs rapports d’achèvement de projet à consigner de manière claire, bien rédigée et détaillée les enseignements tirés des projets</w:t>
      </w:r>
      <w:r w:rsidR="00114E08">
        <w:rPr>
          <w:lang w:val="fr-FR"/>
        </w:rPr>
        <w:t> </w:t>
      </w:r>
      <w:r w:rsidRPr="006E3020">
        <w:rPr>
          <w:lang w:val="fr-FR"/>
        </w:rPr>
        <w:t>;</w:t>
      </w:r>
    </w:p>
    <w:p w14:paraId="7B1169A9" w14:textId="77777777" w:rsidR="00B4447D" w:rsidRPr="006E3020" w:rsidRDefault="00B4447D" w:rsidP="00B4447D">
      <w:pPr>
        <w:pStyle w:val="Heading2"/>
        <w:widowControl/>
        <w:numPr>
          <w:ilvl w:val="1"/>
          <w:numId w:val="23"/>
        </w:numPr>
        <w:tabs>
          <w:tab w:val="clear" w:pos="0"/>
          <w:tab w:val="num" w:pos="-540"/>
        </w:tabs>
        <w:rPr>
          <w:lang w:val="fr-FR"/>
        </w:rPr>
      </w:pPr>
      <w:r w:rsidRPr="006E3020">
        <w:rPr>
          <w:lang w:val="fr-FR"/>
        </w:rPr>
        <w:t>Inviter toutes les personnes participant à la préparation et à la mise en œuvre des accords pluriannuels et des projets individuels à tenir compte, lors de la préparation et de la mise en œuvre de projets futurs, le cas échéant, des enseignements tirés des rapports d’achèvement de projet.</w:t>
      </w:r>
    </w:p>
    <w:p w14:paraId="660F69E9" w14:textId="77777777" w:rsidR="00B4447D" w:rsidRPr="006E3020" w:rsidRDefault="00B4447D" w:rsidP="00B4447D">
      <w:pPr>
        <w:pStyle w:val="Heading2"/>
        <w:numPr>
          <w:ilvl w:val="1"/>
          <w:numId w:val="1"/>
        </w:numPr>
        <w:spacing w:before="120"/>
        <w:rPr>
          <w:lang w:val="fr-FR"/>
        </w:rPr>
        <w:sectPr w:rsidR="00B4447D" w:rsidRPr="006E3020"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pPr>
    </w:p>
    <w:p w14:paraId="785EF0AC" w14:textId="77777777" w:rsidR="00B4447D" w:rsidRPr="006E3020" w:rsidRDefault="00B4447D" w:rsidP="00B4447D">
      <w:pPr>
        <w:pStyle w:val="Heading2"/>
        <w:keepNext/>
        <w:keepLines/>
        <w:widowControl/>
        <w:numPr>
          <w:ilvl w:val="0"/>
          <w:numId w:val="0"/>
        </w:numPr>
        <w:tabs>
          <w:tab w:val="left" w:pos="720"/>
        </w:tabs>
        <w:jc w:val="center"/>
        <w:rPr>
          <w:b/>
          <w:lang w:val="fr-FR"/>
        </w:rPr>
      </w:pPr>
      <w:r w:rsidRPr="006E3020">
        <w:rPr>
          <w:b/>
          <w:lang w:val="fr-FR"/>
        </w:rPr>
        <w:lastRenderedPageBreak/>
        <w:t>Annexe I</w:t>
      </w:r>
    </w:p>
    <w:p w14:paraId="6D43FF4D" w14:textId="7C5F6955" w:rsidR="00B4447D" w:rsidRDefault="00B4447D" w:rsidP="00B4447D">
      <w:pPr>
        <w:spacing w:after="240"/>
        <w:jc w:val="center"/>
        <w:rPr>
          <w:b/>
          <w:lang w:val="fr-FR"/>
        </w:rPr>
      </w:pPr>
    </w:p>
    <w:p w14:paraId="7358E1C7" w14:textId="33DA91E5" w:rsidR="00F745CE" w:rsidRDefault="00F745CE" w:rsidP="00B4447D">
      <w:pPr>
        <w:spacing w:after="240"/>
        <w:jc w:val="center"/>
        <w:rPr>
          <w:b/>
          <w:lang w:val="fr-FR"/>
        </w:rPr>
      </w:pPr>
    </w:p>
    <w:p w14:paraId="631BC8BE" w14:textId="3BF116F6" w:rsidR="00F745CE" w:rsidRDefault="00F745CE" w:rsidP="00B4447D">
      <w:pPr>
        <w:spacing w:after="240"/>
        <w:jc w:val="center"/>
        <w:rPr>
          <w:b/>
          <w:lang w:val="fr-FR"/>
        </w:rPr>
      </w:pPr>
    </w:p>
    <w:p w14:paraId="2B0AB176" w14:textId="5446CA64" w:rsidR="00F745CE" w:rsidRDefault="00F745CE" w:rsidP="00B4447D">
      <w:pPr>
        <w:spacing w:after="240"/>
        <w:jc w:val="center"/>
        <w:rPr>
          <w:b/>
          <w:lang w:val="fr-FR"/>
        </w:rPr>
      </w:pPr>
    </w:p>
    <w:p w14:paraId="3ACF45F4" w14:textId="3CBB837F" w:rsidR="00F745CE" w:rsidRDefault="00F745CE" w:rsidP="00B4447D">
      <w:pPr>
        <w:spacing w:after="240"/>
        <w:jc w:val="center"/>
        <w:rPr>
          <w:b/>
          <w:lang w:val="fr-FR"/>
        </w:rPr>
      </w:pPr>
    </w:p>
    <w:p w14:paraId="00B08186" w14:textId="0E6591C1" w:rsidR="00F745CE" w:rsidRDefault="00F745CE" w:rsidP="00B4447D">
      <w:pPr>
        <w:spacing w:after="240"/>
        <w:jc w:val="center"/>
        <w:rPr>
          <w:b/>
          <w:lang w:val="fr-FR"/>
        </w:rPr>
      </w:pPr>
    </w:p>
    <w:p w14:paraId="699542B3" w14:textId="1E2CAB1A" w:rsidR="00F745CE" w:rsidRDefault="00F745CE" w:rsidP="00B4447D">
      <w:pPr>
        <w:spacing w:after="240"/>
        <w:jc w:val="center"/>
        <w:rPr>
          <w:b/>
          <w:lang w:val="fr-FR"/>
        </w:rPr>
      </w:pPr>
    </w:p>
    <w:p w14:paraId="32ACCCFA" w14:textId="2A406611" w:rsidR="00F745CE" w:rsidRDefault="00F745CE" w:rsidP="00B4447D">
      <w:pPr>
        <w:spacing w:after="240"/>
        <w:jc w:val="center"/>
        <w:rPr>
          <w:b/>
          <w:lang w:val="fr-FR"/>
        </w:rPr>
      </w:pPr>
    </w:p>
    <w:p w14:paraId="03986C73" w14:textId="09853C31" w:rsidR="00F745CE" w:rsidRDefault="00F745CE" w:rsidP="00B4447D">
      <w:pPr>
        <w:spacing w:after="240"/>
        <w:jc w:val="center"/>
        <w:rPr>
          <w:b/>
          <w:lang w:val="fr-FR"/>
        </w:rPr>
      </w:pPr>
    </w:p>
    <w:p w14:paraId="5762D10E" w14:textId="04FAFB34" w:rsidR="00F745CE" w:rsidRDefault="00F745CE" w:rsidP="00B4447D">
      <w:pPr>
        <w:spacing w:after="240"/>
        <w:jc w:val="center"/>
        <w:rPr>
          <w:b/>
          <w:lang w:val="fr-FR"/>
        </w:rPr>
      </w:pPr>
    </w:p>
    <w:p w14:paraId="2B83A9B2" w14:textId="7511E728" w:rsidR="00F745CE" w:rsidRDefault="00F745CE" w:rsidP="00B4447D">
      <w:pPr>
        <w:spacing w:after="240"/>
        <w:jc w:val="center"/>
        <w:rPr>
          <w:b/>
          <w:lang w:val="fr-FR"/>
        </w:rPr>
      </w:pPr>
    </w:p>
    <w:p w14:paraId="4ADDCD09" w14:textId="3A0FB480" w:rsidR="00F745CE" w:rsidRDefault="00F745CE" w:rsidP="00B4447D">
      <w:pPr>
        <w:spacing w:after="240"/>
        <w:jc w:val="center"/>
        <w:rPr>
          <w:b/>
          <w:lang w:val="fr-FR"/>
        </w:rPr>
      </w:pPr>
    </w:p>
    <w:p w14:paraId="078C715D" w14:textId="31E5AE9D" w:rsidR="00F745CE" w:rsidRDefault="00F745CE" w:rsidP="00B4447D">
      <w:pPr>
        <w:spacing w:after="240"/>
        <w:jc w:val="center"/>
        <w:rPr>
          <w:b/>
          <w:lang w:val="fr-FR"/>
        </w:rPr>
      </w:pPr>
    </w:p>
    <w:p w14:paraId="53688EDB" w14:textId="6D3D4EE2" w:rsidR="00F745CE" w:rsidRDefault="00F745CE" w:rsidP="00B4447D">
      <w:pPr>
        <w:spacing w:after="240"/>
        <w:jc w:val="center"/>
        <w:rPr>
          <w:b/>
          <w:lang w:val="fr-FR"/>
        </w:rPr>
      </w:pPr>
    </w:p>
    <w:p w14:paraId="64082072" w14:textId="26D1A86E" w:rsidR="00F745CE" w:rsidRDefault="00F745CE" w:rsidP="00B4447D">
      <w:pPr>
        <w:spacing w:after="240"/>
        <w:jc w:val="center"/>
        <w:rPr>
          <w:b/>
          <w:lang w:val="fr-FR"/>
        </w:rPr>
      </w:pPr>
    </w:p>
    <w:p w14:paraId="543756D5" w14:textId="77777777" w:rsidR="00F745CE" w:rsidRPr="006E3020" w:rsidRDefault="00F745CE" w:rsidP="00B4447D">
      <w:pPr>
        <w:spacing w:after="240"/>
        <w:jc w:val="center"/>
        <w:rPr>
          <w:b/>
          <w:lang w:val="fr-FR"/>
        </w:rPr>
      </w:pPr>
    </w:p>
    <w:p w14:paraId="64A620E3" w14:textId="77777777" w:rsidR="00B4447D" w:rsidRPr="006E3020" w:rsidRDefault="00B4447D" w:rsidP="00B4447D">
      <w:pPr>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893"/>
        <w:gridCol w:w="1893"/>
        <w:gridCol w:w="1893"/>
        <w:gridCol w:w="1787"/>
      </w:tblGrid>
      <w:tr w:rsidR="00B4447D" w:rsidRPr="006E3020" w14:paraId="3684951B" w14:textId="77777777" w:rsidTr="00C072C9">
        <w:tc>
          <w:tcPr>
            <w:tcW w:w="1807" w:type="dxa"/>
          </w:tcPr>
          <w:p w14:paraId="54487E4E" w14:textId="77777777" w:rsidR="00B4447D" w:rsidRPr="006E3020" w:rsidRDefault="00B4447D" w:rsidP="00C072C9">
            <w:pPr>
              <w:rPr>
                <w:lang w:val="fr-FR"/>
              </w:rPr>
            </w:pPr>
          </w:p>
        </w:tc>
        <w:tc>
          <w:tcPr>
            <w:tcW w:w="1915" w:type="dxa"/>
          </w:tcPr>
          <w:p w14:paraId="7C224801" w14:textId="77777777" w:rsidR="00B4447D" w:rsidRPr="006E3020" w:rsidRDefault="00B4447D" w:rsidP="00C072C9">
            <w:pPr>
              <w:rPr>
                <w:lang w:val="fr-FR"/>
              </w:rPr>
            </w:pPr>
          </w:p>
        </w:tc>
        <w:tc>
          <w:tcPr>
            <w:tcW w:w="1915" w:type="dxa"/>
            <w:tcBorders>
              <w:bottom w:val="single" w:sz="4" w:space="0" w:color="auto"/>
            </w:tcBorders>
          </w:tcPr>
          <w:p w14:paraId="4A314E1E" w14:textId="77777777" w:rsidR="00B4447D" w:rsidRPr="006E3020" w:rsidRDefault="00B4447D" w:rsidP="00C072C9">
            <w:pPr>
              <w:rPr>
                <w:lang w:val="fr-FR"/>
              </w:rPr>
            </w:pPr>
          </w:p>
        </w:tc>
        <w:tc>
          <w:tcPr>
            <w:tcW w:w="1915" w:type="dxa"/>
          </w:tcPr>
          <w:p w14:paraId="608EA332" w14:textId="77777777" w:rsidR="00B4447D" w:rsidRPr="006E3020" w:rsidRDefault="00B4447D" w:rsidP="00C072C9">
            <w:pPr>
              <w:rPr>
                <w:lang w:val="fr-FR"/>
              </w:rPr>
            </w:pPr>
          </w:p>
        </w:tc>
        <w:tc>
          <w:tcPr>
            <w:tcW w:w="1808" w:type="dxa"/>
          </w:tcPr>
          <w:p w14:paraId="5B17AE3F" w14:textId="77777777" w:rsidR="00B4447D" w:rsidRPr="006E3020" w:rsidRDefault="00B4447D" w:rsidP="00C072C9">
            <w:pPr>
              <w:rPr>
                <w:lang w:val="fr-FR"/>
              </w:rPr>
            </w:pPr>
          </w:p>
        </w:tc>
      </w:tr>
    </w:tbl>
    <w:p w14:paraId="17590E11" w14:textId="77777777" w:rsidR="00B4447D" w:rsidRPr="006E3020" w:rsidRDefault="00B4447D" w:rsidP="00B4447D">
      <w:pPr>
        <w:tabs>
          <w:tab w:val="left" w:pos="8280"/>
        </w:tabs>
        <w:rPr>
          <w:lang w:val="fr-FR"/>
        </w:rPr>
      </w:pPr>
    </w:p>
    <w:p w14:paraId="4E7D732C" w14:textId="77777777" w:rsidR="00B4447D" w:rsidRPr="006E3020" w:rsidRDefault="00B4447D" w:rsidP="00B4447D">
      <w:pPr>
        <w:tabs>
          <w:tab w:val="left" w:pos="8280"/>
        </w:tabs>
        <w:rPr>
          <w:lang w:val="fr-FR"/>
        </w:rPr>
      </w:pPr>
    </w:p>
    <w:p w14:paraId="25752BE9" w14:textId="77777777" w:rsidR="00441083" w:rsidRPr="006E3020" w:rsidRDefault="00441083">
      <w:pPr>
        <w:rPr>
          <w:lang w:val="fr-FR"/>
        </w:rPr>
      </w:pPr>
    </w:p>
    <w:sectPr w:rsidR="00441083" w:rsidRPr="006E3020">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176D" w14:textId="77777777" w:rsidR="00B4447D" w:rsidRDefault="00B4447D">
      <w:r>
        <w:separator/>
      </w:r>
    </w:p>
  </w:endnote>
  <w:endnote w:type="continuationSeparator" w:id="0">
    <w:p w14:paraId="2EF16117" w14:textId="77777777" w:rsidR="00B4447D" w:rsidRDefault="00B4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21AF" w14:textId="3CDE1E80" w:rsidR="00B4447D" w:rsidRPr="0033525D" w:rsidRDefault="00B4447D">
    <w:pPr>
      <w:jc w:val="center"/>
    </w:pPr>
    <w:r>
      <w:fldChar w:fldCharType="begin"/>
    </w:r>
    <w:r>
      <w:instrText xml:space="preserve"> PAGE </w:instrText>
    </w:r>
    <w:r>
      <w:fldChar w:fldCharType="separate"/>
    </w:r>
    <w:r w:rsidR="00D11F12">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3044" w14:textId="3812D1B4" w:rsidR="00B4447D" w:rsidRPr="0033525D" w:rsidRDefault="00B4447D">
    <w:pPr>
      <w:jc w:val="center"/>
    </w:pPr>
    <w:r>
      <w:fldChar w:fldCharType="begin"/>
    </w:r>
    <w:r>
      <w:instrText xml:space="preserve"> PAGE </w:instrText>
    </w:r>
    <w:r>
      <w:fldChar w:fldCharType="separate"/>
    </w:r>
    <w:r w:rsidR="00D11F12">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9CE5" w14:textId="70D2D455" w:rsidR="00B4447D" w:rsidRPr="00FA3111" w:rsidRDefault="00B4447D" w:rsidP="00445577">
    <w:pPr>
      <w:pBdr>
        <w:top w:val="single" w:sz="4" w:space="1" w:color="auto"/>
        <w:left w:val="single" w:sz="4" w:space="4" w:color="auto"/>
        <w:bottom w:val="single" w:sz="4" w:space="1" w:color="auto"/>
        <w:right w:val="single" w:sz="4" w:space="4" w:color="auto"/>
      </w:pBdr>
      <w:jc w:val="center"/>
      <w:rPr>
        <w:sz w:val="18"/>
        <w:szCs w:val="18"/>
        <w:lang w:val="fr-FR"/>
      </w:rPr>
    </w:pPr>
    <w:r w:rsidRPr="00FA3111">
      <w:rPr>
        <w:sz w:val="18"/>
        <w:szCs w:val="18"/>
        <w:lang w:val="fr-FR"/>
      </w:rPr>
      <w:t>Les documents de présession du Comité exécutif du Fonds multilatéral aux fins d’application du Protocole de Montréal sont</w:t>
    </w:r>
    <w:r w:rsidR="00FA3111">
      <w:rPr>
        <w:sz w:val="18"/>
        <w:szCs w:val="18"/>
        <w:lang w:val="fr-FR"/>
      </w:rPr>
      <w:t xml:space="preserve"> </w:t>
    </w:r>
    <w:r w:rsidRPr="00FA3111">
      <w:rPr>
        <w:sz w:val="18"/>
        <w:szCs w:val="18"/>
        <w:lang w:val="fr-FR"/>
      </w:rPr>
      <w:t>présentés sous réserve des décisions pouvant être prises par le Comité exécutif après leur publication.</w:t>
    </w:r>
  </w:p>
  <w:p w14:paraId="678AEA0F" w14:textId="77777777" w:rsidR="00B4447D" w:rsidRPr="00014F75" w:rsidRDefault="00B4447D">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6DA750AD" w14:textId="0B648A6A" w:rsidR="00441083" w:rsidRDefault="00E60D9C">
        <w:pPr>
          <w:pStyle w:val="Footer"/>
          <w:jc w:val="center"/>
        </w:pPr>
        <w:r>
          <w:fldChar w:fldCharType="begin"/>
        </w:r>
        <w:r>
          <w:instrText xml:space="preserve"> PAGE   \* MERGEFORMAT </w:instrText>
        </w:r>
        <w:r>
          <w:fldChar w:fldCharType="separate"/>
        </w:r>
        <w:r w:rsidR="00D11F12">
          <w:rPr>
            <w:noProof/>
          </w:rPr>
          <w:t>1</w:t>
        </w:r>
        <w:r>
          <w:rPr>
            <w:noProof/>
          </w:rPr>
          <w:fldChar w:fldCharType="end"/>
        </w:r>
      </w:p>
    </w:sdtContent>
  </w:sdt>
  <w:p w14:paraId="46CEE346" w14:textId="77777777"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2166" w14:textId="77777777" w:rsidR="00B4447D" w:rsidRDefault="00B4447D">
      <w:r>
        <w:separator/>
      </w:r>
    </w:p>
  </w:footnote>
  <w:footnote w:type="continuationSeparator" w:id="0">
    <w:p w14:paraId="29693011" w14:textId="77777777" w:rsidR="00B4447D" w:rsidRDefault="00B4447D">
      <w:r>
        <w:continuationSeparator/>
      </w:r>
    </w:p>
  </w:footnote>
  <w:footnote w:id="1">
    <w:p w14:paraId="3DB84663" w14:textId="7CCCFF8E" w:rsidR="00B4447D" w:rsidRDefault="00B4447D" w:rsidP="00B4447D">
      <w:pPr>
        <w:pStyle w:val="FootnoteText"/>
      </w:pPr>
      <w:r>
        <w:rPr>
          <w:rStyle w:val="FootnoteReference"/>
        </w:rPr>
        <w:footnoteRef/>
      </w:r>
      <w:r>
        <w:t xml:space="preserve"> Les enseignements tirés des rapports d’achèvement pour les accords plu</w:t>
      </w:r>
      <w:r w:rsidR="000B3CB0">
        <w:t>r</w:t>
      </w:r>
      <w:r>
        <w:t xml:space="preserve">iannuels sont disponibles dans la base de données correspondante, à l’adresse suivante : </w:t>
      </w:r>
      <w:hyperlink r:id="rId1" w:history="1">
        <w:r>
          <w:rPr>
            <w:rStyle w:val="Hyperlink"/>
          </w:rPr>
          <w:t>http://www.multilateralfund.org/myapcr/search.aspx</w:t>
        </w:r>
      </w:hyperlink>
    </w:p>
  </w:footnote>
  <w:footnote w:id="2">
    <w:p w14:paraId="617110EA" w14:textId="77777777" w:rsidR="00B4447D" w:rsidRDefault="00B4447D" w:rsidP="00B4447D">
      <w:pPr>
        <w:pStyle w:val="FootnoteText"/>
      </w:pPr>
      <w:r>
        <w:rPr>
          <w:rStyle w:val="FootnoteReference"/>
        </w:rPr>
        <w:footnoteRef/>
      </w:r>
      <w:r>
        <w:t xml:space="preserve"> </w:t>
      </w:r>
      <w:r>
        <w:rPr>
          <w:snapToGrid w:val="0"/>
        </w:rPr>
        <w:t>Ne comprenant pas la préparation de projets, les programmes de pays, les projets pluriannuels, le réseautage, les activités d’échange d’informations et les projets de renforcement des institutions.</w:t>
      </w:r>
    </w:p>
  </w:footnote>
  <w:footnote w:id="3">
    <w:p w14:paraId="49A2CFC0" w14:textId="77777777" w:rsidR="00B4447D" w:rsidRDefault="00B4447D" w:rsidP="00B4447D">
      <w:pPr>
        <w:pStyle w:val="FootnoteText"/>
      </w:pPr>
      <w:r>
        <w:rPr>
          <w:rStyle w:val="FootnoteReference"/>
        </w:rPr>
        <w:footnoteRef/>
      </w:r>
      <w:r>
        <w:t xml:space="preserve"> Comprenant les rapports d’achèvement de projets achevés et reçus des pays suivants : Afrique du Sud (1), Australie (25), Autriche (1), Danemark (1), Espagne (4), États-Unis d’Amérique (40), Finlande (5), Israël (2), Pologne (1), République tchèque (2), Suède (5) et Suisse (3).</w:t>
      </w:r>
    </w:p>
  </w:footnote>
  <w:footnote w:id="4">
    <w:p w14:paraId="0608E46D" w14:textId="77777777" w:rsidR="00B4447D" w:rsidRDefault="00B4447D" w:rsidP="00B4447D">
      <w:pPr>
        <w:pStyle w:val="FootnoteText"/>
      </w:pPr>
      <w:r>
        <w:rPr>
          <w:rStyle w:val="FootnoteReference"/>
        </w:rPr>
        <w:footnoteRef/>
      </w:r>
      <w:r>
        <w:t xml:space="preserve"> Les enseignements tirés des rapports d’achèvement de projets individuels sont disponibles dans la base de données correspondante, à l’adresse suivante : </w:t>
      </w:r>
      <w:hyperlink r:id="rId2" w:history="1">
        <w:r>
          <w:rPr>
            <w:rStyle w:val="Hyperlink"/>
          </w:rPr>
          <w:t>http://www.multilateralfund.org/pcrindividual/search.aspx</w:t>
        </w:r>
      </w:hyperlink>
    </w:p>
  </w:footnote>
  <w:footnote w:id="5">
    <w:p w14:paraId="1E2FDDC0" w14:textId="601C7739" w:rsidR="00B4447D" w:rsidRPr="002D07D1" w:rsidRDefault="00B4447D" w:rsidP="00B4447D">
      <w:pPr>
        <w:pStyle w:val="FootnoteText"/>
      </w:pPr>
      <w:r>
        <w:rPr>
          <w:rStyle w:val="FootnoteReference"/>
        </w:rPr>
        <w:footnoteRef/>
      </w:r>
      <w:r>
        <w:t xml:space="preserve"> L’Administrateur principal, Surveillance et évaluation, lors de la réunion de coordin</w:t>
      </w:r>
      <w:r w:rsidR="007058F9">
        <w:t>ation interagences (Montréal, 9</w:t>
      </w:r>
      <w:r w:rsidR="007058F9">
        <w:noBreakHyphen/>
      </w:r>
      <w:r>
        <w:t>11</w:t>
      </w:r>
      <w:r w:rsidR="00852D8F">
        <w:t> </w:t>
      </w:r>
      <w:r>
        <w:t>octobre 2019), a souligné à nouveau l’importance de soumettre tous les rapports d’achèvement de projet en souffrance, en notant que de nombreux projets sont achevés depuis plusieurs années et que des rapports périodiques et financiers doivent être remis jusqu’à la soumission des rapports d’achèvement, ce qui augmente la charge de travail du Comité exécutif, des agences d’exécution et du Secrétariat.</w:t>
      </w:r>
    </w:p>
  </w:footnote>
  <w:footnote w:id="6">
    <w:p w14:paraId="2D5AD269" w14:textId="62E30C67" w:rsidR="00B4447D" w:rsidRPr="002D07D1" w:rsidRDefault="00B4447D" w:rsidP="00B4447D">
      <w:pPr>
        <w:pStyle w:val="FootnoteText"/>
      </w:pPr>
      <w:r>
        <w:rPr>
          <w:rStyle w:val="FootnoteReference"/>
        </w:rPr>
        <w:footnoteRef/>
      </w:r>
      <w:r>
        <w:t xml:space="preserve"> Décision</w:t>
      </w:r>
      <w:r w:rsidR="00852D8F">
        <w:t> </w:t>
      </w:r>
      <w:r>
        <w:t>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E0D0" w14:textId="5B7DB9BB" w:rsidR="00B4447D" w:rsidRPr="0033525D" w:rsidRDefault="00613715">
    <w:fldSimple w:instr=" DOCPROPERTY &quot;Document number&quot;  \* MERGEFORMAT ">
      <w:r w:rsidR="00546604">
        <w:t>UNEP/OzL.Pro/ExCom/84/23</w:t>
      </w:r>
    </w:fldSimple>
  </w:p>
  <w:p w14:paraId="0A2B36CD" w14:textId="77777777" w:rsidR="00B4447D" w:rsidRPr="0033525D" w:rsidRDefault="00B4447D"/>
  <w:p w14:paraId="36E20288" w14:textId="77777777" w:rsidR="00B4447D" w:rsidRPr="0033525D" w:rsidRDefault="00B4447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D07D" w14:textId="77777777" w:rsidR="00B4447D" w:rsidRPr="0033525D" w:rsidRDefault="00613715">
    <w:pPr>
      <w:jc w:val="right"/>
    </w:pPr>
    <w:fldSimple w:instr=" DOCPROPERTY &quot;Document number&quot;  \* MERGEFORMAT ">
      <w:r w:rsidR="00B4447D">
        <w:t>UNEP/OzL.Pro/ExCom/84/23</w:t>
      </w:r>
    </w:fldSimple>
  </w:p>
  <w:p w14:paraId="51234146" w14:textId="77777777" w:rsidR="00B4447D" w:rsidRPr="0033525D" w:rsidRDefault="00B4447D"/>
  <w:p w14:paraId="508BE98E" w14:textId="77777777" w:rsidR="00B4447D" w:rsidRPr="0033525D" w:rsidRDefault="00B444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B6DF" w14:textId="216A95C9" w:rsidR="00441083" w:rsidRDefault="00613715">
    <w:pPr>
      <w:jc w:val="right"/>
    </w:pPr>
    <w:fldSimple w:instr=" DOCPROPERTY &quot;Document number&quot;  \* MERGEFORMAT ">
      <w:r w:rsidR="00546604">
        <w:t>UNEP/OzL.Pro/ExCom/84/23</w:t>
      </w:r>
    </w:fldSimple>
  </w:p>
  <w:p w14:paraId="6EB4361E" w14:textId="77777777" w:rsidR="00441083" w:rsidRDefault="00441083">
    <w:pPr>
      <w:jc w:val="right"/>
    </w:pPr>
  </w:p>
  <w:p w14:paraId="128D0414"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19"/>
  </w:num>
  <w:num w:numId="20">
    <w:abstractNumId w:val="15"/>
  </w:num>
  <w:num w:numId="21">
    <w:abstractNumId w:val="1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7D"/>
    <w:rsid w:val="00014F75"/>
    <w:rsid w:val="00091FB5"/>
    <w:rsid w:val="000B3CB0"/>
    <w:rsid w:val="000C3A38"/>
    <w:rsid w:val="000E5B34"/>
    <w:rsid w:val="000F6C8E"/>
    <w:rsid w:val="00114E08"/>
    <w:rsid w:val="001163F2"/>
    <w:rsid w:val="00123E2A"/>
    <w:rsid w:val="001277B4"/>
    <w:rsid w:val="0013475C"/>
    <w:rsid w:val="00145E7D"/>
    <w:rsid w:val="00163782"/>
    <w:rsid w:val="001640D8"/>
    <w:rsid w:val="0018138F"/>
    <w:rsid w:val="00190DF0"/>
    <w:rsid w:val="001C3D0C"/>
    <w:rsid w:val="001D4CE7"/>
    <w:rsid w:val="001E5FE3"/>
    <w:rsid w:val="00234B50"/>
    <w:rsid w:val="00244FC5"/>
    <w:rsid w:val="0025526A"/>
    <w:rsid w:val="00265AF0"/>
    <w:rsid w:val="002810EE"/>
    <w:rsid w:val="00283B9E"/>
    <w:rsid w:val="00286411"/>
    <w:rsid w:val="00297FA9"/>
    <w:rsid w:val="002F0B57"/>
    <w:rsid w:val="00332EDE"/>
    <w:rsid w:val="00340A08"/>
    <w:rsid w:val="00371F1F"/>
    <w:rsid w:val="00380C31"/>
    <w:rsid w:val="00382701"/>
    <w:rsid w:val="003A0CA4"/>
    <w:rsid w:val="003A0E27"/>
    <w:rsid w:val="003A4108"/>
    <w:rsid w:val="003C1D8E"/>
    <w:rsid w:val="003F3D36"/>
    <w:rsid w:val="00441083"/>
    <w:rsid w:val="004C2C87"/>
    <w:rsid w:val="004D17E7"/>
    <w:rsid w:val="004E3A36"/>
    <w:rsid w:val="004F0CF3"/>
    <w:rsid w:val="00502629"/>
    <w:rsid w:val="005068CC"/>
    <w:rsid w:val="00506937"/>
    <w:rsid w:val="00527355"/>
    <w:rsid w:val="00546604"/>
    <w:rsid w:val="005914F5"/>
    <w:rsid w:val="005A69EE"/>
    <w:rsid w:val="005B393B"/>
    <w:rsid w:val="005B3CAD"/>
    <w:rsid w:val="005C278F"/>
    <w:rsid w:val="00605093"/>
    <w:rsid w:val="00613715"/>
    <w:rsid w:val="00643938"/>
    <w:rsid w:val="00685EAC"/>
    <w:rsid w:val="006E3020"/>
    <w:rsid w:val="007034FA"/>
    <w:rsid w:val="007058F9"/>
    <w:rsid w:val="007143DB"/>
    <w:rsid w:val="00733443"/>
    <w:rsid w:val="007446C9"/>
    <w:rsid w:val="0075750B"/>
    <w:rsid w:val="00783B3C"/>
    <w:rsid w:val="007A6ECE"/>
    <w:rsid w:val="007B083F"/>
    <w:rsid w:val="007F3A02"/>
    <w:rsid w:val="00805D4C"/>
    <w:rsid w:val="008143CB"/>
    <w:rsid w:val="00815DED"/>
    <w:rsid w:val="00852D8F"/>
    <w:rsid w:val="008B693E"/>
    <w:rsid w:val="008C33DF"/>
    <w:rsid w:val="008C7F63"/>
    <w:rsid w:val="0091161A"/>
    <w:rsid w:val="00916F13"/>
    <w:rsid w:val="009433E3"/>
    <w:rsid w:val="00951D93"/>
    <w:rsid w:val="00972E99"/>
    <w:rsid w:val="00980EF0"/>
    <w:rsid w:val="009A5180"/>
    <w:rsid w:val="009F2D0E"/>
    <w:rsid w:val="00A31384"/>
    <w:rsid w:val="00AA4C6B"/>
    <w:rsid w:val="00AC013C"/>
    <w:rsid w:val="00AE0D76"/>
    <w:rsid w:val="00AE63D8"/>
    <w:rsid w:val="00AF7F80"/>
    <w:rsid w:val="00B21C09"/>
    <w:rsid w:val="00B34A29"/>
    <w:rsid w:val="00B4447D"/>
    <w:rsid w:val="00B811F2"/>
    <w:rsid w:val="00BC122F"/>
    <w:rsid w:val="00BC3C7D"/>
    <w:rsid w:val="00BE3341"/>
    <w:rsid w:val="00BE6F69"/>
    <w:rsid w:val="00C06975"/>
    <w:rsid w:val="00C13B0C"/>
    <w:rsid w:val="00C16261"/>
    <w:rsid w:val="00C165EF"/>
    <w:rsid w:val="00C43853"/>
    <w:rsid w:val="00C6443E"/>
    <w:rsid w:val="00C717F6"/>
    <w:rsid w:val="00C95548"/>
    <w:rsid w:val="00CB5EF9"/>
    <w:rsid w:val="00D11F12"/>
    <w:rsid w:val="00D25248"/>
    <w:rsid w:val="00D559D8"/>
    <w:rsid w:val="00D7654A"/>
    <w:rsid w:val="00D80A71"/>
    <w:rsid w:val="00DA4CDE"/>
    <w:rsid w:val="00DA4CF9"/>
    <w:rsid w:val="00DB0D1E"/>
    <w:rsid w:val="00DB2721"/>
    <w:rsid w:val="00DB4E64"/>
    <w:rsid w:val="00DD3433"/>
    <w:rsid w:val="00DE1BB3"/>
    <w:rsid w:val="00E148CF"/>
    <w:rsid w:val="00E20ECC"/>
    <w:rsid w:val="00E31277"/>
    <w:rsid w:val="00E348C6"/>
    <w:rsid w:val="00E437CA"/>
    <w:rsid w:val="00E50D8F"/>
    <w:rsid w:val="00E54871"/>
    <w:rsid w:val="00E60D9C"/>
    <w:rsid w:val="00EB2067"/>
    <w:rsid w:val="00F37A42"/>
    <w:rsid w:val="00F557F5"/>
    <w:rsid w:val="00F745CE"/>
    <w:rsid w:val="00F90918"/>
    <w:rsid w:val="00FA3111"/>
    <w:rsid w:val="00FB28FE"/>
    <w:rsid w:val="00FB407B"/>
    <w:rsid w:val="00FC0D87"/>
    <w:rsid w:val="00FC5578"/>
    <w:rsid w:val="00FD22FE"/>
    <w:rsid w:val="00FD55EA"/>
    <w:rsid w:val="00FE431D"/>
    <w:rsid w:val="00FF3C83"/>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0A95"/>
  <w15:docId w15:val="{43333356-7366-4CF1-A098-657265F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4447D"/>
    <w:rPr>
      <w:sz w:val="22"/>
      <w:szCs w:val="22"/>
      <w:lang w:val="en-GB"/>
    </w:rPr>
  </w:style>
  <w:style w:type="paragraph" w:styleId="FootnoteText">
    <w:name w:val="footnote text"/>
    <w:basedOn w:val="Normal"/>
    <w:link w:val="FootnoteTextChar"/>
    <w:uiPriority w:val="99"/>
    <w:semiHidden/>
    <w:unhideWhenUsed/>
    <w:rsid w:val="00B4447D"/>
    <w:rPr>
      <w:sz w:val="20"/>
      <w:szCs w:val="20"/>
      <w:lang w:val="fr-FR"/>
    </w:rPr>
  </w:style>
  <w:style w:type="character" w:customStyle="1" w:styleId="FootnoteTextChar">
    <w:name w:val="Footnote Text Char"/>
    <w:basedOn w:val="DefaultParagraphFont"/>
    <w:link w:val="FootnoteText"/>
    <w:uiPriority w:val="99"/>
    <w:semiHidden/>
    <w:rsid w:val="00B4447D"/>
    <w:rPr>
      <w:lang w:val="fr-FR"/>
    </w:rPr>
  </w:style>
  <w:style w:type="character" w:styleId="FootnoteReference">
    <w:name w:val="footnote reference"/>
    <w:basedOn w:val="DefaultParagraphFont"/>
    <w:uiPriority w:val="99"/>
    <w:semiHidden/>
    <w:unhideWhenUsed/>
    <w:rsid w:val="00B4447D"/>
    <w:rPr>
      <w:vertAlign w:val="superscript"/>
    </w:rPr>
  </w:style>
  <w:style w:type="paragraph" w:customStyle="1" w:styleId="lisa">
    <w:name w:val="lisa"/>
    <w:basedOn w:val="Normal"/>
    <w:rsid w:val="00B4447D"/>
    <w:pPr>
      <w:widowControl w:val="0"/>
      <w:numPr>
        <w:ilvl w:val="1"/>
        <w:numId w:val="24"/>
      </w:numPr>
      <w:spacing w:after="240"/>
      <w:outlineLvl w:val="1"/>
    </w:pPr>
    <w:rPr>
      <w:b/>
      <w:szCs w:val="24"/>
      <w:lang w:val="fr-FR"/>
    </w:rPr>
  </w:style>
  <w:style w:type="character" w:styleId="Hyperlink">
    <w:name w:val="Hyperlink"/>
    <w:basedOn w:val="DefaultParagraphFont"/>
    <w:uiPriority w:val="99"/>
    <w:semiHidden/>
    <w:unhideWhenUsed/>
    <w:rsid w:val="00B4447D"/>
    <w:rPr>
      <w:color w:val="0000FF"/>
      <w:u w:val="single"/>
    </w:rPr>
  </w:style>
  <w:style w:type="paragraph" w:customStyle="1" w:styleId="IIntroduction">
    <w:name w:val="I. Introduction"/>
    <w:basedOn w:val="Normal"/>
    <w:rsid w:val="00B4447D"/>
    <w:pPr>
      <w:numPr>
        <w:numId w:val="25"/>
      </w:numPr>
      <w:spacing w:before="240" w:after="240"/>
    </w:pPr>
    <w:rPr>
      <w:b/>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ultilateralfund.org/pcrindividual/search.aspx" TargetMode="External"/><Relationship Id="rId1" Type="http://schemas.openxmlformats.org/officeDocument/2006/relationships/hyperlink" Target="http://www.multilateralfund.org/pcrmy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ype xmlns="310e179b-1379-4e79-9b74-d5a32b1812d3">Pre-session</DocumentType>
    <Document_x0020_Number xmlns="8662b4aa-cf42-4f00-a3f0-9d3b4acad230">UNEP/OzL.Pro/ExCom/84/23</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CE7289-2B71-4A0B-9135-F825991E33E7}"/>
</file>

<file path=customXml/itemProps2.xml><?xml version="1.0" encoding="utf-8"?>
<ds:datastoreItem xmlns:ds="http://schemas.openxmlformats.org/officeDocument/2006/customXml" ds:itemID="{C0030FDB-7C2C-4E7E-A447-C3E9B55EA668}"/>
</file>

<file path=customXml/itemProps3.xml><?xml version="1.0" encoding="utf-8"?>
<ds:datastoreItem xmlns:ds="http://schemas.openxmlformats.org/officeDocument/2006/customXml" ds:itemID="{83095449-60F4-488D-9D0A-36041D2B0DA8}"/>
</file>

<file path=customXml/itemProps4.xml><?xml version="1.0" encoding="utf-8"?>
<ds:datastoreItem xmlns:ds="http://schemas.openxmlformats.org/officeDocument/2006/customXml" ds:itemID="{2B8A3617-0447-4D70-AB07-10F08512D744}"/>
</file>

<file path=docProps/app.xml><?xml version="1.0" encoding="utf-8"?>
<Properties xmlns="http://schemas.openxmlformats.org/officeDocument/2006/extended-properties" xmlns:vt="http://schemas.openxmlformats.org/officeDocument/2006/docPropsVTypes">
  <Template>normal</Template>
  <TotalTime>55</TotalTime>
  <Pages>11</Pages>
  <Words>4268</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Rapport global d'achèvement des projets de 2019</vt:lpstr>
    </vt:vector>
  </TitlesOfParts>
  <Company>UNMFS</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global d'achèvement des projets de 2019</dc:title>
  <dc:creator>fae-t</dc:creator>
  <cp:lastModifiedBy>HBE</cp:lastModifiedBy>
  <cp:revision>120</cp:revision>
  <cp:lastPrinted>2001-05-26T16:40:00Z</cp:lastPrinted>
  <dcterms:created xsi:type="dcterms:W3CDTF">2019-11-21T20:57:00Z</dcterms:created>
  <dcterms:modified xsi:type="dcterms:W3CDTF">2019-11-25T20:56:00Z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UNEP/OzL.Pro/ExCom/84/23</vt:lpwstr>
  </property>
  <property fmtid="{D5CDD505-2E9C-101B-9397-08002B2CF9AE}" pid="3" name="Revision date">
    <vt:lpwstr>11/15/2019</vt:lpwstr>
  </property>
  <property fmtid="{D5CDD505-2E9C-101B-9397-08002B2CF9AE}" pid="4" name="ContentTypeId">
    <vt:lpwstr>0x010100109683CADC4F284EA5F0B82357B5BF3A</vt:lpwstr>
  </property>
</Properties>
</file>