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432" w:type="dxa"/>
        <w:tblLayout w:type="fixed"/>
        <w:tblLook w:val="0000" w:firstRow="0" w:lastRow="0" w:firstColumn="0" w:lastColumn="0" w:noHBand="0" w:noVBand="0"/>
      </w:tblPr>
      <w:tblGrid>
        <w:gridCol w:w="2070"/>
        <w:gridCol w:w="4424"/>
        <w:gridCol w:w="3436"/>
      </w:tblGrid>
      <w:tr w:rsidR="0087455A" w:rsidRPr="008870C8" w14:paraId="7477FC94" w14:textId="77777777" w:rsidTr="004556EF">
        <w:trPr>
          <w:trHeight w:val="720"/>
        </w:trPr>
        <w:tc>
          <w:tcPr>
            <w:tcW w:w="6494" w:type="dxa"/>
            <w:gridSpan w:val="2"/>
            <w:tcBorders>
              <w:bottom w:val="single" w:sz="18" w:space="0" w:color="auto"/>
            </w:tcBorders>
          </w:tcPr>
          <w:p w14:paraId="65543C66" w14:textId="77777777" w:rsidR="0087455A" w:rsidRPr="008870C8" w:rsidRDefault="0024162E">
            <w:pPr>
              <w:rPr>
                <w:rFonts w:ascii="Univers" w:hAnsi="Univers"/>
                <w:b/>
                <w:sz w:val="28"/>
                <w:szCs w:val="28"/>
                <w:lang w:val="es-419"/>
              </w:rPr>
            </w:pPr>
            <w:r w:rsidRPr="008870C8">
              <w:rPr>
                <w:rFonts w:ascii="Univers" w:hAnsi="Univers"/>
                <w:b/>
                <w:sz w:val="28"/>
                <w:szCs w:val="28"/>
                <w:lang w:val="es-419"/>
              </w:rPr>
              <w:t>NACIONES</w:t>
            </w:r>
          </w:p>
          <w:p w14:paraId="6B9DFC14" w14:textId="77777777" w:rsidR="0087455A" w:rsidRPr="008870C8" w:rsidRDefault="0024162E">
            <w:pPr>
              <w:rPr>
                <w:rFonts w:ascii="Univers" w:hAnsi="Univers"/>
                <w:b/>
                <w:sz w:val="28"/>
                <w:szCs w:val="28"/>
                <w:lang w:val="es-419"/>
              </w:rPr>
            </w:pPr>
            <w:r w:rsidRPr="008870C8">
              <w:rPr>
                <w:rFonts w:ascii="Univers" w:hAnsi="Univers"/>
                <w:b/>
                <w:sz w:val="28"/>
                <w:szCs w:val="28"/>
                <w:lang w:val="es-419"/>
              </w:rPr>
              <w:t>UNIDAS</w:t>
            </w:r>
          </w:p>
        </w:tc>
        <w:tc>
          <w:tcPr>
            <w:tcW w:w="3436" w:type="dxa"/>
            <w:tcBorders>
              <w:bottom w:val="single" w:sz="18" w:space="0" w:color="auto"/>
            </w:tcBorders>
          </w:tcPr>
          <w:p w14:paraId="26DC821B" w14:textId="77777777" w:rsidR="0087455A" w:rsidRPr="008870C8" w:rsidRDefault="0024162E">
            <w:pPr>
              <w:jc w:val="right"/>
              <w:rPr>
                <w:rFonts w:asciiTheme="minorBidi" w:hAnsiTheme="minorBidi" w:cstheme="minorBidi"/>
                <w:sz w:val="52"/>
                <w:szCs w:val="52"/>
                <w:lang w:val="es-419"/>
              </w:rPr>
            </w:pPr>
            <w:r w:rsidRPr="008870C8">
              <w:rPr>
                <w:rFonts w:asciiTheme="minorBidi" w:hAnsiTheme="minorBidi" w:cstheme="minorBidi"/>
                <w:b/>
                <w:sz w:val="72"/>
                <w:lang w:val="es-419"/>
              </w:rPr>
              <w:t>EP</w:t>
            </w:r>
          </w:p>
        </w:tc>
      </w:tr>
      <w:tr w:rsidR="0087455A" w:rsidRPr="008870C8" w14:paraId="2BFEBCDE" w14:textId="77777777" w:rsidTr="00455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21B180" w14:textId="77777777" w:rsidR="0087455A" w:rsidRPr="008870C8" w:rsidRDefault="0024162E">
            <w:pPr>
              <w:spacing w:before="120"/>
              <w:rPr>
                <w:lang w:val="es-419"/>
              </w:rPr>
            </w:pPr>
            <w:bookmarkStart w:id="0" w:name="_GoBack"/>
            <w:r w:rsidRPr="008870C8">
              <w:rPr>
                <w:noProof/>
                <w:lang w:val="en-CA" w:eastAsia="en-CA"/>
              </w:rPr>
              <w:drawing>
                <wp:anchor distT="0" distB="0" distL="114300" distR="114300" simplePos="0" relativeHeight="251660288" behindDoc="0" locked="0" layoutInCell="1" allowOverlap="1" wp14:anchorId="5BFC1BC8" wp14:editId="0C073AF4">
                  <wp:simplePos x="0" y="0"/>
                  <wp:positionH relativeFrom="column">
                    <wp:posOffset>55469</wp:posOffset>
                  </wp:positionH>
                  <wp:positionV relativeFrom="paragraph">
                    <wp:posOffset>976256</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Pr="008870C8">
              <w:rPr>
                <w:noProof/>
                <w:lang w:val="en-CA" w:eastAsia="en-CA"/>
              </w:rPr>
              <w:drawing>
                <wp:anchor distT="0" distB="0" distL="114300" distR="114300" simplePos="0" relativeHeight="251661312" behindDoc="1" locked="0" layoutInCell="0" allowOverlap="1" wp14:anchorId="53B74B6D" wp14:editId="39D5831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9A35F88" w14:textId="77777777" w:rsidR="0087455A" w:rsidRPr="008870C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p>
          <w:p w14:paraId="4B94AAB0" w14:textId="77777777" w:rsidR="0087455A" w:rsidRPr="008870C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8870C8">
              <w:rPr>
                <w:rFonts w:ascii="Univers" w:hAnsi="Univers"/>
                <w:b/>
                <w:sz w:val="32"/>
                <w:lang w:val="es-419"/>
              </w:rPr>
              <w:t>Programa de las</w:t>
            </w:r>
          </w:p>
          <w:p w14:paraId="21650A51" w14:textId="77777777" w:rsidR="0087455A" w:rsidRPr="008870C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8870C8">
              <w:rPr>
                <w:rFonts w:ascii="Univers" w:hAnsi="Univers"/>
                <w:b/>
                <w:sz w:val="32"/>
                <w:lang w:val="es-419"/>
              </w:rPr>
              <w:t>Naciones Unidas</w:t>
            </w:r>
          </w:p>
          <w:p w14:paraId="3C4979E0" w14:textId="77777777" w:rsidR="0087455A" w:rsidRPr="008870C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8870C8">
              <w:rPr>
                <w:rFonts w:ascii="Univers" w:hAnsi="Univers"/>
                <w:b/>
                <w:sz w:val="32"/>
                <w:lang w:val="es-419"/>
              </w:rPr>
              <w:t>para el Medio Ambiente</w:t>
            </w:r>
          </w:p>
          <w:p w14:paraId="69D565E8" w14:textId="77777777" w:rsidR="0087455A" w:rsidRPr="008870C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419"/>
              </w:rPr>
            </w:pPr>
          </w:p>
          <w:p w14:paraId="3AB365D3" w14:textId="77777777" w:rsidR="0087455A" w:rsidRPr="008870C8" w:rsidRDefault="0087455A">
            <w:pPr>
              <w:spacing w:before="720"/>
              <w:ind w:left="158"/>
              <w:rPr>
                <w:lang w:val="es-419"/>
              </w:rPr>
            </w:pPr>
          </w:p>
        </w:tc>
        <w:tc>
          <w:tcPr>
            <w:tcW w:w="3436" w:type="dxa"/>
            <w:tcBorders>
              <w:top w:val="nil"/>
              <w:left w:val="nil"/>
              <w:bottom w:val="single" w:sz="36" w:space="0" w:color="auto"/>
              <w:right w:val="nil"/>
            </w:tcBorders>
          </w:tcPr>
          <w:p w14:paraId="0F5622C0" w14:textId="77777777" w:rsidR="0087455A" w:rsidRPr="008870C8" w:rsidRDefault="0087455A">
            <w:pPr>
              <w:rPr>
                <w:lang w:val="es-419"/>
              </w:rPr>
            </w:pPr>
          </w:p>
          <w:p w14:paraId="767FE415" w14:textId="77777777" w:rsidR="0087455A" w:rsidRPr="008870C8" w:rsidRDefault="0024162E">
            <w:pPr>
              <w:rPr>
                <w:lang w:val="es-419"/>
              </w:rPr>
            </w:pPr>
            <w:r w:rsidRPr="008870C8">
              <w:rPr>
                <w:lang w:val="es-419"/>
              </w:rPr>
              <w:t>Distr.</w:t>
            </w:r>
          </w:p>
          <w:p w14:paraId="235DECA5" w14:textId="77777777" w:rsidR="0087455A" w:rsidRPr="008870C8" w:rsidRDefault="0024162E">
            <w:pPr>
              <w:rPr>
                <w:lang w:val="es-419"/>
              </w:rPr>
            </w:pPr>
            <w:r w:rsidRPr="008870C8">
              <w:rPr>
                <w:lang w:val="es-419"/>
              </w:rPr>
              <w:t>GENERAL</w:t>
            </w:r>
          </w:p>
          <w:p w14:paraId="654C48E3" w14:textId="77777777" w:rsidR="0087455A" w:rsidRPr="008870C8" w:rsidRDefault="0087455A">
            <w:pPr>
              <w:rPr>
                <w:lang w:val="es-419"/>
              </w:rPr>
            </w:pPr>
          </w:p>
          <w:p w14:paraId="3A95093A" w14:textId="35C52D7A" w:rsidR="0087455A" w:rsidRPr="008870C8" w:rsidRDefault="0024162E">
            <w:pPr>
              <w:rPr>
                <w:lang w:val="es-419"/>
              </w:rPr>
            </w:pPr>
            <w:r w:rsidRPr="008870C8">
              <w:rPr>
                <w:lang w:val="es-419"/>
              </w:rPr>
              <w:fldChar w:fldCharType="begin"/>
            </w:r>
            <w:r w:rsidRPr="008870C8">
              <w:rPr>
                <w:lang w:val="es-419"/>
              </w:rPr>
              <w:instrText xml:space="preserve"> DOCPROPERTY "Document number"  \* MERGEFORMAT </w:instrText>
            </w:r>
            <w:r w:rsidRPr="008870C8">
              <w:rPr>
                <w:lang w:val="es-419"/>
              </w:rPr>
              <w:fldChar w:fldCharType="separate"/>
            </w:r>
            <w:r w:rsidR="004556EF">
              <w:rPr>
                <w:lang w:val="es-419"/>
              </w:rPr>
              <w:t>UNEP/OzL.Pro/ExCom/84/28</w:t>
            </w:r>
            <w:r w:rsidRPr="008870C8">
              <w:rPr>
                <w:lang w:val="es-419"/>
              </w:rPr>
              <w:fldChar w:fldCharType="end"/>
            </w:r>
          </w:p>
          <w:p w14:paraId="028FCAF8" w14:textId="28A4C756" w:rsidR="0087455A" w:rsidRPr="008870C8" w:rsidRDefault="001C2D22" w:rsidP="00F10CD9">
            <w:pPr>
              <w:rPr>
                <w:caps/>
                <w:lang w:val="es-419"/>
              </w:rPr>
            </w:pPr>
            <w:r w:rsidRPr="008870C8">
              <w:rPr>
                <w:caps/>
                <w:lang w:val="es-419"/>
              </w:rPr>
              <w:t>2</w:t>
            </w:r>
            <w:r w:rsidR="0081113A" w:rsidRPr="008870C8">
              <w:rPr>
                <w:caps/>
                <w:lang w:val="es-419"/>
              </w:rPr>
              <w:t>0</w:t>
            </w:r>
            <w:r w:rsidR="00114CAA" w:rsidRPr="008870C8">
              <w:rPr>
                <w:caps/>
                <w:lang w:val="es-419"/>
              </w:rPr>
              <w:t xml:space="preserve"> </w:t>
            </w:r>
            <w:r w:rsidR="00114CAA" w:rsidRPr="008870C8">
              <w:rPr>
                <w:lang w:val="es-419"/>
              </w:rPr>
              <w:t xml:space="preserve">de </w:t>
            </w:r>
            <w:r w:rsidR="0081113A" w:rsidRPr="008870C8">
              <w:rPr>
                <w:lang w:val="es-419"/>
              </w:rPr>
              <w:t>noviem</w:t>
            </w:r>
            <w:r w:rsidR="00F10CD9" w:rsidRPr="008870C8">
              <w:rPr>
                <w:lang w:val="es-419"/>
              </w:rPr>
              <w:t>bre</w:t>
            </w:r>
            <w:r w:rsidR="00114CAA" w:rsidRPr="008870C8">
              <w:rPr>
                <w:lang w:val="es-419"/>
              </w:rPr>
              <w:t xml:space="preserve"> de </w:t>
            </w:r>
            <w:r w:rsidRPr="008870C8">
              <w:rPr>
                <w:caps/>
                <w:lang w:val="es-419"/>
              </w:rPr>
              <w:t>2019</w:t>
            </w:r>
          </w:p>
          <w:p w14:paraId="616A37DA" w14:textId="77777777" w:rsidR="00114CAA" w:rsidRPr="008870C8" w:rsidRDefault="00114CAA">
            <w:pPr>
              <w:rPr>
                <w:caps/>
                <w:lang w:val="es-419"/>
              </w:rPr>
            </w:pPr>
          </w:p>
          <w:p w14:paraId="42ED8309" w14:textId="77777777" w:rsidR="0087455A" w:rsidRPr="008870C8" w:rsidRDefault="0024162E">
            <w:pPr>
              <w:rPr>
                <w:lang w:val="es-419"/>
              </w:rPr>
            </w:pPr>
            <w:r w:rsidRPr="008870C8">
              <w:rPr>
                <w:lang w:val="es-419"/>
              </w:rPr>
              <w:t xml:space="preserve">ESPAÑOL </w:t>
            </w:r>
          </w:p>
          <w:p w14:paraId="2CC8BCC6" w14:textId="77777777" w:rsidR="0087455A" w:rsidRPr="008870C8" w:rsidRDefault="0024162E">
            <w:pPr>
              <w:rPr>
                <w:lang w:val="es-419"/>
              </w:rPr>
            </w:pPr>
            <w:r w:rsidRPr="008870C8">
              <w:rPr>
                <w:lang w:val="es-419"/>
              </w:rPr>
              <w:t>ORIGINAL: INGLÉS</w:t>
            </w:r>
          </w:p>
        </w:tc>
      </w:tr>
    </w:tbl>
    <w:p w14:paraId="66A04851" w14:textId="77777777" w:rsidR="0087455A" w:rsidRPr="008870C8" w:rsidRDefault="0087455A">
      <w:pPr>
        <w:jc w:val="left"/>
        <w:rPr>
          <w:lang w:val="es-419"/>
        </w:rPr>
      </w:pPr>
    </w:p>
    <w:p w14:paraId="2E034A0E" w14:textId="77777777" w:rsidR="0087455A" w:rsidRPr="008870C8" w:rsidRDefault="0024162E">
      <w:pPr>
        <w:jc w:val="left"/>
        <w:rPr>
          <w:lang w:val="es-419"/>
        </w:rPr>
      </w:pPr>
      <w:r w:rsidRPr="008870C8">
        <w:rPr>
          <w:lang w:val="es-419"/>
        </w:rPr>
        <w:t>COMITÉ EJECUTIVO DEL FONDO MULTILATERAL</w:t>
      </w:r>
      <w:r w:rsidRPr="008870C8">
        <w:rPr>
          <w:lang w:val="es-419"/>
        </w:rPr>
        <w:br/>
        <w:t xml:space="preserve">  PARA LA APLICACIÓN DEL</w:t>
      </w:r>
      <w:r w:rsidRPr="008870C8">
        <w:rPr>
          <w:lang w:val="es-419"/>
        </w:rPr>
        <w:br/>
        <w:t xml:space="preserve">  PROTOCOLO DE MONTREAL</w:t>
      </w:r>
    </w:p>
    <w:p w14:paraId="4F3CD3E0" w14:textId="77777777" w:rsidR="00106F6E" w:rsidRPr="008870C8" w:rsidRDefault="00106F6E" w:rsidP="001F4047">
      <w:pPr>
        <w:jc w:val="left"/>
        <w:rPr>
          <w:lang w:val="es-419"/>
        </w:rPr>
      </w:pPr>
      <w:r w:rsidRPr="008870C8">
        <w:rPr>
          <w:lang w:val="es-419"/>
        </w:rPr>
        <w:t xml:space="preserve">Octogésima </w:t>
      </w:r>
      <w:r w:rsidR="003863A4" w:rsidRPr="008870C8">
        <w:rPr>
          <w:lang w:val="es-419"/>
        </w:rPr>
        <w:t>cuarta Reunión</w:t>
      </w:r>
      <w:r w:rsidR="003863A4" w:rsidRPr="008870C8">
        <w:rPr>
          <w:lang w:val="es-419"/>
        </w:rPr>
        <w:br/>
        <w:t xml:space="preserve">Montreal, 16 </w:t>
      </w:r>
      <w:r w:rsidRPr="008870C8">
        <w:rPr>
          <w:lang w:val="es-419"/>
        </w:rPr>
        <w:t xml:space="preserve">– </w:t>
      </w:r>
      <w:r w:rsidR="003863A4" w:rsidRPr="008870C8">
        <w:rPr>
          <w:lang w:val="es-419"/>
        </w:rPr>
        <w:t>20</w:t>
      </w:r>
      <w:r w:rsidRPr="008870C8">
        <w:rPr>
          <w:lang w:val="es-419"/>
        </w:rPr>
        <w:t xml:space="preserve"> de </w:t>
      </w:r>
      <w:r w:rsidR="001F4047" w:rsidRPr="008870C8">
        <w:rPr>
          <w:lang w:val="es-419"/>
        </w:rPr>
        <w:t>diciembre</w:t>
      </w:r>
      <w:r w:rsidR="001C2D22" w:rsidRPr="008870C8">
        <w:rPr>
          <w:lang w:val="es-419"/>
        </w:rPr>
        <w:t xml:space="preserve"> de 2019</w:t>
      </w:r>
    </w:p>
    <w:p w14:paraId="6B991B94" w14:textId="77777777" w:rsidR="00106F6E" w:rsidRPr="008870C8" w:rsidRDefault="00106F6E" w:rsidP="00106F6E">
      <w:pPr>
        <w:jc w:val="left"/>
        <w:rPr>
          <w:lang w:val="es-419"/>
        </w:rPr>
      </w:pPr>
    </w:p>
    <w:p w14:paraId="6BC3E97C" w14:textId="77777777" w:rsidR="0087455A" w:rsidRPr="008870C8" w:rsidRDefault="0087455A">
      <w:pPr>
        <w:jc w:val="left"/>
        <w:rPr>
          <w:lang w:val="es-419"/>
        </w:rPr>
      </w:pPr>
    </w:p>
    <w:p w14:paraId="4CB96165" w14:textId="06BBF8D4" w:rsidR="0081113A" w:rsidRPr="008870C8" w:rsidRDefault="001E29E0" w:rsidP="0081113A">
      <w:pPr>
        <w:pStyle w:val="Title2"/>
        <w:rPr>
          <w:caps w:val="0"/>
          <w:lang w:val="es-419"/>
        </w:rPr>
      </w:pPr>
      <w:r w:rsidRPr="008870C8">
        <w:rPr>
          <w:caps w:val="0"/>
          <w:lang w:val="es-419"/>
        </w:rPr>
        <w:t>PLAN ADMINISTRATIVO</w:t>
      </w:r>
      <w:r w:rsidR="0081113A" w:rsidRPr="008870C8">
        <w:rPr>
          <w:caps w:val="0"/>
          <w:lang w:val="es-419"/>
        </w:rPr>
        <w:t xml:space="preserve"> DEL PNUD PARA 2020-2022</w:t>
      </w:r>
    </w:p>
    <w:p w14:paraId="7EDA3688" w14:textId="57E4F8C1" w:rsidR="0081113A" w:rsidRDefault="0081113A" w:rsidP="0081113A">
      <w:pPr>
        <w:jc w:val="center"/>
        <w:rPr>
          <w:b/>
          <w:lang w:val="es-419"/>
        </w:rPr>
      </w:pPr>
    </w:p>
    <w:p w14:paraId="0627D857" w14:textId="77777777" w:rsidR="001E29E0" w:rsidRPr="008870C8" w:rsidRDefault="001E29E0" w:rsidP="0081113A">
      <w:pPr>
        <w:jc w:val="center"/>
        <w:rPr>
          <w:b/>
          <w:lang w:val="es-419"/>
        </w:rPr>
      </w:pPr>
    </w:p>
    <w:p w14:paraId="146AED41" w14:textId="77777777" w:rsidR="0081113A" w:rsidRPr="008870C8" w:rsidRDefault="0081113A" w:rsidP="0081113A">
      <w:pPr>
        <w:pStyle w:val="Heading1"/>
        <w:rPr>
          <w:lang w:val="es-419"/>
        </w:rPr>
      </w:pPr>
      <w:r w:rsidRPr="008870C8">
        <w:rPr>
          <w:lang w:val="es-419"/>
        </w:rPr>
        <w:t>Este documento presenta el plan administrativo del PNUD para 2020-2022</w:t>
      </w:r>
      <w:r w:rsidRPr="008870C8">
        <w:rPr>
          <w:rStyle w:val="FootnoteReference"/>
          <w:lang w:val="es-419"/>
        </w:rPr>
        <w:footnoteReference w:id="1"/>
      </w:r>
      <w:r w:rsidRPr="008870C8">
        <w:rPr>
          <w:lang w:val="es-419"/>
        </w:rPr>
        <w:t xml:space="preserve"> e incluye: las actividades planificadas para la eliminación de sustancias controladas en virtud del Protocolo de Montreal (sustancias controladas) durante el período 2020-2022; los indicadores de desempeño del plan administrativo; y recomendaciones para su examen por el Comité Ejecutivo. El texto del plan administrativo del PNUD para 2020-2022 se adjunta al presente documento.</w:t>
      </w:r>
    </w:p>
    <w:p w14:paraId="651C952D" w14:textId="77777777" w:rsidR="0081113A" w:rsidRPr="008870C8" w:rsidRDefault="0081113A" w:rsidP="0081113A">
      <w:pPr>
        <w:rPr>
          <w:b/>
          <w:lang w:val="es-419"/>
        </w:rPr>
      </w:pPr>
      <w:r w:rsidRPr="008870C8">
        <w:rPr>
          <w:b/>
          <w:lang w:val="es-419"/>
        </w:rPr>
        <w:t>Actividades planificadas durante 2020-2022</w:t>
      </w:r>
    </w:p>
    <w:p w14:paraId="1493D2E4" w14:textId="77777777" w:rsidR="0081113A" w:rsidRPr="008870C8" w:rsidRDefault="0081113A" w:rsidP="0081113A">
      <w:pPr>
        <w:rPr>
          <w:lang w:val="es-419"/>
        </w:rPr>
      </w:pPr>
    </w:p>
    <w:p w14:paraId="060E2BC1" w14:textId="77777777" w:rsidR="0081113A" w:rsidRPr="008870C8" w:rsidRDefault="0081113A" w:rsidP="0081113A">
      <w:pPr>
        <w:pStyle w:val="Heading1"/>
        <w:rPr>
          <w:lang w:val="es-419"/>
        </w:rPr>
      </w:pPr>
      <w:r w:rsidRPr="008870C8">
        <w:rPr>
          <w:lang w:val="es-419"/>
        </w:rPr>
        <w:t>En la tabla 1 se establece el valor anual de las actividades incluidas en el plan administrativo del PNUD.</w:t>
      </w:r>
    </w:p>
    <w:p w14:paraId="68B1440E" w14:textId="77777777" w:rsidR="0081113A" w:rsidRPr="008870C8" w:rsidRDefault="0081113A" w:rsidP="0081113A">
      <w:pPr>
        <w:pStyle w:val="subhead"/>
        <w:keepNext/>
        <w:jc w:val="both"/>
        <w:rPr>
          <w:b/>
          <w:sz w:val="22"/>
          <w:szCs w:val="22"/>
          <w:lang w:val="es-419"/>
        </w:rPr>
      </w:pPr>
      <w:r w:rsidRPr="008870C8">
        <w:rPr>
          <w:b/>
          <w:sz w:val="22"/>
          <w:szCs w:val="22"/>
          <w:lang w:val="es-419"/>
        </w:rPr>
        <w:t>Tabla 1. Asignación de recursos en el plan administrativo del PNUD para 2020-2022 tal como se presentó (en miles $EUA)*</w:t>
      </w:r>
    </w:p>
    <w:tbl>
      <w:tblPr>
        <w:tblW w:w="9634" w:type="dxa"/>
        <w:tblLook w:val="04A0" w:firstRow="1" w:lastRow="0" w:firstColumn="1" w:lastColumn="0" w:noHBand="0" w:noVBand="1"/>
      </w:tblPr>
      <w:tblGrid>
        <w:gridCol w:w="3397"/>
        <w:gridCol w:w="1134"/>
        <w:gridCol w:w="1134"/>
        <w:gridCol w:w="1134"/>
        <w:gridCol w:w="1660"/>
        <w:gridCol w:w="1175"/>
      </w:tblGrid>
      <w:tr w:rsidR="0081113A" w:rsidRPr="008870C8" w14:paraId="6B08BE03" w14:textId="77777777" w:rsidTr="00F45A7F">
        <w:trPr>
          <w:trHeight w:val="236"/>
          <w:tblHead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38CCF15" w14:textId="77777777" w:rsidR="0081113A" w:rsidRPr="008870C8" w:rsidRDefault="0081113A" w:rsidP="00F45A7F">
            <w:pPr>
              <w:jc w:val="center"/>
              <w:rPr>
                <w:b/>
                <w:bCs/>
                <w:sz w:val="20"/>
                <w:szCs w:val="20"/>
                <w:lang w:val="es-419"/>
              </w:rPr>
            </w:pPr>
            <w:r w:rsidRPr="008870C8">
              <w:rPr>
                <w:b/>
                <w:bCs/>
                <w:sz w:val="20"/>
                <w:szCs w:val="20"/>
                <w:lang w:val="es-419"/>
              </w:rPr>
              <w:t> </w:t>
            </w:r>
          </w:p>
        </w:tc>
        <w:tc>
          <w:tcPr>
            <w:tcW w:w="1134" w:type="dxa"/>
            <w:tcBorders>
              <w:top w:val="single" w:sz="4" w:space="0" w:color="auto"/>
              <w:left w:val="nil"/>
              <w:bottom w:val="single" w:sz="4" w:space="0" w:color="auto"/>
              <w:right w:val="single" w:sz="4" w:space="0" w:color="auto"/>
            </w:tcBorders>
            <w:shd w:val="clear" w:color="auto" w:fill="auto"/>
            <w:hideMark/>
          </w:tcPr>
          <w:p w14:paraId="7BF15E73" w14:textId="77777777" w:rsidR="0081113A" w:rsidRPr="008870C8" w:rsidRDefault="0081113A" w:rsidP="00F45A7F">
            <w:pPr>
              <w:jc w:val="center"/>
              <w:rPr>
                <w:b/>
                <w:bCs/>
                <w:sz w:val="20"/>
                <w:szCs w:val="20"/>
                <w:lang w:val="es-419"/>
              </w:rPr>
            </w:pPr>
            <w:r w:rsidRPr="008870C8">
              <w:rPr>
                <w:b/>
                <w:bCs/>
                <w:sz w:val="20"/>
                <w:szCs w:val="20"/>
                <w:lang w:val="es-419"/>
              </w:rPr>
              <w:t>2020</w:t>
            </w:r>
          </w:p>
        </w:tc>
        <w:tc>
          <w:tcPr>
            <w:tcW w:w="1134" w:type="dxa"/>
            <w:tcBorders>
              <w:top w:val="single" w:sz="4" w:space="0" w:color="auto"/>
              <w:left w:val="nil"/>
              <w:bottom w:val="single" w:sz="4" w:space="0" w:color="auto"/>
              <w:right w:val="single" w:sz="4" w:space="0" w:color="auto"/>
            </w:tcBorders>
            <w:shd w:val="clear" w:color="auto" w:fill="auto"/>
            <w:hideMark/>
          </w:tcPr>
          <w:p w14:paraId="75C14B80" w14:textId="77777777" w:rsidR="0081113A" w:rsidRPr="008870C8" w:rsidRDefault="0081113A" w:rsidP="00F45A7F">
            <w:pPr>
              <w:jc w:val="center"/>
              <w:rPr>
                <w:b/>
                <w:bCs/>
                <w:sz w:val="20"/>
                <w:szCs w:val="20"/>
                <w:lang w:val="es-419"/>
              </w:rPr>
            </w:pPr>
            <w:r w:rsidRPr="008870C8">
              <w:rPr>
                <w:b/>
                <w:bCs/>
                <w:sz w:val="20"/>
                <w:szCs w:val="20"/>
                <w:lang w:val="es-419"/>
              </w:rPr>
              <w:t>2021</w:t>
            </w:r>
          </w:p>
        </w:tc>
        <w:tc>
          <w:tcPr>
            <w:tcW w:w="1134" w:type="dxa"/>
            <w:tcBorders>
              <w:top w:val="single" w:sz="4" w:space="0" w:color="auto"/>
              <w:left w:val="nil"/>
              <w:bottom w:val="single" w:sz="4" w:space="0" w:color="auto"/>
              <w:right w:val="single" w:sz="4" w:space="0" w:color="auto"/>
            </w:tcBorders>
            <w:shd w:val="clear" w:color="auto" w:fill="auto"/>
            <w:hideMark/>
          </w:tcPr>
          <w:p w14:paraId="137A52BB" w14:textId="77777777" w:rsidR="0081113A" w:rsidRPr="008870C8" w:rsidRDefault="0081113A" w:rsidP="00F45A7F">
            <w:pPr>
              <w:jc w:val="center"/>
              <w:rPr>
                <w:b/>
                <w:bCs/>
                <w:sz w:val="20"/>
                <w:szCs w:val="20"/>
                <w:lang w:val="es-419"/>
              </w:rPr>
            </w:pPr>
            <w:r w:rsidRPr="008870C8">
              <w:rPr>
                <w:b/>
                <w:bCs/>
                <w:sz w:val="20"/>
                <w:szCs w:val="20"/>
                <w:lang w:val="es-419"/>
              </w:rPr>
              <w:t>2022</w:t>
            </w:r>
          </w:p>
        </w:tc>
        <w:tc>
          <w:tcPr>
            <w:tcW w:w="1660" w:type="dxa"/>
            <w:tcBorders>
              <w:top w:val="single" w:sz="4" w:space="0" w:color="auto"/>
              <w:left w:val="nil"/>
              <w:bottom w:val="single" w:sz="4" w:space="0" w:color="auto"/>
              <w:right w:val="single" w:sz="4" w:space="0" w:color="auto"/>
            </w:tcBorders>
            <w:shd w:val="clear" w:color="auto" w:fill="auto"/>
            <w:hideMark/>
          </w:tcPr>
          <w:p w14:paraId="56C492B2" w14:textId="77777777" w:rsidR="0081113A" w:rsidRPr="008870C8" w:rsidRDefault="0081113A" w:rsidP="00F45A7F">
            <w:pPr>
              <w:jc w:val="center"/>
              <w:rPr>
                <w:b/>
                <w:bCs/>
                <w:sz w:val="20"/>
                <w:szCs w:val="20"/>
                <w:lang w:val="es-419"/>
              </w:rPr>
            </w:pPr>
            <w:r w:rsidRPr="008870C8">
              <w:rPr>
                <w:b/>
                <w:bCs/>
                <w:sz w:val="20"/>
                <w:szCs w:val="20"/>
                <w:lang w:val="es-419"/>
              </w:rPr>
              <w:t xml:space="preserve">Total </w:t>
            </w:r>
          </w:p>
          <w:p w14:paraId="4E3C8A6F" w14:textId="77777777" w:rsidR="0081113A" w:rsidRPr="008870C8" w:rsidRDefault="0081113A" w:rsidP="00F45A7F">
            <w:pPr>
              <w:jc w:val="center"/>
              <w:rPr>
                <w:b/>
                <w:bCs/>
                <w:sz w:val="20"/>
                <w:szCs w:val="20"/>
                <w:lang w:val="es-419"/>
              </w:rPr>
            </w:pPr>
            <w:r w:rsidRPr="008870C8">
              <w:rPr>
                <w:b/>
                <w:bCs/>
                <w:sz w:val="20"/>
                <w:szCs w:val="20"/>
                <w:lang w:val="es-419"/>
              </w:rPr>
              <w:t>(2020 -2022)</w:t>
            </w:r>
          </w:p>
        </w:tc>
        <w:tc>
          <w:tcPr>
            <w:tcW w:w="1175" w:type="dxa"/>
            <w:tcBorders>
              <w:top w:val="single" w:sz="4" w:space="0" w:color="auto"/>
              <w:left w:val="nil"/>
              <w:bottom w:val="single" w:sz="4" w:space="0" w:color="auto"/>
              <w:right w:val="single" w:sz="4" w:space="0" w:color="auto"/>
            </w:tcBorders>
            <w:shd w:val="clear" w:color="auto" w:fill="auto"/>
            <w:hideMark/>
          </w:tcPr>
          <w:p w14:paraId="0397A104" w14:textId="77777777" w:rsidR="0081113A" w:rsidRPr="008870C8" w:rsidRDefault="0081113A" w:rsidP="00F45A7F">
            <w:pPr>
              <w:jc w:val="center"/>
              <w:rPr>
                <w:b/>
                <w:bCs/>
                <w:sz w:val="20"/>
                <w:szCs w:val="20"/>
                <w:lang w:val="es-419"/>
              </w:rPr>
            </w:pPr>
            <w:r w:rsidRPr="008870C8">
              <w:rPr>
                <w:b/>
                <w:bCs/>
                <w:sz w:val="20"/>
                <w:szCs w:val="20"/>
                <w:lang w:val="es-419"/>
              </w:rPr>
              <w:t>Total después de 2022</w:t>
            </w:r>
          </w:p>
        </w:tc>
      </w:tr>
      <w:tr w:rsidR="0081113A" w:rsidRPr="001E29E0" w14:paraId="2DA60A34" w14:textId="77777777" w:rsidTr="00F45A7F">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96E75B2" w14:textId="77777777" w:rsidR="0081113A" w:rsidRPr="008870C8" w:rsidRDefault="0081113A" w:rsidP="00F45A7F">
            <w:pPr>
              <w:jc w:val="left"/>
              <w:rPr>
                <w:b/>
                <w:bCs/>
                <w:sz w:val="20"/>
                <w:szCs w:val="20"/>
                <w:lang w:val="es-419"/>
              </w:rPr>
            </w:pPr>
            <w:r w:rsidRPr="008870C8">
              <w:rPr>
                <w:b/>
                <w:bCs/>
                <w:sz w:val="20"/>
                <w:szCs w:val="20"/>
                <w:lang w:val="es-419"/>
              </w:rPr>
              <w:t>Actividades relativas a los HCFC</w:t>
            </w:r>
          </w:p>
        </w:tc>
      </w:tr>
      <w:tr w:rsidR="0081113A" w:rsidRPr="008870C8" w14:paraId="4C93EB38"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55E22CE1" w14:textId="77777777" w:rsidR="0081113A" w:rsidRPr="008870C8" w:rsidRDefault="0081113A" w:rsidP="00F45A7F">
            <w:pPr>
              <w:jc w:val="left"/>
              <w:rPr>
                <w:sz w:val="20"/>
                <w:szCs w:val="20"/>
                <w:lang w:val="es-419"/>
              </w:rPr>
            </w:pPr>
            <w:r w:rsidRPr="008870C8">
              <w:rPr>
                <w:sz w:val="20"/>
                <w:szCs w:val="20"/>
                <w:lang w:val="es-419"/>
              </w:rPr>
              <w:t>Planes de gestión de la eliminación de los HCFC (PGEH) aprobados</w:t>
            </w:r>
          </w:p>
        </w:tc>
        <w:tc>
          <w:tcPr>
            <w:tcW w:w="1134" w:type="dxa"/>
            <w:tcBorders>
              <w:top w:val="nil"/>
              <w:left w:val="nil"/>
              <w:bottom w:val="single" w:sz="4" w:space="0" w:color="auto"/>
              <w:right w:val="single" w:sz="4" w:space="0" w:color="auto"/>
            </w:tcBorders>
            <w:shd w:val="clear" w:color="auto" w:fill="auto"/>
            <w:noWrap/>
            <w:hideMark/>
          </w:tcPr>
          <w:p w14:paraId="60E09239" w14:textId="77777777" w:rsidR="0081113A" w:rsidRPr="008870C8" w:rsidRDefault="0081113A" w:rsidP="00F45A7F">
            <w:pPr>
              <w:jc w:val="right"/>
              <w:rPr>
                <w:sz w:val="20"/>
                <w:szCs w:val="20"/>
                <w:lang w:val="es-419"/>
              </w:rPr>
            </w:pPr>
            <w:r w:rsidRPr="008870C8">
              <w:rPr>
                <w:sz w:val="20"/>
                <w:szCs w:val="20"/>
                <w:lang w:val="es-419"/>
              </w:rPr>
              <w:t>48 971</w:t>
            </w:r>
          </w:p>
        </w:tc>
        <w:tc>
          <w:tcPr>
            <w:tcW w:w="1134" w:type="dxa"/>
            <w:tcBorders>
              <w:top w:val="nil"/>
              <w:left w:val="nil"/>
              <w:bottom w:val="single" w:sz="4" w:space="0" w:color="auto"/>
              <w:right w:val="single" w:sz="4" w:space="0" w:color="auto"/>
            </w:tcBorders>
            <w:shd w:val="clear" w:color="auto" w:fill="auto"/>
            <w:noWrap/>
            <w:hideMark/>
          </w:tcPr>
          <w:p w14:paraId="2256706C" w14:textId="77777777" w:rsidR="0081113A" w:rsidRPr="008870C8" w:rsidRDefault="0081113A" w:rsidP="00F45A7F">
            <w:pPr>
              <w:jc w:val="right"/>
              <w:rPr>
                <w:sz w:val="20"/>
                <w:szCs w:val="20"/>
                <w:lang w:val="es-419"/>
              </w:rPr>
            </w:pPr>
            <w:r w:rsidRPr="008870C8">
              <w:rPr>
                <w:sz w:val="20"/>
                <w:szCs w:val="20"/>
                <w:lang w:val="es-419"/>
              </w:rPr>
              <w:t>31 394</w:t>
            </w:r>
          </w:p>
        </w:tc>
        <w:tc>
          <w:tcPr>
            <w:tcW w:w="1134" w:type="dxa"/>
            <w:tcBorders>
              <w:top w:val="nil"/>
              <w:left w:val="nil"/>
              <w:bottom w:val="single" w:sz="4" w:space="0" w:color="auto"/>
              <w:right w:val="single" w:sz="4" w:space="0" w:color="auto"/>
            </w:tcBorders>
            <w:shd w:val="clear" w:color="auto" w:fill="auto"/>
            <w:noWrap/>
            <w:hideMark/>
          </w:tcPr>
          <w:p w14:paraId="69239F4C" w14:textId="77777777" w:rsidR="0081113A" w:rsidRPr="008870C8" w:rsidRDefault="0081113A" w:rsidP="00F45A7F">
            <w:pPr>
              <w:jc w:val="right"/>
              <w:rPr>
                <w:sz w:val="20"/>
                <w:szCs w:val="20"/>
                <w:lang w:val="es-419"/>
              </w:rPr>
            </w:pPr>
            <w:r w:rsidRPr="008870C8">
              <w:rPr>
                <w:sz w:val="20"/>
                <w:szCs w:val="20"/>
                <w:lang w:val="es-419"/>
              </w:rPr>
              <w:t>38 467</w:t>
            </w:r>
          </w:p>
        </w:tc>
        <w:tc>
          <w:tcPr>
            <w:tcW w:w="1660" w:type="dxa"/>
            <w:tcBorders>
              <w:top w:val="nil"/>
              <w:left w:val="nil"/>
              <w:bottom w:val="single" w:sz="4" w:space="0" w:color="auto"/>
              <w:right w:val="single" w:sz="4" w:space="0" w:color="auto"/>
            </w:tcBorders>
            <w:shd w:val="clear" w:color="auto" w:fill="auto"/>
            <w:noWrap/>
            <w:hideMark/>
          </w:tcPr>
          <w:p w14:paraId="16A30C11" w14:textId="77777777" w:rsidR="0081113A" w:rsidRPr="008870C8" w:rsidRDefault="0081113A" w:rsidP="00F45A7F">
            <w:pPr>
              <w:jc w:val="right"/>
              <w:rPr>
                <w:sz w:val="20"/>
                <w:szCs w:val="20"/>
                <w:lang w:val="es-419"/>
              </w:rPr>
            </w:pPr>
            <w:r w:rsidRPr="008870C8">
              <w:rPr>
                <w:sz w:val="20"/>
                <w:szCs w:val="20"/>
                <w:lang w:val="es-419"/>
              </w:rPr>
              <w:t>118 832</w:t>
            </w:r>
          </w:p>
        </w:tc>
        <w:tc>
          <w:tcPr>
            <w:tcW w:w="1175" w:type="dxa"/>
            <w:tcBorders>
              <w:top w:val="nil"/>
              <w:left w:val="nil"/>
              <w:bottom w:val="single" w:sz="4" w:space="0" w:color="auto"/>
              <w:right w:val="single" w:sz="4" w:space="0" w:color="auto"/>
            </w:tcBorders>
            <w:shd w:val="clear" w:color="auto" w:fill="auto"/>
            <w:noWrap/>
            <w:hideMark/>
          </w:tcPr>
          <w:p w14:paraId="08129968" w14:textId="77777777" w:rsidR="0081113A" w:rsidRPr="008870C8" w:rsidRDefault="0081113A" w:rsidP="00F45A7F">
            <w:pPr>
              <w:jc w:val="right"/>
              <w:rPr>
                <w:sz w:val="20"/>
                <w:szCs w:val="20"/>
                <w:lang w:val="es-419"/>
              </w:rPr>
            </w:pPr>
            <w:r w:rsidRPr="008870C8">
              <w:rPr>
                <w:sz w:val="20"/>
                <w:szCs w:val="20"/>
                <w:lang w:val="es-419"/>
              </w:rPr>
              <w:t>2 571</w:t>
            </w:r>
          </w:p>
        </w:tc>
      </w:tr>
      <w:tr w:rsidR="0081113A" w:rsidRPr="008870C8" w14:paraId="303FA285"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61B3A546" w14:textId="77777777" w:rsidR="0081113A" w:rsidRPr="008870C8" w:rsidRDefault="0081113A" w:rsidP="00F45A7F">
            <w:pPr>
              <w:jc w:val="left"/>
              <w:rPr>
                <w:sz w:val="20"/>
                <w:szCs w:val="20"/>
                <w:lang w:val="es-419"/>
              </w:rPr>
            </w:pPr>
            <w:r w:rsidRPr="008870C8">
              <w:rPr>
                <w:sz w:val="20"/>
                <w:szCs w:val="20"/>
                <w:lang w:val="es-419"/>
              </w:rPr>
              <w:t>Preparación de proyectos de los PGEH – etapa II</w:t>
            </w:r>
          </w:p>
        </w:tc>
        <w:tc>
          <w:tcPr>
            <w:tcW w:w="1134" w:type="dxa"/>
            <w:tcBorders>
              <w:top w:val="nil"/>
              <w:left w:val="nil"/>
              <w:bottom w:val="single" w:sz="4" w:space="0" w:color="auto"/>
              <w:right w:val="single" w:sz="4" w:space="0" w:color="auto"/>
            </w:tcBorders>
            <w:shd w:val="clear" w:color="auto" w:fill="auto"/>
            <w:noWrap/>
            <w:hideMark/>
          </w:tcPr>
          <w:p w14:paraId="43D857C7" w14:textId="77777777" w:rsidR="0081113A" w:rsidRPr="008870C8" w:rsidRDefault="0081113A" w:rsidP="00F45A7F">
            <w:pPr>
              <w:jc w:val="right"/>
              <w:rPr>
                <w:sz w:val="20"/>
                <w:szCs w:val="20"/>
                <w:lang w:val="es-419"/>
              </w:rPr>
            </w:pPr>
            <w:r w:rsidRPr="008870C8">
              <w:rPr>
                <w:sz w:val="20"/>
                <w:szCs w:val="20"/>
                <w:lang w:val="es-419"/>
              </w:rPr>
              <w:t>10</w:t>
            </w:r>
          </w:p>
        </w:tc>
        <w:tc>
          <w:tcPr>
            <w:tcW w:w="1134" w:type="dxa"/>
            <w:tcBorders>
              <w:top w:val="nil"/>
              <w:left w:val="nil"/>
              <w:bottom w:val="single" w:sz="4" w:space="0" w:color="auto"/>
              <w:right w:val="single" w:sz="4" w:space="0" w:color="auto"/>
            </w:tcBorders>
            <w:shd w:val="clear" w:color="auto" w:fill="auto"/>
            <w:noWrap/>
            <w:hideMark/>
          </w:tcPr>
          <w:p w14:paraId="5DAC55F7"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376ADB6B" w14:textId="77777777" w:rsidR="0081113A" w:rsidRPr="008870C8" w:rsidRDefault="0081113A" w:rsidP="00F45A7F">
            <w:pPr>
              <w:jc w:val="right"/>
              <w:rPr>
                <w:sz w:val="20"/>
                <w:szCs w:val="20"/>
                <w:lang w:val="es-419"/>
              </w:rPr>
            </w:pPr>
            <w:r w:rsidRPr="008870C8">
              <w:rPr>
                <w:sz w:val="20"/>
                <w:szCs w:val="20"/>
                <w:lang w:val="es-419"/>
              </w:rPr>
              <w:t>0</w:t>
            </w:r>
          </w:p>
        </w:tc>
        <w:tc>
          <w:tcPr>
            <w:tcW w:w="1660" w:type="dxa"/>
            <w:tcBorders>
              <w:top w:val="nil"/>
              <w:left w:val="nil"/>
              <w:bottom w:val="single" w:sz="4" w:space="0" w:color="auto"/>
              <w:right w:val="single" w:sz="4" w:space="0" w:color="auto"/>
            </w:tcBorders>
            <w:shd w:val="clear" w:color="auto" w:fill="auto"/>
            <w:noWrap/>
            <w:hideMark/>
          </w:tcPr>
          <w:p w14:paraId="197066EC" w14:textId="77777777" w:rsidR="0081113A" w:rsidRPr="008870C8" w:rsidRDefault="0081113A" w:rsidP="00F45A7F">
            <w:pPr>
              <w:jc w:val="right"/>
              <w:rPr>
                <w:sz w:val="20"/>
                <w:szCs w:val="20"/>
                <w:lang w:val="es-419"/>
              </w:rPr>
            </w:pPr>
            <w:r w:rsidRPr="008870C8">
              <w:rPr>
                <w:sz w:val="20"/>
                <w:szCs w:val="20"/>
                <w:lang w:val="es-419"/>
              </w:rPr>
              <w:t>10</w:t>
            </w:r>
          </w:p>
        </w:tc>
        <w:tc>
          <w:tcPr>
            <w:tcW w:w="1175" w:type="dxa"/>
            <w:tcBorders>
              <w:top w:val="nil"/>
              <w:left w:val="nil"/>
              <w:bottom w:val="single" w:sz="4" w:space="0" w:color="auto"/>
              <w:right w:val="single" w:sz="4" w:space="0" w:color="auto"/>
            </w:tcBorders>
            <w:shd w:val="clear" w:color="auto" w:fill="auto"/>
            <w:noWrap/>
            <w:hideMark/>
          </w:tcPr>
          <w:p w14:paraId="0829376A"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6338E628"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144A86F6" w14:textId="77777777" w:rsidR="0081113A" w:rsidRPr="008870C8" w:rsidRDefault="0081113A" w:rsidP="00F45A7F">
            <w:pPr>
              <w:jc w:val="left"/>
              <w:rPr>
                <w:sz w:val="20"/>
                <w:szCs w:val="20"/>
                <w:lang w:val="es-419"/>
              </w:rPr>
            </w:pPr>
            <w:r w:rsidRPr="008870C8">
              <w:rPr>
                <w:sz w:val="20"/>
                <w:szCs w:val="20"/>
                <w:lang w:val="es-419"/>
              </w:rPr>
              <w:t xml:space="preserve">Etapa II de los PGEH  </w:t>
            </w:r>
          </w:p>
        </w:tc>
        <w:tc>
          <w:tcPr>
            <w:tcW w:w="1134" w:type="dxa"/>
            <w:tcBorders>
              <w:top w:val="nil"/>
              <w:left w:val="nil"/>
              <w:bottom w:val="single" w:sz="4" w:space="0" w:color="auto"/>
              <w:right w:val="single" w:sz="4" w:space="0" w:color="auto"/>
            </w:tcBorders>
            <w:shd w:val="clear" w:color="auto" w:fill="auto"/>
            <w:noWrap/>
            <w:hideMark/>
          </w:tcPr>
          <w:p w14:paraId="0A283927" w14:textId="77777777" w:rsidR="0081113A" w:rsidRPr="008870C8" w:rsidRDefault="0081113A" w:rsidP="00F45A7F">
            <w:pPr>
              <w:jc w:val="right"/>
              <w:rPr>
                <w:sz w:val="20"/>
                <w:szCs w:val="20"/>
                <w:lang w:val="es-419"/>
              </w:rPr>
            </w:pPr>
            <w:r w:rsidRPr="008870C8">
              <w:rPr>
                <w:sz w:val="20"/>
                <w:szCs w:val="20"/>
                <w:lang w:val="es-419"/>
              </w:rPr>
              <w:t>1 691</w:t>
            </w:r>
          </w:p>
        </w:tc>
        <w:tc>
          <w:tcPr>
            <w:tcW w:w="1134" w:type="dxa"/>
            <w:tcBorders>
              <w:top w:val="nil"/>
              <w:left w:val="nil"/>
              <w:bottom w:val="single" w:sz="4" w:space="0" w:color="auto"/>
              <w:right w:val="single" w:sz="4" w:space="0" w:color="auto"/>
            </w:tcBorders>
            <w:shd w:val="clear" w:color="auto" w:fill="auto"/>
            <w:noWrap/>
            <w:hideMark/>
          </w:tcPr>
          <w:p w14:paraId="44253FF8" w14:textId="77777777" w:rsidR="0081113A" w:rsidRPr="008870C8" w:rsidRDefault="0081113A" w:rsidP="00F45A7F">
            <w:pPr>
              <w:jc w:val="right"/>
              <w:rPr>
                <w:sz w:val="20"/>
                <w:szCs w:val="20"/>
                <w:lang w:val="es-419"/>
              </w:rPr>
            </w:pPr>
            <w:r w:rsidRPr="008870C8">
              <w:rPr>
                <w:sz w:val="20"/>
                <w:szCs w:val="20"/>
                <w:lang w:val="es-419"/>
              </w:rPr>
              <w:t>2 153</w:t>
            </w:r>
          </w:p>
        </w:tc>
        <w:tc>
          <w:tcPr>
            <w:tcW w:w="1134" w:type="dxa"/>
            <w:tcBorders>
              <w:top w:val="nil"/>
              <w:left w:val="nil"/>
              <w:bottom w:val="single" w:sz="4" w:space="0" w:color="auto"/>
              <w:right w:val="single" w:sz="4" w:space="0" w:color="auto"/>
            </w:tcBorders>
            <w:shd w:val="clear" w:color="auto" w:fill="auto"/>
            <w:noWrap/>
            <w:hideMark/>
          </w:tcPr>
          <w:p w14:paraId="6413ECC6" w14:textId="77777777" w:rsidR="0081113A" w:rsidRPr="008870C8" w:rsidRDefault="0081113A" w:rsidP="00F45A7F">
            <w:pPr>
              <w:jc w:val="right"/>
              <w:rPr>
                <w:sz w:val="20"/>
                <w:szCs w:val="20"/>
                <w:lang w:val="es-419"/>
              </w:rPr>
            </w:pPr>
            <w:r w:rsidRPr="008870C8">
              <w:rPr>
                <w:sz w:val="20"/>
                <w:szCs w:val="20"/>
                <w:lang w:val="es-419"/>
              </w:rPr>
              <w:t>136</w:t>
            </w:r>
          </w:p>
        </w:tc>
        <w:tc>
          <w:tcPr>
            <w:tcW w:w="1660" w:type="dxa"/>
            <w:tcBorders>
              <w:top w:val="nil"/>
              <w:left w:val="nil"/>
              <w:bottom w:val="single" w:sz="4" w:space="0" w:color="auto"/>
              <w:right w:val="single" w:sz="4" w:space="0" w:color="auto"/>
            </w:tcBorders>
            <w:shd w:val="clear" w:color="auto" w:fill="auto"/>
            <w:noWrap/>
            <w:hideMark/>
          </w:tcPr>
          <w:p w14:paraId="6B6F6668" w14:textId="77777777" w:rsidR="0081113A" w:rsidRPr="008870C8" w:rsidRDefault="0081113A" w:rsidP="00F45A7F">
            <w:pPr>
              <w:jc w:val="right"/>
              <w:rPr>
                <w:sz w:val="20"/>
                <w:szCs w:val="20"/>
                <w:lang w:val="es-419"/>
              </w:rPr>
            </w:pPr>
            <w:r w:rsidRPr="008870C8">
              <w:rPr>
                <w:sz w:val="20"/>
                <w:szCs w:val="20"/>
                <w:lang w:val="es-419"/>
              </w:rPr>
              <w:t>3 981</w:t>
            </w:r>
          </w:p>
        </w:tc>
        <w:tc>
          <w:tcPr>
            <w:tcW w:w="1175" w:type="dxa"/>
            <w:tcBorders>
              <w:top w:val="nil"/>
              <w:left w:val="nil"/>
              <w:bottom w:val="single" w:sz="4" w:space="0" w:color="auto"/>
              <w:right w:val="single" w:sz="4" w:space="0" w:color="auto"/>
            </w:tcBorders>
            <w:shd w:val="clear" w:color="auto" w:fill="auto"/>
            <w:noWrap/>
            <w:hideMark/>
          </w:tcPr>
          <w:p w14:paraId="2BB89500" w14:textId="77777777" w:rsidR="0081113A" w:rsidRPr="008870C8" w:rsidRDefault="0081113A" w:rsidP="00F45A7F">
            <w:pPr>
              <w:jc w:val="right"/>
              <w:rPr>
                <w:sz w:val="20"/>
                <w:szCs w:val="20"/>
                <w:lang w:val="es-419"/>
              </w:rPr>
            </w:pPr>
            <w:r w:rsidRPr="008870C8">
              <w:rPr>
                <w:sz w:val="20"/>
                <w:szCs w:val="20"/>
                <w:lang w:val="es-419"/>
              </w:rPr>
              <w:t>3 915</w:t>
            </w:r>
          </w:p>
        </w:tc>
      </w:tr>
      <w:tr w:rsidR="0081113A" w:rsidRPr="008870C8" w14:paraId="009EAB45"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18E27F79" w14:textId="77777777" w:rsidR="0081113A" w:rsidRPr="008870C8" w:rsidRDefault="0081113A" w:rsidP="00F45A7F">
            <w:pPr>
              <w:jc w:val="left"/>
              <w:rPr>
                <w:sz w:val="20"/>
                <w:szCs w:val="20"/>
                <w:lang w:val="es-419"/>
              </w:rPr>
            </w:pPr>
            <w:r w:rsidRPr="008870C8">
              <w:rPr>
                <w:sz w:val="20"/>
                <w:szCs w:val="20"/>
                <w:lang w:val="es-419"/>
              </w:rPr>
              <w:lastRenderedPageBreak/>
              <w:t>Preparación de proyectos de los PGEH – etapa III</w:t>
            </w:r>
          </w:p>
        </w:tc>
        <w:tc>
          <w:tcPr>
            <w:tcW w:w="1134" w:type="dxa"/>
            <w:tcBorders>
              <w:top w:val="nil"/>
              <w:left w:val="nil"/>
              <w:bottom w:val="single" w:sz="4" w:space="0" w:color="auto"/>
              <w:right w:val="single" w:sz="4" w:space="0" w:color="auto"/>
            </w:tcBorders>
            <w:shd w:val="clear" w:color="auto" w:fill="auto"/>
            <w:noWrap/>
            <w:hideMark/>
          </w:tcPr>
          <w:p w14:paraId="444110DC" w14:textId="77777777" w:rsidR="0081113A" w:rsidRPr="008870C8" w:rsidRDefault="0081113A" w:rsidP="00F45A7F">
            <w:pPr>
              <w:jc w:val="right"/>
              <w:rPr>
                <w:sz w:val="20"/>
                <w:szCs w:val="20"/>
                <w:lang w:val="es-419"/>
              </w:rPr>
            </w:pPr>
            <w:r w:rsidRPr="008870C8">
              <w:rPr>
                <w:sz w:val="20"/>
                <w:szCs w:val="20"/>
                <w:lang w:val="es-419"/>
              </w:rPr>
              <w:t>789</w:t>
            </w:r>
          </w:p>
        </w:tc>
        <w:tc>
          <w:tcPr>
            <w:tcW w:w="1134" w:type="dxa"/>
            <w:tcBorders>
              <w:top w:val="nil"/>
              <w:left w:val="nil"/>
              <w:bottom w:val="single" w:sz="4" w:space="0" w:color="auto"/>
              <w:right w:val="single" w:sz="4" w:space="0" w:color="auto"/>
            </w:tcBorders>
            <w:shd w:val="clear" w:color="auto" w:fill="auto"/>
            <w:noWrap/>
            <w:hideMark/>
          </w:tcPr>
          <w:p w14:paraId="0F30A1D7" w14:textId="77777777" w:rsidR="0081113A" w:rsidRPr="008870C8" w:rsidRDefault="0081113A" w:rsidP="00F45A7F">
            <w:pPr>
              <w:jc w:val="right"/>
              <w:rPr>
                <w:sz w:val="20"/>
                <w:szCs w:val="20"/>
                <w:lang w:val="es-419"/>
              </w:rPr>
            </w:pPr>
            <w:r w:rsidRPr="008870C8">
              <w:rPr>
                <w:sz w:val="20"/>
                <w:szCs w:val="20"/>
                <w:lang w:val="es-419"/>
              </w:rPr>
              <w:t>415</w:t>
            </w:r>
          </w:p>
        </w:tc>
        <w:tc>
          <w:tcPr>
            <w:tcW w:w="1134" w:type="dxa"/>
            <w:tcBorders>
              <w:top w:val="nil"/>
              <w:left w:val="nil"/>
              <w:bottom w:val="single" w:sz="4" w:space="0" w:color="auto"/>
              <w:right w:val="single" w:sz="4" w:space="0" w:color="auto"/>
            </w:tcBorders>
            <w:shd w:val="clear" w:color="auto" w:fill="auto"/>
            <w:noWrap/>
            <w:hideMark/>
          </w:tcPr>
          <w:p w14:paraId="57BD6762" w14:textId="77777777" w:rsidR="0081113A" w:rsidRPr="008870C8" w:rsidRDefault="0081113A" w:rsidP="00F45A7F">
            <w:pPr>
              <w:jc w:val="right"/>
              <w:rPr>
                <w:sz w:val="20"/>
                <w:szCs w:val="20"/>
                <w:lang w:val="es-419"/>
              </w:rPr>
            </w:pPr>
            <w:r w:rsidRPr="008870C8">
              <w:rPr>
                <w:sz w:val="20"/>
                <w:szCs w:val="20"/>
                <w:lang w:val="es-419"/>
              </w:rPr>
              <w:t>182</w:t>
            </w:r>
          </w:p>
        </w:tc>
        <w:tc>
          <w:tcPr>
            <w:tcW w:w="1660" w:type="dxa"/>
            <w:tcBorders>
              <w:top w:val="nil"/>
              <w:left w:val="nil"/>
              <w:bottom w:val="single" w:sz="4" w:space="0" w:color="auto"/>
              <w:right w:val="single" w:sz="4" w:space="0" w:color="auto"/>
            </w:tcBorders>
            <w:shd w:val="clear" w:color="auto" w:fill="auto"/>
            <w:noWrap/>
            <w:hideMark/>
          </w:tcPr>
          <w:p w14:paraId="1833EFDF" w14:textId="77777777" w:rsidR="0081113A" w:rsidRPr="008870C8" w:rsidRDefault="0081113A" w:rsidP="00F45A7F">
            <w:pPr>
              <w:jc w:val="right"/>
              <w:rPr>
                <w:sz w:val="20"/>
                <w:szCs w:val="20"/>
                <w:lang w:val="es-419"/>
              </w:rPr>
            </w:pPr>
            <w:r w:rsidRPr="008870C8">
              <w:rPr>
                <w:sz w:val="20"/>
                <w:szCs w:val="20"/>
                <w:lang w:val="es-419"/>
              </w:rPr>
              <w:t>1 386</w:t>
            </w:r>
          </w:p>
        </w:tc>
        <w:tc>
          <w:tcPr>
            <w:tcW w:w="1175" w:type="dxa"/>
            <w:tcBorders>
              <w:top w:val="nil"/>
              <w:left w:val="nil"/>
              <w:bottom w:val="single" w:sz="4" w:space="0" w:color="auto"/>
              <w:right w:val="single" w:sz="4" w:space="0" w:color="auto"/>
            </w:tcBorders>
            <w:shd w:val="clear" w:color="auto" w:fill="auto"/>
            <w:noWrap/>
            <w:hideMark/>
          </w:tcPr>
          <w:p w14:paraId="1B860C9D"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45711E7A"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621D2D70" w14:textId="77777777" w:rsidR="0081113A" w:rsidRPr="008870C8" w:rsidRDefault="0081113A" w:rsidP="00F45A7F">
            <w:pPr>
              <w:jc w:val="left"/>
              <w:rPr>
                <w:sz w:val="20"/>
                <w:szCs w:val="20"/>
                <w:lang w:val="es-419"/>
              </w:rPr>
            </w:pPr>
            <w:r w:rsidRPr="008870C8">
              <w:rPr>
                <w:sz w:val="20"/>
                <w:szCs w:val="20"/>
                <w:lang w:val="es-419"/>
              </w:rPr>
              <w:t>Etapa III de los PGEH</w:t>
            </w:r>
          </w:p>
        </w:tc>
        <w:tc>
          <w:tcPr>
            <w:tcW w:w="1134" w:type="dxa"/>
            <w:tcBorders>
              <w:top w:val="nil"/>
              <w:left w:val="nil"/>
              <w:bottom w:val="single" w:sz="4" w:space="0" w:color="auto"/>
              <w:right w:val="single" w:sz="4" w:space="0" w:color="auto"/>
            </w:tcBorders>
            <w:shd w:val="clear" w:color="auto" w:fill="auto"/>
            <w:noWrap/>
            <w:hideMark/>
          </w:tcPr>
          <w:p w14:paraId="14650472" w14:textId="77777777" w:rsidR="0081113A" w:rsidRPr="008870C8" w:rsidRDefault="0081113A" w:rsidP="00F45A7F">
            <w:pPr>
              <w:jc w:val="right"/>
              <w:rPr>
                <w:sz w:val="20"/>
                <w:szCs w:val="20"/>
                <w:lang w:val="es-419"/>
              </w:rPr>
            </w:pPr>
            <w:r w:rsidRPr="008870C8">
              <w:rPr>
                <w:sz w:val="20"/>
                <w:szCs w:val="20"/>
                <w:lang w:val="es-419"/>
              </w:rPr>
              <w:t>1 127</w:t>
            </w:r>
          </w:p>
        </w:tc>
        <w:tc>
          <w:tcPr>
            <w:tcW w:w="1134" w:type="dxa"/>
            <w:tcBorders>
              <w:top w:val="nil"/>
              <w:left w:val="nil"/>
              <w:bottom w:val="single" w:sz="4" w:space="0" w:color="auto"/>
              <w:right w:val="single" w:sz="4" w:space="0" w:color="auto"/>
            </w:tcBorders>
            <w:shd w:val="clear" w:color="auto" w:fill="auto"/>
            <w:noWrap/>
            <w:hideMark/>
          </w:tcPr>
          <w:p w14:paraId="026857CB" w14:textId="77777777" w:rsidR="0081113A" w:rsidRPr="008870C8" w:rsidRDefault="0081113A" w:rsidP="00F45A7F">
            <w:pPr>
              <w:jc w:val="right"/>
              <w:rPr>
                <w:sz w:val="20"/>
                <w:szCs w:val="20"/>
                <w:lang w:val="es-419"/>
              </w:rPr>
            </w:pPr>
            <w:r w:rsidRPr="008870C8">
              <w:rPr>
                <w:sz w:val="20"/>
                <w:szCs w:val="20"/>
                <w:lang w:val="es-419"/>
              </w:rPr>
              <w:t>912</w:t>
            </w:r>
          </w:p>
        </w:tc>
        <w:tc>
          <w:tcPr>
            <w:tcW w:w="1134" w:type="dxa"/>
            <w:tcBorders>
              <w:top w:val="nil"/>
              <w:left w:val="nil"/>
              <w:bottom w:val="single" w:sz="4" w:space="0" w:color="auto"/>
              <w:right w:val="single" w:sz="4" w:space="0" w:color="auto"/>
            </w:tcBorders>
            <w:shd w:val="clear" w:color="auto" w:fill="auto"/>
            <w:noWrap/>
            <w:hideMark/>
          </w:tcPr>
          <w:p w14:paraId="77FCBA12" w14:textId="77777777" w:rsidR="0081113A" w:rsidRPr="008870C8" w:rsidRDefault="0081113A" w:rsidP="00F45A7F">
            <w:pPr>
              <w:jc w:val="right"/>
              <w:rPr>
                <w:sz w:val="20"/>
                <w:szCs w:val="20"/>
                <w:lang w:val="es-419"/>
              </w:rPr>
            </w:pPr>
            <w:r w:rsidRPr="008870C8">
              <w:rPr>
                <w:sz w:val="20"/>
                <w:szCs w:val="20"/>
                <w:lang w:val="es-419"/>
              </w:rPr>
              <w:t>949</w:t>
            </w:r>
          </w:p>
        </w:tc>
        <w:tc>
          <w:tcPr>
            <w:tcW w:w="1660" w:type="dxa"/>
            <w:tcBorders>
              <w:top w:val="nil"/>
              <w:left w:val="nil"/>
              <w:bottom w:val="single" w:sz="4" w:space="0" w:color="auto"/>
              <w:right w:val="single" w:sz="4" w:space="0" w:color="auto"/>
            </w:tcBorders>
            <w:shd w:val="clear" w:color="auto" w:fill="auto"/>
            <w:noWrap/>
            <w:hideMark/>
          </w:tcPr>
          <w:p w14:paraId="357B2EA4" w14:textId="77777777" w:rsidR="0081113A" w:rsidRPr="008870C8" w:rsidRDefault="0081113A" w:rsidP="00F45A7F">
            <w:pPr>
              <w:jc w:val="right"/>
              <w:rPr>
                <w:sz w:val="20"/>
                <w:szCs w:val="20"/>
                <w:lang w:val="es-419"/>
              </w:rPr>
            </w:pPr>
            <w:r w:rsidRPr="008870C8">
              <w:rPr>
                <w:sz w:val="20"/>
                <w:szCs w:val="20"/>
                <w:lang w:val="es-419"/>
              </w:rPr>
              <w:t>2 988</w:t>
            </w:r>
          </w:p>
        </w:tc>
        <w:tc>
          <w:tcPr>
            <w:tcW w:w="1175" w:type="dxa"/>
            <w:tcBorders>
              <w:top w:val="nil"/>
              <w:left w:val="nil"/>
              <w:bottom w:val="single" w:sz="4" w:space="0" w:color="auto"/>
              <w:right w:val="single" w:sz="4" w:space="0" w:color="auto"/>
            </w:tcBorders>
            <w:shd w:val="clear" w:color="auto" w:fill="auto"/>
            <w:noWrap/>
            <w:hideMark/>
          </w:tcPr>
          <w:p w14:paraId="51B91BEC" w14:textId="77777777" w:rsidR="0081113A" w:rsidRPr="008870C8" w:rsidRDefault="0081113A" w:rsidP="00F45A7F">
            <w:pPr>
              <w:jc w:val="right"/>
              <w:rPr>
                <w:sz w:val="20"/>
                <w:szCs w:val="20"/>
                <w:lang w:val="es-419"/>
              </w:rPr>
            </w:pPr>
            <w:r w:rsidRPr="008870C8">
              <w:rPr>
                <w:sz w:val="20"/>
                <w:szCs w:val="20"/>
                <w:lang w:val="es-419"/>
              </w:rPr>
              <w:t>5 075</w:t>
            </w:r>
          </w:p>
        </w:tc>
      </w:tr>
      <w:tr w:rsidR="0081113A" w:rsidRPr="008870C8" w14:paraId="4D979EE1"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1FAAFDD2"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relativas a los HCFC</w:t>
            </w:r>
          </w:p>
        </w:tc>
        <w:tc>
          <w:tcPr>
            <w:tcW w:w="1134" w:type="dxa"/>
            <w:tcBorders>
              <w:top w:val="nil"/>
              <w:left w:val="nil"/>
              <w:bottom w:val="single" w:sz="4" w:space="0" w:color="auto"/>
              <w:right w:val="single" w:sz="4" w:space="0" w:color="auto"/>
            </w:tcBorders>
            <w:shd w:val="clear" w:color="auto" w:fill="auto"/>
            <w:noWrap/>
            <w:hideMark/>
          </w:tcPr>
          <w:p w14:paraId="7DD83069" w14:textId="77777777" w:rsidR="0081113A" w:rsidRPr="008870C8" w:rsidRDefault="0081113A" w:rsidP="00F45A7F">
            <w:pPr>
              <w:jc w:val="right"/>
              <w:rPr>
                <w:b/>
                <w:bCs/>
                <w:sz w:val="20"/>
                <w:szCs w:val="20"/>
                <w:lang w:val="es-419"/>
              </w:rPr>
            </w:pPr>
            <w:r w:rsidRPr="008870C8">
              <w:rPr>
                <w:b/>
                <w:bCs/>
                <w:sz w:val="20"/>
                <w:szCs w:val="20"/>
                <w:lang w:val="es-419"/>
              </w:rPr>
              <w:t>52 589</w:t>
            </w:r>
          </w:p>
        </w:tc>
        <w:tc>
          <w:tcPr>
            <w:tcW w:w="1134" w:type="dxa"/>
            <w:tcBorders>
              <w:top w:val="nil"/>
              <w:left w:val="nil"/>
              <w:bottom w:val="single" w:sz="4" w:space="0" w:color="auto"/>
              <w:right w:val="single" w:sz="4" w:space="0" w:color="auto"/>
            </w:tcBorders>
            <w:shd w:val="clear" w:color="auto" w:fill="auto"/>
            <w:noWrap/>
            <w:hideMark/>
          </w:tcPr>
          <w:p w14:paraId="69C62527" w14:textId="77777777" w:rsidR="0081113A" w:rsidRPr="008870C8" w:rsidRDefault="0081113A" w:rsidP="00F45A7F">
            <w:pPr>
              <w:jc w:val="right"/>
              <w:rPr>
                <w:b/>
                <w:bCs/>
                <w:sz w:val="20"/>
                <w:szCs w:val="20"/>
                <w:lang w:val="es-419"/>
              </w:rPr>
            </w:pPr>
            <w:r w:rsidRPr="008870C8">
              <w:rPr>
                <w:b/>
                <w:bCs/>
                <w:sz w:val="20"/>
                <w:szCs w:val="20"/>
                <w:lang w:val="es-419"/>
              </w:rPr>
              <w:t>34 874</w:t>
            </w:r>
          </w:p>
        </w:tc>
        <w:tc>
          <w:tcPr>
            <w:tcW w:w="1134" w:type="dxa"/>
            <w:tcBorders>
              <w:top w:val="nil"/>
              <w:left w:val="nil"/>
              <w:bottom w:val="single" w:sz="4" w:space="0" w:color="auto"/>
              <w:right w:val="single" w:sz="4" w:space="0" w:color="auto"/>
            </w:tcBorders>
            <w:shd w:val="clear" w:color="auto" w:fill="auto"/>
            <w:noWrap/>
            <w:hideMark/>
          </w:tcPr>
          <w:p w14:paraId="718C307E" w14:textId="77777777" w:rsidR="0081113A" w:rsidRPr="008870C8" w:rsidRDefault="0081113A" w:rsidP="00F45A7F">
            <w:pPr>
              <w:jc w:val="right"/>
              <w:rPr>
                <w:b/>
                <w:bCs/>
                <w:sz w:val="20"/>
                <w:szCs w:val="20"/>
                <w:lang w:val="es-419"/>
              </w:rPr>
            </w:pPr>
            <w:r w:rsidRPr="008870C8">
              <w:rPr>
                <w:b/>
                <w:bCs/>
                <w:sz w:val="20"/>
                <w:szCs w:val="20"/>
                <w:lang w:val="es-419"/>
              </w:rPr>
              <w:t>39 734</w:t>
            </w:r>
          </w:p>
        </w:tc>
        <w:tc>
          <w:tcPr>
            <w:tcW w:w="1660" w:type="dxa"/>
            <w:tcBorders>
              <w:top w:val="nil"/>
              <w:left w:val="nil"/>
              <w:bottom w:val="single" w:sz="4" w:space="0" w:color="auto"/>
              <w:right w:val="single" w:sz="4" w:space="0" w:color="auto"/>
            </w:tcBorders>
            <w:shd w:val="clear" w:color="auto" w:fill="auto"/>
            <w:noWrap/>
            <w:hideMark/>
          </w:tcPr>
          <w:p w14:paraId="2A2D3E1F" w14:textId="77777777" w:rsidR="0081113A" w:rsidRPr="008870C8" w:rsidRDefault="0081113A" w:rsidP="00F45A7F">
            <w:pPr>
              <w:jc w:val="right"/>
              <w:rPr>
                <w:b/>
                <w:bCs/>
                <w:sz w:val="20"/>
                <w:szCs w:val="20"/>
                <w:lang w:val="es-419"/>
              </w:rPr>
            </w:pPr>
            <w:r w:rsidRPr="008870C8">
              <w:rPr>
                <w:b/>
                <w:bCs/>
                <w:sz w:val="20"/>
                <w:szCs w:val="20"/>
                <w:lang w:val="es-419"/>
              </w:rPr>
              <w:t>127 197</w:t>
            </w:r>
          </w:p>
        </w:tc>
        <w:tc>
          <w:tcPr>
            <w:tcW w:w="1175" w:type="dxa"/>
            <w:tcBorders>
              <w:top w:val="nil"/>
              <w:left w:val="nil"/>
              <w:bottom w:val="single" w:sz="4" w:space="0" w:color="auto"/>
              <w:right w:val="single" w:sz="4" w:space="0" w:color="auto"/>
            </w:tcBorders>
            <w:shd w:val="clear" w:color="auto" w:fill="auto"/>
            <w:noWrap/>
            <w:hideMark/>
          </w:tcPr>
          <w:p w14:paraId="24B4F7EA" w14:textId="77777777" w:rsidR="0081113A" w:rsidRPr="008870C8" w:rsidRDefault="0081113A" w:rsidP="00F45A7F">
            <w:pPr>
              <w:jc w:val="right"/>
              <w:rPr>
                <w:b/>
                <w:bCs/>
                <w:sz w:val="20"/>
                <w:szCs w:val="20"/>
                <w:lang w:val="es-419"/>
              </w:rPr>
            </w:pPr>
            <w:r w:rsidRPr="008870C8">
              <w:rPr>
                <w:b/>
                <w:bCs/>
                <w:sz w:val="20"/>
                <w:szCs w:val="20"/>
                <w:lang w:val="es-419"/>
              </w:rPr>
              <w:t>11 561</w:t>
            </w:r>
          </w:p>
        </w:tc>
      </w:tr>
      <w:tr w:rsidR="0081113A" w:rsidRPr="008870C8" w14:paraId="21A9816C" w14:textId="77777777" w:rsidTr="00F45A7F">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CB6F388" w14:textId="77777777" w:rsidR="0081113A" w:rsidRPr="008870C8" w:rsidRDefault="0081113A" w:rsidP="00F45A7F">
            <w:pPr>
              <w:jc w:val="left"/>
              <w:rPr>
                <w:b/>
                <w:bCs/>
                <w:sz w:val="20"/>
                <w:szCs w:val="20"/>
                <w:lang w:val="es-419"/>
              </w:rPr>
            </w:pPr>
            <w:r w:rsidRPr="008870C8">
              <w:rPr>
                <w:b/>
                <w:bCs/>
                <w:sz w:val="20"/>
                <w:szCs w:val="20"/>
                <w:lang w:val="es-419"/>
              </w:rPr>
              <w:t>Actividades relativas al HFC</w:t>
            </w:r>
          </w:p>
        </w:tc>
      </w:tr>
      <w:tr w:rsidR="0081113A" w:rsidRPr="008870C8" w14:paraId="761E8E28"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7ED6DDFA" w14:textId="77777777" w:rsidR="0081113A" w:rsidRPr="008870C8" w:rsidRDefault="0081113A" w:rsidP="00F45A7F">
            <w:pPr>
              <w:jc w:val="left"/>
              <w:rPr>
                <w:sz w:val="20"/>
                <w:szCs w:val="20"/>
                <w:lang w:val="es-419"/>
              </w:rPr>
            </w:pPr>
            <w:r w:rsidRPr="008870C8">
              <w:rPr>
                <w:sz w:val="20"/>
                <w:szCs w:val="20"/>
                <w:lang w:val="es-419"/>
              </w:rPr>
              <w:t>HFC - Actividades de apoyo</w:t>
            </w:r>
          </w:p>
        </w:tc>
        <w:tc>
          <w:tcPr>
            <w:tcW w:w="1134" w:type="dxa"/>
            <w:tcBorders>
              <w:top w:val="nil"/>
              <w:left w:val="nil"/>
              <w:bottom w:val="single" w:sz="4" w:space="0" w:color="auto"/>
              <w:right w:val="single" w:sz="4" w:space="0" w:color="auto"/>
            </w:tcBorders>
            <w:shd w:val="clear" w:color="auto" w:fill="auto"/>
            <w:noWrap/>
            <w:hideMark/>
          </w:tcPr>
          <w:p w14:paraId="140EC68B" w14:textId="77777777" w:rsidR="0081113A" w:rsidRPr="008870C8" w:rsidRDefault="0081113A" w:rsidP="00F45A7F">
            <w:pPr>
              <w:jc w:val="right"/>
              <w:rPr>
                <w:sz w:val="20"/>
                <w:szCs w:val="20"/>
                <w:lang w:val="es-419"/>
              </w:rPr>
            </w:pPr>
            <w:r w:rsidRPr="008870C8">
              <w:rPr>
                <w:sz w:val="20"/>
                <w:szCs w:val="20"/>
                <w:lang w:val="es-419"/>
              </w:rPr>
              <w:t>102</w:t>
            </w:r>
          </w:p>
        </w:tc>
        <w:tc>
          <w:tcPr>
            <w:tcW w:w="1134" w:type="dxa"/>
            <w:tcBorders>
              <w:top w:val="nil"/>
              <w:left w:val="nil"/>
              <w:bottom w:val="single" w:sz="4" w:space="0" w:color="auto"/>
              <w:right w:val="single" w:sz="4" w:space="0" w:color="auto"/>
            </w:tcBorders>
            <w:shd w:val="clear" w:color="auto" w:fill="auto"/>
            <w:noWrap/>
            <w:hideMark/>
          </w:tcPr>
          <w:p w14:paraId="15E38CC1" w14:textId="77777777" w:rsidR="0081113A" w:rsidRPr="008870C8" w:rsidRDefault="0081113A" w:rsidP="00F45A7F">
            <w:pPr>
              <w:jc w:val="right"/>
              <w:rPr>
                <w:sz w:val="20"/>
                <w:szCs w:val="20"/>
                <w:lang w:val="es-419"/>
              </w:rPr>
            </w:pPr>
            <w:r w:rsidRPr="008870C8">
              <w:rPr>
                <w:sz w:val="20"/>
                <w:szCs w:val="20"/>
                <w:lang w:val="es-419"/>
              </w:rPr>
              <w:t>0 </w:t>
            </w:r>
          </w:p>
        </w:tc>
        <w:tc>
          <w:tcPr>
            <w:tcW w:w="1134" w:type="dxa"/>
            <w:tcBorders>
              <w:top w:val="nil"/>
              <w:left w:val="nil"/>
              <w:bottom w:val="single" w:sz="4" w:space="0" w:color="auto"/>
              <w:right w:val="single" w:sz="4" w:space="0" w:color="auto"/>
            </w:tcBorders>
            <w:shd w:val="clear" w:color="auto" w:fill="auto"/>
            <w:noWrap/>
            <w:hideMark/>
          </w:tcPr>
          <w:p w14:paraId="559B7BD0" w14:textId="77777777" w:rsidR="0081113A" w:rsidRPr="008870C8" w:rsidRDefault="0081113A" w:rsidP="00F45A7F">
            <w:pPr>
              <w:jc w:val="right"/>
              <w:rPr>
                <w:sz w:val="20"/>
                <w:szCs w:val="20"/>
                <w:lang w:val="es-419"/>
              </w:rPr>
            </w:pPr>
            <w:r w:rsidRPr="008870C8">
              <w:rPr>
                <w:sz w:val="20"/>
                <w:szCs w:val="20"/>
                <w:lang w:val="es-419"/>
              </w:rPr>
              <w:t>0</w:t>
            </w:r>
          </w:p>
        </w:tc>
        <w:tc>
          <w:tcPr>
            <w:tcW w:w="1660" w:type="dxa"/>
            <w:tcBorders>
              <w:top w:val="nil"/>
              <w:left w:val="nil"/>
              <w:bottom w:val="single" w:sz="4" w:space="0" w:color="auto"/>
              <w:right w:val="single" w:sz="4" w:space="0" w:color="auto"/>
            </w:tcBorders>
            <w:shd w:val="clear" w:color="auto" w:fill="auto"/>
            <w:noWrap/>
            <w:hideMark/>
          </w:tcPr>
          <w:p w14:paraId="48E9C124" w14:textId="77777777" w:rsidR="0081113A" w:rsidRPr="008870C8" w:rsidRDefault="0081113A" w:rsidP="00F45A7F">
            <w:pPr>
              <w:jc w:val="right"/>
              <w:rPr>
                <w:sz w:val="20"/>
                <w:szCs w:val="20"/>
                <w:lang w:val="es-419"/>
              </w:rPr>
            </w:pPr>
            <w:r w:rsidRPr="008870C8">
              <w:rPr>
                <w:sz w:val="20"/>
                <w:szCs w:val="20"/>
                <w:lang w:val="es-419"/>
              </w:rPr>
              <w:t>0</w:t>
            </w:r>
          </w:p>
        </w:tc>
        <w:tc>
          <w:tcPr>
            <w:tcW w:w="1175" w:type="dxa"/>
            <w:tcBorders>
              <w:top w:val="nil"/>
              <w:left w:val="nil"/>
              <w:bottom w:val="single" w:sz="4" w:space="0" w:color="auto"/>
              <w:right w:val="single" w:sz="4" w:space="0" w:color="auto"/>
            </w:tcBorders>
            <w:shd w:val="clear" w:color="auto" w:fill="auto"/>
            <w:noWrap/>
            <w:hideMark/>
          </w:tcPr>
          <w:p w14:paraId="4AA34F1B"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6F608201"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0D407C16" w14:textId="77777777" w:rsidR="0081113A" w:rsidRPr="008870C8" w:rsidRDefault="0081113A" w:rsidP="00F45A7F">
            <w:pPr>
              <w:jc w:val="left"/>
              <w:rPr>
                <w:sz w:val="20"/>
                <w:szCs w:val="20"/>
                <w:lang w:val="es-419"/>
              </w:rPr>
            </w:pPr>
            <w:r w:rsidRPr="008870C8">
              <w:rPr>
                <w:sz w:val="20"/>
                <w:szCs w:val="20"/>
                <w:lang w:val="es-419"/>
              </w:rPr>
              <w:t>Plan de reducción de HFC - Preparación de proyectos de los PGEH</w:t>
            </w:r>
          </w:p>
        </w:tc>
        <w:tc>
          <w:tcPr>
            <w:tcW w:w="1134" w:type="dxa"/>
            <w:tcBorders>
              <w:top w:val="nil"/>
              <w:left w:val="nil"/>
              <w:bottom w:val="single" w:sz="4" w:space="0" w:color="auto"/>
              <w:right w:val="single" w:sz="4" w:space="0" w:color="auto"/>
            </w:tcBorders>
            <w:shd w:val="clear" w:color="auto" w:fill="auto"/>
            <w:noWrap/>
            <w:hideMark/>
          </w:tcPr>
          <w:p w14:paraId="7DE50CAA" w14:textId="77777777" w:rsidR="0081113A" w:rsidRPr="008870C8" w:rsidRDefault="0081113A" w:rsidP="00F45A7F">
            <w:pPr>
              <w:jc w:val="right"/>
              <w:rPr>
                <w:sz w:val="20"/>
                <w:szCs w:val="20"/>
                <w:lang w:val="es-419"/>
              </w:rPr>
            </w:pPr>
            <w:r w:rsidRPr="008870C8">
              <w:rPr>
                <w:sz w:val="20"/>
                <w:szCs w:val="20"/>
                <w:lang w:val="es-419"/>
              </w:rPr>
              <w:t>1 768</w:t>
            </w:r>
          </w:p>
        </w:tc>
        <w:tc>
          <w:tcPr>
            <w:tcW w:w="1134" w:type="dxa"/>
            <w:tcBorders>
              <w:top w:val="nil"/>
              <w:left w:val="nil"/>
              <w:bottom w:val="single" w:sz="4" w:space="0" w:color="auto"/>
              <w:right w:val="single" w:sz="4" w:space="0" w:color="auto"/>
            </w:tcBorders>
            <w:shd w:val="clear" w:color="auto" w:fill="auto"/>
            <w:noWrap/>
            <w:hideMark/>
          </w:tcPr>
          <w:p w14:paraId="5723CA32" w14:textId="77777777" w:rsidR="0081113A" w:rsidRPr="008870C8" w:rsidRDefault="0081113A" w:rsidP="00F45A7F">
            <w:pPr>
              <w:jc w:val="right"/>
              <w:rPr>
                <w:sz w:val="20"/>
                <w:szCs w:val="20"/>
                <w:lang w:val="es-419"/>
              </w:rPr>
            </w:pPr>
            <w:r w:rsidRPr="008870C8">
              <w:rPr>
                <w:sz w:val="20"/>
                <w:szCs w:val="20"/>
                <w:lang w:val="es-419"/>
              </w:rPr>
              <w:t>1 286</w:t>
            </w:r>
          </w:p>
        </w:tc>
        <w:tc>
          <w:tcPr>
            <w:tcW w:w="1134" w:type="dxa"/>
            <w:tcBorders>
              <w:top w:val="nil"/>
              <w:left w:val="nil"/>
              <w:bottom w:val="single" w:sz="4" w:space="0" w:color="auto"/>
              <w:right w:val="single" w:sz="4" w:space="0" w:color="auto"/>
            </w:tcBorders>
            <w:shd w:val="clear" w:color="auto" w:fill="auto"/>
            <w:noWrap/>
            <w:hideMark/>
          </w:tcPr>
          <w:p w14:paraId="1310C47F" w14:textId="77777777" w:rsidR="0081113A" w:rsidRPr="008870C8" w:rsidRDefault="0081113A" w:rsidP="00F45A7F">
            <w:pPr>
              <w:jc w:val="right"/>
              <w:rPr>
                <w:sz w:val="20"/>
                <w:szCs w:val="20"/>
                <w:lang w:val="es-419"/>
              </w:rPr>
            </w:pPr>
            <w:r w:rsidRPr="008870C8">
              <w:rPr>
                <w:sz w:val="20"/>
                <w:szCs w:val="20"/>
                <w:lang w:val="es-419"/>
              </w:rPr>
              <w:t>478</w:t>
            </w:r>
          </w:p>
        </w:tc>
        <w:tc>
          <w:tcPr>
            <w:tcW w:w="1660" w:type="dxa"/>
            <w:tcBorders>
              <w:top w:val="nil"/>
              <w:left w:val="nil"/>
              <w:bottom w:val="single" w:sz="4" w:space="0" w:color="auto"/>
              <w:right w:val="single" w:sz="4" w:space="0" w:color="auto"/>
            </w:tcBorders>
            <w:shd w:val="clear" w:color="auto" w:fill="auto"/>
            <w:noWrap/>
            <w:hideMark/>
          </w:tcPr>
          <w:p w14:paraId="054EF7EF" w14:textId="77777777" w:rsidR="0081113A" w:rsidRPr="008870C8" w:rsidRDefault="0081113A" w:rsidP="00F45A7F">
            <w:pPr>
              <w:jc w:val="right"/>
              <w:rPr>
                <w:sz w:val="20"/>
                <w:szCs w:val="20"/>
                <w:lang w:val="es-419"/>
              </w:rPr>
            </w:pPr>
            <w:r w:rsidRPr="008870C8">
              <w:rPr>
                <w:sz w:val="20"/>
                <w:szCs w:val="20"/>
                <w:lang w:val="es-419"/>
              </w:rPr>
              <w:t>3 533</w:t>
            </w:r>
          </w:p>
        </w:tc>
        <w:tc>
          <w:tcPr>
            <w:tcW w:w="1175" w:type="dxa"/>
            <w:tcBorders>
              <w:top w:val="nil"/>
              <w:left w:val="nil"/>
              <w:bottom w:val="single" w:sz="4" w:space="0" w:color="auto"/>
              <w:right w:val="single" w:sz="4" w:space="0" w:color="auto"/>
            </w:tcBorders>
            <w:shd w:val="clear" w:color="auto" w:fill="auto"/>
            <w:noWrap/>
            <w:hideMark/>
          </w:tcPr>
          <w:p w14:paraId="418A3D5A"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6F217803"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6468582C" w14:textId="77777777" w:rsidR="0081113A" w:rsidRPr="008870C8" w:rsidRDefault="0081113A" w:rsidP="00F45A7F">
            <w:pPr>
              <w:jc w:val="left"/>
              <w:rPr>
                <w:sz w:val="20"/>
                <w:szCs w:val="20"/>
                <w:lang w:val="es-419"/>
              </w:rPr>
            </w:pPr>
            <w:r w:rsidRPr="008870C8">
              <w:rPr>
                <w:sz w:val="20"/>
                <w:szCs w:val="20"/>
                <w:lang w:val="es-419"/>
              </w:rPr>
              <w:t>Plan de reducción de HFC</w:t>
            </w:r>
          </w:p>
        </w:tc>
        <w:tc>
          <w:tcPr>
            <w:tcW w:w="1134" w:type="dxa"/>
            <w:tcBorders>
              <w:top w:val="nil"/>
              <w:left w:val="nil"/>
              <w:bottom w:val="single" w:sz="4" w:space="0" w:color="auto"/>
              <w:right w:val="single" w:sz="4" w:space="0" w:color="auto"/>
            </w:tcBorders>
            <w:shd w:val="clear" w:color="auto" w:fill="auto"/>
            <w:noWrap/>
            <w:hideMark/>
          </w:tcPr>
          <w:p w14:paraId="120B7AE9"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5D76F7D6"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380EB99D" w14:textId="77777777" w:rsidR="0081113A" w:rsidRPr="008870C8" w:rsidRDefault="0081113A" w:rsidP="00F45A7F">
            <w:pPr>
              <w:jc w:val="right"/>
              <w:rPr>
                <w:sz w:val="20"/>
                <w:szCs w:val="20"/>
                <w:lang w:val="es-419"/>
              </w:rPr>
            </w:pPr>
            <w:r w:rsidRPr="008870C8">
              <w:rPr>
                <w:sz w:val="20"/>
                <w:szCs w:val="20"/>
                <w:lang w:val="es-419"/>
              </w:rPr>
              <w:t>7 290</w:t>
            </w:r>
          </w:p>
        </w:tc>
        <w:tc>
          <w:tcPr>
            <w:tcW w:w="1660" w:type="dxa"/>
            <w:tcBorders>
              <w:top w:val="nil"/>
              <w:left w:val="nil"/>
              <w:bottom w:val="single" w:sz="4" w:space="0" w:color="auto"/>
              <w:right w:val="single" w:sz="4" w:space="0" w:color="auto"/>
            </w:tcBorders>
            <w:shd w:val="clear" w:color="auto" w:fill="auto"/>
            <w:noWrap/>
            <w:hideMark/>
          </w:tcPr>
          <w:p w14:paraId="27F392F4" w14:textId="77777777" w:rsidR="0081113A" w:rsidRPr="008870C8" w:rsidRDefault="0081113A" w:rsidP="00F45A7F">
            <w:pPr>
              <w:jc w:val="right"/>
              <w:rPr>
                <w:sz w:val="20"/>
                <w:szCs w:val="20"/>
                <w:lang w:val="es-419"/>
              </w:rPr>
            </w:pPr>
            <w:r w:rsidRPr="008870C8">
              <w:rPr>
                <w:sz w:val="20"/>
                <w:szCs w:val="20"/>
                <w:lang w:val="es-419"/>
              </w:rPr>
              <w:t>7 290</w:t>
            </w:r>
          </w:p>
        </w:tc>
        <w:tc>
          <w:tcPr>
            <w:tcW w:w="1175" w:type="dxa"/>
            <w:tcBorders>
              <w:top w:val="nil"/>
              <w:left w:val="nil"/>
              <w:bottom w:val="single" w:sz="4" w:space="0" w:color="auto"/>
              <w:right w:val="single" w:sz="4" w:space="0" w:color="auto"/>
            </w:tcBorders>
            <w:shd w:val="clear" w:color="auto" w:fill="auto"/>
            <w:noWrap/>
            <w:hideMark/>
          </w:tcPr>
          <w:p w14:paraId="46596917"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623676C9"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7205F111"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relativas al HFC</w:t>
            </w:r>
          </w:p>
        </w:tc>
        <w:tc>
          <w:tcPr>
            <w:tcW w:w="1134" w:type="dxa"/>
            <w:tcBorders>
              <w:top w:val="nil"/>
              <w:left w:val="nil"/>
              <w:bottom w:val="single" w:sz="4" w:space="0" w:color="auto"/>
              <w:right w:val="single" w:sz="4" w:space="0" w:color="auto"/>
            </w:tcBorders>
            <w:shd w:val="clear" w:color="auto" w:fill="auto"/>
            <w:noWrap/>
            <w:hideMark/>
          </w:tcPr>
          <w:p w14:paraId="68FDFB41" w14:textId="77777777" w:rsidR="0081113A" w:rsidRPr="008870C8" w:rsidRDefault="0081113A" w:rsidP="00F45A7F">
            <w:pPr>
              <w:jc w:val="right"/>
              <w:rPr>
                <w:b/>
                <w:bCs/>
                <w:sz w:val="20"/>
                <w:szCs w:val="20"/>
                <w:lang w:val="es-419"/>
              </w:rPr>
            </w:pPr>
            <w:r w:rsidRPr="008870C8">
              <w:rPr>
                <w:b/>
                <w:bCs/>
                <w:sz w:val="20"/>
                <w:szCs w:val="20"/>
                <w:lang w:val="es-419"/>
              </w:rPr>
              <w:t>1 870</w:t>
            </w:r>
          </w:p>
        </w:tc>
        <w:tc>
          <w:tcPr>
            <w:tcW w:w="1134" w:type="dxa"/>
            <w:tcBorders>
              <w:top w:val="nil"/>
              <w:left w:val="nil"/>
              <w:bottom w:val="single" w:sz="4" w:space="0" w:color="auto"/>
              <w:right w:val="single" w:sz="4" w:space="0" w:color="auto"/>
            </w:tcBorders>
            <w:shd w:val="clear" w:color="auto" w:fill="auto"/>
            <w:noWrap/>
            <w:hideMark/>
          </w:tcPr>
          <w:p w14:paraId="729CE3F9" w14:textId="77777777" w:rsidR="0081113A" w:rsidRPr="008870C8" w:rsidRDefault="0081113A" w:rsidP="00F45A7F">
            <w:pPr>
              <w:jc w:val="right"/>
              <w:rPr>
                <w:b/>
                <w:bCs/>
                <w:sz w:val="20"/>
                <w:szCs w:val="20"/>
                <w:lang w:val="es-419"/>
              </w:rPr>
            </w:pPr>
            <w:r w:rsidRPr="008870C8">
              <w:rPr>
                <w:b/>
                <w:bCs/>
                <w:sz w:val="20"/>
                <w:szCs w:val="20"/>
                <w:lang w:val="es-419"/>
              </w:rPr>
              <w:t>1 286</w:t>
            </w:r>
          </w:p>
        </w:tc>
        <w:tc>
          <w:tcPr>
            <w:tcW w:w="1134" w:type="dxa"/>
            <w:tcBorders>
              <w:top w:val="nil"/>
              <w:left w:val="nil"/>
              <w:bottom w:val="single" w:sz="4" w:space="0" w:color="auto"/>
              <w:right w:val="single" w:sz="4" w:space="0" w:color="auto"/>
            </w:tcBorders>
            <w:shd w:val="clear" w:color="auto" w:fill="auto"/>
            <w:noWrap/>
            <w:hideMark/>
          </w:tcPr>
          <w:p w14:paraId="07E2AEDD" w14:textId="77777777" w:rsidR="0081113A" w:rsidRPr="008870C8" w:rsidRDefault="0081113A" w:rsidP="00F45A7F">
            <w:pPr>
              <w:jc w:val="right"/>
              <w:rPr>
                <w:b/>
                <w:bCs/>
                <w:sz w:val="20"/>
                <w:szCs w:val="20"/>
                <w:lang w:val="es-419"/>
              </w:rPr>
            </w:pPr>
            <w:r w:rsidRPr="008870C8">
              <w:rPr>
                <w:b/>
                <w:bCs/>
                <w:sz w:val="20"/>
                <w:szCs w:val="20"/>
                <w:lang w:val="es-419"/>
              </w:rPr>
              <w:t>7 768</w:t>
            </w:r>
          </w:p>
        </w:tc>
        <w:tc>
          <w:tcPr>
            <w:tcW w:w="1660" w:type="dxa"/>
            <w:tcBorders>
              <w:top w:val="nil"/>
              <w:left w:val="nil"/>
              <w:bottom w:val="single" w:sz="4" w:space="0" w:color="auto"/>
              <w:right w:val="single" w:sz="4" w:space="0" w:color="auto"/>
            </w:tcBorders>
            <w:shd w:val="clear" w:color="auto" w:fill="auto"/>
            <w:noWrap/>
            <w:hideMark/>
          </w:tcPr>
          <w:p w14:paraId="1E5AFAE0" w14:textId="77777777" w:rsidR="0081113A" w:rsidRPr="008870C8" w:rsidRDefault="0081113A" w:rsidP="00F45A7F">
            <w:pPr>
              <w:jc w:val="right"/>
              <w:rPr>
                <w:b/>
                <w:bCs/>
                <w:sz w:val="20"/>
                <w:szCs w:val="20"/>
                <w:lang w:val="es-419"/>
              </w:rPr>
            </w:pPr>
            <w:r w:rsidRPr="008870C8">
              <w:rPr>
                <w:b/>
                <w:bCs/>
                <w:sz w:val="20"/>
                <w:szCs w:val="20"/>
                <w:lang w:val="es-419"/>
              </w:rPr>
              <w:t>10 823</w:t>
            </w:r>
          </w:p>
        </w:tc>
        <w:tc>
          <w:tcPr>
            <w:tcW w:w="1175" w:type="dxa"/>
            <w:tcBorders>
              <w:top w:val="nil"/>
              <w:left w:val="nil"/>
              <w:bottom w:val="single" w:sz="4" w:space="0" w:color="auto"/>
              <w:right w:val="single" w:sz="4" w:space="0" w:color="auto"/>
            </w:tcBorders>
            <w:shd w:val="clear" w:color="auto" w:fill="auto"/>
            <w:noWrap/>
            <w:hideMark/>
          </w:tcPr>
          <w:p w14:paraId="23572BC2" w14:textId="77777777" w:rsidR="0081113A" w:rsidRPr="008870C8" w:rsidRDefault="0081113A" w:rsidP="00F45A7F">
            <w:pPr>
              <w:jc w:val="right"/>
              <w:rPr>
                <w:b/>
                <w:bCs/>
                <w:sz w:val="20"/>
                <w:szCs w:val="20"/>
                <w:lang w:val="es-419"/>
              </w:rPr>
            </w:pPr>
            <w:r w:rsidRPr="008870C8">
              <w:rPr>
                <w:b/>
                <w:bCs/>
                <w:sz w:val="20"/>
                <w:szCs w:val="20"/>
                <w:lang w:val="es-419"/>
              </w:rPr>
              <w:t>0</w:t>
            </w:r>
          </w:p>
        </w:tc>
      </w:tr>
      <w:tr w:rsidR="0081113A" w:rsidRPr="008870C8" w14:paraId="3694666E" w14:textId="77777777" w:rsidTr="00F45A7F">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E77D788" w14:textId="77777777" w:rsidR="0081113A" w:rsidRPr="008870C8" w:rsidRDefault="0081113A" w:rsidP="00F45A7F">
            <w:pPr>
              <w:jc w:val="left"/>
              <w:rPr>
                <w:b/>
                <w:bCs/>
                <w:sz w:val="20"/>
                <w:szCs w:val="20"/>
                <w:lang w:val="es-419"/>
              </w:rPr>
            </w:pPr>
            <w:r w:rsidRPr="008870C8">
              <w:rPr>
                <w:b/>
                <w:bCs/>
                <w:sz w:val="20"/>
                <w:szCs w:val="20"/>
                <w:lang w:val="es-419"/>
              </w:rPr>
              <w:t>Actividades estándar</w:t>
            </w:r>
          </w:p>
        </w:tc>
      </w:tr>
      <w:tr w:rsidR="0081113A" w:rsidRPr="008870C8" w14:paraId="2D13707C"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762A649F" w14:textId="77777777" w:rsidR="0081113A" w:rsidRPr="008870C8" w:rsidRDefault="0081113A" w:rsidP="00F45A7F">
            <w:pPr>
              <w:jc w:val="left"/>
              <w:rPr>
                <w:sz w:val="20"/>
                <w:szCs w:val="20"/>
                <w:lang w:val="es-419"/>
              </w:rPr>
            </w:pPr>
            <w:r w:rsidRPr="008870C8">
              <w:rPr>
                <w:sz w:val="20"/>
                <w:szCs w:val="20"/>
                <w:lang w:val="es-419"/>
              </w:rPr>
              <w:t>Fortalecimiento institucional</w:t>
            </w:r>
          </w:p>
        </w:tc>
        <w:tc>
          <w:tcPr>
            <w:tcW w:w="1134" w:type="dxa"/>
            <w:tcBorders>
              <w:top w:val="nil"/>
              <w:left w:val="nil"/>
              <w:bottom w:val="single" w:sz="4" w:space="0" w:color="auto"/>
              <w:right w:val="single" w:sz="4" w:space="0" w:color="auto"/>
            </w:tcBorders>
            <w:shd w:val="clear" w:color="auto" w:fill="auto"/>
            <w:noWrap/>
            <w:hideMark/>
          </w:tcPr>
          <w:p w14:paraId="53631FB9" w14:textId="77777777" w:rsidR="0081113A" w:rsidRPr="008870C8" w:rsidRDefault="0081113A" w:rsidP="00F45A7F">
            <w:pPr>
              <w:jc w:val="right"/>
              <w:rPr>
                <w:sz w:val="20"/>
                <w:szCs w:val="20"/>
                <w:lang w:val="es-419"/>
              </w:rPr>
            </w:pPr>
            <w:r w:rsidRPr="008870C8">
              <w:rPr>
                <w:sz w:val="20"/>
                <w:szCs w:val="20"/>
                <w:lang w:val="es-419"/>
              </w:rPr>
              <w:t>2 931</w:t>
            </w:r>
          </w:p>
        </w:tc>
        <w:tc>
          <w:tcPr>
            <w:tcW w:w="1134" w:type="dxa"/>
            <w:tcBorders>
              <w:top w:val="nil"/>
              <w:left w:val="nil"/>
              <w:bottom w:val="single" w:sz="4" w:space="0" w:color="auto"/>
              <w:right w:val="single" w:sz="4" w:space="0" w:color="auto"/>
            </w:tcBorders>
            <w:shd w:val="clear" w:color="auto" w:fill="auto"/>
            <w:noWrap/>
            <w:hideMark/>
          </w:tcPr>
          <w:p w14:paraId="1CC4CEB5" w14:textId="77777777" w:rsidR="0081113A" w:rsidRPr="008870C8" w:rsidRDefault="0081113A" w:rsidP="00F45A7F">
            <w:pPr>
              <w:jc w:val="right"/>
              <w:rPr>
                <w:sz w:val="20"/>
                <w:szCs w:val="20"/>
                <w:lang w:val="es-419"/>
              </w:rPr>
            </w:pPr>
            <w:r w:rsidRPr="008870C8">
              <w:rPr>
                <w:sz w:val="20"/>
                <w:szCs w:val="20"/>
                <w:lang w:val="es-419"/>
              </w:rPr>
              <w:t>3 456</w:t>
            </w:r>
          </w:p>
        </w:tc>
        <w:tc>
          <w:tcPr>
            <w:tcW w:w="1134" w:type="dxa"/>
            <w:tcBorders>
              <w:top w:val="nil"/>
              <w:left w:val="nil"/>
              <w:bottom w:val="single" w:sz="4" w:space="0" w:color="auto"/>
              <w:right w:val="single" w:sz="4" w:space="0" w:color="auto"/>
            </w:tcBorders>
            <w:shd w:val="clear" w:color="auto" w:fill="auto"/>
            <w:noWrap/>
            <w:hideMark/>
          </w:tcPr>
          <w:p w14:paraId="453AA8B5" w14:textId="77777777" w:rsidR="0081113A" w:rsidRPr="008870C8" w:rsidRDefault="0081113A" w:rsidP="00F45A7F">
            <w:pPr>
              <w:jc w:val="right"/>
              <w:rPr>
                <w:sz w:val="20"/>
                <w:szCs w:val="20"/>
                <w:lang w:val="es-419"/>
              </w:rPr>
            </w:pPr>
            <w:r w:rsidRPr="008870C8">
              <w:rPr>
                <w:sz w:val="20"/>
                <w:szCs w:val="20"/>
                <w:lang w:val="es-419"/>
              </w:rPr>
              <w:t>2 931</w:t>
            </w:r>
          </w:p>
        </w:tc>
        <w:tc>
          <w:tcPr>
            <w:tcW w:w="1660" w:type="dxa"/>
            <w:tcBorders>
              <w:top w:val="nil"/>
              <w:left w:val="nil"/>
              <w:bottom w:val="single" w:sz="4" w:space="0" w:color="auto"/>
              <w:right w:val="single" w:sz="4" w:space="0" w:color="auto"/>
            </w:tcBorders>
            <w:shd w:val="clear" w:color="auto" w:fill="auto"/>
            <w:noWrap/>
            <w:hideMark/>
          </w:tcPr>
          <w:p w14:paraId="7666EF02" w14:textId="77777777" w:rsidR="0081113A" w:rsidRPr="008870C8" w:rsidRDefault="0081113A" w:rsidP="00F45A7F">
            <w:pPr>
              <w:jc w:val="right"/>
              <w:rPr>
                <w:sz w:val="20"/>
                <w:szCs w:val="20"/>
                <w:lang w:val="es-419"/>
              </w:rPr>
            </w:pPr>
            <w:r w:rsidRPr="008870C8">
              <w:rPr>
                <w:sz w:val="20"/>
                <w:szCs w:val="20"/>
                <w:lang w:val="es-419"/>
              </w:rPr>
              <w:t>9 317</w:t>
            </w:r>
          </w:p>
        </w:tc>
        <w:tc>
          <w:tcPr>
            <w:tcW w:w="1175" w:type="dxa"/>
            <w:tcBorders>
              <w:top w:val="nil"/>
              <w:left w:val="nil"/>
              <w:bottom w:val="single" w:sz="4" w:space="0" w:color="auto"/>
              <w:right w:val="single" w:sz="4" w:space="0" w:color="auto"/>
            </w:tcBorders>
            <w:shd w:val="clear" w:color="auto" w:fill="auto"/>
            <w:noWrap/>
            <w:hideMark/>
          </w:tcPr>
          <w:p w14:paraId="65EC15F6"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1C159FD7"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5DCF1106" w14:textId="77777777" w:rsidR="0081113A" w:rsidRPr="008870C8" w:rsidRDefault="0081113A" w:rsidP="00F45A7F">
            <w:pPr>
              <w:jc w:val="left"/>
              <w:rPr>
                <w:sz w:val="20"/>
                <w:szCs w:val="20"/>
                <w:lang w:val="es-419"/>
              </w:rPr>
            </w:pPr>
            <w:r w:rsidRPr="008870C8">
              <w:rPr>
                <w:sz w:val="20"/>
                <w:szCs w:val="20"/>
                <w:lang w:val="es-419"/>
              </w:rPr>
              <w:t>Unidad central</w:t>
            </w:r>
          </w:p>
        </w:tc>
        <w:tc>
          <w:tcPr>
            <w:tcW w:w="1134" w:type="dxa"/>
            <w:tcBorders>
              <w:top w:val="nil"/>
              <w:left w:val="nil"/>
              <w:bottom w:val="single" w:sz="4" w:space="0" w:color="auto"/>
              <w:right w:val="single" w:sz="4" w:space="0" w:color="auto"/>
            </w:tcBorders>
            <w:shd w:val="clear" w:color="auto" w:fill="auto"/>
            <w:noWrap/>
            <w:hideMark/>
          </w:tcPr>
          <w:p w14:paraId="6BCCF40F" w14:textId="77777777" w:rsidR="0081113A" w:rsidRPr="008870C8" w:rsidRDefault="0081113A" w:rsidP="00F45A7F">
            <w:pPr>
              <w:jc w:val="right"/>
              <w:rPr>
                <w:sz w:val="20"/>
                <w:szCs w:val="20"/>
                <w:lang w:val="es-419"/>
              </w:rPr>
            </w:pPr>
            <w:r w:rsidRPr="008870C8">
              <w:rPr>
                <w:sz w:val="20"/>
                <w:szCs w:val="20"/>
                <w:lang w:val="es-419"/>
              </w:rPr>
              <w:t>2 113</w:t>
            </w:r>
          </w:p>
        </w:tc>
        <w:tc>
          <w:tcPr>
            <w:tcW w:w="1134" w:type="dxa"/>
            <w:tcBorders>
              <w:top w:val="nil"/>
              <w:left w:val="nil"/>
              <w:bottom w:val="single" w:sz="4" w:space="0" w:color="auto"/>
              <w:right w:val="single" w:sz="4" w:space="0" w:color="auto"/>
            </w:tcBorders>
            <w:shd w:val="clear" w:color="auto" w:fill="auto"/>
            <w:noWrap/>
            <w:hideMark/>
          </w:tcPr>
          <w:p w14:paraId="30BBDE55" w14:textId="77777777" w:rsidR="0081113A" w:rsidRPr="008870C8" w:rsidRDefault="0081113A" w:rsidP="00F45A7F">
            <w:pPr>
              <w:jc w:val="right"/>
              <w:rPr>
                <w:sz w:val="20"/>
                <w:szCs w:val="20"/>
                <w:lang w:val="es-419"/>
              </w:rPr>
            </w:pPr>
            <w:r w:rsidRPr="008870C8">
              <w:rPr>
                <w:sz w:val="20"/>
                <w:szCs w:val="20"/>
                <w:lang w:val="es-419"/>
              </w:rPr>
              <w:t>2 128</w:t>
            </w:r>
          </w:p>
        </w:tc>
        <w:tc>
          <w:tcPr>
            <w:tcW w:w="1134" w:type="dxa"/>
            <w:tcBorders>
              <w:top w:val="nil"/>
              <w:left w:val="nil"/>
              <w:bottom w:val="single" w:sz="4" w:space="0" w:color="auto"/>
              <w:right w:val="single" w:sz="4" w:space="0" w:color="auto"/>
            </w:tcBorders>
            <w:shd w:val="clear" w:color="auto" w:fill="auto"/>
            <w:noWrap/>
            <w:hideMark/>
          </w:tcPr>
          <w:p w14:paraId="324D3886" w14:textId="77777777" w:rsidR="0081113A" w:rsidRPr="008870C8" w:rsidRDefault="0081113A" w:rsidP="00F45A7F">
            <w:pPr>
              <w:jc w:val="right"/>
              <w:rPr>
                <w:sz w:val="20"/>
                <w:szCs w:val="20"/>
                <w:lang w:val="es-419"/>
              </w:rPr>
            </w:pPr>
            <w:r w:rsidRPr="008870C8">
              <w:rPr>
                <w:sz w:val="20"/>
                <w:szCs w:val="20"/>
                <w:lang w:val="es-419"/>
              </w:rPr>
              <w:t>2 143</w:t>
            </w:r>
          </w:p>
        </w:tc>
        <w:tc>
          <w:tcPr>
            <w:tcW w:w="1660" w:type="dxa"/>
            <w:tcBorders>
              <w:top w:val="nil"/>
              <w:left w:val="nil"/>
              <w:bottom w:val="single" w:sz="4" w:space="0" w:color="auto"/>
              <w:right w:val="single" w:sz="4" w:space="0" w:color="auto"/>
            </w:tcBorders>
            <w:shd w:val="clear" w:color="auto" w:fill="auto"/>
            <w:noWrap/>
            <w:hideMark/>
          </w:tcPr>
          <w:p w14:paraId="577E37C2" w14:textId="77777777" w:rsidR="0081113A" w:rsidRPr="008870C8" w:rsidRDefault="0081113A" w:rsidP="00F45A7F">
            <w:pPr>
              <w:jc w:val="right"/>
              <w:rPr>
                <w:sz w:val="20"/>
                <w:szCs w:val="20"/>
                <w:lang w:val="es-419"/>
              </w:rPr>
            </w:pPr>
            <w:r w:rsidRPr="008870C8">
              <w:rPr>
                <w:sz w:val="20"/>
                <w:szCs w:val="20"/>
                <w:lang w:val="es-419"/>
              </w:rPr>
              <w:t>6 384</w:t>
            </w:r>
          </w:p>
        </w:tc>
        <w:tc>
          <w:tcPr>
            <w:tcW w:w="1175" w:type="dxa"/>
            <w:tcBorders>
              <w:top w:val="nil"/>
              <w:left w:val="nil"/>
              <w:bottom w:val="single" w:sz="4" w:space="0" w:color="auto"/>
              <w:right w:val="single" w:sz="4" w:space="0" w:color="auto"/>
            </w:tcBorders>
            <w:shd w:val="clear" w:color="auto" w:fill="auto"/>
            <w:noWrap/>
            <w:hideMark/>
          </w:tcPr>
          <w:p w14:paraId="202DE778"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50F861F6"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04A1CC42"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estándar</w:t>
            </w:r>
          </w:p>
        </w:tc>
        <w:tc>
          <w:tcPr>
            <w:tcW w:w="1134" w:type="dxa"/>
            <w:tcBorders>
              <w:top w:val="nil"/>
              <w:left w:val="nil"/>
              <w:bottom w:val="single" w:sz="4" w:space="0" w:color="auto"/>
              <w:right w:val="single" w:sz="4" w:space="0" w:color="auto"/>
            </w:tcBorders>
            <w:shd w:val="clear" w:color="auto" w:fill="auto"/>
            <w:noWrap/>
            <w:hideMark/>
          </w:tcPr>
          <w:p w14:paraId="4E25A896" w14:textId="77777777" w:rsidR="0081113A" w:rsidRPr="008870C8" w:rsidRDefault="0081113A" w:rsidP="00F45A7F">
            <w:pPr>
              <w:jc w:val="right"/>
              <w:rPr>
                <w:b/>
                <w:bCs/>
                <w:sz w:val="20"/>
                <w:szCs w:val="20"/>
                <w:lang w:val="es-419"/>
              </w:rPr>
            </w:pPr>
            <w:r w:rsidRPr="008870C8">
              <w:rPr>
                <w:b/>
                <w:bCs/>
                <w:sz w:val="20"/>
                <w:szCs w:val="20"/>
                <w:lang w:val="es-419"/>
              </w:rPr>
              <w:t>5 044</w:t>
            </w:r>
          </w:p>
        </w:tc>
        <w:tc>
          <w:tcPr>
            <w:tcW w:w="1134" w:type="dxa"/>
            <w:tcBorders>
              <w:top w:val="nil"/>
              <w:left w:val="nil"/>
              <w:bottom w:val="single" w:sz="4" w:space="0" w:color="auto"/>
              <w:right w:val="single" w:sz="4" w:space="0" w:color="auto"/>
            </w:tcBorders>
            <w:shd w:val="clear" w:color="auto" w:fill="auto"/>
            <w:noWrap/>
            <w:hideMark/>
          </w:tcPr>
          <w:p w14:paraId="15C16D91" w14:textId="77777777" w:rsidR="0081113A" w:rsidRPr="008870C8" w:rsidRDefault="0081113A" w:rsidP="00F45A7F">
            <w:pPr>
              <w:jc w:val="right"/>
              <w:rPr>
                <w:b/>
                <w:bCs/>
                <w:sz w:val="20"/>
                <w:szCs w:val="20"/>
                <w:lang w:val="es-419"/>
              </w:rPr>
            </w:pPr>
            <w:r w:rsidRPr="008870C8">
              <w:rPr>
                <w:b/>
                <w:bCs/>
                <w:sz w:val="20"/>
                <w:szCs w:val="20"/>
                <w:lang w:val="es-419"/>
              </w:rPr>
              <w:t>5 584</w:t>
            </w:r>
          </w:p>
        </w:tc>
        <w:tc>
          <w:tcPr>
            <w:tcW w:w="1134" w:type="dxa"/>
            <w:tcBorders>
              <w:top w:val="nil"/>
              <w:left w:val="nil"/>
              <w:bottom w:val="single" w:sz="4" w:space="0" w:color="auto"/>
              <w:right w:val="single" w:sz="4" w:space="0" w:color="auto"/>
            </w:tcBorders>
            <w:shd w:val="clear" w:color="auto" w:fill="auto"/>
            <w:noWrap/>
            <w:hideMark/>
          </w:tcPr>
          <w:p w14:paraId="38951CCE" w14:textId="77777777" w:rsidR="0081113A" w:rsidRPr="008870C8" w:rsidRDefault="0081113A" w:rsidP="00F45A7F">
            <w:pPr>
              <w:jc w:val="right"/>
              <w:rPr>
                <w:b/>
                <w:bCs/>
                <w:sz w:val="20"/>
                <w:szCs w:val="20"/>
                <w:lang w:val="es-419"/>
              </w:rPr>
            </w:pPr>
            <w:r w:rsidRPr="008870C8">
              <w:rPr>
                <w:b/>
                <w:bCs/>
                <w:sz w:val="20"/>
                <w:szCs w:val="20"/>
                <w:lang w:val="es-419"/>
              </w:rPr>
              <w:t>5 073</w:t>
            </w:r>
          </w:p>
        </w:tc>
        <w:tc>
          <w:tcPr>
            <w:tcW w:w="1660" w:type="dxa"/>
            <w:tcBorders>
              <w:top w:val="nil"/>
              <w:left w:val="nil"/>
              <w:bottom w:val="single" w:sz="4" w:space="0" w:color="auto"/>
              <w:right w:val="single" w:sz="4" w:space="0" w:color="auto"/>
            </w:tcBorders>
            <w:shd w:val="clear" w:color="auto" w:fill="auto"/>
            <w:noWrap/>
            <w:hideMark/>
          </w:tcPr>
          <w:p w14:paraId="4B7EEF77" w14:textId="77777777" w:rsidR="0081113A" w:rsidRPr="008870C8" w:rsidRDefault="0081113A" w:rsidP="00F45A7F">
            <w:pPr>
              <w:jc w:val="right"/>
              <w:rPr>
                <w:b/>
                <w:bCs/>
                <w:sz w:val="20"/>
                <w:szCs w:val="20"/>
                <w:lang w:val="es-419"/>
              </w:rPr>
            </w:pPr>
            <w:r w:rsidRPr="008870C8">
              <w:rPr>
                <w:b/>
                <w:bCs/>
                <w:sz w:val="20"/>
                <w:szCs w:val="20"/>
                <w:lang w:val="es-419"/>
              </w:rPr>
              <w:t>15 701</w:t>
            </w:r>
          </w:p>
        </w:tc>
        <w:tc>
          <w:tcPr>
            <w:tcW w:w="1175" w:type="dxa"/>
            <w:tcBorders>
              <w:top w:val="nil"/>
              <w:left w:val="nil"/>
              <w:bottom w:val="single" w:sz="4" w:space="0" w:color="auto"/>
              <w:right w:val="single" w:sz="4" w:space="0" w:color="auto"/>
            </w:tcBorders>
            <w:shd w:val="clear" w:color="auto" w:fill="auto"/>
            <w:noWrap/>
            <w:hideMark/>
          </w:tcPr>
          <w:p w14:paraId="5FB57FE5" w14:textId="77777777" w:rsidR="0081113A" w:rsidRPr="008870C8" w:rsidRDefault="0081113A" w:rsidP="00F45A7F">
            <w:pPr>
              <w:jc w:val="right"/>
              <w:rPr>
                <w:b/>
                <w:bCs/>
                <w:sz w:val="20"/>
                <w:szCs w:val="20"/>
                <w:lang w:val="es-419"/>
              </w:rPr>
            </w:pPr>
            <w:r w:rsidRPr="008870C8">
              <w:rPr>
                <w:b/>
                <w:bCs/>
                <w:sz w:val="20"/>
                <w:szCs w:val="20"/>
                <w:lang w:val="es-419"/>
              </w:rPr>
              <w:t>0</w:t>
            </w:r>
          </w:p>
        </w:tc>
      </w:tr>
      <w:tr w:rsidR="0081113A" w:rsidRPr="008870C8" w14:paraId="68ACB9AE" w14:textId="77777777" w:rsidTr="00F45A7F">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14:paraId="63D2F82D" w14:textId="77777777" w:rsidR="0081113A" w:rsidRPr="008870C8" w:rsidRDefault="0081113A" w:rsidP="00F45A7F">
            <w:pPr>
              <w:jc w:val="left"/>
              <w:rPr>
                <w:b/>
                <w:bCs/>
                <w:sz w:val="20"/>
                <w:szCs w:val="20"/>
                <w:lang w:val="es-419"/>
              </w:rPr>
            </w:pPr>
            <w:r w:rsidRPr="008870C8">
              <w:rPr>
                <w:b/>
                <w:bCs/>
                <w:sz w:val="20"/>
                <w:szCs w:val="20"/>
                <w:lang w:val="es-419"/>
              </w:rPr>
              <w:t>Gran total</w:t>
            </w:r>
          </w:p>
        </w:tc>
        <w:tc>
          <w:tcPr>
            <w:tcW w:w="1134" w:type="dxa"/>
            <w:tcBorders>
              <w:top w:val="nil"/>
              <w:left w:val="nil"/>
              <w:bottom w:val="single" w:sz="4" w:space="0" w:color="auto"/>
              <w:right w:val="single" w:sz="4" w:space="0" w:color="auto"/>
            </w:tcBorders>
            <w:shd w:val="clear" w:color="auto" w:fill="auto"/>
            <w:noWrap/>
            <w:hideMark/>
          </w:tcPr>
          <w:p w14:paraId="2F87C013" w14:textId="77777777" w:rsidR="0081113A" w:rsidRPr="008870C8" w:rsidRDefault="0081113A" w:rsidP="00F45A7F">
            <w:pPr>
              <w:jc w:val="right"/>
              <w:rPr>
                <w:b/>
                <w:bCs/>
                <w:sz w:val="20"/>
                <w:szCs w:val="20"/>
                <w:lang w:val="es-419"/>
              </w:rPr>
            </w:pPr>
            <w:r w:rsidRPr="008870C8">
              <w:rPr>
                <w:b/>
                <w:bCs/>
                <w:sz w:val="20"/>
                <w:szCs w:val="20"/>
                <w:lang w:val="es-419"/>
              </w:rPr>
              <w:t>59 502</w:t>
            </w:r>
          </w:p>
        </w:tc>
        <w:tc>
          <w:tcPr>
            <w:tcW w:w="1134" w:type="dxa"/>
            <w:tcBorders>
              <w:top w:val="nil"/>
              <w:left w:val="nil"/>
              <w:bottom w:val="single" w:sz="4" w:space="0" w:color="auto"/>
              <w:right w:val="single" w:sz="4" w:space="0" w:color="auto"/>
            </w:tcBorders>
            <w:shd w:val="clear" w:color="auto" w:fill="auto"/>
            <w:noWrap/>
            <w:hideMark/>
          </w:tcPr>
          <w:p w14:paraId="05E057B2" w14:textId="77777777" w:rsidR="0081113A" w:rsidRPr="008870C8" w:rsidRDefault="0081113A" w:rsidP="00F45A7F">
            <w:pPr>
              <w:jc w:val="right"/>
              <w:rPr>
                <w:b/>
                <w:bCs/>
                <w:sz w:val="20"/>
                <w:szCs w:val="20"/>
                <w:lang w:val="es-419"/>
              </w:rPr>
            </w:pPr>
            <w:r w:rsidRPr="008870C8">
              <w:rPr>
                <w:b/>
                <w:bCs/>
                <w:sz w:val="20"/>
                <w:szCs w:val="20"/>
                <w:lang w:val="es-419"/>
              </w:rPr>
              <w:t>41 744</w:t>
            </w:r>
          </w:p>
        </w:tc>
        <w:tc>
          <w:tcPr>
            <w:tcW w:w="1134" w:type="dxa"/>
            <w:tcBorders>
              <w:top w:val="nil"/>
              <w:left w:val="nil"/>
              <w:bottom w:val="single" w:sz="4" w:space="0" w:color="auto"/>
              <w:right w:val="single" w:sz="4" w:space="0" w:color="auto"/>
            </w:tcBorders>
            <w:shd w:val="clear" w:color="auto" w:fill="auto"/>
            <w:noWrap/>
            <w:hideMark/>
          </w:tcPr>
          <w:p w14:paraId="0A910363" w14:textId="77777777" w:rsidR="0081113A" w:rsidRPr="008870C8" w:rsidRDefault="0081113A" w:rsidP="00F45A7F">
            <w:pPr>
              <w:jc w:val="right"/>
              <w:rPr>
                <w:b/>
                <w:bCs/>
                <w:sz w:val="20"/>
                <w:szCs w:val="20"/>
                <w:lang w:val="es-419"/>
              </w:rPr>
            </w:pPr>
            <w:r w:rsidRPr="008870C8">
              <w:rPr>
                <w:b/>
                <w:bCs/>
                <w:sz w:val="20"/>
                <w:szCs w:val="20"/>
                <w:lang w:val="es-419"/>
              </w:rPr>
              <w:t>52 576</w:t>
            </w:r>
          </w:p>
        </w:tc>
        <w:tc>
          <w:tcPr>
            <w:tcW w:w="1660" w:type="dxa"/>
            <w:tcBorders>
              <w:top w:val="nil"/>
              <w:left w:val="nil"/>
              <w:bottom w:val="single" w:sz="4" w:space="0" w:color="auto"/>
              <w:right w:val="single" w:sz="4" w:space="0" w:color="auto"/>
            </w:tcBorders>
            <w:shd w:val="clear" w:color="auto" w:fill="auto"/>
            <w:noWrap/>
            <w:hideMark/>
          </w:tcPr>
          <w:p w14:paraId="783B9785" w14:textId="77777777" w:rsidR="0081113A" w:rsidRPr="008870C8" w:rsidRDefault="0081113A" w:rsidP="00F45A7F">
            <w:pPr>
              <w:jc w:val="right"/>
              <w:rPr>
                <w:b/>
                <w:bCs/>
                <w:sz w:val="20"/>
                <w:szCs w:val="20"/>
                <w:lang w:val="es-419"/>
              </w:rPr>
            </w:pPr>
            <w:r w:rsidRPr="008870C8">
              <w:rPr>
                <w:b/>
                <w:bCs/>
                <w:sz w:val="20"/>
                <w:szCs w:val="20"/>
                <w:lang w:val="es-419"/>
              </w:rPr>
              <w:t>153 721</w:t>
            </w:r>
          </w:p>
        </w:tc>
        <w:tc>
          <w:tcPr>
            <w:tcW w:w="1175" w:type="dxa"/>
            <w:tcBorders>
              <w:top w:val="nil"/>
              <w:left w:val="nil"/>
              <w:bottom w:val="single" w:sz="4" w:space="0" w:color="auto"/>
              <w:right w:val="single" w:sz="4" w:space="0" w:color="auto"/>
            </w:tcBorders>
            <w:shd w:val="clear" w:color="auto" w:fill="auto"/>
            <w:noWrap/>
            <w:hideMark/>
          </w:tcPr>
          <w:p w14:paraId="2130D01D" w14:textId="77777777" w:rsidR="0081113A" w:rsidRPr="008870C8" w:rsidRDefault="0081113A" w:rsidP="00F45A7F">
            <w:pPr>
              <w:jc w:val="right"/>
              <w:rPr>
                <w:b/>
                <w:bCs/>
                <w:sz w:val="20"/>
                <w:szCs w:val="20"/>
                <w:lang w:val="es-419"/>
              </w:rPr>
            </w:pPr>
            <w:r w:rsidRPr="008870C8">
              <w:rPr>
                <w:b/>
                <w:bCs/>
                <w:sz w:val="20"/>
                <w:szCs w:val="20"/>
                <w:lang w:val="es-419"/>
              </w:rPr>
              <w:t>11 561</w:t>
            </w:r>
          </w:p>
        </w:tc>
      </w:tr>
    </w:tbl>
    <w:p w14:paraId="455C3D8C" w14:textId="77777777" w:rsidR="0081113A" w:rsidRPr="008870C8" w:rsidRDefault="0081113A" w:rsidP="0081113A">
      <w:pPr>
        <w:rPr>
          <w:sz w:val="18"/>
          <w:szCs w:val="18"/>
          <w:lang w:val="es-419"/>
        </w:rPr>
      </w:pPr>
      <w:r w:rsidRPr="008870C8">
        <w:rPr>
          <w:sz w:val="18"/>
          <w:szCs w:val="18"/>
          <w:lang w:val="es-419"/>
        </w:rPr>
        <w:t xml:space="preserve">*Incluidos los gastos de apoyo al organismo cuando corresponda. </w:t>
      </w:r>
    </w:p>
    <w:p w14:paraId="7EB20EEE" w14:textId="77777777" w:rsidR="0081113A" w:rsidRPr="008870C8" w:rsidRDefault="0081113A" w:rsidP="0081113A">
      <w:pPr>
        <w:rPr>
          <w:sz w:val="18"/>
          <w:szCs w:val="18"/>
          <w:lang w:val="es-419"/>
        </w:rPr>
      </w:pPr>
    </w:p>
    <w:p w14:paraId="0FF3AFF5" w14:textId="77777777" w:rsidR="0081113A" w:rsidRPr="008870C8" w:rsidRDefault="0081113A" w:rsidP="0081113A">
      <w:pPr>
        <w:pStyle w:val="Heading1"/>
        <w:keepNext/>
        <w:numPr>
          <w:ilvl w:val="0"/>
          <w:numId w:val="0"/>
        </w:numPr>
        <w:rPr>
          <w:b/>
          <w:lang w:val="es-419"/>
        </w:rPr>
      </w:pPr>
      <w:r w:rsidRPr="008870C8">
        <w:rPr>
          <w:b/>
          <w:lang w:val="es-419"/>
        </w:rPr>
        <w:t xml:space="preserve">Comentarios de la Secretaría </w:t>
      </w:r>
    </w:p>
    <w:p w14:paraId="12B20846" w14:textId="77777777" w:rsidR="0081113A" w:rsidRPr="008870C8" w:rsidRDefault="0081113A" w:rsidP="0081113A">
      <w:pPr>
        <w:pStyle w:val="Heading1"/>
        <w:numPr>
          <w:ilvl w:val="0"/>
          <w:numId w:val="0"/>
        </w:numPr>
        <w:rPr>
          <w:u w:val="single"/>
          <w:lang w:val="es-419"/>
        </w:rPr>
      </w:pPr>
      <w:r w:rsidRPr="008870C8">
        <w:rPr>
          <w:u w:val="single"/>
          <w:lang w:val="es-419"/>
        </w:rPr>
        <w:t>Etapa II de los planes de gestión de la eliminación de los HCFC</w:t>
      </w:r>
    </w:p>
    <w:p w14:paraId="52F416BB" w14:textId="77777777" w:rsidR="0081113A" w:rsidRPr="008870C8" w:rsidRDefault="0081113A" w:rsidP="0081113A">
      <w:pPr>
        <w:pStyle w:val="Heading1"/>
        <w:rPr>
          <w:lang w:val="es-419"/>
        </w:rPr>
      </w:pPr>
      <w:r w:rsidRPr="008870C8">
        <w:rPr>
          <w:lang w:val="es-419"/>
        </w:rPr>
        <w:t xml:space="preserve">Los niveles totales de financiación para la etapa II de los planes de gestión de la eliminación de los HCFC (PGEH) en países de bajo consumo para alcanzar la reducción del 67,5 % en el consumo básico de referencia de los HCFC ascienden a 4,98 millones de $EUA (incluyendo 2,93 millones $EUA para 2020-2022), y para alcanzar la reducción del 100 % ascienden a 868 743 $EUA (incluyendo 526 820 $EUA para 2020-2022). </w:t>
      </w:r>
    </w:p>
    <w:p w14:paraId="7918F1B3" w14:textId="77777777" w:rsidR="0081113A" w:rsidRPr="008870C8" w:rsidRDefault="0081113A" w:rsidP="0081113A">
      <w:pPr>
        <w:pStyle w:val="Heading1"/>
        <w:rPr>
          <w:lang w:val="es-419"/>
        </w:rPr>
      </w:pPr>
      <w:r w:rsidRPr="008870C8">
        <w:rPr>
          <w:lang w:val="es-419"/>
        </w:rPr>
        <w:t>En la tabla 2 se presenta la distribución de la financiación de la etapa II de los PGEH en países que no son de bajo consumo por sector.</w:t>
      </w:r>
    </w:p>
    <w:p w14:paraId="4CFD6433" w14:textId="77777777" w:rsidR="0081113A" w:rsidRPr="008870C8" w:rsidRDefault="0081113A" w:rsidP="0081113A">
      <w:pPr>
        <w:keepNext/>
        <w:rPr>
          <w:b/>
          <w:lang w:val="es-419"/>
        </w:rPr>
      </w:pPr>
      <w:r w:rsidRPr="008870C8">
        <w:rPr>
          <w:b/>
          <w:lang w:val="es-419"/>
        </w:rPr>
        <w:t>Tabla 2. Distribución de la financiación de la etapa II de los PGEH en países que no son de bajo consumo por sector (en miles $EUA)</w:t>
      </w:r>
    </w:p>
    <w:tbl>
      <w:tblPr>
        <w:tblW w:w="9340" w:type="dxa"/>
        <w:tblInd w:w="-5" w:type="dxa"/>
        <w:tblLook w:val="04A0" w:firstRow="1" w:lastRow="0" w:firstColumn="1" w:lastColumn="0" w:noHBand="0" w:noVBand="1"/>
      </w:tblPr>
      <w:tblGrid>
        <w:gridCol w:w="2540"/>
        <w:gridCol w:w="1540"/>
        <w:gridCol w:w="1580"/>
        <w:gridCol w:w="1340"/>
        <w:gridCol w:w="2340"/>
      </w:tblGrid>
      <w:tr w:rsidR="0081113A" w:rsidRPr="008870C8" w14:paraId="0CB42646" w14:textId="77777777" w:rsidTr="00F45A7F">
        <w:trPr>
          <w:trHeight w:val="264"/>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E241" w14:textId="77777777" w:rsidR="0081113A" w:rsidRPr="008870C8" w:rsidRDefault="0081113A" w:rsidP="00F45A7F">
            <w:pPr>
              <w:jc w:val="center"/>
              <w:rPr>
                <w:b/>
                <w:bCs/>
                <w:sz w:val="20"/>
                <w:szCs w:val="20"/>
                <w:lang w:val="es-419"/>
              </w:rPr>
            </w:pPr>
            <w:r w:rsidRPr="008870C8">
              <w:rPr>
                <w:b/>
                <w:bCs/>
                <w:sz w:val="20"/>
                <w:szCs w:val="20"/>
                <w:lang w:val="es-419"/>
              </w:rPr>
              <w:t>Sector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0699668" w14:textId="77777777" w:rsidR="0081113A" w:rsidRPr="008870C8" w:rsidRDefault="0081113A" w:rsidP="00F45A7F">
            <w:pPr>
              <w:jc w:val="center"/>
              <w:rPr>
                <w:b/>
                <w:bCs/>
                <w:sz w:val="20"/>
                <w:szCs w:val="20"/>
                <w:lang w:val="es-419"/>
              </w:rPr>
            </w:pPr>
            <w:r w:rsidRPr="008870C8">
              <w:rPr>
                <w:b/>
                <w:bCs/>
                <w:sz w:val="20"/>
                <w:szCs w:val="20"/>
                <w:lang w:val="es-419"/>
              </w:rPr>
              <w:t>2020–2022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BBCF81" w14:textId="77777777" w:rsidR="0081113A" w:rsidRPr="008870C8" w:rsidRDefault="0081113A" w:rsidP="00F45A7F">
            <w:pPr>
              <w:jc w:val="center"/>
              <w:rPr>
                <w:b/>
                <w:bCs/>
                <w:sz w:val="20"/>
                <w:szCs w:val="20"/>
                <w:lang w:val="es-419"/>
              </w:rPr>
            </w:pPr>
            <w:r w:rsidRPr="008870C8">
              <w:rPr>
                <w:b/>
                <w:bCs/>
                <w:sz w:val="20"/>
                <w:szCs w:val="20"/>
                <w:lang w:val="es-419"/>
              </w:rPr>
              <w:t>Después de 2022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914326B" w14:textId="77777777" w:rsidR="0081113A" w:rsidRPr="008870C8" w:rsidRDefault="0081113A" w:rsidP="00F45A7F">
            <w:pPr>
              <w:jc w:val="center"/>
              <w:rPr>
                <w:b/>
                <w:bCs/>
                <w:sz w:val="20"/>
                <w:szCs w:val="20"/>
                <w:lang w:val="es-419"/>
              </w:rPr>
            </w:pPr>
            <w:r w:rsidRPr="008870C8">
              <w:rPr>
                <w:b/>
                <w:bCs/>
                <w:sz w:val="20"/>
                <w:szCs w:val="20"/>
                <w:lang w:val="es-419"/>
              </w:rPr>
              <w:t>Total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6DF39AC" w14:textId="77777777" w:rsidR="0081113A" w:rsidRPr="008870C8" w:rsidRDefault="0081113A" w:rsidP="00F45A7F">
            <w:pPr>
              <w:jc w:val="center"/>
              <w:rPr>
                <w:b/>
                <w:bCs/>
                <w:sz w:val="20"/>
                <w:szCs w:val="20"/>
                <w:lang w:val="es-419"/>
              </w:rPr>
            </w:pPr>
            <w:r w:rsidRPr="008870C8">
              <w:rPr>
                <w:b/>
                <w:bCs/>
                <w:sz w:val="20"/>
                <w:szCs w:val="20"/>
                <w:lang w:val="es-419"/>
              </w:rPr>
              <w:t>Porcentaje del total (%)</w:t>
            </w:r>
          </w:p>
        </w:tc>
      </w:tr>
      <w:tr w:rsidR="0081113A" w:rsidRPr="008870C8" w14:paraId="7B46BC8D" w14:textId="77777777" w:rsidTr="00F45A7F">
        <w:trPr>
          <w:trHeight w:val="54"/>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62CF40A" w14:textId="77777777" w:rsidR="0081113A" w:rsidRPr="008870C8" w:rsidRDefault="0081113A" w:rsidP="00F45A7F">
            <w:pPr>
              <w:jc w:val="left"/>
              <w:rPr>
                <w:sz w:val="20"/>
                <w:szCs w:val="20"/>
                <w:lang w:val="es-419"/>
              </w:rPr>
            </w:pPr>
            <w:r w:rsidRPr="008870C8">
              <w:rPr>
                <w:sz w:val="20"/>
                <w:szCs w:val="20"/>
                <w:lang w:val="es-419"/>
              </w:rPr>
              <w:t>Servicio y mantenimiento de refrigeración</w:t>
            </w:r>
          </w:p>
        </w:tc>
        <w:tc>
          <w:tcPr>
            <w:tcW w:w="1540" w:type="dxa"/>
            <w:tcBorders>
              <w:top w:val="nil"/>
              <w:left w:val="nil"/>
              <w:bottom w:val="single" w:sz="4" w:space="0" w:color="auto"/>
              <w:right w:val="single" w:sz="4" w:space="0" w:color="auto"/>
            </w:tcBorders>
            <w:shd w:val="clear" w:color="auto" w:fill="auto"/>
            <w:noWrap/>
            <w:vAlign w:val="center"/>
            <w:hideMark/>
          </w:tcPr>
          <w:p w14:paraId="359B0EB5" w14:textId="77777777" w:rsidR="0081113A" w:rsidRPr="008870C8" w:rsidRDefault="0081113A" w:rsidP="00F45A7F">
            <w:pPr>
              <w:jc w:val="right"/>
              <w:rPr>
                <w:sz w:val="20"/>
                <w:szCs w:val="20"/>
                <w:lang w:val="es-419"/>
              </w:rPr>
            </w:pPr>
            <w:r w:rsidRPr="008870C8">
              <w:rPr>
                <w:sz w:val="20"/>
                <w:szCs w:val="20"/>
                <w:lang w:val="es-419"/>
              </w:rPr>
              <w:t xml:space="preserve"> 522 </w:t>
            </w:r>
          </w:p>
        </w:tc>
        <w:tc>
          <w:tcPr>
            <w:tcW w:w="1580" w:type="dxa"/>
            <w:tcBorders>
              <w:top w:val="nil"/>
              <w:left w:val="nil"/>
              <w:bottom w:val="single" w:sz="4" w:space="0" w:color="auto"/>
              <w:right w:val="single" w:sz="4" w:space="0" w:color="auto"/>
            </w:tcBorders>
            <w:shd w:val="clear" w:color="auto" w:fill="auto"/>
            <w:noWrap/>
            <w:vAlign w:val="center"/>
            <w:hideMark/>
          </w:tcPr>
          <w:p w14:paraId="188FFEF6" w14:textId="77777777" w:rsidR="0081113A" w:rsidRPr="008870C8" w:rsidRDefault="0081113A" w:rsidP="00F45A7F">
            <w:pPr>
              <w:jc w:val="right"/>
              <w:rPr>
                <w:sz w:val="20"/>
                <w:szCs w:val="20"/>
                <w:lang w:val="es-419"/>
              </w:rPr>
            </w:pPr>
            <w:r w:rsidRPr="008870C8">
              <w:rPr>
                <w:sz w:val="20"/>
                <w:szCs w:val="20"/>
                <w:lang w:val="es-419"/>
              </w:rPr>
              <w:t xml:space="preserve">1 527 </w:t>
            </w:r>
          </w:p>
        </w:tc>
        <w:tc>
          <w:tcPr>
            <w:tcW w:w="1340" w:type="dxa"/>
            <w:tcBorders>
              <w:top w:val="nil"/>
              <w:left w:val="nil"/>
              <w:bottom w:val="single" w:sz="4" w:space="0" w:color="auto"/>
              <w:right w:val="single" w:sz="4" w:space="0" w:color="auto"/>
            </w:tcBorders>
            <w:shd w:val="clear" w:color="auto" w:fill="auto"/>
            <w:noWrap/>
            <w:vAlign w:val="center"/>
            <w:hideMark/>
          </w:tcPr>
          <w:p w14:paraId="6734E899" w14:textId="77777777" w:rsidR="0081113A" w:rsidRPr="008870C8" w:rsidRDefault="0081113A" w:rsidP="00F45A7F">
            <w:pPr>
              <w:jc w:val="right"/>
              <w:rPr>
                <w:sz w:val="20"/>
                <w:szCs w:val="20"/>
                <w:lang w:val="es-419"/>
              </w:rPr>
            </w:pPr>
            <w:r w:rsidRPr="008870C8">
              <w:rPr>
                <w:sz w:val="20"/>
                <w:szCs w:val="20"/>
                <w:lang w:val="es-419"/>
              </w:rPr>
              <w:t xml:space="preserve">2 049 </w:t>
            </w:r>
          </w:p>
        </w:tc>
        <w:tc>
          <w:tcPr>
            <w:tcW w:w="2340" w:type="dxa"/>
            <w:tcBorders>
              <w:top w:val="nil"/>
              <w:left w:val="nil"/>
              <w:bottom w:val="single" w:sz="4" w:space="0" w:color="auto"/>
              <w:right w:val="single" w:sz="4" w:space="0" w:color="auto"/>
            </w:tcBorders>
            <w:shd w:val="clear" w:color="auto" w:fill="auto"/>
            <w:noWrap/>
            <w:vAlign w:val="center"/>
            <w:hideMark/>
          </w:tcPr>
          <w:p w14:paraId="73CC2F7D" w14:textId="77777777" w:rsidR="0081113A" w:rsidRPr="008870C8" w:rsidRDefault="0081113A" w:rsidP="00F45A7F">
            <w:pPr>
              <w:jc w:val="right"/>
              <w:rPr>
                <w:sz w:val="20"/>
                <w:szCs w:val="20"/>
                <w:lang w:val="es-419"/>
              </w:rPr>
            </w:pPr>
            <w:r w:rsidRPr="008870C8">
              <w:rPr>
                <w:sz w:val="20"/>
                <w:szCs w:val="20"/>
                <w:lang w:val="es-419"/>
              </w:rPr>
              <w:t>100,0</w:t>
            </w:r>
          </w:p>
        </w:tc>
      </w:tr>
      <w:tr w:rsidR="0081113A" w:rsidRPr="008870C8" w14:paraId="6A151D67" w14:textId="77777777" w:rsidTr="00F45A7F">
        <w:trPr>
          <w:trHeight w:val="264"/>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3BC6E06" w14:textId="77777777" w:rsidR="0081113A" w:rsidRPr="008870C8" w:rsidRDefault="0081113A" w:rsidP="00F45A7F">
            <w:pPr>
              <w:jc w:val="left"/>
              <w:rPr>
                <w:b/>
                <w:bCs/>
                <w:sz w:val="20"/>
                <w:szCs w:val="20"/>
                <w:lang w:val="es-419"/>
              </w:rPr>
            </w:pPr>
            <w:r w:rsidRPr="008870C8">
              <w:rPr>
                <w:b/>
                <w:bCs/>
                <w:sz w:val="20"/>
                <w:szCs w:val="20"/>
                <w:lang w:val="es-419"/>
              </w:rPr>
              <w:t>Total</w:t>
            </w:r>
          </w:p>
        </w:tc>
        <w:tc>
          <w:tcPr>
            <w:tcW w:w="1540" w:type="dxa"/>
            <w:tcBorders>
              <w:top w:val="nil"/>
              <w:left w:val="nil"/>
              <w:bottom w:val="single" w:sz="4" w:space="0" w:color="auto"/>
              <w:right w:val="single" w:sz="4" w:space="0" w:color="auto"/>
            </w:tcBorders>
            <w:shd w:val="clear" w:color="auto" w:fill="auto"/>
            <w:noWrap/>
            <w:vAlign w:val="center"/>
            <w:hideMark/>
          </w:tcPr>
          <w:p w14:paraId="4ED5BF4F" w14:textId="77777777" w:rsidR="0081113A" w:rsidRPr="008870C8" w:rsidRDefault="0081113A" w:rsidP="00F45A7F">
            <w:pPr>
              <w:jc w:val="right"/>
              <w:rPr>
                <w:b/>
                <w:bCs/>
                <w:sz w:val="20"/>
                <w:szCs w:val="20"/>
                <w:lang w:val="es-419"/>
              </w:rPr>
            </w:pPr>
            <w:r w:rsidRPr="008870C8">
              <w:rPr>
                <w:b/>
                <w:bCs/>
                <w:sz w:val="20"/>
                <w:szCs w:val="20"/>
                <w:lang w:val="es-419"/>
              </w:rPr>
              <w:t xml:space="preserve">522 </w:t>
            </w:r>
          </w:p>
        </w:tc>
        <w:tc>
          <w:tcPr>
            <w:tcW w:w="1580" w:type="dxa"/>
            <w:tcBorders>
              <w:top w:val="nil"/>
              <w:left w:val="nil"/>
              <w:bottom w:val="single" w:sz="4" w:space="0" w:color="auto"/>
              <w:right w:val="single" w:sz="4" w:space="0" w:color="auto"/>
            </w:tcBorders>
            <w:shd w:val="clear" w:color="auto" w:fill="auto"/>
            <w:noWrap/>
            <w:vAlign w:val="center"/>
            <w:hideMark/>
          </w:tcPr>
          <w:p w14:paraId="79191F73" w14:textId="77777777" w:rsidR="0081113A" w:rsidRPr="008870C8" w:rsidRDefault="0081113A" w:rsidP="00F45A7F">
            <w:pPr>
              <w:jc w:val="right"/>
              <w:rPr>
                <w:b/>
                <w:bCs/>
                <w:sz w:val="20"/>
                <w:szCs w:val="20"/>
                <w:lang w:val="es-419"/>
              </w:rPr>
            </w:pPr>
            <w:r w:rsidRPr="008870C8">
              <w:rPr>
                <w:b/>
                <w:bCs/>
                <w:sz w:val="20"/>
                <w:szCs w:val="20"/>
                <w:lang w:val="es-419"/>
              </w:rPr>
              <w:t xml:space="preserve">1 527 </w:t>
            </w:r>
          </w:p>
        </w:tc>
        <w:tc>
          <w:tcPr>
            <w:tcW w:w="1340" w:type="dxa"/>
            <w:tcBorders>
              <w:top w:val="nil"/>
              <w:left w:val="nil"/>
              <w:bottom w:val="single" w:sz="4" w:space="0" w:color="auto"/>
              <w:right w:val="single" w:sz="4" w:space="0" w:color="auto"/>
            </w:tcBorders>
            <w:shd w:val="clear" w:color="auto" w:fill="auto"/>
            <w:noWrap/>
            <w:vAlign w:val="center"/>
            <w:hideMark/>
          </w:tcPr>
          <w:p w14:paraId="53D8723E" w14:textId="77777777" w:rsidR="0081113A" w:rsidRPr="008870C8" w:rsidRDefault="0081113A" w:rsidP="00F45A7F">
            <w:pPr>
              <w:jc w:val="right"/>
              <w:rPr>
                <w:b/>
                <w:bCs/>
                <w:sz w:val="20"/>
                <w:szCs w:val="20"/>
                <w:lang w:val="es-419"/>
              </w:rPr>
            </w:pPr>
            <w:r w:rsidRPr="008870C8">
              <w:rPr>
                <w:b/>
                <w:bCs/>
                <w:sz w:val="20"/>
                <w:szCs w:val="20"/>
                <w:lang w:val="es-419"/>
              </w:rPr>
              <w:t xml:space="preserve">2 049 </w:t>
            </w:r>
          </w:p>
        </w:tc>
        <w:tc>
          <w:tcPr>
            <w:tcW w:w="2340" w:type="dxa"/>
            <w:tcBorders>
              <w:top w:val="nil"/>
              <w:left w:val="nil"/>
              <w:bottom w:val="single" w:sz="4" w:space="0" w:color="auto"/>
              <w:right w:val="single" w:sz="4" w:space="0" w:color="auto"/>
            </w:tcBorders>
            <w:shd w:val="clear" w:color="auto" w:fill="auto"/>
            <w:noWrap/>
            <w:vAlign w:val="center"/>
            <w:hideMark/>
          </w:tcPr>
          <w:p w14:paraId="31A38AEB" w14:textId="77777777" w:rsidR="0081113A" w:rsidRPr="008870C8" w:rsidRDefault="0081113A" w:rsidP="00F45A7F">
            <w:pPr>
              <w:jc w:val="right"/>
              <w:rPr>
                <w:b/>
                <w:bCs/>
                <w:sz w:val="20"/>
                <w:szCs w:val="20"/>
                <w:lang w:val="es-419"/>
              </w:rPr>
            </w:pPr>
            <w:r w:rsidRPr="008870C8">
              <w:rPr>
                <w:b/>
                <w:bCs/>
                <w:sz w:val="20"/>
                <w:szCs w:val="20"/>
                <w:lang w:val="es-419"/>
              </w:rPr>
              <w:t>100,0</w:t>
            </w:r>
          </w:p>
        </w:tc>
      </w:tr>
    </w:tbl>
    <w:p w14:paraId="4715F5EC" w14:textId="77777777" w:rsidR="0081113A" w:rsidRPr="008870C8" w:rsidRDefault="0081113A" w:rsidP="0081113A">
      <w:pPr>
        <w:keepNext/>
        <w:rPr>
          <w:b/>
          <w:lang w:val="es-419"/>
        </w:rPr>
      </w:pPr>
    </w:p>
    <w:p w14:paraId="30884217" w14:textId="77777777" w:rsidR="0081113A" w:rsidRPr="008870C8" w:rsidRDefault="0081113A" w:rsidP="0081113A">
      <w:pPr>
        <w:pStyle w:val="Heading1"/>
        <w:numPr>
          <w:ilvl w:val="0"/>
          <w:numId w:val="0"/>
        </w:numPr>
        <w:rPr>
          <w:u w:val="single"/>
          <w:lang w:val="es-419"/>
        </w:rPr>
      </w:pPr>
      <w:r w:rsidRPr="008870C8">
        <w:rPr>
          <w:u w:val="single"/>
          <w:lang w:val="es-419"/>
        </w:rPr>
        <w:t xml:space="preserve">Etapa II de los PGEH </w:t>
      </w:r>
    </w:p>
    <w:p w14:paraId="765C40A6" w14:textId="77777777" w:rsidR="0081113A" w:rsidRPr="008870C8" w:rsidRDefault="0081113A" w:rsidP="0081113A">
      <w:pPr>
        <w:pStyle w:val="Heading1"/>
        <w:rPr>
          <w:lang w:val="es-419"/>
        </w:rPr>
      </w:pPr>
      <w:r w:rsidRPr="008870C8">
        <w:rPr>
          <w:lang w:val="es-419"/>
        </w:rPr>
        <w:t>El monto total de 8,06 millones de $EUA está incluido en el plan administrativo para la etapa III de los PGEH de seis países (República Dominicana, Líbano, Nigeria, Panamá, República de Moldova y Uruguay) (incluyendo 2,99 millones de $EUA para 2020-2022). La inclusión de la etapa III de los PGEH en el plan administrativo se permite únicamente para los países para los que se aprobó la etapa II de un PGEH para cumplir un objetivo de reducción para 2020 (decisión 82/45(c)(i)). Dos de estos países tienen una etapa II aprobada con un objetivo de reducción más allá de 2020 (Líbano y Nigeria).</w:t>
      </w:r>
    </w:p>
    <w:p w14:paraId="4C290768" w14:textId="77777777" w:rsidR="0081113A" w:rsidRPr="008870C8" w:rsidRDefault="0081113A" w:rsidP="0081113A">
      <w:pPr>
        <w:keepNext/>
        <w:keepLines/>
        <w:rPr>
          <w:u w:val="single"/>
          <w:lang w:val="es-419"/>
        </w:rPr>
      </w:pPr>
      <w:r w:rsidRPr="008870C8">
        <w:rPr>
          <w:u w:val="single"/>
          <w:lang w:val="es-419"/>
        </w:rPr>
        <w:lastRenderedPageBreak/>
        <w:t>Actividades relacionadas con el HFC</w:t>
      </w:r>
    </w:p>
    <w:p w14:paraId="5D0DF839" w14:textId="77777777" w:rsidR="0081113A" w:rsidRPr="008870C8" w:rsidRDefault="0081113A" w:rsidP="0081113A">
      <w:pPr>
        <w:keepNext/>
        <w:keepLines/>
        <w:rPr>
          <w:b/>
          <w:lang w:val="es-419"/>
        </w:rPr>
      </w:pPr>
    </w:p>
    <w:p w14:paraId="7BF87B92" w14:textId="77777777" w:rsidR="0081113A" w:rsidRPr="008870C8" w:rsidRDefault="0081113A" w:rsidP="0081113A">
      <w:pPr>
        <w:pStyle w:val="Heading1"/>
        <w:rPr>
          <w:lang w:val="es-419"/>
        </w:rPr>
      </w:pPr>
      <w:r w:rsidRPr="008870C8">
        <w:rPr>
          <w:lang w:val="es-419"/>
        </w:rPr>
        <w:t xml:space="preserve">Las actividades relacionadas con el HFC comprenden una actividad de apoyo (101 650 $EUA en 2020 para Belice); actividades de preparación para la reducción del HFC en 19 países por un monto de 3,53 millones de $EUA en 2020-2022; y actividades de los planes de gestión de la reducción del HFC en siete países por un monto de 7,29 millones de $EUA en 2020-2022. </w:t>
      </w:r>
    </w:p>
    <w:p w14:paraId="06A97A37" w14:textId="77777777" w:rsidR="0081113A" w:rsidRPr="008870C8" w:rsidRDefault="0081113A" w:rsidP="0081113A">
      <w:pPr>
        <w:pStyle w:val="Heading1"/>
        <w:rPr>
          <w:lang w:val="es-419"/>
        </w:rPr>
      </w:pPr>
      <w:r w:rsidRPr="008870C8">
        <w:rPr>
          <w:lang w:val="es-419"/>
        </w:rPr>
        <w:t>Para la actividad de apoyo, Belice ha presentado la carta del Gobierno solicitada en la que se indica su intención de hacer cuanto pueda para ratificar la Enmienda de Kigali lo antes posible, de conformidad con la decisión 79/46(d)(i).</w:t>
      </w:r>
    </w:p>
    <w:p w14:paraId="2EC2524B" w14:textId="77777777" w:rsidR="0081113A" w:rsidRPr="008870C8" w:rsidRDefault="0081113A" w:rsidP="0081113A">
      <w:pPr>
        <w:pStyle w:val="Heading1"/>
        <w:rPr>
          <w:lang w:val="es-419"/>
        </w:rPr>
      </w:pPr>
      <w:r w:rsidRPr="008870C8">
        <w:rPr>
          <w:lang w:val="es-419"/>
        </w:rPr>
        <w:t>Con respecto a las actividades de preparación, la financiación para la preparación de planes nacionales de ejecución para cumplir con las obligaciones iniciales de reducción de los HFC se podría proporcionar, como muy pronto, cinco años antes de la fecha de cumplimiento de esas obligaciones, después de que un país haya ratificado la Enmienda de Kigali y sobre la base de las directrices que se hayan de aprobar en el futuro (decisión 79/46(b)(iii)). De los 19 países, siete no han ratificado la Enmienda de Kigali (Bangladesh, Fiji, Indonesia, Irán (República Islámica del), Kirguistán, Líbano y Turquía). Uno de los siete países no ha presentado la carta del Gobierno solicitada que indique su intención de hacer cuanto pueda para ratificar la Enmienda de Kigali.</w:t>
      </w:r>
    </w:p>
    <w:p w14:paraId="6FDBD791" w14:textId="77777777" w:rsidR="0081113A" w:rsidRPr="008870C8" w:rsidRDefault="0081113A" w:rsidP="0081113A">
      <w:pPr>
        <w:pStyle w:val="Heading1"/>
        <w:rPr>
          <w:lang w:val="es-419"/>
        </w:rPr>
      </w:pPr>
      <w:r w:rsidRPr="008870C8">
        <w:rPr>
          <w:lang w:val="es-419"/>
        </w:rPr>
        <w:t>Las actividades de los planes de gestión de la reducción del HFC están incluidas en el plan administrativo para Costa Rica, Cuba, Ghana, Granada, Nigeria, Panamá y Viet Nam. Sin embargo, no hay ninguna decisión del Comité Ejecutivo que permita a los países presentar un plan de gestión de la reducción del HFC ya que, según la decisión 79/46(b)(iii), sólo es admisible la financiación preparatoria.</w:t>
      </w:r>
    </w:p>
    <w:p w14:paraId="5FE9CB16" w14:textId="77777777" w:rsidR="0081113A" w:rsidRPr="008870C8" w:rsidRDefault="0081113A" w:rsidP="0081113A">
      <w:pPr>
        <w:rPr>
          <w:u w:val="single"/>
          <w:lang w:val="es-419"/>
        </w:rPr>
      </w:pPr>
      <w:r w:rsidRPr="008870C8">
        <w:rPr>
          <w:u w:val="single"/>
          <w:lang w:val="es-419"/>
        </w:rPr>
        <w:t xml:space="preserve">Costos de la unidad central </w:t>
      </w:r>
    </w:p>
    <w:p w14:paraId="2720FD1C" w14:textId="77777777" w:rsidR="0081113A" w:rsidRPr="008870C8" w:rsidRDefault="0081113A" w:rsidP="0081113A">
      <w:pPr>
        <w:rPr>
          <w:lang w:val="es-419"/>
        </w:rPr>
      </w:pPr>
    </w:p>
    <w:p w14:paraId="379AE726" w14:textId="77777777" w:rsidR="0081113A" w:rsidRPr="008870C8" w:rsidRDefault="0081113A" w:rsidP="0081113A">
      <w:pPr>
        <w:pStyle w:val="Heading1"/>
        <w:rPr>
          <w:lang w:val="es-419"/>
        </w:rPr>
      </w:pPr>
      <w:r w:rsidRPr="008870C8">
        <w:rPr>
          <w:lang w:val="es-419"/>
        </w:rPr>
        <w:t>Se espera que los costos de la unidad central</w:t>
      </w:r>
      <w:r w:rsidRPr="008870C8">
        <w:rPr>
          <w:rStyle w:val="FootnoteReference"/>
          <w:lang w:val="es-419"/>
        </w:rPr>
        <w:footnoteReference w:id="2"/>
      </w:r>
      <w:r w:rsidRPr="008870C8">
        <w:rPr>
          <w:lang w:val="es-419"/>
        </w:rPr>
        <w:t xml:space="preserve"> aumenten a una tasa anual del 0,7 %, como se había acordado. </w:t>
      </w:r>
    </w:p>
    <w:p w14:paraId="4CA27DB0" w14:textId="77777777" w:rsidR="0081113A" w:rsidRPr="008870C8" w:rsidRDefault="0081113A" w:rsidP="0081113A">
      <w:pPr>
        <w:keepNext/>
        <w:spacing w:after="240"/>
        <w:rPr>
          <w:b/>
          <w:lang w:val="es-419"/>
        </w:rPr>
      </w:pPr>
      <w:r w:rsidRPr="008870C8">
        <w:rPr>
          <w:b/>
          <w:bCs/>
          <w:lang w:val="es-419"/>
        </w:rPr>
        <w:t>Ajustes propuestos por la Secretaría</w:t>
      </w:r>
    </w:p>
    <w:p w14:paraId="10BC9D76" w14:textId="77777777" w:rsidR="0081113A" w:rsidRPr="008870C8" w:rsidRDefault="0081113A" w:rsidP="0081113A">
      <w:pPr>
        <w:pStyle w:val="Heading1"/>
        <w:rPr>
          <w:lang w:val="es-419"/>
        </w:rPr>
      </w:pPr>
      <w:r w:rsidRPr="008870C8">
        <w:rPr>
          <w:lang w:val="es-419"/>
        </w:rPr>
        <w:t xml:space="preserve">Durante la IACM, se acordaron ajustes en los planes administrativos de los organismos bilaterales y de ejecución sobre la base de las decisiones pertinentes del Comité Ejecutivo. Al examinar la versión revisada del plan administrativo del PNUD para 2020-2022, la Secretaría señaló que no se habían incluido los ajustes siguientes: </w:t>
      </w:r>
    </w:p>
    <w:p w14:paraId="2EF16726" w14:textId="77777777" w:rsidR="0081113A" w:rsidRPr="008870C8" w:rsidRDefault="0081113A" w:rsidP="0081113A">
      <w:pPr>
        <w:keepNext/>
        <w:rPr>
          <w:b/>
          <w:bCs/>
          <w:lang w:val="es-419"/>
        </w:rPr>
      </w:pPr>
      <w:r w:rsidRPr="008870C8">
        <w:rPr>
          <w:b/>
          <w:lang w:val="es-419"/>
        </w:rPr>
        <w:t xml:space="preserve">Tabla 3. </w:t>
      </w:r>
      <w:r w:rsidRPr="008870C8">
        <w:rPr>
          <w:b/>
          <w:bCs/>
          <w:lang w:val="es-419"/>
        </w:rPr>
        <w:t>Ajustes en el plan administrativo del PNUD para 2020-2022 (en miles $EUA)</w:t>
      </w:r>
    </w:p>
    <w:tbl>
      <w:tblPr>
        <w:tblStyle w:val="TableGrid"/>
        <w:tblW w:w="9498" w:type="dxa"/>
        <w:tblInd w:w="-5" w:type="dxa"/>
        <w:tblLook w:val="04A0" w:firstRow="1" w:lastRow="0" w:firstColumn="1" w:lastColumn="0" w:noHBand="0" w:noVBand="1"/>
      </w:tblPr>
      <w:tblGrid>
        <w:gridCol w:w="6776"/>
        <w:gridCol w:w="1361"/>
        <w:gridCol w:w="1361"/>
      </w:tblGrid>
      <w:tr w:rsidR="0081113A" w:rsidRPr="008870C8" w14:paraId="79711CBF" w14:textId="77777777" w:rsidTr="00F45A7F">
        <w:trPr>
          <w:tblHeader/>
        </w:trPr>
        <w:tc>
          <w:tcPr>
            <w:tcW w:w="6776" w:type="dxa"/>
          </w:tcPr>
          <w:p w14:paraId="7E0EE7E1" w14:textId="77777777" w:rsidR="0081113A" w:rsidRPr="008870C8" w:rsidRDefault="0081113A" w:rsidP="00F45A7F">
            <w:pPr>
              <w:rPr>
                <w:b/>
                <w:lang w:val="es-419"/>
              </w:rPr>
            </w:pPr>
            <w:r w:rsidRPr="008870C8">
              <w:rPr>
                <w:b/>
                <w:lang w:val="es-419"/>
              </w:rPr>
              <w:t>Ajuste</w:t>
            </w:r>
          </w:p>
        </w:tc>
        <w:tc>
          <w:tcPr>
            <w:tcW w:w="1361" w:type="dxa"/>
          </w:tcPr>
          <w:p w14:paraId="1CE2A318" w14:textId="77777777" w:rsidR="0081113A" w:rsidRPr="008870C8" w:rsidRDefault="0081113A" w:rsidP="00F45A7F">
            <w:pPr>
              <w:jc w:val="center"/>
              <w:rPr>
                <w:b/>
                <w:lang w:val="es-419"/>
              </w:rPr>
            </w:pPr>
            <w:r w:rsidRPr="008870C8">
              <w:rPr>
                <w:b/>
                <w:lang w:val="es-419"/>
              </w:rPr>
              <w:t xml:space="preserve">2020–2022 </w:t>
            </w:r>
          </w:p>
        </w:tc>
        <w:tc>
          <w:tcPr>
            <w:tcW w:w="1361" w:type="dxa"/>
          </w:tcPr>
          <w:p w14:paraId="3D97890A" w14:textId="77777777" w:rsidR="0081113A" w:rsidRPr="008870C8" w:rsidRDefault="0081113A" w:rsidP="00F45A7F">
            <w:pPr>
              <w:ind w:left="-96" w:right="-108"/>
              <w:jc w:val="center"/>
              <w:rPr>
                <w:b/>
                <w:lang w:val="es-419"/>
              </w:rPr>
            </w:pPr>
            <w:r w:rsidRPr="008870C8">
              <w:rPr>
                <w:b/>
                <w:lang w:val="es-419"/>
              </w:rPr>
              <w:t>Después de 2022</w:t>
            </w:r>
          </w:p>
        </w:tc>
      </w:tr>
      <w:tr w:rsidR="0081113A" w:rsidRPr="008870C8" w14:paraId="0263EEE4" w14:textId="77777777" w:rsidTr="00F45A7F">
        <w:tc>
          <w:tcPr>
            <w:tcW w:w="6776" w:type="dxa"/>
          </w:tcPr>
          <w:p w14:paraId="0368BC9B" w14:textId="77777777" w:rsidR="0081113A" w:rsidRPr="008870C8" w:rsidRDefault="0081113A" w:rsidP="00F45A7F">
            <w:pPr>
              <w:rPr>
                <w:b/>
                <w:lang w:val="es-419"/>
              </w:rPr>
            </w:pPr>
            <w:r w:rsidRPr="008870C8">
              <w:rPr>
                <w:lang w:val="es-419"/>
              </w:rPr>
              <w:t>Valores del PGEH para reflejar los importes aprobados en virtud de los acuerdos o del acuerdo revisado presentados en la 84</w:t>
            </w:r>
            <w:r w:rsidRPr="008870C8">
              <w:rPr>
                <w:vertAlign w:val="superscript"/>
                <w:lang w:val="es-419"/>
              </w:rPr>
              <w:t>ª</w:t>
            </w:r>
            <w:r w:rsidRPr="008870C8">
              <w:rPr>
                <w:lang w:val="es-419"/>
              </w:rPr>
              <w:t xml:space="preserve"> reunión</w:t>
            </w:r>
          </w:p>
        </w:tc>
        <w:tc>
          <w:tcPr>
            <w:tcW w:w="1361" w:type="dxa"/>
          </w:tcPr>
          <w:p w14:paraId="64184B77" w14:textId="77777777" w:rsidR="0081113A" w:rsidRPr="008870C8" w:rsidRDefault="0081113A" w:rsidP="00F45A7F">
            <w:pPr>
              <w:jc w:val="right"/>
              <w:rPr>
                <w:lang w:val="es-419"/>
              </w:rPr>
            </w:pPr>
            <w:r w:rsidRPr="008870C8">
              <w:rPr>
                <w:lang w:val="es-419"/>
              </w:rPr>
              <w:t>(11 878)</w:t>
            </w:r>
          </w:p>
        </w:tc>
        <w:tc>
          <w:tcPr>
            <w:tcW w:w="1361" w:type="dxa"/>
          </w:tcPr>
          <w:p w14:paraId="1314072C" w14:textId="77777777" w:rsidR="0081113A" w:rsidRPr="008870C8" w:rsidRDefault="0081113A" w:rsidP="00F45A7F">
            <w:pPr>
              <w:jc w:val="right"/>
              <w:rPr>
                <w:lang w:val="es-419"/>
              </w:rPr>
            </w:pPr>
            <w:r w:rsidRPr="008870C8">
              <w:rPr>
                <w:lang w:val="es-419"/>
              </w:rPr>
              <w:t>12 812</w:t>
            </w:r>
          </w:p>
        </w:tc>
      </w:tr>
      <w:tr w:rsidR="0081113A" w:rsidRPr="008870C8" w14:paraId="4D24999F" w14:textId="77777777" w:rsidTr="00F45A7F">
        <w:tc>
          <w:tcPr>
            <w:tcW w:w="6776" w:type="dxa"/>
          </w:tcPr>
          <w:p w14:paraId="4ED05461" w14:textId="77777777" w:rsidR="0081113A" w:rsidRPr="008870C8" w:rsidRDefault="0081113A" w:rsidP="00F45A7F">
            <w:pPr>
              <w:rPr>
                <w:lang w:val="es-419"/>
              </w:rPr>
            </w:pPr>
            <w:r w:rsidRPr="008870C8">
              <w:rPr>
                <w:lang w:val="es-419"/>
              </w:rPr>
              <w:t>Valores de la etapa II del PGEH para reflejar el acuerdo presentado en la 84</w:t>
            </w:r>
            <w:r w:rsidRPr="008870C8">
              <w:rPr>
                <w:vertAlign w:val="superscript"/>
                <w:lang w:val="es-419"/>
              </w:rPr>
              <w:t>ª</w:t>
            </w:r>
            <w:r w:rsidRPr="008870C8">
              <w:rPr>
                <w:lang w:val="es-419"/>
              </w:rPr>
              <w:t>reunión</w:t>
            </w:r>
          </w:p>
        </w:tc>
        <w:tc>
          <w:tcPr>
            <w:tcW w:w="1361" w:type="dxa"/>
          </w:tcPr>
          <w:p w14:paraId="2941E5E2" w14:textId="77777777" w:rsidR="0081113A" w:rsidRPr="008870C8" w:rsidRDefault="0081113A" w:rsidP="00F45A7F">
            <w:pPr>
              <w:jc w:val="right"/>
              <w:rPr>
                <w:lang w:val="es-419"/>
              </w:rPr>
            </w:pPr>
            <w:r w:rsidRPr="008870C8">
              <w:rPr>
                <w:lang w:val="es-419"/>
              </w:rPr>
              <w:t>(312)</w:t>
            </w:r>
          </w:p>
        </w:tc>
        <w:tc>
          <w:tcPr>
            <w:tcW w:w="1361" w:type="dxa"/>
          </w:tcPr>
          <w:p w14:paraId="601CD502" w14:textId="77777777" w:rsidR="0081113A" w:rsidRPr="008870C8" w:rsidRDefault="0081113A" w:rsidP="00F45A7F">
            <w:pPr>
              <w:jc w:val="right"/>
              <w:rPr>
                <w:lang w:val="es-419"/>
              </w:rPr>
            </w:pPr>
            <w:r w:rsidRPr="008870C8">
              <w:rPr>
                <w:lang w:val="es-419"/>
              </w:rPr>
              <w:t>453</w:t>
            </w:r>
          </w:p>
        </w:tc>
      </w:tr>
      <w:tr w:rsidR="0081113A" w:rsidRPr="008870C8" w14:paraId="5DBD1301" w14:textId="77777777" w:rsidTr="00F45A7F">
        <w:tc>
          <w:tcPr>
            <w:tcW w:w="6776" w:type="dxa"/>
          </w:tcPr>
          <w:p w14:paraId="1026582F" w14:textId="77777777" w:rsidR="0081113A" w:rsidRPr="008870C8" w:rsidRDefault="0081113A" w:rsidP="00F45A7F">
            <w:pPr>
              <w:rPr>
                <w:lang w:val="es-419"/>
              </w:rPr>
            </w:pPr>
            <w:r w:rsidRPr="008870C8">
              <w:rPr>
                <w:lang w:val="es-419"/>
              </w:rPr>
              <w:t>Etapa II de los PGEH en países de bajo consumo hasta el valor máximo permitido para cumplir con la reducción del 67,5 % del consumo básico de referencia de HCFC sobre la base de la decisión 74/50 c)(xii)</w:t>
            </w:r>
          </w:p>
        </w:tc>
        <w:tc>
          <w:tcPr>
            <w:tcW w:w="1361" w:type="dxa"/>
          </w:tcPr>
          <w:p w14:paraId="2A11BA5F" w14:textId="77777777" w:rsidR="0081113A" w:rsidRPr="008870C8" w:rsidRDefault="0081113A" w:rsidP="00F45A7F">
            <w:pPr>
              <w:jc w:val="right"/>
              <w:rPr>
                <w:lang w:val="es-419"/>
              </w:rPr>
            </w:pPr>
            <w:r w:rsidRPr="008870C8">
              <w:rPr>
                <w:lang w:val="es-419"/>
              </w:rPr>
              <w:t>(4)</w:t>
            </w:r>
          </w:p>
        </w:tc>
        <w:tc>
          <w:tcPr>
            <w:tcW w:w="1361" w:type="dxa"/>
          </w:tcPr>
          <w:p w14:paraId="0527AA4E" w14:textId="77777777" w:rsidR="0081113A" w:rsidRPr="008870C8" w:rsidRDefault="0081113A" w:rsidP="00F45A7F">
            <w:pPr>
              <w:jc w:val="right"/>
              <w:rPr>
                <w:lang w:val="es-419"/>
              </w:rPr>
            </w:pPr>
            <w:r w:rsidRPr="008870C8">
              <w:rPr>
                <w:lang w:val="es-419"/>
              </w:rPr>
              <w:t>(6)</w:t>
            </w:r>
          </w:p>
        </w:tc>
      </w:tr>
      <w:tr w:rsidR="0081113A" w:rsidRPr="008870C8" w14:paraId="6443B3E4" w14:textId="77777777" w:rsidTr="00F45A7F">
        <w:tc>
          <w:tcPr>
            <w:tcW w:w="6776" w:type="dxa"/>
          </w:tcPr>
          <w:p w14:paraId="398EEEB2" w14:textId="77777777" w:rsidR="0081113A" w:rsidRPr="008870C8" w:rsidRDefault="0081113A" w:rsidP="00F45A7F">
            <w:pPr>
              <w:rPr>
                <w:lang w:val="es-419"/>
              </w:rPr>
            </w:pPr>
            <w:r w:rsidRPr="008870C8">
              <w:rPr>
                <w:lang w:val="es-419"/>
              </w:rPr>
              <w:t>Preparación de proyectos de los PGEH para la etapa III de los PGEH de conformidad con la decisión 71/42</w:t>
            </w:r>
          </w:p>
        </w:tc>
        <w:tc>
          <w:tcPr>
            <w:tcW w:w="1361" w:type="dxa"/>
          </w:tcPr>
          <w:p w14:paraId="3B67FAA1" w14:textId="77777777" w:rsidR="0081113A" w:rsidRPr="008870C8" w:rsidRDefault="0081113A" w:rsidP="00F45A7F">
            <w:pPr>
              <w:jc w:val="right"/>
              <w:rPr>
                <w:lang w:val="es-419"/>
              </w:rPr>
            </w:pPr>
            <w:r w:rsidRPr="008870C8">
              <w:rPr>
                <w:lang w:val="es-419"/>
              </w:rPr>
              <w:t>(260)</w:t>
            </w:r>
          </w:p>
        </w:tc>
        <w:tc>
          <w:tcPr>
            <w:tcW w:w="1361" w:type="dxa"/>
          </w:tcPr>
          <w:p w14:paraId="1F06D5C5" w14:textId="77777777" w:rsidR="0081113A" w:rsidRPr="008870C8" w:rsidRDefault="0081113A" w:rsidP="00F45A7F">
            <w:pPr>
              <w:jc w:val="right"/>
              <w:rPr>
                <w:lang w:val="es-419"/>
              </w:rPr>
            </w:pPr>
            <w:r w:rsidRPr="008870C8">
              <w:rPr>
                <w:lang w:val="es-419"/>
              </w:rPr>
              <w:t>225</w:t>
            </w:r>
          </w:p>
        </w:tc>
      </w:tr>
      <w:tr w:rsidR="0081113A" w:rsidRPr="008870C8" w14:paraId="6C21BCFB" w14:textId="77777777" w:rsidTr="00F45A7F">
        <w:tc>
          <w:tcPr>
            <w:tcW w:w="6776" w:type="dxa"/>
          </w:tcPr>
          <w:p w14:paraId="14591D0E" w14:textId="77777777" w:rsidR="0081113A" w:rsidRPr="008870C8" w:rsidRDefault="0081113A" w:rsidP="00F45A7F">
            <w:pPr>
              <w:rPr>
                <w:lang w:val="es-419"/>
              </w:rPr>
            </w:pPr>
            <w:r w:rsidRPr="008870C8">
              <w:rPr>
                <w:lang w:val="es-419"/>
              </w:rPr>
              <w:t>Etapa III de los PGEH de conformidad con la decisión 82/45(c)(i)</w:t>
            </w:r>
          </w:p>
        </w:tc>
        <w:tc>
          <w:tcPr>
            <w:tcW w:w="1361" w:type="dxa"/>
          </w:tcPr>
          <w:p w14:paraId="39BC52CA" w14:textId="77777777" w:rsidR="0081113A" w:rsidRPr="008870C8" w:rsidRDefault="0081113A" w:rsidP="00F45A7F">
            <w:pPr>
              <w:jc w:val="right"/>
              <w:rPr>
                <w:lang w:val="es-419"/>
              </w:rPr>
            </w:pPr>
            <w:r w:rsidRPr="008870C8">
              <w:rPr>
                <w:lang w:val="es-419"/>
              </w:rPr>
              <w:t>(1 674)</w:t>
            </w:r>
          </w:p>
        </w:tc>
        <w:tc>
          <w:tcPr>
            <w:tcW w:w="1361" w:type="dxa"/>
          </w:tcPr>
          <w:p w14:paraId="08C0EBC6" w14:textId="77777777" w:rsidR="0081113A" w:rsidRPr="008870C8" w:rsidRDefault="0081113A" w:rsidP="00F45A7F">
            <w:pPr>
              <w:jc w:val="right"/>
              <w:rPr>
                <w:lang w:val="es-419"/>
              </w:rPr>
            </w:pPr>
            <w:r w:rsidRPr="008870C8">
              <w:rPr>
                <w:lang w:val="es-419"/>
              </w:rPr>
              <w:t>(3 385)</w:t>
            </w:r>
          </w:p>
        </w:tc>
      </w:tr>
      <w:tr w:rsidR="0081113A" w:rsidRPr="008870C8" w14:paraId="2CD3077C" w14:textId="77777777" w:rsidTr="00F45A7F">
        <w:tc>
          <w:tcPr>
            <w:tcW w:w="6776" w:type="dxa"/>
          </w:tcPr>
          <w:p w14:paraId="655BCFE9" w14:textId="77777777" w:rsidR="0081113A" w:rsidRPr="008870C8" w:rsidRDefault="0081113A" w:rsidP="00F45A7F">
            <w:pPr>
              <w:rPr>
                <w:lang w:val="es-419"/>
              </w:rPr>
            </w:pPr>
            <w:r w:rsidRPr="008870C8">
              <w:rPr>
                <w:lang w:val="es-419"/>
              </w:rPr>
              <w:lastRenderedPageBreak/>
              <w:t>Preparación de proyectos de los PGEH para reducción del HFC de conformidad con la decisión 56/16(c) o países que no han ratificado la Enmienda de Kigali</w:t>
            </w:r>
          </w:p>
        </w:tc>
        <w:tc>
          <w:tcPr>
            <w:tcW w:w="1361" w:type="dxa"/>
          </w:tcPr>
          <w:p w14:paraId="0E43F8B0" w14:textId="77777777" w:rsidR="0081113A" w:rsidRPr="008870C8" w:rsidRDefault="0081113A" w:rsidP="00F45A7F">
            <w:pPr>
              <w:jc w:val="right"/>
              <w:rPr>
                <w:lang w:val="es-419"/>
              </w:rPr>
            </w:pPr>
            <w:r w:rsidRPr="008870C8">
              <w:rPr>
                <w:lang w:val="es-419"/>
              </w:rPr>
              <w:t>(2 152)</w:t>
            </w:r>
          </w:p>
        </w:tc>
        <w:tc>
          <w:tcPr>
            <w:tcW w:w="1361" w:type="dxa"/>
          </w:tcPr>
          <w:p w14:paraId="60A81FA6" w14:textId="77777777" w:rsidR="0081113A" w:rsidRPr="008870C8" w:rsidRDefault="0081113A" w:rsidP="00F45A7F">
            <w:pPr>
              <w:jc w:val="right"/>
              <w:rPr>
                <w:lang w:val="es-419"/>
              </w:rPr>
            </w:pPr>
            <w:r w:rsidRPr="008870C8">
              <w:rPr>
                <w:lang w:val="es-419"/>
              </w:rPr>
              <w:t>0</w:t>
            </w:r>
          </w:p>
        </w:tc>
      </w:tr>
      <w:tr w:rsidR="0081113A" w:rsidRPr="008870C8" w14:paraId="5E42F5D3" w14:textId="77777777" w:rsidTr="00F45A7F">
        <w:tc>
          <w:tcPr>
            <w:tcW w:w="6776" w:type="dxa"/>
          </w:tcPr>
          <w:p w14:paraId="36D2F444" w14:textId="77777777" w:rsidR="0081113A" w:rsidRPr="008870C8" w:rsidRDefault="0081113A" w:rsidP="00F45A7F">
            <w:pPr>
              <w:rPr>
                <w:lang w:val="es-419"/>
              </w:rPr>
            </w:pPr>
            <w:r w:rsidRPr="008870C8">
              <w:rPr>
                <w:lang w:val="es-419"/>
              </w:rPr>
              <w:t>Plan de gestión de la reducción del HFC conforme a la decisión 79/46(b)(iii)</w:t>
            </w:r>
          </w:p>
        </w:tc>
        <w:tc>
          <w:tcPr>
            <w:tcW w:w="1361" w:type="dxa"/>
            <w:vAlign w:val="bottom"/>
          </w:tcPr>
          <w:p w14:paraId="55F1B4D6" w14:textId="77777777" w:rsidR="0081113A" w:rsidRPr="008870C8" w:rsidRDefault="0081113A" w:rsidP="00F45A7F">
            <w:pPr>
              <w:jc w:val="right"/>
              <w:rPr>
                <w:lang w:val="es-419"/>
              </w:rPr>
            </w:pPr>
            <w:r w:rsidRPr="008870C8">
              <w:rPr>
                <w:lang w:val="es-419"/>
              </w:rPr>
              <w:t>(7 290)</w:t>
            </w:r>
          </w:p>
        </w:tc>
        <w:tc>
          <w:tcPr>
            <w:tcW w:w="1361" w:type="dxa"/>
            <w:vAlign w:val="bottom"/>
          </w:tcPr>
          <w:p w14:paraId="34B3514E" w14:textId="77777777" w:rsidR="0081113A" w:rsidRPr="008870C8" w:rsidRDefault="0081113A" w:rsidP="00F45A7F">
            <w:pPr>
              <w:jc w:val="right"/>
              <w:rPr>
                <w:lang w:val="es-419"/>
              </w:rPr>
            </w:pPr>
            <w:r w:rsidRPr="008870C8">
              <w:rPr>
                <w:lang w:val="es-419"/>
              </w:rPr>
              <w:t>0</w:t>
            </w:r>
          </w:p>
        </w:tc>
      </w:tr>
    </w:tbl>
    <w:p w14:paraId="49DD8D59" w14:textId="77777777" w:rsidR="0081113A" w:rsidRPr="008870C8" w:rsidRDefault="0081113A" w:rsidP="0081113A">
      <w:pPr>
        <w:rPr>
          <w:lang w:val="es-419"/>
        </w:rPr>
      </w:pPr>
    </w:p>
    <w:p w14:paraId="5384662C" w14:textId="77777777" w:rsidR="0081113A" w:rsidRPr="008870C8" w:rsidRDefault="0081113A" w:rsidP="0081113A">
      <w:pPr>
        <w:pStyle w:val="Heading1"/>
        <w:rPr>
          <w:lang w:val="es-419"/>
        </w:rPr>
      </w:pPr>
      <w:r w:rsidRPr="008870C8">
        <w:rPr>
          <w:lang w:val="es-419"/>
        </w:rPr>
        <w:t>La tabla 4 presenta los resultados de los ajustes propuestos por la Secretaría en el plan administrativo del PNUD para 2020-2022, que también se abordan en el contexto del plan administrativo refundido del Fondo Multilateral para 2020-2022</w:t>
      </w:r>
      <w:r w:rsidRPr="008870C8">
        <w:rPr>
          <w:rStyle w:val="FootnoteReference"/>
          <w:lang w:val="es-419"/>
        </w:rPr>
        <w:footnoteReference w:id="3"/>
      </w:r>
      <w:r w:rsidRPr="008870C8">
        <w:rPr>
          <w:lang w:val="es-419"/>
        </w:rPr>
        <w:t>.</w:t>
      </w:r>
    </w:p>
    <w:p w14:paraId="195093D5" w14:textId="77777777" w:rsidR="0081113A" w:rsidRPr="008870C8" w:rsidRDefault="0081113A" w:rsidP="0081113A">
      <w:pPr>
        <w:keepNext/>
        <w:rPr>
          <w:b/>
          <w:lang w:val="es-419"/>
        </w:rPr>
      </w:pPr>
      <w:r w:rsidRPr="008870C8">
        <w:rPr>
          <w:b/>
          <w:lang w:val="es-419"/>
        </w:rPr>
        <w:t>Tabla 4. Asignación de recursos en el plan administrativo ajustado del PNUD para 2020-2022 (en miles $EUA)*</w:t>
      </w:r>
    </w:p>
    <w:tbl>
      <w:tblPr>
        <w:tblW w:w="9498" w:type="dxa"/>
        <w:tblInd w:w="-5" w:type="dxa"/>
        <w:tblLook w:val="04A0" w:firstRow="1" w:lastRow="0" w:firstColumn="1" w:lastColumn="0" w:noHBand="0" w:noVBand="1"/>
      </w:tblPr>
      <w:tblGrid>
        <w:gridCol w:w="3544"/>
        <w:gridCol w:w="1134"/>
        <w:gridCol w:w="1134"/>
        <w:gridCol w:w="1134"/>
        <w:gridCol w:w="1276"/>
        <w:gridCol w:w="1276"/>
      </w:tblGrid>
      <w:tr w:rsidR="0081113A" w:rsidRPr="008870C8" w14:paraId="42D6212F" w14:textId="77777777" w:rsidTr="00F45A7F">
        <w:trPr>
          <w:trHeight w:val="264"/>
          <w:tblHeader/>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34410CB" w14:textId="77777777" w:rsidR="0081113A" w:rsidRPr="008870C8" w:rsidRDefault="0081113A" w:rsidP="00F45A7F">
            <w:pPr>
              <w:jc w:val="center"/>
              <w:rPr>
                <w:b/>
                <w:bCs/>
                <w:sz w:val="20"/>
                <w:szCs w:val="20"/>
                <w:lang w:val="es-419"/>
              </w:rPr>
            </w:pPr>
            <w:r w:rsidRPr="008870C8">
              <w:rPr>
                <w:b/>
                <w:bCs/>
                <w:sz w:val="20"/>
                <w:szCs w:val="20"/>
                <w:lang w:val="es-419"/>
              </w:rPr>
              <w:t> </w:t>
            </w:r>
          </w:p>
        </w:tc>
        <w:tc>
          <w:tcPr>
            <w:tcW w:w="1134" w:type="dxa"/>
            <w:tcBorders>
              <w:top w:val="single" w:sz="4" w:space="0" w:color="auto"/>
              <w:left w:val="nil"/>
              <w:bottom w:val="single" w:sz="4" w:space="0" w:color="auto"/>
              <w:right w:val="single" w:sz="4" w:space="0" w:color="auto"/>
            </w:tcBorders>
            <w:shd w:val="clear" w:color="auto" w:fill="auto"/>
            <w:hideMark/>
          </w:tcPr>
          <w:p w14:paraId="2545215A" w14:textId="77777777" w:rsidR="0081113A" w:rsidRPr="008870C8" w:rsidRDefault="0081113A" w:rsidP="00F45A7F">
            <w:pPr>
              <w:jc w:val="center"/>
              <w:rPr>
                <w:b/>
                <w:bCs/>
                <w:sz w:val="20"/>
                <w:szCs w:val="20"/>
                <w:lang w:val="es-419"/>
              </w:rPr>
            </w:pPr>
            <w:r w:rsidRPr="008870C8">
              <w:rPr>
                <w:b/>
                <w:bCs/>
                <w:sz w:val="20"/>
                <w:szCs w:val="20"/>
                <w:lang w:val="es-419"/>
              </w:rPr>
              <w:t>2020</w:t>
            </w:r>
          </w:p>
        </w:tc>
        <w:tc>
          <w:tcPr>
            <w:tcW w:w="1134" w:type="dxa"/>
            <w:tcBorders>
              <w:top w:val="single" w:sz="4" w:space="0" w:color="auto"/>
              <w:left w:val="nil"/>
              <w:bottom w:val="single" w:sz="4" w:space="0" w:color="auto"/>
              <w:right w:val="single" w:sz="4" w:space="0" w:color="auto"/>
            </w:tcBorders>
            <w:shd w:val="clear" w:color="auto" w:fill="auto"/>
            <w:hideMark/>
          </w:tcPr>
          <w:p w14:paraId="681D38DC" w14:textId="77777777" w:rsidR="0081113A" w:rsidRPr="008870C8" w:rsidRDefault="0081113A" w:rsidP="00F45A7F">
            <w:pPr>
              <w:jc w:val="center"/>
              <w:rPr>
                <w:b/>
                <w:bCs/>
                <w:sz w:val="20"/>
                <w:szCs w:val="20"/>
                <w:lang w:val="es-419"/>
              </w:rPr>
            </w:pPr>
            <w:r w:rsidRPr="008870C8">
              <w:rPr>
                <w:b/>
                <w:bCs/>
                <w:sz w:val="20"/>
                <w:szCs w:val="20"/>
                <w:lang w:val="es-419"/>
              </w:rPr>
              <w:t>2021</w:t>
            </w:r>
          </w:p>
        </w:tc>
        <w:tc>
          <w:tcPr>
            <w:tcW w:w="1134" w:type="dxa"/>
            <w:tcBorders>
              <w:top w:val="single" w:sz="4" w:space="0" w:color="auto"/>
              <w:left w:val="nil"/>
              <w:bottom w:val="single" w:sz="4" w:space="0" w:color="auto"/>
              <w:right w:val="single" w:sz="4" w:space="0" w:color="auto"/>
            </w:tcBorders>
            <w:shd w:val="clear" w:color="auto" w:fill="auto"/>
            <w:hideMark/>
          </w:tcPr>
          <w:p w14:paraId="441B2E7B" w14:textId="77777777" w:rsidR="0081113A" w:rsidRPr="008870C8" w:rsidRDefault="0081113A" w:rsidP="00F45A7F">
            <w:pPr>
              <w:jc w:val="center"/>
              <w:rPr>
                <w:b/>
                <w:bCs/>
                <w:sz w:val="20"/>
                <w:szCs w:val="20"/>
                <w:lang w:val="es-419"/>
              </w:rPr>
            </w:pPr>
            <w:r w:rsidRPr="008870C8">
              <w:rPr>
                <w:b/>
                <w:bCs/>
                <w:sz w:val="20"/>
                <w:szCs w:val="20"/>
                <w:lang w:val="es-419"/>
              </w:rPr>
              <w:t>2022</w:t>
            </w:r>
          </w:p>
        </w:tc>
        <w:tc>
          <w:tcPr>
            <w:tcW w:w="1276" w:type="dxa"/>
            <w:tcBorders>
              <w:top w:val="single" w:sz="4" w:space="0" w:color="auto"/>
              <w:left w:val="nil"/>
              <w:bottom w:val="single" w:sz="4" w:space="0" w:color="auto"/>
              <w:right w:val="single" w:sz="4" w:space="0" w:color="auto"/>
            </w:tcBorders>
            <w:shd w:val="clear" w:color="auto" w:fill="auto"/>
            <w:hideMark/>
          </w:tcPr>
          <w:p w14:paraId="61D3075D" w14:textId="77777777" w:rsidR="0081113A" w:rsidRPr="008870C8" w:rsidRDefault="0081113A" w:rsidP="00F45A7F">
            <w:pPr>
              <w:jc w:val="center"/>
              <w:rPr>
                <w:b/>
                <w:bCs/>
                <w:sz w:val="20"/>
                <w:szCs w:val="20"/>
                <w:lang w:val="es-419"/>
              </w:rPr>
            </w:pPr>
            <w:r w:rsidRPr="008870C8">
              <w:rPr>
                <w:b/>
                <w:bCs/>
                <w:sz w:val="20"/>
                <w:szCs w:val="20"/>
                <w:lang w:val="es-419"/>
              </w:rPr>
              <w:t>Total (2020-2022)</w:t>
            </w:r>
          </w:p>
        </w:tc>
        <w:tc>
          <w:tcPr>
            <w:tcW w:w="1276" w:type="dxa"/>
            <w:tcBorders>
              <w:top w:val="single" w:sz="4" w:space="0" w:color="auto"/>
              <w:left w:val="nil"/>
              <w:bottom w:val="single" w:sz="4" w:space="0" w:color="auto"/>
              <w:right w:val="single" w:sz="4" w:space="0" w:color="auto"/>
            </w:tcBorders>
            <w:shd w:val="clear" w:color="auto" w:fill="auto"/>
            <w:hideMark/>
          </w:tcPr>
          <w:p w14:paraId="77CE5D17" w14:textId="77777777" w:rsidR="0081113A" w:rsidRPr="008870C8" w:rsidRDefault="0081113A" w:rsidP="00F45A7F">
            <w:pPr>
              <w:jc w:val="center"/>
              <w:rPr>
                <w:b/>
                <w:bCs/>
                <w:sz w:val="20"/>
                <w:szCs w:val="20"/>
                <w:lang w:val="es-419"/>
              </w:rPr>
            </w:pPr>
            <w:r w:rsidRPr="008870C8">
              <w:rPr>
                <w:b/>
                <w:bCs/>
                <w:sz w:val="20"/>
                <w:szCs w:val="20"/>
                <w:lang w:val="es-419"/>
              </w:rPr>
              <w:t>Total después de 2022</w:t>
            </w:r>
          </w:p>
        </w:tc>
      </w:tr>
      <w:tr w:rsidR="0081113A" w:rsidRPr="001E29E0" w14:paraId="13E42983" w14:textId="77777777" w:rsidTr="00F45A7F">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BC3DC38" w14:textId="77777777" w:rsidR="0081113A" w:rsidRPr="008870C8" w:rsidRDefault="0081113A" w:rsidP="00F45A7F">
            <w:pPr>
              <w:jc w:val="left"/>
              <w:rPr>
                <w:b/>
                <w:bCs/>
                <w:sz w:val="20"/>
                <w:szCs w:val="20"/>
                <w:lang w:val="es-419"/>
              </w:rPr>
            </w:pPr>
            <w:r w:rsidRPr="008870C8">
              <w:rPr>
                <w:b/>
                <w:bCs/>
                <w:sz w:val="20"/>
                <w:szCs w:val="20"/>
                <w:lang w:val="es-419"/>
              </w:rPr>
              <w:t xml:space="preserve">Actividades relativas a los HCFC </w:t>
            </w:r>
          </w:p>
        </w:tc>
      </w:tr>
      <w:tr w:rsidR="0081113A" w:rsidRPr="008870C8" w14:paraId="5F9F0FF4"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33193FE9" w14:textId="77777777" w:rsidR="0081113A" w:rsidRPr="008870C8" w:rsidRDefault="0081113A" w:rsidP="00F45A7F">
            <w:pPr>
              <w:jc w:val="left"/>
              <w:rPr>
                <w:sz w:val="20"/>
                <w:szCs w:val="20"/>
                <w:lang w:val="es-419"/>
              </w:rPr>
            </w:pPr>
            <w:r w:rsidRPr="008870C8">
              <w:rPr>
                <w:sz w:val="20"/>
                <w:szCs w:val="20"/>
                <w:lang w:val="es-419"/>
              </w:rPr>
              <w:t>PGEH aprobados</w:t>
            </w:r>
          </w:p>
        </w:tc>
        <w:tc>
          <w:tcPr>
            <w:tcW w:w="1134" w:type="dxa"/>
            <w:tcBorders>
              <w:top w:val="nil"/>
              <w:left w:val="nil"/>
              <w:bottom w:val="single" w:sz="4" w:space="0" w:color="auto"/>
              <w:right w:val="single" w:sz="4" w:space="0" w:color="auto"/>
            </w:tcBorders>
            <w:shd w:val="clear" w:color="auto" w:fill="auto"/>
            <w:noWrap/>
            <w:hideMark/>
          </w:tcPr>
          <w:p w14:paraId="6AB5A5C2" w14:textId="77777777" w:rsidR="0081113A" w:rsidRPr="008870C8" w:rsidRDefault="0081113A" w:rsidP="00F45A7F">
            <w:pPr>
              <w:jc w:val="right"/>
              <w:rPr>
                <w:sz w:val="20"/>
                <w:szCs w:val="20"/>
                <w:lang w:val="es-419"/>
              </w:rPr>
            </w:pPr>
            <w:r w:rsidRPr="008870C8">
              <w:rPr>
                <w:sz w:val="20"/>
                <w:szCs w:val="20"/>
                <w:lang w:val="es-419"/>
              </w:rPr>
              <w:t>57 822</w:t>
            </w:r>
          </w:p>
        </w:tc>
        <w:tc>
          <w:tcPr>
            <w:tcW w:w="1134" w:type="dxa"/>
            <w:tcBorders>
              <w:top w:val="nil"/>
              <w:left w:val="nil"/>
              <w:bottom w:val="single" w:sz="4" w:space="0" w:color="auto"/>
              <w:right w:val="single" w:sz="4" w:space="0" w:color="auto"/>
            </w:tcBorders>
            <w:shd w:val="clear" w:color="auto" w:fill="auto"/>
            <w:noWrap/>
            <w:hideMark/>
          </w:tcPr>
          <w:p w14:paraId="55A4F4B1" w14:textId="77777777" w:rsidR="0081113A" w:rsidRPr="008870C8" w:rsidRDefault="0081113A" w:rsidP="00F45A7F">
            <w:pPr>
              <w:jc w:val="right"/>
              <w:rPr>
                <w:sz w:val="20"/>
                <w:szCs w:val="20"/>
                <w:lang w:val="es-419"/>
              </w:rPr>
            </w:pPr>
            <w:r w:rsidRPr="008870C8">
              <w:rPr>
                <w:sz w:val="20"/>
                <w:szCs w:val="20"/>
                <w:lang w:val="es-419"/>
              </w:rPr>
              <w:t>29 437</w:t>
            </w:r>
          </w:p>
        </w:tc>
        <w:tc>
          <w:tcPr>
            <w:tcW w:w="1134" w:type="dxa"/>
            <w:tcBorders>
              <w:top w:val="nil"/>
              <w:left w:val="nil"/>
              <w:bottom w:val="single" w:sz="4" w:space="0" w:color="auto"/>
              <w:right w:val="single" w:sz="4" w:space="0" w:color="auto"/>
            </w:tcBorders>
            <w:shd w:val="clear" w:color="auto" w:fill="auto"/>
            <w:noWrap/>
            <w:hideMark/>
          </w:tcPr>
          <w:p w14:paraId="344C15C0" w14:textId="77777777" w:rsidR="0081113A" w:rsidRPr="008870C8" w:rsidRDefault="0081113A" w:rsidP="00F45A7F">
            <w:pPr>
              <w:jc w:val="right"/>
              <w:rPr>
                <w:sz w:val="20"/>
                <w:szCs w:val="20"/>
                <w:lang w:val="es-419"/>
              </w:rPr>
            </w:pPr>
            <w:r w:rsidRPr="008870C8">
              <w:rPr>
                <w:sz w:val="20"/>
                <w:szCs w:val="20"/>
                <w:lang w:val="es-419"/>
              </w:rPr>
              <w:t>19 695</w:t>
            </w:r>
          </w:p>
        </w:tc>
        <w:tc>
          <w:tcPr>
            <w:tcW w:w="1276" w:type="dxa"/>
            <w:tcBorders>
              <w:top w:val="nil"/>
              <w:left w:val="nil"/>
              <w:bottom w:val="single" w:sz="4" w:space="0" w:color="auto"/>
              <w:right w:val="single" w:sz="4" w:space="0" w:color="auto"/>
            </w:tcBorders>
            <w:shd w:val="clear" w:color="auto" w:fill="auto"/>
            <w:noWrap/>
            <w:hideMark/>
          </w:tcPr>
          <w:p w14:paraId="65EB2C5B" w14:textId="77777777" w:rsidR="0081113A" w:rsidRPr="008870C8" w:rsidRDefault="0081113A" w:rsidP="00F45A7F">
            <w:pPr>
              <w:jc w:val="right"/>
              <w:rPr>
                <w:sz w:val="20"/>
                <w:szCs w:val="20"/>
                <w:lang w:val="es-419"/>
              </w:rPr>
            </w:pPr>
            <w:r w:rsidRPr="008870C8">
              <w:rPr>
                <w:sz w:val="20"/>
                <w:szCs w:val="20"/>
                <w:lang w:val="es-419"/>
              </w:rPr>
              <w:t>106 954</w:t>
            </w:r>
          </w:p>
        </w:tc>
        <w:tc>
          <w:tcPr>
            <w:tcW w:w="1276" w:type="dxa"/>
            <w:tcBorders>
              <w:top w:val="nil"/>
              <w:left w:val="nil"/>
              <w:bottom w:val="single" w:sz="4" w:space="0" w:color="auto"/>
              <w:right w:val="single" w:sz="4" w:space="0" w:color="auto"/>
            </w:tcBorders>
            <w:shd w:val="clear" w:color="auto" w:fill="auto"/>
            <w:noWrap/>
            <w:hideMark/>
          </w:tcPr>
          <w:p w14:paraId="0A119573" w14:textId="77777777" w:rsidR="0081113A" w:rsidRPr="008870C8" w:rsidRDefault="0081113A" w:rsidP="00F45A7F">
            <w:pPr>
              <w:jc w:val="right"/>
              <w:rPr>
                <w:sz w:val="20"/>
                <w:szCs w:val="20"/>
                <w:lang w:val="es-419"/>
              </w:rPr>
            </w:pPr>
            <w:r w:rsidRPr="008870C8">
              <w:rPr>
                <w:sz w:val="20"/>
                <w:szCs w:val="20"/>
                <w:lang w:val="es-419"/>
              </w:rPr>
              <w:t>15 383</w:t>
            </w:r>
          </w:p>
        </w:tc>
      </w:tr>
      <w:tr w:rsidR="0081113A" w:rsidRPr="008870C8" w14:paraId="2BE2B56A"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7433DFCD" w14:textId="77777777" w:rsidR="0081113A" w:rsidRPr="008870C8" w:rsidRDefault="0081113A" w:rsidP="00F45A7F">
            <w:pPr>
              <w:jc w:val="left"/>
              <w:rPr>
                <w:sz w:val="20"/>
                <w:szCs w:val="20"/>
                <w:lang w:val="es-419"/>
              </w:rPr>
            </w:pPr>
            <w:r w:rsidRPr="008870C8">
              <w:rPr>
                <w:sz w:val="20"/>
                <w:szCs w:val="20"/>
                <w:lang w:val="es-419"/>
              </w:rPr>
              <w:t>Preparación de proyectos de los PGEH – etapa II</w:t>
            </w:r>
          </w:p>
        </w:tc>
        <w:tc>
          <w:tcPr>
            <w:tcW w:w="1134" w:type="dxa"/>
            <w:tcBorders>
              <w:top w:val="nil"/>
              <w:left w:val="nil"/>
              <w:bottom w:val="single" w:sz="4" w:space="0" w:color="auto"/>
              <w:right w:val="single" w:sz="4" w:space="0" w:color="auto"/>
            </w:tcBorders>
            <w:shd w:val="clear" w:color="auto" w:fill="auto"/>
            <w:noWrap/>
            <w:hideMark/>
          </w:tcPr>
          <w:p w14:paraId="051DA55A" w14:textId="77777777" w:rsidR="0081113A" w:rsidRPr="008870C8" w:rsidRDefault="0081113A" w:rsidP="00F45A7F">
            <w:pPr>
              <w:jc w:val="right"/>
              <w:rPr>
                <w:sz w:val="20"/>
                <w:szCs w:val="20"/>
                <w:lang w:val="es-419"/>
              </w:rPr>
            </w:pPr>
            <w:r w:rsidRPr="008870C8">
              <w:rPr>
                <w:sz w:val="20"/>
                <w:szCs w:val="20"/>
                <w:lang w:val="es-419"/>
              </w:rPr>
              <w:t>10</w:t>
            </w:r>
          </w:p>
        </w:tc>
        <w:tc>
          <w:tcPr>
            <w:tcW w:w="1134" w:type="dxa"/>
            <w:tcBorders>
              <w:top w:val="nil"/>
              <w:left w:val="nil"/>
              <w:bottom w:val="single" w:sz="4" w:space="0" w:color="auto"/>
              <w:right w:val="single" w:sz="4" w:space="0" w:color="auto"/>
            </w:tcBorders>
            <w:shd w:val="clear" w:color="auto" w:fill="auto"/>
            <w:noWrap/>
            <w:hideMark/>
          </w:tcPr>
          <w:p w14:paraId="5D5D1422"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56DA3D28"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0D691B73" w14:textId="77777777" w:rsidR="0081113A" w:rsidRPr="008870C8" w:rsidRDefault="0081113A" w:rsidP="00F45A7F">
            <w:pPr>
              <w:jc w:val="right"/>
              <w:rPr>
                <w:sz w:val="20"/>
                <w:szCs w:val="20"/>
                <w:lang w:val="es-419"/>
              </w:rPr>
            </w:pPr>
            <w:r w:rsidRPr="008870C8">
              <w:rPr>
                <w:sz w:val="20"/>
                <w:szCs w:val="20"/>
                <w:lang w:val="es-419"/>
              </w:rPr>
              <w:t>10</w:t>
            </w:r>
          </w:p>
        </w:tc>
        <w:tc>
          <w:tcPr>
            <w:tcW w:w="1276" w:type="dxa"/>
            <w:tcBorders>
              <w:top w:val="nil"/>
              <w:left w:val="nil"/>
              <w:bottom w:val="single" w:sz="4" w:space="0" w:color="auto"/>
              <w:right w:val="single" w:sz="4" w:space="0" w:color="auto"/>
            </w:tcBorders>
            <w:shd w:val="clear" w:color="auto" w:fill="auto"/>
            <w:noWrap/>
            <w:hideMark/>
          </w:tcPr>
          <w:p w14:paraId="144EBE2E"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0F535D82"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33568105" w14:textId="77777777" w:rsidR="0081113A" w:rsidRPr="008870C8" w:rsidRDefault="0081113A" w:rsidP="00F45A7F">
            <w:pPr>
              <w:jc w:val="left"/>
              <w:rPr>
                <w:sz w:val="20"/>
                <w:szCs w:val="20"/>
                <w:lang w:val="es-419"/>
              </w:rPr>
            </w:pPr>
            <w:r w:rsidRPr="008870C8">
              <w:rPr>
                <w:sz w:val="20"/>
                <w:szCs w:val="20"/>
                <w:lang w:val="es-419"/>
              </w:rPr>
              <w:t xml:space="preserve">Etapa II de los PGEH </w:t>
            </w:r>
          </w:p>
        </w:tc>
        <w:tc>
          <w:tcPr>
            <w:tcW w:w="1134" w:type="dxa"/>
            <w:tcBorders>
              <w:top w:val="nil"/>
              <w:left w:val="nil"/>
              <w:bottom w:val="single" w:sz="4" w:space="0" w:color="auto"/>
              <w:right w:val="single" w:sz="4" w:space="0" w:color="auto"/>
            </w:tcBorders>
            <w:shd w:val="clear" w:color="auto" w:fill="auto"/>
            <w:noWrap/>
            <w:hideMark/>
          </w:tcPr>
          <w:p w14:paraId="18A06AAB" w14:textId="77777777" w:rsidR="0081113A" w:rsidRPr="008870C8" w:rsidRDefault="0081113A" w:rsidP="00F45A7F">
            <w:pPr>
              <w:jc w:val="right"/>
              <w:rPr>
                <w:sz w:val="20"/>
                <w:szCs w:val="20"/>
                <w:lang w:val="es-419"/>
              </w:rPr>
            </w:pPr>
            <w:r w:rsidRPr="008870C8">
              <w:rPr>
                <w:sz w:val="20"/>
                <w:szCs w:val="20"/>
                <w:lang w:val="es-419"/>
              </w:rPr>
              <w:t>1 689</w:t>
            </w:r>
          </w:p>
        </w:tc>
        <w:tc>
          <w:tcPr>
            <w:tcW w:w="1134" w:type="dxa"/>
            <w:tcBorders>
              <w:top w:val="nil"/>
              <w:left w:val="nil"/>
              <w:bottom w:val="single" w:sz="4" w:space="0" w:color="auto"/>
              <w:right w:val="single" w:sz="4" w:space="0" w:color="auto"/>
            </w:tcBorders>
            <w:shd w:val="clear" w:color="auto" w:fill="auto"/>
            <w:noWrap/>
            <w:hideMark/>
          </w:tcPr>
          <w:p w14:paraId="5D28F165" w14:textId="77777777" w:rsidR="0081113A" w:rsidRPr="008870C8" w:rsidRDefault="0081113A" w:rsidP="00F45A7F">
            <w:pPr>
              <w:jc w:val="right"/>
              <w:rPr>
                <w:sz w:val="20"/>
                <w:szCs w:val="20"/>
                <w:lang w:val="es-419"/>
              </w:rPr>
            </w:pPr>
            <w:r w:rsidRPr="008870C8">
              <w:rPr>
                <w:sz w:val="20"/>
                <w:szCs w:val="20"/>
                <w:lang w:val="es-419"/>
              </w:rPr>
              <w:t>1 839</w:t>
            </w:r>
          </w:p>
        </w:tc>
        <w:tc>
          <w:tcPr>
            <w:tcW w:w="1134" w:type="dxa"/>
            <w:tcBorders>
              <w:top w:val="nil"/>
              <w:left w:val="nil"/>
              <w:bottom w:val="single" w:sz="4" w:space="0" w:color="auto"/>
              <w:right w:val="single" w:sz="4" w:space="0" w:color="auto"/>
            </w:tcBorders>
            <w:shd w:val="clear" w:color="auto" w:fill="auto"/>
            <w:noWrap/>
            <w:hideMark/>
          </w:tcPr>
          <w:p w14:paraId="06C19047" w14:textId="77777777" w:rsidR="0081113A" w:rsidRPr="008870C8" w:rsidRDefault="0081113A" w:rsidP="00F45A7F">
            <w:pPr>
              <w:jc w:val="right"/>
              <w:rPr>
                <w:sz w:val="20"/>
                <w:szCs w:val="20"/>
                <w:lang w:val="es-419"/>
              </w:rPr>
            </w:pPr>
            <w:r w:rsidRPr="008870C8">
              <w:rPr>
                <w:sz w:val="20"/>
                <w:szCs w:val="20"/>
                <w:lang w:val="es-419"/>
              </w:rPr>
              <w:t>136</w:t>
            </w:r>
          </w:p>
        </w:tc>
        <w:tc>
          <w:tcPr>
            <w:tcW w:w="1276" w:type="dxa"/>
            <w:tcBorders>
              <w:top w:val="nil"/>
              <w:left w:val="nil"/>
              <w:bottom w:val="single" w:sz="4" w:space="0" w:color="auto"/>
              <w:right w:val="single" w:sz="4" w:space="0" w:color="auto"/>
            </w:tcBorders>
            <w:shd w:val="clear" w:color="auto" w:fill="auto"/>
            <w:noWrap/>
            <w:hideMark/>
          </w:tcPr>
          <w:p w14:paraId="4AC8AC70" w14:textId="77777777" w:rsidR="0081113A" w:rsidRPr="008870C8" w:rsidRDefault="0081113A" w:rsidP="00F45A7F">
            <w:pPr>
              <w:jc w:val="right"/>
              <w:rPr>
                <w:sz w:val="20"/>
                <w:szCs w:val="20"/>
                <w:lang w:val="es-419"/>
              </w:rPr>
            </w:pPr>
            <w:r w:rsidRPr="008870C8">
              <w:rPr>
                <w:sz w:val="20"/>
                <w:szCs w:val="20"/>
                <w:lang w:val="es-419"/>
              </w:rPr>
              <w:t>3 665</w:t>
            </w:r>
          </w:p>
        </w:tc>
        <w:tc>
          <w:tcPr>
            <w:tcW w:w="1276" w:type="dxa"/>
            <w:tcBorders>
              <w:top w:val="nil"/>
              <w:left w:val="nil"/>
              <w:bottom w:val="single" w:sz="4" w:space="0" w:color="auto"/>
              <w:right w:val="single" w:sz="4" w:space="0" w:color="auto"/>
            </w:tcBorders>
            <w:shd w:val="clear" w:color="auto" w:fill="auto"/>
            <w:noWrap/>
            <w:hideMark/>
          </w:tcPr>
          <w:p w14:paraId="0F8C2AD1" w14:textId="77777777" w:rsidR="0081113A" w:rsidRPr="008870C8" w:rsidRDefault="0081113A" w:rsidP="00F45A7F">
            <w:pPr>
              <w:jc w:val="right"/>
              <w:rPr>
                <w:sz w:val="20"/>
                <w:szCs w:val="20"/>
                <w:lang w:val="es-419"/>
              </w:rPr>
            </w:pPr>
            <w:r w:rsidRPr="008870C8">
              <w:rPr>
                <w:sz w:val="20"/>
                <w:szCs w:val="20"/>
                <w:lang w:val="es-419"/>
              </w:rPr>
              <w:t>4 363</w:t>
            </w:r>
          </w:p>
        </w:tc>
      </w:tr>
      <w:tr w:rsidR="0081113A" w:rsidRPr="008870C8" w14:paraId="005E162D"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0C3705F1" w14:textId="77777777" w:rsidR="0081113A" w:rsidRPr="008870C8" w:rsidRDefault="0081113A" w:rsidP="00F45A7F">
            <w:pPr>
              <w:jc w:val="left"/>
              <w:rPr>
                <w:sz w:val="20"/>
                <w:szCs w:val="20"/>
                <w:lang w:val="es-419"/>
              </w:rPr>
            </w:pPr>
            <w:r w:rsidRPr="008870C8">
              <w:rPr>
                <w:sz w:val="20"/>
                <w:szCs w:val="20"/>
                <w:lang w:val="es-419"/>
              </w:rPr>
              <w:t>Preparación de proyectos de los PGEH – etapa III</w:t>
            </w:r>
          </w:p>
        </w:tc>
        <w:tc>
          <w:tcPr>
            <w:tcW w:w="1134" w:type="dxa"/>
            <w:tcBorders>
              <w:top w:val="nil"/>
              <w:left w:val="nil"/>
              <w:bottom w:val="single" w:sz="4" w:space="0" w:color="auto"/>
              <w:right w:val="single" w:sz="4" w:space="0" w:color="auto"/>
            </w:tcBorders>
            <w:shd w:val="clear" w:color="auto" w:fill="auto"/>
            <w:noWrap/>
            <w:hideMark/>
          </w:tcPr>
          <w:p w14:paraId="35EBAD7E" w14:textId="77777777" w:rsidR="0081113A" w:rsidRPr="008870C8" w:rsidRDefault="0081113A" w:rsidP="00F45A7F">
            <w:pPr>
              <w:jc w:val="right"/>
              <w:rPr>
                <w:sz w:val="20"/>
                <w:szCs w:val="20"/>
                <w:lang w:val="es-419"/>
              </w:rPr>
            </w:pPr>
            <w:r w:rsidRPr="008870C8">
              <w:rPr>
                <w:sz w:val="20"/>
                <w:szCs w:val="20"/>
                <w:lang w:val="es-419"/>
              </w:rPr>
              <w:t>529</w:t>
            </w:r>
          </w:p>
        </w:tc>
        <w:tc>
          <w:tcPr>
            <w:tcW w:w="1134" w:type="dxa"/>
            <w:tcBorders>
              <w:top w:val="nil"/>
              <w:left w:val="nil"/>
              <w:bottom w:val="single" w:sz="4" w:space="0" w:color="auto"/>
              <w:right w:val="single" w:sz="4" w:space="0" w:color="auto"/>
            </w:tcBorders>
            <w:shd w:val="clear" w:color="auto" w:fill="auto"/>
            <w:noWrap/>
            <w:hideMark/>
          </w:tcPr>
          <w:p w14:paraId="2D6B846E" w14:textId="77777777" w:rsidR="0081113A" w:rsidRPr="008870C8" w:rsidRDefault="0081113A" w:rsidP="00F45A7F">
            <w:pPr>
              <w:jc w:val="right"/>
              <w:rPr>
                <w:sz w:val="20"/>
                <w:szCs w:val="20"/>
                <w:lang w:val="es-419"/>
              </w:rPr>
            </w:pPr>
            <w:r w:rsidRPr="008870C8">
              <w:rPr>
                <w:sz w:val="20"/>
                <w:szCs w:val="20"/>
                <w:lang w:val="es-419"/>
              </w:rPr>
              <w:t>415</w:t>
            </w:r>
          </w:p>
        </w:tc>
        <w:tc>
          <w:tcPr>
            <w:tcW w:w="1134" w:type="dxa"/>
            <w:tcBorders>
              <w:top w:val="nil"/>
              <w:left w:val="nil"/>
              <w:bottom w:val="single" w:sz="4" w:space="0" w:color="auto"/>
              <w:right w:val="single" w:sz="4" w:space="0" w:color="auto"/>
            </w:tcBorders>
            <w:shd w:val="clear" w:color="auto" w:fill="auto"/>
            <w:noWrap/>
            <w:hideMark/>
          </w:tcPr>
          <w:p w14:paraId="10C438A5" w14:textId="77777777" w:rsidR="0081113A" w:rsidRPr="008870C8" w:rsidRDefault="0081113A" w:rsidP="00F45A7F">
            <w:pPr>
              <w:jc w:val="right"/>
              <w:rPr>
                <w:sz w:val="20"/>
                <w:szCs w:val="20"/>
                <w:lang w:val="es-419"/>
              </w:rPr>
            </w:pPr>
            <w:r w:rsidRPr="008870C8">
              <w:rPr>
                <w:sz w:val="20"/>
                <w:szCs w:val="20"/>
                <w:lang w:val="es-419"/>
              </w:rPr>
              <w:t>182</w:t>
            </w:r>
          </w:p>
        </w:tc>
        <w:tc>
          <w:tcPr>
            <w:tcW w:w="1276" w:type="dxa"/>
            <w:tcBorders>
              <w:top w:val="nil"/>
              <w:left w:val="nil"/>
              <w:bottom w:val="single" w:sz="4" w:space="0" w:color="auto"/>
              <w:right w:val="single" w:sz="4" w:space="0" w:color="auto"/>
            </w:tcBorders>
            <w:shd w:val="clear" w:color="auto" w:fill="auto"/>
            <w:noWrap/>
            <w:hideMark/>
          </w:tcPr>
          <w:p w14:paraId="52BDCCC2" w14:textId="77777777" w:rsidR="0081113A" w:rsidRPr="008870C8" w:rsidRDefault="0081113A" w:rsidP="00F45A7F">
            <w:pPr>
              <w:jc w:val="right"/>
              <w:rPr>
                <w:sz w:val="20"/>
                <w:szCs w:val="20"/>
                <w:lang w:val="es-419"/>
              </w:rPr>
            </w:pPr>
            <w:r w:rsidRPr="008870C8">
              <w:rPr>
                <w:sz w:val="20"/>
                <w:szCs w:val="20"/>
                <w:lang w:val="es-419"/>
              </w:rPr>
              <w:t>1 126</w:t>
            </w:r>
          </w:p>
        </w:tc>
        <w:tc>
          <w:tcPr>
            <w:tcW w:w="1276" w:type="dxa"/>
            <w:tcBorders>
              <w:top w:val="nil"/>
              <w:left w:val="nil"/>
              <w:bottom w:val="single" w:sz="4" w:space="0" w:color="auto"/>
              <w:right w:val="single" w:sz="4" w:space="0" w:color="auto"/>
            </w:tcBorders>
            <w:shd w:val="clear" w:color="auto" w:fill="auto"/>
            <w:noWrap/>
            <w:hideMark/>
          </w:tcPr>
          <w:p w14:paraId="56651EDE" w14:textId="77777777" w:rsidR="0081113A" w:rsidRPr="008870C8" w:rsidRDefault="0081113A" w:rsidP="00F45A7F">
            <w:pPr>
              <w:jc w:val="right"/>
              <w:rPr>
                <w:sz w:val="20"/>
                <w:szCs w:val="20"/>
                <w:lang w:val="es-419"/>
              </w:rPr>
            </w:pPr>
            <w:r w:rsidRPr="008870C8">
              <w:rPr>
                <w:sz w:val="20"/>
                <w:szCs w:val="20"/>
                <w:lang w:val="es-419"/>
              </w:rPr>
              <w:t>225</w:t>
            </w:r>
          </w:p>
        </w:tc>
      </w:tr>
      <w:tr w:rsidR="0081113A" w:rsidRPr="008870C8" w14:paraId="539E0F6F"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34856290" w14:textId="77777777" w:rsidR="0081113A" w:rsidRPr="008870C8" w:rsidRDefault="0081113A" w:rsidP="00F45A7F">
            <w:pPr>
              <w:jc w:val="left"/>
              <w:rPr>
                <w:sz w:val="20"/>
                <w:szCs w:val="20"/>
                <w:lang w:val="es-419"/>
              </w:rPr>
            </w:pPr>
            <w:r w:rsidRPr="008870C8">
              <w:rPr>
                <w:sz w:val="20"/>
                <w:szCs w:val="20"/>
                <w:lang w:val="es-419"/>
              </w:rPr>
              <w:t>Etapa III de los PGEH</w:t>
            </w:r>
          </w:p>
        </w:tc>
        <w:tc>
          <w:tcPr>
            <w:tcW w:w="1134" w:type="dxa"/>
            <w:tcBorders>
              <w:top w:val="nil"/>
              <w:left w:val="nil"/>
              <w:bottom w:val="single" w:sz="4" w:space="0" w:color="auto"/>
              <w:right w:val="single" w:sz="4" w:space="0" w:color="auto"/>
            </w:tcBorders>
            <w:shd w:val="clear" w:color="auto" w:fill="auto"/>
            <w:noWrap/>
            <w:hideMark/>
          </w:tcPr>
          <w:p w14:paraId="7C22FA37" w14:textId="77777777" w:rsidR="0081113A" w:rsidRPr="008870C8" w:rsidRDefault="0081113A" w:rsidP="00F45A7F">
            <w:pPr>
              <w:jc w:val="right"/>
              <w:rPr>
                <w:sz w:val="20"/>
                <w:szCs w:val="20"/>
                <w:lang w:val="es-419"/>
              </w:rPr>
            </w:pPr>
            <w:r w:rsidRPr="008870C8">
              <w:rPr>
                <w:sz w:val="20"/>
                <w:szCs w:val="20"/>
                <w:lang w:val="es-419"/>
              </w:rPr>
              <w:t>1 127</w:t>
            </w:r>
          </w:p>
        </w:tc>
        <w:tc>
          <w:tcPr>
            <w:tcW w:w="1134" w:type="dxa"/>
            <w:tcBorders>
              <w:top w:val="nil"/>
              <w:left w:val="nil"/>
              <w:bottom w:val="single" w:sz="4" w:space="0" w:color="auto"/>
              <w:right w:val="single" w:sz="4" w:space="0" w:color="auto"/>
            </w:tcBorders>
            <w:shd w:val="clear" w:color="auto" w:fill="auto"/>
            <w:noWrap/>
            <w:hideMark/>
          </w:tcPr>
          <w:p w14:paraId="64E5F847" w14:textId="77777777" w:rsidR="0081113A" w:rsidRPr="008870C8" w:rsidRDefault="0081113A" w:rsidP="00F45A7F">
            <w:pPr>
              <w:jc w:val="right"/>
              <w:rPr>
                <w:sz w:val="20"/>
                <w:szCs w:val="20"/>
                <w:lang w:val="es-419"/>
              </w:rPr>
            </w:pPr>
            <w:r w:rsidRPr="008870C8">
              <w:rPr>
                <w:sz w:val="20"/>
                <w:szCs w:val="20"/>
                <w:lang w:val="es-419"/>
              </w:rPr>
              <w:t>75</w:t>
            </w:r>
          </w:p>
        </w:tc>
        <w:tc>
          <w:tcPr>
            <w:tcW w:w="1134" w:type="dxa"/>
            <w:tcBorders>
              <w:top w:val="nil"/>
              <w:left w:val="nil"/>
              <w:bottom w:val="single" w:sz="4" w:space="0" w:color="auto"/>
              <w:right w:val="single" w:sz="4" w:space="0" w:color="auto"/>
            </w:tcBorders>
            <w:shd w:val="clear" w:color="auto" w:fill="auto"/>
            <w:noWrap/>
            <w:hideMark/>
          </w:tcPr>
          <w:p w14:paraId="6572B600" w14:textId="77777777" w:rsidR="0081113A" w:rsidRPr="008870C8" w:rsidRDefault="0081113A" w:rsidP="00F45A7F">
            <w:pPr>
              <w:jc w:val="right"/>
              <w:rPr>
                <w:sz w:val="20"/>
                <w:szCs w:val="20"/>
                <w:lang w:val="es-419"/>
              </w:rPr>
            </w:pPr>
            <w:r w:rsidRPr="008870C8">
              <w:rPr>
                <w:sz w:val="20"/>
                <w:szCs w:val="20"/>
                <w:lang w:val="es-419"/>
              </w:rPr>
              <w:t>112</w:t>
            </w:r>
          </w:p>
        </w:tc>
        <w:tc>
          <w:tcPr>
            <w:tcW w:w="1276" w:type="dxa"/>
            <w:tcBorders>
              <w:top w:val="nil"/>
              <w:left w:val="nil"/>
              <w:bottom w:val="single" w:sz="4" w:space="0" w:color="auto"/>
              <w:right w:val="single" w:sz="4" w:space="0" w:color="auto"/>
            </w:tcBorders>
            <w:shd w:val="clear" w:color="auto" w:fill="auto"/>
            <w:noWrap/>
            <w:hideMark/>
          </w:tcPr>
          <w:p w14:paraId="7CBD01A7" w14:textId="77777777" w:rsidR="0081113A" w:rsidRPr="008870C8" w:rsidRDefault="0081113A" w:rsidP="00F45A7F">
            <w:pPr>
              <w:jc w:val="right"/>
              <w:rPr>
                <w:sz w:val="20"/>
                <w:szCs w:val="20"/>
                <w:lang w:val="es-419"/>
              </w:rPr>
            </w:pPr>
            <w:r w:rsidRPr="008870C8">
              <w:rPr>
                <w:sz w:val="20"/>
                <w:szCs w:val="20"/>
                <w:lang w:val="es-419"/>
              </w:rPr>
              <w:t>1 314</w:t>
            </w:r>
          </w:p>
        </w:tc>
        <w:tc>
          <w:tcPr>
            <w:tcW w:w="1276" w:type="dxa"/>
            <w:tcBorders>
              <w:top w:val="nil"/>
              <w:left w:val="nil"/>
              <w:bottom w:val="single" w:sz="4" w:space="0" w:color="auto"/>
              <w:right w:val="single" w:sz="4" w:space="0" w:color="auto"/>
            </w:tcBorders>
            <w:shd w:val="clear" w:color="auto" w:fill="auto"/>
            <w:noWrap/>
            <w:hideMark/>
          </w:tcPr>
          <w:p w14:paraId="79F553D5" w14:textId="77777777" w:rsidR="0081113A" w:rsidRPr="008870C8" w:rsidRDefault="0081113A" w:rsidP="00F45A7F">
            <w:pPr>
              <w:jc w:val="right"/>
              <w:rPr>
                <w:sz w:val="20"/>
                <w:szCs w:val="20"/>
                <w:lang w:val="es-419"/>
              </w:rPr>
            </w:pPr>
            <w:r w:rsidRPr="008870C8">
              <w:rPr>
                <w:sz w:val="20"/>
                <w:szCs w:val="20"/>
                <w:lang w:val="es-419"/>
              </w:rPr>
              <w:t>1 690</w:t>
            </w:r>
          </w:p>
        </w:tc>
      </w:tr>
      <w:tr w:rsidR="0081113A" w:rsidRPr="008870C8" w14:paraId="4FA8EFF5"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71C2F54E"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relativas a los HCFC</w:t>
            </w:r>
          </w:p>
        </w:tc>
        <w:tc>
          <w:tcPr>
            <w:tcW w:w="1134" w:type="dxa"/>
            <w:tcBorders>
              <w:top w:val="nil"/>
              <w:left w:val="nil"/>
              <w:bottom w:val="single" w:sz="4" w:space="0" w:color="auto"/>
              <w:right w:val="single" w:sz="4" w:space="0" w:color="auto"/>
            </w:tcBorders>
            <w:shd w:val="clear" w:color="auto" w:fill="auto"/>
            <w:noWrap/>
            <w:hideMark/>
          </w:tcPr>
          <w:p w14:paraId="5F49A553" w14:textId="77777777" w:rsidR="0081113A" w:rsidRPr="008870C8" w:rsidRDefault="0081113A" w:rsidP="00F45A7F">
            <w:pPr>
              <w:jc w:val="right"/>
              <w:rPr>
                <w:b/>
                <w:bCs/>
                <w:sz w:val="20"/>
                <w:szCs w:val="20"/>
                <w:lang w:val="es-419"/>
              </w:rPr>
            </w:pPr>
            <w:r w:rsidRPr="008870C8">
              <w:rPr>
                <w:b/>
                <w:bCs/>
                <w:sz w:val="20"/>
                <w:szCs w:val="20"/>
                <w:lang w:val="es-419"/>
              </w:rPr>
              <w:t>61 178</w:t>
            </w:r>
          </w:p>
        </w:tc>
        <w:tc>
          <w:tcPr>
            <w:tcW w:w="1134" w:type="dxa"/>
            <w:tcBorders>
              <w:top w:val="nil"/>
              <w:left w:val="nil"/>
              <w:bottom w:val="single" w:sz="4" w:space="0" w:color="auto"/>
              <w:right w:val="single" w:sz="4" w:space="0" w:color="auto"/>
            </w:tcBorders>
            <w:shd w:val="clear" w:color="auto" w:fill="auto"/>
            <w:noWrap/>
            <w:hideMark/>
          </w:tcPr>
          <w:p w14:paraId="275841E3" w14:textId="77777777" w:rsidR="0081113A" w:rsidRPr="008870C8" w:rsidRDefault="0081113A" w:rsidP="00F45A7F">
            <w:pPr>
              <w:jc w:val="right"/>
              <w:rPr>
                <w:b/>
                <w:bCs/>
                <w:sz w:val="20"/>
                <w:szCs w:val="20"/>
                <w:lang w:val="es-419"/>
              </w:rPr>
            </w:pPr>
            <w:r w:rsidRPr="008870C8">
              <w:rPr>
                <w:b/>
                <w:bCs/>
                <w:sz w:val="20"/>
                <w:szCs w:val="20"/>
                <w:lang w:val="es-419"/>
              </w:rPr>
              <w:t>31 766</w:t>
            </w:r>
          </w:p>
        </w:tc>
        <w:tc>
          <w:tcPr>
            <w:tcW w:w="1134" w:type="dxa"/>
            <w:tcBorders>
              <w:top w:val="nil"/>
              <w:left w:val="nil"/>
              <w:bottom w:val="single" w:sz="4" w:space="0" w:color="auto"/>
              <w:right w:val="single" w:sz="4" w:space="0" w:color="auto"/>
            </w:tcBorders>
            <w:shd w:val="clear" w:color="auto" w:fill="auto"/>
            <w:noWrap/>
            <w:hideMark/>
          </w:tcPr>
          <w:p w14:paraId="7FE4680B" w14:textId="77777777" w:rsidR="0081113A" w:rsidRPr="008870C8" w:rsidRDefault="0081113A" w:rsidP="00F45A7F">
            <w:pPr>
              <w:jc w:val="right"/>
              <w:rPr>
                <w:b/>
                <w:bCs/>
                <w:sz w:val="20"/>
                <w:szCs w:val="20"/>
                <w:lang w:val="es-419"/>
              </w:rPr>
            </w:pPr>
            <w:r w:rsidRPr="008870C8">
              <w:rPr>
                <w:b/>
                <w:bCs/>
                <w:sz w:val="20"/>
                <w:szCs w:val="20"/>
                <w:lang w:val="es-419"/>
              </w:rPr>
              <w:t>20 125</w:t>
            </w:r>
          </w:p>
        </w:tc>
        <w:tc>
          <w:tcPr>
            <w:tcW w:w="1276" w:type="dxa"/>
            <w:tcBorders>
              <w:top w:val="nil"/>
              <w:left w:val="nil"/>
              <w:bottom w:val="single" w:sz="4" w:space="0" w:color="auto"/>
              <w:right w:val="single" w:sz="4" w:space="0" w:color="auto"/>
            </w:tcBorders>
            <w:shd w:val="clear" w:color="auto" w:fill="auto"/>
            <w:noWrap/>
            <w:hideMark/>
          </w:tcPr>
          <w:p w14:paraId="7878723E" w14:textId="77777777" w:rsidR="0081113A" w:rsidRPr="008870C8" w:rsidRDefault="0081113A" w:rsidP="00F45A7F">
            <w:pPr>
              <w:jc w:val="right"/>
              <w:rPr>
                <w:b/>
                <w:bCs/>
                <w:sz w:val="20"/>
                <w:szCs w:val="20"/>
                <w:lang w:val="es-419"/>
              </w:rPr>
            </w:pPr>
            <w:r w:rsidRPr="008870C8">
              <w:rPr>
                <w:b/>
                <w:bCs/>
                <w:sz w:val="20"/>
                <w:szCs w:val="20"/>
                <w:lang w:val="es-419"/>
              </w:rPr>
              <w:t>113 069</w:t>
            </w:r>
          </w:p>
        </w:tc>
        <w:tc>
          <w:tcPr>
            <w:tcW w:w="1276" w:type="dxa"/>
            <w:tcBorders>
              <w:top w:val="nil"/>
              <w:left w:val="nil"/>
              <w:bottom w:val="single" w:sz="4" w:space="0" w:color="auto"/>
              <w:right w:val="single" w:sz="4" w:space="0" w:color="auto"/>
            </w:tcBorders>
            <w:shd w:val="clear" w:color="auto" w:fill="auto"/>
            <w:noWrap/>
            <w:hideMark/>
          </w:tcPr>
          <w:p w14:paraId="3FC3A54A" w14:textId="77777777" w:rsidR="0081113A" w:rsidRPr="008870C8" w:rsidRDefault="0081113A" w:rsidP="00F45A7F">
            <w:pPr>
              <w:jc w:val="right"/>
              <w:rPr>
                <w:b/>
                <w:bCs/>
                <w:sz w:val="20"/>
                <w:szCs w:val="20"/>
                <w:lang w:val="es-419"/>
              </w:rPr>
            </w:pPr>
            <w:r w:rsidRPr="008870C8">
              <w:rPr>
                <w:b/>
                <w:bCs/>
                <w:sz w:val="20"/>
                <w:szCs w:val="20"/>
                <w:lang w:val="es-419"/>
              </w:rPr>
              <w:t>21 660</w:t>
            </w:r>
          </w:p>
        </w:tc>
      </w:tr>
      <w:tr w:rsidR="0081113A" w:rsidRPr="008870C8" w14:paraId="6E5CF35A" w14:textId="77777777" w:rsidTr="00F45A7F">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F0A6F4F" w14:textId="77777777" w:rsidR="0081113A" w:rsidRPr="008870C8" w:rsidRDefault="0081113A" w:rsidP="00F45A7F">
            <w:pPr>
              <w:jc w:val="left"/>
              <w:rPr>
                <w:b/>
                <w:bCs/>
                <w:sz w:val="20"/>
                <w:szCs w:val="20"/>
                <w:lang w:val="es-419"/>
              </w:rPr>
            </w:pPr>
            <w:r w:rsidRPr="008870C8">
              <w:rPr>
                <w:b/>
                <w:bCs/>
                <w:sz w:val="20"/>
                <w:szCs w:val="20"/>
                <w:lang w:val="es-419"/>
              </w:rPr>
              <w:t>Actividades relativas al HFC</w:t>
            </w:r>
          </w:p>
        </w:tc>
      </w:tr>
      <w:tr w:rsidR="0081113A" w:rsidRPr="008870C8" w14:paraId="4028D3B9"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7EF0B2BC" w14:textId="77777777" w:rsidR="0081113A" w:rsidRPr="008870C8" w:rsidRDefault="0081113A" w:rsidP="00F45A7F">
            <w:pPr>
              <w:jc w:val="left"/>
              <w:rPr>
                <w:sz w:val="20"/>
                <w:szCs w:val="20"/>
                <w:lang w:val="es-419"/>
              </w:rPr>
            </w:pPr>
            <w:r w:rsidRPr="008870C8">
              <w:rPr>
                <w:sz w:val="20"/>
                <w:szCs w:val="20"/>
                <w:lang w:val="es-419"/>
              </w:rPr>
              <w:t>HFC - Actividades de apoyo</w:t>
            </w:r>
          </w:p>
        </w:tc>
        <w:tc>
          <w:tcPr>
            <w:tcW w:w="1134" w:type="dxa"/>
            <w:tcBorders>
              <w:top w:val="nil"/>
              <w:left w:val="nil"/>
              <w:bottom w:val="single" w:sz="4" w:space="0" w:color="auto"/>
              <w:right w:val="single" w:sz="4" w:space="0" w:color="auto"/>
            </w:tcBorders>
            <w:shd w:val="clear" w:color="auto" w:fill="auto"/>
            <w:noWrap/>
            <w:hideMark/>
          </w:tcPr>
          <w:p w14:paraId="7305DDFD" w14:textId="77777777" w:rsidR="0081113A" w:rsidRPr="008870C8" w:rsidRDefault="0081113A" w:rsidP="00F45A7F">
            <w:pPr>
              <w:jc w:val="right"/>
              <w:rPr>
                <w:sz w:val="20"/>
                <w:szCs w:val="20"/>
                <w:lang w:val="es-419"/>
              </w:rPr>
            </w:pPr>
            <w:r w:rsidRPr="008870C8">
              <w:rPr>
                <w:sz w:val="20"/>
                <w:szCs w:val="20"/>
                <w:lang w:val="es-419"/>
              </w:rPr>
              <w:t>102</w:t>
            </w:r>
          </w:p>
        </w:tc>
        <w:tc>
          <w:tcPr>
            <w:tcW w:w="1134" w:type="dxa"/>
            <w:tcBorders>
              <w:top w:val="nil"/>
              <w:left w:val="nil"/>
              <w:bottom w:val="single" w:sz="4" w:space="0" w:color="auto"/>
              <w:right w:val="single" w:sz="4" w:space="0" w:color="auto"/>
            </w:tcBorders>
            <w:shd w:val="clear" w:color="auto" w:fill="auto"/>
            <w:noWrap/>
            <w:hideMark/>
          </w:tcPr>
          <w:p w14:paraId="43223150" w14:textId="77777777" w:rsidR="0081113A" w:rsidRPr="008870C8" w:rsidRDefault="0081113A" w:rsidP="00F45A7F">
            <w:pPr>
              <w:jc w:val="right"/>
              <w:rPr>
                <w:sz w:val="20"/>
                <w:szCs w:val="20"/>
                <w:lang w:val="es-419"/>
              </w:rPr>
            </w:pPr>
            <w:r w:rsidRPr="008870C8">
              <w:rPr>
                <w:sz w:val="20"/>
                <w:szCs w:val="20"/>
                <w:lang w:val="es-419"/>
              </w:rPr>
              <w:t>0 </w:t>
            </w:r>
          </w:p>
        </w:tc>
        <w:tc>
          <w:tcPr>
            <w:tcW w:w="1134" w:type="dxa"/>
            <w:tcBorders>
              <w:top w:val="nil"/>
              <w:left w:val="nil"/>
              <w:bottom w:val="single" w:sz="4" w:space="0" w:color="auto"/>
              <w:right w:val="single" w:sz="4" w:space="0" w:color="auto"/>
            </w:tcBorders>
            <w:shd w:val="clear" w:color="auto" w:fill="auto"/>
            <w:noWrap/>
            <w:hideMark/>
          </w:tcPr>
          <w:p w14:paraId="11CAB464"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28770A24"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79CCC830"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352B45E0"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794F2477" w14:textId="77777777" w:rsidR="0081113A" w:rsidRPr="008870C8" w:rsidRDefault="0081113A" w:rsidP="00F45A7F">
            <w:pPr>
              <w:jc w:val="left"/>
              <w:rPr>
                <w:sz w:val="20"/>
                <w:szCs w:val="20"/>
                <w:lang w:val="es-419"/>
              </w:rPr>
            </w:pPr>
            <w:r w:rsidRPr="008870C8">
              <w:rPr>
                <w:sz w:val="20"/>
                <w:szCs w:val="20"/>
                <w:lang w:val="es-419"/>
              </w:rPr>
              <w:t>Plan de reducción del HFC - Preparación de proyectos de los PGEH</w:t>
            </w:r>
          </w:p>
        </w:tc>
        <w:tc>
          <w:tcPr>
            <w:tcW w:w="1134" w:type="dxa"/>
            <w:tcBorders>
              <w:top w:val="nil"/>
              <w:left w:val="nil"/>
              <w:bottom w:val="single" w:sz="4" w:space="0" w:color="auto"/>
              <w:right w:val="single" w:sz="4" w:space="0" w:color="auto"/>
            </w:tcBorders>
            <w:shd w:val="clear" w:color="auto" w:fill="auto"/>
            <w:noWrap/>
            <w:hideMark/>
          </w:tcPr>
          <w:p w14:paraId="6C36D546" w14:textId="77777777" w:rsidR="0081113A" w:rsidRPr="008870C8" w:rsidRDefault="0081113A" w:rsidP="00F45A7F">
            <w:pPr>
              <w:jc w:val="right"/>
              <w:rPr>
                <w:sz w:val="20"/>
                <w:szCs w:val="20"/>
                <w:lang w:val="es-419"/>
              </w:rPr>
            </w:pPr>
            <w:r w:rsidRPr="008870C8">
              <w:rPr>
                <w:sz w:val="20"/>
                <w:szCs w:val="20"/>
                <w:lang w:val="es-419"/>
              </w:rPr>
              <w:t>922</w:t>
            </w:r>
          </w:p>
        </w:tc>
        <w:tc>
          <w:tcPr>
            <w:tcW w:w="1134" w:type="dxa"/>
            <w:tcBorders>
              <w:top w:val="nil"/>
              <w:left w:val="nil"/>
              <w:bottom w:val="single" w:sz="4" w:space="0" w:color="auto"/>
              <w:right w:val="single" w:sz="4" w:space="0" w:color="auto"/>
            </w:tcBorders>
            <w:shd w:val="clear" w:color="auto" w:fill="auto"/>
            <w:noWrap/>
            <w:hideMark/>
          </w:tcPr>
          <w:p w14:paraId="0EA0DBF0" w14:textId="77777777" w:rsidR="0081113A" w:rsidRPr="008870C8" w:rsidRDefault="0081113A" w:rsidP="00F45A7F">
            <w:pPr>
              <w:jc w:val="right"/>
              <w:rPr>
                <w:sz w:val="20"/>
                <w:szCs w:val="20"/>
                <w:lang w:val="es-419"/>
              </w:rPr>
            </w:pPr>
            <w:r w:rsidRPr="008870C8">
              <w:rPr>
                <w:sz w:val="20"/>
                <w:szCs w:val="20"/>
                <w:lang w:val="es-419"/>
              </w:rPr>
              <w:t>459</w:t>
            </w:r>
          </w:p>
        </w:tc>
        <w:tc>
          <w:tcPr>
            <w:tcW w:w="1134" w:type="dxa"/>
            <w:tcBorders>
              <w:top w:val="nil"/>
              <w:left w:val="nil"/>
              <w:bottom w:val="single" w:sz="4" w:space="0" w:color="auto"/>
              <w:right w:val="single" w:sz="4" w:space="0" w:color="auto"/>
            </w:tcBorders>
            <w:shd w:val="clear" w:color="auto" w:fill="auto"/>
            <w:noWrap/>
            <w:hideMark/>
          </w:tcPr>
          <w:p w14:paraId="4C224341"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597AEFE0" w14:textId="77777777" w:rsidR="0081113A" w:rsidRPr="008870C8" w:rsidRDefault="0081113A" w:rsidP="00F45A7F">
            <w:pPr>
              <w:jc w:val="right"/>
              <w:rPr>
                <w:sz w:val="20"/>
                <w:szCs w:val="20"/>
                <w:lang w:val="es-419"/>
              </w:rPr>
            </w:pPr>
            <w:r w:rsidRPr="008870C8">
              <w:rPr>
                <w:sz w:val="20"/>
                <w:szCs w:val="20"/>
                <w:lang w:val="es-419"/>
              </w:rPr>
              <w:t>1 381</w:t>
            </w:r>
          </w:p>
        </w:tc>
        <w:tc>
          <w:tcPr>
            <w:tcW w:w="1276" w:type="dxa"/>
            <w:tcBorders>
              <w:top w:val="nil"/>
              <w:left w:val="nil"/>
              <w:bottom w:val="single" w:sz="4" w:space="0" w:color="auto"/>
              <w:right w:val="single" w:sz="4" w:space="0" w:color="auto"/>
            </w:tcBorders>
            <w:shd w:val="clear" w:color="auto" w:fill="auto"/>
            <w:noWrap/>
            <w:hideMark/>
          </w:tcPr>
          <w:p w14:paraId="5C51475B"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7005D059"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582477B8" w14:textId="77777777" w:rsidR="0081113A" w:rsidRPr="008870C8" w:rsidRDefault="0081113A" w:rsidP="00F45A7F">
            <w:pPr>
              <w:jc w:val="left"/>
              <w:rPr>
                <w:sz w:val="20"/>
                <w:szCs w:val="20"/>
                <w:lang w:val="es-419"/>
              </w:rPr>
            </w:pPr>
            <w:r w:rsidRPr="008870C8">
              <w:rPr>
                <w:sz w:val="20"/>
                <w:szCs w:val="20"/>
                <w:lang w:val="es-419"/>
              </w:rPr>
              <w:t xml:space="preserve">Plan de reducción del HFC </w:t>
            </w:r>
          </w:p>
        </w:tc>
        <w:tc>
          <w:tcPr>
            <w:tcW w:w="1134" w:type="dxa"/>
            <w:tcBorders>
              <w:top w:val="nil"/>
              <w:left w:val="nil"/>
              <w:bottom w:val="single" w:sz="4" w:space="0" w:color="auto"/>
              <w:right w:val="single" w:sz="4" w:space="0" w:color="auto"/>
            </w:tcBorders>
            <w:shd w:val="clear" w:color="auto" w:fill="auto"/>
            <w:noWrap/>
            <w:hideMark/>
          </w:tcPr>
          <w:p w14:paraId="0A11A36A"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61B6DD9E" w14:textId="77777777" w:rsidR="0081113A" w:rsidRPr="008870C8" w:rsidRDefault="0081113A" w:rsidP="00F45A7F">
            <w:pPr>
              <w:jc w:val="right"/>
              <w:rPr>
                <w:sz w:val="20"/>
                <w:szCs w:val="20"/>
                <w:lang w:val="es-419"/>
              </w:rPr>
            </w:pPr>
            <w:r w:rsidRPr="008870C8">
              <w:rPr>
                <w:sz w:val="20"/>
                <w:szCs w:val="20"/>
                <w:lang w:val="es-419"/>
              </w:rPr>
              <w:t>0</w:t>
            </w:r>
          </w:p>
        </w:tc>
        <w:tc>
          <w:tcPr>
            <w:tcW w:w="1134" w:type="dxa"/>
            <w:tcBorders>
              <w:top w:val="nil"/>
              <w:left w:val="nil"/>
              <w:bottom w:val="single" w:sz="4" w:space="0" w:color="auto"/>
              <w:right w:val="single" w:sz="4" w:space="0" w:color="auto"/>
            </w:tcBorders>
            <w:shd w:val="clear" w:color="auto" w:fill="auto"/>
            <w:noWrap/>
            <w:hideMark/>
          </w:tcPr>
          <w:p w14:paraId="3F60D482"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00C55E77" w14:textId="77777777" w:rsidR="0081113A" w:rsidRPr="008870C8" w:rsidRDefault="0081113A" w:rsidP="00F45A7F">
            <w:pPr>
              <w:jc w:val="right"/>
              <w:rPr>
                <w:sz w:val="20"/>
                <w:szCs w:val="20"/>
                <w:lang w:val="es-419"/>
              </w:rPr>
            </w:pPr>
            <w:r w:rsidRPr="008870C8">
              <w:rPr>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2EC5A98A"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2BCDC55F"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2A16DB09"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relativas al HFC</w:t>
            </w:r>
          </w:p>
        </w:tc>
        <w:tc>
          <w:tcPr>
            <w:tcW w:w="1134" w:type="dxa"/>
            <w:tcBorders>
              <w:top w:val="nil"/>
              <w:left w:val="nil"/>
              <w:bottom w:val="single" w:sz="4" w:space="0" w:color="auto"/>
              <w:right w:val="single" w:sz="4" w:space="0" w:color="auto"/>
            </w:tcBorders>
            <w:shd w:val="clear" w:color="auto" w:fill="auto"/>
            <w:noWrap/>
            <w:hideMark/>
          </w:tcPr>
          <w:p w14:paraId="49DDAB55" w14:textId="77777777" w:rsidR="0081113A" w:rsidRPr="008870C8" w:rsidRDefault="0081113A" w:rsidP="00F45A7F">
            <w:pPr>
              <w:jc w:val="right"/>
              <w:rPr>
                <w:b/>
                <w:bCs/>
                <w:sz w:val="20"/>
                <w:szCs w:val="20"/>
                <w:lang w:val="es-419"/>
              </w:rPr>
            </w:pPr>
            <w:r w:rsidRPr="008870C8">
              <w:rPr>
                <w:b/>
                <w:bCs/>
                <w:sz w:val="20"/>
                <w:szCs w:val="20"/>
                <w:lang w:val="es-419"/>
              </w:rPr>
              <w:t>1 024</w:t>
            </w:r>
          </w:p>
        </w:tc>
        <w:tc>
          <w:tcPr>
            <w:tcW w:w="1134" w:type="dxa"/>
            <w:tcBorders>
              <w:top w:val="nil"/>
              <w:left w:val="nil"/>
              <w:bottom w:val="single" w:sz="4" w:space="0" w:color="auto"/>
              <w:right w:val="single" w:sz="4" w:space="0" w:color="auto"/>
            </w:tcBorders>
            <w:shd w:val="clear" w:color="auto" w:fill="auto"/>
            <w:noWrap/>
            <w:hideMark/>
          </w:tcPr>
          <w:p w14:paraId="5802A528" w14:textId="77777777" w:rsidR="0081113A" w:rsidRPr="008870C8" w:rsidRDefault="0081113A" w:rsidP="00F45A7F">
            <w:pPr>
              <w:jc w:val="right"/>
              <w:rPr>
                <w:b/>
                <w:bCs/>
                <w:sz w:val="20"/>
                <w:szCs w:val="20"/>
                <w:lang w:val="es-419"/>
              </w:rPr>
            </w:pPr>
            <w:r w:rsidRPr="008870C8">
              <w:rPr>
                <w:b/>
                <w:bCs/>
                <w:sz w:val="20"/>
                <w:szCs w:val="20"/>
                <w:lang w:val="es-419"/>
              </w:rPr>
              <w:t>459</w:t>
            </w:r>
          </w:p>
        </w:tc>
        <w:tc>
          <w:tcPr>
            <w:tcW w:w="1134" w:type="dxa"/>
            <w:tcBorders>
              <w:top w:val="nil"/>
              <w:left w:val="nil"/>
              <w:bottom w:val="single" w:sz="4" w:space="0" w:color="auto"/>
              <w:right w:val="single" w:sz="4" w:space="0" w:color="auto"/>
            </w:tcBorders>
            <w:shd w:val="clear" w:color="auto" w:fill="auto"/>
            <w:noWrap/>
            <w:hideMark/>
          </w:tcPr>
          <w:p w14:paraId="7886E218" w14:textId="77777777" w:rsidR="0081113A" w:rsidRPr="008870C8" w:rsidRDefault="0081113A" w:rsidP="00F45A7F">
            <w:pPr>
              <w:jc w:val="right"/>
              <w:rPr>
                <w:b/>
                <w:bCs/>
                <w:sz w:val="20"/>
                <w:szCs w:val="20"/>
                <w:lang w:val="es-419"/>
              </w:rPr>
            </w:pPr>
            <w:r w:rsidRPr="008870C8">
              <w:rPr>
                <w:b/>
                <w:bCs/>
                <w:sz w:val="20"/>
                <w:szCs w:val="20"/>
                <w:lang w:val="es-419"/>
              </w:rPr>
              <w:t>0</w:t>
            </w:r>
          </w:p>
        </w:tc>
        <w:tc>
          <w:tcPr>
            <w:tcW w:w="1276" w:type="dxa"/>
            <w:tcBorders>
              <w:top w:val="nil"/>
              <w:left w:val="nil"/>
              <w:bottom w:val="single" w:sz="4" w:space="0" w:color="auto"/>
              <w:right w:val="single" w:sz="4" w:space="0" w:color="auto"/>
            </w:tcBorders>
            <w:shd w:val="clear" w:color="auto" w:fill="auto"/>
            <w:noWrap/>
            <w:hideMark/>
          </w:tcPr>
          <w:p w14:paraId="699CA881" w14:textId="77777777" w:rsidR="0081113A" w:rsidRPr="008870C8" w:rsidRDefault="0081113A" w:rsidP="00F45A7F">
            <w:pPr>
              <w:jc w:val="right"/>
              <w:rPr>
                <w:b/>
                <w:bCs/>
                <w:sz w:val="20"/>
                <w:szCs w:val="20"/>
                <w:lang w:val="es-419"/>
              </w:rPr>
            </w:pPr>
            <w:r w:rsidRPr="008870C8">
              <w:rPr>
                <w:b/>
                <w:bCs/>
                <w:sz w:val="20"/>
                <w:szCs w:val="20"/>
                <w:lang w:val="es-419"/>
              </w:rPr>
              <w:t>1 381</w:t>
            </w:r>
          </w:p>
        </w:tc>
        <w:tc>
          <w:tcPr>
            <w:tcW w:w="1276" w:type="dxa"/>
            <w:tcBorders>
              <w:top w:val="nil"/>
              <w:left w:val="nil"/>
              <w:bottom w:val="single" w:sz="4" w:space="0" w:color="auto"/>
              <w:right w:val="single" w:sz="4" w:space="0" w:color="auto"/>
            </w:tcBorders>
            <w:shd w:val="clear" w:color="auto" w:fill="auto"/>
            <w:noWrap/>
            <w:hideMark/>
          </w:tcPr>
          <w:p w14:paraId="39F94B62" w14:textId="77777777" w:rsidR="0081113A" w:rsidRPr="008870C8" w:rsidRDefault="0081113A" w:rsidP="00F45A7F">
            <w:pPr>
              <w:jc w:val="right"/>
              <w:rPr>
                <w:b/>
                <w:bCs/>
                <w:sz w:val="20"/>
                <w:szCs w:val="20"/>
                <w:lang w:val="es-419"/>
              </w:rPr>
            </w:pPr>
            <w:r w:rsidRPr="008870C8">
              <w:rPr>
                <w:b/>
                <w:bCs/>
                <w:sz w:val="20"/>
                <w:szCs w:val="20"/>
                <w:lang w:val="es-419"/>
              </w:rPr>
              <w:t>0</w:t>
            </w:r>
          </w:p>
        </w:tc>
      </w:tr>
      <w:tr w:rsidR="0081113A" w:rsidRPr="008870C8" w14:paraId="3F6A6514" w14:textId="77777777" w:rsidTr="00F45A7F">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0198E07" w14:textId="77777777" w:rsidR="0081113A" w:rsidRPr="008870C8" w:rsidRDefault="0081113A" w:rsidP="00F45A7F">
            <w:pPr>
              <w:jc w:val="left"/>
              <w:rPr>
                <w:b/>
                <w:bCs/>
                <w:sz w:val="20"/>
                <w:szCs w:val="20"/>
                <w:lang w:val="es-419"/>
              </w:rPr>
            </w:pPr>
            <w:r w:rsidRPr="008870C8">
              <w:rPr>
                <w:b/>
                <w:bCs/>
                <w:sz w:val="20"/>
                <w:szCs w:val="20"/>
                <w:lang w:val="es-419"/>
              </w:rPr>
              <w:t>Actividades estándar</w:t>
            </w:r>
          </w:p>
        </w:tc>
      </w:tr>
      <w:tr w:rsidR="0081113A" w:rsidRPr="008870C8" w14:paraId="2D918B4D"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6FB4957E" w14:textId="77777777" w:rsidR="0081113A" w:rsidRPr="008870C8" w:rsidRDefault="0081113A" w:rsidP="00F45A7F">
            <w:pPr>
              <w:jc w:val="left"/>
              <w:rPr>
                <w:sz w:val="20"/>
                <w:szCs w:val="20"/>
                <w:lang w:val="es-419"/>
              </w:rPr>
            </w:pPr>
            <w:r w:rsidRPr="008870C8">
              <w:rPr>
                <w:sz w:val="20"/>
                <w:szCs w:val="20"/>
                <w:lang w:val="es-419"/>
              </w:rPr>
              <w:t>Fortalecimiento institucional</w:t>
            </w:r>
          </w:p>
        </w:tc>
        <w:tc>
          <w:tcPr>
            <w:tcW w:w="1134" w:type="dxa"/>
            <w:tcBorders>
              <w:top w:val="nil"/>
              <w:left w:val="nil"/>
              <w:bottom w:val="single" w:sz="4" w:space="0" w:color="auto"/>
              <w:right w:val="single" w:sz="4" w:space="0" w:color="auto"/>
            </w:tcBorders>
            <w:shd w:val="clear" w:color="auto" w:fill="auto"/>
            <w:noWrap/>
            <w:hideMark/>
          </w:tcPr>
          <w:p w14:paraId="7DD7EBD2" w14:textId="77777777" w:rsidR="0081113A" w:rsidRPr="008870C8" w:rsidRDefault="0081113A" w:rsidP="00F45A7F">
            <w:pPr>
              <w:jc w:val="right"/>
              <w:rPr>
                <w:sz w:val="20"/>
                <w:szCs w:val="20"/>
                <w:lang w:val="es-419"/>
              </w:rPr>
            </w:pPr>
            <w:r w:rsidRPr="008870C8">
              <w:rPr>
                <w:sz w:val="20"/>
                <w:szCs w:val="20"/>
                <w:lang w:val="es-419"/>
              </w:rPr>
              <w:t>2 931</w:t>
            </w:r>
          </w:p>
        </w:tc>
        <w:tc>
          <w:tcPr>
            <w:tcW w:w="1134" w:type="dxa"/>
            <w:tcBorders>
              <w:top w:val="nil"/>
              <w:left w:val="nil"/>
              <w:bottom w:val="single" w:sz="4" w:space="0" w:color="auto"/>
              <w:right w:val="single" w:sz="4" w:space="0" w:color="auto"/>
            </w:tcBorders>
            <w:shd w:val="clear" w:color="auto" w:fill="auto"/>
            <w:noWrap/>
            <w:hideMark/>
          </w:tcPr>
          <w:p w14:paraId="5F7ECA9A" w14:textId="77777777" w:rsidR="0081113A" w:rsidRPr="008870C8" w:rsidRDefault="0081113A" w:rsidP="00F45A7F">
            <w:pPr>
              <w:jc w:val="right"/>
              <w:rPr>
                <w:sz w:val="20"/>
                <w:szCs w:val="20"/>
                <w:lang w:val="es-419"/>
              </w:rPr>
            </w:pPr>
            <w:r w:rsidRPr="008870C8">
              <w:rPr>
                <w:sz w:val="20"/>
                <w:szCs w:val="20"/>
                <w:lang w:val="es-419"/>
              </w:rPr>
              <w:t>3 456</w:t>
            </w:r>
          </w:p>
        </w:tc>
        <w:tc>
          <w:tcPr>
            <w:tcW w:w="1134" w:type="dxa"/>
            <w:tcBorders>
              <w:top w:val="nil"/>
              <w:left w:val="nil"/>
              <w:bottom w:val="single" w:sz="4" w:space="0" w:color="auto"/>
              <w:right w:val="single" w:sz="4" w:space="0" w:color="auto"/>
            </w:tcBorders>
            <w:shd w:val="clear" w:color="auto" w:fill="auto"/>
            <w:noWrap/>
            <w:hideMark/>
          </w:tcPr>
          <w:p w14:paraId="1E2F64C4" w14:textId="77777777" w:rsidR="0081113A" w:rsidRPr="008870C8" w:rsidRDefault="0081113A" w:rsidP="00F45A7F">
            <w:pPr>
              <w:jc w:val="right"/>
              <w:rPr>
                <w:sz w:val="20"/>
                <w:szCs w:val="20"/>
                <w:lang w:val="es-419"/>
              </w:rPr>
            </w:pPr>
            <w:r w:rsidRPr="008870C8">
              <w:rPr>
                <w:sz w:val="20"/>
                <w:szCs w:val="20"/>
                <w:lang w:val="es-419"/>
              </w:rPr>
              <w:t>2 931</w:t>
            </w:r>
          </w:p>
        </w:tc>
        <w:tc>
          <w:tcPr>
            <w:tcW w:w="1276" w:type="dxa"/>
            <w:tcBorders>
              <w:top w:val="nil"/>
              <w:left w:val="nil"/>
              <w:bottom w:val="single" w:sz="4" w:space="0" w:color="auto"/>
              <w:right w:val="single" w:sz="4" w:space="0" w:color="auto"/>
            </w:tcBorders>
            <w:shd w:val="clear" w:color="auto" w:fill="auto"/>
            <w:noWrap/>
            <w:hideMark/>
          </w:tcPr>
          <w:p w14:paraId="1B397F7C" w14:textId="77777777" w:rsidR="0081113A" w:rsidRPr="008870C8" w:rsidRDefault="0081113A" w:rsidP="00F45A7F">
            <w:pPr>
              <w:jc w:val="right"/>
              <w:rPr>
                <w:sz w:val="20"/>
                <w:szCs w:val="20"/>
                <w:lang w:val="es-419"/>
              </w:rPr>
            </w:pPr>
            <w:r w:rsidRPr="008870C8">
              <w:rPr>
                <w:sz w:val="20"/>
                <w:szCs w:val="20"/>
                <w:lang w:val="es-419"/>
              </w:rPr>
              <w:t>9 317</w:t>
            </w:r>
          </w:p>
        </w:tc>
        <w:tc>
          <w:tcPr>
            <w:tcW w:w="1276" w:type="dxa"/>
            <w:tcBorders>
              <w:top w:val="nil"/>
              <w:left w:val="nil"/>
              <w:bottom w:val="single" w:sz="4" w:space="0" w:color="auto"/>
              <w:right w:val="single" w:sz="4" w:space="0" w:color="auto"/>
            </w:tcBorders>
            <w:shd w:val="clear" w:color="auto" w:fill="auto"/>
            <w:noWrap/>
            <w:hideMark/>
          </w:tcPr>
          <w:p w14:paraId="07DC6814"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7D5D7244"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4399E01D" w14:textId="77777777" w:rsidR="0081113A" w:rsidRPr="008870C8" w:rsidRDefault="0081113A" w:rsidP="00F45A7F">
            <w:pPr>
              <w:jc w:val="left"/>
              <w:rPr>
                <w:sz w:val="20"/>
                <w:szCs w:val="20"/>
                <w:lang w:val="es-419"/>
              </w:rPr>
            </w:pPr>
            <w:r w:rsidRPr="008870C8">
              <w:rPr>
                <w:sz w:val="20"/>
                <w:szCs w:val="20"/>
                <w:lang w:val="es-419"/>
              </w:rPr>
              <w:t>Unidad central</w:t>
            </w:r>
          </w:p>
        </w:tc>
        <w:tc>
          <w:tcPr>
            <w:tcW w:w="1134" w:type="dxa"/>
            <w:tcBorders>
              <w:top w:val="nil"/>
              <w:left w:val="nil"/>
              <w:bottom w:val="single" w:sz="4" w:space="0" w:color="auto"/>
              <w:right w:val="single" w:sz="4" w:space="0" w:color="auto"/>
            </w:tcBorders>
            <w:shd w:val="clear" w:color="auto" w:fill="auto"/>
            <w:noWrap/>
            <w:hideMark/>
          </w:tcPr>
          <w:p w14:paraId="01379BE5" w14:textId="77777777" w:rsidR="0081113A" w:rsidRPr="008870C8" w:rsidRDefault="0081113A" w:rsidP="00F45A7F">
            <w:pPr>
              <w:jc w:val="right"/>
              <w:rPr>
                <w:sz w:val="20"/>
                <w:szCs w:val="20"/>
                <w:lang w:val="es-419"/>
              </w:rPr>
            </w:pPr>
            <w:r w:rsidRPr="008870C8">
              <w:rPr>
                <w:sz w:val="20"/>
                <w:szCs w:val="20"/>
                <w:lang w:val="es-419"/>
              </w:rPr>
              <w:t>2 113</w:t>
            </w:r>
          </w:p>
        </w:tc>
        <w:tc>
          <w:tcPr>
            <w:tcW w:w="1134" w:type="dxa"/>
            <w:tcBorders>
              <w:top w:val="nil"/>
              <w:left w:val="nil"/>
              <w:bottom w:val="single" w:sz="4" w:space="0" w:color="auto"/>
              <w:right w:val="single" w:sz="4" w:space="0" w:color="auto"/>
            </w:tcBorders>
            <w:shd w:val="clear" w:color="auto" w:fill="auto"/>
            <w:noWrap/>
            <w:hideMark/>
          </w:tcPr>
          <w:p w14:paraId="4D644E1F" w14:textId="77777777" w:rsidR="0081113A" w:rsidRPr="008870C8" w:rsidRDefault="0081113A" w:rsidP="00F45A7F">
            <w:pPr>
              <w:jc w:val="right"/>
              <w:rPr>
                <w:sz w:val="20"/>
                <w:szCs w:val="20"/>
                <w:lang w:val="es-419"/>
              </w:rPr>
            </w:pPr>
            <w:r w:rsidRPr="008870C8">
              <w:rPr>
                <w:sz w:val="20"/>
                <w:szCs w:val="20"/>
                <w:lang w:val="es-419"/>
              </w:rPr>
              <w:t>2 128</w:t>
            </w:r>
          </w:p>
        </w:tc>
        <w:tc>
          <w:tcPr>
            <w:tcW w:w="1134" w:type="dxa"/>
            <w:tcBorders>
              <w:top w:val="nil"/>
              <w:left w:val="nil"/>
              <w:bottom w:val="single" w:sz="4" w:space="0" w:color="auto"/>
              <w:right w:val="single" w:sz="4" w:space="0" w:color="auto"/>
            </w:tcBorders>
            <w:shd w:val="clear" w:color="auto" w:fill="auto"/>
            <w:noWrap/>
            <w:hideMark/>
          </w:tcPr>
          <w:p w14:paraId="1C15E25E" w14:textId="77777777" w:rsidR="0081113A" w:rsidRPr="008870C8" w:rsidRDefault="0081113A" w:rsidP="00F45A7F">
            <w:pPr>
              <w:jc w:val="right"/>
              <w:rPr>
                <w:sz w:val="20"/>
                <w:szCs w:val="20"/>
                <w:lang w:val="es-419"/>
              </w:rPr>
            </w:pPr>
            <w:r w:rsidRPr="008870C8">
              <w:rPr>
                <w:sz w:val="20"/>
                <w:szCs w:val="20"/>
                <w:lang w:val="es-419"/>
              </w:rPr>
              <w:t>2 143</w:t>
            </w:r>
          </w:p>
        </w:tc>
        <w:tc>
          <w:tcPr>
            <w:tcW w:w="1276" w:type="dxa"/>
            <w:tcBorders>
              <w:top w:val="nil"/>
              <w:left w:val="nil"/>
              <w:bottom w:val="single" w:sz="4" w:space="0" w:color="auto"/>
              <w:right w:val="single" w:sz="4" w:space="0" w:color="auto"/>
            </w:tcBorders>
            <w:shd w:val="clear" w:color="auto" w:fill="auto"/>
            <w:noWrap/>
            <w:hideMark/>
          </w:tcPr>
          <w:p w14:paraId="0E99ECB2" w14:textId="77777777" w:rsidR="0081113A" w:rsidRPr="008870C8" w:rsidRDefault="0081113A" w:rsidP="00F45A7F">
            <w:pPr>
              <w:jc w:val="right"/>
              <w:rPr>
                <w:sz w:val="20"/>
                <w:szCs w:val="20"/>
                <w:lang w:val="es-419"/>
              </w:rPr>
            </w:pPr>
            <w:r w:rsidRPr="008870C8">
              <w:rPr>
                <w:sz w:val="20"/>
                <w:szCs w:val="20"/>
                <w:lang w:val="es-419"/>
              </w:rPr>
              <w:t>6 384</w:t>
            </w:r>
          </w:p>
        </w:tc>
        <w:tc>
          <w:tcPr>
            <w:tcW w:w="1276" w:type="dxa"/>
            <w:tcBorders>
              <w:top w:val="nil"/>
              <w:left w:val="nil"/>
              <w:bottom w:val="single" w:sz="4" w:space="0" w:color="auto"/>
              <w:right w:val="single" w:sz="4" w:space="0" w:color="auto"/>
            </w:tcBorders>
            <w:shd w:val="clear" w:color="auto" w:fill="auto"/>
            <w:noWrap/>
            <w:hideMark/>
          </w:tcPr>
          <w:p w14:paraId="421A1326" w14:textId="77777777" w:rsidR="0081113A" w:rsidRPr="008870C8" w:rsidRDefault="0081113A" w:rsidP="00F45A7F">
            <w:pPr>
              <w:jc w:val="right"/>
              <w:rPr>
                <w:sz w:val="20"/>
                <w:szCs w:val="20"/>
                <w:lang w:val="es-419"/>
              </w:rPr>
            </w:pPr>
            <w:r w:rsidRPr="008870C8">
              <w:rPr>
                <w:sz w:val="20"/>
                <w:szCs w:val="20"/>
                <w:lang w:val="es-419"/>
              </w:rPr>
              <w:t>0</w:t>
            </w:r>
          </w:p>
        </w:tc>
      </w:tr>
      <w:tr w:rsidR="0081113A" w:rsidRPr="008870C8" w14:paraId="77DCAC11"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04F59644" w14:textId="77777777" w:rsidR="0081113A" w:rsidRPr="008870C8" w:rsidRDefault="0081113A" w:rsidP="00F45A7F">
            <w:pPr>
              <w:jc w:val="left"/>
              <w:rPr>
                <w:b/>
                <w:bCs/>
                <w:sz w:val="20"/>
                <w:szCs w:val="20"/>
                <w:lang w:val="es-419"/>
              </w:rPr>
            </w:pPr>
            <w:r w:rsidRPr="008870C8">
              <w:rPr>
                <w:b/>
                <w:bCs/>
                <w:sz w:val="20"/>
                <w:szCs w:val="20"/>
                <w:lang w:val="es-419"/>
              </w:rPr>
              <w:t xml:space="preserve">   Subtotal de las actividades estándar</w:t>
            </w:r>
          </w:p>
        </w:tc>
        <w:tc>
          <w:tcPr>
            <w:tcW w:w="1134" w:type="dxa"/>
            <w:tcBorders>
              <w:top w:val="nil"/>
              <w:left w:val="nil"/>
              <w:bottom w:val="single" w:sz="4" w:space="0" w:color="auto"/>
              <w:right w:val="single" w:sz="4" w:space="0" w:color="auto"/>
            </w:tcBorders>
            <w:shd w:val="clear" w:color="auto" w:fill="auto"/>
            <w:noWrap/>
            <w:hideMark/>
          </w:tcPr>
          <w:p w14:paraId="5C92500B" w14:textId="77777777" w:rsidR="0081113A" w:rsidRPr="008870C8" w:rsidRDefault="0081113A" w:rsidP="00F45A7F">
            <w:pPr>
              <w:jc w:val="right"/>
              <w:rPr>
                <w:b/>
                <w:bCs/>
                <w:sz w:val="20"/>
                <w:szCs w:val="20"/>
                <w:lang w:val="es-419"/>
              </w:rPr>
            </w:pPr>
            <w:r w:rsidRPr="008870C8">
              <w:rPr>
                <w:b/>
                <w:bCs/>
                <w:sz w:val="20"/>
                <w:szCs w:val="20"/>
                <w:lang w:val="es-419"/>
              </w:rPr>
              <w:t>5 044</w:t>
            </w:r>
          </w:p>
        </w:tc>
        <w:tc>
          <w:tcPr>
            <w:tcW w:w="1134" w:type="dxa"/>
            <w:tcBorders>
              <w:top w:val="nil"/>
              <w:left w:val="nil"/>
              <w:bottom w:val="single" w:sz="4" w:space="0" w:color="auto"/>
              <w:right w:val="single" w:sz="4" w:space="0" w:color="auto"/>
            </w:tcBorders>
            <w:shd w:val="clear" w:color="auto" w:fill="auto"/>
            <w:noWrap/>
            <w:hideMark/>
          </w:tcPr>
          <w:p w14:paraId="7415AFAD" w14:textId="77777777" w:rsidR="0081113A" w:rsidRPr="008870C8" w:rsidRDefault="0081113A" w:rsidP="00F45A7F">
            <w:pPr>
              <w:jc w:val="right"/>
              <w:rPr>
                <w:b/>
                <w:bCs/>
                <w:sz w:val="20"/>
                <w:szCs w:val="20"/>
                <w:lang w:val="es-419"/>
              </w:rPr>
            </w:pPr>
            <w:r w:rsidRPr="008870C8">
              <w:rPr>
                <w:b/>
                <w:bCs/>
                <w:sz w:val="20"/>
                <w:szCs w:val="20"/>
                <w:lang w:val="es-419"/>
              </w:rPr>
              <w:t>5 584</w:t>
            </w:r>
          </w:p>
        </w:tc>
        <w:tc>
          <w:tcPr>
            <w:tcW w:w="1134" w:type="dxa"/>
            <w:tcBorders>
              <w:top w:val="nil"/>
              <w:left w:val="nil"/>
              <w:bottom w:val="single" w:sz="4" w:space="0" w:color="auto"/>
              <w:right w:val="single" w:sz="4" w:space="0" w:color="auto"/>
            </w:tcBorders>
            <w:shd w:val="clear" w:color="auto" w:fill="auto"/>
            <w:noWrap/>
            <w:hideMark/>
          </w:tcPr>
          <w:p w14:paraId="7F017F72" w14:textId="77777777" w:rsidR="0081113A" w:rsidRPr="008870C8" w:rsidRDefault="0081113A" w:rsidP="00F45A7F">
            <w:pPr>
              <w:jc w:val="right"/>
              <w:rPr>
                <w:b/>
                <w:bCs/>
                <w:sz w:val="20"/>
                <w:szCs w:val="20"/>
                <w:lang w:val="es-419"/>
              </w:rPr>
            </w:pPr>
            <w:r w:rsidRPr="008870C8">
              <w:rPr>
                <w:b/>
                <w:bCs/>
                <w:sz w:val="20"/>
                <w:szCs w:val="20"/>
                <w:lang w:val="es-419"/>
              </w:rPr>
              <w:t>5 073</w:t>
            </w:r>
          </w:p>
        </w:tc>
        <w:tc>
          <w:tcPr>
            <w:tcW w:w="1276" w:type="dxa"/>
            <w:tcBorders>
              <w:top w:val="nil"/>
              <w:left w:val="nil"/>
              <w:bottom w:val="single" w:sz="4" w:space="0" w:color="auto"/>
              <w:right w:val="single" w:sz="4" w:space="0" w:color="auto"/>
            </w:tcBorders>
            <w:shd w:val="clear" w:color="auto" w:fill="auto"/>
            <w:noWrap/>
            <w:hideMark/>
          </w:tcPr>
          <w:p w14:paraId="77834580" w14:textId="77777777" w:rsidR="0081113A" w:rsidRPr="008870C8" w:rsidRDefault="0081113A" w:rsidP="00F45A7F">
            <w:pPr>
              <w:jc w:val="right"/>
              <w:rPr>
                <w:b/>
                <w:bCs/>
                <w:sz w:val="20"/>
                <w:szCs w:val="20"/>
                <w:lang w:val="es-419"/>
              </w:rPr>
            </w:pPr>
            <w:r w:rsidRPr="008870C8">
              <w:rPr>
                <w:b/>
                <w:bCs/>
                <w:sz w:val="20"/>
                <w:szCs w:val="20"/>
                <w:lang w:val="es-419"/>
              </w:rPr>
              <w:t>15 701</w:t>
            </w:r>
          </w:p>
        </w:tc>
        <w:tc>
          <w:tcPr>
            <w:tcW w:w="1276" w:type="dxa"/>
            <w:tcBorders>
              <w:top w:val="nil"/>
              <w:left w:val="nil"/>
              <w:bottom w:val="single" w:sz="4" w:space="0" w:color="auto"/>
              <w:right w:val="single" w:sz="4" w:space="0" w:color="auto"/>
            </w:tcBorders>
            <w:shd w:val="clear" w:color="auto" w:fill="auto"/>
            <w:noWrap/>
            <w:hideMark/>
          </w:tcPr>
          <w:p w14:paraId="020E40E8" w14:textId="77777777" w:rsidR="0081113A" w:rsidRPr="008870C8" w:rsidRDefault="0081113A" w:rsidP="00F45A7F">
            <w:pPr>
              <w:jc w:val="right"/>
              <w:rPr>
                <w:b/>
                <w:bCs/>
                <w:sz w:val="20"/>
                <w:szCs w:val="20"/>
                <w:lang w:val="es-419"/>
              </w:rPr>
            </w:pPr>
            <w:r w:rsidRPr="008870C8">
              <w:rPr>
                <w:b/>
                <w:bCs/>
                <w:sz w:val="20"/>
                <w:szCs w:val="20"/>
                <w:lang w:val="es-419"/>
              </w:rPr>
              <w:t>0</w:t>
            </w:r>
          </w:p>
        </w:tc>
      </w:tr>
      <w:tr w:rsidR="0081113A" w:rsidRPr="008870C8" w14:paraId="1C40FD51" w14:textId="77777777" w:rsidTr="00F45A7F">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14:paraId="67C1F353" w14:textId="77777777" w:rsidR="0081113A" w:rsidRPr="008870C8" w:rsidRDefault="0081113A" w:rsidP="00F45A7F">
            <w:pPr>
              <w:jc w:val="left"/>
              <w:rPr>
                <w:b/>
                <w:bCs/>
                <w:sz w:val="20"/>
                <w:szCs w:val="20"/>
                <w:lang w:val="es-419"/>
              </w:rPr>
            </w:pPr>
            <w:r w:rsidRPr="008870C8">
              <w:rPr>
                <w:b/>
                <w:bCs/>
                <w:sz w:val="20"/>
                <w:szCs w:val="20"/>
                <w:lang w:val="es-419"/>
              </w:rPr>
              <w:t>Gran total</w:t>
            </w:r>
          </w:p>
        </w:tc>
        <w:tc>
          <w:tcPr>
            <w:tcW w:w="1134" w:type="dxa"/>
            <w:tcBorders>
              <w:top w:val="nil"/>
              <w:left w:val="nil"/>
              <w:bottom w:val="single" w:sz="4" w:space="0" w:color="auto"/>
              <w:right w:val="single" w:sz="4" w:space="0" w:color="auto"/>
            </w:tcBorders>
            <w:shd w:val="clear" w:color="auto" w:fill="auto"/>
            <w:noWrap/>
            <w:hideMark/>
          </w:tcPr>
          <w:p w14:paraId="16A09E55" w14:textId="77777777" w:rsidR="0081113A" w:rsidRPr="008870C8" w:rsidRDefault="0081113A" w:rsidP="00F45A7F">
            <w:pPr>
              <w:jc w:val="right"/>
              <w:rPr>
                <w:b/>
                <w:bCs/>
                <w:sz w:val="20"/>
                <w:szCs w:val="20"/>
                <w:lang w:val="es-419"/>
              </w:rPr>
            </w:pPr>
            <w:r w:rsidRPr="008870C8">
              <w:rPr>
                <w:b/>
                <w:bCs/>
                <w:sz w:val="20"/>
                <w:szCs w:val="20"/>
                <w:lang w:val="es-419"/>
              </w:rPr>
              <w:t>67 245</w:t>
            </w:r>
          </w:p>
        </w:tc>
        <w:tc>
          <w:tcPr>
            <w:tcW w:w="1134" w:type="dxa"/>
            <w:tcBorders>
              <w:top w:val="nil"/>
              <w:left w:val="nil"/>
              <w:bottom w:val="single" w:sz="4" w:space="0" w:color="auto"/>
              <w:right w:val="single" w:sz="4" w:space="0" w:color="auto"/>
            </w:tcBorders>
            <w:shd w:val="clear" w:color="auto" w:fill="auto"/>
            <w:noWrap/>
            <w:hideMark/>
          </w:tcPr>
          <w:p w14:paraId="2AE6DAED" w14:textId="77777777" w:rsidR="0081113A" w:rsidRPr="008870C8" w:rsidRDefault="0081113A" w:rsidP="00F45A7F">
            <w:pPr>
              <w:jc w:val="right"/>
              <w:rPr>
                <w:b/>
                <w:bCs/>
                <w:sz w:val="20"/>
                <w:szCs w:val="20"/>
                <w:lang w:val="es-419"/>
              </w:rPr>
            </w:pPr>
            <w:r w:rsidRPr="008870C8">
              <w:rPr>
                <w:b/>
                <w:bCs/>
                <w:sz w:val="20"/>
                <w:szCs w:val="20"/>
                <w:lang w:val="es-419"/>
              </w:rPr>
              <w:t>37 809</w:t>
            </w:r>
          </w:p>
        </w:tc>
        <w:tc>
          <w:tcPr>
            <w:tcW w:w="1134" w:type="dxa"/>
            <w:tcBorders>
              <w:top w:val="nil"/>
              <w:left w:val="nil"/>
              <w:bottom w:val="single" w:sz="4" w:space="0" w:color="auto"/>
              <w:right w:val="single" w:sz="4" w:space="0" w:color="auto"/>
            </w:tcBorders>
            <w:shd w:val="clear" w:color="auto" w:fill="auto"/>
            <w:noWrap/>
            <w:hideMark/>
          </w:tcPr>
          <w:p w14:paraId="75698AD7" w14:textId="77777777" w:rsidR="0081113A" w:rsidRPr="008870C8" w:rsidRDefault="0081113A" w:rsidP="00F45A7F">
            <w:pPr>
              <w:jc w:val="right"/>
              <w:rPr>
                <w:b/>
                <w:bCs/>
                <w:sz w:val="20"/>
                <w:szCs w:val="20"/>
                <w:lang w:val="es-419"/>
              </w:rPr>
            </w:pPr>
            <w:r w:rsidRPr="008870C8">
              <w:rPr>
                <w:b/>
                <w:bCs/>
                <w:sz w:val="20"/>
                <w:szCs w:val="20"/>
                <w:lang w:val="es-419"/>
              </w:rPr>
              <w:t>25 198</w:t>
            </w:r>
          </w:p>
        </w:tc>
        <w:tc>
          <w:tcPr>
            <w:tcW w:w="1276" w:type="dxa"/>
            <w:tcBorders>
              <w:top w:val="nil"/>
              <w:left w:val="nil"/>
              <w:bottom w:val="single" w:sz="4" w:space="0" w:color="auto"/>
              <w:right w:val="single" w:sz="4" w:space="0" w:color="auto"/>
            </w:tcBorders>
            <w:shd w:val="clear" w:color="auto" w:fill="auto"/>
            <w:noWrap/>
            <w:hideMark/>
          </w:tcPr>
          <w:p w14:paraId="6D0044A7" w14:textId="77777777" w:rsidR="0081113A" w:rsidRPr="008870C8" w:rsidRDefault="0081113A" w:rsidP="00F45A7F">
            <w:pPr>
              <w:jc w:val="right"/>
              <w:rPr>
                <w:b/>
                <w:bCs/>
                <w:sz w:val="20"/>
                <w:szCs w:val="20"/>
                <w:lang w:val="es-419"/>
              </w:rPr>
            </w:pPr>
            <w:r w:rsidRPr="008870C8">
              <w:rPr>
                <w:b/>
                <w:bCs/>
                <w:sz w:val="20"/>
                <w:szCs w:val="20"/>
                <w:lang w:val="es-419"/>
              </w:rPr>
              <w:t>130 151</w:t>
            </w:r>
          </w:p>
        </w:tc>
        <w:tc>
          <w:tcPr>
            <w:tcW w:w="1276" w:type="dxa"/>
            <w:tcBorders>
              <w:top w:val="nil"/>
              <w:left w:val="nil"/>
              <w:bottom w:val="single" w:sz="4" w:space="0" w:color="auto"/>
              <w:right w:val="single" w:sz="4" w:space="0" w:color="auto"/>
            </w:tcBorders>
            <w:shd w:val="clear" w:color="auto" w:fill="auto"/>
            <w:noWrap/>
            <w:hideMark/>
          </w:tcPr>
          <w:p w14:paraId="3E569FE6" w14:textId="77777777" w:rsidR="0081113A" w:rsidRPr="008870C8" w:rsidRDefault="0081113A" w:rsidP="00F45A7F">
            <w:pPr>
              <w:jc w:val="right"/>
              <w:rPr>
                <w:b/>
                <w:bCs/>
                <w:sz w:val="20"/>
                <w:szCs w:val="20"/>
                <w:lang w:val="es-419"/>
              </w:rPr>
            </w:pPr>
            <w:r w:rsidRPr="008870C8">
              <w:rPr>
                <w:b/>
                <w:bCs/>
                <w:sz w:val="20"/>
                <w:szCs w:val="20"/>
                <w:lang w:val="es-419"/>
              </w:rPr>
              <w:t>21 660</w:t>
            </w:r>
          </w:p>
        </w:tc>
      </w:tr>
    </w:tbl>
    <w:p w14:paraId="0442E033" w14:textId="77777777" w:rsidR="0081113A" w:rsidRPr="008870C8" w:rsidRDefault="0081113A" w:rsidP="0081113A">
      <w:pPr>
        <w:rPr>
          <w:sz w:val="18"/>
          <w:szCs w:val="18"/>
          <w:lang w:val="es-419"/>
        </w:rPr>
      </w:pPr>
      <w:r w:rsidRPr="008870C8">
        <w:rPr>
          <w:sz w:val="18"/>
          <w:szCs w:val="18"/>
          <w:lang w:val="es-419"/>
        </w:rPr>
        <w:t xml:space="preserve">*Incluidos los gastos de apoyo al organismo cuando corresponda. </w:t>
      </w:r>
    </w:p>
    <w:p w14:paraId="149FBADA" w14:textId="77777777" w:rsidR="0081113A" w:rsidRPr="008870C8" w:rsidRDefault="0081113A" w:rsidP="0081113A">
      <w:pPr>
        <w:keepNext/>
        <w:rPr>
          <w:b/>
          <w:bCs/>
          <w:lang w:val="es-419"/>
        </w:rPr>
      </w:pPr>
    </w:p>
    <w:p w14:paraId="4ED00B1F" w14:textId="77777777" w:rsidR="0081113A" w:rsidRPr="008870C8" w:rsidRDefault="0081113A" w:rsidP="0081113A">
      <w:pPr>
        <w:keepNext/>
        <w:spacing w:after="240"/>
        <w:rPr>
          <w:b/>
          <w:bCs/>
          <w:lang w:val="es-419"/>
        </w:rPr>
      </w:pPr>
      <w:r w:rsidRPr="008870C8">
        <w:rPr>
          <w:b/>
          <w:bCs/>
          <w:lang w:val="es-419"/>
        </w:rPr>
        <w:t xml:space="preserve">Indicadores de desempeño </w:t>
      </w:r>
    </w:p>
    <w:p w14:paraId="1E477A82" w14:textId="77777777" w:rsidR="0081113A" w:rsidRPr="008870C8" w:rsidRDefault="0081113A" w:rsidP="0081113A">
      <w:pPr>
        <w:pStyle w:val="Heading1"/>
        <w:rPr>
          <w:lang w:val="es-419"/>
        </w:rPr>
      </w:pPr>
      <w:r w:rsidRPr="008870C8">
        <w:rPr>
          <w:lang w:val="es-419"/>
        </w:rPr>
        <w:t>El PNUD presentó indicadores de desempeño de acuerdo con la decisión 71/28 en el texto de su plan administrativo. La Secretaría informó al PNUD de los objetivos que se muestran en la tabla 5.</w:t>
      </w:r>
    </w:p>
    <w:p w14:paraId="37338353" w14:textId="77777777" w:rsidR="0081113A" w:rsidRPr="008870C8" w:rsidRDefault="0081113A" w:rsidP="0081113A">
      <w:pPr>
        <w:pStyle w:val="subhead"/>
        <w:keepNext/>
        <w:jc w:val="left"/>
        <w:rPr>
          <w:b/>
          <w:sz w:val="22"/>
          <w:szCs w:val="22"/>
          <w:lang w:val="es-419"/>
        </w:rPr>
      </w:pPr>
      <w:r w:rsidRPr="008870C8">
        <w:rPr>
          <w:b/>
          <w:sz w:val="22"/>
          <w:szCs w:val="22"/>
          <w:lang w:val="es-419"/>
        </w:rPr>
        <w:lastRenderedPageBreak/>
        <w:t>Tabla 5. Indicadores de desempeño</w:t>
      </w:r>
      <w:r w:rsidRPr="008870C8">
        <w:rPr>
          <w:b/>
          <w:bCs/>
          <w:sz w:val="22"/>
          <w:szCs w:val="22"/>
          <w:lang w:val="es-419"/>
        </w:rPr>
        <w:t xml:space="preserve"> para el PNUD para 2020</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960"/>
        <w:gridCol w:w="4229"/>
        <w:gridCol w:w="1498"/>
      </w:tblGrid>
      <w:tr w:rsidR="0081113A" w:rsidRPr="008870C8" w14:paraId="5EE1715E" w14:textId="77777777" w:rsidTr="00F45A7F">
        <w:trPr>
          <w:tblHeader/>
          <w:jc w:val="center"/>
        </w:trPr>
        <w:tc>
          <w:tcPr>
            <w:tcW w:w="1694" w:type="dxa"/>
            <w:shd w:val="clear" w:color="auto" w:fill="auto"/>
            <w:hideMark/>
          </w:tcPr>
          <w:p w14:paraId="4E41E689" w14:textId="77777777" w:rsidR="0081113A" w:rsidRPr="008870C8" w:rsidRDefault="0081113A" w:rsidP="00F45A7F">
            <w:pPr>
              <w:keepNext/>
              <w:jc w:val="left"/>
              <w:rPr>
                <w:b/>
                <w:bCs/>
                <w:sz w:val="20"/>
                <w:lang w:val="es-419"/>
              </w:rPr>
            </w:pPr>
            <w:r w:rsidRPr="008870C8">
              <w:rPr>
                <w:b/>
                <w:bCs/>
                <w:sz w:val="20"/>
                <w:lang w:val="es-419"/>
              </w:rPr>
              <w:t xml:space="preserve">Tipo de indicador </w:t>
            </w:r>
          </w:p>
        </w:tc>
        <w:tc>
          <w:tcPr>
            <w:tcW w:w="1829" w:type="dxa"/>
            <w:shd w:val="clear" w:color="auto" w:fill="auto"/>
            <w:hideMark/>
          </w:tcPr>
          <w:p w14:paraId="5135F860" w14:textId="77777777" w:rsidR="0081113A" w:rsidRPr="008870C8" w:rsidRDefault="0081113A" w:rsidP="00F45A7F">
            <w:pPr>
              <w:keepNext/>
              <w:jc w:val="center"/>
              <w:rPr>
                <w:b/>
                <w:bCs/>
                <w:sz w:val="20"/>
                <w:lang w:val="es-419"/>
              </w:rPr>
            </w:pPr>
            <w:r w:rsidRPr="008870C8">
              <w:rPr>
                <w:b/>
                <w:bCs/>
                <w:sz w:val="20"/>
                <w:lang w:val="es-419"/>
              </w:rPr>
              <w:t>Título corto</w:t>
            </w:r>
          </w:p>
        </w:tc>
        <w:tc>
          <w:tcPr>
            <w:tcW w:w="4331" w:type="dxa"/>
            <w:shd w:val="clear" w:color="auto" w:fill="auto"/>
            <w:hideMark/>
          </w:tcPr>
          <w:p w14:paraId="1E865637" w14:textId="77777777" w:rsidR="0081113A" w:rsidRPr="008870C8" w:rsidRDefault="0081113A" w:rsidP="00F45A7F">
            <w:pPr>
              <w:keepNext/>
              <w:jc w:val="center"/>
              <w:rPr>
                <w:b/>
                <w:bCs/>
                <w:sz w:val="20"/>
                <w:lang w:val="es-419"/>
              </w:rPr>
            </w:pPr>
            <w:r w:rsidRPr="008870C8">
              <w:rPr>
                <w:b/>
                <w:bCs/>
                <w:sz w:val="20"/>
                <w:lang w:val="es-419"/>
              </w:rPr>
              <w:t>Cálculo</w:t>
            </w:r>
          </w:p>
        </w:tc>
        <w:tc>
          <w:tcPr>
            <w:tcW w:w="1515" w:type="dxa"/>
          </w:tcPr>
          <w:p w14:paraId="22A63F91" w14:textId="77777777" w:rsidR="0081113A" w:rsidRPr="008870C8" w:rsidRDefault="0081113A" w:rsidP="00F45A7F">
            <w:pPr>
              <w:keepNext/>
              <w:jc w:val="center"/>
              <w:rPr>
                <w:b/>
                <w:bCs/>
                <w:sz w:val="20"/>
                <w:lang w:val="es-419"/>
              </w:rPr>
            </w:pPr>
            <w:r w:rsidRPr="008870C8">
              <w:rPr>
                <w:b/>
                <w:bCs/>
                <w:sz w:val="20"/>
                <w:lang w:val="es-419"/>
              </w:rPr>
              <w:t>Objetivo 2020</w:t>
            </w:r>
          </w:p>
        </w:tc>
      </w:tr>
      <w:tr w:rsidR="0081113A" w:rsidRPr="008870C8" w14:paraId="56D31BF4" w14:textId="77777777" w:rsidTr="00F45A7F">
        <w:trPr>
          <w:jc w:val="center"/>
        </w:trPr>
        <w:tc>
          <w:tcPr>
            <w:tcW w:w="1694" w:type="dxa"/>
            <w:shd w:val="clear" w:color="auto" w:fill="auto"/>
            <w:hideMark/>
          </w:tcPr>
          <w:p w14:paraId="09C71F3C" w14:textId="77777777" w:rsidR="0081113A" w:rsidRPr="008870C8" w:rsidRDefault="0081113A" w:rsidP="00F45A7F">
            <w:pPr>
              <w:keepNext/>
              <w:jc w:val="left"/>
              <w:rPr>
                <w:sz w:val="20"/>
                <w:lang w:val="es-419"/>
              </w:rPr>
            </w:pPr>
            <w:r w:rsidRPr="008870C8">
              <w:rPr>
                <w:sz w:val="20"/>
                <w:lang w:val="es-419"/>
              </w:rPr>
              <w:t xml:space="preserve">Planificación - Aprobación </w:t>
            </w:r>
          </w:p>
        </w:tc>
        <w:tc>
          <w:tcPr>
            <w:tcW w:w="1829" w:type="dxa"/>
            <w:shd w:val="clear" w:color="auto" w:fill="auto"/>
            <w:hideMark/>
          </w:tcPr>
          <w:p w14:paraId="3705EC7B" w14:textId="77777777" w:rsidR="0081113A" w:rsidRPr="008870C8" w:rsidRDefault="0081113A" w:rsidP="00F45A7F">
            <w:pPr>
              <w:keepNext/>
              <w:jc w:val="left"/>
              <w:rPr>
                <w:sz w:val="20"/>
                <w:lang w:val="es-419"/>
              </w:rPr>
            </w:pPr>
            <w:r w:rsidRPr="008870C8">
              <w:rPr>
                <w:sz w:val="20"/>
                <w:lang w:val="es-419"/>
              </w:rPr>
              <w:t>Tramos aprobados</w:t>
            </w:r>
          </w:p>
        </w:tc>
        <w:tc>
          <w:tcPr>
            <w:tcW w:w="4331" w:type="dxa"/>
            <w:shd w:val="clear" w:color="auto" w:fill="auto"/>
            <w:hideMark/>
          </w:tcPr>
          <w:p w14:paraId="794E008C" w14:textId="77777777" w:rsidR="0081113A" w:rsidRPr="008870C8" w:rsidRDefault="0081113A" w:rsidP="00F45A7F">
            <w:pPr>
              <w:keepNext/>
              <w:jc w:val="left"/>
              <w:rPr>
                <w:sz w:val="20"/>
                <w:lang w:val="es-419"/>
              </w:rPr>
            </w:pPr>
            <w:r w:rsidRPr="008870C8">
              <w:rPr>
                <w:sz w:val="20"/>
                <w:lang w:val="es-419"/>
              </w:rPr>
              <w:t>Número de tramos aprobados frente a los planificados*</w:t>
            </w:r>
          </w:p>
        </w:tc>
        <w:tc>
          <w:tcPr>
            <w:tcW w:w="1515" w:type="dxa"/>
          </w:tcPr>
          <w:p w14:paraId="40780135" w14:textId="77777777" w:rsidR="0081113A" w:rsidRPr="008870C8" w:rsidRDefault="0081113A" w:rsidP="00F45A7F">
            <w:pPr>
              <w:keepNext/>
              <w:jc w:val="right"/>
              <w:rPr>
                <w:sz w:val="20"/>
                <w:lang w:val="es-419"/>
              </w:rPr>
            </w:pPr>
            <w:r w:rsidRPr="008870C8">
              <w:rPr>
                <w:sz w:val="20"/>
                <w:lang w:val="es-419"/>
              </w:rPr>
              <w:t>42</w:t>
            </w:r>
          </w:p>
        </w:tc>
      </w:tr>
      <w:tr w:rsidR="0081113A" w:rsidRPr="008870C8" w14:paraId="462CA624" w14:textId="77777777" w:rsidTr="00F45A7F">
        <w:trPr>
          <w:jc w:val="center"/>
        </w:trPr>
        <w:tc>
          <w:tcPr>
            <w:tcW w:w="1694" w:type="dxa"/>
            <w:shd w:val="clear" w:color="auto" w:fill="auto"/>
            <w:hideMark/>
          </w:tcPr>
          <w:p w14:paraId="7BE44757" w14:textId="77777777" w:rsidR="0081113A" w:rsidRPr="008870C8" w:rsidRDefault="0081113A" w:rsidP="00F45A7F">
            <w:pPr>
              <w:keepNext/>
              <w:jc w:val="left"/>
              <w:rPr>
                <w:sz w:val="20"/>
                <w:lang w:val="es-419"/>
              </w:rPr>
            </w:pPr>
            <w:r w:rsidRPr="008870C8">
              <w:rPr>
                <w:sz w:val="20"/>
                <w:lang w:val="es-419"/>
              </w:rPr>
              <w:t xml:space="preserve">Planificación - Aprobación </w:t>
            </w:r>
          </w:p>
        </w:tc>
        <w:tc>
          <w:tcPr>
            <w:tcW w:w="1829" w:type="dxa"/>
            <w:shd w:val="clear" w:color="auto" w:fill="auto"/>
            <w:hideMark/>
          </w:tcPr>
          <w:p w14:paraId="7F91BD6D" w14:textId="77777777" w:rsidR="0081113A" w:rsidRPr="008870C8" w:rsidRDefault="0081113A" w:rsidP="00F45A7F">
            <w:pPr>
              <w:keepNext/>
              <w:jc w:val="left"/>
              <w:rPr>
                <w:sz w:val="20"/>
                <w:lang w:val="es-419"/>
              </w:rPr>
            </w:pPr>
            <w:r w:rsidRPr="008870C8">
              <w:rPr>
                <w:sz w:val="20"/>
                <w:lang w:val="es-419"/>
              </w:rPr>
              <w:t>Proyectos/actividades aprobados</w:t>
            </w:r>
          </w:p>
        </w:tc>
        <w:tc>
          <w:tcPr>
            <w:tcW w:w="4331" w:type="dxa"/>
            <w:shd w:val="clear" w:color="auto" w:fill="auto"/>
            <w:hideMark/>
          </w:tcPr>
          <w:p w14:paraId="151D034C" w14:textId="77777777" w:rsidR="0081113A" w:rsidRPr="008870C8" w:rsidRDefault="0081113A" w:rsidP="00F45A7F">
            <w:pPr>
              <w:keepNext/>
              <w:jc w:val="left"/>
              <w:rPr>
                <w:sz w:val="20"/>
                <w:lang w:val="es-419"/>
              </w:rPr>
            </w:pPr>
            <w:r w:rsidRPr="008870C8">
              <w:rPr>
                <w:sz w:val="20"/>
                <w:lang w:val="es-419"/>
              </w:rPr>
              <w:t>Número de proyectos/actividades aprobados frente a los planificados (incluyendo actividades de preparación de proyectos)**</w:t>
            </w:r>
          </w:p>
        </w:tc>
        <w:tc>
          <w:tcPr>
            <w:tcW w:w="1515" w:type="dxa"/>
          </w:tcPr>
          <w:p w14:paraId="15144876" w14:textId="77777777" w:rsidR="0081113A" w:rsidRPr="008870C8" w:rsidRDefault="0081113A" w:rsidP="00F45A7F">
            <w:pPr>
              <w:keepNext/>
              <w:jc w:val="right"/>
              <w:rPr>
                <w:sz w:val="20"/>
                <w:lang w:val="es-419"/>
              </w:rPr>
            </w:pPr>
            <w:r w:rsidRPr="008870C8">
              <w:rPr>
                <w:sz w:val="20"/>
                <w:lang w:val="es-419"/>
              </w:rPr>
              <w:t>24</w:t>
            </w:r>
          </w:p>
        </w:tc>
      </w:tr>
      <w:tr w:rsidR="0081113A" w:rsidRPr="008870C8" w14:paraId="56339EE9" w14:textId="77777777" w:rsidTr="00F45A7F">
        <w:trPr>
          <w:jc w:val="center"/>
        </w:trPr>
        <w:tc>
          <w:tcPr>
            <w:tcW w:w="1694" w:type="dxa"/>
            <w:shd w:val="clear" w:color="auto" w:fill="auto"/>
            <w:hideMark/>
          </w:tcPr>
          <w:p w14:paraId="39EE93A9" w14:textId="77777777" w:rsidR="0081113A" w:rsidRPr="008870C8" w:rsidRDefault="0081113A" w:rsidP="00F45A7F">
            <w:pPr>
              <w:jc w:val="left"/>
              <w:rPr>
                <w:sz w:val="20"/>
                <w:lang w:val="es-419"/>
              </w:rPr>
            </w:pPr>
            <w:r w:rsidRPr="008870C8">
              <w:rPr>
                <w:sz w:val="20"/>
                <w:lang w:val="es-419"/>
              </w:rPr>
              <w:t xml:space="preserve">Ejecución </w:t>
            </w:r>
          </w:p>
        </w:tc>
        <w:tc>
          <w:tcPr>
            <w:tcW w:w="1829" w:type="dxa"/>
            <w:shd w:val="clear" w:color="auto" w:fill="auto"/>
            <w:hideMark/>
          </w:tcPr>
          <w:p w14:paraId="10A39968" w14:textId="77777777" w:rsidR="0081113A" w:rsidRPr="008870C8" w:rsidRDefault="0081113A" w:rsidP="00F45A7F">
            <w:pPr>
              <w:jc w:val="left"/>
              <w:rPr>
                <w:sz w:val="20"/>
                <w:lang w:val="es-419"/>
              </w:rPr>
            </w:pPr>
            <w:r w:rsidRPr="008870C8">
              <w:rPr>
                <w:sz w:val="20"/>
                <w:lang w:val="es-419"/>
              </w:rPr>
              <w:t>Fondos desembolsados</w:t>
            </w:r>
          </w:p>
        </w:tc>
        <w:tc>
          <w:tcPr>
            <w:tcW w:w="4331" w:type="dxa"/>
            <w:shd w:val="clear" w:color="auto" w:fill="auto"/>
            <w:hideMark/>
          </w:tcPr>
          <w:p w14:paraId="6F40EA8B" w14:textId="77777777" w:rsidR="0081113A" w:rsidRPr="008870C8" w:rsidRDefault="0081113A" w:rsidP="00F45A7F">
            <w:pPr>
              <w:jc w:val="left"/>
              <w:rPr>
                <w:sz w:val="20"/>
                <w:lang w:val="es-419"/>
              </w:rPr>
            </w:pPr>
            <w:r w:rsidRPr="008870C8">
              <w:rPr>
                <w:sz w:val="20"/>
                <w:lang w:val="es-419"/>
              </w:rPr>
              <w:t>Sobre la base del desembolso estimado en el informe sobre la marcha de las actividades</w:t>
            </w:r>
          </w:p>
        </w:tc>
        <w:tc>
          <w:tcPr>
            <w:tcW w:w="1515" w:type="dxa"/>
          </w:tcPr>
          <w:p w14:paraId="2872C671" w14:textId="77777777" w:rsidR="0081113A" w:rsidRPr="008870C8" w:rsidRDefault="0081113A" w:rsidP="00F45A7F">
            <w:pPr>
              <w:jc w:val="right"/>
              <w:rPr>
                <w:sz w:val="20"/>
                <w:lang w:val="es-419"/>
              </w:rPr>
            </w:pPr>
            <w:r w:rsidRPr="008870C8">
              <w:rPr>
                <w:sz w:val="20"/>
                <w:lang w:val="es-419"/>
              </w:rPr>
              <w:t>15 618 655 $EUA</w:t>
            </w:r>
          </w:p>
        </w:tc>
      </w:tr>
      <w:tr w:rsidR="0081113A" w:rsidRPr="008870C8" w14:paraId="58B01405" w14:textId="77777777" w:rsidTr="00F45A7F">
        <w:trPr>
          <w:jc w:val="center"/>
        </w:trPr>
        <w:tc>
          <w:tcPr>
            <w:tcW w:w="1694" w:type="dxa"/>
            <w:shd w:val="clear" w:color="auto" w:fill="auto"/>
            <w:hideMark/>
          </w:tcPr>
          <w:p w14:paraId="156443E3" w14:textId="77777777" w:rsidR="0081113A" w:rsidRPr="008870C8" w:rsidRDefault="0081113A" w:rsidP="00F45A7F">
            <w:pPr>
              <w:jc w:val="left"/>
              <w:rPr>
                <w:sz w:val="20"/>
                <w:lang w:val="es-419"/>
              </w:rPr>
            </w:pPr>
            <w:r w:rsidRPr="008870C8">
              <w:rPr>
                <w:sz w:val="20"/>
                <w:lang w:val="es-419"/>
              </w:rPr>
              <w:t>Ejecución</w:t>
            </w:r>
          </w:p>
        </w:tc>
        <w:tc>
          <w:tcPr>
            <w:tcW w:w="1829" w:type="dxa"/>
            <w:shd w:val="clear" w:color="auto" w:fill="auto"/>
            <w:hideMark/>
          </w:tcPr>
          <w:p w14:paraId="428D1CE1" w14:textId="77777777" w:rsidR="0081113A" w:rsidRPr="008870C8" w:rsidRDefault="0081113A" w:rsidP="00F45A7F">
            <w:pPr>
              <w:jc w:val="left"/>
              <w:rPr>
                <w:sz w:val="20"/>
                <w:lang w:val="es-419"/>
              </w:rPr>
            </w:pPr>
            <w:r w:rsidRPr="008870C8">
              <w:rPr>
                <w:sz w:val="20"/>
                <w:lang w:val="es-419"/>
              </w:rPr>
              <w:t>Eliminación de SAO</w:t>
            </w:r>
          </w:p>
        </w:tc>
        <w:tc>
          <w:tcPr>
            <w:tcW w:w="4331" w:type="dxa"/>
            <w:shd w:val="clear" w:color="auto" w:fill="auto"/>
            <w:hideMark/>
          </w:tcPr>
          <w:p w14:paraId="3A99AD2B" w14:textId="77777777" w:rsidR="0081113A" w:rsidRPr="008870C8" w:rsidRDefault="0081113A" w:rsidP="00F45A7F">
            <w:pPr>
              <w:jc w:val="left"/>
              <w:rPr>
                <w:sz w:val="20"/>
                <w:lang w:val="es-419"/>
              </w:rPr>
            </w:pPr>
            <w:r w:rsidRPr="008870C8">
              <w:rPr>
                <w:sz w:val="20"/>
                <w:lang w:val="es-419"/>
              </w:rPr>
              <w:t>Eliminación de SAO para el tramo cuando el siguiente tramo está aprobado frente a la eliminación prevista en los planes administrativos</w:t>
            </w:r>
          </w:p>
        </w:tc>
        <w:tc>
          <w:tcPr>
            <w:tcW w:w="1515" w:type="dxa"/>
          </w:tcPr>
          <w:p w14:paraId="349524C3" w14:textId="77777777" w:rsidR="0081113A" w:rsidRPr="008870C8" w:rsidRDefault="0081113A" w:rsidP="00F45A7F">
            <w:pPr>
              <w:jc w:val="right"/>
              <w:rPr>
                <w:sz w:val="20"/>
                <w:lang w:val="es-419"/>
              </w:rPr>
            </w:pPr>
            <w:r w:rsidRPr="008870C8">
              <w:rPr>
                <w:sz w:val="20"/>
                <w:lang w:val="es-419"/>
              </w:rPr>
              <w:t>570,2  toneladas PAO</w:t>
            </w:r>
          </w:p>
        </w:tc>
      </w:tr>
      <w:tr w:rsidR="0081113A" w:rsidRPr="008870C8" w14:paraId="61A47863" w14:textId="77777777" w:rsidTr="00F45A7F">
        <w:trPr>
          <w:jc w:val="center"/>
        </w:trPr>
        <w:tc>
          <w:tcPr>
            <w:tcW w:w="1694" w:type="dxa"/>
            <w:shd w:val="clear" w:color="auto" w:fill="auto"/>
            <w:hideMark/>
          </w:tcPr>
          <w:p w14:paraId="75FCF315" w14:textId="77777777" w:rsidR="0081113A" w:rsidRPr="008870C8" w:rsidRDefault="0081113A" w:rsidP="00F45A7F">
            <w:pPr>
              <w:jc w:val="left"/>
              <w:rPr>
                <w:sz w:val="20"/>
                <w:lang w:val="es-419"/>
              </w:rPr>
            </w:pPr>
            <w:r w:rsidRPr="008870C8">
              <w:rPr>
                <w:sz w:val="20"/>
                <w:lang w:val="es-419"/>
              </w:rPr>
              <w:t xml:space="preserve">Ejecución </w:t>
            </w:r>
          </w:p>
        </w:tc>
        <w:tc>
          <w:tcPr>
            <w:tcW w:w="1829" w:type="dxa"/>
            <w:shd w:val="clear" w:color="auto" w:fill="auto"/>
            <w:hideMark/>
          </w:tcPr>
          <w:p w14:paraId="040662B8" w14:textId="77777777" w:rsidR="0081113A" w:rsidRPr="008870C8" w:rsidRDefault="0081113A" w:rsidP="00F45A7F">
            <w:pPr>
              <w:jc w:val="left"/>
              <w:rPr>
                <w:sz w:val="20"/>
                <w:lang w:val="es-419"/>
              </w:rPr>
            </w:pPr>
            <w:r w:rsidRPr="008870C8">
              <w:rPr>
                <w:sz w:val="20"/>
                <w:lang w:val="es-419"/>
              </w:rPr>
              <w:t>Terminación de proyectos para actividades</w:t>
            </w:r>
          </w:p>
        </w:tc>
        <w:tc>
          <w:tcPr>
            <w:tcW w:w="4331" w:type="dxa"/>
            <w:shd w:val="clear" w:color="auto" w:fill="auto"/>
            <w:hideMark/>
          </w:tcPr>
          <w:p w14:paraId="0405EA84" w14:textId="77777777" w:rsidR="0081113A" w:rsidRPr="008870C8" w:rsidRDefault="0081113A" w:rsidP="00F45A7F">
            <w:pPr>
              <w:jc w:val="left"/>
              <w:rPr>
                <w:sz w:val="20"/>
                <w:lang w:val="es-419"/>
              </w:rPr>
            </w:pPr>
            <w:r w:rsidRPr="008870C8">
              <w:rPr>
                <w:sz w:val="20"/>
                <w:lang w:val="es-419"/>
              </w:rPr>
              <w:t>Terminación de proyectos frente a proyectos planificados en los informes sobre la marcha de todas las actividades (excluyendo la preparación de proyectos)</w:t>
            </w:r>
          </w:p>
        </w:tc>
        <w:tc>
          <w:tcPr>
            <w:tcW w:w="1515" w:type="dxa"/>
          </w:tcPr>
          <w:p w14:paraId="720269DF" w14:textId="77777777" w:rsidR="0081113A" w:rsidRPr="008870C8" w:rsidRDefault="0081113A" w:rsidP="00F45A7F">
            <w:pPr>
              <w:jc w:val="right"/>
              <w:rPr>
                <w:sz w:val="20"/>
                <w:lang w:val="es-419"/>
              </w:rPr>
            </w:pPr>
            <w:r w:rsidRPr="008870C8">
              <w:rPr>
                <w:sz w:val="20"/>
                <w:lang w:val="es-419"/>
              </w:rPr>
              <w:t>70</w:t>
            </w:r>
          </w:p>
        </w:tc>
      </w:tr>
      <w:tr w:rsidR="0081113A" w:rsidRPr="008870C8" w14:paraId="3099970B" w14:textId="77777777" w:rsidTr="00F45A7F">
        <w:trPr>
          <w:jc w:val="center"/>
        </w:trPr>
        <w:tc>
          <w:tcPr>
            <w:tcW w:w="1694" w:type="dxa"/>
            <w:shd w:val="clear" w:color="auto" w:fill="auto"/>
            <w:hideMark/>
          </w:tcPr>
          <w:p w14:paraId="7DAB48D9" w14:textId="77777777" w:rsidR="0081113A" w:rsidRPr="008870C8" w:rsidRDefault="0081113A" w:rsidP="00F45A7F">
            <w:pPr>
              <w:keepNext/>
              <w:jc w:val="left"/>
              <w:rPr>
                <w:sz w:val="20"/>
                <w:lang w:val="es-419"/>
              </w:rPr>
            </w:pPr>
            <w:r w:rsidRPr="008870C8">
              <w:rPr>
                <w:sz w:val="20"/>
                <w:lang w:val="es-419"/>
              </w:rPr>
              <w:t>Administrativo</w:t>
            </w:r>
          </w:p>
        </w:tc>
        <w:tc>
          <w:tcPr>
            <w:tcW w:w="1829" w:type="dxa"/>
            <w:shd w:val="clear" w:color="auto" w:fill="auto"/>
            <w:hideMark/>
          </w:tcPr>
          <w:p w14:paraId="2F16B9B3" w14:textId="77777777" w:rsidR="0081113A" w:rsidRPr="008870C8" w:rsidRDefault="0081113A" w:rsidP="00F45A7F">
            <w:pPr>
              <w:keepNext/>
              <w:jc w:val="left"/>
              <w:rPr>
                <w:sz w:val="20"/>
                <w:lang w:val="es-419"/>
              </w:rPr>
            </w:pPr>
            <w:r w:rsidRPr="008870C8">
              <w:rPr>
                <w:sz w:val="20"/>
                <w:lang w:val="es-419"/>
              </w:rPr>
              <w:t>Rapidez de terminación financiera</w:t>
            </w:r>
          </w:p>
        </w:tc>
        <w:tc>
          <w:tcPr>
            <w:tcW w:w="4331" w:type="dxa"/>
            <w:shd w:val="clear" w:color="auto" w:fill="auto"/>
            <w:hideMark/>
          </w:tcPr>
          <w:p w14:paraId="15DECE17" w14:textId="77777777" w:rsidR="0081113A" w:rsidRPr="008870C8" w:rsidRDefault="0081113A" w:rsidP="00F45A7F">
            <w:pPr>
              <w:keepNext/>
              <w:jc w:val="left"/>
              <w:rPr>
                <w:sz w:val="20"/>
                <w:lang w:val="es-419"/>
              </w:rPr>
            </w:pPr>
            <w:r w:rsidRPr="008870C8">
              <w:rPr>
                <w:sz w:val="20"/>
                <w:lang w:val="es-419"/>
              </w:rPr>
              <w:t>Medida en que los proyectos se han completado financieramente 12 meses después de la terminación del proyecto</w:t>
            </w:r>
          </w:p>
        </w:tc>
        <w:tc>
          <w:tcPr>
            <w:tcW w:w="1515" w:type="dxa"/>
          </w:tcPr>
          <w:p w14:paraId="1F94F577" w14:textId="77777777" w:rsidR="0081113A" w:rsidRPr="008870C8" w:rsidRDefault="0081113A" w:rsidP="00F45A7F">
            <w:pPr>
              <w:keepNext/>
              <w:jc w:val="right"/>
              <w:rPr>
                <w:sz w:val="20"/>
                <w:lang w:val="es-419"/>
              </w:rPr>
            </w:pPr>
            <w:r w:rsidRPr="008870C8">
              <w:rPr>
                <w:sz w:val="20"/>
                <w:lang w:val="es-419"/>
              </w:rPr>
              <w:t>70 %</w:t>
            </w:r>
          </w:p>
        </w:tc>
      </w:tr>
      <w:tr w:rsidR="0081113A" w:rsidRPr="008870C8" w14:paraId="01C1E2EC" w14:textId="77777777" w:rsidTr="00F45A7F">
        <w:trPr>
          <w:jc w:val="center"/>
        </w:trPr>
        <w:tc>
          <w:tcPr>
            <w:tcW w:w="1694" w:type="dxa"/>
            <w:shd w:val="clear" w:color="auto" w:fill="auto"/>
            <w:hideMark/>
          </w:tcPr>
          <w:p w14:paraId="0F445F69" w14:textId="77777777" w:rsidR="0081113A" w:rsidRPr="008870C8" w:rsidRDefault="0081113A" w:rsidP="00F45A7F">
            <w:pPr>
              <w:jc w:val="left"/>
              <w:rPr>
                <w:sz w:val="20"/>
                <w:lang w:val="es-419"/>
              </w:rPr>
            </w:pPr>
            <w:r w:rsidRPr="008870C8">
              <w:rPr>
                <w:sz w:val="20"/>
                <w:lang w:val="es-419"/>
              </w:rPr>
              <w:t xml:space="preserve">Administrativo </w:t>
            </w:r>
          </w:p>
        </w:tc>
        <w:tc>
          <w:tcPr>
            <w:tcW w:w="1829" w:type="dxa"/>
            <w:shd w:val="clear" w:color="auto" w:fill="auto"/>
            <w:hideMark/>
          </w:tcPr>
          <w:p w14:paraId="4D0CED86" w14:textId="77777777" w:rsidR="0081113A" w:rsidRPr="008870C8" w:rsidRDefault="0081113A" w:rsidP="00F45A7F">
            <w:pPr>
              <w:jc w:val="left"/>
              <w:rPr>
                <w:sz w:val="20"/>
                <w:lang w:val="es-419"/>
              </w:rPr>
            </w:pPr>
            <w:r w:rsidRPr="008870C8">
              <w:rPr>
                <w:sz w:val="20"/>
                <w:lang w:val="es-419"/>
              </w:rPr>
              <w:t>Presentación puntual de informes de terminación de proyecto</w:t>
            </w:r>
          </w:p>
        </w:tc>
        <w:tc>
          <w:tcPr>
            <w:tcW w:w="4331" w:type="dxa"/>
            <w:shd w:val="clear" w:color="auto" w:fill="auto"/>
            <w:hideMark/>
          </w:tcPr>
          <w:p w14:paraId="0401183B" w14:textId="77777777" w:rsidR="0081113A" w:rsidRPr="008870C8" w:rsidRDefault="0081113A" w:rsidP="00F45A7F">
            <w:pPr>
              <w:jc w:val="left"/>
              <w:rPr>
                <w:sz w:val="20"/>
                <w:lang w:val="es-419"/>
              </w:rPr>
            </w:pPr>
            <w:r w:rsidRPr="008870C8">
              <w:rPr>
                <w:sz w:val="20"/>
                <w:lang w:val="es-419"/>
              </w:rPr>
              <w:t>Presentación puntual de informes de terminación de proyecto frente a los acordados</w:t>
            </w:r>
          </w:p>
        </w:tc>
        <w:tc>
          <w:tcPr>
            <w:tcW w:w="1515" w:type="dxa"/>
          </w:tcPr>
          <w:p w14:paraId="390B4E26" w14:textId="77777777" w:rsidR="0081113A" w:rsidRPr="008870C8" w:rsidRDefault="0081113A" w:rsidP="00F45A7F">
            <w:pPr>
              <w:jc w:val="right"/>
              <w:rPr>
                <w:sz w:val="20"/>
                <w:lang w:val="es-419"/>
              </w:rPr>
            </w:pPr>
            <w:r w:rsidRPr="008870C8">
              <w:rPr>
                <w:sz w:val="20"/>
                <w:lang w:val="es-419"/>
              </w:rPr>
              <w:t>3</w:t>
            </w:r>
          </w:p>
        </w:tc>
      </w:tr>
      <w:tr w:rsidR="0081113A" w:rsidRPr="008870C8" w14:paraId="2226936A" w14:textId="77777777" w:rsidTr="00F45A7F">
        <w:trPr>
          <w:jc w:val="center"/>
        </w:trPr>
        <w:tc>
          <w:tcPr>
            <w:tcW w:w="1694" w:type="dxa"/>
            <w:shd w:val="clear" w:color="auto" w:fill="auto"/>
            <w:hideMark/>
          </w:tcPr>
          <w:p w14:paraId="062B266B" w14:textId="77777777" w:rsidR="0081113A" w:rsidRPr="008870C8" w:rsidRDefault="0081113A" w:rsidP="00F45A7F">
            <w:pPr>
              <w:jc w:val="left"/>
              <w:rPr>
                <w:sz w:val="20"/>
                <w:lang w:val="es-419"/>
              </w:rPr>
            </w:pPr>
            <w:r w:rsidRPr="008870C8">
              <w:rPr>
                <w:sz w:val="20"/>
                <w:lang w:val="es-419"/>
              </w:rPr>
              <w:t xml:space="preserve">Administrativo </w:t>
            </w:r>
          </w:p>
        </w:tc>
        <w:tc>
          <w:tcPr>
            <w:tcW w:w="1829" w:type="dxa"/>
            <w:shd w:val="clear" w:color="auto" w:fill="auto"/>
            <w:hideMark/>
          </w:tcPr>
          <w:p w14:paraId="406D9092" w14:textId="77777777" w:rsidR="0081113A" w:rsidRPr="008870C8" w:rsidRDefault="0081113A" w:rsidP="00F45A7F">
            <w:pPr>
              <w:jc w:val="left"/>
              <w:rPr>
                <w:sz w:val="20"/>
                <w:lang w:val="es-419"/>
              </w:rPr>
            </w:pPr>
            <w:r w:rsidRPr="008870C8">
              <w:rPr>
                <w:sz w:val="20"/>
                <w:lang w:val="es-419"/>
              </w:rPr>
              <w:t>Presentación puntual de los informes sobre la marcha de las actividades</w:t>
            </w:r>
          </w:p>
        </w:tc>
        <w:tc>
          <w:tcPr>
            <w:tcW w:w="4331" w:type="dxa"/>
            <w:shd w:val="clear" w:color="auto" w:fill="auto"/>
            <w:hideMark/>
          </w:tcPr>
          <w:p w14:paraId="464FF643" w14:textId="77777777" w:rsidR="0081113A" w:rsidRPr="008870C8" w:rsidRDefault="0081113A" w:rsidP="00F45A7F">
            <w:pPr>
              <w:jc w:val="left"/>
              <w:rPr>
                <w:sz w:val="20"/>
                <w:lang w:val="es-419"/>
              </w:rPr>
            </w:pPr>
            <w:r w:rsidRPr="008870C8">
              <w:rPr>
                <w:sz w:val="20"/>
                <w:lang w:val="es-419"/>
              </w:rPr>
              <w:t>Presentación puntual de informes sobre la marcha de las actividades, planes administrativos y respuestas a menos que se haya acordado otra cosa</w:t>
            </w:r>
          </w:p>
        </w:tc>
        <w:tc>
          <w:tcPr>
            <w:tcW w:w="1515" w:type="dxa"/>
          </w:tcPr>
          <w:p w14:paraId="04A752F7" w14:textId="77777777" w:rsidR="0081113A" w:rsidRPr="008870C8" w:rsidRDefault="0081113A" w:rsidP="00F45A7F">
            <w:pPr>
              <w:jc w:val="right"/>
              <w:rPr>
                <w:sz w:val="20"/>
                <w:lang w:val="es-419"/>
              </w:rPr>
            </w:pPr>
            <w:r w:rsidRPr="008870C8">
              <w:rPr>
                <w:sz w:val="20"/>
                <w:lang w:val="es-419"/>
              </w:rPr>
              <w:t>A tiempo</w:t>
            </w:r>
          </w:p>
        </w:tc>
      </w:tr>
    </w:tbl>
    <w:p w14:paraId="3CF22080" w14:textId="77777777" w:rsidR="0081113A" w:rsidRPr="008870C8" w:rsidRDefault="0081113A" w:rsidP="0081113A">
      <w:pPr>
        <w:rPr>
          <w:sz w:val="20"/>
          <w:lang w:val="es-419"/>
        </w:rPr>
      </w:pPr>
      <w:r w:rsidRPr="008870C8">
        <w:rPr>
          <w:sz w:val="20"/>
          <w:lang w:val="es-419"/>
        </w:rPr>
        <w:t>* El objetivo de un organismo se reduciría si no pudo presentar un tramo debido a otro organismo de cooperación o director, si así acordó dicho organismo.</w:t>
      </w:r>
    </w:p>
    <w:p w14:paraId="2FD5A3EB" w14:textId="77777777" w:rsidR="0081113A" w:rsidRPr="008870C8" w:rsidRDefault="0081113A" w:rsidP="0081113A">
      <w:pPr>
        <w:spacing w:after="240"/>
        <w:rPr>
          <w:sz w:val="20"/>
          <w:lang w:val="es-419"/>
        </w:rPr>
      </w:pPr>
      <w:r w:rsidRPr="008870C8">
        <w:rPr>
          <w:sz w:val="20"/>
          <w:lang w:val="es-419"/>
        </w:rPr>
        <w:t xml:space="preserve">** La preparación de proyectos no debe evaluarse si el Comité Ejecutivo no ha tomado una decisión sobre su financiación. </w:t>
      </w:r>
    </w:p>
    <w:p w14:paraId="31FE4AE9" w14:textId="77777777" w:rsidR="0081113A" w:rsidRPr="008870C8" w:rsidRDefault="0081113A" w:rsidP="0081113A">
      <w:pPr>
        <w:pStyle w:val="sub-title"/>
        <w:keepNext/>
        <w:spacing w:after="240"/>
        <w:rPr>
          <w:noProof w:val="0"/>
          <w:lang w:val="es-419"/>
        </w:rPr>
      </w:pPr>
      <w:r w:rsidRPr="008870C8">
        <w:rPr>
          <w:noProof w:val="0"/>
          <w:lang w:val="es-419"/>
        </w:rPr>
        <w:t>Cuestiones de criterios</w:t>
      </w:r>
    </w:p>
    <w:p w14:paraId="038C8CA3" w14:textId="77777777" w:rsidR="0081113A" w:rsidRPr="008870C8" w:rsidRDefault="0081113A" w:rsidP="0081113A">
      <w:pPr>
        <w:pStyle w:val="Heading1"/>
        <w:rPr>
          <w:lang w:val="es-419"/>
        </w:rPr>
      </w:pPr>
      <w:r w:rsidRPr="008870C8">
        <w:rPr>
          <w:lang w:val="es-419"/>
        </w:rPr>
        <w:t xml:space="preserve">El PNUD presenta las siguientes cuestiones de criterios relacionadas con las directrices sobre costos para la reducción progresiva del HFC que están siendo consideradas por el Comité Ejecutivo, las cuales fueron presentadas durante la IACM: </w:t>
      </w:r>
    </w:p>
    <w:p w14:paraId="41FC0156" w14:textId="77777777" w:rsidR="0081113A" w:rsidRPr="008870C8" w:rsidRDefault="0081113A" w:rsidP="0081113A">
      <w:pPr>
        <w:pStyle w:val="Heading2"/>
        <w:rPr>
          <w:lang w:val="es-419"/>
        </w:rPr>
      </w:pPr>
      <w:r w:rsidRPr="008870C8">
        <w:rPr>
          <w:lang w:val="es-419"/>
        </w:rPr>
        <w:t xml:space="preserve">Considerar la financiación de la transformación del mercado mediante el uso de los costos adicionales de explotación de una manera más flexible e inclusiva, en lugar de agrupados con determinadas industrias admisibles; </w:t>
      </w:r>
    </w:p>
    <w:p w14:paraId="7BCC1BF3" w14:textId="77777777" w:rsidR="0081113A" w:rsidRPr="008870C8" w:rsidRDefault="0081113A" w:rsidP="0081113A">
      <w:pPr>
        <w:pStyle w:val="Heading2"/>
        <w:rPr>
          <w:lang w:val="es-419"/>
        </w:rPr>
      </w:pPr>
      <w:r w:rsidRPr="008870C8">
        <w:rPr>
          <w:lang w:val="es-419"/>
        </w:rPr>
        <w:t xml:space="preserve">Dificultades de los países de bajo consumo en relación con la demostración de tecnologías alternativas y la posibilidad de apoyar con fondos limitados disponibles; </w:t>
      </w:r>
    </w:p>
    <w:p w14:paraId="60594611" w14:textId="77777777" w:rsidR="0081113A" w:rsidRPr="008870C8" w:rsidRDefault="0081113A" w:rsidP="0081113A">
      <w:pPr>
        <w:pStyle w:val="Heading2"/>
        <w:rPr>
          <w:lang w:val="es-419"/>
        </w:rPr>
      </w:pPr>
      <w:r w:rsidRPr="008870C8">
        <w:rPr>
          <w:lang w:val="es-419"/>
        </w:rPr>
        <w:t xml:space="preserve">Debería prestarse una atención especial al subsector de montaje en el sector de servicios y mantenimiento y separarse de otras actividades en el sector de servicios y mantenimiento con un tratamiento diferente; y </w:t>
      </w:r>
    </w:p>
    <w:p w14:paraId="5BE1DFB4" w14:textId="77777777" w:rsidR="0081113A" w:rsidRPr="008870C8" w:rsidRDefault="0081113A" w:rsidP="0081113A">
      <w:pPr>
        <w:pStyle w:val="Heading2"/>
        <w:rPr>
          <w:lang w:val="es-419"/>
        </w:rPr>
      </w:pPr>
      <w:r w:rsidRPr="008870C8">
        <w:rPr>
          <w:lang w:val="es-419"/>
        </w:rPr>
        <w:t>En el contexto de la Enmienda de Kigali, debería tenerse en cuenta la rentabilidad sobre la base de equivalente de CO</w:t>
      </w:r>
      <w:r w:rsidRPr="008870C8">
        <w:rPr>
          <w:vertAlign w:val="subscript"/>
          <w:lang w:val="es-419"/>
        </w:rPr>
        <w:t>2</w:t>
      </w:r>
      <w:r w:rsidRPr="008870C8">
        <w:rPr>
          <w:lang w:val="es-419"/>
        </w:rPr>
        <w:t xml:space="preserve"> y se necesita comunicación y sinergia con las acciones relativas al clima más amplias en los ámbitos nacional e internacional. </w:t>
      </w:r>
    </w:p>
    <w:p w14:paraId="034FDAF4" w14:textId="77777777" w:rsidR="0081113A" w:rsidRPr="008870C8" w:rsidRDefault="0081113A" w:rsidP="0081113A">
      <w:pPr>
        <w:keepNext/>
        <w:spacing w:after="240"/>
        <w:rPr>
          <w:b/>
          <w:bCs/>
          <w:lang w:val="es-419"/>
        </w:rPr>
      </w:pPr>
      <w:r w:rsidRPr="008870C8">
        <w:rPr>
          <w:b/>
          <w:bCs/>
          <w:lang w:val="es-419"/>
        </w:rPr>
        <w:lastRenderedPageBreak/>
        <w:t>RECOMENDACIÓN</w:t>
      </w:r>
    </w:p>
    <w:p w14:paraId="298F7EF6" w14:textId="77777777" w:rsidR="0081113A" w:rsidRPr="008870C8" w:rsidRDefault="0081113A" w:rsidP="0081113A">
      <w:pPr>
        <w:pStyle w:val="Heading1"/>
        <w:keepNext/>
        <w:rPr>
          <w:lang w:val="es-419"/>
        </w:rPr>
      </w:pPr>
      <w:r w:rsidRPr="008870C8">
        <w:rPr>
          <w:lang w:val="es-419"/>
        </w:rPr>
        <w:t>El Comité Ejecutivo puede considerar oportuno:</w:t>
      </w:r>
    </w:p>
    <w:p w14:paraId="01065F51" w14:textId="77777777" w:rsidR="0081113A" w:rsidRPr="008870C8" w:rsidRDefault="0081113A" w:rsidP="0081113A">
      <w:pPr>
        <w:pStyle w:val="Heading2"/>
        <w:rPr>
          <w:lang w:val="es-419"/>
        </w:rPr>
      </w:pPr>
      <w:r w:rsidRPr="008870C8">
        <w:rPr>
          <w:lang w:val="es-419"/>
        </w:rPr>
        <w:t>Tomar nota del plan administrativo del PNUD para 2020-2022 que se recoge en el documento UNEP/OzL.Pro/ExCom/84/28; y</w:t>
      </w:r>
    </w:p>
    <w:p w14:paraId="6C835687" w14:textId="77777777" w:rsidR="0081113A" w:rsidRPr="008870C8" w:rsidRDefault="0081113A" w:rsidP="0081113A">
      <w:pPr>
        <w:pStyle w:val="Heading2"/>
        <w:rPr>
          <w:lang w:val="es-419"/>
        </w:rPr>
      </w:pPr>
      <w:r w:rsidRPr="008870C8">
        <w:rPr>
          <w:lang w:val="es-419"/>
        </w:rPr>
        <w:t>Aprobar los indicadores de desempeño para el PNUD, tal como figuran en la tabla 5 del documento UNEP/OzL.Pro/ExCom/84/28.</w:t>
      </w:r>
    </w:p>
    <w:p w14:paraId="7B5879F1" w14:textId="77777777" w:rsidR="0081113A" w:rsidRPr="008870C8" w:rsidRDefault="0081113A" w:rsidP="0081113A">
      <w:pPr>
        <w:tabs>
          <w:tab w:val="left" w:pos="8280"/>
        </w:tabs>
        <w:rPr>
          <w:lang w:val="es-419"/>
        </w:rPr>
      </w:pPr>
    </w:p>
    <w:p w14:paraId="57FE908B" w14:textId="77777777" w:rsidR="0087455A" w:rsidRPr="008870C8" w:rsidRDefault="0087455A" w:rsidP="0081113A">
      <w:pPr>
        <w:pStyle w:val="Title1"/>
        <w:rPr>
          <w:b w:val="0"/>
          <w:bCs/>
          <w:lang w:val="es-419"/>
        </w:rPr>
      </w:pPr>
    </w:p>
    <w:sectPr w:rsidR="0087455A" w:rsidRPr="008870C8" w:rsidSect="0081113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81B9" w14:textId="77777777" w:rsidR="0064616F" w:rsidRDefault="0064616F">
      <w:r>
        <w:separator/>
      </w:r>
    </w:p>
  </w:endnote>
  <w:endnote w:type="continuationSeparator" w:id="0">
    <w:p w14:paraId="5E134A14" w14:textId="77777777" w:rsidR="0064616F" w:rsidRDefault="0064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7625"/>
      <w:docPartObj>
        <w:docPartGallery w:val="Page Numbers (Bottom of Page)"/>
        <w:docPartUnique/>
      </w:docPartObj>
    </w:sdtPr>
    <w:sdtEndPr>
      <w:rPr>
        <w:noProof/>
      </w:rPr>
    </w:sdtEndPr>
    <w:sdtContent>
      <w:p w14:paraId="7D06C911" w14:textId="4B7CAB03" w:rsidR="004556EF" w:rsidRDefault="004556EF">
        <w:pPr>
          <w:pStyle w:val="Footer"/>
          <w:jc w:val="center"/>
        </w:pPr>
        <w:r>
          <w:fldChar w:fldCharType="begin"/>
        </w:r>
        <w:r>
          <w:instrText xml:space="preserve"> PAGE   \* MERGEFORMAT </w:instrText>
        </w:r>
        <w:r>
          <w:fldChar w:fldCharType="separate"/>
        </w:r>
        <w:r w:rsidR="00D64F00">
          <w:rPr>
            <w:noProof/>
          </w:rPr>
          <w:t>4</w:t>
        </w:r>
        <w:r>
          <w:rPr>
            <w:noProof/>
          </w:rPr>
          <w:fldChar w:fldCharType="end"/>
        </w:r>
      </w:p>
    </w:sdtContent>
  </w:sdt>
  <w:p w14:paraId="19430BCF" w14:textId="77777777" w:rsidR="004556EF" w:rsidRDefault="004556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76768"/>
      <w:docPartObj>
        <w:docPartGallery w:val="Page Numbers (Bottom of Page)"/>
        <w:docPartUnique/>
      </w:docPartObj>
    </w:sdtPr>
    <w:sdtEndPr>
      <w:rPr>
        <w:noProof/>
      </w:rPr>
    </w:sdtEndPr>
    <w:sdtContent>
      <w:p w14:paraId="038534EA" w14:textId="72BFA746" w:rsidR="004556EF" w:rsidRDefault="004556EF">
        <w:pPr>
          <w:pStyle w:val="Footer"/>
          <w:jc w:val="center"/>
        </w:pPr>
        <w:r>
          <w:fldChar w:fldCharType="begin"/>
        </w:r>
        <w:r>
          <w:instrText xml:space="preserve"> PAGE   \* MERGEFORMAT </w:instrText>
        </w:r>
        <w:r>
          <w:fldChar w:fldCharType="separate"/>
        </w:r>
        <w:r w:rsidR="00D64F00">
          <w:rPr>
            <w:noProof/>
          </w:rPr>
          <w:t>3</w:t>
        </w:r>
        <w:r>
          <w:rPr>
            <w:noProof/>
          </w:rPr>
          <w:fldChar w:fldCharType="end"/>
        </w:r>
      </w:p>
    </w:sdtContent>
  </w:sdt>
  <w:p w14:paraId="057F26F5" w14:textId="77777777" w:rsidR="004556EF" w:rsidRDefault="004556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AB47" w14:textId="6CCB0A04" w:rsidR="004556EF" w:rsidRDefault="004556EF" w:rsidP="004556EF">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sidRPr="009B2542">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1A15A9FB" w14:textId="51BD78AB" w:rsidR="0087455A" w:rsidRPr="009B2542" w:rsidRDefault="0087455A" w:rsidP="004556EF">
    <w:pPr>
      <w:pStyle w:val="Footer"/>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C566" w14:textId="77777777" w:rsidR="0064616F" w:rsidRDefault="0064616F">
      <w:r>
        <w:separator/>
      </w:r>
    </w:p>
  </w:footnote>
  <w:footnote w:type="continuationSeparator" w:id="0">
    <w:p w14:paraId="04571619" w14:textId="77777777" w:rsidR="0064616F" w:rsidRDefault="0064616F">
      <w:r>
        <w:continuationSeparator/>
      </w:r>
    </w:p>
  </w:footnote>
  <w:footnote w:id="1">
    <w:p w14:paraId="0C4AFB87" w14:textId="1F713A3E" w:rsidR="0081113A" w:rsidRDefault="0081113A" w:rsidP="0081113A">
      <w:pPr>
        <w:pStyle w:val="FootnoteText"/>
      </w:pPr>
      <w:r>
        <w:rPr>
          <w:rStyle w:val="FootnoteReference"/>
        </w:rPr>
        <w:footnoteRef/>
      </w:r>
      <w:r>
        <w:t xml:space="preserve"> En la reunión de coordinación entre organismos (IACM), celebrada en Montreal del 9 al 11 de octubre de 2019, se debatió un proyecto de plan administrativo del PNUD para 2020-2022. En el plan administrativo que figura en este documento se abordan las cuestiones planteadas en la reunión.</w:t>
      </w:r>
    </w:p>
    <w:p w14:paraId="55D40E5A" w14:textId="77777777" w:rsidR="001E29E0" w:rsidRPr="0092521A" w:rsidRDefault="001E29E0" w:rsidP="0081113A">
      <w:pPr>
        <w:pStyle w:val="FootnoteText"/>
      </w:pPr>
    </w:p>
  </w:footnote>
  <w:footnote w:id="2">
    <w:p w14:paraId="33A02FF4" w14:textId="77777777" w:rsidR="0081113A" w:rsidRPr="0092521A" w:rsidRDefault="0081113A" w:rsidP="0081113A">
      <w:pPr>
        <w:pStyle w:val="FootnoteText"/>
      </w:pPr>
      <w:r>
        <w:rPr>
          <w:rStyle w:val="FootnoteReference"/>
        </w:rPr>
        <w:footnoteRef/>
      </w:r>
      <w:r>
        <w:t xml:space="preserve"> La solicitud de costos de la unidad central del PNUD en 2020 se ha presentado en la 84</w:t>
      </w:r>
      <w:r>
        <w:rPr>
          <w:vertAlign w:val="superscript"/>
        </w:rPr>
        <w:t>ª</w:t>
      </w:r>
      <w:r>
        <w:t xml:space="preserve"> reunión (UNEP/OzL.Pro/ExCom/84/38).</w:t>
      </w:r>
    </w:p>
  </w:footnote>
  <w:footnote w:id="3">
    <w:p w14:paraId="235C692D" w14:textId="77777777" w:rsidR="0081113A" w:rsidRPr="00B307E7" w:rsidRDefault="0081113A" w:rsidP="0081113A">
      <w:pPr>
        <w:pStyle w:val="FootnoteText"/>
      </w:pPr>
      <w:r>
        <w:rPr>
          <w:rStyle w:val="FootnoteReference"/>
        </w:rPr>
        <w:footnoteRef/>
      </w:r>
      <w:r>
        <w:t xml:space="preserve"> UNEP/OzL.Pro/ExCom/84/26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0438" w14:textId="466863A2" w:rsidR="004556EF" w:rsidRDefault="001E29E0" w:rsidP="004556EF">
    <w:pPr>
      <w:jc w:val="right"/>
    </w:pPr>
    <w:fldSimple w:instr=" DOCPROPERTY &quot;Document number&quot;  \* MERGEFORMAT ">
      <w:r w:rsidR="004556EF">
        <w:t>UNEP/OzL.Pro/ExCom/84/28</w:t>
      </w:r>
    </w:fldSimple>
  </w:p>
  <w:p w14:paraId="6B4F9656" w14:textId="77777777" w:rsidR="004556EF" w:rsidRDefault="004556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104D" w14:textId="184FA681" w:rsidR="004556EF" w:rsidRDefault="001E29E0" w:rsidP="004556EF">
    <w:pPr>
      <w:jc w:val="left"/>
    </w:pPr>
    <w:fldSimple w:instr=" DOCPROPERTY &quot;Document number&quot;  \* MERGEFORMAT ">
      <w:r w:rsidR="004556EF">
        <w:t>UNEP/OzL.Pro/ExCom/84/28</w:t>
      </w:r>
    </w:fldSimple>
  </w:p>
  <w:p w14:paraId="373032A5" w14:textId="77777777" w:rsidR="004556EF" w:rsidRDefault="004556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D85E" w14:textId="77777777" w:rsidR="0087455A" w:rsidRDefault="0087455A"/>
  <w:p w14:paraId="307449CB"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06"/>
    <w:rsid w:val="00106F6E"/>
    <w:rsid w:val="00114CAA"/>
    <w:rsid w:val="001C2D22"/>
    <w:rsid w:val="001E29E0"/>
    <w:rsid w:val="001F4047"/>
    <w:rsid w:val="00235D4C"/>
    <w:rsid w:val="0024162E"/>
    <w:rsid w:val="003863A4"/>
    <w:rsid w:val="003B7115"/>
    <w:rsid w:val="00455352"/>
    <w:rsid w:val="004556EF"/>
    <w:rsid w:val="00476E28"/>
    <w:rsid w:val="0064616F"/>
    <w:rsid w:val="0081113A"/>
    <w:rsid w:val="00831BC5"/>
    <w:rsid w:val="0087455A"/>
    <w:rsid w:val="008870C8"/>
    <w:rsid w:val="00912207"/>
    <w:rsid w:val="009B2542"/>
    <w:rsid w:val="00A16206"/>
    <w:rsid w:val="00AB56E5"/>
    <w:rsid w:val="00C14E67"/>
    <w:rsid w:val="00D64F00"/>
    <w:rsid w:val="00D71731"/>
    <w:rsid w:val="00DB795B"/>
    <w:rsid w:val="00E17F97"/>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A83EE4"/>
  <w15:docId w15:val="{8491210C-EE0C-4F92-9794-1BC15550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customStyle="1" w:styleId="Title2">
    <w:name w:val="Title2"/>
    <w:rsid w:val="0081113A"/>
    <w:pPr>
      <w:jc w:val="center"/>
      <w:outlineLvl w:val="0"/>
    </w:pPr>
    <w:rPr>
      <w:b/>
      <w:caps/>
      <w:sz w:val="22"/>
      <w:szCs w:val="22"/>
      <w:lang w:val="es-ES"/>
    </w:rPr>
  </w:style>
  <w:style w:type="paragraph" w:customStyle="1" w:styleId="subhead">
    <w:name w:val="subhead"/>
    <w:basedOn w:val="Normal"/>
    <w:next w:val="Normal"/>
    <w:uiPriority w:val="99"/>
    <w:rsid w:val="0081113A"/>
    <w:pPr>
      <w:tabs>
        <w:tab w:val="left" w:pos="-720"/>
        <w:tab w:val="left" w:pos="0"/>
        <w:tab w:val="left" w:pos="720"/>
        <w:tab w:val="left" w:pos="1440"/>
        <w:tab w:val="left" w:pos="2160"/>
        <w:tab w:val="left" w:pos="2880"/>
        <w:tab w:val="left" w:pos="3600"/>
      </w:tabs>
      <w:jc w:val="center"/>
    </w:pPr>
    <w:rPr>
      <w:sz w:val="24"/>
      <w:szCs w:val="24"/>
      <w:lang w:val="es-ES"/>
    </w:rPr>
  </w:style>
  <w:style w:type="paragraph" w:styleId="FootnoteText">
    <w:name w:val="footnote text"/>
    <w:basedOn w:val="Normal"/>
    <w:link w:val="FootnoteTextChar"/>
    <w:rsid w:val="0081113A"/>
    <w:rPr>
      <w:sz w:val="20"/>
      <w:szCs w:val="20"/>
      <w:lang w:val="es-ES"/>
    </w:rPr>
  </w:style>
  <w:style w:type="character" w:customStyle="1" w:styleId="FootnoteTextChar">
    <w:name w:val="Footnote Text Char"/>
    <w:basedOn w:val="DefaultParagraphFont"/>
    <w:link w:val="FootnoteText"/>
    <w:rsid w:val="0081113A"/>
    <w:rPr>
      <w:lang w:val="es-ES"/>
    </w:rPr>
  </w:style>
  <w:style w:type="character" w:styleId="FootnoteReference">
    <w:name w:val="footnote reference"/>
    <w:rsid w:val="00811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397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20Maria%20-%20Asus\Downloads\S84-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UNEP/OzL.Pro/ExCom/84/28</Document_x0020_Number>
  </documentManagement>
</p:properties>
</file>

<file path=customXml/itemProps1.xml><?xml version="1.0" encoding="utf-8"?>
<ds:datastoreItem xmlns:ds="http://schemas.openxmlformats.org/officeDocument/2006/customXml" ds:itemID="{D17F7654-4930-457D-AD7D-7D43AA5EFAC3}"/>
</file>

<file path=customXml/itemProps2.xml><?xml version="1.0" encoding="utf-8"?>
<ds:datastoreItem xmlns:ds="http://schemas.openxmlformats.org/officeDocument/2006/customXml" ds:itemID="{3AB4CBA3-E0F6-46AA-AF37-EE161B301AA8}"/>
</file>

<file path=customXml/itemProps3.xml><?xml version="1.0" encoding="utf-8"?>
<ds:datastoreItem xmlns:ds="http://schemas.openxmlformats.org/officeDocument/2006/customXml" ds:itemID="{4443D3E1-E28A-440E-A75B-8316776FE523}"/>
</file>

<file path=customXml/itemProps4.xml><?xml version="1.0" encoding="utf-8"?>
<ds:datastoreItem xmlns:ds="http://schemas.openxmlformats.org/officeDocument/2006/customXml" ds:itemID="{EF081112-99D1-4842-8603-AD912DAF137D}"/>
</file>

<file path=docProps/app.xml><?xml version="1.0" encoding="utf-8"?>
<Properties xmlns="http://schemas.openxmlformats.org/officeDocument/2006/extended-properties" xmlns:vt="http://schemas.openxmlformats.org/officeDocument/2006/docPropsVTypes">
  <Template>S84-template (1)</Template>
  <TotalTime>7</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 administrativo del PNUD para 2020-2022</vt:lpstr>
    </vt:vector>
  </TitlesOfParts>
  <Company>UNMFS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del PNUD para 2020-2022</dc:title>
  <dc:creator>Jose Maria - Asus</dc:creator>
  <cp:lastModifiedBy>HBE</cp:lastModifiedBy>
  <cp:revision>8</cp:revision>
  <cp:lastPrinted>2001-05-26T16:40:00Z</cp:lastPrinted>
  <dcterms:created xsi:type="dcterms:W3CDTF">2019-11-24T13:51:00Z</dcterms:created>
  <dcterms:modified xsi:type="dcterms:W3CDTF">2019-11-30T00:40:00Z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UNEP/OzL.Pro/ExCom/84/28</vt:lpwstr>
  </property>
  <property fmtid="{D5CDD505-2E9C-101B-9397-08002B2CF9AE}" pid="3" name="Revision date">
    <vt:lpwstr>10/1/2019</vt:lpwstr>
  </property>
  <property fmtid="{D5CDD505-2E9C-101B-9397-08002B2CF9AE}" pid="4" name="ContentTypeId">
    <vt:lpwstr>0x010100CF2D22381220FE4184AFB35730DED85F</vt:lpwstr>
  </property>
</Properties>
</file>