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E94BF3">
        <w:trPr>
          <w:trHeight w:val="720"/>
        </w:trPr>
        <w:tc>
          <w:tcPr>
            <w:tcW w:w="6494" w:type="dxa"/>
            <w:gridSpan w:val="2"/>
            <w:tcBorders>
              <w:bottom w:val="single" w:sz="18" w:space="0" w:color="auto"/>
            </w:tcBorders>
          </w:tcPr>
          <w:p w:rsidR="0087455A" w:rsidRPr="00E94BF3" w:rsidRDefault="0024162E">
            <w:pPr>
              <w:rPr>
                <w:rFonts w:ascii="Univers" w:hAnsi="Univers"/>
                <w:b/>
                <w:sz w:val="28"/>
                <w:szCs w:val="28"/>
                <w:lang w:val="es-MX"/>
              </w:rPr>
            </w:pPr>
            <w:r w:rsidRPr="00E94BF3">
              <w:rPr>
                <w:rFonts w:ascii="Univers" w:hAnsi="Univers"/>
                <w:b/>
                <w:sz w:val="28"/>
                <w:szCs w:val="28"/>
                <w:lang w:val="es-MX"/>
              </w:rPr>
              <w:t>NACIONES</w:t>
            </w:r>
          </w:p>
          <w:p w:rsidR="0087455A" w:rsidRPr="00E94BF3" w:rsidRDefault="0024162E">
            <w:pPr>
              <w:rPr>
                <w:rFonts w:ascii="Univers" w:hAnsi="Univers"/>
                <w:b/>
                <w:sz w:val="28"/>
                <w:szCs w:val="28"/>
                <w:lang w:val="es-MX"/>
              </w:rPr>
            </w:pPr>
            <w:r w:rsidRPr="00E94BF3">
              <w:rPr>
                <w:rFonts w:ascii="Univers" w:hAnsi="Univers"/>
                <w:b/>
                <w:sz w:val="28"/>
                <w:szCs w:val="28"/>
                <w:lang w:val="es-MX"/>
              </w:rPr>
              <w:t>UNIDAS</w:t>
            </w:r>
          </w:p>
        </w:tc>
        <w:tc>
          <w:tcPr>
            <w:tcW w:w="4590" w:type="dxa"/>
            <w:tcBorders>
              <w:bottom w:val="single" w:sz="18" w:space="0" w:color="auto"/>
            </w:tcBorders>
          </w:tcPr>
          <w:p w:rsidR="0087455A" w:rsidRPr="00E94BF3" w:rsidRDefault="0024162E">
            <w:pPr>
              <w:jc w:val="right"/>
              <w:rPr>
                <w:rFonts w:asciiTheme="minorBidi" w:hAnsiTheme="minorBidi" w:cstheme="minorBidi"/>
                <w:sz w:val="52"/>
                <w:szCs w:val="52"/>
                <w:lang w:val="es-MX"/>
              </w:rPr>
            </w:pPr>
            <w:r w:rsidRPr="00E94BF3">
              <w:rPr>
                <w:rFonts w:asciiTheme="minorBidi" w:hAnsiTheme="minorBidi" w:cstheme="minorBidi"/>
                <w:b/>
                <w:sz w:val="72"/>
                <w:lang w:val="es-MX"/>
              </w:rPr>
              <w:t>EP</w:t>
            </w:r>
          </w:p>
        </w:tc>
      </w:tr>
      <w:tr w:rsidR="0087455A" w:rsidRPr="00E94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87455A" w:rsidRPr="00E94BF3" w:rsidRDefault="0024162E">
            <w:pPr>
              <w:spacing w:before="120"/>
              <w:rPr>
                <w:lang w:val="es-MX"/>
              </w:rPr>
            </w:pPr>
            <w:r w:rsidRPr="00E94BF3">
              <w:rPr>
                <w:noProof/>
                <w:lang w:val="en-CA" w:eastAsia="en-CA"/>
              </w:rPr>
              <w:drawing>
                <wp:anchor distT="0" distB="0" distL="114300" distR="114300" simplePos="0" relativeHeight="251660288" behindDoc="0" locked="0" layoutInCell="1" allowOverlap="1">
                  <wp:simplePos x="0" y="0"/>
                  <wp:positionH relativeFrom="column">
                    <wp:posOffset>20955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E94BF3">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rsidR="0087455A" w:rsidRPr="00E94BF3"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rsidR="0087455A" w:rsidRPr="00E94BF3"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sidRPr="00E94BF3">
              <w:rPr>
                <w:rFonts w:ascii="Univers" w:hAnsi="Univers"/>
                <w:b/>
                <w:sz w:val="32"/>
                <w:lang w:val="es-MX"/>
              </w:rPr>
              <w:t>Programa de las</w:t>
            </w:r>
          </w:p>
          <w:p w:rsidR="0087455A" w:rsidRPr="00E94BF3"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sidRPr="00E94BF3">
              <w:rPr>
                <w:rFonts w:ascii="Univers" w:hAnsi="Univers"/>
                <w:b/>
                <w:sz w:val="32"/>
                <w:lang w:val="es-MX"/>
              </w:rPr>
              <w:t>Naciones Unidas</w:t>
            </w:r>
          </w:p>
          <w:p w:rsidR="0087455A" w:rsidRPr="00E94BF3"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sidRPr="00E94BF3">
              <w:rPr>
                <w:rFonts w:ascii="Univers" w:hAnsi="Univers"/>
                <w:b/>
                <w:sz w:val="32"/>
                <w:lang w:val="es-MX"/>
              </w:rPr>
              <w:t>para el Medio Ambiente</w:t>
            </w:r>
          </w:p>
          <w:p w:rsidR="0087455A" w:rsidRPr="00E94BF3"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MX"/>
              </w:rPr>
            </w:pPr>
          </w:p>
          <w:p w:rsidR="0087455A" w:rsidRPr="00E94BF3" w:rsidRDefault="0087455A">
            <w:pPr>
              <w:spacing w:before="720"/>
              <w:ind w:left="158"/>
              <w:rPr>
                <w:lang w:val="es-MX"/>
              </w:rPr>
            </w:pPr>
          </w:p>
        </w:tc>
        <w:tc>
          <w:tcPr>
            <w:tcW w:w="4590" w:type="dxa"/>
            <w:tcBorders>
              <w:top w:val="nil"/>
              <w:left w:val="nil"/>
              <w:bottom w:val="single" w:sz="36" w:space="0" w:color="auto"/>
              <w:right w:val="nil"/>
            </w:tcBorders>
          </w:tcPr>
          <w:p w:rsidR="0087455A" w:rsidRPr="00E94BF3" w:rsidRDefault="0087455A">
            <w:pPr>
              <w:rPr>
                <w:lang w:val="es-MX"/>
              </w:rPr>
            </w:pPr>
          </w:p>
          <w:p w:rsidR="0087455A" w:rsidRPr="00E94BF3" w:rsidRDefault="0024162E">
            <w:pPr>
              <w:rPr>
                <w:lang w:val="es-MX"/>
              </w:rPr>
            </w:pPr>
            <w:r w:rsidRPr="00E94BF3">
              <w:rPr>
                <w:lang w:val="es-MX"/>
              </w:rPr>
              <w:t>Distr.</w:t>
            </w:r>
          </w:p>
          <w:p w:rsidR="0087455A" w:rsidRPr="00E94BF3" w:rsidRDefault="0024162E">
            <w:pPr>
              <w:rPr>
                <w:lang w:val="es-MX"/>
              </w:rPr>
            </w:pPr>
            <w:r w:rsidRPr="00E94BF3">
              <w:rPr>
                <w:lang w:val="es-MX"/>
              </w:rPr>
              <w:t>GENERAL</w:t>
            </w:r>
          </w:p>
          <w:p w:rsidR="0087455A" w:rsidRPr="00E94BF3" w:rsidRDefault="0087455A">
            <w:pPr>
              <w:rPr>
                <w:lang w:val="es-MX"/>
              </w:rPr>
            </w:pPr>
          </w:p>
          <w:p w:rsidR="0087455A" w:rsidRPr="00E94BF3" w:rsidRDefault="0024162E">
            <w:pPr>
              <w:rPr>
                <w:lang w:val="es-MX"/>
              </w:rPr>
            </w:pPr>
            <w:r w:rsidRPr="00E94BF3">
              <w:rPr>
                <w:lang w:val="es-MX"/>
              </w:rPr>
              <w:fldChar w:fldCharType="begin"/>
            </w:r>
            <w:r w:rsidRPr="00E94BF3">
              <w:rPr>
                <w:lang w:val="es-MX"/>
              </w:rPr>
              <w:instrText xml:space="preserve"> DOCPROPERTY "Document number"  \* MERGEFORMAT </w:instrText>
            </w:r>
            <w:r w:rsidRPr="00E94BF3">
              <w:rPr>
                <w:lang w:val="es-MX"/>
              </w:rPr>
              <w:fldChar w:fldCharType="separate"/>
            </w:r>
            <w:r w:rsidR="002458C6">
              <w:rPr>
                <w:lang w:val="es-MX"/>
              </w:rPr>
              <w:t>UNEP/OzL.Pro/ExCom/84/44</w:t>
            </w:r>
            <w:r w:rsidRPr="00E94BF3">
              <w:rPr>
                <w:lang w:val="es-MX"/>
              </w:rPr>
              <w:fldChar w:fldCharType="end"/>
            </w:r>
          </w:p>
          <w:p w:rsidR="0087455A" w:rsidRPr="00E94BF3" w:rsidRDefault="00B20A2A" w:rsidP="00F10CD9">
            <w:pPr>
              <w:rPr>
                <w:caps/>
                <w:lang w:val="es-MX"/>
              </w:rPr>
            </w:pPr>
            <w:r w:rsidRPr="00E94BF3">
              <w:rPr>
                <w:caps/>
                <w:lang w:val="es-MX"/>
              </w:rPr>
              <w:t>15</w:t>
            </w:r>
            <w:r w:rsidR="00114CAA" w:rsidRPr="00E94BF3">
              <w:rPr>
                <w:caps/>
                <w:lang w:val="es-MX"/>
              </w:rPr>
              <w:t xml:space="preserve"> </w:t>
            </w:r>
            <w:r w:rsidR="00114CAA" w:rsidRPr="00E94BF3">
              <w:rPr>
                <w:lang w:val="es-MX"/>
              </w:rPr>
              <w:t xml:space="preserve">de </w:t>
            </w:r>
            <w:r w:rsidRPr="00E94BF3">
              <w:rPr>
                <w:lang w:val="es-MX"/>
              </w:rPr>
              <w:t>noviembre</w:t>
            </w:r>
            <w:r w:rsidR="00114CAA" w:rsidRPr="00E94BF3">
              <w:rPr>
                <w:lang w:val="es-MX"/>
              </w:rPr>
              <w:t xml:space="preserve"> de </w:t>
            </w:r>
            <w:r w:rsidR="001C2D22" w:rsidRPr="00E94BF3">
              <w:rPr>
                <w:caps/>
                <w:lang w:val="es-MX"/>
              </w:rPr>
              <w:t>2019</w:t>
            </w:r>
          </w:p>
          <w:p w:rsidR="00114CAA" w:rsidRPr="00E94BF3" w:rsidRDefault="00114CAA">
            <w:pPr>
              <w:rPr>
                <w:caps/>
                <w:lang w:val="es-MX"/>
              </w:rPr>
            </w:pPr>
          </w:p>
          <w:p w:rsidR="0087455A" w:rsidRPr="00E94BF3" w:rsidRDefault="0024162E">
            <w:pPr>
              <w:rPr>
                <w:lang w:val="es-MX"/>
              </w:rPr>
            </w:pPr>
            <w:r w:rsidRPr="00E94BF3">
              <w:rPr>
                <w:lang w:val="es-MX"/>
              </w:rPr>
              <w:t xml:space="preserve">ESPAÑOL </w:t>
            </w:r>
          </w:p>
          <w:p w:rsidR="0087455A" w:rsidRPr="00E94BF3" w:rsidRDefault="0024162E">
            <w:pPr>
              <w:rPr>
                <w:lang w:val="es-MX"/>
              </w:rPr>
            </w:pPr>
            <w:r w:rsidRPr="00E94BF3">
              <w:rPr>
                <w:lang w:val="es-MX"/>
              </w:rPr>
              <w:t>ORIGINAL: INGLÉS</w:t>
            </w:r>
          </w:p>
        </w:tc>
      </w:tr>
    </w:tbl>
    <w:p w:rsidR="0087455A" w:rsidRPr="00E94BF3" w:rsidRDefault="0087455A">
      <w:pPr>
        <w:jc w:val="left"/>
        <w:rPr>
          <w:lang w:val="es-MX"/>
        </w:rPr>
      </w:pPr>
    </w:p>
    <w:p w:rsidR="0087455A" w:rsidRPr="00E94BF3" w:rsidRDefault="0024162E">
      <w:pPr>
        <w:jc w:val="left"/>
        <w:rPr>
          <w:lang w:val="es-MX"/>
        </w:rPr>
      </w:pPr>
      <w:r w:rsidRPr="00E94BF3">
        <w:rPr>
          <w:lang w:val="es-MX"/>
        </w:rPr>
        <w:t>COMITÉ EJECUTIVO DEL FONDO MULTILATERAL</w:t>
      </w:r>
      <w:r w:rsidRPr="00E94BF3">
        <w:rPr>
          <w:lang w:val="es-MX"/>
        </w:rPr>
        <w:br/>
        <w:t xml:space="preserve">  PARA LA APLICACIÓN DEL</w:t>
      </w:r>
      <w:r w:rsidRPr="00E94BF3">
        <w:rPr>
          <w:lang w:val="es-MX"/>
        </w:rPr>
        <w:br/>
        <w:t xml:space="preserve">  PROTOCOLO DE MONTREAL</w:t>
      </w:r>
    </w:p>
    <w:p w:rsidR="00106F6E" w:rsidRPr="00E94BF3" w:rsidRDefault="00106F6E" w:rsidP="001F4047">
      <w:pPr>
        <w:jc w:val="left"/>
        <w:rPr>
          <w:lang w:val="es-MX"/>
        </w:rPr>
      </w:pPr>
      <w:r w:rsidRPr="00E94BF3">
        <w:rPr>
          <w:lang w:val="es-MX"/>
        </w:rPr>
        <w:t xml:space="preserve">Octogésima </w:t>
      </w:r>
      <w:r w:rsidR="003863A4" w:rsidRPr="00E94BF3">
        <w:rPr>
          <w:lang w:val="es-MX"/>
        </w:rPr>
        <w:t>cuarta Reunión</w:t>
      </w:r>
      <w:r w:rsidR="003863A4" w:rsidRPr="00E94BF3">
        <w:rPr>
          <w:lang w:val="es-MX"/>
        </w:rPr>
        <w:br/>
        <w:t xml:space="preserve">Montreal, 16 </w:t>
      </w:r>
      <w:r w:rsidRPr="00E94BF3">
        <w:rPr>
          <w:lang w:val="es-MX"/>
        </w:rPr>
        <w:t xml:space="preserve">– </w:t>
      </w:r>
      <w:r w:rsidR="003863A4" w:rsidRPr="00E94BF3">
        <w:rPr>
          <w:lang w:val="es-MX"/>
        </w:rPr>
        <w:t>20</w:t>
      </w:r>
      <w:r w:rsidRPr="00E94BF3">
        <w:rPr>
          <w:lang w:val="es-MX"/>
        </w:rPr>
        <w:t xml:space="preserve"> de </w:t>
      </w:r>
      <w:r w:rsidR="001F4047" w:rsidRPr="00E94BF3">
        <w:rPr>
          <w:lang w:val="es-MX"/>
        </w:rPr>
        <w:t>diciembre</w:t>
      </w:r>
      <w:r w:rsidR="001C2D22" w:rsidRPr="00E94BF3">
        <w:rPr>
          <w:lang w:val="es-MX"/>
        </w:rPr>
        <w:t xml:space="preserve"> de 2019</w:t>
      </w:r>
    </w:p>
    <w:p w:rsidR="00106F6E" w:rsidRPr="00E94BF3" w:rsidRDefault="00106F6E" w:rsidP="00106F6E">
      <w:pPr>
        <w:jc w:val="left"/>
        <w:rPr>
          <w:lang w:val="es-MX"/>
        </w:rPr>
      </w:pPr>
    </w:p>
    <w:p w:rsidR="0087455A" w:rsidRPr="00E94BF3" w:rsidRDefault="0087455A">
      <w:pPr>
        <w:jc w:val="left"/>
        <w:rPr>
          <w:lang w:val="es-MX"/>
        </w:rPr>
      </w:pPr>
    </w:p>
    <w:p w:rsidR="0087455A" w:rsidRPr="00E94BF3" w:rsidRDefault="0087455A">
      <w:pPr>
        <w:pStyle w:val="Heading3"/>
        <w:numPr>
          <w:ilvl w:val="0"/>
          <w:numId w:val="0"/>
        </w:numPr>
        <w:spacing w:after="0"/>
        <w:rPr>
          <w:lang w:val="es-MX"/>
        </w:rPr>
      </w:pPr>
    </w:p>
    <w:p w:rsidR="00B20A2A" w:rsidRPr="00E94BF3" w:rsidRDefault="00B20A2A" w:rsidP="00B20A2A">
      <w:pPr>
        <w:jc w:val="center"/>
        <w:rPr>
          <w:b/>
          <w:lang w:val="es-MX"/>
        </w:rPr>
      </w:pPr>
      <w:r w:rsidRPr="00E94BF3">
        <w:rPr>
          <w:b/>
          <w:lang w:val="es-MX"/>
        </w:rPr>
        <w:t>PROPUESTA DE PROYECTO: CONGO (EL)</w:t>
      </w:r>
    </w:p>
    <w:p w:rsidR="00B20A2A" w:rsidRDefault="00B20A2A" w:rsidP="00B20A2A">
      <w:pPr>
        <w:rPr>
          <w:lang w:val="es-MX"/>
        </w:rPr>
      </w:pPr>
    </w:p>
    <w:p w:rsidR="00E80A82" w:rsidRPr="00E94BF3" w:rsidRDefault="00E80A82" w:rsidP="00B20A2A">
      <w:pPr>
        <w:rPr>
          <w:lang w:val="es-MX"/>
        </w:rPr>
      </w:pPr>
    </w:p>
    <w:p w:rsidR="00B20A2A" w:rsidRPr="00E94BF3" w:rsidRDefault="00B20A2A" w:rsidP="00B20A2A">
      <w:pPr>
        <w:rPr>
          <w:lang w:val="es-MX"/>
        </w:rPr>
      </w:pPr>
    </w:p>
    <w:p w:rsidR="00B20A2A" w:rsidRPr="00E94BF3" w:rsidRDefault="00B20A2A" w:rsidP="00B20A2A">
      <w:pPr>
        <w:ind w:firstLine="720"/>
        <w:rPr>
          <w:lang w:val="es-MX"/>
        </w:rPr>
      </w:pPr>
      <w:r w:rsidRPr="00E94BF3">
        <w:rPr>
          <w:lang w:val="es-MX"/>
        </w:rPr>
        <w:t xml:space="preserve">Este documento consta de los comentarios y la recomendación de la Secretaría de la siguiente propuesta de proyecto: </w:t>
      </w:r>
    </w:p>
    <w:p w:rsidR="00B20A2A" w:rsidRPr="00E94BF3" w:rsidRDefault="00B20A2A" w:rsidP="00B20A2A">
      <w:pPr>
        <w:rPr>
          <w:lang w:val="es-MX"/>
        </w:rPr>
      </w:pPr>
    </w:p>
    <w:p w:rsidR="00B20A2A" w:rsidRPr="00E94BF3" w:rsidRDefault="00B20A2A" w:rsidP="00B20A2A">
      <w:pPr>
        <w:rPr>
          <w:u w:val="single"/>
          <w:lang w:val="es-MX"/>
        </w:rPr>
      </w:pPr>
      <w:r w:rsidRPr="00E94BF3">
        <w:rPr>
          <w:u w:val="single"/>
          <w:lang w:val="es-MX"/>
        </w:rPr>
        <w:t>Eliminación</w:t>
      </w:r>
    </w:p>
    <w:p w:rsidR="00B20A2A" w:rsidRPr="00E94BF3" w:rsidRDefault="00B20A2A" w:rsidP="00B20A2A">
      <w:pPr>
        <w:rPr>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B20A2A" w:rsidRPr="00E94BF3" w:rsidTr="00C66FA4">
        <w:tc>
          <w:tcPr>
            <w:tcW w:w="6941" w:type="dxa"/>
          </w:tcPr>
          <w:p w:rsidR="00B20A2A" w:rsidRPr="00E94BF3" w:rsidRDefault="00B20A2A" w:rsidP="00C66FA4">
            <w:pPr>
              <w:pStyle w:val="ListParagraph"/>
              <w:numPr>
                <w:ilvl w:val="0"/>
                <w:numId w:val="21"/>
              </w:numPr>
              <w:ind w:hanging="830"/>
              <w:rPr>
                <w:lang w:val="es-MX"/>
              </w:rPr>
            </w:pPr>
            <w:r w:rsidRPr="00E94BF3">
              <w:rPr>
                <w:lang w:val="es-MX"/>
              </w:rPr>
              <w:t>Plan de gestión de eliminación de HCFC (etapa I, cuarto tramo)</w:t>
            </w:r>
          </w:p>
        </w:tc>
        <w:tc>
          <w:tcPr>
            <w:tcW w:w="2409" w:type="dxa"/>
          </w:tcPr>
          <w:p w:rsidR="00B20A2A" w:rsidRPr="00E94BF3" w:rsidRDefault="00B20A2A" w:rsidP="00C66FA4">
            <w:pPr>
              <w:jc w:val="right"/>
              <w:rPr>
                <w:lang w:val="es-MX"/>
              </w:rPr>
            </w:pPr>
            <w:r w:rsidRPr="00E94BF3">
              <w:rPr>
                <w:lang w:val="es-MX"/>
              </w:rPr>
              <w:t>PNUMA y ONUDI</w:t>
            </w:r>
          </w:p>
        </w:tc>
      </w:tr>
    </w:tbl>
    <w:p w:rsidR="00B20A2A" w:rsidRPr="00E94BF3" w:rsidRDefault="00B20A2A" w:rsidP="00B20A2A">
      <w:pPr>
        <w:rPr>
          <w:lang w:val="es-MX"/>
        </w:rPr>
      </w:pPr>
    </w:p>
    <w:p w:rsidR="00B20A2A" w:rsidRPr="00E94BF3" w:rsidRDefault="00B20A2A" w:rsidP="00B20A2A">
      <w:pPr>
        <w:rPr>
          <w:lang w:val="es-MX"/>
        </w:rPr>
      </w:pPr>
    </w:p>
    <w:p w:rsidR="00B20A2A" w:rsidRPr="00E94BF3" w:rsidRDefault="00B20A2A" w:rsidP="00B20A2A">
      <w:pPr>
        <w:rPr>
          <w:lang w:val="es-MX"/>
        </w:rPr>
      </w:pPr>
    </w:p>
    <w:p w:rsidR="00B20A2A" w:rsidRPr="00E94BF3" w:rsidRDefault="00B20A2A" w:rsidP="00B20A2A">
      <w:pPr>
        <w:rPr>
          <w:lang w:val="es-MX"/>
        </w:rPr>
      </w:pPr>
      <w:r w:rsidRPr="00E94BF3">
        <w:rPr>
          <w:lang w:val="es-MX"/>
        </w:rPr>
        <w:br w:type="page"/>
      </w:r>
    </w:p>
    <w:p w:rsidR="00B20A2A" w:rsidRPr="00E94BF3" w:rsidRDefault="00B20A2A" w:rsidP="00B20A2A">
      <w:pPr>
        <w:jc w:val="center"/>
        <w:rPr>
          <w:b/>
          <w:lang w:val="es-MX"/>
        </w:rPr>
      </w:pPr>
      <w:r w:rsidRPr="00E94BF3">
        <w:rPr>
          <w:b/>
          <w:lang w:val="es-MX"/>
        </w:rPr>
        <w:lastRenderedPageBreak/>
        <w:t>HOJA DE EVALUACIÓN DE PROYECTO – PROYECTOS PLURIANUALES</w:t>
      </w:r>
    </w:p>
    <w:p w:rsidR="00B20A2A" w:rsidRPr="00E94BF3" w:rsidRDefault="00B20A2A" w:rsidP="00B20A2A">
      <w:pPr>
        <w:spacing w:after="80"/>
        <w:jc w:val="center"/>
        <w:rPr>
          <w:b/>
          <w:lang w:val="es-MX"/>
        </w:rPr>
      </w:pPr>
      <w:r w:rsidRPr="00E94BF3">
        <w:rPr>
          <w:b/>
          <w:lang w:val="es-MX"/>
        </w:rPr>
        <w:t>Congo (el)</w:t>
      </w: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972"/>
        <w:gridCol w:w="2026"/>
        <w:gridCol w:w="2501"/>
        <w:gridCol w:w="2501"/>
      </w:tblGrid>
      <w:tr w:rsidR="00B20A2A" w:rsidRPr="00E94BF3" w:rsidTr="002458C6">
        <w:trPr>
          <w:trHeight w:val="240"/>
        </w:trPr>
        <w:tc>
          <w:tcPr>
            <w:tcW w:w="2972" w:type="dxa"/>
            <w:shd w:val="clear" w:color="auto" w:fill="auto"/>
          </w:tcPr>
          <w:p w:rsidR="00B20A2A" w:rsidRPr="00E94BF3" w:rsidRDefault="00B20A2A" w:rsidP="00C66FA4">
            <w:pPr>
              <w:spacing w:after="80"/>
              <w:jc w:val="left"/>
              <w:rPr>
                <w:b/>
                <w:sz w:val="18"/>
                <w:lang w:val="es-MX"/>
              </w:rPr>
            </w:pPr>
            <w:r w:rsidRPr="00E94BF3">
              <w:rPr>
                <w:b/>
                <w:sz w:val="18"/>
                <w:lang w:val="es-MX"/>
              </w:rPr>
              <w:t>I) TÍTULO DEL PROYECTO</w:t>
            </w:r>
          </w:p>
        </w:tc>
        <w:tc>
          <w:tcPr>
            <w:tcW w:w="2026" w:type="dxa"/>
            <w:shd w:val="clear" w:color="auto" w:fill="auto"/>
          </w:tcPr>
          <w:p w:rsidR="00B20A2A" w:rsidRPr="00E94BF3" w:rsidRDefault="00B20A2A" w:rsidP="00C66FA4">
            <w:pPr>
              <w:spacing w:after="80"/>
              <w:jc w:val="center"/>
              <w:rPr>
                <w:b/>
                <w:sz w:val="18"/>
                <w:lang w:val="es-MX"/>
              </w:rPr>
            </w:pPr>
            <w:r w:rsidRPr="00E94BF3">
              <w:rPr>
                <w:b/>
                <w:sz w:val="18"/>
                <w:lang w:val="es-MX"/>
              </w:rPr>
              <w:t>ORGANISMO</w:t>
            </w:r>
          </w:p>
        </w:tc>
        <w:tc>
          <w:tcPr>
            <w:tcW w:w="2501" w:type="dxa"/>
            <w:shd w:val="clear" w:color="auto" w:fill="auto"/>
          </w:tcPr>
          <w:p w:rsidR="00B20A2A" w:rsidRPr="00E94BF3" w:rsidRDefault="00B20A2A" w:rsidP="00C66FA4">
            <w:pPr>
              <w:spacing w:after="80"/>
              <w:jc w:val="center"/>
              <w:rPr>
                <w:b/>
                <w:sz w:val="18"/>
                <w:lang w:val="es-MX"/>
              </w:rPr>
            </w:pPr>
            <w:r w:rsidRPr="00E94BF3">
              <w:rPr>
                <w:b/>
                <w:sz w:val="18"/>
                <w:lang w:val="es-MX"/>
              </w:rPr>
              <w:t>REUNIÓN EN QUE SE APROBÓ</w:t>
            </w:r>
          </w:p>
        </w:tc>
        <w:tc>
          <w:tcPr>
            <w:tcW w:w="2501" w:type="dxa"/>
            <w:shd w:val="clear" w:color="auto" w:fill="auto"/>
          </w:tcPr>
          <w:p w:rsidR="00B20A2A" w:rsidRPr="00E94BF3" w:rsidRDefault="00B20A2A" w:rsidP="00C66FA4">
            <w:pPr>
              <w:spacing w:after="80"/>
              <w:jc w:val="center"/>
              <w:rPr>
                <w:b/>
                <w:sz w:val="18"/>
                <w:lang w:val="es-MX"/>
              </w:rPr>
            </w:pPr>
            <w:r w:rsidRPr="00E94BF3">
              <w:rPr>
                <w:b/>
                <w:sz w:val="18"/>
                <w:lang w:val="es-MX"/>
              </w:rPr>
              <w:t>MEDIDA DE CONTROL</w:t>
            </w:r>
          </w:p>
        </w:tc>
      </w:tr>
      <w:tr w:rsidR="00B20A2A" w:rsidRPr="00E94BF3" w:rsidTr="002458C6">
        <w:trPr>
          <w:trHeight w:val="240"/>
        </w:trPr>
        <w:tc>
          <w:tcPr>
            <w:tcW w:w="2972" w:type="dxa"/>
            <w:shd w:val="clear" w:color="auto" w:fill="auto"/>
          </w:tcPr>
          <w:p w:rsidR="00B20A2A" w:rsidRPr="00E94BF3" w:rsidRDefault="00B20A2A" w:rsidP="00C66FA4">
            <w:pPr>
              <w:spacing w:after="80"/>
              <w:jc w:val="center"/>
              <w:rPr>
                <w:sz w:val="18"/>
                <w:lang w:val="es-MX"/>
              </w:rPr>
            </w:pPr>
            <w:r w:rsidRPr="00E94BF3">
              <w:rPr>
                <w:sz w:val="18"/>
                <w:lang w:val="es-MX"/>
              </w:rPr>
              <w:t>Plan de gestión de la eliminación de los HCFC (etapa I)</w:t>
            </w:r>
          </w:p>
        </w:tc>
        <w:tc>
          <w:tcPr>
            <w:tcW w:w="2026" w:type="dxa"/>
            <w:shd w:val="clear" w:color="auto" w:fill="auto"/>
          </w:tcPr>
          <w:p w:rsidR="00B20A2A" w:rsidRPr="00E94BF3" w:rsidRDefault="00B20A2A" w:rsidP="00C66FA4">
            <w:pPr>
              <w:spacing w:after="80"/>
              <w:jc w:val="center"/>
              <w:rPr>
                <w:sz w:val="18"/>
                <w:lang w:val="es-MX"/>
              </w:rPr>
            </w:pPr>
            <w:r w:rsidRPr="00E94BF3">
              <w:rPr>
                <w:sz w:val="18"/>
                <w:lang w:val="es-MX"/>
              </w:rPr>
              <w:t>PNUMA (principal), ONUDI</w:t>
            </w:r>
          </w:p>
        </w:tc>
        <w:tc>
          <w:tcPr>
            <w:tcW w:w="2501" w:type="dxa"/>
            <w:shd w:val="clear" w:color="auto" w:fill="auto"/>
          </w:tcPr>
          <w:p w:rsidR="00B20A2A" w:rsidRPr="00E94BF3" w:rsidRDefault="00B20A2A" w:rsidP="00C66FA4">
            <w:pPr>
              <w:spacing w:after="80"/>
              <w:jc w:val="center"/>
              <w:rPr>
                <w:sz w:val="18"/>
                <w:lang w:val="es-MX"/>
              </w:rPr>
            </w:pPr>
            <w:r w:rsidRPr="00E94BF3">
              <w:rPr>
                <w:sz w:val="18"/>
                <w:lang w:val="es-MX"/>
              </w:rPr>
              <w:t>63ª</w:t>
            </w:r>
          </w:p>
        </w:tc>
        <w:tc>
          <w:tcPr>
            <w:tcW w:w="2501" w:type="dxa"/>
            <w:shd w:val="clear" w:color="auto" w:fill="auto"/>
          </w:tcPr>
          <w:p w:rsidR="00B20A2A" w:rsidRPr="00E94BF3" w:rsidRDefault="00B20A2A" w:rsidP="00C66FA4">
            <w:pPr>
              <w:spacing w:after="80"/>
              <w:jc w:val="center"/>
              <w:rPr>
                <w:sz w:val="18"/>
                <w:lang w:val="es-MX"/>
              </w:rPr>
            </w:pPr>
            <w:r w:rsidRPr="00E94BF3">
              <w:rPr>
                <w:sz w:val="18"/>
                <w:lang w:val="es-MX"/>
              </w:rPr>
              <w:t>35% en 2020</w:t>
            </w:r>
          </w:p>
        </w:tc>
      </w:tr>
    </w:tbl>
    <w:p w:rsidR="00B20A2A" w:rsidRPr="00E94BF3" w:rsidRDefault="00B20A2A" w:rsidP="00B20A2A">
      <w:pPr>
        <w:spacing w:after="60"/>
        <w:jc w:val="center"/>
        <w:rPr>
          <w:lang w:val="es-MX"/>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B20A2A" w:rsidRPr="00E94BF3" w:rsidTr="00C66FA4">
        <w:trPr>
          <w:trHeight w:val="240"/>
        </w:trPr>
        <w:tc>
          <w:tcPr>
            <w:tcW w:w="5200" w:type="dxa"/>
            <w:shd w:val="clear" w:color="auto" w:fill="auto"/>
          </w:tcPr>
          <w:p w:rsidR="00B20A2A" w:rsidRPr="00E94BF3" w:rsidRDefault="00B20A2A" w:rsidP="00C66FA4">
            <w:pPr>
              <w:spacing w:after="60"/>
              <w:jc w:val="left"/>
              <w:rPr>
                <w:b/>
                <w:sz w:val="18"/>
                <w:lang w:val="es-MX"/>
              </w:rPr>
            </w:pPr>
            <w:r w:rsidRPr="00E94BF3">
              <w:rPr>
                <w:b/>
                <w:sz w:val="18"/>
                <w:lang w:val="es-MX"/>
              </w:rPr>
              <w:t>II) DATOS MÁS RECIENTES CON ARREGLO AL ARTÍCULO 7 (Grupo I del anexo C)</w:t>
            </w:r>
          </w:p>
        </w:tc>
        <w:tc>
          <w:tcPr>
            <w:tcW w:w="2400" w:type="dxa"/>
            <w:shd w:val="clear" w:color="auto" w:fill="auto"/>
          </w:tcPr>
          <w:p w:rsidR="00B20A2A" w:rsidRPr="00E94BF3" w:rsidRDefault="00B20A2A" w:rsidP="00C66FA4">
            <w:pPr>
              <w:spacing w:after="60"/>
              <w:jc w:val="center"/>
              <w:rPr>
                <w:sz w:val="18"/>
                <w:lang w:val="es-MX"/>
              </w:rPr>
            </w:pPr>
            <w:r w:rsidRPr="00E94BF3">
              <w:rPr>
                <w:sz w:val="18"/>
                <w:lang w:val="es-MX"/>
              </w:rPr>
              <w:t>Año: 2018</w:t>
            </w:r>
          </w:p>
        </w:tc>
        <w:tc>
          <w:tcPr>
            <w:tcW w:w="2400" w:type="dxa"/>
            <w:shd w:val="clear" w:color="auto" w:fill="auto"/>
          </w:tcPr>
          <w:p w:rsidR="00B20A2A" w:rsidRPr="00E94BF3" w:rsidRDefault="00B20A2A" w:rsidP="00C66FA4">
            <w:pPr>
              <w:spacing w:after="60"/>
              <w:jc w:val="right"/>
              <w:rPr>
                <w:sz w:val="18"/>
                <w:lang w:val="es-MX"/>
              </w:rPr>
            </w:pPr>
            <w:r w:rsidRPr="00E94BF3">
              <w:rPr>
                <w:sz w:val="18"/>
                <w:lang w:val="es-MX"/>
              </w:rPr>
              <w:t>7.13 (toneladas PAO)</w:t>
            </w:r>
          </w:p>
        </w:tc>
      </w:tr>
    </w:tbl>
    <w:p w:rsidR="00B20A2A" w:rsidRPr="00E94BF3" w:rsidRDefault="00B20A2A" w:rsidP="002458C6">
      <w:pPr>
        <w:spacing w:line="60" w:lineRule="exact"/>
        <w:jc w:val="center"/>
        <w:rPr>
          <w:lang w:val="es-MX"/>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866"/>
        <w:gridCol w:w="1082"/>
        <w:gridCol w:w="1066"/>
        <w:gridCol w:w="1316"/>
        <w:gridCol w:w="996"/>
        <w:gridCol w:w="985"/>
        <w:gridCol w:w="600"/>
        <w:gridCol w:w="1103"/>
      </w:tblGrid>
      <w:tr w:rsidR="00B20A2A" w:rsidRPr="00E94BF3" w:rsidTr="00C66FA4">
        <w:trPr>
          <w:trHeight w:val="240"/>
        </w:trPr>
        <w:tc>
          <w:tcPr>
            <w:tcW w:w="0" w:type="auto"/>
            <w:gridSpan w:val="8"/>
            <w:shd w:val="clear" w:color="auto" w:fill="auto"/>
          </w:tcPr>
          <w:p w:rsidR="00B20A2A" w:rsidRPr="00E94BF3" w:rsidRDefault="00B20A2A" w:rsidP="00C66FA4">
            <w:pPr>
              <w:spacing w:after="60"/>
              <w:jc w:val="left"/>
              <w:rPr>
                <w:b/>
                <w:sz w:val="18"/>
                <w:lang w:val="es-MX"/>
              </w:rPr>
            </w:pPr>
            <w:r w:rsidRPr="00E94BF3">
              <w:rPr>
                <w:b/>
                <w:sz w:val="18"/>
                <w:lang w:val="es-MX"/>
              </w:rPr>
              <w:t>III) DATOS SECTORIALES MÁS RECIENTES DEL PROGRAMA DE PAÍS (toneladas PAO)</w:t>
            </w:r>
          </w:p>
        </w:tc>
        <w:tc>
          <w:tcPr>
            <w:tcW w:w="0" w:type="auto"/>
            <w:gridSpan w:val="2"/>
            <w:shd w:val="clear" w:color="auto" w:fill="auto"/>
          </w:tcPr>
          <w:p w:rsidR="00B20A2A" w:rsidRPr="00E94BF3" w:rsidRDefault="00B20A2A" w:rsidP="00C66FA4">
            <w:pPr>
              <w:spacing w:after="60"/>
              <w:jc w:val="right"/>
              <w:rPr>
                <w:b/>
                <w:sz w:val="18"/>
                <w:lang w:val="es-MX"/>
              </w:rPr>
            </w:pPr>
            <w:r w:rsidRPr="00E94BF3">
              <w:rPr>
                <w:b/>
                <w:sz w:val="18"/>
                <w:lang w:val="es-MX"/>
              </w:rPr>
              <w:t>Año: 2018</w:t>
            </w:r>
          </w:p>
        </w:tc>
      </w:tr>
      <w:tr w:rsidR="00B20A2A" w:rsidRPr="00E94BF3" w:rsidTr="00C66FA4">
        <w:trPr>
          <w:trHeight w:val="240"/>
        </w:trPr>
        <w:tc>
          <w:tcPr>
            <w:tcW w:w="0" w:type="auto"/>
            <w:shd w:val="clear" w:color="auto" w:fill="auto"/>
          </w:tcPr>
          <w:p w:rsidR="00B20A2A" w:rsidRPr="00E94BF3" w:rsidRDefault="00B20A2A" w:rsidP="00C66FA4">
            <w:pPr>
              <w:spacing w:after="60"/>
              <w:jc w:val="center"/>
              <w:rPr>
                <w:sz w:val="18"/>
                <w:lang w:val="es-MX"/>
              </w:rPr>
            </w:pPr>
            <w:r w:rsidRPr="00E94BF3">
              <w:rPr>
                <w:sz w:val="18"/>
                <w:lang w:val="es-MX"/>
              </w:rPr>
              <w:t>Sustancia química</w:t>
            </w:r>
          </w:p>
        </w:tc>
        <w:tc>
          <w:tcPr>
            <w:tcW w:w="0" w:type="auto"/>
            <w:shd w:val="clear" w:color="auto" w:fill="auto"/>
          </w:tcPr>
          <w:p w:rsidR="00B20A2A" w:rsidRPr="00E94BF3" w:rsidRDefault="00B20A2A" w:rsidP="00C66FA4">
            <w:pPr>
              <w:spacing w:after="60"/>
              <w:jc w:val="center"/>
              <w:rPr>
                <w:sz w:val="18"/>
                <w:lang w:val="es-MX"/>
              </w:rPr>
            </w:pPr>
            <w:r w:rsidRPr="00E94BF3">
              <w:rPr>
                <w:sz w:val="18"/>
                <w:lang w:val="es-MX"/>
              </w:rPr>
              <w:t>Aerosol</w:t>
            </w:r>
          </w:p>
        </w:tc>
        <w:tc>
          <w:tcPr>
            <w:tcW w:w="0" w:type="auto"/>
            <w:shd w:val="clear" w:color="auto" w:fill="auto"/>
          </w:tcPr>
          <w:p w:rsidR="00B20A2A" w:rsidRPr="00E94BF3" w:rsidRDefault="00B20A2A" w:rsidP="00C66FA4">
            <w:pPr>
              <w:spacing w:after="60"/>
              <w:jc w:val="center"/>
              <w:rPr>
                <w:sz w:val="18"/>
                <w:lang w:val="es-MX"/>
              </w:rPr>
            </w:pPr>
            <w:r w:rsidRPr="00E94BF3">
              <w:rPr>
                <w:sz w:val="18"/>
                <w:lang w:val="es-MX"/>
              </w:rPr>
              <w:t>Espumas</w:t>
            </w:r>
          </w:p>
        </w:tc>
        <w:tc>
          <w:tcPr>
            <w:tcW w:w="0" w:type="auto"/>
            <w:shd w:val="clear" w:color="auto" w:fill="auto"/>
          </w:tcPr>
          <w:p w:rsidR="00B20A2A" w:rsidRPr="00E94BF3" w:rsidRDefault="00B20A2A" w:rsidP="00C66FA4">
            <w:pPr>
              <w:spacing w:after="60"/>
              <w:jc w:val="center"/>
              <w:rPr>
                <w:sz w:val="18"/>
                <w:lang w:val="es-MX"/>
              </w:rPr>
            </w:pPr>
            <w:r w:rsidRPr="00E94BF3">
              <w:rPr>
                <w:sz w:val="18"/>
                <w:lang w:val="es-MX"/>
              </w:rPr>
              <w:t>Lucha contra incendios</w:t>
            </w:r>
          </w:p>
        </w:tc>
        <w:tc>
          <w:tcPr>
            <w:tcW w:w="0" w:type="auto"/>
            <w:gridSpan w:val="2"/>
            <w:shd w:val="clear" w:color="auto" w:fill="auto"/>
          </w:tcPr>
          <w:p w:rsidR="00B20A2A" w:rsidRPr="00E94BF3" w:rsidRDefault="00B20A2A" w:rsidP="00C66FA4">
            <w:pPr>
              <w:spacing w:after="60"/>
              <w:jc w:val="center"/>
              <w:rPr>
                <w:sz w:val="18"/>
                <w:lang w:val="es-MX"/>
              </w:rPr>
            </w:pPr>
            <w:r w:rsidRPr="00E94BF3">
              <w:rPr>
                <w:sz w:val="18"/>
                <w:lang w:val="es-MX"/>
              </w:rPr>
              <w:t>Refrigeración</w:t>
            </w:r>
          </w:p>
        </w:tc>
        <w:tc>
          <w:tcPr>
            <w:tcW w:w="0" w:type="auto"/>
            <w:shd w:val="clear" w:color="auto" w:fill="auto"/>
          </w:tcPr>
          <w:p w:rsidR="00B20A2A" w:rsidRPr="00E94BF3" w:rsidRDefault="00B20A2A" w:rsidP="00C66FA4">
            <w:pPr>
              <w:spacing w:after="60"/>
              <w:jc w:val="center"/>
              <w:rPr>
                <w:sz w:val="18"/>
                <w:lang w:val="es-MX"/>
              </w:rPr>
            </w:pPr>
            <w:r w:rsidRPr="00E94BF3">
              <w:rPr>
                <w:sz w:val="18"/>
                <w:lang w:val="es-MX"/>
              </w:rPr>
              <w:t>Disolvente</w:t>
            </w:r>
          </w:p>
        </w:tc>
        <w:tc>
          <w:tcPr>
            <w:tcW w:w="0" w:type="auto"/>
            <w:shd w:val="clear" w:color="auto" w:fill="auto"/>
          </w:tcPr>
          <w:p w:rsidR="00B20A2A" w:rsidRPr="00E94BF3" w:rsidRDefault="00B20A2A" w:rsidP="00C66FA4">
            <w:pPr>
              <w:spacing w:after="60"/>
              <w:jc w:val="center"/>
              <w:rPr>
                <w:sz w:val="18"/>
                <w:lang w:val="es-MX"/>
              </w:rPr>
            </w:pPr>
            <w:r w:rsidRPr="00E94BF3">
              <w:rPr>
                <w:sz w:val="18"/>
                <w:lang w:val="es-MX"/>
              </w:rPr>
              <w:t>Agente de procesos</w:t>
            </w:r>
          </w:p>
        </w:tc>
        <w:tc>
          <w:tcPr>
            <w:tcW w:w="0" w:type="auto"/>
            <w:shd w:val="clear" w:color="auto" w:fill="auto"/>
          </w:tcPr>
          <w:p w:rsidR="00B20A2A" w:rsidRPr="00E94BF3" w:rsidRDefault="00B20A2A" w:rsidP="00C66FA4">
            <w:pPr>
              <w:spacing w:after="60"/>
              <w:jc w:val="center"/>
              <w:rPr>
                <w:sz w:val="18"/>
                <w:lang w:val="es-MX"/>
              </w:rPr>
            </w:pPr>
            <w:r w:rsidRPr="00E94BF3">
              <w:rPr>
                <w:sz w:val="18"/>
                <w:lang w:val="es-MX"/>
              </w:rPr>
              <w:t>Uso en lab.</w:t>
            </w:r>
          </w:p>
        </w:tc>
        <w:tc>
          <w:tcPr>
            <w:tcW w:w="0" w:type="auto"/>
            <w:shd w:val="clear" w:color="auto" w:fill="auto"/>
          </w:tcPr>
          <w:p w:rsidR="00B20A2A" w:rsidRPr="00E94BF3" w:rsidRDefault="00B20A2A" w:rsidP="00C66FA4">
            <w:pPr>
              <w:spacing w:after="60"/>
              <w:jc w:val="center"/>
              <w:rPr>
                <w:sz w:val="18"/>
                <w:lang w:val="es-MX"/>
              </w:rPr>
            </w:pPr>
            <w:r w:rsidRPr="00E94BF3">
              <w:rPr>
                <w:sz w:val="18"/>
                <w:lang w:val="es-MX"/>
              </w:rPr>
              <w:t>Consumo total del sector</w:t>
            </w:r>
          </w:p>
        </w:tc>
      </w:tr>
      <w:tr w:rsidR="00B20A2A" w:rsidRPr="00E94BF3" w:rsidTr="00C66FA4">
        <w:trPr>
          <w:trHeight w:val="240"/>
        </w:trPr>
        <w:tc>
          <w:tcPr>
            <w:tcW w:w="0" w:type="auto"/>
            <w:gridSpan w:val="4"/>
            <w:shd w:val="clear" w:color="auto" w:fill="auto"/>
          </w:tcPr>
          <w:p w:rsidR="00B20A2A" w:rsidRPr="00E94BF3" w:rsidRDefault="00B20A2A" w:rsidP="00C66FA4">
            <w:pPr>
              <w:spacing w:after="60"/>
              <w:jc w:val="center"/>
              <w:rPr>
                <w:sz w:val="18"/>
                <w:lang w:val="es-MX"/>
              </w:rPr>
            </w:pPr>
            <w:r w:rsidRPr="00E94BF3">
              <w:rPr>
                <w:sz w:val="18"/>
                <w:lang w:val="es-MX"/>
              </w:rPr>
              <w:t xml:space="preserve"> </w:t>
            </w:r>
          </w:p>
        </w:tc>
        <w:tc>
          <w:tcPr>
            <w:tcW w:w="0" w:type="auto"/>
            <w:shd w:val="clear" w:color="auto" w:fill="auto"/>
          </w:tcPr>
          <w:p w:rsidR="00B20A2A" w:rsidRPr="00E94BF3" w:rsidRDefault="00B20A2A" w:rsidP="00C66FA4">
            <w:pPr>
              <w:spacing w:after="60"/>
              <w:jc w:val="center"/>
              <w:rPr>
                <w:sz w:val="18"/>
                <w:lang w:val="es-MX"/>
              </w:rPr>
            </w:pPr>
            <w:r w:rsidRPr="00E94BF3">
              <w:rPr>
                <w:sz w:val="18"/>
                <w:lang w:val="es-MX"/>
              </w:rPr>
              <w:t>Fabricación</w:t>
            </w:r>
          </w:p>
        </w:tc>
        <w:tc>
          <w:tcPr>
            <w:tcW w:w="0" w:type="auto"/>
            <w:shd w:val="clear" w:color="auto" w:fill="auto"/>
          </w:tcPr>
          <w:p w:rsidR="00B20A2A" w:rsidRPr="00E94BF3" w:rsidRDefault="00B20A2A" w:rsidP="00C66FA4">
            <w:pPr>
              <w:spacing w:after="60"/>
              <w:jc w:val="center"/>
              <w:rPr>
                <w:sz w:val="18"/>
                <w:lang w:val="es-MX"/>
              </w:rPr>
            </w:pPr>
            <w:r w:rsidRPr="00E94BF3">
              <w:rPr>
                <w:sz w:val="18"/>
                <w:lang w:val="es-MX"/>
              </w:rPr>
              <w:t>Mantenimiento</w:t>
            </w:r>
          </w:p>
        </w:tc>
        <w:tc>
          <w:tcPr>
            <w:tcW w:w="0" w:type="auto"/>
            <w:gridSpan w:val="4"/>
            <w:shd w:val="clear" w:color="auto" w:fill="auto"/>
          </w:tcPr>
          <w:p w:rsidR="00B20A2A" w:rsidRPr="00E94BF3" w:rsidRDefault="00B20A2A" w:rsidP="00C66FA4">
            <w:pPr>
              <w:spacing w:after="60"/>
              <w:jc w:val="center"/>
              <w:rPr>
                <w:sz w:val="18"/>
                <w:lang w:val="es-MX"/>
              </w:rPr>
            </w:pPr>
          </w:p>
        </w:tc>
      </w:tr>
      <w:tr w:rsidR="00B20A2A" w:rsidRPr="00E94BF3" w:rsidTr="00C66FA4">
        <w:trPr>
          <w:trHeight w:val="240"/>
        </w:trPr>
        <w:tc>
          <w:tcPr>
            <w:tcW w:w="1200" w:type="dxa"/>
            <w:shd w:val="clear" w:color="auto" w:fill="auto"/>
          </w:tcPr>
          <w:p w:rsidR="00B20A2A" w:rsidRPr="00E94BF3" w:rsidRDefault="00B20A2A" w:rsidP="00C66FA4">
            <w:pPr>
              <w:spacing w:after="60"/>
              <w:jc w:val="left"/>
              <w:rPr>
                <w:sz w:val="18"/>
                <w:lang w:val="es-MX"/>
              </w:rPr>
            </w:pPr>
            <w:r w:rsidRPr="00E94BF3">
              <w:rPr>
                <w:sz w:val="18"/>
                <w:lang w:val="es-MX"/>
              </w:rPr>
              <w:t>HCFC-22</w:t>
            </w:r>
          </w:p>
        </w:tc>
        <w:tc>
          <w:tcPr>
            <w:tcW w:w="0" w:type="auto"/>
            <w:shd w:val="clear" w:color="auto" w:fill="auto"/>
          </w:tcPr>
          <w:p w:rsidR="00B20A2A" w:rsidRPr="00E94BF3" w:rsidRDefault="00B20A2A" w:rsidP="00C66FA4">
            <w:pPr>
              <w:spacing w:after="60"/>
              <w:jc w:val="right"/>
              <w:rPr>
                <w:sz w:val="18"/>
                <w:lang w:val="es-MX"/>
              </w:rPr>
            </w:pPr>
          </w:p>
        </w:tc>
        <w:tc>
          <w:tcPr>
            <w:tcW w:w="0" w:type="auto"/>
            <w:shd w:val="clear" w:color="auto" w:fill="auto"/>
          </w:tcPr>
          <w:p w:rsidR="00B20A2A" w:rsidRPr="00E94BF3" w:rsidRDefault="00B20A2A" w:rsidP="00C66FA4">
            <w:pPr>
              <w:spacing w:after="60"/>
              <w:jc w:val="right"/>
              <w:rPr>
                <w:sz w:val="18"/>
                <w:lang w:val="es-MX"/>
              </w:rPr>
            </w:pPr>
          </w:p>
        </w:tc>
        <w:tc>
          <w:tcPr>
            <w:tcW w:w="0" w:type="auto"/>
            <w:shd w:val="clear" w:color="auto" w:fill="auto"/>
          </w:tcPr>
          <w:p w:rsidR="00B20A2A" w:rsidRPr="00E94BF3" w:rsidRDefault="00B20A2A" w:rsidP="00C66FA4">
            <w:pPr>
              <w:spacing w:after="60"/>
              <w:jc w:val="right"/>
              <w:rPr>
                <w:sz w:val="18"/>
                <w:lang w:val="es-MX"/>
              </w:rPr>
            </w:pPr>
          </w:p>
        </w:tc>
        <w:tc>
          <w:tcPr>
            <w:tcW w:w="0" w:type="auto"/>
            <w:shd w:val="clear" w:color="auto" w:fill="auto"/>
          </w:tcPr>
          <w:p w:rsidR="00B20A2A" w:rsidRPr="00E94BF3" w:rsidRDefault="00B20A2A" w:rsidP="00C66FA4">
            <w:pPr>
              <w:spacing w:after="60"/>
              <w:jc w:val="right"/>
              <w:rPr>
                <w:sz w:val="18"/>
                <w:lang w:val="es-MX"/>
              </w:rPr>
            </w:pP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7,13</w:t>
            </w:r>
          </w:p>
        </w:tc>
        <w:tc>
          <w:tcPr>
            <w:tcW w:w="0" w:type="auto"/>
            <w:shd w:val="clear" w:color="auto" w:fill="auto"/>
          </w:tcPr>
          <w:p w:rsidR="00B20A2A" w:rsidRPr="00E94BF3" w:rsidRDefault="00B20A2A" w:rsidP="00C66FA4">
            <w:pPr>
              <w:spacing w:after="60"/>
              <w:jc w:val="right"/>
              <w:rPr>
                <w:sz w:val="18"/>
                <w:lang w:val="es-MX"/>
              </w:rPr>
            </w:pPr>
          </w:p>
        </w:tc>
        <w:tc>
          <w:tcPr>
            <w:tcW w:w="0" w:type="auto"/>
            <w:shd w:val="clear" w:color="auto" w:fill="auto"/>
          </w:tcPr>
          <w:p w:rsidR="00B20A2A" w:rsidRPr="00E94BF3" w:rsidRDefault="00B20A2A" w:rsidP="00C66FA4">
            <w:pPr>
              <w:spacing w:after="60"/>
              <w:jc w:val="right"/>
              <w:rPr>
                <w:sz w:val="18"/>
                <w:lang w:val="es-MX"/>
              </w:rPr>
            </w:pPr>
          </w:p>
        </w:tc>
        <w:tc>
          <w:tcPr>
            <w:tcW w:w="0" w:type="auto"/>
            <w:shd w:val="clear" w:color="auto" w:fill="auto"/>
          </w:tcPr>
          <w:p w:rsidR="00B20A2A" w:rsidRPr="00E94BF3" w:rsidRDefault="00B20A2A" w:rsidP="00C66FA4">
            <w:pPr>
              <w:spacing w:after="60"/>
              <w:jc w:val="right"/>
              <w:rPr>
                <w:sz w:val="18"/>
                <w:lang w:val="es-MX"/>
              </w:rPr>
            </w:pP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7,13</w:t>
            </w:r>
          </w:p>
        </w:tc>
      </w:tr>
    </w:tbl>
    <w:p w:rsidR="00B20A2A" w:rsidRPr="00E94BF3" w:rsidRDefault="00B20A2A" w:rsidP="00B20A2A">
      <w:pPr>
        <w:spacing w:after="60"/>
        <w:jc w:val="center"/>
        <w:rPr>
          <w:lang w:val="es-MX"/>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06"/>
        <w:gridCol w:w="779"/>
        <w:gridCol w:w="5936"/>
        <w:gridCol w:w="779"/>
      </w:tblGrid>
      <w:tr w:rsidR="00B20A2A" w:rsidRPr="002458C6" w:rsidTr="00C66FA4">
        <w:trPr>
          <w:trHeight w:val="240"/>
        </w:trPr>
        <w:tc>
          <w:tcPr>
            <w:tcW w:w="0" w:type="auto"/>
            <w:gridSpan w:val="4"/>
            <w:shd w:val="clear" w:color="auto" w:fill="auto"/>
          </w:tcPr>
          <w:p w:rsidR="00B20A2A" w:rsidRPr="00E94BF3" w:rsidRDefault="00B20A2A" w:rsidP="00C66FA4">
            <w:pPr>
              <w:spacing w:after="60"/>
              <w:jc w:val="left"/>
              <w:rPr>
                <w:b/>
                <w:sz w:val="18"/>
                <w:lang w:val="es-MX"/>
              </w:rPr>
            </w:pPr>
            <w:r w:rsidRPr="00E94BF3">
              <w:rPr>
                <w:b/>
                <w:sz w:val="18"/>
                <w:lang w:val="es-MX"/>
              </w:rPr>
              <w:t>IV) DATOS SOBRE EL CONSUMO (toneladas PAO)</w:t>
            </w:r>
          </w:p>
        </w:tc>
      </w:tr>
      <w:tr w:rsidR="00B20A2A" w:rsidRPr="00E94BF3" w:rsidTr="00C66FA4">
        <w:trPr>
          <w:trHeight w:val="240"/>
        </w:trPr>
        <w:tc>
          <w:tcPr>
            <w:tcW w:w="0" w:type="auto"/>
            <w:shd w:val="clear" w:color="auto" w:fill="auto"/>
          </w:tcPr>
          <w:p w:rsidR="00B20A2A" w:rsidRPr="00E94BF3" w:rsidRDefault="00B20A2A" w:rsidP="00C66FA4">
            <w:pPr>
              <w:spacing w:after="60"/>
              <w:jc w:val="center"/>
              <w:rPr>
                <w:sz w:val="18"/>
                <w:lang w:val="es-MX"/>
              </w:rPr>
            </w:pPr>
            <w:r w:rsidRPr="00E94BF3">
              <w:rPr>
                <w:sz w:val="18"/>
                <w:lang w:val="es-MX"/>
              </w:rPr>
              <w:t>Nivel básico 2009-2010: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10,14</w:t>
            </w:r>
          </w:p>
        </w:tc>
        <w:tc>
          <w:tcPr>
            <w:tcW w:w="0" w:type="auto"/>
            <w:shd w:val="clear" w:color="auto" w:fill="auto"/>
          </w:tcPr>
          <w:p w:rsidR="00B20A2A" w:rsidRPr="00E94BF3" w:rsidRDefault="00B20A2A" w:rsidP="00C66FA4">
            <w:pPr>
              <w:spacing w:after="60"/>
              <w:jc w:val="center"/>
              <w:rPr>
                <w:sz w:val="18"/>
                <w:lang w:val="es-MX"/>
              </w:rPr>
            </w:pPr>
            <w:r w:rsidRPr="00E94BF3">
              <w:rPr>
                <w:sz w:val="18"/>
                <w:lang w:val="es-MX"/>
              </w:rPr>
              <w:t>Punto de partida para las reducciones acumulativas sostenidas:</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10,14</w:t>
            </w:r>
          </w:p>
        </w:tc>
      </w:tr>
      <w:tr w:rsidR="00B20A2A" w:rsidRPr="002458C6" w:rsidTr="00C66FA4">
        <w:trPr>
          <w:trHeight w:val="240"/>
        </w:trPr>
        <w:tc>
          <w:tcPr>
            <w:tcW w:w="0" w:type="auto"/>
            <w:gridSpan w:val="4"/>
            <w:shd w:val="clear" w:color="auto" w:fill="auto"/>
          </w:tcPr>
          <w:p w:rsidR="00B20A2A" w:rsidRPr="00E94BF3" w:rsidRDefault="00B20A2A" w:rsidP="00C66FA4">
            <w:pPr>
              <w:spacing w:after="60"/>
              <w:jc w:val="center"/>
              <w:rPr>
                <w:b/>
                <w:sz w:val="18"/>
                <w:lang w:val="es-MX"/>
              </w:rPr>
            </w:pPr>
            <w:r w:rsidRPr="00E94BF3">
              <w:rPr>
                <w:b/>
                <w:sz w:val="18"/>
                <w:lang w:val="es-MX"/>
              </w:rPr>
              <w:t>CONSUMO ADMISIBLE PARA LA FINANCIACIÓN (toneladas PAO)</w:t>
            </w:r>
          </w:p>
        </w:tc>
      </w:tr>
      <w:tr w:rsidR="00B20A2A" w:rsidRPr="00E94BF3" w:rsidTr="00C66FA4">
        <w:trPr>
          <w:trHeight w:val="240"/>
        </w:trPr>
        <w:tc>
          <w:tcPr>
            <w:tcW w:w="0" w:type="auto"/>
            <w:shd w:val="clear" w:color="auto" w:fill="auto"/>
          </w:tcPr>
          <w:p w:rsidR="00B20A2A" w:rsidRPr="00E94BF3" w:rsidRDefault="00B20A2A" w:rsidP="00C66FA4">
            <w:pPr>
              <w:spacing w:after="60"/>
              <w:jc w:val="center"/>
              <w:rPr>
                <w:sz w:val="18"/>
                <w:lang w:val="es-MX"/>
              </w:rPr>
            </w:pPr>
            <w:r w:rsidRPr="00E94BF3">
              <w:rPr>
                <w:sz w:val="18"/>
                <w:lang w:val="es-MX"/>
              </w:rPr>
              <w:t>Ya aprobado:</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3,55</w:t>
            </w:r>
          </w:p>
        </w:tc>
        <w:tc>
          <w:tcPr>
            <w:tcW w:w="0" w:type="auto"/>
            <w:shd w:val="clear" w:color="auto" w:fill="auto"/>
          </w:tcPr>
          <w:p w:rsidR="00B20A2A" w:rsidRPr="00E94BF3" w:rsidRDefault="00B20A2A" w:rsidP="00C66FA4">
            <w:pPr>
              <w:spacing w:after="60"/>
              <w:jc w:val="center"/>
              <w:rPr>
                <w:sz w:val="18"/>
                <w:lang w:val="es-MX"/>
              </w:rPr>
            </w:pPr>
            <w:r w:rsidRPr="00E94BF3">
              <w:rPr>
                <w:sz w:val="18"/>
                <w:lang w:val="es-MX"/>
              </w:rPr>
              <w:t>Restante:</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6,59</w:t>
            </w:r>
          </w:p>
        </w:tc>
      </w:tr>
    </w:tbl>
    <w:p w:rsidR="00B20A2A" w:rsidRPr="00E94BF3" w:rsidRDefault="00B20A2A" w:rsidP="00B20A2A">
      <w:pPr>
        <w:spacing w:after="60"/>
        <w:jc w:val="center"/>
        <w:rPr>
          <w:lang w:val="es-MX"/>
        </w:rPr>
      </w:pPr>
    </w:p>
    <w:tbl>
      <w:tblPr>
        <w:tblStyle w:val="TableGrid"/>
        <w:tblW w:w="1002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80"/>
        <w:gridCol w:w="4125"/>
        <w:gridCol w:w="1673"/>
        <w:gridCol w:w="1673"/>
        <w:gridCol w:w="1673"/>
      </w:tblGrid>
      <w:tr w:rsidR="00B20A2A" w:rsidRPr="00E94BF3" w:rsidTr="00C66FA4">
        <w:trPr>
          <w:trHeight w:val="219"/>
        </w:trPr>
        <w:tc>
          <w:tcPr>
            <w:tcW w:w="5005" w:type="dxa"/>
            <w:gridSpan w:val="2"/>
            <w:shd w:val="clear" w:color="auto" w:fill="auto"/>
          </w:tcPr>
          <w:p w:rsidR="00B20A2A" w:rsidRPr="00E94BF3" w:rsidRDefault="00B20A2A" w:rsidP="00C66FA4">
            <w:pPr>
              <w:spacing w:after="60"/>
              <w:jc w:val="left"/>
              <w:rPr>
                <w:b/>
                <w:sz w:val="18"/>
                <w:lang w:val="es-MX"/>
              </w:rPr>
            </w:pPr>
            <w:r w:rsidRPr="00E94BF3">
              <w:rPr>
                <w:b/>
                <w:sz w:val="18"/>
                <w:lang w:val="es-MX"/>
              </w:rPr>
              <w:t>V) PLAN ADMINISTRATIVO</w:t>
            </w:r>
          </w:p>
        </w:tc>
        <w:tc>
          <w:tcPr>
            <w:tcW w:w="1673" w:type="dxa"/>
            <w:shd w:val="clear" w:color="auto" w:fill="auto"/>
          </w:tcPr>
          <w:p w:rsidR="00B20A2A" w:rsidRPr="00E94BF3" w:rsidRDefault="00B20A2A" w:rsidP="00C66FA4">
            <w:pPr>
              <w:spacing w:after="60"/>
              <w:jc w:val="center"/>
              <w:rPr>
                <w:b/>
                <w:sz w:val="18"/>
                <w:lang w:val="es-MX"/>
              </w:rPr>
            </w:pPr>
            <w:r w:rsidRPr="00E94BF3">
              <w:rPr>
                <w:b/>
                <w:sz w:val="18"/>
                <w:lang w:val="es-MX"/>
              </w:rPr>
              <w:t>2019</w:t>
            </w:r>
          </w:p>
        </w:tc>
        <w:tc>
          <w:tcPr>
            <w:tcW w:w="1673" w:type="dxa"/>
            <w:shd w:val="clear" w:color="auto" w:fill="auto"/>
          </w:tcPr>
          <w:p w:rsidR="00B20A2A" w:rsidRPr="00E94BF3" w:rsidRDefault="00B20A2A" w:rsidP="00C66FA4">
            <w:pPr>
              <w:spacing w:after="60"/>
              <w:jc w:val="center"/>
              <w:rPr>
                <w:b/>
                <w:sz w:val="18"/>
                <w:lang w:val="es-MX"/>
              </w:rPr>
            </w:pPr>
            <w:r w:rsidRPr="00E94BF3">
              <w:rPr>
                <w:b/>
                <w:sz w:val="18"/>
                <w:lang w:val="es-MX"/>
              </w:rPr>
              <w:t>2020</w:t>
            </w:r>
          </w:p>
        </w:tc>
        <w:tc>
          <w:tcPr>
            <w:tcW w:w="1673" w:type="dxa"/>
            <w:shd w:val="clear" w:color="auto" w:fill="auto"/>
          </w:tcPr>
          <w:p w:rsidR="00B20A2A" w:rsidRPr="00E94BF3" w:rsidRDefault="00B20A2A" w:rsidP="00C66FA4">
            <w:pPr>
              <w:spacing w:after="60"/>
              <w:jc w:val="center"/>
              <w:rPr>
                <w:b/>
                <w:sz w:val="18"/>
                <w:lang w:val="es-MX"/>
              </w:rPr>
            </w:pPr>
            <w:r w:rsidRPr="00E94BF3">
              <w:rPr>
                <w:b/>
                <w:sz w:val="18"/>
                <w:lang w:val="es-MX"/>
              </w:rPr>
              <w:t>Total</w:t>
            </w:r>
          </w:p>
        </w:tc>
      </w:tr>
      <w:tr w:rsidR="00B20A2A" w:rsidRPr="00E94BF3" w:rsidTr="00C66FA4">
        <w:trPr>
          <w:trHeight w:val="219"/>
        </w:trPr>
        <w:tc>
          <w:tcPr>
            <w:tcW w:w="0" w:type="auto"/>
            <w:vMerge w:val="restart"/>
            <w:shd w:val="clear" w:color="auto" w:fill="auto"/>
          </w:tcPr>
          <w:p w:rsidR="00B20A2A" w:rsidRPr="00E94BF3" w:rsidRDefault="00B20A2A" w:rsidP="00C66FA4">
            <w:pPr>
              <w:spacing w:after="60"/>
              <w:jc w:val="center"/>
              <w:rPr>
                <w:sz w:val="18"/>
                <w:lang w:val="es-MX"/>
              </w:rPr>
            </w:pPr>
            <w:r w:rsidRPr="00E94BF3">
              <w:rPr>
                <w:sz w:val="18"/>
                <w:lang w:val="es-MX"/>
              </w:rPr>
              <w:t>PNUMA</w:t>
            </w:r>
          </w:p>
        </w:tc>
        <w:tc>
          <w:tcPr>
            <w:tcW w:w="4066" w:type="dxa"/>
            <w:shd w:val="clear" w:color="auto" w:fill="auto"/>
          </w:tcPr>
          <w:p w:rsidR="00B20A2A" w:rsidRPr="00E94BF3" w:rsidRDefault="00B20A2A" w:rsidP="00C66FA4">
            <w:pPr>
              <w:spacing w:after="60"/>
              <w:jc w:val="left"/>
              <w:rPr>
                <w:sz w:val="18"/>
                <w:lang w:val="es-MX"/>
              </w:rPr>
            </w:pPr>
            <w:r w:rsidRPr="00E94BF3">
              <w:rPr>
                <w:sz w:val="18"/>
                <w:lang w:val="es-MX"/>
              </w:rPr>
              <w:t>Eliminación de SAO (toneladas PAO)</w:t>
            </w:r>
          </w:p>
        </w:tc>
        <w:tc>
          <w:tcPr>
            <w:tcW w:w="1673" w:type="dxa"/>
            <w:shd w:val="clear" w:color="auto" w:fill="auto"/>
          </w:tcPr>
          <w:p w:rsidR="00B20A2A" w:rsidRPr="00E94BF3" w:rsidRDefault="00B20A2A" w:rsidP="00C66FA4">
            <w:pPr>
              <w:spacing w:after="60"/>
              <w:jc w:val="right"/>
              <w:rPr>
                <w:sz w:val="18"/>
                <w:lang w:val="es-MX"/>
              </w:rPr>
            </w:pPr>
            <w:r w:rsidRPr="00E94BF3">
              <w:rPr>
                <w:sz w:val="18"/>
                <w:lang w:val="es-MX"/>
              </w:rPr>
              <w:t>0,25</w:t>
            </w:r>
          </w:p>
        </w:tc>
        <w:tc>
          <w:tcPr>
            <w:tcW w:w="1673" w:type="dxa"/>
            <w:shd w:val="clear" w:color="auto" w:fill="auto"/>
          </w:tcPr>
          <w:p w:rsidR="00B20A2A" w:rsidRPr="00E94BF3" w:rsidRDefault="00B20A2A" w:rsidP="00C66FA4">
            <w:pPr>
              <w:spacing w:after="60"/>
              <w:jc w:val="right"/>
              <w:rPr>
                <w:sz w:val="18"/>
                <w:lang w:val="es-MX"/>
              </w:rPr>
            </w:pPr>
            <w:r w:rsidRPr="00E94BF3">
              <w:rPr>
                <w:sz w:val="18"/>
                <w:lang w:val="es-MX"/>
              </w:rPr>
              <w:t>0,36</w:t>
            </w:r>
          </w:p>
        </w:tc>
        <w:tc>
          <w:tcPr>
            <w:tcW w:w="1673" w:type="dxa"/>
            <w:shd w:val="clear" w:color="auto" w:fill="auto"/>
          </w:tcPr>
          <w:p w:rsidR="00B20A2A" w:rsidRPr="00E94BF3" w:rsidRDefault="00B20A2A" w:rsidP="00C66FA4">
            <w:pPr>
              <w:spacing w:after="60"/>
              <w:jc w:val="right"/>
              <w:rPr>
                <w:sz w:val="18"/>
                <w:lang w:val="es-MX"/>
              </w:rPr>
            </w:pPr>
            <w:r w:rsidRPr="00E94BF3">
              <w:rPr>
                <w:sz w:val="18"/>
                <w:lang w:val="es-MX"/>
              </w:rPr>
              <w:t>0,61</w:t>
            </w:r>
          </w:p>
        </w:tc>
      </w:tr>
      <w:tr w:rsidR="00B20A2A" w:rsidRPr="00E94BF3" w:rsidTr="00C66FA4">
        <w:trPr>
          <w:trHeight w:val="219"/>
        </w:trPr>
        <w:tc>
          <w:tcPr>
            <w:tcW w:w="0" w:type="auto"/>
            <w:vMerge/>
            <w:shd w:val="clear" w:color="auto" w:fill="auto"/>
          </w:tcPr>
          <w:p w:rsidR="00B20A2A" w:rsidRPr="00E94BF3" w:rsidRDefault="00B20A2A" w:rsidP="00C66FA4">
            <w:pPr>
              <w:spacing w:after="60"/>
              <w:jc w:val="center"/>
              <w:rPr>
                <w:sz w:val="18"/>
                <w:lang w:val="es-MX"/>
              </w:rPr>
            </w:pPr>
          </w:p>
        </w:tc>
        <w:tc>
          <w:tcPr>
            <w:tcW w:w="4066" w:type="dxa"/>
            <w:shd w:val="clear" w:color="auto" w:fill="auto"/>
          </w:tcPr>
          <w:p w:rsidR="00B20A2A" w:rsidRPr="00E94BF3" w:rsidRDefault="00B20A2A" w:rsidP="00C66FA4">
            <w:pPr>
              <w:spacing w:after="60"/>
              <w:jc w:val="left"/>
              <w:rPr>
                <w:sz w:val="18"/>
                <w:lang w:val="es-MX"/>
              </w:rPr>
            </w:pPr>
            <w:r w:rsidRPr="00E94BF3">
              <w:rPr>
                <w:sz w:val="18"/>
                <w:lang w:val="es-MX"/>
              </w:rPr>
              <w:t>Financiación ($EUA)</w:t>
            </w:r>
          </w:p>
        </w:tc>
        <w:tc>
          <w:tcPr>
            <w:tcW w:w="1673" w:type="dxa"/>
            <w:shd w:val="clear" w:color="auto" w:fill="auto"/>
          </w:tcPr>
          <w:p w:rsidR="00B20A2A" w:rsidRPr="00E94BF3" w:rsidRDefault="00B20A2A" w:rsidP="00C66FA4">
            <w:pPr>
              <w:spacing w:after="60"/>
              <w:jc w:val="right"/>
              <w:rPr>
                <w:sz w:val="18"/>
                <w:lang w:val="es-MX"/>
              </w:rPr>
            </w:pPr>
            <w:r w:rsidRPr="00E94BF3">
              <w:rPr>
                <w:sz w:val="18"/>
                <w:lang w:val="es-MX"/>
              </w:rPr>
              <w:t>28.250</w:t>
            </w:r>
          </w:p>
        </w:tc>
        <w:tc>
          <w:tcPr>
            <w:tcW w:w="1673" w:type="dxa"/>
            <w:shd w:val="clear" w:color="auto" w:fill="auto"/>
          </w:tcPr>
          <w:p w:rsidR="00B20A2A" w:rsidRPr="00E94BF3" w:rsidRDefault="00B20A2A" w:rsidP="00C66FA4">
            <w:pPr>
              <w:spacing w:after="60"/>
              <w:jc w:val="right"/>
              <w:rPr>
                <w:sz w:val="18"/>
                <w:lang w:val="es-MX"/>
              </w:rPr>
            </w:pPr>
            <w:r w:rsidRPr="00E94BF3">
              <w:rPr>
                <w:sz w:val="18"/>
                <w:lang w:val="es-MX"/>
              </w:rPr>
              <w:t>39.550</w:t>
            </w:r>
          </w:p>
        </w:tc>
        <w:tc>
          <w:tcPr>
            <w:tcW w:w="1673" w:type="dxa"/>
            <w:shd w:val="clear" w:color="auto" w:fill="auto"/>
          </w:tcPr>
          <w:p w:rsidR="00B20A2A" w:rsidRPr="00E94BF3" w:rsidRDefault="00B20A2A" w:rsidP="00C66FA4">
            <w:pPr>
              <w:spacing w:after="60"/>
              <w:jc w:val="right"/>
              <w:rPr>
                <w:sz w:val="18"/>
                <w:lang w:val="es-MX"/>
              </w:rPr>
            </w:pPr>
            <w:r w:rsidRPr="00E94BF3">
              <w:rPr>
                <w:sz w:val="18"/>
                <w:lang w:val="es-MX"/>
              </w:rPr>
              <w:t>67.800</w:t>
            </w:r>
          </w:p>
        </w:tc>
      </w:tr>
    </w:tbl>
    <w:p w:rsidR="00B20A2A" w:rsidRPr="00E94BF3" w:rsidRDefault="00B20A2A" w:rsidP="00B20A2A">
      <w:pPr>
        <w:spacing w:after="60"/>
        <w:jc w:val="center"/>
        <w:rPr>
          <w:lang w:val="es-MX"/>
        </w:rPr>
      </w:pPr>
    </w:p>
    <w:tbl>
      <w:tblPr>
        <w:tblStyle w:val="TableGrid"/>
        <w:tblW w:w="1003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146"/>
        <w:gridCol w:w="867"/>
        <w:gridCol w:w="925"/>
        <w:gridCol w:w="801"/>
        <w:gridCol w:w="711"/>
        <w:gridCol w:w="621"/>
        <w:gridCol w:w="653"/>
        <w:gridCol w:w="801"/>
        <w:gridCol w:w="576"/>
        <w:gridCol w:w="711"/>
        <w:gridCol w:w="711"/>
        <w:gridCol w:w="711"/>
        <w:gridCol w:w="801"/>
      </w:tblGrid>
      <w:tr w:rsidR="00B20A2A" w:rsidRPr="00E94BF3" w:rsidTr="00C66FA4">
        <w:trPr>
          <w:trHeight w:val="258"/>
        </w:trPr>
        <w:tc>
          <w:tcPr>
            <w:tcW w:w="2725" w:type="dxa"/>
            <w:gridSpan w:val="3"/>
            <w:shd w:val="clear" w:color="auto" w:fill="auto"/>
          </w:tcPr>
          <w:p w:rsidR="00B20A2A" w:rsidRPr="00E94BF3" w:rsidRDefault="00B20A2A" w:rsidP="00C66FA4">
            <w:pPr>
              <w:spacing w:after="60"/>
              <w:jc w:val="left"/>
              <w:rPr>
                <w:b/>
                <w:sz w:val="18"/>
                <w:lang w:val="es-MX"/>
              </w:rPr>
            </w:pPr>
            <w:r w:rsidRPr="00E94BF3">
              <w:rPr>
                <w:b/>
                <w:sz w:val="18"/>
                <w:lang w:val="es-MX"/>
              </w:rPr>
              <w:t>VI) DATOS DEL PROYECTO</w:t>
            </w:r>
          </w:p>
        </w:tc>
        <w:tc>
          <w:tcPr>
            <w:tcW w:w="801" w:type="dxa"/>
          </w:tcPr>
          <w:p w:rsidR="00B20A2A" w:rsidRPr="00E94BF3" w:rsidRDefault="00B20A2A" w:rsidP="00C66FA4">
            <w:pPr>
              <w:spacing w:after="60"/>
              <w:jc w:val="center"/>
              <w:rPr>
                <w:b/>
                <w:sz w:val="18"/>
                <w:lang w:val="es-MX"/>
              </w:rPr>
            </w:pPr>
            <w:r w:rsidRPr="00E94BF3">
              <w:rPr>
                <w:b/>
                <w:sz w:val="18"/>
                <w:lang w:val="es-MX"/>
              </w:rPr>
              <w:t>2011</w:t>
            </w:r>
          </w:p>
        </w:tc>
        <w:tc>
          <w:tcPr>
            <w:tcW w:w="711" w:type="dxa"/>
            <w:shd w:val="clear" w:color="auto" w:fill="auto"/>
          </w:tcPr>
          <w:p w:rsidR="00B20A2A" w:rsidRPr="00E94BF3" w:rsidRDefault="00B20A2A" w:rsidP="00C66FA4">
            <w:pPr>
              <w:spacing w:after="60"/>
              <w:jc w:val="center"/>
              <w:rPr>
                <w:b/>
                <w:sz w:val="18"/>
                <w:lang w:val="es-MX"/>
              </w:rPr>
            </w:pPr>
            <w:r w:rsidRPr="00E94BF3">
              <w:rPr>
                <w:b/>
                <w:sz w:val="18"/>
                <w:lang w:val="es-MX"/>
              </w:rPr>
              <w:t>2013</w:t>
            </w:r>
          </w:p>
        </w:tc>
        <w:tc>
          <w:tcPr>
            <w:tcW w:w="621" w:type="dxa"/>
            <w:shd w:val="clear" w:color="auto" w:fill="auto"/>
          </w:tcPr>
          <w:p w:rsidR="00B20A2A" w:rsidRPr="00E94BF3" w:rsidRDefault="00B20A2A" w:rsidP="00C66FA4">
            <w:pPr>
              <w:spacing w:after="60"/>
              <w:jc w:val="center"/>
              <w:rPr>
                <w:b/>
                <w:sz w:val="18"/>
                <w:lang w:val="es-MX"/>
              </w:rPr>
            </w:pPr>
            <w:r w:rsidRPr="00E94BF3">
              <w:rPr>
                <w:b/>
                <w:sz w:val="18"/>
                <w:lang w:val="es-MX"/>
              </w:rPr>
              <w:t>2014</w:t>
            </w:r>
          </w:p>
        </w:tc>
        <w:tc>
          <w:tcPr>
            <w:tcW w:w="866" w:type="dxa"/>
            <w:shd w:val="clear" w:color="auto" w:fill="auto"/>
          </w:tcPr>
          <w:p w:rsidR="00B20A2A" w:rsidRPr="00E94BF3" w:rsidRDefault="00B20A2A" w:rsidP="00C66FA4">
            <w:pPr>
              <w:spacing w:after="60"/>
              <w:jc w:val="center"/>
              <w:rPr>
                <w:b/>
                <w:sz w:val="18"/>
                <w:lang w:val="es-MX"/>
              </w:rPr>
            </w:pPr>
            <w:r w:rsidRPr="00E94BF3">
              <w:rPr>
                <w:b/>
                <w:sz w:val="18"/>
                <w:lang w:val="es-MX"/>
              </w:rPr>
              <w:t>2015</w:t>
            </w:r>
          </w:p>
        </w:tc>
        <w:tc>
          <w:tcPr>
            <w:tcW w:w="0" w:type="auto"/>
            <w:shd w:val="clear" w:color="auto" w:fill="auto"/>
          </w:tcPr>
          <w:p w:rsidR="00B20A2A" w:rsidRPr="00E94BF3" w:rsidRDefault="00B20A2A" w:rsidP="00C66FA4">
            <w:pPr>
              <w:spacing w:after="60"/>
              <w:jc w:val="center"/>
              <w:rPr>
                <w:b/>
                <w:sz w:val="18"/>
                <w:lang w:val="es-MX"/>
              </w:rPr>
            </w:pPr>
            <w:r w:rsidRPr="00E94BF3">
              <w:rPr>
                <w:b/>
                <w:sz w:val="18"/>
                <w:lang w:val="es-MX"/>
              </w:rPr>
              <w:t>2016</w:t>
            </w:r>
          </w:p>
        </w:tc>
        <w:tc>
          <w:tcPr>
            <w:tcW w:w="0" w:type="auto"/>
            <w:shd w:val="clear" w:color="auto" w:fill="auto"/>
          </w:tcPr>
          <w:p w:rsidR="00B20A2A" w:rsidRPr="00E94BF3" w:rsidRDefault="00B20A2A" w:rsidP="00C66FA4">
            <w:pPr>
              <w:spacing w:after="60"/>
              <w:jc w:val="center"/>
              <w:rPr>
                <w:b/>
                <w:sz w:val="18"/>
                <w:lang w:val="es-MX"/>
              </w:rPr>
            </w:pPr>
            <w:r w:rsidRPr="00E94BF3">
              <w:rPr>
                <w:b/>
                <w:sz w:val="18"/>
                <w:lang w:val="es-MX"/>
              </w:rPr>
              <w:t>2017</w:t>
            </w:r>
          </w:p>
        </w:tc>
        <w:tc>
          <w:tcPr>
            <w:tcW w:w="0" w:type="auto"/>
            <w:shd w:val="clear" w:color="auto" w:fill="auto"/>
          </w:tcPr>
          <w:p w:rsidR="00B20A2A" w:rsidRPr="00E94BF3" w:rsidRDefault="00B20A2A" w:rsidP="00C66FA4">
            <w:pPr>
              <w:spacing w:after="60"/>
              <w:jc w:val="center"/>
              <w:rPr>
                <w:b/>
                <w:sz w:val="18"/>
                <w:lang w:val="es-MX"/>
              </w:rPr>
            </w:pPr>
            <w:r w:rsidRPr="00E94BF3">
              <w:rPr>
                <w:b/>
                <w:sz w:val="18"/>
                <w:lang w:val="es-MX"/>
              </w:rPr>
              <w:t>2018</w:t>
            </w:r>
          </w:p>
        </w:tc>
        <w:tc>
          <w:tcPr>
            <w:tcW w:w="711" w:type="dxa"/>
            <w:shd w:val="clear" w:color="auto" w:fill="auto"/>
          </w:tcPr>
          <w:p w:rsidR="00B20A2A" w:rsidRPr="00E94BF3" w:rsidRDefault="00B20A2A" w:rsidP="00C66FA4">
            <w:pPr>
              <w:spacing w:after="60"/>
              <w:jc w:val="center"/>
              <w:rPr>
                <w:b/>
                <w:sz w:val="18"/>
                <w:lang w:val="es-MX"/>
              </w:rPr>
            </w:pPr>
            <w:r w:rsidRPr="00E94BF3">
              <w:rPr>
                <w:b/>
                <w:sz w:val="18"/>
                <w:lang w:val="es-MX"/>
              </w:rPr>
              <w:t>2019*</w:t>
            </w:r>
          </w:p>
        </w:tc>
        <w:tc>
          <w:tcPr>
            <w:tcW w:w="711" w:type="dxa"/>
            <w:shd w:val="clear" w:color="auto" w:fill="auto"/>
          </w:tcPr>
          <w:p w:rsidR="00B20A2A" w:rsidRPr="00E94BF3" w:rsidRDefault="00B20A2A" w:rsidP="00C66FA4">
            <w:pPr>
              <w:spacing w:after="60"/>
              <w:jc w:val="center"/>
              <w:rPr>
                <w:b/>
                <w:sz w:val="18"/>
                <w:lang w:val="es-MX"/>
              </w:rPr>
            </w:pPr>
            <w:r w:rsidRPr="00E94BF3">
              <w:rPr>
                <w:b/>
                <w:sz w:val="18"/>
                <w:lang w:val="es-MX"/>
              </w:rPr>
              <w:t>2020</w:t>
            </w:r>
          </w:p>
        </w:tc>
        <w:tc>
          <w:tcPr>
            <w:tcW w:w="0" w:type="auto"/>
            <w:shd w:val="clear" w:color="auto" w:fill="auto"/>
          </w:tcPr>
          <w:p w:rsidR="00B20A2A" w:rsidRPr="00E94BF3" w:rsidRDefault="00B20A2A" w:rsidP="00C66FA4">
            <w:pPr>
              <w:spacing w:after="60"/>
              <w:jc w:val="center"/>
              <w:rPr>
                <w:b/>
                <w:sz w:val="18"/>
                <w:lang w:val="es-MX"/>
              </w:rPr>
            </w:pPr>
            <w:r w:rsidRPr="00E94BF3">
              <w:rPr>
                <w:b/>
                <w:sz w:val="18"/>
                <w:lang w:val="es-MX"/>
              </w:rPr>
              <w:t>Total</w:t>
            </w:r>
          </w:p>
        </w:tc>
      </w:tr>
      <w:tr w:rsidR="00B20A2A" w:rsidRPr="00E94BF3" w:rsidTr="00C66FA4">
        <w:trPr>
          <w:trHeight w:val="258"/>
        </w:trPr>
        <w:tc>
          <w:tcPr>
            <w:tcW w:w="2725" w:type="dxa"/>
            <w:gridSpan w:val="3"/>
            <w:shd w:val="clear" w:color="auto" w:fill="auto"/>
          </w:tcPr>
          <w:p w:rsidR="00B20A2A" w:rsidRPr="00E94BF3" w:rsidRDefault="00B20A2A" w:rsidP="00C66FA4">
            <w:pPr>
              <w:spacing w:after="60"/>
              <w:jc w:val="left"/>
              <w:rPr>
                <w:sz w:val="18"/>
                <w:lang w:val="es-MX"/>
              </w:rPr>
            </w:pPr>
            <w:r w:rsidRPr="00E94BF3">
              <w:rPr>
                <w:sz w:val="18"/>
                <w:lang w:val="es-MX"/>
              </w:rPr>
              <w:t>Límites de consumo establecidos en el Protocolo de Montreal</w:t>
            </w:r>
          </w:p>
        </w:tc>
        <w:tc>
          <w:tcPr>
            <w:tcW w:w="801" w:type="dxa"/>
          </w:tcPr>
          <w:p w:rsidR="00B20A2A" w:rsidRPr="00E94BF3" w:rsidRDefault="00B20A2A" w:rsidP="00C66FA4">
            <w:pPr>
              <w:spacing w:after="60"/>
              <w:jc w:val="right"/>
              <w:rPr>
                <w:sz w:val="18"/>
                <w:lang w:val="es-MX"/>
              </w:rPr>
            </w:pPr>
            <w:r w:rsidRPr="00E94BF3">
              <w:rPr>
                <w:sz w:val="18"/>
                <w:lang w:val="es-MX"/>
              </w:rPr>
              <w:t>nc</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10,14</w:t>
            </w:r>
          </w:p>
        </w:tc>
        <w:tc>
          <w:tcPr>
            <w:tcW w:w="621" w:type="dxa"/>
            <w:shd w:val="clear" w:color="auto" w:fill="auto"/>
          </w:tcPr>
          <w:p w:rsidR="00B20A2A" w:rsidRPr="00E94BF3" w:rsidRDefault="00B20A2A" w:rsidP="00C66FA4">
            <w:pPr>
              <w:spacing w:after="60"/>
              <w:jc w:val="right"/>
              <w:rPr>
                <w:sz w:val="18"/>
                <w:lang w:val="es-MX"/>
              </w:rPr>
            </w:pPr>
            <w:r w:rsidRPr="00E94BF3">
              <w:rPr>
                <w:sz w:val="18"/>
                <w:lang w:val="es-MX"/>
              </w:rPr>
              <w:t>10,14</w:t>
            </w:r>
          </w:p>
        </w:tc>
        <w:tc>
          <w:tcPr>
            <w:tcW w:w="866" w:type="dxa"/>
            <w:shd w:val="clear" w:color="auto" w:fill="auto"/>
          </w:tcPr>
          <w:p w:rsidR="00B20A2A" w:rsidRPr="00E94BF3" w:rsidRDefault="00B20A2A" w:rsidP="00C66FA4">
            <w:pPr>
              <w:spacing w:after="60"/>
              <w:jc w:val="right"/>
              <w:rPr>
                <w:sz w:val="18"/>
                <w:lang w:val="es-MX"/>
              </w:rPr>
            </w:pPr>
            <w:r w:rsidRPr="00E94BF3">
              <w:rPr>
                <w:sz w:val="18"/>
                <w:lang w:val="es-MX"/>
              </w:rPr>
              <w:t>9,13</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9,13</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9,13</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9,13</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9,13</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6,59</w:t>
            </w:r>
          </w:p>
        </w:tc>
        <w:tc>
          <w:tcPr>
            <w:tcW w:w="0" w:type="auto"/>
            <w:shd w:val="clear" w:color="auto" w:fill="auto"/>
          </w:tcPr>
          <w:p w:rsidR="00B20A2A" w:rsidRPr="00E94BF3" w:rsidRDefault="00B20A2A" w:rsidP="00C66FA4">
            <w:pPr>
              <w:spacing w:after="60"/>
              <w:jc w:val="center"/>
              <w:rPr>
                <w:sz w:val="18"/>
                <w:lang w:val="es-MX"/>
              </w:rPr>
            </w:pPr>
            <w:r w:rsidRPr="00E94BF3">
              <w:rPr>
                <w:sz w:val="18"/>
                <w:lang w:val="es-MX"/>
              </w:rPr>
              <w:t>nc</w:t>
            </w:r>
          </w:p>
        </w:tc>
      </w:tr>
      <w:tr w:rsidR="00B20A2A" w:rsidRPr="00E94BF3" w:rsidTr="00C66FA4">
        <w:trPr>
          <w:trHeight w:val="463"/>
        </w:trPr>
        <w:tc>
          <w:tcPr>
            <w:tcW w:w="2725" w:type="dxa"/>
            <w:gridSpan w:val="3"/>
            <w:shd w:val="clear" w:color="auto" w:fill="auto"/>
          </w:tcPr>
          <w:p w:rsidR="00B20A2A" w:rsidRPr="00E94BF3" w:rsidRDefault="00B20A2A" w:rsidP="00C66FA4">
            <w:pPr>
              <w:spacing w:after="60"/>
              <w:jc w:val="left"/>
              <w:rPr>
                <w:sz w:val="18"/>
                <w:lang w:val="es-MX"/>
              </w:rPr>
            </w:pPr>
            <w:r w:rsidRPr="00E94BF3">
              <w:rPr>
                <w:sz w:val="18"/>
                <w:lang w:val="es-MX"/>
              </w:rPr>
              <w:t>Consumo máximo permitido (toneladas PAO)</w:t>
            </w:r>
          </w:p>
        </w:tc>
        <w:tc>
          <w:tcPr>
            <w:tcW w:w="801" w:type="dxa"/>
          </w:tcPr>
          <w:p w:rsidR="00B20A2A" w:rsidRPr="00E94BF3" w:rsidRDefault="00B20A2A" w:rsidP="00C66FA4">
            <w:pPr>
              <w:spacing w:after="60"/>
              <w:jc w:val="right"/>
              <w:rPr>
                <w:sz w:val="18"/>
                <w:lang w:val="es-MX"/>
              </w:rPr>
            </w:pPr>
            <w:r w:rsidRPr="00E94BF3">
              <w:rPr>
                <w:sz w:val="18"/>
                <w:lang w:val="es-MX"/>
              </w:rPr>
              <w:t>nc</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10,14</w:t>
            </w:r>
          </w:p>
        </w:tc>
        <w:tc>
          <w:tcPr>
            <w:tcW w:w="621" w:type="dxa"/>
            <w:shd w:val="clear" w:color="auto" w:fill="auto"/>
          </w:tcPr>
          <w:p w:rsidR="00B20A2A" w:rsidRPr="00E94BF3" w:rsidRDefault="00B20A2A" w:rsidP="00C66FA4">
            <w:pPr>
              <w:spacing w:after="60"/>
              <w:jc w:val="right"/>
              <w:rPr>
                <w:sz w:val="18"/>
                <w:lang w:val="es-MX"/>
              </w:rPr>
            </w:pPr>
            <w:r w:rsidRPr="00E94BF3">
              <w:rPr>
                <w:sz w:val="18"/>
                <w:lang w:val="es-MX"/>
              </w:rPr>
              <w:t>10,14</w:t>
            </w:r>
          </w:p>
        </w:tc>
        <w:tc>
          <w:tcPr>
            <w:tcW w:w="866" w:type="dxa"/>
            <w:shd w:val="clear" w:color="auto" w:fill="auto"/>
          </w:tcPr>
          <w:p w:rsidR="00B20A2A" w:rsidRPr="00E94BF3" w:rsidRDefault="00B20A2A" w:rsidP="00C66FA4">
            <w:pPr>
              <w:spacing w:after="60"/>
              <w:jc w:val="right"/>
              <w:rPr>
                <w:sz w:val="18"/>
                <w:lang w:val="es-MX"/>
              </w:rPr>
            </w:pPr>
            <w:r w:rsidRPr="00E94BF3">
              <w:rPr>
                <w:sz w:val="18"/>
                <w:lang w:val="es-MX"/>
              </w:rPr>
              <w:t>9,13</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9,13</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9,13</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9,13</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9,13</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6,59</w:t>
            </w:r>
          </w:p>
        </w:tc>
        <w:tc>
          <w:tcPr>
            <w:tcW w:w="0" w:type="auto"/>
            <w:shd w:val="clear" w:color="auto" w:fill="auto"/>
          </w:tcPr>
          <w:p w:rsidR="00B20A2A" w:rsidRPr="00E94BF3" w:rsidRDefault="00B20A2A" w:rsidP="00C66FA4">
            <w:pPr>
              <w:spacing w:after="60"/>
              <w:jc w:val="center"/>
              <w:rPr>
                <w:sz w:val="18"/>
                <w:lang w:val="es-MX"/>
              </w:rPr>
            </w:pPr>
            <w:r w:rsidRPr="00E94BF3">
              <w:rPr>
                <w:sz w:val="18"/>
                <w:lang w:val="es-MX"/>
              </w:rPr>
              <w:t>nc</w:t>
            </w:r>
          </w:p>
        </w:tc>
      </w:tr>
      <w:tr w:rsidR="00B20A2A" w:rsidRPr="00E94BF3" w:rsidTr="00C66FA4">
        <w:trPr>
          <w:trHeight w:val="258"/>
        </w:trPr>
        <w:tc>
          <w:tcPr>
            <w:tcW w:w="785" w:type="dxa"/>
            <w:vMerge w:val="restart"/>
            <w:shd w:val="clear" w:color="auto" w:fill="auto"/>
          </w:tcPr>
          <w:p w:rsidR="00B20A2A" w:rsidRPr="00E94BF3" w:rsidRDefault="00B20A2A" w:rsidP="00C66FA4">
            <w:pPr>
              <w:spacing w:after="60"/>
              <w:jc w:val="left"/>
              <w:rPr>
                <w:sz w:val="18"/>
                <w:lang w:val="es-MX"/>
              </w:rPr>
            </w:pPr>
            <w:r w:rsidRPr="00E94BF3">
              <w:rPr>
                <w:sz w:val="18"/>
                <w:lang w:val="es-MX"/>
              </w:rPr>
              <w:t>Financiación acordada ($EUA)</w:t>
            </w:r>
          </w:p>
        </w:tc>
        <w:tc>
          <w:tcPr>
            <w:tcW w:w="796" w:type="dxa"/>
            <w:vMerge w:val="restart"/>
            <w:shd w:val="clear" w:color="auto" w:fill="auto"/>
          </w:tcPr>
          <w:p w:rsidR="00B20A2A" w:rsidRPr="00E94BF3" w:rsidRDefault="00B20A2A" w:rsidP="00C66FA4">
            <w:pPr>
              <w:spacing w:after="60"/>
              <w:jc w:val="center"/>
              <w:rPr>
                <w:sz w:val="18"/>
                <w:lang w:val="es-MX"/>
              </w:rPr>
            </w:pPr>
            <w:r w:rsidRPr="00E94BF3">
              <w:rPr>
                <w:sz w:val="18"/>
                <w:lang w:val="es-MX"/>
              </w:rPr>
              <w:t>PNUMA</w:t>
            </w:r>
          </w:p>
        </w:tc>
        <w:tc>
          <w:tcPr>
            <w:tcW w:w="1144" w:type="dxa"/>
            <w:shd w:val="clear" w:color="auto" w:fill="auto"/>
          </w:tcPr>
          <w:p w:rsidR="00B20A2A" w:rsidRPr="00E94BF3" w:rsidRDefault="00B20A2A" w:rsidP="00C66FA4">
            <w:pPr>
              <w:spacing w:after="60"/>
              <w:jc w:val="left"/>
              <w:rPr>
                <w:sz w:val="18"/>
                <w:lang w:val="es-MX"/>
              </w:rPr>
            </w:pPr>
            <w:r w:rsidRPr="00E94BF3">
              <w:rPr>
                <w:sz w:val="18"/>
                <w:lang w:val="es-MX"/>
              </w:rPr>
              <w:t>Costos del proyecto</w:t>
            </w:r>
          </w:p>
        </w:tc>
        <w:tc>
          <w:tcPr>
            <w:tcW w:w="801" w:type="dxa"/>
          </w:tcPr>
          <w:p w:rsidR="00B20A2A" w:rsidRPr="00E94BF3" w:rsidRDefault="00B20A2A" w:rsidP="00C66FA4">
            <w:pPr>
              <w:spacing w:after="60"/>
              <w:jc w:val="right"/>
              <w:rPr>
                <w:sz w:val="18"/>
                <w:lang w:val="es-MX"/>
              </w:rPr>
            </w:pPr>
            <w:r w:rsidRPr="00E94BF3">
              <w:rPr>
                <w:sz w:val="18"/>
                <w:lang w:val="es-MX"/>
              </w:rPr>
              <w:t>45.000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30.000</w:t>
            </w:r>
          </w:p>
        </w:tc>
        <w:tc>
          <w:tcPr>
            <w:tcW w:w="62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866"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40.000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25.000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35.000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175.000</w:t>
            </w:r>
          </w:p>
        </w:tc>
      </w:tr>
      <w:tr w:rsidR="00B20A2A" w:rsidRPr="00E94BF3" w:rsidTr="00C66FA4">
        <w:trPr>
          <w:trHeight w:val="272"/>
        </w:trPr>
        <w:tc>
          <w:tcPr>
            <w:tcW w:w="785" w:type="dxa"/>
            <w:vMerge/>
            <w:shd w:val="clear" w:color="auto" w:fill="auto"/>
          </w:tcPr>
          <w:p w:rsidR="00B20A2A" w:rsidRPr="00E94BF3" w:rsidRDefault="00B20A2A" w:rsidP="00C66FA4">
            <w:pPr>
              <w:spacing w:after="60"/>
              <w:jc w:val="center"/>
              <w:rPr>
                <w:sz w:val="18"/>
                <w:lang w:val="es-MX"/>
              </w:rPr>
            </w:pPr>
          </w:p>
        </w:tc>
        <w:tc>
          <w:tcPr>
            <w:tcW w:w="796" w:type="dxa"/>
            <w:vMerge/>
            <w:shd w:val="clear" w:color="auto" w:fill="auto"/>
          </w:tcPr>
          <w:p w:rsidR="00B20A2A" w:rsidRPr="00E94BF3" w:rsidRDefault="00B20A2A" w:rsidP="00C66FA4">
            <w:pPr>
              <w:spacing w:after="60"/>
              <w:jc w:val="center"/>
              <w:rPr>
                <w:sz w:val="18"/>
                <w:lang w:val="es-MX"/>
              </w:rPr>
            </w:pPr>
          </w:p>
        </w:tc>
        <w:tc>
          <w:tcPr>
            <w:tcW w:w="1144" w:type="dxa"/>
            <w:shd w:val="clear" w:color="auto" w:fill="auto"/>
          </w:tcPr>
          <w:p w:rsidR="00B20A2A" w:rsidRPr="00E94BF3" w:rsidRDefault="00B20A2A" w:rsidP="00C66FA4">
            <w:pPr>
              <w:spacing w:after="60"/>
              <w:jc w:val="left"/>
              <w:rPr>
                <w:sz w:val="18"/>
                <w:lang w:val="es-MX"/>
              </w:rPr>
            </w:pPr>
            <w:r w:rsidRPr="00E94BF3">
              <w:rPr>
                <w:sz w:val="18"/>
                <w:lang w:val="es-MX"/>
              </w:rPr>
              <w:t>Gastos de apoyo</w:t>
            </w:r>
          </w:p>
        </w:tc>
        <w:tc>
          <w:tcPr>
            <w:tcW w:w="801" w:type="dxa"/>
          </w:tcPr>
          <w:p w:rsidR="00B20A2A" w:rsidRPr="00E94BF3" w:rsidRDefault="00B20A2A" w:rsidP="00C66FA4">
            <w:pPr>
              <w:spacing w:after="60"/>
              <w:jc w:val="right"/>
              <w:rPr>
                <w:sz w:val="18"/>
                <w:lang w:val="es-MX"/>
              </w:rPr>
            </w:pPr>
            <w:r w:rsidRPr="00E94BF3">
              <w:rPr>
                <w:sz w:val="18"/>
                <w:lang w:val="es-MX"/>
              </w:rPr>
              <w:t>5.850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3.900</w:t>
            </w:r>
          </w:p>
        </w:tc>
        <w:tc>
          <w:tcPr>
            <w:tcW w:w="62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866"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5.200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3.250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4.550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22.750</w:t>
            </w:r>
          </w:p>
        </w:tc>
      </w:tr>
      <w:tr w:rsidR="00B20A2A" w:rsidRPr="00E94BF3" w:rsidTr="00C66FA4">
        <w:trPr>
          <w:trHeight w:val="265"/>
        </w:trPr>
        <w:tc>
          <w:tcPr>
            <w:tcW w:w="785" w:type="dxa"/>
            <w:vMerge/>
            <w:shd w:val="clear" w:color="auto" w:fill="auto"/>
          </w:tcPr>
          <w:p w:rsidR="00B20A2A" w:rsidRPr="00E94BF3" w:rsidRDefault="00B20A2A" w:rsidP="00C66FA4">
            <w:pPr>
              <w:spacing w:after="60"/>
              <w:jc w:val="center"/>
              <w:rPr>
                <w:sz w:val="18"/>
                <w:lang w:val="es-MX"/>
              </w:rPr>
            </w:pPr>
          </w:p>
        </w:tc>
        <w:tc>
          <w:tcPr>
            <w:tcW w:w="796" w:type="dxa"/>
            <w:vMerge w:val="restart"/>
            <w:shd w:val="clear" w:color="auto" w:fill="auto"/>
          </w:tcPr>
          <w:p w:rsidR="00B20A2A" w:rsidRPr="00E94BF3" w:rsidRDefault="00B20A2A" w:rsidP="00C66FA4">
            <w:pPr>
              <w:spacing w:after="60"/>
              <w:jc w:val="center"/>
              <w:rPr>
                <w:sz w:val="18"/>
                <w:lang w:val="es-MX"/>
              </w:rPr>
            </w:pPr>
            <w:r w:rsidRPr="00E94BF3">
              <w:rPr>
                <w:sz w:val="18"/>
                <w:lang w:val="es-MX"/>
              </w:rPr>
              <w:t>ONUDI</w:t>
            </w:r>
          </w:p>
        </w:tc>
        <w:tc>
          <w:tcPr>
            <w:tcW w:w="1144" w:type="dxa"/>
            <w:shd w:val="clear" w:color="auto" w:fill="auto"/>
          </w:tcPr>
          <w:p w:rsidR="00B20A2A" w:rsidRPr="00E94BF3" w:rsidRDefault="00B20A2A" w:rsidP="00C66FA4">
            <w:pPr>
              <w:spacing w:after="60"/>
              <w:jc w:val="left"/>
              <w:rPr>
                <w:sz w:val="18"/>
                <w:lang w:val="es-MX"/>
              </w:rPr>
            </w:pPr>
            <w:r w:rsidRPr="00E94BF3">
              <w:rPr>
                <w:sz w:val="18"/>
                <w:lang w:val="es-MX"/>
              </w:rPr>
              <w:t>Costos del proyecto</w:t>
            </w:r>
          </w:p>
        </w:tc>
        <w:tc>
          <w:tcPr>
            <w:tcW w:w="801" w:type="dxa"/>
          </w:tcPr>
          <w:p w:rsidR="00B20A2A" w:rsidRPr="00E94BF3" w:rsidRDefault="00B20A2A" w:rsidP="00C66FA4">
            <w:pPr>
              <w:spacing w:after="60"/>
              <w:jc w:val="right"/>
              <w:rPr>
                <w:sz w:val="18"/>
                <w:lang w:val="es-MX"/>
              </w:rPr>
            </w:pPr>
            <w:r w:rsidRPr="00E94BF3">
              <w:rPr>
                <w:sz w:val="18"/>
                <w:lang w:val="es-MX"/>
              </w:rPr>
              <w:t>100.000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62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866"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75.000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175.000</w:t>
            </w:r>
          </w:p>
        </w:tc>
      </w:tr>
      <w:tr w:rsidR="00B20A2A" w:rsidRPr="00E94BF3" w:rsidTr="00C66FA4">
        <w:trPr>
          <w:trHeight w:val="265"/>
        </w:trPr>
        <w:tc>
          <w:tcPr>
            <w:tcW w:w="785" w:type="dxa"/>
            <w:vMerge/>
            <w:shd w:val="clear" w:color="auto" w:fill="auto"/>
          </w:tcPr>
          <w:p w:rsidR="00B20A2A" w:rsidRPr="00E94BF3" w:rsidRDefault="00B20A2A" w:rsidP="00C66FA4">
            <w:pPr>
              <w:spacing w:after="60"/>
              <w:jc w:val="center"/>
              <w:rPr>
                <w:sz w:val="18"/>
                <w:lang w:val="es-MX"/>
              </w:rPr>
            </w:pPr>
          </w:p>
        </w:tc>
        <w:tc>
          <w:tcPr>
            <w:tcW w:w="796" w:type="dxa"/>
            <w:vMerge/>
            <w:shd w:val="clear" w:color="auto" w:fill="auto"/>
          </w:tcPr>
          <w:p w:rsidR="00B20A2A" w:rsidRPr="00E94BF3" w:rsidRDefault="00B20A2A" w:rsidP="00C66FA4">
            <w:pPr>
              <w:spacing w:after="60"/>
              <w:jc w:val="center"/>
              <w:rPr>
                <w:sz w:val="18"/>
                <w:lang w:val="es-MX"/>
              </w:rPr>
            </w:pPr>
          </w:p>
        </w:tc>
        <w:tc>
          <w:tcPr>
            <w:tcW w:w="1144" w:type="dxa"/>
            <w:shd w:val="clear" w:color="auto" w:fill="auto"/>
          </w:tcPr>
          <w:p w:rsidR="00B20A2A" w:rsidRPr="00E94BF3" w:rsidRDefault="00B20A2A" w:rsidP="00C66FA4">
            <w:pPr>
              <w:spacing w:after="60"/>
              <w:jc w:val="left"/>
              <w:rPr>
                <w:sz w:val="18"/>
                <w:lang w:val="es-MX"/>
              </w:rPr>
            </w:pPr>
            <w:r w:rsidRPr="00E94BF3">
              <w:rPr>
                <w:sz w:val="18"/>
                <w:lang w:val="es-MX"/>
              </w:rPr>
              <w:t>Gastos de apoyo</w:t>
            </w:r>
          </w:p>
        </w:tc>
        <w:tc>
          <w:tcPr>
            <w:tcW w:w="801" w:type="dxa"/>
          </w:tcPr>
          <w:p w:rsidR="00B20A2A" w:rsidRPr="00E94BF3" w:rsidRDefault="00B20A2A" w:rsidP="00C66FA4">
            <w:pPr>
              <w:spacing w:after="60"/>
              <w:jc w:val="right"/>
              <w:rPr>
                <w:sz w:val="18"/>
                <w:lang w:val="es-MX"/>
              </w:rPr>
            </w:pPr>
            <w:r w:rsidRPr="00E94BF3">
              <w:rPr>
                <w:sz w:val="18"/>
                <w:lang w:val="es-MX"/>
              </w:rPr>
              <w:t>9.000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62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866"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6.750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15.750</w:t>
            </w:r>
          </w:p>
        </w:tc>
      </w:tr>
      <w:tr w:rsidR="00B20A2A" w:rsidRPr="00E94BF3" w:rsidTr="00C66FA4">
        <w:trPr>
          <w:trHeight w:val="258"/>
        </w:trPr>
        <w:tc>
          <w:tcPr>
            <w:tcW w:w="1581" w:type="dxa"/>
            <w:gridSpan w:val="2"/>
            <w:vMerge w:val="restart"/>
            <w:shd w:val="clear" w:color="auto" w:fill="auto"/>
          </w:tcPr>
          <w:p w:rsidR="00B20A2A" w:rsidRPr="00E94BF3" w:rsidRDefault="00B20A2A" w:rsidP="00C66FA4">
            <w:pPr>
              <w:spacing w:after="60"/>
              <w:jc w:val="left"/>
              <w:rPr>
                <w:sz w:val="18"/>
                <w:lang w:val="es-MX"/>
              </w:rPr>
            </w:pPr>
            <w:r w:rsidRPr="00E94BF3">
              <w:rPr>
                <w:sz w:val="18"/>
                <w:lang w:val="es-MX"/>
              </w:rPr>
              <w:t>Fondos aprobados por el Comité Ejecutivo ($EUA)</w:t>
            </w:r>
          </w:p>
        </w:tc>
        <w:tc>
          <w:tcPr>
            <w:tcW w:w="1144" w:type="dxa"/>
            <w:shd w:val="clear" w:color="auto" w:fill="auto"/>
          </w:tcPr>
          <w:p w:rsidR="00B20A2A" w:rsidRPr="00E94BF3" w:rsidRDefault="00B20A2A" w:rsidP="00C66FA4">
            <w:pPr>
              <w:spacing w:after="60"/>
              <w:jc w:val="left"/>
              <w:rPr>
                <w:sz w:val="18"/>
                <w:lang w:val="es-MX"/>
              </w:rPr>
            </w:pPr>
            <w:r w:rsidRPr="00E94BF3">
              <w:rPr>
                <w:sz w:val="18"/>
                <w:lang w:val="es-MX"/>
              </w:rPr>
              <w:t>Costos del proyecto</w:t>
            </w:r>
          </w:p>
        </w:tc>
        <w:tc>
          <w:tcPr>
            <w:tcW w:w="801" w:type="dxa"/>
          </w:tcPr>
          <w:p w:rsidR="00B20A2A" w:rsidRPr="00E94BF3" w:rsidRDefault="00B20A2A" w:rsidP="00C66FA4">
            <w:pPr>
              <w:spacing w:after="60"/>
              <w:jc w:val="right"/>
              <w:rPr>
                <w:sz w:val="18"/>
                <w:lang w:val="es-MX"/>
              </w:rPr>
            </w:pPr>
            <w:r w:rsidRPr="00E94BF3">
              <w:rPr>
                <w:sz w:val="18"/>
                <w:lang w:val="es-MX"/>
              </w:rPr>
              <w:t>145.000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30.000</w:t>
            </w:r>
          </w:p>
        </w:tc>
        <w:tc>
          <w:tcPr>
            <w:tcW w:w="62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866"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115.000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290.000</w:t>
            </w:r>
          </w:p>
        </w:tc>
      </w:tr>
      <w:tr w:rsidR="00B20A2A" w:rsidRPr="00E94BF3" w:rsidTr="00C66FA4">
        <w:trPr>
          <w:trHeight w:val="265"/>
        </w:trPr>
        <w:tc>
          <w:tcPr>
            <w:tcW w:w="1581" w:type="dxa"/>
            <w:gridSpan w:val="2"/>
            <w:vMerge/>
            <w:shd w:val="clear" w:color="auto" w:fill="auto"/>
          </w:tcPr>
          <w:p w:rsidR="00B20A2A" w:rsidRPr="00E94BF3" w:rsidRDefault="00B20A2A" w:rsidP="00C66FA4">
            <w:pPr>
              <w:spacing w:after="60"/>
              <w:jc w:val="center"/>
              <w:rPr>
                <w:sz w:val="18"/>
                <w:lang w:val="es-MX"/>
              </w:rPr>
            </w:pPr>
          </w:p>
        </w:tc>
        <w:tc>
          <w:tcPr>
            <w:tcW w:w="1144" w:type="dxa"/>
            <w:shd w:val="clear" w:color="auto" w:fill="auto"/>
          </w:tcPr>
          <w:p w:rsidR="00B20A2A" w:rsidRPr="00E94BF3" w:rsidRDefault="00B20A2A" w:rsidP="00C66FA4">
            <w:pPr>
              <w:spacing w:after="60"/>
              <w:jc w:val="left"/>
              <w:rPr>
                <w:sz w:val="18"/>
                <w:lang w:val="es-MX"/>
              </w:rPr>
            </w:pPr>
            <w:r w:rsidRPr="00E94BF3">
              <w:rPr>
                <w:sz w:val="18"/>
                <w:lang w:val="es-MX"/>
              </w:rPr>
              <w:t>Gastos de apoyo</w:t>
            </w:r>
          </w:p>
        </w:tc>
        <w:tc>
          <w:tcPr>
            <w:tcW w:w="801" w:type="dxa"/>
          </w:tcPr>
          <w:p w:rsidR="00B20A2A" w:rsidRPr="00E94BF3" w:rsidRDefault="00B20A2A" w:rsidP="00C66FA4">
            <w:pPr>
              <w:spacing w:after="60"/>
              <w:jc w:val="right"/>
              <w:rPr>
                <w:sz w:val="18"/>
                <w:lang w:val="es-MX"/>
              </w:rPr>
            </w:pPr>
            <w:r w:rsidRPr="00E94BF3">
              <w:rPr>
                <w:sz w:val="18"/>
                <w:lang w:val="es-MX"/>
              </w:rPr>
              <w:t>14.850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3.900</w:t>
            </w:r>
          </w:p>
        </w:tc>
        <w:tc>
          <w:tcPr>
            <w:tcW w:w="62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866"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11.950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30.700</w:t>
            </w:r>
          </w:p>
        </w:tc>
      </w:tr>
      <w:tr w:rsidR="00B20A2A" w:rsidRPr="00E94BF3" w:rsidTr="00C66FA4">
        <w:trPr>
          <w:trHeight w:val="265"/>
        </w:trPr>
        <w:tc>
          <w:tcPr>
            <w:tcW w:w="1581" w:type="dxa"/>
            <w:gridSpan w:val="2"/>
            <w:vMerge w:val="restart"/>
            <w:shd w:val="clear" w:color="auto" w:fill="auto"/>
          </w:tcPr>
          <w:p w:rsidR="00B20A2A" w:rsidRPr="00E94BF3" w:rsidRDefault="00B20A2A" w:rsidP="00C66FA4">
            <w:pPr>
              <w:spacing w:after="60"/>
              <w:jc w:val="left"/>
              <w:rPr>
                <w:sz w:val="18"/>
                <w:lang w:val="es-MX"/>
              </w:rPr>
            </w:pPr>
            <w:r w:rsidRPr="00E94BF3">
              <w:rPr>
                <w:sz w:val="18"/>
                <w:lang w:val="es-MX"/>
              </w:rPr>
              <w:t>Total de fondos cuya aprobación se solicita en la reunión en cuso ($EUA)</w:t>
            </w:r>
          </w:p>
        </w:tc>
        <w:tc>
          <w:tcPr>
            <w:tcW w:w="1144" w:type="dxa"/>
            <w:shd w:val="clear" w:color="auto" w:fill="auto"/>
          </w:tcPr>
          <w:p w:rsidR="00B20A2A" w:rsidRPr="00E94BF3" w:rsidRDefault="00B20A2A" w:rsidP="00C66FA4">
            <w:pPr>
              <w:spacing w:after="60"/>
              <w:jc w:val="left"/>
              <w:rPr>
                <w:sz w:val="18"/>
                <w:lang w:val="es-MX"/>
              </w:rPr>
            </w:pPr>
            <w:r w:rsidRPr="00E94BF3">
              <w:rPr>
                <w:sz w:val="18"/>
                <w:lang w:val="es-MX"/>
              </w:rPr>
              <w:t>Costos del proyecto</w:t>
            </w:r>
          </w:p>
        </w:tc>
        <w:tc>
          <w:tcPr>
            <w:tcW w:w="801" w:type="dxa"/>
          </w:tcPr>
          <w:p w:rsidR="00B20A2A" w:rsidRPr="00E94BF3" w:rsidRDefault="00B20A2A" w:rsidP="00C66FA4">
            <w:pPr>
              <w:spacing w:after="60"/>
              <w:jc w:val="right"/>
              <w:rPr>
                <w:sz w:val="18"/>
                <w:lang w:val="es-MX"/>
              </w:rPr>
            </w:pPr>
            <w:r w:rsidRPr="00E94BF3">
              <w:rPr>
                <w:sz w:val="18"/>
                <w:lang w:val="es-MX"/>
              </w:rPr>
              <w:t>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62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866"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711" w:type="dxa"/>
            <w:shd w:val="clear" w:color="auto" w:fill="auto"/>
          </w:tcPr>
          <w:p w:rsidR="00B20A2A" w:rsidRPr="00E94BF3" w:rsidRDefault="00B20A2A" w:rsidP="00C66FA4">
            <w:pPr>
              <w:spacing w:after="60"/>
              <w:jc w:val="right"/>
              <w:rPr>
                <w:b/>
                <w:sz w:val="18"/>
                <w:lang w:val="es-MX"/>
              </w:rPr>
            </w:pPr>
            <w:r w:rsidRPr="00E94BF3">
              <w:rPr>
                <w:b/>
                <w:sz w:val="18"/>
                <w:lang w:val="es-MX"/>
              </w:rPr>
              <w:t>25.000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25.000</w:t>
            </w:r>
          </w:p>
        </w:tc>
      </w:tr>
      <w:tr w:rsidR="00B20A2A" w:rsidRPr="00E94BF3" w:rsidTr="00C66FA4">
        <w:trPr>
          <w:trHeight w:val="401"/>
        </w:trPr>
        <w:tc>
          <w:tcPr>
            <w:tcW w:w="1581" w:type="dxa"/>
            <w:gridSpan w:val="2"/>
            <w:vMerge/>
            <w:shd w:val="clear" w:color="auto" w:fill="auto"/>
          </w:tcPr>
          <w:p w:rsidR="00B20A2A" w:rsidRPr="00E94BF3" w:rsidRDefault="00B20A2A" w:rsidP="00C66FA4">
            <w:pPr>
              <w:spacing w:after="60"/>
              <w:jc w:val="center"/>
              <w:rPr>
                <w:sz w:val="18"/>
                <w:lang w:val="es-MX"/>
              </w:rPr>
            </w:pPr>
          </w:p>
        </w:tc>
        <w:tc>
          <w:tcPr>
            <w:tcW w:w="1144" w:type="dxa"/>
            <w:shd w:val="clear" w:color="auto" w:fill="auto"/>
          </w:tcPr>
          <w:p w:rsidR="00B20A2A" w:rsidRPr="00E94BF3" w:rsidRDefault="00B20A2A" w:rsidP="00C66FA4">
            <w:pPr>
              <w:spacing w:after="60"/>
              <w:jc w:val="left"/>
              <w:rPr>
                <w:sz w:val="18"/>
                <w:lang w:val="es-MX"/>
              </w:rPr>
            </w:pPr>
            <w:r w:rsidRPr="00E94BF3">
              <w:rPr>
                <w:sz w:val="18"/>
                <w:lang w:val="es-MX"/>
              </w:rPr>
              <w:t>Gastos de apoyo</w:t>
            </w:r>
          </w:p>
        </w:tc>
        <w:tc>
          <w:tcPr>
            <w:tcW w:w="801" w:type="dxa"/>
          </w:tcPr>
          <w:p w:rsidR="00B20A2A" w:rsidRPr="00E94BF3" w:rsidRDefault="00B20A2A" w:rsidP="00C66FA4">
            <w:pPr>
              <w:spacing w:after="60"/>
              <w:jc w:val="right"/>
              <w:rPr>
                <w:sz w:val="18"/>
                <w:lang w:val="es-MX"/>
              </w:rPr>
            </w:pPr>
            <w:r w:rsidRPr="00E94BF3">
              <w:rPr>
                <w:sz w:val="18"/>
                <w:lang w:val="es-MX"/>
              </w:rPr>
              <w:t>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62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866"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711" w:type="dxa"/>
            <w:shd w:val="clear" w:color="auto" w:fill="auto"/>
          </w:tcPr>
          <w:p w:rsidR="00B20A2A" w:rsidRPr="00E94BF3" w:rsidRDefault="00B20A2A" w:rsidP="00C66FA4">
            <w:pPr>
              <w:spacing w:after="60"/>
              <w:jc w:val="right"/>
              <w:rPr>
                <w:b/>
                <w:sz w:val="18"/>
                <w:lang w:val="es-MX"/>
              </w:rPr>
            </w:pPr>
            <w:r w:rsidRPr="00E94BF3">
              <w:rPr>
                <w:b/>
                <w:sz w:val="18"/>
                <w:lang w:val="es-MX"/>
              </w:rPr>
              <w:t>3.250</w:t>
            </w:r>
          </w:p>
        </w:tc>
        <w:tc>
          <w:tcPr>
            <w:tcW w:w="711" w:type="dxa"/>
            <w:shd w:val="clear" w:color="auto" w:fill="auto"/>
          </w:tcPr>
          <w:p w:rsidR="00B20A2A" w:rsidRPr="00E94BF3" w:rsidRDefault="00B20A2A" w:rsidP="00C66FA4">
            <w:pPr>
              <w:spacing w:after="60"/>
              <w:jc w:val="right"/>
              <w:rPr>
                <w:sz w:val="18"/>
                <w:lang w:val="es-MX"/>
              </w:rPr>
            </w:pPr>
            <w:r w:rsidRPr="00E94BF3">
              <w:rPr>
                <w:sz w:val="18"/>
                <w:lang w:val="es-MX"/>
              </w:rPr>
              <w:t>0</w:t>
            </w:r>
          </w:p>
        </w:tc>
        <w:tc>
          <w:tcPr>
            <w:tcW w:w="0" w:type="auto"/>
            <w:shd w:val="clear" w:color="auto" w:fill="auto"/>
          </w:tcPr>
          <w:p w:rsidR="00B20A2A" w:rsidRPr="00E94BF3" w:rsidRDefault="00B20A2A" w:rsidP="00C66FA4">
            <w:pPr>
              <w:spacing w:after="60"/>
              <w:jc w:val="right"/>
              <w:rPr>
                <w:sz w:val="18"/>
                <w:lang w:val="es-MX"/>
              </w:rPr>
            </w:pPr>
            <w:r w:rsidRPr="00E94BF3">
              <w:rPr>
                <w:sz w:val="18"/>
                <w:lang w:val="es-MX"/>
              </w:rPr>
              <w:t>3.250</w:t>
            </w:r>
          </w:p>
        </w:tc>
      </w:tr>
    </w:tbl>
    <w:p w:rsidR="00B20A2A" w:rsidRPr="00E94BF3" w:rsidRDefault="00B20A2A" w:rsidP="00B20A2A">
      <w:pPr>
        <w:spacing w:after="60"/>
        <w:jc w:val="left"/>
        <w:rPr>
          <w:sz w:val="18"/>
          <w:szCs w:val="18"/>
          <w:lang w:val="es-MX"/>
        </w:rPr>
      </w:pPr>
      <w:r w:rsidRPr="00E94BF3">
        <w:rPr>
          <w:sz w:val="18"/>
          <w:szCs w:val="18"/>
          <w:lang w:val="es-MX"/>
        </w:rPr>
        <w:t>* El cuatro tramo debería haberse presentado en 2018.</w:t>
      </w: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B20A2A" w:rsidRPr="00E94BF3" w:rsidTr="00C66FA4">
        <w:trPr>
          <w:trHeight w:val="240"/>
        </w:trPr>
        <w:tc>
          <w:tcPr>
            <w:tcW w:w="3000" w:type="dxa"/>
            <w:shd w:val="clear" w:color="auto" w:fill="auto"/>
          </w:tcPr>
          <w:p w:rsidR="00B20A2A" w:rsidRPr="00E94BF3" w:rsidRDefault="00B20A2A" w:rsidP="00C66FA4">
            <w:pPr>
              <w:spacing w:after="60"/>
              <w:jc w:val="left"/>
              <w:rPr>
                <w:b/>
                <w:sz w:val="18"/>
                <w:lang w:val="es-MX"/>
              </w:rPr>
            </w:pPr>
            <w:r w:rsidRPr="00E94BF3">
              <w:rPr>
                <w:b/>
                <w:sz w:val="18"/>
                <w:lang w:val="es-MX"/>
              </w:rPr>
              <w:t>Recomendación de la Secretaría:</w:t>
            </w:r>
          </w:p>
        </w:tc>
        <w:tc>
          <w:tcPr>
            <w:tcW w:w="7000" w:type="dxa"/>
            <w:shd w:val="clear" w:color="auto" w:fill="auto"/>
          </w:tcPr>
          <w:p w:rsidR="00B20A2A" w:rsidRPr="00E94BF3" w:rsidRDefault="00B20A2A" w:rsidP="00C66FA4">
            <w:pPr>
              <w:spacing w:after="60"/>
              <w:jc w:val="center"/>
              <w:rPr>
                <w:sz w:val="18"/>
                <w:lang w:val="es-MX"/>
              </w:rPr>
            </w:pPr>
            <w:r w:rsidRPr="00E94BF3">
              <w:rPr>
                <w:sz w:val="18"/>
                <w:lang w:val="es-MX"/>
              </w:rPr>
              <w:t>Aprobación general</w:t>
            </w:r>
          </w:p>
        </w:tc>
      </w:tr>
    </w:tbl>
    <w:p w:rsidR="00B20A2A" w:rsidRPr="00E94BF3" w:rsidRDefault="00B20A2A" w:rsidP="00B20A2A">
      <w:pPr>
        <w:rPr>
          <w:lang w:val="es-MX"/>
        </w:rPr>
      </w:pPr>
    </w:p>
    <w:p w:rsidR="00B20A2A" w:rsidRPr="00E94BF3" w:rsidRDefault="00B20A2A" w:rsidP="00B20A2A">
      <w:pPr>
        <w:jc w:val="center"/>
        <w:rPr>
          <w:b/>
          <w:lang w:val="es-MX"/>
        </w:rPr>
      </w:pPr>
      <w:r w:rsidRPr="00E94BF3">
        <w:rPr>
          <w:b/>
          <w:lang w:val="es-MX"/>
        </w:rPr>
        <w:t>DESCRIPCIÓN DEL PROYECTO</w:t>
      </w:r>
    </w:p>
    <w:p w:rsidR="00B20A2A" w:rsidRDefault="00B20A2A" w:rsidP="00B20A2A">
      <w:pPr>
        <w:rPr>
          <w:lang w:val="es-MX"/>
        </w:rPr>
      </w:pPr>
    </w:p>
    <w:p w:rsidR="002458C6" w:rsidRPr="00E94BF3" w:rsidRDefault="002458C6" w:rsidP="00B20A2A">
      <w:pPr>
        <w:rPr>
          <w:lang w:val="es-MX"/>
        </w:rPr>
      </w:pPr>
    </w:p>
    <w:p w:rsidR="00B20A2A" w:rsidRPr="00E94BF3" w:rsidRDefault="00B20A2A" w:rsidP="00B20A2A">
      <w:pPr>
        <w:pStyle w:val="Heading1"/>
        <w:rPr>
          <w:lang w:val="es-MX"/>
        </w:rPr>
      </w:pPr>
      <w:r w:rsidRPr="00E94BF3">
        <w:rPr>
          <w:lang w:val="es-MX"/>
        </w:rPr>
        <w:t>En nombre del Gobierno del Congo, el PNUMA, en calidad de organismo director de ejecución, presenta una solicitud de financiación para el cuatro tramo de la etapa I del plan de gestión de la eliminación de los HCFC, por una cantidad de 25.000 $EUA, más 3.250 $EUA de gastos de apoyo al organismo para el PNUMA únicamente.</w:t>
      </w:r>
      <w:r w:rsidRPr="00E94BF3">
        <w:rPr>
          <w:rStyle w:val="FootnoteReference"/>
          <w:lang w:val="es-MX"/>
        </w:rPr>
        <w:footnoteReference w:id="1"/>
      </w:r>
      <w:r w:rsidRPr="00E94BF3">
        <w:rPr>
          <w:lang w:val="es-MX"/>
        </w:rPr>
        <w:t xml:space="preserve"> En la documentación se incluye un informe sobre la marcha de las actividades de ejecución del tercer tramo y el plan de ejecución del tercer tramo para 2019-2021.</w:t>
      </w:r>
    </w:p>
    <w:p w:rsidR="00B20A2A" w:rsidRPr="00E94BF3" w:rsidRDefault="00B20A2A" w:rsidP="00B20A2A">
      <w:pPr>
        <w:rPr>
          <w:u w:val="single"/>
          <w:lang w:val="es-MX"/>
        </w:rPr>
      </w:pPr>
      <w:r w:rsidRPr="00E94BF3">
        <w:rPr>
          <w:u w:val="single"/>
          <w:lang w:val="es-MX"/>
        </w:rPr>
        <w:t>Informe sobre el consumo de HCFC</w:t>
      </w:r>
    </w:p>
    <w:p w:rsidR="00B20A2A" w:rsidRPr="00E94BF3" w:rsidRDefault="00B20A2A" w:rsidP="00B20A2A">
      <w:pPr>
        <w:rPr>
          <w:lang w:val="es-MX"/>
        </w:rPr>
      </w:pPr>
    </w:p>
    <w:p w:rsidR="00B20A2A" w:rsidRPr="00E94BF3" w:rsidRDefault="00B20A2A" w:rsidP="00B20A2A">
      <w:pPr>
        <w:pStyle w:val="Heading1"/>
        <w:rPr>
          <w:lang w:val="es-MX"/>
        </w:rPr>
      </w:pPr>
      <w:r w:rsidRPr="00E94BF3">
        <w:rPr>
          <w:lang w:val="es-MX"/>
        </w:rPr>
        <w:t xml:space="preserve">El Gobierno del Congo notificó un consumo de 7,13 toneladas PAO de HCFC en 2018, un 29,7 por ciento inferior al nivel básico de referencia de HCFC para el cumplimiento. En el cuadro 1 se indica el consumo de HCFC entre 2014 y 2018.  </w:t>
      </w:r>
    </w:p>
    <w:p w:rsidR="00B20A2A" w:rsidRPr="00E94BF3" w:rsidRDefault="00B20A2A" w:rsidP="00B20A2A">
      <w:pPr>
        <w:rPr>
          <w:b/>
          <w:lang w:val="es-MX"/>
        </w:rPr>
      </w:pPr>
      <w:r w:rsidRPr="00E94BF3">
        <w:rPr>
          <w:b/>
          <w:lang w:val="es-MX"/>
        </w:rPr>
        <w:t>Cuadro 1. Consumo de HCFC en el Congo (datos de 2014-2018 con arreglo al artículo 7)</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005"/>
        <w:gridCol w:w="1007"/>
        <w:gridCol w:w="1007"/>
        <w:gridCol w:w="1006"/>
        <w:gridCol w:w="1008"/>
        <w:gridCol w:w="1244"/>
      </w:tblGrid>
      <w:tr w:rsidR="00B20A2A" w:rsidRPr="00E94BF3" w:rsidTr="00C66FA4">
        <w:trPr>
          <w:trHeight w:val="248"/>
          <w:tblHeader/>
        </w:trPr>
        <w:tc>
          <w:tcPr>
            <w:tcW w:w="1642" w:type="pct"/>
            <w:shd w:val="clear" w:color="auto" w:fill="auto"/>
            <w:noWrap/>
            <w:tcMar>
              <w:left w:w="43" w:type="dxa"/>
              <w:right w:w="43" w:type="dxa"/>
            </w:tcMar>
            <w:vAlign w:val="center"/>
            <w:hideMark/>
          </w:tcPr>
          <w:p w:rsidR="00B20A2A" w:rsidRPr="00E94BF3" w:rsidRDefault="00B20A2A" w:rsidP="00C66FA4">
            <w:pPr>
              <w:widowControl w:val="0"/>
              <w:jc w:val="left"/>
              <w:rPr>
                <w:b/>
                <w:bCs/>
                <w:sz w:val="20"/>
                <w:szCs w:val="20"/>
                <w:lang w:val="es-MX"/>
              </w:rPr>
            </w:pPr>
            <w:r w:rsidRPr="00E94BF3">
              <w:rPr>
                <w:b/>
                <w:bCs/>
                <w:sz w:val="20"/>
                <w:szCs w:val="20"/>
                <w:lang w:val="es-MX"/>
              </w:rPr>
              <w:t>HCFC-22</w:t>
            </w:r>
          </w:p>
        </w:tc>
        <w:tc>
          <w:tcPr>
            <w:tcW w:w="559" w:type="pct"/>
            <w:shd w:val="clear" w:color="auto" w:fill="auto"/>
            <w:noWrap/>
            <w:vAlign w:val="center"/>
            <w:hideMark/>
          </w:tcPr>
          <w:p w:rsidR="00B20A2A" w:rsidRPr="00E94BF3" w:rsidRDefault="00B20A2A" w:rsidP="00C66FA4">
            <w:pPr>
              <w:widowControl w:val="0"/>
              <w:jc w:val="center"/>
              <w:rPr>
                <w:b/>
                <w:bCs/>
                <w:sz w:val="20"/>
                <w:szCs w:val="20"/>
                <w:lang w:val="es-MX"/>
              </w:rPr>
            </w:pPr>
            <w:r w:rsidRPr="00E94BF3">
              <w:rPr>
                <w:b/>
                <w:bCs/>
                <w:sz w:val="20"/>
                <w:szCs w:val="20"/>
                <w:lang w:val="es-MX"/>
              </w:rPr>
              <w:t>2014</w:t>
            </w:r>
          </w:p>
        </w:tc>
        <w:tc>
          <w:tcPr>
            <w:tcW w:w="560" w:type="pct"/>
            <w:shd w:val="clear" w:color="auto" w:fill="auto"/>
            <w:noWrap/>
            <w:vAlign w:val="center"/>
            <w:hideMark/>
          </w:tcPr>
          <w:p w:rsidR="00B20A2A" w:rsidRPr="00E94BF3" w:rsidRDefault="00B20A2A" w:rsidP="00C66FA4">
            <w:pPr>
              <w:widowControl w:val="0"/>
              <w:jc w:val="center"/>
              <w:rPr>
                <w:b/>
                <w:bCs/>
                <w:sz w:val="20"/>
                <w:szCs w:val="20"/>
                <w:lang w:val="es-MX"/>
              </w:rPr>
            </w:pPr>
            <w:r w:rsidRPr="00E94BF3">
              <w:rPr>
                <w:b/>
                <w:bCs/>
                <w:sz w:val="20"/>
                <w:szCs w:val="20"/>
                <w:lang w:val="es-MX"/>
              </w:rPr>
              <w:t>2015</w:t>
            </w:r>
          </w:p>
        </w:tc>
        <w:tc>
          <w:tcPr>
            <w:tcW w:w="560" w:type="pct"/>
          </w:tcPr>
          <w:p w:rsidR="00B20A2A" w:rsidRPr="00E94BF3" w:rsidRDefault="00B20A2A" w:rsidP="00C66FA4">
            <w:pPr>
              <w:widowControl w:val="0"/>
              <w:jc w:val="center"/>
              <w:rPr>
                <w:b/>
                <w:bCs/>
                <w:sz w:val="20"/>
                <w:szCs w:val="20"/>
                <w:lang w:val="es-MX"/>
              </w:rPr>
            </w:pPr>
            <w:r w:rsidRPr="00E94BF3">
              <w:rPr>
                <w:b/>
                <w:bCs/>
                <w:sz w:val="20"/>
                <w:szCs w:val="20"/>
                <w:lang w:val="es-MX"/>
              </w:rPr>
              <w:t>2016</w:t>
            </w:r>
          </w:p>
        </w:tc>
        <w:tc>
          <w:tcPr>
            <w:tcW w:w="559" w:type="pct"/>
          </w:tcPr>
          <w:p w:rsidR="00B20A2A" w:rsidRPr="00E94BF3" w:rsidRDefault="00B20A2A" w:rsidP="00C66FA4">
            <w:pPr>
              <w:widowControl w:val="0"/>
              <w:jc w:val="center"/>
              <w:rPr>
                <w:b/>
                <w:bCs/>
                <w:sz w:val="20"/>
                <w:szCs w:val="20"/>
                <w:lang w:val="es-MX"/>
              </w:rPr>
            </w:pPr>
            <w:r w:rsidRPr="00E94BF3">
              <w:rPr>
                <w:b/>
                <w:bCs/>
                <w:sz w:val="20"/>
                <w:szCs w:val="20"/>
                <w:lang w:val="es-MX"/>
              </w:rPr>
              <w:t>2017</w:t>
            </w:r>
          </w:p>
        </w:tc>
        <w:tc>
          <w:tcPr>
            <w:tcW w:w="560" w:type="pct"/>
          </w:tcPr>
          <w:p w:rsidR="00B20A2A" w:rsidRPr="00E94BF3" w:rsidRDefault="00B20A2A" w:rsidP="00C66FA4">
            <w:pPr>
              <w:widowControl w:val="0"/>
              <w:jc w:val="center"/>
              <w:rPr>
                <w:b/>
                <w:bCs/>
                <w:sz w:val="20"/>
                <w:szCs w:val="20"/>
                <w:lang w:val="es-MX"/>
              </w:rPr>
            </w:pPr>
            <w:r w:rsidRPr="00E94BF3">
              <w:rPr>
                <w:b/>
                <w:bCs/>
                <w:sz w:val="20"/>
                <w:szCs w:val="20"/>
                <w:lang w:val="es-MX"/>
              </w:rPr>
              <w:t>2018</w:t>
            </w:r>
          </w:p>
        </w:tc>
        <w:tc>
          <w:tcPr>
            <w:tcW w:w="560" w:type="pct"/>
            <w:shd w:val="clear" w:color="auto" w:fill="auto"/>
            <w:noWrap/>
            <w:vAlign w:val="center"/>
            <w:hideMark/>
          </w:tcPr>
          <w:p w:rsidR="00B20A2A" w:rsidRPr="00E94BF3" w:rsidRDefault="00B20A2A" w:rsidP="00C66FA4">
            <w:pPr>
              <w:widowControl w:val="0"/>
              <w:jc w:val="center"/>
              <w:rPr>
                <w:b/>
                <w:bCs/>
                <w:sz w:val="20"/>
                <w:szCs w:val="20"/>
                <w:lang w:val="es-MX"/>
              </w:rPr>
            </w:pPr>
            <w:r w:rsidRPr="00E94BF3">
              <w:rPr>
                <w:b/>
                <w:bCs/>
                <w:sz w:val="20"/>
                <w:szCs w:val="20"/>
                <w:lang w:val="es-MX"/>
              </w:rPr>
              <w:t>Nivel básico</w:t>
            </w:r>
          </w:p>
        </w:tc>
      </w:tr>
      <w:tr w:rsidR="00B20A2A" w:rsidRPr="00E94BF3" w:rsidTr="00C66FA4">
        <w:trPr>
          <w:trHeight w:val="240"/>
        </w:trPr>
        <w:tc>
          <w:tcPr>
            <w:tcW w:w="1642" w:type="pct"/>
            <w:shd w:val="clear" w:color="auto" w:fill="auto"/>
            <w:noWrap/>
            <w:tcMar>
              <w:left w:w="43" w:type="dxa"/>
              <w:right w:w="43" w:type="dxa"/>
            </w:tcMar>
            <w:vAlign w:val="center"/>
            <w:hideMark/>
          </w:tcPr>
          <w:p w:rsidR="00B20A2A" w:rsidRPr="00E94BF3" w:rsidRDefault="00B20A2A" w:rsidP="00C66FA4">
            <w:pPr>
              <w:widowControl w:val="0"/>
              <w:jc w:val="left"/>
              <w:rPr>
                <w:bCs/>
                <w:sz w:val="20"/>
                <w:szCs w:val="20"/>
                <w:lang w:val="es-MX"/>
              </w:rPr>
            </w:pPr>
            <w:r w:rsidRPr="00E94BF3">
              <w:rPr>
                <w:bCs/>
                <w:sz w:val="20"/>
                <w:szCs w:val="20"/>
                <w:lang w:val="es-MX"/>
              </w:rPr>
              <w:t>Toneladas métricas</w:t>
            </w:r>
          </w:p>
        </w:tc>
        <w:tc>
          <w:tcPr>
            <w:tcW w:w="559" w:type="pct"/>
            <w:shd w:val="clear" w:color="auto" w:fill="auto"/>
            <w:noWrap/>
            <w:vAlign w:val="bottom"/>
          </w:tcPr>
          <w:p w:rsidR="00B20A2A" w:rsidRPr="00E94BF3" w:rsidRDefault="00B20A2A" w:rsidP="00C66FA4">
            <w:pPr>
              <w:jc w:val="right"/>
              <w:rPr>
                <w:sz w:val="20"/>
                <w:szCs w:val="20"/>
                <w:lang w:val="es-MX"/>
              </w:rPr>
            </w:pPr>
            <w:r w:rsidRPr="00E94BF3">
              <w:rPr>
                <w:sz w:val="20"/>
                <w:szCs w:val="20"/>
                <w:lang w:val="es-MX"/>
              </w:rPr>
              <w:t>158,55</w:t>
            </w:r>
          </w:p>
        </w:tc>
        <w:tc>
          <w:tcPr>
            <w:tcW w:w="560" w:type="pct"/>
            <w:shd w:val="clear" w:color="auto" w:fill="auto"/>
            <w:noWrap/>
          </w:tcPr>
          <w:p w:rsidR="00B20A2A" w:rsidRPr="00E94BF3" w:rsidRDefault="00B20A2A" w:rsidP="00C66FA4">
            <w:pPr>
              <w:jc w:val="right"/>
              <w:rPr>
                <w:sz w:val="20"/>
                <w:szCs w:val="20"/>
                <w:lang w:val="es-MX"/>
              </w:rPr>
            </w:pPr>
            <w:r w:rsidRPr="00E94BF3">
              <w:rPr>
                <w:sz w:val="20"/>
                <w:szCs w:val="20"/>
                <w:lang w:val="es-MX"/>
              </w:rPr>
              <w:t>148,18</w:t>
            </w:r>
          </w:p>
        </w:tc>
        <w:tc>
          <w:tcPr>
            <w:tcW w:w="560" w:type="pct"/>
          </w:tcPr>
          <w:p w:rsidR="00B20A2A" w:rsidRPr="00E94BF3" w:rsidRDefault="00B20A2A" w:rsidP="00C66FA4">
            <w:pPr>
              <w:widowControl w:val="0"/>
              <w:jc w:val="right"/>
              <w:rPr>
                <w:bCs/>
                <w:sz w:val="20"/>
                <w:szCs w:val="20"/>
                <w:lang w:val="es-MX"/>
              </w:rPr>
            </w:pPr>
            <w:r w:rsidRPr="00E94BF3">
              <w:rPr>
                <w:bCs/>
                <w:sz w:val="20"/>
                <w:szCs w:val="20"/>
                <w:lang w:val="es-MX"/>
              </w:rPr>
              <w:t>144,18</w:t>
            </w:r>
          </w:p>
        </w:tc>
        <w:tc>
          <w:tcPr>
            <w:tcW w:w="559" w:type="pct"/>
          </w:tcPr>
          <w:p w:rsidR="00B20A2A" w:rsidRPr="00E94BF3" w:rsidRDefault="00B20A2A" w:rsidP="00C66FA4">
            <w:pPr>
              <w:widowControl w:val="0"/>
              <w:jc w:val="right"/>
              <w:rPr>
                <w:bCs/>
                <w:sz w:val="20"/>
                <w:szCs w:val="20"/>
                <w:lang w:val="es-MX"/>
              </w:rPr>
            </w:pPr>
            <w:r w:rsidRPr="00E94BF3">
              <w:rPr>
                <w:bCs/>
                <w:sz w:val="20"/>
                <w:szCs w:val="20"/>
                <w:lang w:val="es-MX"/>
              </w:rPr>
              <w:t>139,27</w:t>
            </w:r>
          </w:p>
        </w:tc>
        <w:tc>
          <w:tcPr>
            <w:tcW w:w="560" w:type="pct"/>
          </w:tcPr>
          <w:p w:rsidR="00B20A2A" w:rsidRPr="00E94BF3" w:rsidRDefault="00B20A2A" w:rsidP="00C66FA4">
            <w:pPr>
              <w:widowControl w:val="0"/>
              <w:jc w:val="right"/>
              <w:rPr>
                <w:rFonts w:eastAsiaTheme="minorHAnsi"/>
                <w:sz w:val="20"/>
                <w:szCs w:val="20"/>
                <w:lang w:val="es-MX"/>
              </w:rPr>
            </w:pPr>
            <w:r w:rsidRPr="00E94BF3">
              <w:rPr>
                <w:sz w:val="20"/>
                <w:szCs w:val="20"/>
                <w:lang w:val="es-MX"/>
              </w:rPr>
              <w:t>129,60</w:t>
            </w:r>
          </w:p>
        </w:tc>
        <w:tc>
          <w:tcPr>
            <w:tcW w:w="560" w:type="pct"/>
            <w:shd w:val="clear" w:color="auto" w:fill="auto"/>
            <w:noWrap/>
            <w:vAlign w:val="center"/>
          </w:tcPr>
          <w:p w:rsidR="00B20A2A" w:rsidRPr="00E94BF3" w:rsidRDefault="00B20A2A" w:rsidP="00C66FA4">
            <w:pPr>
              <w:widowControl w:val="0"/>
              <w:jc w:val="right"/>
              <w:rPr>
                <w:bCs/>
                <w:sz w:val="20"/>
                <w:szCs w:val="20"/>
                <w:lang w:val="es-MX"/>
              </w:rPr>
            </w:pPr>
            <w:r w:rsidRPr="00E94BF3">
              <w:rPr>
                <w:bCs/>
                <w:sz w:val="20"/>
                <w:szCs w:val="20"/>
                <w:lang w:val="es-MX"/>
              </w:rPr>
              <w:t>184,4</w:t>
            </w:r>
          </w:p>
        </w:tc>
      </w:tr>
      <w:tr w:rsidR="00B20A2A" w:rsidRPr="00E94BF3" w:rsidTr="00C66FA4">
        <w:trPr>
          <w:trHeight w:val="248"/>
        </w:trPr>
        <w:tc>
          <w:tcPr>
            <w:tcW w:w="1642" w:type="pct"/>
            <w:shd w:val="clear" w:color="auto" w:fill="auto"/>
            <w:noWrap/>
            <w:tcMar>
              <w:left w:w="43" w:type="dxa"/>
              <w:right w:w="43" w:type="dxa"/>
            </w:tcMar>
            <w:vAlign w:val="center"/>
            <w:hideMark/>
          </w:tcPr>
          <w:p w:rsidR="00B20A2A" w:rsidRPr="00E94BF3" w:rsidRDefault="00B20A2A" w:rsidP="00C66FA4">
            <w:pPr>
              <w:widowControl w:val="0"/>
              <w:jc w:val="left"/>
              <w:rPr>
                <w:sz w:val="20"/>
                <w:szCs w:val="20"/>
                <w:lang w:val="es-MX"/>
              </w:rPr>
            </w:pPr>
            <w:r w:rsidRPr="00E94BF3">
              <w:rPr>
                <w:bCs/>
                <w:sz w:val="20"/>
                <w:szCs w:val="20"/>
                <w:lang w:val="es-MX"/>
              </w:rPr>
              <w:t>Toneladas PAO</w:t>
            </w:r>
          </w:p>
        </w:tc>
        <w:tc>
          <w:tcPr>
            <w:tcW w:w="559" w:type="pct"/>
            <w:shd w:val="clear" w:color="auto" w:fill="auto"/>
            <w:noWrap/>
          </w:tcPr>
          <w:p w:rsidR="00B20A2A" w:rsidRPr="00E94BF3" w:rsidRDefault="00B20A2A" w:rsidP="00C66FA4">
            <w:pPr>
              <w:jc w:val="right"/>
              <w:rPr>
                <w:rFonts w:eastAsiaTheme="minorHAnsi"/>
                <w:sz w:val="20"/>
                <w:szCs w:val="20"/>
                <w:lang w:val="es-MX"/>
              </w:rPr>
            </w:pPr>
            <w:r w:rsidRPr="00E94BF3">
              <w:rPr>
                <w:sz w:val="20"/>
                <w:szCs w:val="20"/>
                <w:lang w:val="es-MX"/>
              </w:rPr>
              <w:t>8,72</w:t>
            </w:r>
          </w:p>
        </w:tc>
        <w:tc>
          <w:tcPr>
            <w:tcW w:w="560" w:type="pct"/>
            <w:shd w:val="clear" w:color="auto" w:fill="auto"/>
            <w:noWrap/>
          </w:tcPr>
          <w:p w:rsidR="00B20A2A" w:rsidRPr="00E94BF3" w:rsidRDefault="00B20A2A" w:rsidP="00C66FA4">
            <w:pPr>
              <w:jc w:val="right"/>
              <w:rPr>
                <w:sz w:val="20"/>
                <w:szCs w:val="20"/>
                <w:lang w:val="es-MX"/>
              </w:rPr>
            </w:pPr>
            <w:r w:rsidRPr="00E94BF3">
              <w:rPr>
                <w:sz w:val="20"/>
                <w:szCs w:val="20"/>
                <w:lang w:val="es-MX"/>
              </w:rPr>
              <w:t>8,15</w:t>
            </w:r>
          </w:p>
        </w:tc>
        <w:tc>
          <w:tcPr>
            <w:tcW w:w="560" w:type="pct"/>
          </w:tcPr>
          <w:p w:rsidR="00B20A2A" w:rsidRPr="00E94BF3" w:rsidRDefault="00B20A2A" w:rsidP="00C66FA4">
            <w:pPr>
              <w:jc w:val="right"/>
              <w:rPr>
                <w:sz w:val="20"/>
                <w:szCs w:val="20"/>
                <w:lang w:val="es-MX"/>
              </w:rPr>
            </w:pPr>
            <w:r w:rsidRPr="00E94BF3">
              <w:rPr>
                <w:sz w:val="20"/>
                <w:szCs w:val="20"/>
                <w:lang w:val="es-MX"/>
              </w:rPr>
              <w:t>7,93</w:t>
            </w:r>
          </w:p>
        </w:tc>
        <w:tc>
          <w:tcPr>
            <w:tcW w:w="559" w:type="pct"/>
          </w:tcPr>
          <w:p w:rsidR="00B20A2A" w:rsidRPr="00E94BF3" w:rsidRDefault="00B20A2A" w:rsidP="00C66FA4">
            <w:pPr>
              <w:jc w:val="right"/>
              <w:rPr>
                <w:sz w:val="20"/>
                <w:szCs w:val="20"/>
                <w:lang w:val="es-MX"/>
              </w:rPr>
            </w:pPr>
            <w:r w:rsidRPr="00E94BF3">
              <w:rPr>
                <w:sz w:val="20"/>
                <w:szCs w:val="20"/>
                <w:lang w:val="es-MX"/>
              </w:rPr>
              <w:t>7,66</w:t>
            </w:r>
          </w:p>
        </w:tc>
        <w:tc>
          <w:tcPr>
            <w:tcW w:w="560" w:type="pct"/>
          </w:tcPr>
          <w:p w:rsidR="00B20A2A" w:rsidRPr="00E94BF3" w:rsidRDefault="00B20A2A" w:rsidP="00C66FA4">
            <w:pPr>
              <w:jc w:val="right"/>
              <w:rPr>
                <w:rFonts w:eastAsiaTheme="minorHAnsi"/>
                <w:sz w:val="20"/>
                <w:szCs w:val="20"/>
                <w:lang w:val="es-MX"/>
              </w:rPr>
            </w:pPr>
            <w:r w:rsidRPr="00E94BF3">
              <w:rPr>
                <w:sz w:val="20"/>
                <w:szCs w:val="20"/>
                <w:lang w:val="es-MX"/>
              </w:rPr>
              <w:t>7,13</w:t>
            </w:r>
          </w:p>
        </w:tc>
        <w:tc>
          <w:tcPr>
            <w:tcW w:w="560" w:type="pct"/>
            <w:shd w:val="clear" w:color="auto" w:fill="auto"/>
            <w:noWrap/>
          </w:tcPr>
          <w:p w:rsidR="00B20A2A" w:rsidRPr="00E94BF3" w:rsidRDefault="00B20A2A" w:rsidP="00C66FA4">
            <w:pPr>
              <w:jc w:val="right"/>
              <w:rPr>
                <w:rFonts w:eastAsiaTheme="minorHAnsi"/>
                <w:sz w:val="20"/>
                <w:szCs w:val="20"/>
                <w:lang w:val="es-MX"/>
              </w:rPr>
            </w:pPr>
            <w:r w:rsidRPr="00E94BF3">
              <w:rPr>
                <w:sz w:val="20"/>
                <w:szCs w:val="20"/>
                <w:lang w:val="es-MX"/>
              </w:rPr>
              <w:t>10,14</w:t>
            </w:r>
          </w:p>
        </w:tc>
      </w:tr>
    </w:tbl>
    <w:p w:rsidR="00B20A2A" w:rsidRPr="00E94BF3" w:rsidRDefault="00B20A2A" w:rsidP="00B20A2A">
      <w:pPr>
        <w:rPr>
          <w:lang w:val="es-MX"/>
        </w:rPr>
      </w:pPr>
    </w:p>
    <w:p w:rsidR="00B20A2A" w:rsidRPr="00E94BF3" w:rsidRDefault="00B20A2A" w:rsidP="00B20A2A">
      <w:pPr>
        <w:pStyle w:val="Heading1"/>
        <w:rPr>
          <w:lang w:val="es-MX"/>
        </w:rPr>
      </w:pPr>
      <w:r w:rsidRPr="00E94BF3">
        <w:rPr>
          <w:lang w:val="es-MX"/>
        </w:rPr>
        <w:t xml:space="preserve">El consumo de HCFC en el Congo tiene lugar únicamente en el sector de servicio y mantenimiento, principalmente en los equipos de aire acondicionado. Este consumo se está reduciendo principalmente debido a controles sobre el suministro de HCFC en el país y la capacitación en buenas prácticas, que reducen el uso de HCFC durante el mantenimiento de los equipos. En el mercado se utiliza aire acondicionado sin HCFC y con R-410A y R-407C. </w:t>
      </w:r>
    </w:p>
    <w:p w:rsidR="00B20A2A" w:rsidRPr="00E94BF3" w:rsidRDefault="00B20A2A" w:rsidP="00B20A2A">
      <w:pPr>
        <w:rPr>
          <w:i/>
          <w:lang w:val="es-MX"/>
        </w:rPr>
      </w:pPr>
      <w:r w:rsidRPr="00E94BF3">
        <w:rPr>
          <w:i/>
          <w:lang w:val="es-MX"/>
        </w:rPr>
        <w:t>Informe sobre la ejecución del programa de país</w:t>
      </w:r>
    </w:p>
    <w:p w:rsidR="00B20A2A" w:rsidRPr="00E94BF3" w:rsidRDefault="00B20A2A" w:rsidP="00B20A2A">
      <w:pPr>
        <w:rPr>
          <w:lang w:val="es-MX"/>
        </w:rPr>
      </w:pPr>
    </w:p>
    <w:p w:rsidR="00B20A2A" w:rsidRPr="00E94BF3" w:rsidRDefault="00B20A2A" w:rsidP="00B20A2A">
      <w:pPr>
        <w:pStyle w:val="Heading1"/>
        <w:rPr>
          <w:lang w:val="es-MX"/>
        </w:rPr>
      </w:pPr>
      <w:r w:rsidRPr="00E94BF3">
        <w:rPr>
          <w:lang w:val="es-MX"/>
        </w:rPr>
        <w:t xml:space="preserve">El Gobierno del Congo presentó datos sobre el consumo de HCFC por sectores en el informe de ejecución del programa de país para 2018 CP, que concuerdan con los datos notificados con arreglo al artículo 7 del Protocolo de Montreal. </w:t>
      </w:r>
    </w:p>
    <w:p w:rsidR="00B20A2A" w:rsidRPr="00E94BF3" w:rsidRDefault="00B20A2A" w:rsidP="00B20A2A">
      <w:pPr>
        <w:rPr>
          <w:u w:val="single"/>
          <w:lang w:val="es-MX"/>
        </w:rPr>
      </w:pPr>
      <w:r w:rsidRPr="00E94BF3">
        <w:rPr>
          <w:u w:val="single"/>
          <w:lang w:val="es-MX"/>
        </w:rPr>
        <w:t>Informe sobre la marcha de las actividades de ejecución del tercer tramo del plan de gestión de la eliminación de los HCFC</w:t>
      </w:r>
    </w:p>
    <w:p w:rsidR="00B20A2A" w:rsidRPr="00E94BF3" w:rsidRDefault="00B20A2A" w:rsidP="00B20A2A">
      <w:pPr>
        <w:rPr>
          <w:lang w:val="es-MX"/>
        </w:rPr>
      </w:pPr>
    </w:p>
    <w:p w:rsidR="00B20A2A" w:rsidRPr="00E94BF3" w:rsidRDefault="00B20A2A" w:rsidP="00B20A2A">
      <w:pPr>
        <w:rPr>
          <w:i/>
          <w:lang w:val="es-MX"/>
        </w:rPr>
      </w:pPr>
      <w:r w:rsidRPr="00E94BF3">
        <w:rPr>
          <w:i/>
          <w:lang w:val="es-MX"/>
        </w:rPr>
        <w:t>Marco jurídico</w:t>
      </w:r>
    </w:p>
    <w:p w:rsidR="00B20A2A" w:rsidRPr="00E94BF3" w:rsidRDefault="00B20A2A" w:rsidP="00B20A2A">
      <w:pPr>
        <w:rPr>
          <w:lang w:val="es-MX"/>
        </w:rPr>
      </w:pPr>
    </w:p>
    <w:p w:rsidR="00B20A2A" w:rsidRPr="00E94BF3" w:rsidRDefault="00B20A2A" w:rsidP="00B20A2A">
      <w:pPr>
        <w:pStyle w:val="Heading1"/>
        <w:rPr>
          <w:lang w:val="es-MX"/>
        </w:rPr>
      </w:pPr>
      <w:r w:rsidRPr="00E94BF3">
        <w:rPr>
          <w:lang w:val="es-MX"/>
        </w:rPr>
        <w:t>El sistema de concesión de licencias de importación/exportación de ODS (HCFC) en el Congo se rige por el Decreto Marco Reglamentario del 13 de mayo de 2002, que controla las importaciones, exportaciones y reexportaciones de SAO y de equipo que contenga SAO (entre ellas los HCFC). Esta decisión se apoya además en un reglamento subregional establecido por la Comunidad Económica y Monetaria del África Central (CEMAC) en noviembre de 2004, cuya finalidad es armonizar el reglamento relacionado con la importación, la comercialización, el uso y la reexportación de SAO y sus contenedores. El reglamento de la CEMAC controla también los HCFC y los equipos que usan HCFC. El Gobierno también propone implementar en 2020 reglamentación sobre la certificación de los técnicos.</w:t>
      </w:r>
    </w:p>
    <w:p w:rsidR="002458C6" w:rsidRDefault="002458C6">
      <w:pPr>
        <w:jc w:val="left"/>
        <w:rPr>
          <w:i/>
          <w:lang w:val="es-MX"/>
        </w:rPr>
      </w:pPr>
      <w:r>
        <w:rPr>
          <w:i/>
          <w:lang w:val="es-MX"/>
        </w:rPr>
        <w:br w:type="page"/>
      </w:r>
    </w:p>
    <w:p w:rsidR="00B20A2A" w:rsidRPr="00E94BF3" w:rsidRDefault="00B20A2A" w:rsidP="00B20A2A">
      <w:pPr>
        <w:rPr>
          <w:i/>
          <w:lang w:val="es-MX"/>
        </w:rPr>
      </w:pPr>
      <w:bookmarkStart w:id="0" w:name="_GoBack"/>
      <w:bookmarkEnd w:id="0"/>
      <w:r w:rsidRPr="00E94BF3">
        <w:rPr>
          <w:i/>
          <w:lang w:val="es-MX"/>
        </w:rPr>
        <w:lastRenderedPageBreak/>
        <w:t>Sector de mantenimiento de refrigeración</w:t>
      </w:r>
    </w:p>
    <w:p w:rsidR="00B20A2A" w:rsidRPr="00E94BF3" w:rsidRDefault="00B20A2A" w:rsidP="00B20A2A">
      <w:pPr>
        <w:rPr>
          <w:lang w:val="es-MX"/>
        </w:rPr>
      </w:pPr>
    </w:p>
    <w:p w:rsidR="00B20A2A" w:rsidRPr="00E94BF3" w:rsidRDefault="00B20A2A" w:rsidP="00B20A2A">
      <w:pPr>
        <w:pStyle w:val="Heading1"/>
        <w:rPr>
          <w:lang w:val="es-MX"/>
        </w:rPr>
      </w:pPr>
      <w:r w:rsidRPr="00E94BF3">
        <w:rPr>
          <w:lang w:val="es-MX"/>
        </w:rPr>
        <w:t>Se han llevado a cabo las siguientes actividades:</w:t>
      </w:r>
    </w:p>
    <w:p w:rsidR="00B20A2A" w:rsidRPr="00E94BF3" w:rsidRDefault="00B20A2A" w:rsidP="00B20A2A">
      <w:pPr>
        <w:pStyle w:val="Heading2"/>
        <w:rPr>
          <w:lang w:val="es-MX"/>
        </w:rPr>
      </w:pPr>
      <w:r w:rsidRPr="00E94BF3">
        <w:rPr>
          <w:lang w:val="es-MX"/>
        </w:rPr>
        <w:t xml:space="preserve">Tres talleres para 69 oficiales de aduanas y funcionarios comerciales para la identificación y el control de los HCFC y los equipos que usan HCFC; se ha planificado un taller adicional para 25 participantes en noviembre de 2019; </w:t>
      </w:r>
    </w:p>
    <w:p w:rsidR="00B20A2A" w:rsidRPr="00E94BF3" w:rsidRDefault="00B20A2A" w:rsidP="00B20A2A">
      <w:pPr>
        <w:pStyle w:val="Heading2"/>
        <w:keepNext/>
        <w:keepLines/>
        <w:rPr>
          <w:lang w:val="es-MX"/>
        </w:rPr>
      </w:pPr>
      <w:r w:rsidRPr="00E94BF3">
        <w:rPr>
          <w:lang w:val="es-MX"/>
        </w:rPr>
        <w:t>Compra y distribución de 13 identificadores de refrigerantes para aduanas, la Dependencia Nacional del Ozono (NOU) y los departamentos administrativos implicados en las aduanas y controles fronterizos para fortalecer el comercio de HCFC;</w:t>
      </w:r>
    </w:p>
    <w:p w:rsidR="00B20A2A" w:rsidRPr="00E94BF3" w:rsidRDefault="00B20A2A" w:rsidP="00B20A2A">
      <w:pPr>
        <w:pStyle w:val="Heading2"/>
        <w:rPr>
          <w:lang w:val="es-MX"/>
        </w:rPr>
      </w:pPr>
      <w:r w:rsidRPr="00E94BF3">
        <w:rPr>
          <w:lang w:val="es-MX"/>
        </w:rPr>
        <w:t xml:space="preserve">Tres talleres para 49 técnicos de refrigeración sobre buenas prácticas en mantenimiento de equipos de refrigeración y aire acondicionado y manipulación de refrigerantes a base de hidrocarburos en condiciones seguras.  El Gobierno planea celebrar tres </w:t>
      </w:r>
      <w:r w:rsidR="00E94BF3" w:rsidRPr="00E94BF3">
        <w:rPr>
          <w:lang w:val="es-MX"/>
        </w:rPr>
        <w:t>talleres</w:t>
      </w:r>
      <w:r w:rsidRPr="00E94BF3">
        <w:rPr>
          <w:lang w:val="es-MX"/>
        </w:rPr>
        <w:t xml:space="preserve"> adicionales de capacitación para 90 participantes antes de diciembre de 2019; y</w:t>
      </w:r>
    </w:p>
    <w:p w:rsidR="00B20A2A" w:rsidRPr="00E94BF3" w:rsidRDefault="00B20A2A" w:rsidP="00B20A2A">
      <w:pPr>
        <w:pStyle w:val="Heading2"/>
        <w:rPr>
          <w:lang w:val="es-MX"/>
        </w:rPr>
      </w:pPr>
      <w:r w:rsidRPr="00E94BF3">
        <w:rPr>
          <w:lang w:val="es-MX"/>
        </w:rPr>
        <w:t xml:space="preserve">Compra y distribución de unidades de aire acondicionado 30 R-290 para la Dependencia Nacional del Ozono, el </w:t>
      </w:r>
      <w:r w:rsidR="00E94BF3" w:rsidRPr="00E94BF3">
        <w:rPr>
          <w:lang w:val="es-MX"/>
        </w:rPr>
        <w:t>Ministerio</w:t>
      </w:r>
      <w:r w:rsidRPr="00E94BF3">
        <w:rPr>
          <w:lang w:val="es-MX"/>
        </w:rPr>
        <w:t xml:space="preserve"> de Turismo y Medio Ambiente y los diferentes departamentos gubernamentales de otras 12 ciudades para la promoción y demostración de tecnología de productos con bajo potencial de calentamiento y la eficacia de los productos.</w:t>
      </w:r>
    </w:p>
    <w:p w:rsidR="00B20A2A" w:rsidRPr="00E94BF3" w:rsidRDefault="00B20A2A" w:rsidP="00B20A2A">
      <w:pPr>
        <w:rPr>
          <w:lang w:val="es-MX"/>
        </w:rPr>
      </w:pPr>
      <w:r w:rsidRPr="00E94BF3">
        <w:rPr>
          <w:lang w:val="es-MX"/>
        </w:rPr>
        <w:t>Unidad de ejecución de proyecto y supervisión</w:t>
      </w:r>
    </w:p>
    <w:p w:rsidR="00B20A2A" w:rsidRPr="00E94BF3" w:rsidRDefault="00B20A2A" w:rsidP="00B20A2A">
      <w:pPr>
        <w:rPr>
          <w:lang w:val="es-MX"/>
        </w:rPr>
      </w:pPr>
    </w:p>
    <w:p w:rsidR="00B20A2A" w:rsidRPr="00E94BF3" w:rsidRDefault="00B20A2A" w:rsidP="00B20A2A">
      <w:pPr>
        <w:pStyle w:val="Heading1"/>
        <w:rPr>
          <w:lang w:val="es-MX"/>
        </w:rPr>
      </w:pPr>
      <w:r w:rsidRPr="00E94BF3">
        <w:rPr>
          <w:lang w:val="es-MX"/>
        </w:rPr>
        <w:t>La Dependencia Nacional del Ozono ha estado supervisando la ejecución del plan de gestión de la eliminación de los HCFC y recopilando datos pertinentes con la asistencia de dos consultores. Los gastos de la Unidad de ejecución de proyecto y supervisión ascienden a 5.000 $EUA para personal y gastos de consultores, 4.000 $EUA para costos de viaje y 1.000 $USD para costos de comunicaciones; esto equivale a los fondos asignados para la Unidad de ejecución de proyecto y supervisión.</w:t>
      </w:r>
    </w:p>
    <w:p w:rsidR="00B20A2A" w:rsidRPr="00E94BF3" w:rsidRDefault="00B20A2A" w:rsidP="00B20A2A">
      <w:pPr>
        <w:keepNext/>
        <w:rPr>
          <w:u w:val="single"/>
          <w:lang w:val="es-MX"/>
        </w:rPr>
      </w:pPr>
      <w:r w:rsidRPr="00E94BF3">
        <w:rPr>
          <w:u w:val="single"/>
          <w:lang w:val="es-MX"/>
        </w:rPr>
        <w:t>Nivel de desembolso de los fondos</w:t>
      </w:r>
    </w:p>
    <w:p w:rsidR="00B20A2A" w:rsidRPr="00E94BF3" w:rsidRDefault="00B20A2A" w:rsidP="00B20A2A">
      <w:pPr>
        <w:keepNext/>
        <w:rPr>
          <w:lang w:val="es-MX"/>
        </w:rPr>
      </w:pPr>
    </w:p>
    <w:p w:rsidR="00B20A2A" w:rsidRPr="00E94BF3" w:rsidRDefault="00B20A2A" w:rsidP="00B20A2A">
      <w:pPr>
        <w:pStyle w:val="Heading1"/>
        <w:keepNext/>
        <w:rPr>
          <w:b/>
          <w:lang w:val="es-MX"/>
        </w:rPr>
      </w:pPr>
      <w:r w:rsidRPr="00E94BF3">
        <w:rPr>
          <w:lang w:val="es-MX"/>
        </w:rPr>
        <w:t>En octubre de 2019, de los 288.626 $EUA aprobados hasta la fecha, se habían desembolsado 261.953 $EUA (95.000 $EUA para el PNUMA y 166.953 $EUA para la ONUDI) como se indica en el cuadro 2. Se espera desembolsar el saldo de 26.673 $EUA antes del 30 de junio de 2020.</w:t>
      </w:r>
    </w:p>
    <w:p w:rsidR="00B20A2A" w:rsidRPr="00E94BF3" w:rsidRDefault="00B20A2A" w:rsidP="00B20A2A">
      <w:pPr>
        <w:rPr>
          <w:b/>
          <w:lang w:val="es-MX"/>
        </w:rPr>
      </w:pPr>
      <w:r w:rsidRPr="00E94BF3">
        <w:rPr>
          <w:b/>
          <w:lang w:val="es-MX"/>
        </w:rPr>
        <w:t>Cuadro 2. Informe financiero de la etapa I del plan de gestión de la eliminación de los HCFC correspondiente al Congo ($EUA)</w:t>
      </w: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134"/>
        <w:gridCol w:w="1417"/>
        <w:gridCol w:w="1417"/>
        <w:gridCol w:w="1418"/>
        <w:gridCol w:w="2410"/>
      </w:tblGrid>
      <w:tr w:rsidR="00B20A2A" w:rsidRPr="00E94BF3" w:rsidTr="00C66FA4">
        <w:trPr>
          <w:trHeight w:val="404"/>
          <w:tblHeader/>
        </w:trPr>
        <w:tc>
          <w:tcPr>
            <w:tcW w:w="2671" w:type="dxa"/>
            <w:gridSpan w:val="2"/>
            <w:shd w:val="clear" w:color="auto" w:fill="auto"/>
            <w:noWrap/>
            <w:vAlign w:val="center"/>
            <w:hideMark/>
          </w:tcPr>
          <w:p w:rsidR="00B20A2A" w:rsidRPr="00E94BF3" w:rsidRDefault="00B20A2A" w:rsidP="00C66FA4">
            <w:pPr>
              <w:rPr>
                <w:b/>
                <w:bCs/>
                <w:sz w:val="20"/>
                <w:szCs w:val="20"/>
                <w:lang w:val="es-MX"/>
              </w:rPr>
            </w:pPr>
            <w:r w:rsidRPr="00E94BF3">
              <w:rPr>
                <w:b/>
                <w:bCs/>
                <w:sz w:val="20"/>
                <w:szCs w:val="20"/>
                <w:lang w:val="es-MX"/>
              </w:rPr>
              <w:t>Tramo</w:t>
            </w:r>
          </w:p>
        </w:tc>
        <w:tc>
          <w:tcPr>
            <w:tcW w:w="1417" w:type="dxa"/>
            <w:shd w:val="clear" w:color="auto" w:fill="auto"/>
            <w:noWrap/>
            <w:vAlign w:val="center"/>
            <w:hideMark/>
          </w:tcPr>
          <w:p w:rsidR="00B20A2A" w:rsidRPr="00E94BF3" w:rsidRDefault="00B20A2A" w:rsidP="00C66FA4">
            <w:pPr>
              <w:jc w:val="center"/>
              <w:rPr>
                <w:b/>
                <w:sz w:val="20"/>
                <w:szCs w:val="20"/>
                <w:lang w:val="es-MX"/>
              </w:rPr>
            </w:pPr>
            <w:r w:rsidRPr="00E94BF3">
              <w:rPr>
                <w:b/>
                <w:sz w:val="20"/>
                <w:szCs w:val="20"/>
                <w:lang w:val="es-MX"/>
              </w:rPr>
              <w:t>PNUMA</w:t>
            </w:r>
          </w:p>
        </w:tc>
        <w:tc>
          <w:tcPr>
            <w:tcW w:w="1417" w:type="dxa"/>
            <w:vAlign w:val="center"/>
          </w:tcPr>
          <w:p w:rsidR="00B20A2A" w:rsidRPr="00E94BF3" w:rsidRDefault="00B20A2A" w:rsidP="00C66FA4">
            <w:pPr>
              <w:jc w:val="center"/>
              <w:rPr>
                <w:b/>
                <w:sz w:val="20"/>
                <w:szCs w:val="20"/>
                <w:lang w:val="es-MX"/>
              </w:rPr>
            </w:pPr>
            <w:r w:rsidRPr="00E94BF3">
              <w:rPr>
                <w:b/>
                <w:sz w:val="20"/>
                <w:szCs w:val="20"/>
                <w:lang w:val="es-MX"/>
              </w:rPr>
              <w:t>ONUDI</w:t>
            </w:r>
          </w:p>
        </w:tc>
        <w:tc>
          <w:tcPr>
            <w:tcW w:w="1418" w:type="dxa"/>
            <w:shd w:val="clear" w:color="auto" w:fill="auto"/>
            <w:noWrap/>
            <w:vAlign w:val="center"/>
            <w:hideMark/>
          </w:tcPr>
          <w:p w:rsidR="00B20A2A" w:rsidRPr="00E94BF3" w:rsidRDefault="00B20A2A" w:rsidP="00C66FA4">
            <w:pPr>
              <w:jc w:val="center"/>
              <w:rPr>
                <w:b/>
                <w:sz w:val="20"/>
                <w:szCs w:val="20"/>
                <w:lang w:val="es-MX"/>
              </w:rPr>
            </w:pPr>
            <w:r w:rsidRPr="00E94BF3">
              <w:rPr>
                <w:b/>
                <w:sz w:val="20"/>
                <w:szCs w:val="20"/>
                <w:lang w:val="es-MX"/>
              </w:rPr>
              <w:t>Total</w:t>
            </w:r>
          </w:p>
        </w:tc>
        <w:tc>
          <w:tcPr>
            <w:tcW w:w="2410" w:type="dxa"/>
            <w:shd w:val="clear" w:color="auto" w:fill="auto"/>
            <w:noWrap/>
            <w:vAlign w:val="center"/>
            <w:hideMark/>
          </w:tcPr>
          <w:p w:rsidR="00B20A2A" w:rsidRPr="00E94BF3" w:rsidRDefault="00B20A2A" w:rsidP="00C66FA4">
            <w:pPr>
              <w:jc w:val="center"/>
              <w:rPr>
                <w:b/>
                <w:sz w:val="20"/>
                <w:szCs w:val="20"/>
                <w:lang w:val="es-MX"/>
              </w:rPr>
            </w:pPr>
            <w:r w:rsidRPr="00E94BF3">
              <w:rPr>
                <w:b/>
                <w:sz w:val="20"/>
                <w:szCs w:val="20"/>
                <w:lang w:val="es-MX"/>
              </w:rPr>
              <w:t>Tasa de desembolso (%)</w:t>
            </w:r>
          </w:p>
        </w:tc>
      </w:tr>
      <w:tr w:rsidR="00B20A2A" w:rsidRPr="00E94BF3" w:rsidTr="00C66FA4">
        <w:trPr>
          <w:trHeight w:val="179"/>
        </w:trPr>
        <w:tc>
          <w:tcPr>
            <w:tcW w:w="1537" w:type="dxa"/>
            <w:vMerge w:val="restart"/>
            <w:shd w:val="clear" w:color="auto" w:fill="auto"/>
            <w:noWrap/>
            <w:vAlign w:val="center"/>
            <w:hideMark/>
          </w:tcPr>
          <w:p w:rsidR="00B20A2A" w:rsidRPr="00E94BF3" w:rsidRDefault="00B20A2A" w:rsidP="00C66FA4">
            <w:pPr>
              <w:jc w:val="left"/>
              <w:rPr>
                <w:bCs/>
                <w:sz w:val="20"/>
                <w:szCs w:val="20"/>
                <w:lang w:val="es-MX"/>
              </w:rPr>
            </w:pPr>
            <w:r w:rsidRPr="00E94BF3">
              <w:rPr>
                <w:bCs/>
                <w:sz w:val="20"/>
                <w:szCs w:val="20"/>
                <w:lang w:val="es-MX"/>
              </w:rPr>
              <w:t>Primer tramo</w:t>
            </w:r>
          </w:p>
        </w:tc>
        <w:tc>
          <w:tcPr>
            <w:tcW w:w="1134" w:type="dxa"/>
            <w:shd w:val="clear" w:color="auto" w:fill="auto"/>
            <w:noWrap/>
            <w:vAlign w:val="center"/>
            <w:hideMark/>
          </w:tcPr>
          <w:p w:rsidR="00B20A2A" w:rsidRPr="00E94BF3" w:rsidRDefault="00B20A2A" w:rsidP="00C66FA4">
            <w:pPr>
              <w:rPr>
                <w:bCs/>
                <w:sz w:val="20"/>
                <w:szCs w:val="20"/>
                <w:lang w:val="es-MX"/>
              </w:rPr>
            </w:pPr>
            <w:r w:rsidRPr="00E94BF3">
              <w:rPr>
                <w:bCs/>
                <w:sz w:val="20"/>
                <w:szCs w:val="20"/>
                <w:lang w:val="es-MX"/>
              </w:rPr>
              <w:t xml:space="preserve">Aprobado </w:t>
            </w:r>
          </w:p>
        </w:tc>
        <w:tc>
          <w:tcPr>
            <w:tcW w:w="1417" w:type="dxa"/>
            <w:shd w:val="clear" w:color="auto" w:fill="auto"/>
            <w:noWrap/>
            <w:vAlign w:val="center"/>
          </w:tcPr>
          <w:p w:rsidR="00B20A2A" w:rsidRPr="00E94BF3" w:rsidRDefault="00B20A2A" w:rsidP="00C66FA4">
            <w:pPr>
              <w:jc w:val="right"/>
              <w:rPr>
                <w:sz w:val="20"/>
                <w:szCs w:val="20"/>
                <w:lang w:val="es-MX"/>
              </w:rPr>
            </w:pPr>
            <w:r w:rsidRPr="00E94BF3">
              <w:rPr>
                <w:sz w:val="20"/>
                <w:szCs w:val="20"/>
                <w:lang w:val="es-MX"/>
              </w:rPr>
              <w:t>45.000</w:t>
            </w:r>
          </w:p>
        </w:tc>
        <w:tc>
          <w:tcPr>
            <w:tcW w:w="1417" w:type="dxa"/>
            <w:vAlign w:val="center"/>
          </w:tcPr>
          <w:p w:rsidR="00B20A2A" w:rsidRPr="00E94BF3" w:rsidRDefault="00B20A2A" w:rsidP="00C66FA4">
            <w:pPr>
              <w:jc w:val="right"/>
              <w:rPr>
                <w:sz w:val="20"/>
                <w:szCs w:val="20"/>
                <w:lang w:val="es-MX"/>
              </w:rPr>
            </w:pPr>
            <w:r w:rsidRPr="00E94BF3">
              <w:rPr>
                <w:sz w:val="20"/>
                <w:szCs w:val="20"/>
                <w:lang w:val="es-MX"/>
              </w:rPr>
              <w:t>98.626*</w:t>
            </w:r>
          </w:p>
        </w:tc>
        <w:tc>
          <w:tcPr>
            <w:tcW w:w="1418" w:type="dxa"/>
            <w:shd w:val="clear" w:color="auto" w:fill="auto"/>
            <w:noWrap/>
            <w:vAlign w:val="center"/>
          </w:tcPr>
          <w:p w:rsidR="00B20A2A" w:rsidRPr="00E94BF3" w:rsidRDefault="00B20A2A" w:rsidP="00C66FA4">
            <w:pPr>
              <w:jc w:val="right"/>
              <w:rPr>
                <w:sz w:val="20"/>
                <w:szCs w:val="20"/>
                <w:lang w:val="es-MX"/>
              </w:rPr>
            </w:pPr>
            <w:r w:rsidRPr="00E94BF3">
              <w:rPr>
                <w:sz w:val="20"/>
                <w:szCs w:val="20"/>
                <w:lang w:val="es-MX"/>
              </w:rPr>
              <w:t>143.626</w:t>
            </w:r>
          </w:p>
        </w:tc>
        <w:tc>
          <w:tcPr>
            <w:tcW w:w="2410" w:type="dxa"/>
            <w:vMerge w:val="restart"/>
            <w:shd w:val="clear" w:color="auto" w:fill="auto"/>
            <w:noWrap/>
            <w:vAlign w:val="center"/>
          </w:tcPr>
          <w:p w:rsidR="00B20A2A" w:rsidRPr="00E94BF3" w:rsidRDefault="00B20A2A" w:rsidP="00C66FA4">
            <w:pPr>
              <w:jc w:val="center"/>
              <w:rPr>
                <w:b/>
                <w:sz w:val="20"/>
                <w:szCs w:val="20"/>
                <w:lang w:val="es-MX"/>
              </w:rPr>
            </w:pPr>
            <w:r w:rsidRPr="00E94BF3">
              <w:rPr>
                <w:b/>
                <w:sz w:val="20"/>
                <w:szCs w:val="20"/>
                <w:lang w:val="es-MX"/>
              </w:rPr>
              <w:t>100</w:t>
            </w:r>
          </w:p>
        </w:tc>
      </w:tr>
      <w:tr w:rsidR="00B20A2A" w:rsidRPr="00E94BF3" w:rsidTr="00C66FA4">
        <w:trPr>
          <w:trHeight w:val="215"/>
        </w:trPr>
        <w:tc>
          <w:tcPr>
            <w:tcW w:w="1537" w:type="dxa"/>
            <w:vMerge/>
            <w:vAlign w:val="center"/>
            <w:hideMark/>
          </w:tcPr>
          <w:p w:rsidR="00B20A2A" w:rsidRPr="00E94BF3" w:rsidRDefault="00B20A2A" w:rsidP="00C66FA4">
            <w:pPr>
              <w:jc w:val="left"/>
              <w:rPr>
                <w:bCs/>
                <w:sz w:val="20"/>
                <w:szCs w:val="20"/>
                <w:lang w:val="es-MX" w:eastAsia="en-CA"/>
              </w:rPr>
            </w:pPr>
          </w:p>
        </w:tc>
        <w:tc>
          <w:tcPr>
            <w:tcW w:w="1134" w:type="dxa"/>
            <w:shd w:val="clear" w:color="auto" w:fill="auto"/>
            <w:noWrap/>
            <w:vAlign w:val="center"/>
            <w:hideMark/>
          </w:tcPr>
          <w:p w:rsidR="00B20A2A" w:rsidRPr="00E94BF3" w:rsidRDefault="00B20A2A" w:rsidP="00C66FA4">
            <w:pPr>
              <w:rPr>
                <w:bCs/>
                <w:sz w:val="20"/>
                <w:szCs w:val="20"/>
                <w:lang w:val="es-MX"/>
              </w:rPr>
            </w:pPr>
            <w:r w:rsidRPr="00E94BF3">
              <w:rPr>
                <w:bCs/>
                <w:sz w:val="20"/>
                <w:szCs w:val="20"/>
                <w:lang w:val="es-MX"/>
              </w:rPr>
              <w:t xml:space="preserve">Desembolsado </w:t>
            </w:r>
          </w:p>
        </w:tc>
        <w:tc>
          <w:tcPr>
            <w:tcW w:w="1417" w:type="dxa"/>
            <w:shd w:val="clear" w:color="auto" w:fill="auto"/>
            <w:noWrap/>
            <w:vAlign w:val="center"/>
          </w:tcPr>
          <w:p w:rsidR="00B20A2A" w:rsidRPr="00E94BF3" w:rsidRDefault="00B20A2A" w:rsidP="00C66FA4">
            <w:pPr>
              <w:jc w:val="right"/>
              <w:rPr>
                <w:sz w:val="20"/>
                <w:szCs w:val="20"/>
                <w:lang w:val="es-MX"/>
              </w:rPr>
            </w:pPr>
            <w:r w:rsidRPr="00E94BF3">
              <w:rPr>
                <w:sz w:val="20"/>
                <w:szCs w:val="20"/>
                <w:lang w:val="es-MX"/>
              </w:rPr>
              <w:t>45.000</w:t>
            </w:r>
          </w:p>
        </w:tc>
        <w:tc>
          <w:tcPr>
            <w:tcW w:w="1417" w:type="dxa"/>
            <w:vAlign w:val="center"/>
          </w:tcPr>
          <w:p w:rsidR="00B20A2A" w:rsidRPr="00E94BF3" w:rsidRDefault="00B20A2A" w:rsidP="00C66FA4">
            <w:pPr>
              <w:jc w:val="right"/>
              <w:rPr>
                <w:sz w:val="20"/>
                <w:szCs w:val="20"/>
                <w:lang w:val="es-MX"/>
              </w:rPr>
            </w:pPr>
            <w:r w:rsidRPr="00E94BF3">
              <w:rPr>
                <w:sz w:val="20"/>
                <w:szCs w:val="20"/>
                <w:lang w:val="es-MX"/>
              </w:rPr>
              <w:t>98.626</w:t>
            </w:r>
          </w:p>
        </w:tc>
        <w:tc>
          <w:tcPr>
            <w:tcW w:w="1418" w:type="dxa"/>
            <w:shd w:val="clear" w:color="auto" w:fill="auto"/>
            <w:noWrap/>
            <w:vAlign w:val="center"/>
          </w:tcPr>
          <w:p w:rsidR="00B20A2A" w:rsidRPr="00E94BF3" w:rsidRDefault="00B20A2A" w:rsidP="00C66FA4">
            <w:pPr>
              <w:jc w:val="right"/>
              <w:rPr>
                <w:sz w:val="20"/>
                <w:szCs w:val="20"/>
                <w:lang w:val="es-MX"/>
              </w:rPr>
            </w:pPr>
            <w:r w:rsidRPr="00E94BF3">
              <w:rPr>
                <w:sz w:val="20"/>
                <w:szCs w:val="20"/>
                <w:lang w:val="es-MX"/>
              </w:rPr>
              <w:t>143.626</w:t>
            </w:r>
          </w:p>
        </w:tc>
        <w:tc>
          <w:tcPr>
            <w:tcW w:w="2410" w:type="dxa"/>
            <w:vMerge/>
            <w:vAlign w:val="center"/>
          </w:tcPr>
          <w:p w:rsidR="00B20A2A" w:rsidRPr="00E94BF3" w:rsidRDefault="00B20A2A" w:rsidP="00C66FA4">
            <w:pPr>
              <w:jc w:val="center"/>
              <w:rPr>
                <w:sz w:val="20"/>
                <w:szCs w:val="20"/>
                <w:lang w:val="es-MX" w:eastAsia="en-CA"/>
              </w:rPr>
            </w:pPr>
          </w:p>
        </w:tc>
      </w:tr>
      <w:tr w:rsidR="00B20A2A" w:rsidRPr="00E94BF3" w:rsidTr="00C66FA4">
        <w:trPr>
          <w:trHeight w:val="152"/>
        </w:trPr>
        <w:tc>
          <w:tcPr>
            <w:tcW w:w="1537" w:type="dxa"/>
            <w:vMerge w:val="restart"/>
            <w:shd w:val="clear" w:color="auto" w:fill="auto"/>
            <w:noWrap/>
            <w:vAlign w:val="center"/>
            <w:hideMark/>
          </w:tcPr>
          <w:p w:rsidR="00B20A2A" w:rsidRPr="00E94BF3" w:rsidRDefault="00B20A2A" w:rsidP="00C66FA4">
            <w:pPr>
              <w:jc w:val="left"/>
              <w:rPr>
                <w:bCs/>
                <w:sz w:val="20"/>
                <w:szCs w:val="20"/>
                <w:lang w:val="es-MX"/>
              </w:rPr>
            </w:pPr>
            <w:r w:rsidRPr="00E94BF3">
              <w:rPr>
                <w:bCs/>
                <w:sz w:val="20"/>
                <w:szCs w:val="20"/>
                <w:lang w:val="es-MX"/>
              </w:rPr>
              <w:t>Segundo tramo</w:t>
            </w:r>
          </w:p>
        </w:tc>
        <w:tc>
          <w:tcPr>
            <w:tcW w:w="1134" w:type="dxa"/>
            <w:shd w:val="clear" w:color="auto" w:fill="auto"/>
            <w:noWrap/>
            <w:vAlign w:val="center"/>
            <w:hideMark/>
          </w:tcPr>
          <w:p w:rsidR="00B20A2A" w:rsidRPr="00E94BF3" w:rsidRDefault="00B20A2A" w:rsidP="00C66FA4">
            <w:pPr>
              <w:rPr>
                <w:bCs/>
                <w:sz w:val="20"/>
                <w:szCs w:val="20"/>
                <w:lang w:val="es-MX"/>
              </w:rPr>
            </w:pPr>
            <w:r w:rsidRPr="00E94BF3">
              <w:rPr>
                <w:bCs/>
                <w:sz w:val="20"/>
                <w:szCs w:val="20"/>
                <w:lang w:val="es-MX"/>
              </w:rPr>
              <w:t xml:space="preserve">Aprobado </w:t>
            </w:r>
          </w:p>
        </w:tc>
        <w:tc>
          <w:tcPr>
            <w:tcW w:w="1417" w:type="dxa"/>
            <w:shd w:val="clear" w:color="auto" w:fill="auto"/>
            <w:noWrap/>
            <w:vAlign w:val="center"/>
          </w:tcPr>
          <w:p w:rsidR="00B20A2A" w:rsidRPr="00E94BF3" w:rsidRDefault="00B20A2A" w:rsidP="00C66FA4">
            <w:pPr>
              <w:jc w:val="right"/>
              <w:rPr>
                <w:sz w:val="20"/>
                <w:szCs w:val="20"/>
                <w:lang w:val="es-MX"/>
              </w:rPr>
            </w:pPr>
            <w:r w:rsidRPr="00E94BF3">
              <w:rPr>
                <w:sz w:val="20"/>
                <w:szCs w:val="20"/>
                <w:lang w:val="es-MX"/>
              </w:rPr>
              <w:t>30.000</w:t>
            </w:r>
          </w:p>
        </w:tc>
        <w:tc>
          <w:tcPr>
            <w:tcW w:w="1417" w:type="dxa"/>
            <w:vAlign w:val="center"/>
          </w:tcPr>
          <w:p w:rsidR="00B20A2A" w:rsidRPr="00E94BF3" w:rsidRDefault="00B20A2A" w:rsidP="00C66FA4">
            <w:pPr>
              <w:jc w:val="right"/>
              <w:rPr>
                <w:sz w:val="20"/>
                <w:szCs w:val="20"/>
                <w:lang w:val="es-MX"/>
              </w:rPr>
            </w:pPr>
            <w:r w:rsidRPr="00E94BF3">
              <w:rPr>
                <w:sz w:val="20"/>
                <w:szCs w:val="20"/>
                <w:lang w:val="es-MX"/>
              </w:rPr>
              <w:t>0</w:t>
            </w:r>
          </w:p>
        </w:tc>
        <w:tc>
          <w:tcPr>
            <w:tcW w:w="1418" w:type="dxa"/>
            <w:shd w:val="clear" w:color="auto" w:fill="auto"/>
            <w:noWrap/>
            <w:vAlign w:val="center"/>
          </w:tcPr>
          <w:p w:rsidR="00B20A2A" w:rsidRPr="00E94BF3" w:rsidRDefault="00B20A2A" w:rsidP="00C66FA4">
            <w:pPr>
              <w:jc w:val="right"/>
              <w:rPr>
                <w:sz w:val="20"/>
                <w:szCs w:val="20"/>
                <w:lang w:val="es-MX"/>
              </w:rPr>
            </w:pPr>
            <w:r w:rsidRPr="00E94BF3">
              <w:rPr>
                <w:sz w:val="20"/>
                <w:szCs w:val="20"/>
                <w:lang w:val="es-MX"/>
              </w:rPr>
              <w:t>30.000</w:t>
            </w:r>
          </w:p>
        </w:tc>
        <w:tc>
          <w:tcPr>
            <w:tcW w:w="2410" w:type="dxa"/>
            <w:vMerge w:val="restart"/>
            <w:shd w:val="clear" w:color="auto" w:fill="auto"/>
            <w:noWrap/>
            <w:vAlign w:val="center"/>
          </w:tcPr>
          <w:p w:rsidR="00B20A2A" w:rsidRPr="00E94BF3" w:rsidRDefault="00B20A2A" w:rsidP="00C66FA4">
            <w:pPr>
              <w:jc w:val="center"/>
              <w:rPr>
                <w:sz w:val="20"/>
                <w:szCs w:val="20"/>
                <w:lang w:val="es-MX"/>
              </w:rPr>
            </w:pPr>
            <w:r w:rsidRPr="00E94BF3">
              <w:rPr>
                <w:b/>
                <w:sz w:val="20"/>
                <w:szCs w:val="20"/>
                <w:lang w:val="es-MX"/>
              </w:rPr>
              <w:t>100</w:t>
            </w:r>
          </w:p>
        </w:tc>
      </w:tr>
      <w:tr w:rsidR="00B20A2A" w:rsidRPr="00E94BF3" w:rsidTr="00C66FA4">
        <w:trPr>
          <w:trHeight w:val="179"/>
        </w:trPr>
        <w:tc>
          <w:tcPr>
            <w:tcW w:w="1537" w:type="dxa"/>
            <w:vMerge/>
            <w:vAlign w:val="center"/>
            <w:hideMark/>
          </w:tcPr>
          <w:p w:rsidR="00B20A2A" w:rsidRPr="00E94BF3" w:rsidRDefault="00B20A2A" w:rsidP="00C66FA4">
            <w:pPr>
              <w:jc w:val="left"/>
              <w:rPr>
                <w:bCs/>
                <w:sz w:val="20"/>
                <w:szCs w:val="20"/>
                <w:lang w:val="es-MX" w:eastAsia="en-CA"/>
              </w:rPr>
            </w:pPr>
          </w:p>
        </w:tc>
        <w:tc>
          <w:tcPr>
            <w:tcW w:w="1134" w:type="dxa"/>
            <w:shd w:val="clear" w:color="auto" w:fill="auto"/>
            <w:noWrap/>
            <w:vAlign w:val="center"/>
            <w:hideMark/>
          </w:tcPr>
          <w:p w:rsidR="00B20A2A" w:rsidRPr="00E94BF3" w:rsidRDefault="00B20A2A" w:rsidP="00C66FA4">
            <w:pPr>
              <w:rPr>
                <w:bCs/>
                <w:sz w:val="20"/>
                <w:szCs w:val="20"/>
                <w:lang w:val="es-MX"/>
              </w:rPr>
            </w:pPr>
            <w:r w:rsidRPr="00E94BF3">
              <w:rPr>
                <w:bCs/>
                <w:sz w:val="20"/>
                <w:szCs w:val="20"/>
                <w:lang w:val="es-MX"/>
              </w:rPr>
              <w:t xml:space="preserve">Desembolsado </w:t>
            </w:r>
          </w:p>
        </w:tc>
        <w:tc>
          <w:tcPr>
            <w:tcW w:w="1417" w:type="dxa"/>
            <w:shd w:val="clear" w:color="auto" w:fill="auto"/>
            <w:noWrap/>
            <w:vAlign w:val="center"/>
          </w:tcPr>
          <w:p w:rsidR="00B20A2A" w:rsidRPr="00E94BF3" w:rsidRDefault="00B20A2A" w:rsidP="00C66FA4">
            <w:pPr>
              <w:jc w:val="right"/>
              <w:rPr>
                <w:sz w:val="20"/>
                <w:szCs w:val="20"/>
                <w:lang w:val="es-MX"/>
              </w:rPr>
            </w:pPr>
            <w:r w:rsidRPr="00E94BF3">
              <w:rPr>
                <w:sz w:val="20"/>
                <w:szCs w:val="20"/>
                <w:lang w:val="es-MX"/>
              </w:rPr>
              <w:t>30.000</w:t>
            </w:r>
          </w:p>
        </w:tc>
        <w:tc>
          <w:tcPr>
            <w:tcW w:w="1417" w:type="dxa"/>
            <w:vAlign w:val="center"/>
          </w:tcPr>
          <w:p w:rsidR="00B20A2A" w:rsidRPr="00E94BF3" w:rsidRDefault="00B20A2A" w:rsidP="00C66FA4">
            <w:pPr>
              <w:jc w:val="right"/>
              <w:rPr>
                <w:sz w:val="20"/>
                <w:szCs w:val="20"/>
                <w:lang w:val="es-MX"/>
              </w:rPr>
            </w:pPr>
            <w:r w:rsidRPr="00E94BF3">
              <w:rPr>
                <w:sz w:val="20"/>
                <w:szCs w:val="20"/>
                <w:lang w:val="es-MX"/>
              </w:rPr>
              <w:t>0</w:t>
            </w:r>
          </w:p>
        </w:tc>
        <w:tc>
          <w:tcPr>
            <w:tcW w:w="1418" w:type="dxa"/>
            <w:shd w:val="clear" w:color="auto" w:fill="auto"/>
            <w:noWrap/>
            <w:vAlign w:val="center"/>
          </w:tcPr>
          <w:p w:rsidR="00B20A2A" w:rsidRPr="00E94BF3" w:rsidRDefault="00B20A2A" w:rsidP="00C66FA4">
            <w:pPr>
              <w:jc w:val="right"/>
              <w:rPr>
                <w:sz w:val="20"/>
                <w:szCs w:val="20"/>
                <w:lang w:val="es-MX"/>
              </w:rPr>
            </w:pPr>
            <w:r w:rsidRPr="00E94BF3">
              <w:rPr>
                <w:sz w:val="20"/>
                <w:szCs w:val="20"/>
                <w:lang w:val="es-MX"/>
              </w:rPr>
              <w:t>30.000</w:t>
            </w:r>
          </w:p>
        </w:tc>
        <w:tc>
          <w:tcPr>
            <w:tcW w:w="2410" w:type="dxa"/>
            <w:vMerge/>
            <w:vAlign w:val="center"/>
          </w:tcPr>
          <w:p w:rsidR="00B20A2A" w:rsidRPr="00E94BF3" w:rsidRDefault="00B20A2A" w:rsidP="00C66FA4">
            <w:pPr>
              <w:jc w:val="center"/>
              <w:rPr>
                <w:sz w:val="20"/>
                <w:szCs w:val="20"/>
                <w:lang w:val="es-MX" w:eastAsia="en-CA"/>
              </w:rPr>
            </w:pPr>
          </w:p>
        </w:tc>
      </w:tr>
      <w:tr w:rsidR="00B20A2A" w:rsidRPr="00E94BF3" w:rsidTr="00C66FA4">
        <w:trPr>
          <w:trHeight w:val="125"/>
        </w:trPr>
        <w:tc>
          <w:tcPr>
            <w:tcW w:w="1537" w:type="dxa"/>
            <w:vMerge w:val="restart"/>
            <w:shd w:val="clear" w:color="auto" w:fill="auto"/>
            <w:noWrap/>
            <w:vAlign w:val="center"/>
            <w:hideMark/>
          </w:tcPr>
          <w:p w:rsidR="00B20A2A" w:rsidRPr="00E94BF3" w:rsidRDefault="00B20A2A" w:rsidP="00C66FA4">
            <w:pPr>
              <w:jc w:val="left"/>
              <w:rPr>
                <w:bCs/>
                <w:sz w:val="20"/>
                <w:szCs w:val="20"/>
                <w:lang w:val="es-MX"/>
              </w:rPr>
            </w:pPr>
            <w:r w:rsidRPr="00E94BF3">
              <w:rPr>
                <w:bCs/>
                <w:sz w:val="20"/>
                <w:szCs w:val="20"/>
                <w:lang w:val="es-MX"/>
              </w:rPr>
              <w:t>(tercer tramo)</w:t>
            </w:r>
          </w:p>
        </w:tc>
        <w:tc>
          <w:tcPr>
            <w:tcW w:w="1134" w:type="dxa"/>
            <w:shd w:val="clear" w:color="auto" w:fill="auto"/>
            <w:noWrap/>
            <w:vAlign w:val="center"/>
            <w:hideMark/>
          </w:tcPr>
          <w:p w:rsidR="00B20A2A" w:rsidRPr="00E94BF3" w:rsidRDefault="00B20A2A" w:rsidP="00C66FA4">
            <w:pPr>
              <w:rPr>
                <w:bCs/>
                <w:sz w:val="20"/>
                <w:szCs w:val="20"/>
                <w:lang w:val="es-MX"/>
              </w:rPr>
            </w:pPr>
            <w:r w:rsidRPr="00E94BF3">
              <w:rPr>
                <w:bCs/>
                <w:sz w:val="20"/>
                <w:szCs w:val="20"/>
                <w:lang w:val="es-MX"/>
              </w:rPr>
              <w:t xml:space="preserve">Aprobado </w:t>
            </w:r>
          </w:p>
        </w:tc>
        <w:tc>
          <w:tcPr>
            <w:tcW w:w="1417" w:type="dxa"/>
            <w:shd w:val="clear" w:color="auto" w:fill="auto"/>
            <w:noWrap/>
            <w:vAlign w:val="center"/>
          </w:tcPr>
          <w:p w:rsidR="00B20A2A" w:rsidRPr="00E94BF3" w:rsidRDefault="00B20A2A" w:rsidP="00C66FA4">
            <w:pPr>
              <w:jc w:val="right"/>
              <w:rPr>
                <w:sz w:val="20"/>
                <w:szCs w:val="20"/>
                <w:lang w:val="es-MX"/>
              </w:rPr>
            </w:pPr>
            <w:r w:rsidRPr="00E94BF3">
              <w:rPr>
                <w:sz w:val="20"/>
                <w:szCs w:val="20"/>
                <w:lang w:val="es-MX"/>
              </w:rPr>
              <w:t>40.000</w:t>
            </w:r>
          </w:p>
        </w:tc>
        <w:tc>
          <w:tcPr>
            <w:tcW w:w="1417" w:type="dxa"/>
            <w:vAlign w:val="center"/>
          </w:tcPr>
          <w:p w:rsidR="00B20A2A" w:rsidRPr="00E94BF3" w:rsidRDefault="00B20A2A" w:rsidP="00C66FA4">
            <w:pPr>
              <w:jc w:val="right"/>
              <w:rPr>
                <w:sz w:val="20"/>
                <w:szCs w:val="20"/>
                <w:lang w:val="es-MX"/>
              </w:rPr>
            </w:pPr>
            <w:r w:rsidRPr="00E94BF3">
              <w:rPr>
                <w:sz w:val="20"/>
                <w:szCs w:val="20"/>
                <w:lang w:val="es-MX"/>
              </w:rPr>
              <w:t>75.000</w:t>
            </w:r>
          </w:p>
        </w:tc>
        <w:tc>
          <w:tcPr>
            <w:tcW w:w="1418" w:type="dxa"/>
            <w:shd w:val="clear" w:color="auto" w:fill="auto"/>
            <w:noWrap/>
            <w:vAlign w:val="center"/>
          </w:tcPr>
          <w:p w:rsidR="00B20A2A" w:rsidRPr="00E94BF3" w:rsidRDefault="00B20A2A" w:rsidP="00C66FA4">
            <w:pPr>
              <w:jc w:val="right"/>
              <w:rPr>
                <w:sz w:val="20"/>
                <w:szCs w:val="20"/>
                <w:lang w:val="es-MX"/>
              </w:rPr>
            </w:pPr>
            <w:r w:rsidRPr="00E94BF3">
              <w:rPr>
                <w:sz w:val="20"/>
                <w:szCs w:val="20"/>
                <w:lang w:val="es-MX"/>
              </w:rPr>
              <w:t>115.000</w:t>
            </w:r>
          </w:p>
        </w:tc>
        <w:tc>
          <w:tcPr>
            <w:tcW w:w="2410" w:type="dxa"/>
            <w:vMerge w:val="restart"/>
            <w:shd w:val="clear" w:color="auto" w:fill="auto"/>
            <w:noWrap/>
            <w:vAlign w:val="center"/>
          </w:tcPr>
          <w:p w:rsidR="00B20A2A" w:rsidRPr="00E94BF3" w:rsidRDefault="00B20A2A" w:rsidP="00C66FA4">
            <w:pPr>
              <w:jc w:val="center"/>
              <w:rPr>
                <w:b/>
                <w:sz w:val="20"/>
                <w:szCs w:val="20"/>
                <w:lang w:val="es-MX"/>
              </w:rPr>
            </w:pPr>
            <w:r w:rsidRPr="00E94BF3">
              <w:rPr>
                <w:b/>
                <w:sz w:val="20"/>
                <w:szCs w:val="20"/>
                <w:lang w:val="es-MX"/>
              </w:rPr>
              <w:t>77</w:t>
            </w:r>
          </w:p>
        </w:tc>
      </w:tr>
      <w:tr w:rsidR="00B20A2A" w:rsidRPr="00E94BF3" w:rsidTr="00C66FA4">
        <w:trPr>
          <w:trHeight w:val="58"/>
        </w:trPr>
        <w:tc>
          <w:tcPr>
            <w:tcW w:w="1537" w:type="dxa"/>
            <w:vMerge/>
            <w:vAlign w:val="center"/>
            <w:hideMark/>
          </w:tcPr>
          <w:p w:rsidR="00B20A2A" w:rsidRPr="00E94BF3" w:rsidRDefault="00B20A2A" w:rsidP="00C66FA4">
            <w:pPr>
              <w:jc w:val="left"/>
              <w:rPr>
                <w:bCs/>
                <w:sz w:val="20"/>
                <w:szCs w:val="20"/>
                <w:lang w:val="es-MX" w:eastAsia="en-CA"/>
              </w:rPr>
            </w:pPr>
          </w:p>
        </w:tc>
        <w:tc>
          <w:tcPr>
            <w:tcW w:w="1134" w:type="dxa"/>
            <w:shd w:val="clear" w:color="auto" w:fill="auto"/>
            <w:noWrap/>
            <w:vAlign w:val="center"/>
            <w:hideMark/>
          </w:tcPr>
          <w:p w:rsidR="00B20A2A" w:rsidRPr="00E94BF3" w:rsidRDefault="00B20A2A" w:rsidP="00C66FA4">
            <w:pPr>
              <w:rPr>
                <w:bCs/>
                <w:sz w:val="20"/>
                <w:szCs w:val="20"/>
                <w:lang w:val="es-MX"/>
              </w:rPr>
            </w:pPr>
            <w:r w:rsidRPr="00E94BF3">
              <w:rPr>
                <w:bCs/>
                <w:sz w:val="20"/>
                <w:szCs w:val="20"/>
                <w:lang w:val="es-MX"/>
              </w:rPr>
              <w:t xml:space="preserve">Desembolsado </w:t>
            </w:r>
          </w:p>
        </w:tc>
        <w:tc>
          <w:tcPr>
            <w:tcW w:w="1417" w:type="dxa"/>
            <w:shd w:val="clear" w:color="auto" w:fill="auto"/>
            <w:noWrap/>
            <w:vAlign w:val="center"/>
          </w:tcPr>
          <w:p w:rsidR="00B20A2A" w:rsidRPr="00E94BF3" w:rsidRDefault="00B20A2A" w:rsidP="00C66FA4">
            <w:pPr>
              <w:jc w:val="right"/>
              <w:rPr>
                <w:sz w:val="20"/>
                <w:szCs w:val="20"/>
                <w:lang w:val="es-MX"/>
              </w:rPr>
            </w:pPr>
            <w:r w:rsidRPr="00E94BF3">
              <w:rPr>
                <w:sz w:val="20"/>
                <w:szCs w:val="20"/>
                <w:lang w:val="es-MX"/>
              </w:rPr>
              <w:t>20.000</w:t>
            </w:r>
          </w:p>
        </w:tc>
        <w:tc>
          <w:tcPr>
            <w:tcW w:w="1417" w:type="dxa"/>
            <w:vAlign w:val="center"/>
          </w:tcPr>
          <w:p w:rsidR="00B20A2A" w:rsidRPr="00E94BF3" w:rsidRDefault="00B20A2A" w:rsidP="00C66FA4">
            <w:pPr>
              <w:jc w:val="right"/>
              <w:rPr>
                <w:sz w:val="20"/>
                <w:szCs w:val="20"/>
                <w:lang w:val="es-MX"/>
              </w:rPr>
            </w:pPr>
            <w:r w:rsidRPr="00E94BF3">
              <w:rPr>
                <w:sz w:val="20"/>
                <w:szCs w:val="20"/>
                <w:lang w:val="es-MX"/>
              </w:rPr>
              <w:t>68.327</w:t>
            </w:r>
          </w:p>
        </w:tc>
        <w:tc>
          <w:tcPr>
            <w:tcW w:w="1418" w:type="dxa"/>
            <w:shd w:val="clear" w:color="auto" w:fill="auto"/>
            <w:noWrap/>
            <w:vAlign w:val="center"/>
          </w:tcPr>
          <w:p w:rsidR="00B20A2A" w:rsidRPr="00E94BF3" w:rsidRDefault="00B20A2A" w:rsidP="00C66FA4">
            <w:pPr>
              <w:jc w:val="right"/>
              <w:rPr>
                <w:sz w:val="20"/>
                <w:szCs w:val="20"/>
                <w:lang w:val="es-MX"/>
              </w:rPr>
            </w:pPr>
            <w:r w:rsidRPr="00E94BF3">
              <w:rPr>
                <w:sz w:val="20"/>
                <w:szCs w:val="20"/>
                <w:lang w:val="es-MX"/>
              </w:rPr>
              <w:t>88.327</w:t>
            </w:r>
          </w:p>
        </w:tc>
        <w:tc>
          <w:tcPr>
            <w:tcW w:w="2410" w:type="dxa"/>
            <w:vMerge/>
            <w:vAlign w:val="center"/>
          </w:tcPr>
          <w:p w:rsidR="00B20A2A" w:rsidRPr="00E94BF3" w:rsidRDefault="00B20A2A" w:rsidP="00C66FA4">
            <w:pPr>
              <w:jc w:val="center"/>
              <w:rPr>
                <w:sz w:val="20"/>
                <w:szCs w:val="20"/>
                <w:lang w:val="es-MX" w:eastAsia="en-CA"/>
              </w:rPr>
            </w:pPr>
          </w:p>
        </w:tc>
      </w:tr>
      <w:tr w:rsidR="00B20A2A" w:rsidRPr="00E94BF3" w:rsidTr="00C66FA4">
        <w:trPr>
          <w:trHeight w:val="58"/>
        </w:trPr>
        <w:tc>
          <w:tcPr>
            <w:tcW w:w="1537" w:type="dxa"/>
            <w:vMerge w:val="restart"/>
            <w:shd w:val="clear" w:color="auto" w:fill="auto"/>
            <w:vAlign w:val="center"/>
            <w:hideMark/>
          </w:tcPr>
          <w:p w:rsidR="00B20A2A" w:rsidRPr="00E94BF3" w:rsidRDefault="00B20A2A" w:rsidP="00C66FA4">
            <w:pPr>
              <w:jc w:val="left"/>
              <w:rPr>
                <w:bCs/>
                <w:sz w:val="20"/>
                <w:szCs w:val="20"/>
                <w:lang w:val="es-MX"/>
              </w:rPr>
            </w:pPr>
            <w:r w:rsidRPr="00E94BF3">
              <w:rPr>
                <w:bCs/>
                <w:sz w:val="20"/>
                <w:szCs w:val="20"/>
                <w:lang w:val="es-MX"/>
              </w:rPr>
              <w:t>Total</w:t>
            </w:r>
          </w:p>
        </w:tc>
        <w:tc>
          <w:tcPr>
            <w:tcW w:w="1134" w:type="dxa"/>
            <w:shd w:val="clear" w:color="auto" w:fill="auto"/>
            <w:vAlign w:val="center"/>
            <w:hideMark/>
          </w:tcPr>
          <w:p w:rsidR="00B20A2A" w:rsidRPr="00E94BF3" w:rsidRDefault="00B20A2A" w:rsidP="00C66FA4">
            <w:pPr>
              <w:rPr>
                <w:bCs/>
                <w:sz w:val="20"/>
                <w:szCs w:val="20"/>
                <w:lang w:val="es-MX"/>
              </w:rPr>
            </w:pPr>
            <w:r w:rsidRPr="00E94BF3">
              <w:rPr>
                <w:bCs/>
                <w:sz w:val="20"/>
                <w:szCs w:val="20"/>
                <w:lang w:val="es-MX"/>
              </w:rPr>
              <w:t xml:space="preserve">Aprobado </w:t>
            </w:r>
          </w:p>
        </w:tc>
        <w:tc>
          <w:tcPr>
            <w:tcW w:w="1417" w:type="dxa"/>
            <w:shd w:val="clear" w:color="auto" w:fill="auto"/>
            <w:vAlign w:val="center"/>
          </w:tcPr>
          <w:p w:rsidR="00B20A2A" w:rsidRPr="00E94BF3" w:rsidRDefault="00B20A2A" w:rsidP="00C66FA4">
            <w:pPr>
              <w:jc w:val="right"/>
              <w:rPr>
                <w:sz w:val="20"/>
                <w:szCs w:val="20"/>
                <w:lang w:val="es-MX"/>
              </w:rPr>
            </w:pPr>
            <w:r w:rsidRPr="00E94BF3">
              <w:rPr>
                <w:sz w:val="20"/>
                <w:szCs w:val="20"/>
                <w:lang w:val="es-MX"/>
              </w:rPr>
              <w:t>115.000</w:t>
            </w:r>
          </w:p>
        </w:tc>
        <w:tc>
          <w:tcPr>
            <w:tcW w:w="1417" w:type="dxa"/>
            <w:vAlign w:val="center"/>
          </w:tcPr>
          <w:p w:rsidR="00B20A2A" w:rsidRPr="00E94BF3" w:rsidRDefault="00B20A2A" w:rsidP="00C66FA4">
            <w:pPr>
              <w:jc w:val="right"/>
              <w:rPr>
                <w:sz w:val="20"/>
                <w:szCs w:val="20"/>
                <w:lang w:val="es-MX"/>
              </w:rPr>
            </w:pPr>
            <w:r w:rsidRPr="00E94BF3">
              <w:rPr>
                <w:sz w:val="20"/>
                <w:szCs w:val="20"/>
                <w:lang w:val="es-MX"/>
              </w:rPr>
              <w:t>173.626</w:t>
            </w:r>
          </w:p>
        </w:tc>
        <w:tc>
          <w:tcPr>
            <w:tcW w:w="1418" w:type="dxa"/>
            <w:shd w:val="clear" w:color="auto" w:fill="auto"/>
            <w:vAlign w:val="center"/>
          </w:tcPr>
          <w:p w:rsidR="00B20A2A" w:rsidRPr="00E94BF3" w:rsidRDefault="00B20A2A" w:rsidP="00C66FA4">
            <w:pPr>
              <w:jc w:val="right"/>
              <w:rPr>
                <w:sz w:val="20"/>
                <w:szCs w:val="20"/>
                <w:lang w:val="es-MX"/>
              </w:rPr>
            </w:pPr>
            <w:r w:rsidRPr="00E94BF3">
              <w:rPr>
                <w:sz w:val="20"/>
                <w:szCs w:val="20"/>
                <w:lang w:val="es-MX"/>
              </w:rPr>
              <w:t>288.626</w:t>
            </w:r>
          </w:p>
        </w:tc>
        <w:tc>
          <w:tcPr>
            <w:tcW w:w="2410" w:type="dxa"/>
            <w:vMerge w:val="restart"/>
            <w:shd w:val="clear" w:color="auto" w:fill="auto"/>
            <w:vAlign w:val="center"/>
          </w:tcPr>
          <w:p w:rsidR="00B20A2A" w:rsidRPr="00E94BF3" w:rsidRDefault="00B20A2A" w:rsidP="00C66FA4">
            <w:pPr>
              <w:jc w:val="center"/>
              <w:rPr>
                <w:b/>
                <w:sz w:val="20"/>
                <w:szCs w:val="20"/>
                <w:lang w:val="es-MX"/>
              </w:rPr>
            </w:pPr>
            <w:r w:rsidRPr="00E94BF3">
              <w:rPr>
                <w:b/>
                <w:sz w:val="20"/>
                <w:szCs w:val="20"/>
                <w:lang w:val="es-MX"/>
              </w:rPr>
              <w:t>91</w:t>
            </w:r>
          </w:p>
        </w:tc>
      </w:tr>
      <w:tr w:rsidR="00B20A2A" w:rsidRPr="00E94BF3" w:rsidTr="00C66FA4">
        <w:trPr>
          <w:trHeight w:val="179"/>
        </w:trPr>
        <w:tc>
          <w:tcPr>
            <w:tcW w:w="1537" w:type="dxa"/>
            <w:vMerge/>
            <w:shd w:val="clear" w:color="auto" w:fill="auto"/>
            <w:vAlign w:val="center"/>
          </w:tcPr>
          <w:p w:rsidR="00B20A2A" w:rsidRPr="00E94BF3" w:rsidRDefault="00B20A2A" w:rsidP="00C66FA4">
            <w:pPr>
              <w:jc w:val="left"/>
              <w:rPr>
                <w:b/>
                <w:bCs/>
                <w:sz w:val="20"/>
                <w:szCs w:val="20"/>
                <w:lang w:val="es-MX" w:eastAsia="en-CA"/>
              </w:rPr>
            </w:pPr>
          </w:p>
        </w:tc>
        <w:tc>
          <w:tcPr>
            <w:tcW w:w="1134" w:type="dxa"/>
            <w:shd w:val="clear" w:color="auto" w:fill="auto"/>
            <w:vAlign w:val="center"/>
          </w:tcPr>
          <w:p w:rsidR="00B20A2A" w:rsidRPr="00E94BF3" w:rsidRDefault="00B20A2A" w:rsidP="00C66FA4">
            <w:pPr>
              <w:rPr>
                <w:bCs/>
                <w:sz w:val="20"/>
                <w:szCs w:val="20"/>
                <w:lang w:val="es-MX"/>
              </w:rPr>
            </w:pPr>
            <w:r w:rsidRPr="00E94BF3">
              <w:rPr>
                <w:bCs/>
                <w:sz w:val="20"/>
                <w:szCs w:val="20"/>
                <w:lang w:val="es-MX"/>
              </w:rPr>
              <w:t xml:space="preserve">Desembolsado </w:t>
            </w:r>
          </w:p>
        </w:tc>
        <w:tc>
          <w:tcPr>
            <w:tcW w:w="1417" w:type="dxa"/>
            <w:shd w:val="clear" w:color="auto" w:fill="auto"/>
            <w:vAlign w:val="center"/>
          </w:tcPr>
          <w:p w:rsidR="00B20A2A" w:rsidRPr="00E94BF3" w:rsidRDefault="00B20A2A" w:rsidP="00C66FA4">
            <w:pPr>
              <w:jc w:val="right"/>
              <w:rPr>
                <w:sz w:val="20"/>
                <w:szCs w:val="20"/>
                <w:lang w:val="es-MX"/>
              </w:rPr>
            </w:pPr>
            <w:r w:rsidRPr="00E94BF3">
              <w:rPr>
                <w:sz w:val="20"/>
                <w:szCs w:val="20"/>
                <w:lang w:val="es-MX"/>
              </w:rPr>
              <w:t>95.000</w:t>
            </w:r>
          </w:p>
        </w:tc>
        <w:tc>
          <w:tcPr>
            <w:tcW w:w="1417" w:type="dxa"/>
            <w:vAlign w:val="center"/>
          </w:tcPr>
          <w:p w:rsidR="00B20A2A" w:rsidRPr="00E94BF3" w:rsidRDefault="00B20A2A" w:rsidP="00C66FA4">
            <w:pPr>
              <w:jc w:val="right"/>
              <w:rPr>
                <w:sz w:val="20"/>
                <w:szCs w:val="20"/>
                <w:lang w:val="es-MX"/>
              </w:rPr>
            </w:pPr>
            <w:r w:rsidRPr="00E94BF3">
              <w:rPr>
                <w:sz w:val="20"/>
                <w:szCs w:val="20"/>
                <w:lang w:val="es-MX"/>
              </w:rPr>
              <w:t>166.953</w:t>
            </w:r>
          </w:p>
        </w:tc>
        <w:tc>
          <w:tcPr>
            <w:tcW w:w="1418" w:type="dxa"/>
            <w:shd w:val="clear" w:color="auto" w:fill="auto"/>
            <w:vAlign w:val="center"/>
          </w:tcPr>
          <w:p w:rsidR="00B20A2A" w:rsidRPr="00E94BF3" w:rsidRDefault="00B20A2A" w:rsidP="00C66FA4">
            <w:pPr>
              <w:jc w:val="right"/>
              <w:rPr>
                <w:sz w:val="20"/>
                <w:szCs w:val="20"/>
                <w:lang w:val="es-MX"/>
              </w:rPr>
            </w:pPr>
            <w:r w:rsidRPr="00E94BF3">
              <w:rPr>
                <w:sz w:val="20"/>
                <w:szCs w:val="20"/>
                <w:lang w:val="es-MX"/>
              </w:rPr>
              <w:t>261.953</w:t>
            </w:r>
          </w:p>
        </w:tc>
        <w:tc>
          <w:tcPr>
            <w:tcW w:w="2410" w:type="dxa"/>
            <w:vMerge/>
            <w:shd w:val="clear" w:color="auto" w:fill="auto"/>
            <w:vAlign w:val="center"/>
          </w:tcPr>
          <w:p w:rsidR="00B20A2A" w:rsidRPr="00E94BF3" w:rsidRDefault="00B20A2A" w:rsidP="00C66FA4">
            <w:pPr>
              <w:jc w:val="center"/>
              <w:rPr>
                <w:sz w:val="20"/>
                <w:szCs w:val="20"/>
                <w:lang w:val="es-MX" w:eastAsia="en-CA"/>
              </w:rPr>
            </w:pPr>
          </w:p>
        </w:tc>
      </w:tr>
    </w:tbl>
    <w:p w:rsidR="00B20A2A" w:rsidRPr="00E94BF3" w:rsidRDefault="00B20A2A" w:rsidP="00B20A2A">
      <w:pPr>
        <w:rPr>
          <w:sz w:val="19"/>
          <w:szCs w:val="19"/>
          <w:lang w:val="es-MX"/>
        </w:rPr>
      </w:pPr>
      <w:r w:rsidRPr="00E94BF3">
        <w:rPr>
          <w:sz w:val="19"/>
          <w:szCs w:val="19"/>
          <w:lang w:val="es-MX"/>
        </w:rPr>
        <w:t>*Tras el ajuste de los saldos devueltos a la reunión 79ª.</w:t>
      </w:r>
    </w:p>
    <w:p w:rsidR="00B20A2A" w:rsidRPr="00E94BF3" w:rsidRDefault="00B20A2A" w:rsidP="00B20A2A">
      <w:pPr>
        <w:rPr>
          <w:lang w:val="es-MX"/>
        </w:rPr>
      </w:pPr>
    </w:p>
    <w:p w:rsidR="00B20A2A" w:rsidRPr="00E94BF3" w:rsidRDefault="00B20A2A" w:rsidP="00B20A2A">
      <w:pPr>
        <w:rPr>
          <w:u w:val="single"/>
          <w:lang w:val="es-MX"/>
        </w:rPr>
      </w:pPr>
      <w:r w:rsidRPr="00E94BF3">
        <w:rPr>
          <w:u w:val="single"/>
          <w:lang w:val="es-MX"/>
        </w:rPr>
        <w:lastRenderedPageBreak/>
        <w:t>Plan de ejecución del cuarto tramo del plan de gestión para la eliminación de los HCFC</w:t>
      </w:r>
    </w:p>
    <w:p w:rsidR="00B20A2A" w:rsidRPr="00E94BF3" w:rsidRDefault="00B20A2A" w:rsidP="00B20A2A">
      <w:pPr>
        <w:rPr>
          <w:lang w:val="es-MX"/>
        </w:rPr>
      </w:pPr>
    </w:p>
    <w:p w:rsidR="00B20A2A" w:rsidRPr="00E94BF3" w:rsidRDefault="00B20A2A" w:rsidP="00B20A2A">
      <w:pPr>
        <w:pStyle w:val="Heading1"/>
        <w:rPr>
          <w:lang w:val="es-MX"/>
        </w:rPr>
      </w:pPr>
      <w:r w:rsidRPr="00E94BF3">
        <w:rPr>
          <w:lang w:val="es-MX"/>
        </w:rPr>
        <w:t>Se llevarán a cabo las siguientes actividades entre enero de 2020 y marzo de 2021:</w:t>
      </w:r>
    </w:p>
    <w:p w:rsidR="00B20A2A" w:rsidRPr="00E94BF3" w:rsidRDefault="00B20A2A" w:rsidP="00B20A2A">
      <w:pPr>
        <w:pStyle w:val="Heading2"/>
        <w:rPr>
          <w:lang w:val="es-MX"/>
        </w:rPr>
      </w:pPr>
      <w:r w:rsidRPr="00E94BF3">
        <w:rPr>
          <w:lang w:val="es-MX"/>
        </w:rPr>
        <w:t xml:space="preserve">Refuerzo de la capacidad nacional (aduanas, inspectores medioambientales, Departamento de Comercio) de monitorización y control de la importación y distribución de los HCFC: Tres talleres para 60 oficiales de aduanas sobre la detección y el control de los HCFC y de equipos que usan HCFC (PNUMA) (8.000 $EUA); </w:t>
      </w:r>
    </w:p>
    <w:p w:rsidR="00B20A2A" w:rsidRPr="00E94BF3" w:rsidRDefault="00B20A2A" w:rsidP="00B20A2A">
      <w:pPr>
        <w:pStyle w:val="Heading2"/>
        <w:rPr>
          <w:lang w:val="es-MX"/>
        </w:rPr>
      </w:pPr>
      <w:r w:rsidRPr="00E94BF3">
        <w:rPr>
          <w:lang w:val="es-MX"/>
        </w:rPr>
        <w:t>Refuerzo de la capacidad técnica de los expertos en refrigeración en buenas prácticas en refrigeración: Tres cursillos de capacitación para 90 técnicos en refrigeración y aire acondicionado sobre recuperación y reciclado de HCFC y manipulación de refrigerantes a base de hidrocarburos en condiciones seguras (PNUMA) (12.000 $EUA); y</w:t>
      </w:r>
    </w:p>
    <w:p w:rsidR="00B20A2A" w:rsidRPr="00E94BF3" w:rsidRDefault="00B20A2A" w:rsidP="00B20A2A">
      <w:pPr>
        <w:pStyle w:val="Heading2"/>
        <w:keepNext/>
        <w:rPr>
          <w:lang w:val="es-MX"/>
        </w:rPr>
      </w:pPr>
      <w:r w:rsidRPr="00E94BF3">
        <w:rPr>
          <w:lang w:val="es-MX"/>
        </w:rPr>
        <w:t>Unidad de ejecución de proyecto y supervisión: Contratación de dos consultores nacionales (un experto en refrigeración y un experto en aduanas) (5.000 $EUA) además del equipo existente de la Dependencia Nacional del Ozono para colaborar en la monitorización de la aplicación eficaz de las actividades del plan de gestión de la eliminación de los HCFC y la recopilación de datos precisos; desplazamientos (4.000 $EUA) del personal de supervisión y elaboración de informes sobre la aplicación del plan de gestión de la eliminación de los HCFC y comunicaciones (1.000 $EUA) (PNUMA).</w:t>
      </w:r>
    </w:p>
    <w:p w:rsidR="00B20A2A" w:rsidRPr="00E94BF3" w:rsidRDefault="00B20A2A" w:rsidP="00B20A2A">
      <w:pPr>
        <w:rPr>
          <w:lang w:val="es-MX"/>
        </w:rPr>
      </w:pPr>
    </w:p>
    <w:p w:rsidR="00B20A2A" w:rsidRPr="00E94BF3" w:rsidRDefault="00B20A2A" w:rsidP="00B20A2A">
      <w:pPr>
        <w:jc w:val="center"/>
        <w:rPr>
          <w:b/>
          <w:lang w:val="es-MX"/>
        </w:rPr>
      </w:pPr>
      <w:r w:rsidRPr="00E94BF3">
        <w:rPr>
          <w:b/>
          <w:lang w:val="es-MX"/>
        </w:rPr>
        <w:t>OBSERVACIONES Y RECOMENDACIÓN DE LA SECRETARÍA</w:t>
      </w:r>
    </w:p>
    <w:p w:rsidR="00B20A2A" w:rsidRPr="00E94BF3" w:rsidRDefault="00B20A2A" w:rsidP="00B20A2A">
      <w:pPr>
        <w:rPr>
          <w:lang w:val="es-MX"/>
        </w:rPr>
      </w:pPr>
    </w:p>
    <w:p w:rsidR="00B20A2A" w:rsidRPr="00E94BF3" w:rsidRDefault="00B20A2A" w:rsidP="00B20A2A">
      <w:pPr>
        <w:rPr>
          <w:b/>
          <w:lang w:val="es-MX"/>
        </w:rPr>
      </w:pPr>
      <w:r w:rsidRPr="00E94BF3">
        <w:rPr>
          <w:b/>
          <w:lang w:val="es-MX"/>
        </w:rPr>
        <w:t>OBSERVACIONES</w:t>
      </w:r>
    </w:p>
    <w:p w:rsidR="00B20A2A" w:rsidRPr="00E94BF3" w:rsidRDefault="00B20A2A" w:rsidP="00B20A2A">
      <w:pPr>
        <w:rPr>
          <w:lang w:val="es-MX"/>
        </w:rPr>
      </w:pPr>
    </w:p>
    <w:p w:rsidR="00B20A2A" w:rsidRPr="00E94BF3" w:rsidRDefault="00B20A2A" w:rsidP="00B20A2A">
      <w:pPr>
        <w:rPr>
          <w:u w:val="single"/>
          <w:lang w:val="es-MX"/>
        </w:rPr>
      </w:pPr>
      <w:r w:rsidRPr="00E94BF3">
        <w:rPr>
          <w:u w:val="single"/>
          <w:lang w:val="es-MX"/>
        </w:rPr>
        <w:t>Informe sobre la marcha de las actividades de ejecución del tercer tramo del plan de gestión de la eliminación de los HCFC</w:t>
      </w:r>
    </w:p>
    <w:p w:rsidR="00B20A2A" w:rsidRPr="00E94BF3" w:rsidRDefault="00B20A2A" w:rsidP="00B20A2A">
      <w:pPr>
        <w:rPr>
          <w:lang w:val="es-MX"/>
        </w:rPr>
      </w:pPr>
    </w:p>
    <w:p w:rsidR="00B20A2A" w:rsidRPr="00E94BF3" w:rsidRDefault="00B20A2A" w:rsidP="00B20A2A">
      <w:pPr>
        <w:pStyle w:val="Heading1"/>
        <w:rPr>
          <w:lang w:val="es-MX"/>
        </w:rPr>
      </w:pPr>
      <w:r w:rsidRPr="00E94BF3">
        <w:rPr>
          <w:lang w:val="es-MX"/>
        </w:rPr>
        <w:t xml:space="preserve">En respuesta a una solicitud de aclaración, el PNUMA explicó que la demora en la presentación del cuarto tramo se debía a un cambio en la Dependencia Nacional del Ozono como consecuencia de la jubilación del Oficial Nacional del Ozono previo y retrasos en la designación del nuevo Oficial Nacional del Ozono. </w:t>
      </w:r>
    </w:p>
    <w:p w:rsidR="00B20A2A" w:rsidRPr="00E94BF3" w:rsidRDefault="00B20A2A" w:rsidP="00B20A2A">
      <w:pPr>
        <w:rPr>
          <w:i/>
          <w:lang w:val="es-MX"/>
        </w:rPr>
      </w:pPr>
      <w:r w:rsidRPr="00E94BF3">
        <w:rPr>
          <w:i/>
          <w:lang w:val="es-MX"/>
        </w:rPr>
        <w:t xml:space="preserve">Marco jurídico </w:t>
      </w:r>
    </w:p>
    <w:p w:rsidR="00B20A2A" w:rsidRPr="00E94BF3" w:rsidRDefault="00B20A2A" w:rsidP="00B20A2A">
      <w:pPr>
        <w:rPr>
          <w:lang w:val="es-MX"/>
        </w:rPr>
      </w:pPr>
    </w:p>
    <w:p w:rsidR="00B20A2A" w:rsidRPr="00E94BF3" w:rsidRDefault="00B20A2A" w:rsidP="00B20A2A">
      <w:pPr>
        <w:pStyle w:val="Heading1"/>
        <w:rPr>
          <w:lang w:val="es-MX"/>
        </w:rPr>
      </w:pPr>
      <w:r w:rsidRPr="00E94BF3">
        <w:rPr>
          <w:lang w:val="es-MX"/>
        </w:rPr>
        <w:t xml:space="preserve">El Gobierno del Congo ha asignado ya cupos de importación de 6,88 toneladas PAO de HCFC para 2019 (125 toneladas métricas), una cantidad 25 por ciento inferior al objetivo de control del Protocolo de Montreal. Para reforzar los reglamentos nacionales y reducir la dependencia a los HCFC, el Gobierno del Congo está trabajando con otros miembros de la CEMAC en la actualización de los reglamentos para prohibir la importación de equipos que usan HCFC en 2020 y controlar el uso de equipos que usan HCFC. </w:t>
      </w:r>
    </w:p>
    <w:p w:rsidR="00B20A2A" w:rsidRPr="00E94BF3" w:rsidRDefault="00B20A2A" w:rsidP="00B20A2A">
      <w:pPr>
        <w:rPr>
          <w:i/>
          <w:lang w:val="es-MX"/>
        </w:rPr>
      </w:pPr>
      <w:r w:rsidRPr="00E94BF3">
        <w:rPr>
          <w:i/>
          <w:lang w:val="es-MX"/>
        </w:rPr>
        <w:t>Sector de mantenimiento de refrigeración</w:t>
      </w:r>
    </w:p>
    <w:p w:rsidR="00B20A2A" w:rsidRPr="00E94BF3" w:rsidRDefault="00B20A2A" w:rsidP="00B20A2A">
      <w:pPr>
        <w:rPr>
          <w:lang w:val="es-MX"/>
        </w:rPr>
      </w:pPr>
    </w:p>
    <w:p w:rsidR="00B20A2A" w:rsidRPr="00E94BF3" w:rsidRDefault="00B20A2A" w:rsidP="00B20A2A">
      <w:pPr>
        <w:pStyle w:val="Heading1"/>
        <w:rPr>
          <w:lang w:val="es-MX"/>
        </w:rPr>
      </w:pPr>
      <w:r w:rsidRPr="00E94BF3">
        <w:rPr>
          <w:lang w:val="es-MX"/>
        </w:rPr>
        <w:t xml:space="preserve">El PNUMA confirmó que el programa de capacitación para los técnicos de refrigeración incluye el uso seguro de los refrigerantes inflamables; no obstante, asegura que no hay retroadaptación de </w:t>
      </w:r>
      <w:r w:rsidR="00E94BF3" w:rsidRPr="00E94BF3">
        <w:rPr>
          <w:lang w:val="es-MX"/>
        </w:rPr>
        <w:t>equipos</w:t>
      </w:r>
      <w:r w:rsidRPr="00E94BF3">
        <w:rPr>
          <w:lang w:val="es-MX"/>
        </w:rPr>
        <w:t xml:space="preserve"> que usan HCFC-22 con refrigerantes inflamables. La Dependencia Nacional del Ozono está plenamente al tanto de las decisiones del Comité Ejecutivo relativas a la retroadaptación de equipos que usan refrigerantes inflamables por equipos diseñados para refrigerantes no inflamables.</w:t>
      </w:r>
      <w:r w:rsidRPr="00E94BF3">
        <w:rPr>
          <w:rStyle w:val="FootnoteReference"/>
          <w:lang w:val="es-MX"/>
        </w:rPr>
        <w:footnoteReference w:id="2"/>
      </w:r>
      <w:r w:rsidRPr="00E94BF3">
        <w:rPr>
          <w:lang w:val="es-MX"/>
        </w:rPr>
        <w:t xml:space="preserve">  </w:t>
      </w:r>
    </w:p>
    <w:p w:rsidR="00B20A2A" w:rsidRPr="00E94BF3" w:rsidRDefault="00B20A2A" w:rsidP="00B20A2A">
      <w:pPr>
        <w:keepNext/>
        <w:keepLines/>
        <w:rPr>
          <w:u w:val="single"/>
          <w:lang w:val="es-MX"/>
        </w:rPr>
      </w:pPr>
      <w:r w:rsidRPr="00E94BF3">
        <w:rPr>
          <w:u w:val="single"/>
          <w:lang w:val="es-MX"/>
        </w:rPr>
        <w:lastRenderedPageBreak/>
        <w:t xml:space="preserve">Sostenibilidad de la eliminación de los HCFC </w:t>
      </w:r>
    </w:p>
    <w:p w:rsidR="00B20A2A" w:rsidRPr="00E94BF3" w:rsidRDefault="00B20A2A" w:rsidP="00B20A2A">
      <w:pPr>
        <w:rPr>
          <w:u w:val="single"/>
          <w:lang w:val="es-MX"/>
        </w:rPr>
      </w:pPr>
    </w:p>
    <w:p w:rsidR="00B20A2A" w:rsidRPr="00E94BF3" w:rsidRDefault="00B20A2A" w:rsidP="00B20A2A">
      <w:pPr>
        <w:pStyle w:val="Heading1"/>
        <w:rPr>
          <w:lang w:val="es-MX"/>
        </w:rPr>
      </w:pPr>
      <w:r w:rsidRPr="00E94BF3">
        <w:rPr>
          <w:lang w:val="es-MX"/>
        </w:rPr>
        <w:t xml:space="preserve">En la etapa I, se ha proporcionado asistencia técnica y equipo de capacitación a los centros nacionales de capacitación para la formación de técnicos en refrigeración y aire acondicionado de forma continuada. Para reducir la dependencia a los equipos de refrigeración y aire acondicionado que usan HCFC, el Gobierno está considerando prohibir la importación de dichos equipos en un futuro próximo. Se espera que la combinación de las medidas anteriores tenga como consecuencia la eliminación sostenible de los HCFC en el país.   </w:t>
      </w:r>
    </w:p>
    <w:p w:rsidR="00B20A2A" w:rsidRPr="00E94BF3" w:rsidRDefault="00B20A2A" w:rsidP="00B20A2A">
      <w:pPr>
        <w:rPr>
          <w:u w:val="single"/>
          <w:lang w:val="es-MX"/>
        </w:rPr>
      </w:pPr>
      <w:r w:rsidRPr="00E94BF3">
        <w:rPr>
          <w:u w:val="single"/>
          <w:lang w:val="es-MX"/>
        </w:rPr>
        <w:t xml:space="preserve">Conclusión </w:t>
      </w:r>
    </w:p>
    <w:p w:rsidR="00B20A2A" w:rsidRPr="00E94BF3" w:rsidRDefault="00B20A2A" w:rsidP="00B20A2A">
      <w:pPr>
        <w:rPr>
          <w:lang w:val="es-MX"/>
        </w:rPr>
      </w:pPr>
    </w:p>
    <w:p w:rsidR="00B20A2A" w:rsidRPr="00E94BF3" w:rsidRDefault="00B20A2A" w:rsidP="00B20A2A">
      <w:pPr>
        <w:pStyle w:val="Heading1"/>
        <w:rPr>
          <w:lang w:val="es-MX"/>
        </w:rPr>
      </w:pPr>
      <w:r w:rsidRPr="00E94BF3">
        <w:rPr>
          <w:lang w:val="es-MX"/>
        </w:rPr>
        <w:t xml:space="preserve">El plan de gestión de la eliminación de los HCFC marcha a buen ritmo a pesar de que el país se enfrentó a retos en el pasado, lo que demoró la presentación del tramo actual. El sistema de otorgamiento de licencias de importación y de cupos del país está funcionando. El consumo de HCFC en 2018 fue un 21,9 por ciento inferior a los objetivos de control del Protocolo de Montreal. Las actividades realizadas hasta la fecha en los tres primeros tramos, incluyendo el refuerzo de los centros de excelencia del país </w:t>
      </w:r>
      <w:r w:rsidR="00E94BF3" w:rsidRPr="00E94BF3">
        <w:rPr>
          <w:lang w:val="es-MX"/>
        </w:rPr>
        <w:t>y la</w:t>
      </w:r>
      <w:r w:rsidRPr="00E94BF3">
        <w:rPr>
          <w:lang w:val="es-MX"/>
        </w:rPr>
        <w:t xml:space="preserve"> capacidad nacional de control de los HCFC, y la distribución de herramientas y equipos de servicio y mantenimiento de refrigeración, y las actividades planificadas para el cuarto tramo que incluyen la capacitación de los oficiales de aduana y los funcionarios encargados de hacer cumplir la ley y la capacitación de los expertos y técnicos de </w:t>
      </w:r>
      <w:r w:rsidR="00E94BF3" w:rsidRPr="00E94BF3">
        <w:rPr>
          <w:lang w:val="es-MX"/>
        </w:rPr>
        <w:t>mantenimiento</w:t>
      </w:r>
      <w:r w:rsidRPr="00E94BF3">
        <w:rPr>
          <w:lang w:val="es-MX"/>
        </w:rPr>
        <w:t>, seguirán fortaleciendo el sector de servicio y mantenimiento y garantizarán la sostenibilidad a largo plazo de las actividades propuestas en la etapa I del plan de gestión de la eliminación de los HCFC. El nivel de desembolso del tercer tramo es del 77 por ciento de los fondos aprobados.</w:t>
      </w:r>
    </w:p>
    <w:p w:rsidR="00B20A2A" w:rsidRPr="00E94BF3" w:rsidRDefault="00B20A2A" w:rsidP="00B20A2A">
      <w:pPr>
        <w:keepNext/>
        <w:rPr>
          <w:lang w:val="es-MX"/>
        </w:rPr>
      </w:pPr>
      <w:r w:rsidRPr="00E94BF3">
        <w:rPr>
          <w:b/>
          <w:lang w:val="es-MX"/>
        </w:rPr>
        <w:t xml:space="preserve">RECOMENDACIÓN </w:t>
      </w:r>
    </w:p>
    <w:p w:rsidR="00B20A2A" w:rsidRPr="00E94BF3" w:rsidRDefault="00B20A2A" w:rsidP="00B20A2A">
      <w:pPr>
        <w:keepNext/>
        <w:rPr>
          <w:lang w:val="es-MX"/>
        </w:rPr>
      </w:pPr>
    </w:p>
    <w:p w:rsidR="00B20A2A" w:rsidRPr="00E94BF3" w:rsidRDefault="00B20A2A" w:rsidP="00B20A2A">
      <w:pPr>
        <w:pStyle w:val="Heading1"/>
        <w:keepNext/>
        <w:rPr>
          <w:lang w:val="es-MX"/>
        </w:rPr>
      </w:pPr>
      <w:r w:rsidRPr="00E94BF3">
        <w:rPr>
          <w:lang w:val="es-MX"/>
        </w:rPr>
        <w:t xml:space="preserve">La Secretaría del Fondo recomienda que el Comité Ejecutivo tome nota del informe sobre la marcha de las actividades de aplicación del tercer tramo de la </w:t>
      </w:r>
      <w:r w:rsidR="00E94BF3" w:rsidRPr="00E94BF3">
        <w:rPr>
          <w:lang w:val="es-MX"/>
        </w:rPr>
        <w:t>etapa</w:t>
      </w:r>
      <w:r w:rsidRPr="00E94BF3">
        <w:rPr>
          <w:lang w:val="es-MX"/>
        </w:rPr>
        <w:t xml:space="preserve"> I del plan de gestión de la eliminación de los HCFC en el Congo; y además recomienda la aprobación general del cuarto tramo de la etapa I del plan de gestión de la eliminación de los HCFC en el Congo, y el plan correspondiente de ejecución del tramo para 2020-2021, a los niveles de financiación que se indican en el cuadro que figura a continuación: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4370"/>
        <w:gridCol w:w="1477"/>
        <w:gridCol w:w="1477"/>
        <w:gridCol w:w="1477"/>
      </w:tblGrid>
      <w:tr w:rsidR="00B20A2A" w:rsidRPr="00E94BF3" w:rsidTr="00C66FA4">
        <w:tc>
          <w:tcPr>
            <w:tcW w:w="293" w:type="pct"/>
          </w:tcPr>
          <w:p w:rsidR="00B20A2A" w:rsidRPr="00E94BF3" w:rsidRDefault="00B20A2A" w:rsidP="00C66FA4">
            <w:pPr>
              <w:jc w:val="center"/>
              <w:rPr>
                <w:b/>
                <w:bCs/>
                <w:sz w:val="20"/>
                <w:szCs w:val="20"/>
                <w:lang w:val="es-MX"/>
              </w:rPr>
            </w:pPr>
          </w:p>
        </w:tc>
        <w:tc>
          <w:tcPr>
            <w:tcW w:w="2337" w:type="pct"/>
          </w:tcPr>
          <w:p w:rsidR="00B20A2A" w:rsidRPr="00E94BF3" w:rsidRDefault="00B20A2A" w:rsidP="00C66FA4">
            <w:pPr>
              <w:jc w:val="center"/>
              <w:rPr>
                <w:b/>
                <w:bCs/>
                <w:sz w:val="20"/>
                <w:szCs w:val="20"/>
                <w:lang w:val="es-MX"/>
              </w:rPr>
            </w:pPr>
            <w:r w:rsidRPr="00E94BF3">
              <w:rPr>
                <w:b/>
                <w:bCs/>
                <w:sz w:val="20"/>
                <w:szCs w:val="20"/>
                <w:lang w:val="es-MX"/>
              </w:rPr>
              <w:t>Título del proyecto</w:t>
            </w:r>
          </w:p>
        </w:tc>
        <w:tc>
          <w:tcPr>
            <w:tcW w:w="790" w:type="pct"/>
            <w:tcMar>
              <w:left w:w="29" w:type="dxa"/>
              <w:right w:w="29" w:type="dxa"/>
            </w:tcMar>
          </w:tcPr>
          <w:p w:rsidR="00B20A2A" w:rsidRPr="00E94BF3" w:rsidRDefault="00B20A2A" w:rsidP="00C66FA4">
            <w:pPr>
              <w:jc w:val="center"/>
              <w:rPr>
                <w:b/>
                <w:bCs/>
                <w:sz w:val="20"/>
                <w:szCs w:val="20"/>
                <w:lang w:val="es-MX"/>
              </w:rPr>
            </w:pPr>
            <w:r w:rsidRPr="00E94BF3">
              <w:rPr>
                <w:b/>
                <w:bCs/>
                <w:sz w:val="20"/>
                <w:szCs w:val="20"/>
                <w:lang w:val="es-MX"/>
              </w:rPr>
              <w:t>Financiación del proyecto ($EUA)</w:t>
            </w:r>
          </w:p>
        </w:tc>
        <w:tc>
          <w:tcPr>
            <w:tcW w:w="790" w:type="pct"/>
            <w:tcMar>
              <w:left w:w="29" w:type="dxa"/>
              <w:right w:w="29" w:type="dxa"/>
            </w:tcMar>
          </w:tcPr>
          <w:p w:rsidR="00B20A2A" w:rsidRPr="00E94BF3" w:rsidRDefault="00B20A2A" w:rsidP="00C66FA4">
            <w:pPr>
              <w:jc w:val="center"/>
              <w:rPr>
                <w:b/>
                <w:bCs/>
                <w:sz w:val="20"/>
                <w:szCs w:val="20"/>
                <w:lang w:val="es-MX"/>
              </w:rPr>
            </w:pPr>
            <w:r w:rsidRPr="00E94BF3">
              <w:rPr>
                <w:b/>
                <w:bCs/>
                <w:sz w:val="20"/>
                <w:szCs w:val="20"/>
                <w:lang w:val="es-MX"/>
              </w:rPr>
              <w:t>Gastos de apoyo ($EUA)</w:t>
            </w:r>
          </w:p>
        </w:tc>
        <w:tc>
          <w:tcPr>
            <w:tcW w:w="790" w:type="pct"/>
            <w:tcMar>
              <w:left w:w="29" w:type="dxa"/>
              <w:right w:w="29" w:type="dxa"/>
            </w:tcMar>
          </w:tcPr>
          <w:p w:rsidR="00B20A2A" w:rsidRPr="00E94BF3" w:rsidRDefault="00B20A2A" w:rsidP="00C66FA4">
            <w:pPr>
              <w:jc w:val="center"/>
              <w:rPr>
                <w:b/>
                <w:bCs/>
                <w:sz w:val="20"/>
                <w:szCs w:val="20"/>
                <w:lang w:val="es-MX"/>
              </w:rPr>
            </w:pPr>
            <w:r w:rsidRPr="00E94BF3">
              <w:rPr>
                <w:b/>
                <w:bCs/>
                <w:sz w:val="20"/>
                <w:szCs w:val="20"/>
                <w:lang w:val="es-MX"/>
              </w:rPr>
              <w:t>Organismo de ejecución</w:t>
            </w:r>
          </w:p>
        </w:tc>
      </w:tr>
      <w:tr w:rsidR="00B20A2A" w:rsidRPr="00E94BF3" w:rsidTr="00C66FA4">
        <w:tc>
          <w:tcPr>
            <w:tcW w:w="293" w:type="pct"/>
          </w:tcPr>
          <w:p w:rsidR="00B20A2A" w:rsidRPr="00E94BF3" w:rsidRDefault="00B20A2A" w:rsidP="00C66FA4">
            <w:pPr>
              <w:rPr>
                <w:sz w:val="20"/>
                <w:szCs w:val="20"/>
                <w:lang w:val="es-MX"/>
              </w:rPr>
            </w:pPr>
            <w:r w:rsidRPr="00E94BF3">
              <w:rPr>
                <w:sz w:val="20"/>
                <w:szCs w:val="20"/>
                <w:lang w:val="es-MX"/>
              </w:rPr>
              <w:t>a)</w:t>
            </w:r>
          </w:p>
        </w:tc>
        <w:tc>
          <w:tcPr>
            <w:tcW w:w="2337" w:type="pct"/>
          </w:tcPr>
          <w:p w:rsidR="00B20A2A" w:rsidRPr="00E94BF3" w:rsidRDefault="00B20A2A" w:rsidP="00C66FA4">
            <w:pPr>
              <w:rPr>
                <w:sz w:val="20"/>
                <w:szCs w:val="20"/>
                <w:lang w:val="es-MX"/>
              </w:rPr>
            </w:pPr>
            <w:r w:rsidRPr="00E94BF3">
              <w:rPr>
                <w:sz w:val="20"/>
                <w:szCs w:val="20"/>
                <w:lang w:val="es-MX"/>
              </w:rPr>
              <w:t>Plan de gestión de eliminación de HCFC (etapa I, cuarto tramo)</w:t>
            </w:r>
          </w:p>
        </w:tc>
        <w:tc>
          <w:tcPr>
            <w:tcW w:w="790" w:type="pct"/>
          </w:tcPr>
          <w:p w:rsidR="00B20A2A" w:rsidRPr="00E94BF3" w:rsidRDefault="00B20A2A" w:rsidP="00C66FA4">
            <w:pPr>
              <w:jc w:val="right"/>
              <w:rPr>
                <w:sz w:val="20"/>
                <w:szCs w:val="20"/>
                <w:lang w:val="es-MX"/>
              </w:rPr>
            </w:pPr>
            <w:r w:rsidRPr="00E94BF3">
              <w:rPr>
                <w:sz w:val="20"/>
                <w:szCs w:val="20"/>
                <w:lang w:val="es-MX"/>
              </w:rPr>
              <w:t>25.000</w:t>
            </w:r>
          </w:p>
        </w:tc>
        <w:tc>
          <w:tcPr>
            <w:tcW w:w="790" w:type="pct"/>
          </w:tcPr>
          <w:p w:rsidR="00B20A2A" w:rsidRPr="00E94BF3" w:rsidRDefault="00B20A2A" w:rsidP="00C66FA4">
            <w:pPr>
              <w:jc w:val="right"/>
              <w:rPr>
                <w:lang w:val="es-MX"/>
              </w:rPr>
            </w:pPr>
            <w:r w:rsidRPr="00E94BF3">
              <w:rPr>
                <w:sz w:val="20"/>
                <w:szCs w:val="20"/>
                <w:lang w:val="es-MX"/>
              </w:rPr>
              <w:t>3.250</w:t>
            </w:r>
          </w:p>
        </w:tc>
        <w:tc>
          <w:tcPr>
            <w:tcW w:w="790" w:type="pct"/>
          </w:tcPr>
          <w:p w:rsidR="00B20A2A" w:rsidRPr="00E94BF3" w:rsidRDefault="00B20A2A" w:rsidP="00C66FA4">
            <w:pPr>
              <w:jc w:val="center"/>
              <w:rPr>
                <w:sz w:val="20"/>
                <w:szCs w:val="20"/>
                <w:lang w:val="es-MX"/>
              </w:rPr>
            </w:pPr>
            <w:r w:rsidRPr="00E94BF3">
              <w:rPr>
                <w:sz w:val="20"/>
                <w:szCs w:val="20"/>
                <w:lang w:val="es-MX"/>
              </w:rPr>
              <w:t>PNUMA</w:t>
            </w:r>
          </w:p>
        </w:tc>
      </w:tr>
    </w:tbl>
    <w:p w:rsidR="00B20A2A" w:rsidRPr="00E94BF3" w:rsidRDefault="00B20A2A" w:rsidP="00B20A2A">
      <w:pPr>
        <w:rPr>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B20A2A" w:rsidRPr="00E94BF3" w:rsidTr="00C66FA4">
        <w:tc>
          <w:tcPr>
            <w:tcW w:w="1915" w:type="dxa"/>
          </w:tcPr>
          <w:p w:rsidR="00B20A2A" w:rsidRPr="00E94BF3" w:rsidRDefault="00B20A2A" w:rsidP="00C66FA4">
            <w:pPr>
              <w:tabs>
                <w:tab w:val="left" w:pos="8280"/>
              </w:tabs>
              <w:rPr>
                <w:lang w:val="es-MX"/>
              </w:rPr>
            </w:pPr>
          </w:p>
        </w:tc>
        <w:tc>
          <w:tcPr>
            <w:tcW w:w="1915" w:type="dxa"/>
          </w:tcPr>
          <w:p w:rsidR="00B20A2A" w:rsidRPr="00E94BF3" w:rsidRDefault="00B20A2A" w:rsidP="00C66FA4">
            <w:pPr>
              <w:tabs>
                <w:tab w:val="left" w:pos="8280"/>
              </w:tabs>
              <w:rPr>
                <w:lang w:val="es-MX"/>
              </w:rPr>
            </w:pPr>
          </w:p>
        </w:tc>
        <w:tc>
          <w:tcPr>
            <w:tcW w:w="1915" w:type="dxa"/>
            <w:tcBorders>
              <w:bottom w:val="single" w:sz="4" w:space="0" w:color="auto"/>
            </w:tcBorders>
          </w:tcPr>
          <w:p w:rsidR="00B20A2A" w:rsidRPr="00E94BF3" w:rsidRDefault="00B20A2A" w:rsidP="00C66FA4">
            <w:pPr>
              <w:tabs>
                <w:tab w:val="left" w:pos="8280"/>
              </w:tabs>
              <w:rPr>
                <w:lang w:val="es-MX"/>
              </w:rPr>
            </w:pPr>
          </w:p>
        </w:tc>
        <w:tc>
          <w:tcPr>
            <w:tcW w:w="1915" w:type="dxa"/>
          </w:tcPr>
          <w:p w:rsidR="00B20A2A" w:rsidRPr="00E94BF3" w:rsidRDefault="00B20A2A" w:rsidP="00C66FA4">
            <w:pPr>
              <w:tabs>
                <w:tab w:val="left" w:pos="8280"/>
              </w:tabs>
              <w:rPr>
                <w:lang w:val="es-MX"/>
              </w:rPr>
            </w:pPr>
          </w:p>
        </w:tc>
        <w:tc>
          <w:tcPr>
            <w:tcW w:w="1916" w:type="dxa"/>
          </w:tcPr>
          <w:p w:rsidR="00B20A2A" w:rsidRPr="00E94BF3" w:rsidRDefault="00B20A2A" w:rsidP="00C66FA4">
            <w:pPr>
              <w:tabs>
                <w:tab w:val="left" w:pos="8280"/>
              </w:tabs>
              <w:rPr>
                <w:lang w:val="es-MX"/>
              </w:rPr>
            </w:pPr>
          </w:p>
        </w:tc>
      </w:tr>
    </w:tbl>
    <w:p w:rsidR="00B20A2A" w:rsidRPr="00E94BF3" w:rsidRDefault="00B20A2A" w:rsidP="00B20A2A">
      <w:pPr>
        <w:tabs>
          <w:tab w:val="left" w:pos="8280"/>
        </w:tabs>
        <w:rPr>
          <w:lang w:val="es-MX"/>
        </w:rPr>
      </w:pPr>
    </w:p>
    <w:p w:rsidR="0087455A" w:rsidRPr="00E94BF3" w:rsidRDefault="0087455A">
      <w:pPr>
        <w:pStyle w:val="StyleHeader4Para4Left0Firstline0"/>
        <w:numPr>
          <w:ilvl w:val="0"/>
          <w:numId w:val="0"/>
        </w:numPr>
        <w:rPr>
          <w:lang w:val="es-MX"/>
        </w:rPr>
      </w:pPr>
    </w:p>
    <w:p w:rsidR="0087455A" w:rsidRPr="00E94BF3" w:rsidRDefault="0087455A">
      <w:pPr>
        <w:jc w:val="left"/>
        <w:rPr>
          <w:sz w:val="20"/>
          <w:lang w:val="es-MX"/>
        </w:rPr>
      </w:pPr>
    </w:p>
    <w:sectPr w:rsidR="0087455A" w:rsidRPr="00E94BF3" w:rsidSect="00B20A2A">
      <w:headerReference w:type="even" r:id="rId10"/>
      <w:headerReference w:type="default" r:id="rId11"/>
      <w:footerReference w:type="even" r:id="rId12"/>
      <w:footerReference w:type="default" r:id="rId13"/>
      <w:head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712" w:rsidRDefault="00CF5712">
      <w:r>
        <w:separator/>
      </w:r>
    </w:p>
  </w:endnote>
  <w:endnote w:type="continuationSeparator" w:id="0">
    <w:p w:rsidR="00CF5712" w:rsidRDefault="00CF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rsidR="00D143F2" w:rsidRDefault="00D143F2" w:rsidP="00D143F2">
        <w:pPr>
          <w:pStyle w:val="Footer"/>
          <w:jc w:val="center"/>
        </w:pPr>
        <w:r>
          <w:fldChar w:fldCharType="begin"/>
        </w:r>
        <w:r>
          <w:instrText xml:space="preserve"> PAGE   \* MERGEFORMAT </w:instrText>
        </w:r>
        <w:r>
          <w:fldChar w:fldCharType="separate"/>
        </w:r>
        <w:r w:rsidR="004443BC">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379874"/>
      <w:docPartObj>
        <w:docPartGallery w:val="Page Numbers (Bottom of Page)"/>
        <w:docPartUnique/>
      </w:docPartObj>
    </w:sdtPr>
    <w:sdtEndPr>
      <w:rPr>
        <w:noProof/>
      </w:rPr>
    </w:sdtEndPr>
    <w:sdtContent>
      <w:p w:rsidR="00D143F2" w:rsidRDefault="00D143F2" w:rsidP="00D143F2">
        <w:pPr>
          <w:pStyle w:val="Footer"/>
          <w:jc w:val="center"/>
        </w:pPr>
        <w:r>
          <w:fldChar w:fldCharType="begin"/>
        </w:r>
        <w:r>
          <w:instrText xml:space="preserve"> PAGE   \* MERGEFORMAT </w:instrText>
        </w:r>
        <w:r>
          <w:fldChar w:fldCharType="separate"/>
        </w:r>
        <w:r w:rsidR="004443B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712" w:rsidRDefault="00CF5712">
      <w:r>
        <w:separator/>
      </w:r>
    </w:p>
  </w:footnote>
  <w:footnote w:type="continuationSeparator" w:id="0">
    <w:p w:rsidR="00CF5712" w:rsidRDefault="00CF5712">
      <w:r>
        <w:continuationSeparator/>
      </w:r>
    </w:p>
  </w:footnote>
  <w:footnote w:id="1">
    <w:p w:rsidR="00B20A2A" w:rsidRPr="00FE3307" w:rsidRDefault="00B20A2A" w:rsidP="00B20A2A">
      <w:pPr>
        <w:pStyle w:val="FootnoteText"/>
      </w:pPr>
      <w:r>
        <w:rPr>
          <w:rStyle w:val="FootnoteReference"/>
        </w:rPr>
        <w:footnoteRef/>
      </w:r>
      <w:r>
        <w:t xml:space="preserve"> Conforme a la carta del 8 de octubre de 2019 del Ministère du Tourisme et de l’Environnement del Congo a la Secretaría.</w:t>
      </w:r>
    </w:p>
  </w:footnote>
  <w:footnote w:id="2">
    <w:p w:rsidR="00B20A2A" w:rsidRPr="00FE652C" w:rsidRDefault="00B20A2A" w:rsidP="00B20A2A">
      <w:pPr>
        <w:pStyle w:val="FootnoteText"/>
      </w:pPr>
      <w:r>
        <w:rPr>
          <w:rStyle w:val="FootnoteReference"/>
        </w:rPr>
        <w:footnoteRef/>
      </w:r>
      <w:r>
        <w:t xml:space="preserve"> Decisiones 72/17 y 73/34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F2" w:rsidRDefault="00B91ED7" w:rsidP="00D143F2">
    <w:pPr>
      <w:jc w:val="left"/>
    </w:pPr>
    <w:fldSimple w:instr=" DOCPROPERTY &quot;Document number&quot;  \* MERGEFORMAT ">
      <w:r w:rsidR="00D143F2">
        <w:t>UNEP/OzL.Pro/ExCom/84/44</w:t>
      </w:r>
    </w:fldSimple>
  </w:p>
  <w:p w:rsidR="00D143F2" w:rsidRDefault="00D143F2">
    <w:pPr>
      <w:pStyle w:val="Header"/>
    </w:pPr>
  </w:p>
  <w:p w:rsidR="002458C6" w:rsidRDefault="002458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F2" w:rsidRPr="0033525D" w:rsidRDefault="00B91ED7" w:rsidP="00D143F2">
    <w:pPr>
      <w:jc w:val="right"/>
    </w:pPr>
    <w:fldSimple w:instr=" DOCPROPERTY &quot;Document number&quot;  \* MERGEFORMAT ">
      <w:r w:rsidR="00D143F2">
        <w:t>UNEP/OzL.Pro/ExCom/84/44</w:t>
      </w:r>
    </w:fldSimple>
  </w:p>
  <w:p w:rsidR="00D143F2" w:rsidRDefault="00D143F2">
    <w:pPr>
      <w:pStyle w:val="Header"/>
    </w:pPr>
  </w:p>
  <w:p w:rsidR="002458C6" w:rsidRDefault="002458C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5A" w:rsidRDefault="0087455A"/>
  <w:p w:rsidR="0087455A" w:rsidRDefault="008745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AE69504"/>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2A"/>
    <w:rsid w:val="000555C5"/>
    <w:rsid w:val="00106F6E"/>
    <w:rsid w:val="00114CAA"/>
    <w:rsid w:val="001C2D22"/>
    <w:rsid w:val="001F4047"/>
    <w:rsid w:val="00235D4C"/>
    <w:rsid w:val="0024162E"/>
    <w:rsid w:val="002458C6"/>
    <w:rsid w:val="003863A4"/>
    <w:rsid w:val="00394E78"/>
    <w:rsid w:val="003B7115"/>
    <w:rsid w:val="004443BC"/>
    <w:rsid w:val="00455352"/>
    <w:rsid w:val="00476E28"/>
    <w:rsid w:val="00831BC5"/>
    <w:rsid w:val="0087455A"/>
    <w:rsid w:val="00AB56E5"/>
    <w:rsid w:val="00B20A2A"/>
    <w:rsid w:val="00B91ED7"/>
    <w:rsid w:val="00C14E67"/>
    <w:rsid w:val="00CF5712"/>
    <w:rsid w:val="00D143F2"/>
    <w:rsid w:val="00DB795B"/>
    <w:rsid w:val="00E17F97"/>
    <w:rsid w:val="00E80A82"/>
    <w:rsid w:val="00E94BF3"/>
    <w:rsid w:val="00F10CD9"/>
    <w:rsid w:val="00F25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181F32"/>
  <w15:docId w15:val="{2E0F8CD7-C1CF-4AEB-AA03-A81538BA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pPr>
      <w:widowControl w:val="0"/>
      <w:numPr>
        <w:ilvl w:val="1"/>
        <w:numId w:val="1"/>
      </w:numPr>
      <w:spacing w:after="240"/>
      <w:outlineLvl w:val="1"/>
    </w:pPr>
  </w:style>
  <w:style w:type="paragraph" w:styleId="Heading3">
    <w:name w:val="heading 3"/>
    <w:aliases w:val="Char"/>
    <w:basedOn w:val="Normal"/>
    <w:next w:val="Normal"/>
    <w:qFormat/>
    <w:pPr>
      <w:widowControl w:val="0"/>
      <w:numPr>
        <w:ilvl w:val="2"/>
        <w:numId w:val="1"/>
      </w:numPr>
      <w:spacing w:after="240"/>
      <w:outlineLvl w:val="2"/>
    </w:pPr>
  </w:style>
  <w:style w:type="paragraph" w:styleId="Heading4">
    <w:name w:val="heading 4"/>
    <w:aliases w:val="Heading 11"/>
    <w:basedOn w:val="Normal"/>
    <w:next w:val="Heading9"/>
    <w:semiHidden/>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ListParagraph">
    <w:name w:val="List Paragraph"/>
    <w:basedOn w:val="Normal"/>
    <w:uiPriority w:val="34"/>
    <w:qFormat/>
    <w:rsid w:val="00B20A2A"/>
    <w:pPr>
      <w:ind w:left="720"/>
      <w:contextualSpacing/>
    </w:pPr>
    <w:rPr>
      <w:lang w:val="es-ES"/>
    </w:rPr>
  </w:style>
  <w:style w:type="paragraph" w:styleId="FootnoteText">
    <w:name w:val="footnote text"/>
    <w:basedOn w:val="Normal"/>
    <w:link w:val="FootnoteTextChar"/>
    <w:uiPriority w:val="99"/>
    <w:semiHidden/>
    <w:unhideWhenUsed/>
    <w:rsid w:val="00B20A2A"/>
    <w:rPr>
      <w:sz w:val="20"/>
      <w:szCs w:val="20"/>
      <w:lang w:val="es-ES"/>
    </w:rPr>
  </w:style>
  <w:style w:type="character" w:customStyle="1" w:styleId="FootnoteTextChar">
    <w:name w:val="Footnote Text Char"/>
    <w:basedOn w:val="DefaultParagraphFont"/>
    <w:link w:val="FootnoteText"/>
    <w:uiPriority w:val="99"/>
    <w:semiHidden/>
    <w:rsid w:val="00B20A2A"/>
    <w:rPr>
      <w:lang w:val="es-ES"/>
    </w:rPr>
  </w:style>
  <w:style w:type="character" w:styleId="FootnoteReference">
    <w:name w:val="footnote reference"/>
    <w:basedOn w:val="DefaultParagraphFont"/>
    <w:uiPriority w:val="99"/>
    <w:semiHidden/>
    <w:unhideWhenUsed/>
    <w:rsid w:val="00B20A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ive\Google%20Drive\Traducciones\ONU\trados\201912%20ONU%20tercer%20intento\es-ES\S8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e6e1f9e0-8f48-4721-871b-80b3d7694360">UNEP/OzL.Pro/ExCom/84/44</Document_x0020_Numb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2D22381220FE4184AFB35730DED85F" ma:contentTypeVersion="1" ma:contentTypeDescription="Create a new document." ma:contentTypeScope="" ma:versionID="461298c5bf0d5321f2c277022a6fab22">
  <xsd:schema xmlns:xsd="http://www.w3.org/2001/XMLSchema" xmlns:p="http://schemas.microsoft.com/office/2006/metadata/properties" xmlns:ns2="e6e1f9e0-8f48-4721-871b-80b3d7694360" targetNamespace="http://schemas.microsoft.com/office/2006/metadata/properties" ma:root="true" ma:fieldsID="f33d5c748b406760e27072e0ba6dee89"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7C66F6D-8E36-486E-84F1-010D04022F0C}"/>
</file>

<file path=customXml/itemProps2.xml><?xml version="1.0" encoding="utf-8"?>
<ds:datastoreItem xmlns:ds="http://schemas.openxmlformats.org/officeDocument/2006/customXml" ds:itemID="{F2C6F555-80BA-4F5D-8BA0-F9501DA5DBF2}"/>
</file>

<file path=customXml/itemProps3.xml><?xml version="1.0" encoding="utf-8"?>
<ds:datastoreItem xmlns:ds="http://schemas.openxmlformats.org/officeDocument/2006/customXml" ds:itemID="{5236D011-B6C0-4CBB-8E9B-F47BA9DA4201}"/>
</file>

<file path=customXml/itemProps4.xml><?xml version="1.0" encoding="utf-8"?>
<ds:datastoreItem xmlns:ds="http://schemas.openxmlformats.org/officeDocument/2006/customXml" ds:itemID="{D46FAC0E-D617-46BA-8DFD-F2291BB02973}"/>
</file>

<file path=docProps/app.xml><?xml version="1.0" encoding="utf-8"?>
<Properties xmlns="http://schemas.openxmlformats.org/officeDocument/2006/extended-properties" xmlns:vt="http://schemas.openxmlformats.org/officeDocument/2006/docPropsVTypes">
  <Template>S84</Template>
  <TotalTime>18</TotalTime>
  <Pages>6</Pages>
  <Words>2168</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Propuesta de proyecto: Congo (el)</vt:lpstr>
    </vt:vector>
  </TitlesOfParts>
  <Company>UNMFS</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proyecto: Congo</dc:title>
  <dc:creator>Alejandro Moreno-Ramos</dc:creator>
  <cp:lastModifiedBy>HBE</cp:lastModifiedBy>
  <cp:revision>11</cp:revision>
  <cp:lastPrinted>2001-05-26T16:40:00Z</cp:lastPrinted>
  <dcterms:created xsi:type="dcterms:W3CDTF">2019-11-20T11:07:00Z</dcterms:created>
  <dcterms:modified xsi:type="dcterms:W3CDTF">2019-11-25T23:03:00Z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UNEP/OzL.Pro/ExCom/84/44</vt:lpwstr>
  </property>
  <property fmtid="{D5CDD505-2E9C-101B-9397-08002B2CF9AE}" pid="3" name="Revision date">
    <vt:lpwstr>11/15/2019</vt:lpwstr>
  </property>
  <property fmtid="{D5CDD505-2E9C-101B-9397-08002B2CF9AE}" pid="4" name="ContentTypeId">
    <vt:lpwstr>0x010100CF2D22381220FE4184AFB35730DED85F</vt:lpwstr>
  </property>
</Properties>
</file>