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4D4DACF9" w14:textId="77777777">
        <w:trPr>
          <w:trHeight w:val="720"/>
        </w:trPr>
        <w:tc>
          <w:tcPr>
            <w:tcW w:w="4410" w:type="dxa"/>
            <w:gridSpan w:val="2"/>
            <w:tcBorders>
              <w:bottom w:val="single" w:sz="18" w:space="0" w:color="auto"/>
            </w:tcBorders>
          </w:tcPr>
          <w:p w14:paraId="3599D876"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p>
        </w:tc>
        <w:tc>
          <w:tcPr>
            <w:tcW w:w="5130" w:type="dxa"/>
            <w:gridSpan w:val="2"/>
            <w:tcBorders>
              <w:bottom w:val="single" w:sz="18" w:space="0" w:color="auto"/>
            </w:tcBorders>
          </w:tcPr>
          <w:p w14:paraId="6A11F0BF"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16B2F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37F1A147"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04A8870E" wp14:editId="5051E499">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14:anchorId="70BBAA7B" wp14:editId="6A8815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4BC4EBF2" w14:textId="77777777" w:rsidR="007E5D09" w:rsidRDefault="00E1360E">
            <w:pPr>
              <w:spacing w:before="120"/>
              <w:jc w:val="left"/>
              <w:rPr>
                <w:lang w:val="en-US"/>
              </w:rPr>
            </w:pPr>
            <w:r>
              <w:rPr>
                <w:lang w:val="en-US"/>
              </w:rPr>
              <w:t>GENERAL</w:t>
            </w:r>
          </w:p>
          <w:p w14:paraId="5C9C83DF" w14:textId="77777777" w:rsidR="007E5D09" w:rsidRDefault="007E5D09">
            <w:pPr>
              <w:spacing w:before="120"/>
              <w:jc w:val="left"/>
              <w:rPr>
                <w:lang w:val="en-US"/>
              </w:rPr>
            </w:pPr>
          </w:p>
          <w:p w14:paraId="7B7BDD7F" w14:textId="77777777" w:rsidR="007E5D09" w:rsidRDefault="007E0524" w:rsidP="00F1163A">
            <w:pPr>
              <w:rPr>
                <w:rtl/>
              </w:rPr>
            </w:pPr>
            <w:fldSimple w:instr=" DOCPROPERTY &quot;Document number&quot;  \* MERGEFORMAT ">
              <w:r w:rsidR="00F1163A">
                <w:t>UNEP/OzL.Pro/ExCom/85/</w:t>
              </w:r>
              <w:r w:rsidR="00F1163A">
                <w:rPr>
                  <w:lang w:val="en-US"/>
                </w:rPr>
                <w:t>28</w:t>
              </w:r>
            </w:fldSimple>
          </w:p>
          <w:p w14:paraId="59ED4905" w14:textId="77777777" w:rsidR="00662A73" w:rsidRPr="003F73BA" w:rsidRDefault="007C4BE8" w:rsidP="0008042D">
            <w:pPr>
              <w:spacing w:before="120"/>
              <w:jc w:val="left"/>
            </w:pPr>
            <w:r>
              <w:rPr>
                <w:lang w:val="en-US"/>
              </w:rPr>
              <w:fldChar w:fldCharType="begin"/>
            </w:r>
            <w:r w:rsidR="00662A73" w:rsidRPr="00662A73">
              <w:rPr>
                <w:lang w:val="en-US"/>
              </w:rPr>
              <w:instrText xml:space="preserve"> DOCPROPERTY "Revision date" \@ "d MMMM YYYY"  \* MERGEFORMAT </w:instrText>
            </w:r>
            <w:r>
              <w:rPr>
                <w:lang w:val="en-US"/>
              </w:rPr>
              <w:fldChar w:fldCharType="separate"/>
            </w:r>
            <w:r w:rsidR="00072C88">
              <w:rPr>
                <w:lang w:val="en-US"/>
              </w:rPr>
              <w:t>2</w:t>
            </w:r>
            <w:r w:rsidR="0008042D">
              <w:rPr>
                <w:lang w:val="en-US"/>
              </w:rPr>
              <w:t>7</w:t>
            </w:r>
            <w:r w:rsidR="00072C88" w:rsidRPr="00072C88">
              <w:t xml:space="preserve"> April</w:t>
            </w:r>
            <w:r w:rsidR="00072C88">
              <w:rPr>
                <w:lang w:val="en-US"/>
              </w:rPr>
              <w:t xml:space="preserve"> 2020</w:t>
            </w:r>
            <w:r>
              <w:fldChar w:fldCharType="end"/>
            </w:r>
          </w:p>
          <w:p w14:paraId="7F1736A1" w14:textId="77777777" w:rsidR="00662A73" w:rsidRDefault="00662A73">
            <w:pPr>
              <w:spacing w:before="120"/>
              <w:jc w:val="left"/>
              <w:rPr>
                <w:rtl/>
                <w:lang w:val="en-US" w:bidi="ar-AE"/>
              </w:rPr>
            </w:pPr>
          </w:p>
          <w:p w14:paraId="3897BB52" w14:textId="77777777" w:rsidR="007E5D09" w:rsidRDefault="00E1360E">
            <w:pPr>
              <w:spacing w:before="120"/>
              <w:jc w:val="left"/>
              <w:rPr>
                <w:lang w:val="en-US"/>
              </w:rPr>
            </w:pPr>
            <w:r>
              <w:rPr>
                <w:lang w:val="en-US"/>
              </w:rPr>
              <w:t>ARABIC</w:t>
            </w:r>
          </w:p>
          <w:p w14:paraId="2FFA03F2"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2576158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3E23F7B7"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04E2F90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27766D2"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09B03666" w14:textId="77777777" w:rsidR="007E5D09" w:rsidRDefault="007E5D09">
            <w:pPr>
              <w:rPr>
                <w:caps/>
                <w:lang w:val="en-US"/>
              </w:rPr>
            </w:pPr>
          </w:p>
          <w:p w14:paraId="48238BB2" w14:textId="77777777" w:rsidR="007E5D09" w:rsidRDefault="007E5D09">
            <w:pPr>
              <w:rPr>
                <w:lang w:val="en-US"/>
              </w:rPr>
            </w:pPr>
          </w:p>
        </w:tc>
      </w:tr>
    </w:tbl>
    <w:p w14:paraId="6BE1634D" w14:textId="77777777" w:rsidR="007E5D09" w:rsidRDefault="007E5D09">
      <w:pPr>
        <w:pStyle w:val="Caption"/>
        <w:spacing w:line="200" w:lineRule="exact"/>
        <w:ind w:left="187" w:right="187" w:hanging="187"/>
        <w:jc w:val="both"/>
        <w:rPr>
          <w:rFonts w:cs="Akhbar MT"/>
          <w:b/>
          <w:bCs/>
          <w:sz w:val="28"/>
          <w:szCs w:val="28"/>
          <w:rtl/>
        </w:rPr>
      </w:pPr>
    </w:p>
    <w:p w14:paraId="40AB781C"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0D2B9CD2"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5D2BE52D"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EB5527">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7803D4B9"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sidR="003263B5">
        <w:rPr>
          <w:rFonts w:hint="cs"/>
          <w:sz w:val="28"/>
          <w:szCs w:val="28"/>
          <w:rtl/>
        </w:rPr>
        <w:t xml:space="preserve"> من25 إلى 29 مايو</w:t>
      </w:r>
      <w:r w:rsidR="003263B5" w:rsidRPr="00532BD7">
        <w:rPr>
          <w:rFonts w:hint="cs"/>
          <w:sz w:val="28"/>
          <w:szCs w:val="28"/>
          <w:rtl/>
        </w:rPr>
        <w:t>/أيار 2020</w:t>
      </w:r>
    </w:p>
    <w:p w14:paraId="4604B431" w14:textId="77777777" w:rsidR="007E5D09" w:rsidRPr="00532BD7" w:rsidRDefault="003263B5" w:rsidP="00BB60AD">
      <w:pPr>
        <w:pStyle w:val="0Heading0"/>
        <w:bidi/>
        <w:ind w:left="4"/>
        <w:rPr>
          <w:sz w:val="28"/>
          <w:szCs w:val="28"/>
        </w:rPr>
      </w:pPr>
      <w:r>
        <w:rPr>
          <w:rFonts w:hint="cs"/>
          <w:sz w:val="28"/>
          <w:szCs w:val="28"/>
          <w:rtl/>
        </w:rPr>
        <w:t>مؤجل: من</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F311C3" w:rsidRPr="00532BD7">
        <w:rPr>
          <w:rFonts w:hint="cs"/>
          <w:sz w:val="28"/>
          <w:szCs w:val="28"/>
          <w:rtl/>
        </w:rPr>
        <w:t>يولي</w:t>
      </w:r>
      <w:r w:rsidR="00072C88">
        <w:rPr>
          <w:rFonts w:hint="cs"/>
          <w:sz w:val="28"/>
          <w:szCs w:val="28"/>
          <w:rtl/>
        </w:rPr>
        <w:t>و</w:t>
      </w:r>
      <w:r w:rsidR="006F2A2C" w:rsidRPr="00532BD7">
        <w:rPr>
          <w:rFonts w:hint="cs"/>
          <w:sz w:val="28"/>
          <w:szCs w:val="28"/>
          <w:rtl/>
        </w:rPr>
        <w:t>/</w:t>
      </w:r>
      <w:r w:rsidR="00F311C3" w:rsidRPr="00532BD7">
        <w:rPr>
          <w:rFonts w:hint="cs"/>
          <w:sz w:val="28"/>
          <w:szCs w:val="28"/>
          <w:rtl/>
        </w:rPr>
        <w:t>تموز2020</w:t>
      </w:r>
      <w:r w:rsidR="00FE13A5">
        <w:rPr>
          <w:sz w:val="28"/>
          <w:szCs w:val="28"/>
        </w:rPr>
        <w:t>*</w:t>
      </w:r>
    </w:p>
    <w:p w14:paraId="3D81A6B9" w14:textId="77777777" w:rsidR="00FE13A5" w:rsidRPr="00BE2ACD" w:rsidRDefault="00FE13A5" w:rsidP="00BE2ACD">
      <w:pPr>
        <w:pStyle w:val="Heading1"/>
        <w:numPr>
          <w:ilvl w:val="0"/>
          <w:numId w:val="0"/>
        </w:numPr>
        <w:bidi/>
        <w:rPr>
          <w:sz w:val="26"/>
          <w:szCs w:val="26"/>
        </w:rPr>
      </w:pPr>
    </w:p>
    <w:p w14:paraId="31E5E8C4" w14:textId="77777777" w:rsidR="007E5D09" w:rsidRPr="008A57A9" w:rsidRDefault="00CD370C" w:rsidP="00BB232F">
      <w:pPr>
        <w:pStyle w:val="Title1"/>
        <w:bidi/>
        <w:rPr>
          <w:b w:val="0"/>
          <w:bCs/>
          <w:sz w:val="32"/>
          <w:szCs w:val="32"/>
          <w:lang w:bidi="ar-AE"/>
        </w:rPr>
      </w:pPr>
      <w:r>
        <w:rPr>
          <w:rFonts w:hint="cs"/>
          <w:b w:val="0"/>
          <w:bCs/>
          <w:sz w:val="32"/>
          <w:szCs w:val="32"/>
          <w:rtl/>
          <w:lang w:bidi="ar-AE"/>
        </w:rPr>
        <w:t xml:space="preserve">مُقترح مشروع: </w:t>
      </w:r>
      <w:r w:rsidR="00BB232F" w:rsidRPr="00BB232F">
        <w:rPr>
          <w:b w:val="0"/>
          <w:bCs/>
          <w:sz w:val="32"/>
          <w:szCs w:val="32"/>
          <w:rtl/>
          <w:lang w:bidi="ar-DZ"/>
        </w:rPr>
        <w:t>غواتيمالا</w:t>
      </w:r>
    </w:p>
    <w:p w14:paraId="5C1F6DB6" w14:textId="77777777" w:rsidR="00FE13A5" w:rsidRPr="00BE2ACD" w:rsidRDefault="00FE13A5" w:rsidP="00BE2ACD">
      <w:pPr>
        <w:pStyle w:val="Heading1"/>
        <w:numPr>
          <w:ilvl w:val="0"/>
          <w:numId w:val="0"/>
        </w:numPr>
        <w:bidi/>
        <w:rPr>
          <w:sz w:val="26"/>
          <w:szCs w:val="26"/>
        </w:rPr>
      </w:pPr>
    </w:p>
    <w:p w14:paraId="3CC0B609" w14:textId="77777777" w:rsidR="00FE13A5" w:rsidRPr="00BE2ACD" w:rsidRDefault="00C64277" w:rsidP="00C64277">
      <w:pPr>
        <w:pStyle w:val="Heading1"/>
        <w:numPr>
          <w:ilvl w:val="0"/>
          <w:numId w:val="0"/>
        </w:numPr>
        <w:bidi/>
        <w:ind w:firstLine="720"/>
        <w:rPr>
          <w:sz w:val="26"/>
          <w:szCs w:val="26"/>
        </w:rPr>
      </w:pPr>
      <w:r w:rsidRPr="00C64277">
        <w:rPr>
          <w:rFonts w:hint="cs"/>
          <w:sz w:val="26"/>
          <w:szCs w:val="26"/>
          <w:rtl/>
        </w:rPr>
        <w:t>تتألف</w:t>
      </w:r>
      <w:r w:rsidRPr="00C64277">
        <w:rPr>
          <w:sz w:val="26"/>
          <w:szCs w:val="26"/>
          <w:rtl/>
        </w:rPr>
        <w:t xml:space="preserve"> هذه الوثيقة</w:t>
      </w:r>
      <w:r w:rsidRPr="00C64277">
        <w:rPr>
          <w:rFonts w:hint="cs"/>
          <w:sz w:val="26"/>
          <w:szCs w:val="26"/>
          <w:rtl/>
        </w:rPr>
        <w:t xml:space="preserve"> من</w:t>
      </w:r>
      <w:r w:rsidRPr="00C64277">
        <w:rPr>
          <w:sz w:val="26"/>
          <w:szCs w:val="26"/>
          <w:rtl/>
        </w:rPr>
        <w:t xml:space="preserve"> تعليقات و</w:t>
      </w:r>
      <w:r w:rsidR="001F4627">
        <w:rPr>
          <w:rFonts w:hint="cs"/>
          <w:sz w:val="26"/>
          <w:szCs w:val="26"/>
          <w:rtl/>
          <w:lang w:val="en-NZ" w:bidi="ar-SY"/>
        </w:rPr>
        <w:t>توصيات</w:t>
      </w:r>
      <w:r w:rsidRPr="00C64277">
        <w:rPr>
          <w:rFonts w:hint="cs"/>
          <w:sz w:val="26"/>
          <w:szCs w:val="26"/>
          <w:rtl/>
        </w:rPr>
        <w:t xml:space="preserve"> ال</w:t>
      </w:r>
      <w:r w:rsidRPr="00C64277">
        <w:rPr>
          <w:sz w:val="26"/>
          <w:szCs w:val="26"/>
          <w:rtl/>
        </w:rPr>
        <w:t>أمانة بشأن مقترح المشروع التالي:</w:t>
      </w:r>
    </w:p>
    <w:p w14:paraId="481445B8" w14:textId="77777777" w:rsidR="00FE13A5" w:rsidRPr="00A9536E" w:rsidRDefault="00A9536E" w:rsidP="00BE2ACD">
      <w:pPr>
        <w:pStyle w:val="Heading1"/>
        <w:numPr>
          <w:ilvl w:val="0"/>
          <w:numId w:val="0"/>
        </w:numPr>
        <w:bidi/>
        <w:rPr>
          <w:sz w:val="26"/>
          <w:szCs w:val="26"/>
          <w:u w:val="single"/>
        </w:rPr>
      </w:pPr>
      <w:r w:rsidRPr="00A9536E">
        <w:rPr>
          <w:rFonts w:hint="cs"/>
          <w:sz w:val="26"/>
          <w:szCs w:val="26"/>
          <w:u w:val="single"/>
          <w:rtl/>
        </w:rPr>
        <w:t>الإزالة</w:t>
      </w:r>
    </w:p>
    <w:p w14:paraId="4CC38480" w14:textId="77777777" w:rsidR="00FE13A5" w:rsidRPr="00BE2ACD" w:rsidRDefault="000E2E4E" w:rsidP="00BB60AD">
      <w:pPr>
        <w:pStyle w:val="Heading1"/>
        <w:numPr>
          <w:ilvl w:val="0"/>
          <w:numId w:val="10"/>
        </w:numPr>
        <w:bidi/>
        <w:rPr>
          <w:sz w:val="26"/>
          <w:szCs w:val="26"/>
        </w:rPr>
      </w:pPr>
      <w:r w:rsidRPr="000E2E4E">
        <w:rPr>
          <w:sz w:val="26"/>
          <w:szCs w:val="26"/>
          <w:rtl/>
        </w:rPr>
        <w:t>خطة إدارة إزالة المواد الهيدروكلوروفلوروكربونية</w:t>
      </w:r>
      <w:r w:rsidR="006F6E46">
        <w:rPr>
          <w:rFonts w:hint="cs"/>
          <w:sz w:val="26"/>
          <w:szCs w:val="26"/>
          <w:rtl/>
        </w:rPr>
        <w:t xml:space="preserve"> </w:t>
      </w:r>
      <w:r w:rsidR="0075210F">
        <w:rPr>
          <w:rFonts w:hint="cs"/>
          <w:sz w:val="26"/>
          <w:szCs w:val="26"/>
          <w:rtl/>
        </w:rPr>
        <w:t xml:space="preserve">(المرحلة الأولى، الشريحة الخامسة) </w:t>
      </w:r>
      <w:r w:rsidR="0075210F">
        <w:rPr>
          <w:rFonts w:hint="cs"/>
          <w:sz w:val="26"/>
          <w:szCs w:val="26"/>
          <w:rtl/>
        </w:rPr>
        <w:tab/>
        <w:t xml:space="preserve"> اليونيدو واليونيب</w:t>
      </w:r>
    </w:p>
    <w:p w14:paraId="03BF087B" w14:textId="77777777" w:rsidR="00FE13A5" w:rsidRPr="00BE2ACD" w:rsidRDefault="00FE13A5" w:rsidP="00BE2ACD">
      <w:pPr>
        <w:pStyle w:val="Heading1"/>
        <w:numPr>
          <w:ilvl w:val="0"/>
          <w:numId w:val="0"/>
        </w:numPr>
        <w:bidi/>
        <w:rPr>
          <w:sz w:val="26"/>
          <w:szCs w:val="26"/>
        </w:rPr>
      </w:pPr>
    </w:p>
    <w:p w14:paraId="52B51253" w14:textId="77777777" w:rsidR="00FE13A5" w:rsidRPr="00BE2ACD" w:rsidRDefault="00FE13A5" w:rsidP="00BE2ACD">
      <w:pPr>
        <w:pStyle w:val="Heading1"/>
        <w:numPr>
          <w:ilvl w:val="0"/>
          <w:numId w:val="0"/>
        </w:numPr>
        <w:bidi/>
        <w:rPr>
          <w:sz w:val="26"/>
          <w:szCs w:val="26"/>
        </w:rPr>
      </w:pPr>
    </w:p>
    <w:p w14:paraId="078CEA79" w14:textId="3DDE1936" w:rsidR="00FE13A5" w:rsidRDefault="00FE13A5" w:rsidP="00786481">
      <w:pPr>
        <w:pStyle w:val="Heading1"/>
        <w:numPr>
          <w:ilvl w:val="0"/>
          <w:numId w:val="0"/>
        </w:numPr>
        <w:bidi/>
        <w:rPr>
          <w:sz w:val="26"/>
          <w:szCs w:val="26"/>
        </w:rPr>
      </w:pPr>
    </w:p>
    <w:p w14:paraId="0C7A0676" w14:textId="4056882D" w:rsidR="0009355D" w:rsidRDefault="0009355D" w:rsidP="0009355D">
      <w:pPr>
        <w:bidi/>
      </w:pPr>
    </w:p>
    <w:p w14:paraId="52B2FFBC" w14:textId="3809C3E3" w:rsidR="0009355D" w:rsidRDefault="0009355D" w:rsidP="0009355D">
      <w:pPr>
        <w:bidi/>
      </w:pPr>
    </w:p>
    <w:p w14:paraId="69ACA737" w14:textId="1F97DB53" w:rsidR="0009355D" w:rsidRDefault="0009355D" w:rsidP="0009355D">
      <w:pPr>
        <w:bidi/>
      </w:pPr>
    </w:p>
    <w:p w14:paraId="1FC5B9AC" w14:textId="7F70D000" w:rsidR="0009355D" w:rsidRDefault="0009355D" w:rsidP="0009355D">
      <w:pPr>
        <w:bidi/>
      </w:pPr>
    </w:p>
    <w:p w14:paraId="25E88C02" w14:textId="654FF3E1" w:rsidR="0009355D" w:rsidRDefault="0009355D" w:rsidP="0009355D">
      <w:pPr>
        <w:bidi/>
      </w:pPr>
    </w:p>
    <w:p w14:paraId="474BDFB2" w14:textId="77777777" w:rsidR="0009355D" w:rsidRPr="0009355D" w:rsidRDefault="0009355D" w:rsidP="0009355D">
      <w:pPr>
        <w:bidi/>
      </w:pPr>
    </w:p>
    <w:p w14:paraId="440BE226" w14:textId="77777777" w:rsidR="00786481" w:rsidRPr="00786481" w:rsidRDefault="00786481" w:rsidP="00786481">
      <w:pPr>
        <w:pStyle w:val="Heading1"/>
        <w:numPr>
          <w:ilvl w:val="0"/>
          <w:numId w:val="0"/>
        </w:numPr>
        <w:bidi/>
        <w:rPr>
          <w:sz w:val="26"/>
          <w:szCs w:val="26"/>
        </w:rPr>
      </w:pPr>
    </w:p>
    <w:p w14:paraId="16EF9C81" w14:textId="77777777" w:rsidR="00FE13A5" w:rsidRDefault="000F611B" w:rsidP="00786481">
      <w:pPr>
        <w:pStyle w:val="Heading1"/>
        <w:numPr>
          <w:ilvl w:val="0"/>
          <w:numId w:val="0"/>
        </w:numPr>
        <w:bidi/>
        <w:rPr>
          <w:sz w:val="26"/>
          <w:szCs w:val="26"/>
          <w:rtl/>
        </w:rPr>
      </w:pPr>
      <w:r w:rsidRPr="00786481">
        <w:rPr>
          <w:rFonts w:hint="cs"/>
          <w:sz w:val="26"/>
          <w:szCs w:val="26"/>
          <w:rtl/>
        </w:rPr>
        <w:t>*  بسبب فيروس كورونا (كوفيد-19)</w:t>
      </w:r>
    </w:p>
    <w:p w14:paraId="32E52716" w14:textId="77777777" w:rsidR="001D7D1C" w:rsidRPr="001C73F2" w:rsidRDefault="001D7D1C" w:rsidP="001D7D1C">
      <w:pPr>
        <w:bidi/>
        <w:spacing w:after="80"/>
        <w:jc w:val="center"/>
        <w:rPr>
          <w:bCs/>
          <w:sz w:val="26"/>
          <w:szCs w:val="26"/>
          <w:lang w:bidi="ar-EG"/>
        </w:rPr>
      </w:pPr>
      <w:r w:rsidRPr="001C73F2">
        <w:rPr>
          <w:rFonts w:hint="cs"/>
          <w:bCs/>
          <w:sz w:val="26"/>
          <w:szCs w:val="26"/>
          <w:rtl/>
          <w:lang w:bidi="ar-AE"/>
        </w:rPr>
        <w:lastRenderedPageBreak/>
        <w:t>ورقة تقييم المشروع – مشروعات متعددة السنوات</w:t>
      </w:r>
    </w:p>
    <w:p w14:paraId="1C1955E4" w14:textId="77777777" w:rsidR="00786481" w:rsidRPr="001D7D1C" w:rsidRDefault="001D7D1C" w:rsidP="001D7D1C">
      <w:pPr>
        <w:bidi/>
        <w:spacing w:after="80"/>
        <w:jc w:val="center"/>
        <w:rPr>
          <w:bCs/>
          <w:sz w:val="26"/>
          <w:szCs w:val="26"/>
          <w:rtl/>
          <w:lang w:bidi="ar-AE"/>
        </w:rPr>
      </w:pPr>
      <w:r w:rsidRPr="001D7D1C">
        <w:rPr>
          <w:bCs/>
          <w:sz w:val="26"/>
          <w:szCs w:val="26"/>
          <w:rtl/>
        </w:rPr>
        <w:t>غواتيمالا</w:t>
      </w:r>
    </w:p>
    <w:p w14:paraId="1300D453" w14:textId="77777777" w:rsidR="003D0E08" w:rsidRPr="00BD406D" w:rsidRDefault="003D0E08" w:rsidP="003D0E08">
      <w:pPr>
        <w:jc w:val="center"/>
        <w:rPr>
          <w:b/>
          <w:sz w:val="12"/>
          <w:szCs w:val="12"/>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80"/>
        <w:gridCol w:w="1800"/>
        <w:gridCol w:w="2250"/>
        <w:gridCol w:w="2340"/>
      </w:tblGrid>
      <w:tr w:rsidR="003D0E08" w:rsidRPr="00FB3E75" w14:paraId="2A9C1769" w14:textId="77777777" w:rsidTr="00A5478B">
        <w:trPr>
          <w:trHeight w:val="254"/>
        </w:trPr>
        <w:tc>
          <w:tcPr>
            <w:tcW w:w="3780" w:type="dxa"/>
            <w:shd w:val="clear" w:color="auto" w:fill="auto"/>
          </w:tcPr>
          <w:p w14:paraId="21DE30BC" w14:textId="77777777" w:rsidR="003D0E08" w:rsidRPr="005535A9" w:rsidRDefault="006C0EBB" w:rsidP="00DF6BDA">
            <w:pPr>
              <w:bidi/>
              <w:spacing w:after="80"/>
              <w:rPr>
                <w:bCs/>
                <w:sz w:val="18"/>
                <w:szCs w:val="18"/>
              </w:rPr>
            </w:pPr>
            <w:r w:rsidRPr="005535A9">
              <w:rPr>
                <w:rFonts w:hint="cs"/>
                <w:bCs/>
                <w:sz w:val="18"/>
                <w:szCs w:val="18"/>
                <w:rtl/>
              </w:rPr>
              <w:t xml:space="preserve">(أولاً) </w:t>
            </w:r>
            <w:r w:rsidRPr="00BB60AD">
              <w:rPr>
                <w:rFonts w:hint="cs"/>
                <w:bCs/>
                <w:sz w:val="18"/>
                <w:szCs w:val="18"/>
                <w:rtl/>
              </w:rPr>
              <w:t>عنوان</w:t>
            </w:r>
            <w:r w:rsidRPr="005535A9">
              <w:rPr>
                <w:rFonts w:hint="cs"/>
                <w:bCs/>
                <w:sz w:val="18"/>
                <w:szCs w:val="18"/>
                <w:rtl/>
              </w:rPr>
              <w:t xml:space="preserve"> المشروع</w:t>
            </w:r>
          </w:p>
        </w:tc>
        <w:tc>
          <w:tcPr>
            <w:tcW w:w="1800" w:type="dxa"/>
            <w:shd w:val="clear" w:color="auto" w:fill="auto"/>
          </w:tcPr>
          <w:p w14:paraId="64005D72" w14:textId="77777777" w:rsidR="003D0E08" w:rsidRPr="005535A9" w:rsidRDefault="003E4893" w:rsidP="00DF6BDA">
            <w:pPr>
              <w:bidi/>
              <w:spacing w:after="80"/>
              <w:jc w:val="center"/>
              <w:rPr>
                <w:bCs/>
                <w:sz w:val="18"/>
                <w:szCs w:val="18"/>
              </w:rPr>
            </w:pPr>
            <w:r w:rsidRPr="005535A9">
              <w:rPr>
                <w:rFonts w:hint="cs"/>
                <w:bCs/>
                <w:sz w:val="18"/>
                <w:szCs w:val="18"/>
                <w:rtl/>
              </w:rPr>
              <w:t>الوكالة</w:t>
            </w:r>
          </w:p>
        </w:tc>
        <w:tc>
          <w:tcPr>
            <w:tcW w:w="2250" w:type="dxa"/>
            <w:shd w:val="clear" w:color="auto" w:fill="auto"/>
          </w:tcPr>
          <w:p w14:paraId="7D0DC8FF" w14:textId="77777777" w:rsidR="003D0E08" w:rsidRPr="005535A9" w:rsidRDefault="006C0EBB" w:rsidP="00DF6BDA">
            <w:pPr>
              <w:bidi/>
              <w:spacing w:after="80"/>
              <w:jc w:val="center"/>
              <w:rPr>
                <w:bCs/>
                <w:sz w:val="18"/>
                <w:szCs w:val="18"/>
              </w:rPr>
            </w:pPr>
            <w:r w:rsidRPr="005535A9">
              <w:rPr>
                <w:rFonts w:hint="cs"/>
                <w:bCs/>
                <w:sz w:val="18"/>
                <w:szCs w:val="18"/>
                <w:rtl/>
              </w:rPr>
              <w:t>الاجتماع الذي تمت فيه الموافقة</w:t>
            </w:r>
          </w:p>
        </w:tc>
        <w:tc>
          <w:tcPr>
            <w:tcW w:w="2340" w:type="dxa"/>
            <w:shd w:val="clear" w:color="auto" w:fill="auto"/>
          </w:tcPr>
          <w:p w14:paraId="14E4DA6C" w14:textId="77777777" w:rsidR="003D0E08" w:rsidRPr="005535A9" w:rsidRDefault="003E4893" w:rsidP="00DF6BDA">
            <w:pPr>
              <w:bidi/>
              <w:spacing w:after="80"/>
              <w:jc w:val="center"/>
              <w:rPr>
                <w:bCs/>
                <w:sz w:val="18"/>
                <w:szCs w:val="18"/>
              </w:rPr>
            </w:pPr>
            <w:r w:rsidRPr="005535A9">
              <w:rPr>
                <w:rFonts w:hint="cs"/>
                <w:bCs/>
                <w:sz w:val="18"/>
                <w:szCs w:val="18"/>
                <w:rtl/>
              </w:rPr>
              <w:t>تدابير الرقابة</w:t>
            </w:r>
          </w:p>
        </w:tc>
      </w:tr>
      <w:tr w:rsidR="003D0E08" w:rsidRPr="00FB3E75" w14:paraId="67263220" w14:textId="77777777" w:rsidTr="00A5478B">
        <w:trPr>
          <w:trHeight w:val="254"/>
        </w:trPr>
        <w:tc>
          <w:tcPr>
            <w:tcW w:w="3780" w:type="dxa"/>
            <w:shd w:val="clear" w:color="auto" w:fill="auto"/>
          </w:tcPr>
          <w:p w14:paraId="413AD722" w14:textId="77777777" w:rsidR="00A5478B" w:rsidRPr="009029C8" w:rsidRDefault="00A5478B" w:rsidP="00A5478B">
            <w:pPr>
              <w:bidi/>
              <w:spacing w:after="80"/>
              <w:jc w:val="center"/>
              <w:rPr>
                <w:sz w:val="18"/>
                <w:szCs w:val="18"/>
              </w:rPr>
            </w:pPr>
            <w:r w:rsidRPr="00A5478B">
              <w:rPr>
                <w:rFonts w:hint="cs"/>
                <w:sz w:val="18"/>
                <w:szCs w:val="18"/>
                <w:rtl/>
              </w:rPr>
              <w:t>خطة إزالة المواد الهيدروكلوروفلوروكربونية</w:t>
            </w:r>
            <w:r w:rsidR="006F6E46">
              <w:rPr>
                <w:rFonts w:hint="cs"/>
                <w:sz w:val="18"/>
                <w:szCs w:val="18"/>
                <w:rtl/>
              </w:rPr>
              <w:t xml:space="preserve"> </w:t>
            </w:r>
            <w:r w:rsidRPr="00A5478B">
              <w:rPr>
                <w:rFonts w:hint="cs"/>
                <w:sz w:val="18"/>
                <w:szCs w:val="18"/>
                <w:rtl/>
              </w:rPr>
              <w:t xml:space="preserve">(المرحلة </w:t>
            </w:r>
            <w:r>
              <w:rPr>
                <w:rFonts w:hint="cs"/>
                <w:sz w:val="18"/>
                <w:szCs w:val="18"/>
                <w:rtl/>
              </w:rPr>
              <w:t>الأولى</w:t>
            </w:r>
            <w:r w:rsidRPr="00A5478B">
              <w:rPr>
                <w:rFonts w:hint="cs"/>
                <w:sz w:val="18"/>
                <w:szCs w:val="18"/>
                <w:rtl/>
              </w:rPr>
              <w:t>)</w:t>
            </w:r>
          </w:p>
        </w:tc>
        <w:tc>
          <w:tcPr>
            <w:tcW w:w="1800" w:type="dxa"/>
            <w:shd w:val="clear" w:color="auto" w:fill="auto"/>
          </w:tcPr>
          <w:p w14:paraId="095C11D7" w14:textId="77777777" w:rsidR="00601792" w:rsidRPr="009029C8" w:rsidRDefault="00601792" w:rsidP="00BB60AD">
            <w:pPr>
              <w:bidi/>
              <w:spacing w:after="80"/>
              <w:jc w:val="center"/>
              <w:rPr>
                <w:sz w:val="18"/>
                <w:szCs w:val="18"/>
                <w:lang w:bidi="ar-EG"/>
              </w:rPr>
            </w:pPr>
            <w:r>
              <w:rPr>
                <w:rFonts w:hint="cs"/>
                <w:sz w:val="18"/>
                <w:szCs w:val="18"/>
                <w:rtl/>
                <w:lang w:bidi="ar-EG"/>
              </w:rPr>
              <w:t xml:space="preserve">اليونيب، </w:t>
            </w:r>
            <w:r w:rsidR="00550E4B">
              <w:rPr>
                <w:rFonts w:hint="cs"/>
                <w:sz w:val="18"/>
                <w:szCs w:val="18"/>
                <w:rtl/>
                <w:lang w:bidi="ar-AE"/>
              </w:rPr>
              <w:t>اليونيدو</w:t>
            </w:r>
            <w:r w:rsidRPr="00601792">
              <w:rPr>
                <w:rFonts w:hint="cs"/>
                <w:sz w:val="18"/>
                <w:szCs w:val="18"/>
                <w:rtl/>
                <w:lang w:bidi="ar-EG"/>
              </w:rPr>
              <w:t xml:space="preserve"> (</w:t>
            </w:r>
            <w:r w:rsidR="00BB60AD">
              <w:rPr>
                <w:rFonts w:hint="cs"/>
                <w:sz w:val="18"/>
                <w:szCs w:val="18"/>
                <w:rtl/>
                <w:lang w:bidi="ar-AE"/>
              </w:rPr>
              <w:t>رئيسية</w:t>
            </w:r>
            <w:r w:rsidRPr="00601792">
              <w:rPr>
                <w:rFonts w:hint="cs"/>
                <w:sz w:val="18"/>
                <w:szCs w:val="18"/>
                <w:rtl/>
                <w:lang w:bidi="ar-EG"/>
              </w:rPr>
              <w:t>)</w:t>
            </w:r>
          </w:p>
        </w:tc>
        <w:tc>
          <w:tcPr>
            <w:tcW w:w="2250" w:type="dxa"/>
            <w:shd w:val="clear" w:color="auto" w:fill="auto"/>
          </w:tcPr>
          <w:p w14:paraId="2C251A75" w14:textId="77777777" w:rsidR="003D0E08" w:rsidRPr="009029C8" w:rsidRDefault="008122C1" w:rsidP="00DF6BDA">
            <w:pPr>
              <w:bidi/>
              <w:spacing w:after="80"/>
              <w:jc w:val="center"/>
              <w:rPr>
                <w:sz w:val="18"/>
                <w:szCs w:val="18"/>
              </w:rPr>
            </w:pPr>
            <w:r>
              <w:rPr>
                <w:rFonts w:hint="cs"/>
                <w:sz w:val="18"/>
                <w:szCs w:val="18"/>
                <w:rtl/>
              </w:rPr>
              <w:t>الرابع والستون</w:t>
            </w:r>
          </w:p>
        </w:tc>
        <w:tc>
          <w:tcPr>
            <w:tcW w:w="2340" w:type="dxa"/>
            <w:shd w:val="clear" w:color="auto" w:fill="auto"/>
          </w:tcPr>
          <w:p w14:paraId="2674BA92" w14:textId="77777777" w:rsidR="003D0E08" w:rsidRPr="009029C8" w:rsidRDefault="00DD4380" w:rsidP="00DF6BDA">
            <w:pPr>
              <w:bidi/>
              <w:spacing w:after="80"/>
              <w:jc w:val="center"/>
              <w:rPr>
                <w:sz w:val="18"/>
                <w:szCs w:val="18"/>
              </w:rPr>
            </w:pPr>
            <w:r>
              <w:rPr>
                <w:rFonts w:hint="cs"/>
                <w:sz w:val="18"/>
                <w:szCs w:val="18"/>
                <w:rtl/>
              </w:rPr>
              <w:t>35 في المائة بحلول عام 2020</w:t>
            </w:r>
          </w:p>
        </w:tc>
      </w:tr>
    </w:tbl>
    <w:p w14:paraId="3F5DF394" w14:textId="77777777" w:rsidR="003D0E08" w:rsidRPr="00BD406D" w:rsidRDefault="003D0E08" w:rsidP="003D0E08">
      <w:pPr>
        <w:spacing w:after="60"/>
        <w:jc w:val="center"/>
        <w:rPr>
          <w:sz w:val="12"/>
          <w:szCs w:val="12"/>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570"/>
      </w:tblGrid>
      <w:tr w:rsidR="003D0E08" w:rsidRPr="00000576" w14:paraId="67990FB4" w14:textId="77777777" w:rsidTr="005C7429">
        <w:trPr>
          <w:trHeight w:val="240"/>
        </w:trPr>
        <w:tc>
          <w:tcPr>
            <w:tcW w:w="5200" w:type="dxa"/>
            <w:shd w:val="clear" w:color="auto" w:fill="auto"/>
          </w:tcPr>
          <w:p w14:paraId="12565B92" w14:textId="77777777" w:rsidR="005535A9" w:rsidRPr="009029C8" w:rsidRDefault="005535A9" w:rsidP="005535A9">
            <w:pPr>
              <w:bidi/>
              <w:spacing w:after="60"/>
              <w:rPr>
                <w:b/>
                <w:sz w:val="18"/>
                <w:szCs w:val="18"/>
              </w:rPr>
            </w:pPr>
            <w:r w:rsidRPr="005535A9">
              <w:rPr>
                <w:rFonts w:hint="cs"/>
                <w:b/>
                <w:bCs/>
                <w:sz w:val="18"/>
                <w:szCs w:val="18"/>
                <w:rtl/>
              </w:rPr>
              <w:t>(ثانيا) أحدث بيانات المادة 7 (المرفق جيم المجموعة الأولى)</w:t>
            </w:r>
          </w:p>
        </w:tc>
        <w:tc>
          <w:tcPr>
            <w:tcW w:w="2400" w:type="dxa"/>
            <w:shd w:val="clear" w:color="auto" w:fill="auto"/>
          </w:tcPr>
          <w:p w14:paraId="1603AB9C" w14:textId="77777777" w:rsidR="003D0E08" w:rsidRPr="009029C8" w:rsidRDefault="005535A9" w:rsidP="00DF6BDA">
            <w:pPr>
              <w:bidi/>
              <w:spacing w:after="60"/>
              <w:jc w:val="center"/>
              <w:rPr>
                <w:sz w:val="18"/>
                <w:szCs w:val="18"/>
              </w:rPr>
            </w:pPr>
            <w:r>
              <w:rPr>
                <w:rFonts w:hint="cs"/>
                <w:sz w:val="18"/>
                <w:szCs w:val="18"/>
                <w:rtl/>
              </w:rPr>
              <w:t>السنة: 2018</w:t>
            </w:r>
          </w:p>
        </w:tc>
        <w:tc>
          <w:tcPr>
            <w:tcW w:w="2570" w:type="dxa"/>
            <w:shd w:val="clear" w:color="auto" w:fill="auto"/>
          </w:tcPr>
          <w:p w14:paraId="25DB42A9" w14:textId="77777777" w:rsidR="003D0E08" w:rsidRPr="009029C8" w:rsidRDefault="005535A9" w:rsidP="0033270E">
            <w:pPr>
              <w:bidi/>
              <w:spacing w:after="60"/>
              <w:jc w:val="center"/>
              <w:rPr>
                <w:sz w:val="18"/>
                <w:szCs w:val="18"/>
              </w:rPr>
            </w:pPr>
            <w:r>
              <w:rPr>
                <w:rFonts w:hint="cs"/>
                <w:sz w:val="18"/>
                <w:szCs w:val="18"/>
                <w:rtl/>
              </w:rPr>
              <w:t xml:space="preserve">4.31 </w:t>
            </w:r>
            <w:r w:rsidRPr="005535A9">
              <w:rPr>
                <w:sz w:val="18"/>
                <w:szCs w:val="18"/>
                <w:rtl/>
                <w:lang w:bidi="ar-AE"/>
              </w:rPr>
              <w:t>(طن من قدرات استنفاد الأوزون)</w:t>
            </w:r>
          </w:p>
        </w:tc>
      </w:tr>
    </w:tbl>
    <w:p w14:paraId="75FC6313" w14:textId="77777777" w:rsidR="003D0E08" w:rsidRPr="00BD406D" w:rsidRDefault="003D0E08" w:rsidP="003D0E08">
      <w:pPr>
        <w:spacing w:after="60"/>
        <w:jc w:val="center"/>
        <w:rPr>
          <w:sz w:val="12"/>
          <w:szCs w:val="12"/>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50"/>
        <w:gridCol w:w="900"/>
        <w:gridCol w:w="720"/>
        <w:gridCol w:w="990"/>
        <w:gridCol w:w="743"/>
        <w:gridCol w:w="899"/>
        <w:gridCol w:w="754"/>
        <w:gridCol w:w="772"/>
        <w:gridCol w:w="925"/>
        <w:gridCol w:w="1217"/>
      </w:tblGrid>
      <w:tr w:rsidR="001B5131" w:rsidRPr="0026283A" w14:paraId="576130C3" w14:textId="77777777" w:rsidTr="00FC1BD8">
        <w:trPr>
          <w:trHeight w:val="240"/>
        </w:trPr>
        <w:tc>
          <w:tcPr>
            <w:tcW w:w="8028" w:type="dxa"/>
            <w:gridSpan w:val="8"/>
            <w:shd w:val="clear" w:color="auto" w:fill="auto"/>
            <w:vAlign w:val="center"/>
          </w:tcPr>
          <w:p w14:paraId="6E71C550" w14:textId="77777777" w:rsidR="001416E6" w:rsidRPr="009029C8" w:rsidRDefault="001416E6" w:rsidP="00FC1BD8">
            <w:pPr>
              <w:bidi/>
              <w:spacing w:after="60"/>
              <w:jc w:val="left"/>
              <w:rPr>
                <w:b/>
                <w:sz w:val="18"/>
                <w:szCs w:val="18"/>
              </w:rPr>
            </w:pPr>
            <w:r w:rsidRPr="001416E6">
              <w:rPr>
                <w:rFonts w:hint="cs"/>
                <w:b/>
                <w:bCs/>
                <w:sz w:val="18"/>
                <w:szCs w:val="18"/>
                <w:rtl/>
              </w:rPr>
              <w:t>(ثالثا) أحدث البيانات القطاعية للبرنامج القطري (طن من قدرات استنفاد الأوزون)</w:t>
            </w:r>
          </w:p>
        </w:tc>
        <w:tc>
          <w:tcPr>
            <w:tcW w:w="2142" w:type="dxa"/>
            <w:gridSpan w:val="2"/>
            <w:shd w:val="clear" w:color="auto" w:fill="auto"/>
          </w:tcPr>
          <w:p w14:paraId="1DAB802E" w14:textId="77777777" w:rsidR="003D0E08" w:rsidRPr="003F3EE9" w:rsidRDefault="003F3EE9" w:rsidP="003F3EE9">
            <w:pPr>
              <w:bidi/>
              <w:spacing w:after="60"/>
              <w:jc w:val="center"/>
              <w:rPr>
                <w:bCs/>
                <w:sz w:val="18"/>
                <w:szCs w:val="18"/>
              </w:rPr>
            </w:pPr>
            <w:r w:rsidRPr="003F3EE9">
              <w:rPr>
                <w:rFonts w:hint="cs"/>
                <w:bCs/>
                <w:sz w:val="18"/>
                <w:szCs w:val="18"/>
                <w:rtl/>
              </w:rPr>
              <w:t>السنة: 2018</w:t>
            </w:r>
          </w:p>
        </w:tc>
      </w:tr>
      <w:tr w:rsidR="001B4EFA" w:rsidRPr="0026283A" w14:paraId="470220BE" w14:textId="77777777" w:rsidTr="00406EEF">
        <w:trPr>
          <w:trHeight w:val="240"/>
        </w:trPr>
        <w:tc>
          <w:tcPr>
            <w:tcW w:w="2250" w:type="dxa"/>
            <w:shd w:val="clear" w:color="auto" w:fill="auto"/>
          </w:tcPr>
          <w:p w14:paraId="469890B1" w14:textId="77777777" w:rsidR="003D0E08" w:rsidRPr="009029C8" w:rsidRDefault="00181F8E" w:rsidP="00DF6BDA">
            <w:pPr>
              <w:bidi/>
              <w:spacing w:after="60"/>
              <w:jc w:val="center"/>
              <w:rPr>
                <w:sz w:val="18"/>
                <w:szCs w:val="18"/>
              </w:rPr>
            </w:pPr>
            <w:r>
              <w:rPr>
                <w:rFonts w:hint="cs"/>
                <w:sz w:val="18"/>
                <w:szCs w:val="18"/>
                <w:rtl/>
              </w:rPr>
              <w:t>المادة الكيميائية</w:t>
            </w:r>
          </w:p>
        </w:tc>
        <w:tc>
          <w:tcPr>
            <w:tcW w:w="900" w:type="dxa"/>
            <w:shd w:val="clear" w:color="auto" w:fill="auto"/>
          </w:tcPr>
          <w:p w14:paraId="65F3A6B2" w14:textId="77777777" w:rsidR="003D0E08" w:rsidRPr="009029C8" w:rsidRDefault="00181F8E" w:rsidP="00DF6BDA">
            <w:pPr>
              <w:bidi/>
              <w:spacing w:after="60"/>
              <w:jc w:val="center"/>
              <w:rPr>
                <w:sz w:val="18"/>
                <w:szCs w:val="18"/>
              </w:rPr>
            </w:pPr>
            <w:r w:rsidRPr="00181F8E">
              <w:rPr>
                <w:sz w:val="18"/>
                <w:szCs w:val="18"/>
                <w:rtl/>
              </w:rPr>
              <w:t>أيروسول</w:t>
            </w:r>
          </w:p>
        </w:tc>
        <w:tc>
          <w:tcPr>
            <w:tcW w:w="720" w:type="dxa"/>
            <w:shd w:val="clear" w:color="auto" w:fill="auto"/>
          </w:tcPr>
          <w:p w14:paraId="4F4EF70B" w14:textId="77777777" w:rsidR="003D0E08" w:rsidRPr="009029C8" w:rsidRDefault="007171FC" w:rsidP="00DF6BDA">
            <w:pPr>
              <w:bidi/>
              <w:spacing w:after="60"/>
              <w:jc w:val="center"/>
              <w:rPr>
                <w:sz w:val="18"/>
                <w:szCs w:val="18"/>
              </w:rPr>
            </w:pPr>
            <w:r>
              <w:rPr>
                <w:rFonts w:hint="cs"/>
                <w:sz w:val="18"/>
                <w:szCs w:val="18"/>
                <w:rtl/>
              </w:rPr>
              <w:t>الرغاوي</w:t>
            </w:r>
          </w:p>
        </w:tc>
        <w:tc>
          <w:tcPr>
            <w:tcW w:w="990" w:type="dxa"/>
            <w:shd w:val="clear" w:color="auto" w:fill="auto"/>
          </w:tcPr>
          <w:p w14:paraId="23684EEB" w14:textId="77777777" w:rsidR="003D0E08" w:rsidRPr="009029C8" w:rsidRDefault="007171FC" w:rsidP="00DF6BDA">
            <w:pPr>
              <w:bidi/>
              <w:spacing w:after="60"/>
              <w:jc w:val="center"/>
              <w:rPr>
                <w:sz w:val="18"/>
                <w:szCs w:val="18"/>
              </w:rPr>
            </w:pPr>
            <w:r>
              <w:rPr>
                <w:rFonts w:hint="cs"/>
                <w:sz w:val="18"/>
                <w:szCs w:val="18"/>
                <w:rtl/>
              </w:rPr>
              <w:t>مكافحة الحرائق</w:t>
            </w:r>
          </w:p>
        </w:tc>
        <w:tc>
          <w:tcPr>
            <w:tcW w:w="1642" w:type="dxa"/>
            <w:gridSpan w:val="2"/>
            <w:shd w:val="clear" w:color="auto" w:fill="auto"/>
          </w:tcPr>
          <w:p w14:paraId="73A852C0" w14:textId="77777777" w:rsidR="003D0E08" w:rsidRPr="009029C8" w:rsidRDefault="00774DB8" w:rsidP="00DF6BDA">
            <w:pPr>
              <w:bidi/>
              <w:spacing w:after="60"/>
              <w:jc w:val="center"/>
              <w:rPr>
                <w:sz w:val="18"/>
                <w:szCs w:val="18"/>
              </w:rPr>
            </w:pPr>
            <w:r>
              <w:rPr>
                <w:rFonts w:hint="cs"/>
                <w:sz w:val="18"/>
                <w:szCs w:val="18"/>
                <w:rtl/>
              </w:rPr>
              <w:t>التبريد</w:t>
            </w:r>
          </w:p>
        </w:tc>
        <w:tc>
          <w:tcPr>
            <w:tcW w:w="754" w:type="dxa"/>
            <w:shd w:val="clear" w:color="auto" w:fill="auto"/>
          </w:tcPr>
          <w:p w14:paraId="1B7B9799" w14:textId="77777777" w:rsidR="003D0E08" w:rsidRPr="009029C8" w:rsidRDefault="00CF36B4" w:rsidP="00DF6BDA">
            <w:pPr>
              <w:bidi/>
              <w:spacing w:after="60"/>
              <w:jc w:val="center"/>
              <w:rPr>
                <w:sz w:val="18"/>
                <w:szCs w:val="18"/>
              </w:rPr>
            </w:pPr>
            <w:r>
              <w:rPr>
                <w:rFonts w:hint="cs"/>
                <w:sz w:val="18"/>
                <w:szCs w:val="18"/>
                <w:rtl/>
              </w:rPr>
              <w:t>المذيبات</w:t>
            </w:r>
          </w:p>
        </w:tc>
        <w:tc>
          <w:tcPr>
            <w:tcW w:w="772" w:type="dxa"/>
            <w:shd w:val="clear" w:color="auto" w:fill="auto"/>
          </w:tcPr>
          <w:p w14:paraId="6F738832" w14:textId="77777777" w:rsidR="003D0E08" w:rsidRPr="009029C8" w:rsidRDefault="001A3960" w:rsidP="00DF6BDA">
            <w:pPr>
              <w:bidi/>
              <w:spacing w:after="60"/>
              <w:jc w:val="center"/>
              <w:rPr>
                <w:sz w:val="18"/>
                <w:szCs w:val="18"/>
              </w:rPr>
            </w:pPr>
            <w:r>
              <w:rPr>
                <w:rFonts w:hint="cs"/>
                <w:sz w:val="18"/>
                <w:szCs w:val="18"/>
                <w:rtl/>
              </w:rPr>
              <w:t>عامل التصنيع</w:t>
            </w:r>
          </w:p>
        </w:tc>
        <w:tc>
          <w:tcPr>
            <w:tcW w:w="925" w:type="dxa"/>
            <w:shd w:val="clear" w:color="auto" w:fill="auto"/>
          </w:tcPr>
          <w:p w14:paraId="3E3CC82C" w14:textId="77777777" w:rsidR="003D0E08" w:rsidRPr="009029C8" w:rsidRDefault="00533EBF" w:rsidP="00DF6BDA">
            <w:pPr>
              <w:bidi/>
              <w:spacing w:after="60"/>
              <w:jc w:val="center"/>
              <w:rPr>
                <w:sz w:val="18"/>
                <w:szCs w:val="18"/>
              </w:rPr>
            </w:pPr>
            <w:r>
              <w:rPr>
                <w:rFonts w:hint="cs"/>
                <w:sz w:val="18"/>
                <w:szCs w:val="18"/>
                <w:rtl/>
              </w:rPr>
              <w:t>الاستخدامات المعملية</w:t>
            </w:r>
          </w:p>
        </w:tc>
        <w:tc>
          <w:tcPr>
            <w:tcW w:w="1217" w:type="dxa"/>
            <w:shd w:val="clear" w:color="auto" w:fill="auto"/>
          </w:tcPr>
          <w:p w14:paraId="3CD809F0" w14:textId="77777777" w:rsidR="003D0E08" w:rsidRPr="0026283A" w:rsidRDefault="00C37A81" w:rsidP="00DF6BDA">
            <w:pPr>
              <w:bidi/>
              <w:spacing w:after="60"/>
              <w:jc w:val="center"/>
              <w:rPr>
                <w:sz w:val="18"/>
                <w:szCs w:val="18"/>
              </w:rPr>
            </w:pPr>
            <w:r>
              <w:rPr>
                <w:rFonts w:hint="cs"/>
                <w:sz w:val="18"/>
                <w:szCs w:val="18"/>
                <w:rtl/>
              </w:rPr>
              <w:t>إجمالي الاستهلاك القطاعي</w:t>
            </w:r>
          </w:p>
        </w:tc>
      </w:tr>
      <w:tr w:rsidR="001B4EFA" w:rsidRPr="0026283A" w14:paraId="5358DD1B" w14:textId="77777777" w:rsidTr="00406EEF">
        <w:trPr>
          <w:trHeight w:val="240"/>
        </w:trPr>
        <w:tc>
          <w:tcPr>
            <w:tcW w:w="4860" w:type="dxa"/>
            <w:gridSpan w:val="4"/>
            <w:shd w:val="clear" w:color="auto" w:fill="auto"/>
          </w:tcPr>
          <w:p w14:paraId="37AEE9B9" w14:textId="77777777" w:rsidR="003D0E08" w:rsidRPr="009029C8" w:rsidRDefault="003D0E08" w:rsidP="00DF6BDA">
            <w:pPr>
              <w:bidi/>
              <w:spacing w:after="60"/>
              <w:jc w:val="center"/>
              <w:rPr>
                <w:sz w:val="18"/>
                <w:szCs w:val="18"/>
              </w:rPr>
            </w:pPr>
          </w:p>
        </w:tc>
        <w:tc>
          <w:tcPr>
            <w:tcW w:w="743" w:type="dxa"/>
            <w:shd w:val="clear" w:color="auto" w:fill="auto"/>
          </w:tcPr>
          <w:p w14:paraId="4C4929BC" w14:textId="77777777" w:rsidR="003D0E08" w:rsidRPr="009029C8" w:rsidRDefault="001B5131" w:rsidP="00DF6BDA">
            <w:pPr>
              <w:bidi/>
              <w:spacing w:after="60"/>
              <w:jc w:val="center"/>
              <w:rPr>
                <w:sz w:val="18"/>
                <w:szCs w:val="18"/>
              </w:rPr>
            </w:pPr>
            <w:r>
              <w:rPr>
                <w:rFonts w:hint="cs"/>
                <w:sz w:val="18"/>
                <w:szCs w:val="18"/>
                <w:rtl/>
              </w:rPr>
              <w:t>التصنيع</w:t>
            </w:r>
          </w:p>
        </w:tc>
        <w:tc>
          <w:tcPr>
            <w:tcW w:w="899" w:type="dxa"/>
            <w:shd w:val="clear" w:color="auto" w:fill="auto"/>
          </w:tcPr>
          <w:p w14:paraId="2DD2EEBC" w14:textId="77777777" w:rsidR="003D0E08" w:rsidRPr="009029C8" w:rsidRDefault="001B5131" w:rsidP="00DF6BDA">
            <w:pPr>
              <w:bidi/>
              <w:spacing w:after="60"/>
              <w:jc w:val="center"/>
              <w:rPr>
                <w:sz w:val="18"/>
                <w:szCs w:val="18"/>
              </w:rPr>
            </w:pPr>
            <w:r>
              <w:rPr>
                <w:rFonts w:hint="cs"/>
                <w:sz w:val="18"/>
                <w:szCs w:val="18"/>
                <w:rtl/>
              </w:rPr>
              <w:t>الخدمة</w:t>
            </w:r>
          </w:p>
        </w:tc>
        <w:tc>
          <w:tcPr>
            <w:tcW w:w="3668" w:type="dxa"/>
            <w:gridSpan w:val="4"/>
            <w:shd w:val="clear" w:color="auto" w:fill="auto"/>
          </w:tcPr>
          <w:p w14:paraId="101D692F" w14:textId="77777777" w:rsidR="003D0E08" w:rsidRPr="0026283A" w:rsidRDefault="003D0E08" w:rsidP="00DF6BDA">
            <w:pPr>
              <w:bidi/>
              <w:spacing w:after="60"/>
              <w:jc w:val="center"/>
              <w:rPr>
                <w:sz w:val="18"/>
                <w:szCs w:val="18"/>
              </w:rPr>
            </w:pPr>
          </w:p>
        </w:tc>
      </w:tr>
      <w:tr w:rsidR="001B4EFA" w:rsidRPr="0026283A" w14:paraId="44AE4C99" w14:textId="77777777" w:rsidTr="00406EEF">
        <w:trPr>
          <w:trHeight w:val="248"/>
        </w:trPr>
        <w:tc>
          <w:tcPr>
            <w:tcW w:w="2250" w:type="dxa"/>
            <w:shd w:val="clear" w:color="auto" w:fill="auto"/>
          </w:tcPr>
          <w:p w14:paraId="13273505" w14:textId="77777777" w:rsidR="003D0E08" w:rsidRPr="003D5E2B" w:rsidRDefault="00480E1D" w:rsidP="00480E1D">
            <w:pPr>
              <w:bidi/>
              <w:spacing w:after="60"/>
              <w:rPr>
                <w:sz w:val="16"/>
                <w:szCs w:val="16"/>
              </w:rPr>
            </w:pPr>
            <w:r w:rsidRPr="003D5E2B">
              <w:rPr>
                <w:sz w:val="16"/>
                <w:szCs w:val="16"/>
                <w:rtl/>
                <w:lang w:bidi="ar-AE"/>
              </w:rPr>
              <w:t>الهيدروكلوروفلوروكربون</w:t>
            </w:r>
            <w:r w:rsidRPr="003D5E2B">
              <w:rPr>
                <w:rFonts w:hint="cs"/>
                <w:sz w:val="16"/>
                <w:szCs w:val="16"/>
                <w:rtl/>
              </w:rPr>
              <w:t>-123</w:t>
            </w:r>
          </w:p>
        </w:tc>
        <w:tc>
          <w:tcPr>
            <w:tcW w:w="900" w:type="dxa"/>
            <w:shd w:val="clear" w:color="auto" w:fill="auto"/>
          </w:tcPr>
          <w:p w14:paraId="6229BCFB" w14:textId="77777777" w:rsidR="003D0E08" w:rsidRPr="009029C8" w:rsidRDefault="003D0E08" w:rsidP="000E06E7">
            <w:pPr>
              <w:bidi/>
              <w:spacing w:after="60"/>
              <w:jc w:val="left"/>
              <w:rPr>
                <w:sz w:val="18"/>
                <w:szCs w:val="18"/>
              </w:rPr>
            </w:pPr>
          </w:p>
        </w:tc>
        <w:tc>
          <w:tcPr>
            <w:tcW w:w="720" w:type="dxa"/>
            <w:shd w:val="clear" w:color="auto" w:fill="auto"/>
          </w:tcPr>
          <w:p w14:paraId="7643E3EA" w14:textId="77777777" w:rsidR="003D0E08" w:rsidRPr="009029C8" w:rsidRDefault="003D0E08" w:rsidP="000E06E7">
            <w:pPr>
              <w:bidi/>
              <w:spacing w:after="60"/>
              <w:jc w:val="left"/>
              <w:rPr>
                <w:sz w:val="18"/>
                <w:szCs w:val="18"/>
              </w:rPr>
            </w:pPr>
          </w:p>
        </w:tc>
        <w:tc>
          <w:tcPr>
            <w:tcW w:w="990" w:type="dxa"/>
            <w:shd w:val="clear" w:color="auto" w:fill="auto"/>
          </w:tcPr>
          <w:p w14:paraId="258B7614" w14:textId="77777777" w:rsidR="003D0E08" w:rsidRPr="009029C8" w:rsidRDefault="003D0E08" w:rsidP="000E06E7">
            <w:pPr>
              <w:bidi/>
              <w:spacing w:after="60"/>
              <w:jc w:val="left"/>
              <w:rPr>
                <w:sz w:val="18"/>
                <w:szCs w:val="18"/>
              </w:rPr>
            </w:pPr>
          </w:p>
        </w:tc>
        <w:tc>
          <w:tcPr>
            <w:tcW w:w="743" w:type="dxa"/>
            <w:shd w:val="clear" w:color="auto" w:fill="auto"/>
          </w:tcPr>
          <w:p w14:paraId="723DB0A8" w14:textId="77777777" w:rsidR="003D0E08" w:rsidRPr="009029C8" w:rsidRDefault="003D0E08" w:rsidP="000E06E7">
            <w:pPr>
              <w:bidi/>
              <w:spacing w:after="60"/>
              <w:jc w:val="left"/>
              <w:rPr>
                <w:sz w:val="18"/>
                <w:szCs w:val="18"/>
              </w:rPr>
            </w:pPr>
          </w:p>
        </w:tc>
        <w:tc>
          <w:tcPr>
            <w:tcW w:w="899" w:type="dxa"/>
            <w:shd w:val="clear" w:color="auto" w:fill="auto"/>
          </w:tcPr>
          <w:p w14:paraId="43AF239A" w14:textId="77777777" w:rsidR="003D0E08" w:rsidRPr="009029C8" w:rsidRDefault="000E06E7" w:rsidP="000E06E7">
            <w:pPr>
              <w:bidi/>
              <w:spacing w:after="60"/>
              <w:jc w:val="left"/>
              <w:rPr>
                <w:sz w:val="18"/>
                <w:szCs w:val="18"/>
              </w:rPr>
            </w:pPr>
            <w:r>
              <w:rPr>
                <w:rFonts w:hint="cs"/>
                <w:sz w:val="18"/>
                <w:szCs w:val="18"/>
                <w:rtl/>
              </w:rPr>
              <w:t>0</w:t>
            </w:r>
          </w:p>
        </w:tc>
        <w:tc>
          <w:tcPr>
            <w:tcW w:w="754" w:type="dxa"/>
            <w:shd w:val="clear" w:color="auto" w:fill="auto"/>
          </w:tcPr>
          <w:p w14:paraId="30F5AD7A" w14:textId="77777777" w:rsidR="003D0E08" w:rsidRPr="009029C8" w:rsidRDefault="003D0E08" w:rsidP="000E06E7">
            <w:pPr>
              <w:bidi/>
              <w:spacing w:after="60"/>
              <w:jc w:val="left"/>
              <w:rPr>
                <w:sz w:val="18"/>
                <w:szCs w:val="18"/>
              </w:rPr>
            </w:pPr>
          </w:p>
        </w:tc>
        <w:tc>
          <w:tcPr>
            <w:tcW w:w="772" w:type="dxa"/>
            <w:shd w:val="clear" w:color="auto" w:fill="auto"/>
          </w:tcPr>
          <w:p w14:paraId="5C0CF5B0" w14:textId="77777777" w:rsidR="003D0E08" w:rsidRPr="009029C8" w:rsidRDefault="003D0E08" w:rsidP="000E06E7">
            <w:pPr>
              <w:bidi/>
              <w:spacing w:after="60"/>
              <w:jc w:val="left"/>
              <w:rPr>
                <w:sz w:val="18"/>
                <w:szCs w:val="18"/>
              </w:rPr>
            </w:pPr>
          </w:p>
        </w:tc>
        <w:tc>
          <w:tcPr>
            <w:tcW w:w="925" w:type="dxa"/>
            <w:shd w:val="clear" w:color="auto" w:fill="auto"/>
          </w:tcPr>
          <w:p w14:paraId="783A4F01" w14:textId="77777777" w:rsidR="003D0E08" w:rsidRPr="009029C8" w:rsidRDefault="003D0E08" w:rsidP="000E06E7">
            <w:pPr>
              <w:bidi/>
              <w:spacing w:after="60"/>
              <w:jc w:val="left"/>
              <w:rPr>
                <w:sz w:val="18"/>
                <w:szCs w:val="18"/>
              </w:rPr>
            </w:pPr>
          </w:p>
        </w:tc>
        <w:tc>
          <w:tcPr>
            <w:tcW w:w="1217" w:type="dxa"/>
            <w:shd w:val="clear" w:color="auto" w:fill="auto"/>
          </w:tcPr>
          <w:p w14:paraId="6FF5D30B" w14:textId="77777777" w:rsidR="003D0E08" w:rsidRPr="0026283A" w:rsidRDefault="000E06E7" w:rsidP="000E06E7">
            <w:pPr>
              <w:bidi/>
              <w:spacing w:after="60"/>
              <w:jc w:val="left"/>
              <w:rPr>
                <w:sz w:val="18"/>
                <w:szCs w:val="18"/>
              </w:rPr>
            </w:pPr>
            <w:r>
              <w:rPr>
                <w:rFonts w:hint="cs"/>
                <w:sz w:val="18"/>
                <w:szCs w:val="18"/>
                <w:rtl/>
              </w:rPr>
              <w:t>0</w:t>
            </w:r>
          </w:p>
        </w:tc>
      </w:tr>
      <w:tr w:rsidR="001B4EFA" w:rsidRPr="0026283A" w14:paraId="680A2EC9" w14:textId="77777777" w:rsidTr="00406EEF">
        <w:trPr>
          <w:trHeight w:val="240"/>
        </w:trPr>
        <w:tc>
          <w:tcPr>
            <w:tcW w:w="2250" w:type="dxa"/>
            <w:shd w:val="clear" w:color="auto" w:fill="auto"/>
          </w:tcPr>
          <w:p w14:paraId="6DBD704E" w14:textId="77777777" w:rsidR="003D0E08" w:rsidRPr="003D5E2B" w:rsidRDefault="001B4EFA" w:rsidP="001B4EFA">
            <w:pPr>
              <w:bidi/>
              <w:spacing w:after="60"/>
              <w:rPr>
                <w:sz w:val="16"/>
                <w:szCs w:val="16"/>
              </w:rPr>
            </w:pPr>
            <w:r w:rsidRPr="003D5E2B">
              <w:rPr>
                <w:sz w:val="16"/>
                <w:szCs w:val="16"/>
                <w:rtl/>
                <w:lang w:bidi="ar-AE"/>
              </w:rPr>
              <w:t>الهيدروكلوروفلوروكربون</w:t>
            </w:r>
            <w:r w:rsidRPr="003D5E2B">
              <w:rPr>
                <w:rFonts w:hint="cs"/>
                <w:sz w:val="16"/>
                <w:szCs w:val="16"/>
                <w:rtl/>
              </w:rPr>
              <w:t xml:space="preserve">-124 </w:t>
            </w:r>
          </w:p>
        </w:tc>
        <w:tc>
          <w:tcPr>
            <w:tcW w:w="900" w:type="dxa"/>
            <w:shd w:val="clear" w:color="auto" w:fill="auto"/>
          </w:tcPr>
          <w:p w14:paraId="178A61AA" w14:textId="77777777" w:rsidR="003D0E08" w:rsidRPr="009029C8" w:rsidRDefault="003D0E08" w:rsidP="000E06E7">
            <w:pPr>
              <w:bidi/>
              <w:spacing w:after="60"/>
              <w:jc w:val="left"/>
              <w:rPr>
                <w:sz w:val="18"/>
                <w:szCs w:val="18"/>
              </w:rPr>
            </w:pPr>
          </w:p>
        </w:tc>
        <w:tc>
          <w:tcPr>
            <w:tcW w:w="720" w:type="dxa"/>
            <w:shd w:val="clear" w:color="auto" w:fill="auto"/>
          </w:tcPr>
          <w:p w14:paraId="32D17E04" w14:textId="77777777" w:rsidR="003D0E08" w:rsidRPr="009029C8" w:rsidRDefault="003D0E08" w:rsidP="000E06E7">
            <w:pPr>
              <w:bidi/>
              <w:spacing w:after="60"/>
              <w:jc w:val="left"/>
              <w:rPr>
                <w:sz w:val="18"/>
                <w:szCs w:val="18"/>
              </w:rPr>
            </w:pPr>
          </w:p>
        </w:tc>
        <w:tc>
          <w:tcPr>
            <w:tcW w:w="990" w:type="dxa"/>
            <w:shd w:val="clear" w:color="auto" w:fill="auto"/>
          </w:tcPr>
          <w:p w14:paraId="29DC2F54" w14:textId="77777777" w:rsidR="003D0E08" w:rsidRPr="009029C8" w:rsidRDefault="003D0E08" w:rsidP="000E06E7">
            <w:pPr>
              <w:bidi/>
              <w:spacing w:after="60"/>
              <w:jc w:val="left"/>
              <w:rPr>
                <w:sz w:val="18"/>
                <w:szCs w:val="18"/>
              </w:rPr>
            </w:pPr>
          </w:p>
        </w:tc>
        <w:tc>
          <w:tcPr>
            <w:tcW w:w="743" w:type="dxa"/>
            <w:shd w:val="clear" w:color="auto" w:fill="auto"/>
          </w:tcPr>
          <w:p w14:paraId="7F10751D" w14:textId="77777777" w:rsidR="003D0E08" w:rsidRPr="009029C8" w:rsidRDefault="003D0E08" w:rsidP="000E06E7">
            <w:pPr>
              <w:bidi/>
              <w:spacing w:after="60"/>
              <w:jc w:val="left"/>
              <w:rPr>
                <w:sz w:val="18"/>
                <w:szCs w:val="18"/>
              </w:rPr>
            </w:pPr>
          </w:p>
        </w:tc>
        <w:tc>
          <w:tcPr>
            <w:tcW w:w="899" w:type="dxa"/>
            <w:shd w:val="clear" w:color="auto" w:fill="auto"/>
          </w:tcPr>
          <w:p w14:paraId="3569E44E" w14:textId="77777777" w:rsidR="003D0E08" w:rsidRPr="009029C8" w:rsidRDefault="003D0E08" w:rsidP="000E06E7">
            <w:pPr>
              <w:bidi/>
              <w:spacing w:after="60"/>
              <w:jc w:val="left"/>
              <w:rPr>
                <w:sz w:val="18"/>
                <w:szCs w:val="18"/>
              </w:rPr>
            </w:pPr>
          </w:p>
        </w:tc>
        <w:tc>
          <w:tcPr>
            <w:tcW w:w="754" w:type="dxa"/>
            <w:shd w:val="clear" w:color="auto" w:fill="auto"/>
          </w:tcPr>
          <w:p w14:paraId="3A684719" w14:textId="77777777" w:rsidR="003D0E08" w:rsidRPr="009029C8" w:rsidRDefault="003D0E08" w:rsidP="000E06E7">
            <w:pPr>
              <w:bidi/>
              <w:spacing w:after="60"/>
              <w:jc w:val="left"/>
              <w:rPr>
                <w:sz w:val="18"/>
                <w:szCs w:val="18"/>
              </w:rPr>
            </w:pPr>
          </w:p>
        </w:tc>
        <w:tc>
          <w:tcPr>
            <w:tcW w:w="772" w:type="dxa"/>
            <w:shd w:val="clear" w:color="auto" w:fill="auto"/>
          </w:tcPr>
          <w:p w14:paraId="4D7C5DDA" w14:textId="77777777" w:rsidR="003D0E08" w:rsidRPr="009029C8" w:rsidRDefault="003D0E08" w:rsidP="000E06E7">
            <w:pPr>
              <w:bidi/>
              <w:spacing w:after="60"/>
              <w:jc w:val="left"/>
              <w:rPr>
                <w:sz w:val="18"/>
                <w:szCs w:val="18"/>
              </w:rPr>
            </w:pPr>
          </w:p>
        </w:tc>
        <w:tc>
          <w:tcPr>
            <w:tcW w:w="925" w:type="dxa"/>
            <w:shd w:val="clear" w:color="auto" w:fill="auto"/>
          </w:tcPr>
          <w:p w14:paraId="372950E2" w14:textId="77777777" w:rsidR="003D0E08" w:rsidRPr="009029C8" w:rsidRDefault="003D0E08" w:rsidP="000E06E7">
            <w:pPr>
              <w:bidi/>
              <w:spacing w:after="60"/>
              <w:jc w:val="left"/>
              <w:rPr>
                <w:sz w:val="18"/>
                <w:szCs w:val="18"/>
              </w:rPr>
            </w:pPr>
          </w:p>
        </w:tc>
        <w:tc>
          <w:tcPr>
            <w:tcW w:w="1217" w:type="dxa"/>
            <w:shd w:val="clear" w:color="auto" w:fill="auto"/>
          </w:tcPr>
          <w:p w14:paraId="4710BC07" w14:textId="77777777" w:rsidR="003D0E08" w:rsidRPr="0026283A" w:rsidRDefault="003D0E08" w:rsidP="000E06E7">
            <w:pPr>
              <w:bidi/>
              <w:spacing w:after="60"/>
              <w:jc w:val="left"/>
              <w:rPr>
                <w:sz w:val="18"/>
                <w:szCs w:val="18"/>
              </w:rPr>
            </w:pPr>
          </w:p>
        </w:tc>
      </w:tr>
      <w:tr w:rsidR="001B4EFA" w:rsidRPr="0026283A" w14:paraId="52240249" w14:textId="77777777" w:rsidTr="00406EEF">
        <w:trPr>
          <w:trHeight w:val="240"/>
        </w:trPr>
        <w:tc>
          <w:tcPr>
            <w:tcW w:w="2250" w:type="dxa"/>
            <w:shd w:val="clear" w:color="auto" w:fill="auto"/>
          </w:tcPr>
          <w:p w14:paraId="69B1B17B" w14:textId="77777777" w:rsidR="003D0E08" w:rsidRPr="003D5E2B" w:rsidRDefault="001E37A2" w:rsidP="001E37A2">
            <w:pPr>
              <w:bidi/>
              <w:spacing w:after="60"/>
              <w:rPr>
                <w:sz w:val="16"/>
                <w:szCs w:val="16"/>
              </w:rPr>
            </w:pPr>
            <w:r w:rsidRPr="003D5E2B">
              <w:rPr>
                <w:sz w:val="16"/>
                <w:szCs w:val="16"/>
                <w:rtl/>
                <w:lang w:bidi="ar-AE"/>
              </w:rPr>
              <w:t>الهيدروكلوروفلوروكربون</w:t>
            </w:r>
            <w:r w:rsidRPr="003D5E2B">
              <w:rPr>
                <w:rFonts w:hint="cs"/>
                <w:sz w:val="16"/>
                <w:szCs w:val="16"/>
                <w:rtl/>
              </w:rPr>
              <w:t>-141ب</w:t>
            </w:r>
          </w:p>
        </w:tc>
        <w:tc>
          <w:tcPr>
            <w:tcW w:w="900" w:type="dxa"/>
            <w:shd w:val="clear" w:color="auto" w:fill="auto"/>
          </w:tcPr>
          <w:p w14:paraId="60F29B11" w14:textId="77777777" w:rsidR="003D0E08" w:rsidRPr="009029C8" w:rsidRDefault="003D0E08" w:rsidP="000E06E7">
            <w:pPr>
              <w:bidi/>
              <w:spacing w:after="60"/>
              <w:jc w:val="left"/>
              <w:rPr>
                <w:sz w:val="18"/>
                <w:szCs w:val="18"/>
              </w:rPr>
            </w:pPr>
          </w:p>
        </w:tc>
        <w:tc>
          <w:tcPr>
            <w:tcW w:w="720" w:type="dxa"/>
            <w:shd w:val="clear" w:color="auto" w:fill="auto"/>
          </w:tcPr>
          <w:p w14:paraId="5633BDC8" w14:textId="77777777" w:rsidR="003D0E08" w:rsidRPr="009029C8" w:rsidRDefault="003D0E08" w:rsidP="000E06E7">
            <w:pPr>
              <w:bidi/>
              <w:spacing w:after="60"/>
              <w:jc w:val="left"/>
              <w:rPr>
                <w:sz w:val="18"/>
                <w:szCs w:val="18"/>
              </w:rPr>
            </w:pPr>
          </w:p>
        </w:tc>
        <w:tc>
          <w:tcPr>
            <w:tcW w:w="990" w:type="dxa"/>
            <w:shd w:val="clear" w:color="auto" w:fill="auto"/>
          </w:tcPr>
          <w:p w14:paraId="1A047CFF" w14:textId="77777777" w:rsidR="003D0E08" w:rsidRPr="009029C8" w:rsidRDefault="003D0E08" w:rsidP="000E06E7">
            <w:pPr>
              <w:bidi/>
              <w:spacing w:after="60"/>
              <w:jc w:val="left"/>
              <w:rPr>
                <w:sz w:val="18"/>
                <w:szCs w:val="18"/>
              </w:rPr>
            </w:pPr>
          </w:p>
        </w:tc>
        <w:tc>
          <w:tcPr>
            <w:tcW w:w="743" w:type="dxa"/>
            <w:shd w:val="clear" w:color="auto" w:fill="auto"/>
          </w:tcPr>
          <w:p w14:paraId="393C0639" w14:textId="77777777" w:rsidR="003D0E08" w:rsidRPr="009029C8" w:rsidRDefault="003D0E08" w:rsidP="000E06E7">
            <w:pPr>
              <w:bidi/>
              <w:spacing w:after="60"/>
              <w:jc w:val="left"/>
              <w:rPr>
                <w:sz w:val="18"/>
                <w:szCs w:val="18"/>
              </w:rPr>
            </w:pPr>
          </w:p>
        </w:tc>
        <w:tc>
          <w:tcPr>
            <w:tcW w:w="899" w:type="dxa"/>
            <w:shd w:val="clear" w:color="auto" w:fill="auto"/>
          </w:tcPr>
          <w:p w14:paraId="4EC78C67" w14:textId="77777777" w:rsidR="000E06E7" w:rsidRPr="0026283A" w:rsidRDefault="000E06E7" w:rsidP="000E06E7">
            <w:pPr>
              <w:bidi/>
              <w:spacing w:after="60"/>
              <w:jc w:val="left"/>
              <w:rPr>
                <w:sz w:val="18"/>
                <w:szCs w:val="18"/>
              </w:rPr>
            </w:pPr>
            <w:r>
              <w:rPr>
                <w:rFonts w:hint="cs"/>
                <w:sz w:val="18"/>
                <w:szCs w:val="18"/>
                <w:rtl/>
              </w:rPr>
              <w:t>0.57</w:t>
            </w:r>
          </w:p>
        </w:tc>
        <w:tc>
          <w:tcPr>
            <w:tcW w:w="754" w:type="dxa"/>
            <w:shd w:val="clear" w:color="auto" w:fill="auto"/>
          </w:tcPr>
          <w:p w14:paraId="58622123" w14:textId="77777777" w:rsidR="003D0E08" w:rsidRPr="009029C8" w:rsidRDefault="003D0E08" w:rsidP="000E06E7">
            <w:pPr>
              <w:bidi/>
              <w:spacing w:after="60"/>
              <w:jc w:val="left"/>
              <w:rPr>
                <w:sz w:val="18"/>
                <w:szCs w:val="18"/>
                <w:highlight w:val="yellow"/>
              </w:rPr>
            </w:pPr>
          </w:p>
        </w:tc>
        <w:tc>
          <w:tcPr>
            <w:tcW w:w="772" w:type="dxa"/>
            <w:shd w:val="clear" w:color="auto" w:fill="auto"/>
          </w:tcPr>
          <w:p w14:paraId="479E0DC3" w14:textId="77777777" w:rsidR="003D0E08" w:rsidRPr="009029C8" w:rsidRDefault="003D0E08" w:rsidP="000E06E7">
            <w:pPr>
              <w:bidi/>
              <w:spacing w:after="60"/>
              <w:jc w:val="left"/>
              <w:rPr>
                <w:sz w:val="18"/>
                <w:szCs w:val="18"/>
                <w:highlight w:val="yellow"/>
              </w:rPr>
            </w:pPr>
          </w:p>
        </w:tc>
        <w:tc>
          <w:tcPr>
            <w:tcW w:w="925" w:type="dxa"/>
            <w:shd w:val="clear" w:color="auto" w:fill="auto"/>
          </w:tcPr>
          <w:p w14:paraId="1582C7B6" w14:textId="77777777" w:rsidR="003D0E08" w:rsidRPr="009029C8" w:rsidRDefault="003D0E08" w:rsidP="000E06E7">
            <w:pPr>
              <w:bidi/>
              <w:spacing w:after="60"/>
              <w:jc w:val="left"/>
              <w:rPr>
                <w:sz w:val="18"/>
                <w:szCs w:val="18"/>
                <w:highlight w:val="yellow"/>
              </w:rPr>
            </w:pPr>
          </w:p>
        </w:tc>
        <w:tc>
          <w:tcPr>
            <w:tcW w:w="1217" w:type="dxa"/>
            <w:shd w:val="clear" w:color="auto" w:fill="auto"/>
          </w:tcPr>
          <w:p w14:paraId="55344ABC" w14:textId="77777777" w:rsidR="000E06E7" w:rsidRPr="0026283A" w:rsidRDefault="000E06E7" w:rsidP="000E06E7">
            <w:pPr>
              <w:bidi/>
              <w:spacing w:after="60"/>
              <w:jc w:val="left"/>
              <w:rPr>
                <w:sz w:val="18"/>
                <w:szCs w:val="18"/>
              </w:rPr>
            </w:pPr>
            <w:r>
              <w:rPr>
                <w:rFonts w:hint="cs"/>
                <w:sz w:val="18"/>
                <w:szCs w:val="18"/>
                <w:rtl/>
              </w:rPr>
              <w:t>0.57</w:t>
            </w:r>
          </w:p>
        </w:tc>
      </w:tr>
      <w:tr w:rsidR="001B4EFA" w:rsidRPr="0026283A" w14:paraId="3EC8E523" w14:textId="77777777" w:rsidTr="00406EEF">
        <w:trPr>
          <w:trHeight w:val="467"/>
        </w:trPr>
        <w:tc>
          <w:tcPr>
            <w:tcW w:w="2250" w:type="dxa"/>
            <w:shd w:val="clear" w:color="auto" w:fill="auto"/>
          </w:tcPr>
          <w:p w14:paraId="4A788B40" w14:textId="77777777" w:rsidR="00C777AB" w:rsidRPr="003D5E2B" w:rsidRDefault="00C777AB" w:rsidP="00C777AB">
            <w:pPr>
              <w:bidi/>
              <w:spacing w:after="60"/>
              <w:jc w:val="left"/>
              <w:rPr>
                <w:sz w:val="16"/>
                <w:szCs w:val="16"/>
              </w:rPr>
            </w:pPr>
            <w:r w:rsidRPr="003D5E2B">
              <w:rPr>
                <w:rFonts w:hint="cs"/>
                <w:sz w:val="16"/>
                <w:szCs w:val="16"/>
                <w:rtl/>
                <w:lang w:bidi="ar-AE"/>
              </w:rPr>
              <w:t>الهيدروكلوروفلوروكربون-141ب في البوليولات سابقة الخلط المستوردة</w:t>
            </w:r>
          </w:p>
        </w:tc>
        <w:tc>
          <w:tcPr>
            <w:tcW w:w="900" w:type="dxa"/>
            <w:shd w:val="clear" w:color="auto" w:fill="auto"/>
          </w:tcPr>
          <w:p w14:paraId="0D830333" w14:textId="77777777" w:rsidR="003D0E08" w:rsidRPr="009029C8" w:rsidRDefault="003D0E08" w:rsidP="000E06E7">
            <w:pPr>
              <w:bidi/>
              <w:spacing w:after="60"/>
              <w:jc w:val="left"/>
              <w:rPr>
                <w:sz w:val="18"/>
                <w:szCs w:val="18"/>
              </w:rPr>
            </w:pPr>
          </w:p>
        </w:tc>
        <w:tc>
          <w:tcPr>
            <w:tcW w:w="720" w:type="dxa"/>
            <w:shd w:val="clear" w:color="auto" w:fill="auto"/>
          </w:tcPr>
          <w:p w14:paraId="761E730C" w14:textId="77777777" w:rsidR="003D0E08" w:rsidRPr="009029C8" w:rsidRDefault="000E06E7" w:rsidP="000E06E7">
            <w:pPr>
              <w:bidi/>
              <w:spacing w:after="60"/>
              <w:jc w:val="left"/>
              <w:rPr>
                <w:sz w:val="18"/>
                <w:szCs w:val="18"/>
              </w:rPr>
            </w:pPr>
            <w:r>
              <w:rPr>
                <w:rFonts w:hint="cs"/>
                <w:sz w:val="18"/>
                <w:szCs w:val="18"/>
                <w:rtl/>
              </w:rPr>
              <w:t>0</w:t>
            </w:r>
          </w:p>
        </w:tc>
        <w:tc>
          <w:tcPr>
            <w:tcW w:w="990" w:type="dxa"/>
            <w:shd w:val="clear" w:color="auto" w:fill="auto"/>
          </w:tcPr>
          <w:p w14:paraId="0930840E" w14:textId="77777777" w:rsidR="003D0E08" w:rsidRPr="009029C8" w:rsidRDefault="003D0E08" w:rsidP="000E06E7">
            <w:pPr>
              <w:bidi/>
              <w:spacing w:after="60"/>
              <w:jc w:val="left"/>
              <w:rPr>
                <w:sz w:val="18"/>
                <w:szCs w:val="18"/>
              </w:rPr>
            </w:pPr>
          </w:p>
        </w:tc>
        <w:tc>
          <w:tcPr>
            <w:tcW w:w="743" w:type="dxa"/>
            <w:shd w:val="clear" w:color="auto" w:fill="auto"/>
          </w:tcPr>
          <w:p w14:paraId="2546C7C2" w14:textId="77777777" w:rsidR="003D0E08" w:rsidRPr="009029C8" w:rsidRDefault="003D0E08" w:rsidP="000E06E7">
            <w:pPr>
              <w:bidi/>
              <w:spacing w:after="60"/>
              <w:jc w:val="left"/>
              <w:rPr>
                <w:sz w:val="18"/>
                <w:szCs w:val="18"/>
              </w:rPr>
            </w:pPr>
          </w:p>
        </w:tc>
        <w:tc>
          <w:tcPr>
            <w:tcW w:w="899" w:type="dxa"/>
            <w:shd w:val="clear" w:color="auto" w:fill="auto"/>
          </w:tcPr>
          <w:p w14:paraId="276A1992" w14:textId="77777777" w:rsidR="003D0E08" w:rsidRPr="0026283A" w:rsidRDefault="003D0E08" w:rsidP="000E06E7">
            <w:pPr>
              <w:bidi/>
              <w:spacing w:after="60"/>
              <w:jc w:val="left"/>
              <w:rPr>
                <w:sz w:val="18"/>
                <w:szCs w:val="18"/>
              </w:rPr>
            </w:pPr>
          </w:p>
        </w:tc>
        <w:tc>
          <w:tcPr>
            <w:tcW w:w="754" w:type="dxa"/>
            <w:shd w:val="clear" w:color="auto" w:fill="auto"/>
          </w:tcPr>
          <w:p w14:paraId="2C63C371" w14:textId="77777777" w:rsidR="003D0E08" w:rsidRPr="009029C8" w:rsidRDefault="003D0E08" w:rsidP="000E06E7">
            <w:pPr>
              <w:bidi/>
              <w:spacing w:after="60"/>
              <w:jc w:val="left"/>
              <w:rPr>
                <w:sz w:val="18"/>
                <w:szCs w:val="18"/>
              </w:rPr>
            </w:pPr>
          </w:p>
        </w:tc>
        <w:tc>
          <w:tcPr>
            <w:tcW w:w="772" w:type="dxa"/>
            <w:shd w:val="clear" w:color="auto" w:fill="auto"/>
          </w:tcPr>
          <w:p w14:paraId="0A4D91E2" w14:textId="77777777" w:rsidR="003D0E08" w:rsidRPr="009029C8" w:rsidRDefault="003D0E08" w:rsidP="000E06E7">
            <w:pPr>
              <w:bidi/>
              <w:spacing w:after="60"/>
              <w:jc w:val="left"/>
              <w:rPr>
                <w:sz w:val="18"/>
                <w:szCs w:val="18"/>
              </w:rPr>
            </w:pPr>
          </w:p>
        </w:tc>
        <w:tc>
          <w:tcPr>
            <w:tcW w:w="925" w:type="dxa"/>
            <w:shd w:val="clear" w:color="auto" w:fill="auto"/>
          </w:tcPr>
          <w:p w14:paraId="5CE237AF" w14:textId="77777777" w:rsidR="003D0E08" w:rsidRPr="009029C8" w:rsidRDefault="003D0E08" w:rsidP="000E06E7">
            <w:pPr>
              <w:bidi/>
              <w:spacing w:after="60"/>
              <w:jc w:val="left"/>
              <w:rPr>
                <w:sz w:val="18"/>
                <w:szCs w:val="18"/>
              </w:rPr>
            </w:pPr>
          </w:p>
        </w:tc>
        <w:tc>
          <w:tcPr>
            <w:tcW w:w="1217" w:type="dxa"/>
            <w:shd w:val="clear" w:color="auto" w:fill="auto"/>
          </w:tcPr>
          <w:p w14:paraId="6D7F1155" w14:textId="77777777" w:rsidR="003D0E08" w:rsidRPr="0026283A" w:rsidRDefault="003D0E08" w:rsidP="000E06E7">
            <w:pPr>
              <w:bidi/>
              <w:spacing w:after="60"/>
              <w:jc w:val="left"/>
              <w:rPr>
                <w:sz w:val="18"/>
                <w:szCs w:val="18"/>
              </w:rPr>
            </w:pPr>
          </w:p>
        </w:tc>
      </w:tr>
      <w:tr w:rsidR="001B4EFA" w:rsidRPr="0026283A" w14:paraId="473D19A8" w14:textId="77777777" w:rsidTr="00406EEF">
        <w:trPr>
          <w:trHeight w:val="240"/>
        </w:trPr>
        <w:tc>
          <w:tcPr>
            <w:tcW w:w="2250" w:type="dxa"/>
            <w:shd w:val="clear" w:color="auto" w:fill="auto"/>
          </w:tcPr>
          <w:p w14:paraId="3C0B41E9" w14:textId="77777777" w:rsidR="003D0E08" w:rsidRPr="003D5E2B" w:rsidRDefault="00C41308" w:rsidP="00C41308">
            <w:pPr>
              <w:bidi/>
              <w:spacing w:after="60"/>
              <w:rPr>
                <w:sz w:val="16"/>
                <w:szCs w:val="16"/>
              </w:rPr>
            </w:pPr>
            <w:r w:rsidRPr="003D5E2B">
              <w:rPr>
                <w:sz w:val="16"/>
                <w:szCs w:val="16"/>
                <w:rtl/>
                <w:lang w:bidi="ar-AE"/>
              </w:rPr>
              <w:t>الهيدروكلوروفلوروكربون</w:t>
            </w:r>
            <w:r w:rsidRPr="003D5E2B">
              <w:rPr>
                <w:rFonts w:hint="cs"/>
                <w:sz w:val="16"/>
                <w:szCs w:val="16"/>
                <w:rtl/>
              </w:rPr>
              <w:t>-142ب</w:t>
            </w:r>
          </w:p>
        </w:tc>
        <w:tc>
          <w:tcPr>
            <w:tcW w:w="900" w:type="dxa"/>
            <w:shd w:val="clear" w:color="auto" w:fill="auto"/>
          </w:tcPr>
          <w:p w14:paraId="16EC6B74" w14:textId="77777777" w:rsidR="003D0E08" w:rsidRPr="009029C8" w:rsidRDefault="003D0E08" w:rsidP="000E06E7">
            <w:pPr>
              <w:bidi/>
              <w:spacing w:after="60"/>
              <w:jc w:val="left"/>
              <w:rPr>
                <w:sz w:val="18"/>
                <w:szCs w:val="18"/>
              </w:rPr>
            </w:pPr>
          </w:p>
        </w:tc>
        <w:tc>
          <w:tcPr>
            <w:tcW w:w="720" w:type="dxa"/>
            <w:shd w:val="clear" w:color="auto" w:fill="auto"/>
          </w:tcPr>
          <w:p w14:paraId="06E2F286" w14:textId="77777777" w:rsidR="003D0E08" w:rsidRPr="009029C8" w:rsidRDefault="003D0E08" w:rsidP="000E06E7">
            <w:pPr>
              <w:bidi/>
              <w:spacing w:after="60"/>
              <w:jc w:val="left"/>
              <w:rPr>
                <w:sz w:val="18"/>
                <w:szCs w:val="18"/>
              </w:rPr>
            </w:pPr>
          </w:p>
        </w:tc>
        <w:tc>
          <w:tcPr>
            <w:tcW w:w="990" w:type="dxa"/>
            <w:shd w:val="clear" w:color="auto" w:fill="auto"/>
          </w:tcPr>
          <w:p w14:paraId="4B7EA6B1" w14:textId="77777777" w:rsidR="003D0E08" w:rsidRPr="009029C8" w:rsidRDefault="003D0E08" w:rsidP="000E06E7">
            <w:pPr>
              <w:bidi/>
              <w:spacing w:after="60"/>
              <w:jc w:val="left"/>
              <w:rPr>
                <w:sz w:val="18"/>
                <w:szCs w:val="18"/>
              </w:rPr>
            </w:pPr>
          </w:p>
        </w:tc>
        <w:tc>
          <w:tcPr>
            <w:tcW w:w="743" w:type="dxa"/>
            <w:shd w:val="clear" w:color="auto" w:fill="auto"/>
          </w:tcPr>
          <w:p w14:paraId="54CDADFD" w14:textId="77777777" w:rsidR="003D0E08" w:rsidRPr="009029C8" w:rsidRDefault="003D0E08" w:rsidP="000E06E7">
            <w:pPr>
              <w:bidi/>
              <w:spacing w:after="60"/>
              <w:jc w:val="left"/>
              <w:rPr>
                <w:sz w:val="18"/>
                <w:szCs w:val="18"/>
              </w:rPr>
            </w:pPr>
          </w:p>
        </w:tc>
        <w:tc>
          <w:tcPr>
            <w:tcW w:w="899" w:type="dxa"/>
            <w:shd w:val="clear" w:color="auto" w:fill="auto"/>
          </w:tcPr>
          <w:p w14:paraId="7198AD02" w14:textId="77777777" w:rsidR="003D0E08" w:rsidRPr="0026283A" w:rsidRDefault="003D0E08" w:rsidP="000E06E7">
            <w:pPr>
              <w:bidi/>
              <w:spacing w:after="60"/>
              <w:jc w:val="left"/>
              <w:rPr>
                <w:sz w:val="18"/>
                <w:szCs w:val="18"/>
              </w:rPr>
            </w:pPr>
          </w:p>
        </w:tc>
        <w:tc>
          <w:tcPr>
            <w:tcW w:w="754" w:type="dxa"/>
            <w:shd w:val="clear" w:color="auto" w:fill="auto"/>
          </w:tcPr>
          <w:p w14:paraId="0932075D" w14:textId="77777777" w:rsidR="003D0E08" w:rsidRPr="009029C8" w:rsidRDefault="003D0E08" w:rsidP="000E06E7">
            <w:pPr>
              <w:bidi/>
              <w:spacing w:after="60"/>
              <w:jc w:val="left"/>
              <w:rPr>
                <w:sz w:val="18"/>
                <w:szCs w:val="18"/>
              </w:rPr>
            </w:pPr>
          </w:p>
        </w:tc>
        <w:tc>
          <w:tcPr>
            <w:tcW w:w="772" w:type="dxa"/>
            <w:shd w:val="clear" w:color="auto" w:fill="auto"/>
          </w:tcPr>
          <w:p w14:paraId="5F5121F9" w14:textId="77777777" w:rsidR="003D0E08" w:rsidRPr="009029C8" w:rsidRDefault="003D0E08" w:rsidP="000E06E7">
            <w:pPr>
              <w:bidi/>
              <w:spacing w:after="60"/>
              <w:jc w:val="left"/>
              <w:rPr>
                <w:sz w:val="18"/>
                <w:szCs w:val="18"/>
              </w:rPr>
            </w:pPr>
          </w:p>
        </w:tc>
        <w:tc>
          <w:tcPr>
            <w:tcW w:w="925" w:type="dxa"/>
            <w:shd w:val="clear" w:color="auto" w:fill="auto"/>
          </w:tcPr>
          <w:p w14:paraId="46912739" w14:textId="77777777" w:rsidR="003D0E08" w:rsidRPr="009029C8" w:rsidRDefault="003D0E08" w:rsidP="000E06E7">
            <w:pPr>
              <w:bidi/>
              <w:spacing w:after="60"/>
              <w:jc w:val="left"/>
              <w:rPr>
                <w:sz w:val="18"/>
                <w:szCs w:val="18"/>
              </w:rPr>
            </w:pPr>
          </w:p>
        </w:tc>
        <w:tc>
          <w:tcPr>
            <w:tcW w:w="1217" w:type="dxa"/>
            <w:shd w:val="clear" w:color="auto" w:fill="auto"/>
          </w:tcPr>
          <w:p w14:paraId="499A8069" w14:textId="77777777" w:rsidR="003D0E08" w:rsidRPr="0026283A" w:rsidRDefault="003D0E08" w:rsidP="000E06E7">
            <w:pPr>
              <w:bidi/>
              <w:spacing w:after="60"/>
              <w:jc w:val="left"/>
              <w:rPr>
                <w:sz w:val="18"/>
                <w:szCs w:val="18"/>
              </w:rPr>
            </w:pPr>
          </w:p>
        </w:tc>
      </w:tr>
      <w:tr w:rsidR="001B4EFA" w:rsidRPr="0026283A" w14:paraId="4938DF98" w14:textId="77777777" w:rsidTr="00406EEF">
        <w:trPr>
          <w:trHeight w:val="240"/>
        </w:trPr>
        <w:tc>
          <w:tcPr>
            <w:tcW w:w="2250" w:type="dxa"/>
            <w:shd w:val="clear" w:color="auto" w:fill="auto"/>
          </w:tcPr>
          <w:p w14:paraId="0E0E0FE3" w14:textId="77777777" w:rsidR="003D0E08" w:rsidRPr="003D5E2B" w:rsidRDefault="00C41308" w:rsidP="00C41308">
            <w:pPr>
              <w:bidi/>
              <w:spacing w:after="60"/>
              <w:rPr>
                <w:sz w:val="16"/>
                <w:szCs w:val="16"/>
              </w:rPr>
            </w:pPr>
            <w:r w:rsidRPr="003D5E2B">
              <w:rPr>
                <w:sz w:val="16"/>
                <w:szCs w:val="16"/>
                <w:rtl/>
                <w:lang w:bidi="ar-AE"/>
              </w:rPr>
              <w:t>الهيدروكلوروفلوروكربون</w:t>
            </w:r>
            <w:r w:rsidRPr="003D5E2B">
              <w:rPr>
                <w:rFonts w:hint="cs"/>
                <w:sz w:val="16"/>
                <w:szCs w:val="16"/>
                <w:rtl/>
              </w:rPr>
              <w:t>-22</w:t>
            </w:r>
          </w:p>
        </w:tc>
        <w:tc>
          <w:tcPr>
            <w:tcW w:w="900" w:type="dxa"/>
            <w:shd w:val="clear" w:color="auto" w:fill="auto"/>
          </w:tcPr>
          <w:p w14:paraId="4C842060" w14:textId="77777777" w:rsidR="003D0E08" w:rsidRPr="009029C8" w:rsidRDefault="003D0E08" w:rsidP="000E06E7">
            <w:pPr>
              <w:bidi/>
              <w:spacing w:after="60"/>
              <w:jc w:val="left"/>
              <w:rPr>
                <w:sz w:val="18"/>
                <w:szCs w:val="18"/>
              </w:rPr>
            </w:pPr>
          </w:p>
        </w:tc>
        <w:tc>
          <w:tcPr>
            <w:tcW w:w="720" w:type="dxa"/>
            <w:shd w:val="clear" w:color="auto" w:fill="auto"/>
          </w:tcPr>
          <w:p w14:paraId="03DAE376" w14:textId="77777777" w:rsidR="003D0E08" w:rsidRPr="009029C8" w:rsidRDefault="003D0E08" w:rsidP="000E06E7">
            <w:pPr>
              <w:bidi/>
              <w:spacing w:after="60"/>
              <w:jc w:val="left"/>
              <w:rPr>
                <w:sz w:val="18"/>
                <w:szCs w:val="18"/>
              </w:rPr>
            </w:pPr>
          </w:p>
        </w:tc>
        <w:tc>
          <w:tcPr>
            <w:tcW w:w="990" w:type="dxa"/>
            <w:shd w:val="clear" w:color="auto" w:fill="auto"/>
          </w:tcPr>
          <w:p w14:paraId="7F54DE82" w14:textId="77777777" w:rsidR="003D0E08" w:rsidRPr="009029C8" w:rsidRDefault="003D0E08" w:rsidP="000E06E7">
            <w:pPr>
              <w:bidi/>
              <w:spacing w:after="60"/>
              <w:jc w:val="left"/>
              <w:rPr>
                <w:sz w:val="18"/>
                <w:szCs w:val="18"/>
              </w:rPr>
            </w:pPr>
          </w:p>
        </w:tc>
        <w:tc>
          <w:tcPr>
            <w:tcW w:w="743" w:type="dxa"/>
            <w:shd w:val="clear" w:color="auto" w:fill="auto"/>
          </w:tcPr>
          <w:p w14:paraId="75E92DB7" w14:textId="77777777" w:rsidR="003D0E08" w:rsidRPr="009029C8" w:rsidRDefault="003D0E08" w:rsidP="000E06E7">
            <w:pPr>
              <w:bidi/>
              <w:spacing w:after="60"/>
              <w:jc w:val="left"/>
              <w:rPr>
                <w:sz w:val="18"/>
                <w:szCs w:val="18"/>
              </w:rPr>
            </w:pPr>
          </w:p>
        </w:tc>
        <w:tc>
          <w:tcPr>
            <w:tcW w:w="899" w:type="dxa"/>
            <w:shd w:val="clear" w:color="auto" w:fill="auto"/>
          </w:tcPr>
          <w:p w14:paraId="0D8BB580" w14:textId="77777777" w:rsidR="000E06E7" w:rsidRPr="0026283A" w:rsidRDefault="000E06E7" w:rsidP="000E06E7">
            <w:pPr>
              <w:bidi/>
              <w:spacing w:after="60"/>
              <w:jc w:val="left"/>
              <w:rPr>
                <w:sz w:val="18"/>
                <w:szCs w:val="18"/>
              </w:rPr>
            </w:pPr>
            <w:r>
              <w:rPr>
                <w:rFonts w:hint="cs"/>
                <w:sz w:val="18"/>
                <w:szCs w:val="18"/>
                <w:rtl/>
              </w:rPr>
              <w:t>3.54</w:t>
            </w:r>
          </w:p>
        </w:tc>
        <w:tc>
          <w:tcPr>
            <w:tcW w:w="754" w:type="dxa"/>
            <w:shd w:val="clear" w:color="auto" w:fill="auto"/>
          </w:tcPr>
          <w:p w14:paraId="43BEB841" w14:textId="77777777" w:rsidR="003D0E08" w:rsidRPr="009029C8" w:rsidRDefault="003D0E08" w:rsidP="000E06E7">
            <w:pPr>
              <w:bidi/>
              <w:spacing w:after="60"/>
              <w:jc w:val="left"/>
              <w:rPr>
                <w:sz w:val="18"/>
                <w:szCs w:val="18"/>
                <w:highlight w:val="yellow"/>
              </w:rPr>
            </w:pPr>
          </w:p>
        </w:tc>
        <w:tc>
          <w:tcPr>
            <w:tcW w:w="772" w:type="dxa"/>
            <w:shd w:val="clear" w:color="auto" w:fill="auto"/>
          </w:tcPr>
          <w:p w14:paraId="06AF7DC4" w14:textId="77777777" w:rsidR="003D0E08" w:rsidRPr="009029C8" w:rsidRDefault="003D0E08" w:rsidP="000E06E7">
            <w:pPr>
              <w:bidi/>
              <w:spacing w:after="60"/>
              <w:jc w:val="left"/>
              <w:rPr>
                <w:sz w:val="18"/>
                <w:szCs w:val="18"/>
                <w:highlight w:val="yellow"/>
              </w:rPr>
            </w:pPr>
          </w:p>
        </w:tc>
        <w:tc>
          <w:tcPr>
            <w:tcW w:w="925" w:type="dxa"/>
            <w:shd w:val="clear" w:color="auto" w:fill="auto"/>
          </w:tcPr>
          <w:p w14:paraId="15788E1D" w14:textId="77777777" w:rsidR="003D0E08" w:rsidRPr="009029C8" w:rsidRDefault="003D0E08" w:rsidP="000E06E7">
            <w:pPr>
              <w:bidi/>
              <w:spacing w:after="60"/>
              <w:jc w:val="left"/>
              <w:rPr>
                <w:sz w:val="18"/>
                <w:szCs w:val="18"/>
                <w:highlight w:val="yellow"/>
              </w:rPr>
            </w:pPr>
          </w:p>
        </w:tc>
        <w:tc>
          <w:tcPr>
            <w:tcW w:w="1217" w:type="dxa"/>
            <w:shd w:val="clear" w:color="auto" w:fill="auto"/>
          </w:tcPr>
          <w:p w14:paraId="4CF0B411" w14:textId="77777777" w:rsidR="000E06E7" w:rsidRPr="0026283A" w:rsidRDefault="000E06E7" w:rsidP="000E06E7">
            <w:pPr>
              <w:bidi/>
              <w:spacing w:after="60"/>
              <w:jc w:val="left"/>
              <w:rPr>
                <w:sz w:val="18"/>
                <w:szCs w:val="18"/>
              </w:rPr>
            </w:pPr>
            <w:r>
              <w:rPr>
                <w:rFonts w:hint="cs"/>
                <w:sz w:val="18"/>
                <w:szCs w:val="18"/>
                <w:rtl/>
              </w:rPr>
              <w:t>3.54</w:t>
            </w:r>
          </w:p>
        </w:tc>
      </w:tr>
      <w:tr w:rsidR="001B4EFA" w:rsidRPr="0026283A" w14:paraId="355FF732" w14:textId="77777777" w:rsidTr="00406EEF">
        <w:trPr>
          <w:trHeight w:val="240"/>
        </w:trPr>
        <w:tc>
          <w:tcPr>
            <w:tcW w:w="2250" w:type="dxa"/>
            <w:shd w:val="clear" w:color="auto" w:fill="auto"/>
          </w:tcPr>
          <w:p w14:paraId="25E6A7E2" w14:textId="77777777" w:rsidR="003D0E08" w:rsidRPr="003D5E2B" w:rsidRDefault="00C41308" w:rsidP="00FC1BD8">
            <w:pPr>
              <w:bidi/>
              <w:spacing w:after="60"/>
              <w:rPr>
                <w:sz w:val="16"/>
                <w:szCs w:val="16"/>
              </w:rPr>
            </w:pPr>
            <w:r w:rsidRPr="003D5E2B">
              <w:rPr>
                <w:sz w:val="16"/>
                <w:szCs w:val="16"/>
                <w:rtl/>
                <w:lang w:bidi="ar-AE"/>
              </w:rPr>
              <w:t>الهيدروكلوروفلوروكربون</w:t>
            </w:r>
            <w:r w:rsidRPr="003D5E2B">
              <w:rPr>
                <w:rFonts w:hint="cs"/>
                <w:sz w:val="16"/>
                <w:szCs w:val="16"/>
                <w:rtl/>
              </w:rPr>
              <w:t>-</w:t>
            </w:r>
            <w:r w:rsidR="00FC1BD8">
              <w:rPr>
                <w:rFonts w:hint="cs"/>
                <w:sz w:val="16"/>
                <w:szCs w:val="16"/>
                <w:rtl/>
              </w:rPr>
              <w:t>255</w:t>
            </w:r>
            <w:r w:rsidR="00057C61">
              <w:rPr>
                <w:sz w:val="16"/>
                <w:szCs w:val="16"/>
              </w:rPr>
              <w:t>cb</w:t>
            </w:r>
          </w:p>
        </w:tc>
        <w:tc>
          <w:tcPr>
            <w:tcW w:w="900" w:type="dxa"/>
            <w:shd w:val="clear" w:color="auto" w:fill="auto"/>
          </w:tcPr>
          <w:p w14:paraId="1CC33E87" w14:textId="77777777" w:rsidR="003D0E08" w:rsidRPr="009029C8" w:rsidRDefault="003D0E08" w:rsidP="000E06E7">
            <w:pPr>
              <w:bidi/>
              <w:spacing w:after="60"/>
              <w:jc w:val="left"/>
              <w:rPr>
                <w:sz w:val="18"/>
                <w:szCs w:val="18"/>
              </w:rPr>
            </w:pPr>
          </w:p>
        </w:tc>
        <w:tc>
          <w:tcPr>
            <w:tcW w:w="720" w:type="dxa"/>
            <w:shd w:val="clear" w:color="auto" w:fill="auto"/>
          </w:tcPr>
          <w:p w14:paraId="09428814" w14:textId="77777777" w:rsidR="003D0E08" w:rsidRPr="009029C8" w:rsidRDefault="003D0E08" w:rsidP="000E06E7">
            <w:pPr>
              <w:bidi/>
              <w:spacing w:after="60"/>
              <w:jc w:val="left"/>
              <w:rPr>
                <w:sz w:val="18"/>
                <w:szCs w:val="18"/>
              </w:rPr>
            </w:pPr>
          </w:p>
        </w:tc>
        <w:tc>
          <w:tcPr>
            <w:tcW w:w="990" w:type="dxa"/>
            <w:shd w:val="clear" w:color="auto" w:fill="auto"/>
          </w:tcPr>
          <w:p w14:paraId="586B223C" w14:textId="77777777" w:rsidR="003D0E08" w:rsidRPr="009029C8" w:rsidRDefault="003D0E08" w:rsidP="000E06E7">
            <w:pPr>
              <w:bidi/>
              <w:spacing w:after="60"/>
              <w:jc w:val="left"/>
              <w:rPr>
                <w:sz w:val="18"/>
                <w:szCs w:val="18"/>
              </w:rPr>
            </w:pPr>
          </w:p>
        </w:tc>
        <w:tc>
          <w:tcPr>
            <w:tcW w:w="743" w:type="dxa"/>
            <w:shd w:val="clear" w:color="auto" w:fill="auto"/>
          </w:tcPr>
          <w:p w14:paraId="210D2FC4" w14:textId="77777777" w:rsidR="003D0E08" w:rsidRPr="009029C8" w:rsidRDefault="003D0E08" w:rsidP="000E06E7">
            <w:pPr>
              <w:bidi/>
              <w:spacing w:after="60"/>
              <w:jc w:val="left"/>
              <w:rPr>
                <w:sz w:val="18"/>
                <w:szCs w:val="18"/>
              </w:rPr>
            </w:pPr>
          </w:p>
        </w:tc>
        <w:tc>
          <w:tcPr>
            <w:tcW w:w="899" w:type="dxa"/>
            <w:shd w:val="clear" w:color="auto" w:fill="auto"/>
          </w:tcPr>
          <w:p w14:paraId="11EE2F1F" w14:textId="77777777" w:rsidR="003D0E08" w:rsidRPr="009029C8" w:rsidRDefault="003D0E08" w:rsidP="000E06E7">
            <w:pPr>
              <w:bidi/>
              <w:spacing w:after="60"/>
              <w:jc w:val="left"/>
              <w:rPr>
                <w:sz w:val="18"/>
                <w:szCs w:val="18"/>
              </w:rPr>
            </w:pPr>
          </w:p>
        </w:tc>
        <w:tc>
          <w:tcPr>
            <w:tcW w:w="754" w:type="dxa"/>
            <w:shd w:val="clear" w:color="auto" w:fill="auto"/>
          </w:tcPr>
          <w:p w14:paraId="79928596" w14:textId="77777777" w:rsidR="003D0E08" w:rsidRPr="009029C8" w:rsidRDefault="003D0E08" w:rsidP="000E06E7">
            <w:pPr>
              <w:bidi/>
              <w:spacing w:after="60"/>
              <w:jc w:val="left"/>
              <w:rPr>
                <w:sz w:val="18"/>
                <w:szCs w:val="18"/>
              </w:rPr>
            </w:pPr>
          </w:p>
        </w:tc>
        <w:tc>
          <w:tcPr>
            <w:tcW w:w="772" w:type="dxa"/>
            <w:shd w:val="clear" w:color="auto" w:fill="auto"/>
          </w:tcPr>
          <w:p w14:paraId="051BB6B8" w14:textId="77777777" w:rsidR="003D0E08" w:rsidRPr="009029C8" w:rsidRDefault="003D0E08" w:rsidP="000E06E7">
            <w:pPr>
              <w:bidi/>
              <w:spacing w:after="60"/>
              <w:jc w:val="left"/>
              <w:rPr>
                <w:sz w:val="18"/>
                <w:szCs w:val="18"/>
              </w:rPr>
            </w:pPr>
          </w:p>
        </w:tc>
        <w:tc>
          <w:tcPr>
            <w:tcW w:w="925" w:type="dxa"/>
            <w:shd w:val="clear" w:color="auto" w:fill="auto"/>
          </w:tcPr>
          <w:p w14:paraId="133D61A0" w14:textId="77777777" w:rsidR="003D0E08" w:rsidRPr="009029C8" w:rsidRDefault="003D0E08" w:rsidP="000E06E7">
            <w:pPr>
              <w:bidi/>
              <w:spacing w:after="60"/>
              <w:jc w:val="left"/>
              <w:rPr>
                <w:sz w:val="18"/>
                <w:szCs w:val="18"/>
              </w:rPr>
            </w:pPr>
          </w:p>
        </w:tc>
        <w:tc>
          <w:tcPr>
            <w:tcW w:w="1217" w:type="dxa"/>
            <w:shd w:val="clear" w:color="auto" w:fill="auto"/>
          </w:tcPr>
          <w:p w14:paraId="34D6F41E" w14:textId="77777777" w:rsidR="003D0E08" w:rsidRPr="0026283A" w:rsidRDefault="003D0E08" w:rsidP="000E06E7">
            <w:pPr>
              <w:bidi/>
              <w:spacing w:after="60"/>
              <w:jc w:val="left"/>
              <w:rPr>
                <w:sz w:val="18"/>
                <w:szCs w:val="18"/>
              </w:rPr>
            </w:pPr>
          </w:p>
        </w:tc>
      </w:tr>
    </w:tbl>
    <w:p w14:paraId="3D9AF9E7" w14:textId="77777777" w:rsidR="003D0E08" w:rsidRPr="00BD406D" w:rsidRDefault="003D0E08" w:rsidP="003D0E08">
      <w:pPr>
        <w:spacing w:after="60"/>
        <w:jc w:val="center"/>
        <w:rPr>
          <w:sz w:val="12"/>
          <w:szCs w:val="12"/>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01"/>
        <w:gridCol w:w="746"/>
        <w:gridCol w:w="4461"/>
        <w:gridCol w:w="1462"/>
      </w:tblGrid>
      <w:tr w:rsidR="003D0E08" w:rsidRPr="005674CD" w14:paraId="1638A44A" w14:textId="77777777" w:rsidTr="005C7429">
        <w:trPr>
          <w:trHeight w:val="240"/>
        </w:trPr>
        <w:tc>
          <w:tcPr>
            <w:tcW w:w="10170" w:type="dxa"/>
            <w:gridSpan w:val="4"/>
            <w:shd w:val="clear" w:color="auto" w:fill="auto"/>
          </w:tcPr>
          <w:p w14:paraId="7D71EA5B" w14:textId="77777777" w:rsidR="0033270E" w:rsidRPr="009029C8" w:rsidRDefault="0033270E" w:rsidP="0033270E">
            <w:pPr>
              <w:bidi/>
              <w:spacing w:after="60"/>
              <w:rPr>
                <w:b/>
                <w:sz w:val="18"/>
                <w:szCs w:val="18"/>
              </w:rPr>
            </w:pPr>
            <w:r w:rsidRPr="0051140D">
              <w:rPr>
                <w:rFonts w:hint="cs"/>
                <w:bCs/>
                <w:sz w:val="18"/>
                <w:szCs w:val="18"/>
                <w:rtl/>
                <w:lang w:val="en-US"/>
              </w:rPr>
              <w:t>(</w:t>
            </w:r>
            <w:r>
              <w:rPr>
                <w:rFonts w:hint="cs"/>
                <w:bCs/>
                <w:sz w:val="18"/>
                <w:szCs w:val="18"/>
                <w:rtl/>
                <w:lang w:val="en-US"/>
              </w:rPr>
              <w:t>رابعا</w:t>
            </w:r>
            <w:r w:rsidRPr="0051140D">
              <w:rPr>
                <w:rFonts w:hint="cs"/>
                <w:bCs/>
                <w:sz w:val="18"/>
                <w:szCs w:val="18"/>
                <w:rtl/>
                <w:lang w:val="en-US"/>
              </w:rPr>
              <w:t>) بيانات الاستهلاك (طن من قدرات استنفاد الأوزون)</w:t>
            </w:r>
          </w:p>
        </w:tc>
      </w:tr>
      <w:tr w:rsidR="003D0E08" w:rsidRPr="005674CD" w14:paraId="3FC470FD" w14:textId="77777777" w:rsidTr="005C7429">
        <w:trPr>
          <w:trHeight w:val="240"/>
        </w:trPr>
        <w:tc>
          <w:tcPr>
            <w:tcW w:w="0" w:type="auto"/>
            <w:shd w:val="clear" w:color="auto" w:fill="auto"/>
          </w:tcPr>
          <w:p w14:paraId="16036ED8" w14:textId="77777777" w:rsidR="0033270E" w:rsidRPr="009029C8" w:rsidRDefault="0033270E" w:rsidP="0033270E">
            <w:pPr>
              <w:bidi/>
              <w:spacing w:after="60"/>
              <w:jc w:val="center"/>
              <w:rPr>
                <w:sz w:val="18"/>
                <w:szCs w:val="18"/>
              </w:rPr>
            </w:pPr>
            <w:r w:rsidRPr="0033270E">
              <w:rPr>
                <w:sz w:val="18"/>
                <w:szCs w:val="18"/>
                <w:rtl/>
                <w:lang w:bidi="ar-AE"/>
              </w:rPr>
              <w:t>خط الأساس لفترة 2009-2010:</w:t>
            </w:r>
          </w:p>
        </w:tc>
        <w:tc>
          <w:tcPr>
            <w:tcW w:w="0" w:type="auto"/>
            <w:shd w:val="clear" w:color="auto" w:fill="auto"/>
          </w:tcPr>
          <w:p w14:paraId="1CC024A5" w14:textId="77777777" w:rsidR="0033270E" w:rsidRPr="0033270E" w:rsidRDefault="0033270E" w:rsidP="0033270E">
            <w:pPr>
              <w:bidi/>
              <w:spacing w:after="60"/>
              <w:jc w:val="left"/>
              <w:rPr>
                <w:sz w:val="18"/>
                <w:szCs w:val="18"/>
              </w:rPr>
            </w:pPr>
            <w:r w:rsidRPr="0033270E">
              <w:rPr>
                <w:rFonts w:hint="cs"/>
                <w:sz w:val="18"/>
                <w:szCs w:val="18"/>
                <w:rtl/>
              </w:rPr>
              <w:t>8.3</w:t>
            </w:r>
          </w:p>
        </w:tc>
        <w:tc>
          <w:tcPr>
            <w:tcW w:w="0" w:type="auto"/>
            <w:shd w:val="clear" w:color="auto" w:fill="auto"/>
          </w:tcPr>
          <w:p w14:paraId="124A8F0F" w14:textId="77777777" w:rsidR="0033270E" w:rsidRPr="009029C8" w:rsidRDefault="0033270E" w:rsidP="0033270E">
            <w:pPr>
              <w:bidi/>
              <w:spacing w:after="60"/>
              <w:jc w:val="center"/>
              <w:rPr>
                <w:sz w:val="18"/>
                <w:szCs w:val="18"/>
              </w:rPr>
            </w:pPr>
            <w:r w:rsidRPr="0033270E">
              <w:rPr>
                <w:sz w:val="18"/>
                <w:szCs w:val="18"/>
                <w:rtl/>
                <w:lang w:bidi="ar-AE"/>
              </w:rPr>
              <w:t>نقطة البداية للتخفيضات المجمعة المستدامة:</w:t>
            </w:r>
          </w:p>
        </w:tc>
        <w:tc>
          <w:tcPr>
            <w:tcW w:w="864" w:type="dxa"/>
            <w:shd w:val="clear" w:color="auto" w:fill="auto"/>
          </w:tcPr>
          <w:p w14:paraId="515EE001" w14:textId="77777777" w:rsidR="002107AA" w:rsidRPr="009029C8" w:rsidRDefault="002107AA" w:rsidP="002107AA">
            <w:pPr>
              <w:bidi/>
              <w:spacing w:after="60"/>
              <w:jc w:val="left"/>
              <w:rPr>
                <w:sz w:val="18"/>
                <w:szCs w:val="18"/>
              </w:rPr>
            </w:pPr>
            <w:r>
              <w:rPr>
                <w:rFonts w:hint="cs"/>
                <w:sz w:val="18"/>
                <w:szCs w:val="18"/>
                <w:rtl/>
              </w:rPr>
              <w:t>9.7</w:t>
            </w:r>
          </w:p>
        </w:tc>
      </w:tr>
      <w:tr w:rsidR="003D0E08" w:rsidRPr="005674CD" w14:paraId="2A732136" w14:textId="77777777" w:rsidTr="005C7429">
        <w:trPr>
          <w:trHeight w:val="240"/>
        </w:trPr>
        <w:tc>
          <w:tcPr>
            <w:tcW w:w="10170" w:type="dxa"/>
            <w:gridSpan w:val="4"/>
            <w:shd w:val="clear" w:color="auto" w:fill="auto"/>
          </w:tcPr>
          <w:p w14:paraId="6E2F5F97" w14:textId="77777777" w:rsidR="00CB2E6D" w:rsidRPr="009029C8" w:rsidRDefault="00CB2E6D" w:rsidP="00CB2E6D">
            <w:pPr>
              <w:bidi/>
              <w:spacing w:after="60"/>
              <w:jc w:val="center"/>
              <w:rPr>
                <w:b/>
                <w:sz w:val="18"/>
                <w:szCs w:val="18"/>
              </w:rPr>
            </w:pPr>
            <w:r w:rsidRPr="0051140D">
              <w:rPr>
                <w:rFonts w:hint="cs"/>
                <w:bCs/>
                <w:sz w:val="18"/>
                <w:szCs w:val="18"/>
                <w:rtl/>
                <w:lang w:val="en-US"/>
              </w:rPr>
              <w:t>الاستهلاك المؤهل للتمويل (طن من قدرات استنفاد الأوزون)</w:t>
            </w:r>
          </w:p>
        </w:tc>
      </w:tr>
      <w:tr w:rsidR="003D0E08" w:rsidRPr="00FB3E75" w14:paraId="511723C3" w14:textId="77777777" w:rsidTr="005C7429">
        <w:trPr>
          <w:trHeight w:val="240"/>
        </w:trPr>
        <w:tc>
          <w:tcPr>
            <w:tcW w:w="0" w:type="auto"/>
            <w:shd w:val="clear" w:color="auto" w:fill="auto"/>
          </w:tcPr>
          <w:p w14:paraId="1DCDEA1D" w14:textId="77777777" w:rsidR="003D0E08" w:rsidRPr="009029C8" w:rsidRDefault="00AF6CD8" w:rsidP="00DF6BDA">
            <w:pPr>
              <w:bidi/>
              <w:spacing w:after="60"/>
              <w:jc w:val="center"/>
              <w:rPr>
                <w:sz w:val="18"/>
                <w:szCs w:val="18"/>
              </w:rPr>
            </w:pPr>
            <w:r>
              <w:rPr>
                <w:rFonts w:hint="cs"/>
                <w:sz w:val="18"/>
                <w:szCs w:val="18"/>
                <w:rtl/>
                <w:lang w:val="en-US"/>
              </w:rPr>
              <w:t>الموافق عليه بالفعل:</w:t>
            </w:r>
          </w:p>
        </w:tc>
        <w:tc>
          <w:tcPr>
            <w:tcW w:w="0" w:type="auto"/>
            <w:shd w:val="clear" w:color="auto" w:fill="auto"/>
          </w:tcPr>
          <w:p w14:paraId="7F9B17AC" w14:textId="77777777" w:rsidR="00AF6CD8" w:rsidRPr="009029C8" w:rsidRDefault="00AF6CD8" w:rsidP="00AF6CD8">
            <w:pPr>
              <w:bidi/>
              <w:spacing w:after="60"/>
              <w:jc w:val="left"/>
              <w:rPr>
                <w:sz w:val="18"/>
                <w:szCs w:val="18"/>
              </w:rPr>
            </w:pPr>
            <w:r>
              <w:rPr>
                <w:rFonts w:hint="cs"/>
                <w:sz w:val="18"/>
                <w:szCs w:val="18"/>
                <w:rtl/>
              </w:rPr>
              <w:t>4.3</w:t>
            </w:r>
          </w:p>
        </w:tc>
        <w:tc>
          <w:tcPr>
            <w:tcW w:w="0" w:type="auto"/>
            <w:shd w:val="clear" w:color="auto" w:fill="auto"/>
          </w:tcPr>
          <w:p w14:paraId="7BE82A13" w14:textId="77777777" w:rsidR="003D0E08" w:rsidRPr="009029C8" w:rsidRDefault="00440B3F" w:rsidP="00DF6BDA">
            <w:pPr>
              <w:bidi/>
              <w:spacing w:after="60"/>
              <w:jc w:val="center"/>
              <w:rPr>
                <w:sz w:val="18"/>
                <w:szCs w:val="18"/>
              </w:rPr>
            </w:pPr>
            <w:r>
              <w:rPr>
                <w:rFonts w:hint="cs"/>
                <w:sz w:val="18"/>
                <w:szCs w:val="18"/>
                <w:rtl/>
              </w:rPr>
              <w:t>المتبقي:</w:t>
            </w:r>
          </w:p>
        </w:tc>
        <w:tc>
          <w:tcPr>
            <w:tcW w:w="864" w:type="dxa"/>
            <w:shd w:val="clear" w:color="auto" w:fill="auto"/>
          </w:tcPr>
          <w:p w14:paraId="14A32034" w14:textId="77777777" w:rsidR="00AF6CD8" w:rsidRPr="009029C8" w:rsidRDefault="00AF6CD8" w:rsidP="00AF6CD8">
            <w:pPr>
              <w:bidi/>
              <w:spacing w:after="60"/>
              <w:jc w:val="left"/>
              <w:rPr>
                <w:sz w:val="18"/>
                <w:szCs w:val="18"/>
              </w:rPr>
            </w:pPr>
            <w:r>
              <w:rPr>
                <w:rFonts w:hint="cs"/>
                <w:sz w:val="18"/>
                <w:szCs w:val="18"/>
                <w:rtl/>
              </w:rPr>
              <w:t>5.4</w:t>
            </w:r>
          </w:p>
        </w:tc>
      </w:tr>
    </w:tbl>
    <w:p w14:paraId="7FC3C481" w14:textId="77777777" w:rsidR="003D0E08" w:rsidRPr="00BD406D" w:rsidRDefault="003D0E08" w:rsidP="003D0E08">
      <w:pPr>
        <w:spacing w:after="60"/>
        <w:jc w:val="center"/>
        <w:rPr>
          <w:sz w:val="12"/>
          <w:szCs w:val="12"/>
        </w:rPr>
      </w:pPr>
    </w:p>
    <w:tbl>
      <w:tblPr>
        <w:tblStyle w:val="TableGrid"/>
        <w:bidiVisual/>
        <w:tblW w:w="5310" w:type="pct"/>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91"/>
        <w:gridCol w:w="5263"/>
        <w:gridCol w:w="1261"/>
        <w:gridCol w:w="1815"/>
      </w:tblGrid>
      <w:tr w:rsidR="003D0E08" w:rsidRPr="00FB3E75" w14:paraId="36FD552F" w14:textId="77777777" w:rsidTr="005C7429">
        <w:trPr>
          <w:trHeight w:val="262"/>
        </w:trPr>
        <w:tc>
          <w:tcPr>
            <w:tcW w:w="3451" w:type="pct"/>
            <w:gridSpan w:val="2"/>
            <w:shd w:val="clear" w:color="auto" w:fill="auto"/>
          </w:tcPr>
          <w:p w14:paraId="145692CF" w14:textId="77777777" w:rsidR="00031F01" w:rsidRPr="009029C8" w:rsidRDefault="00031F01" w:rsidP="00031F01">
            <w:pPr>
              <w:bidi/>
              <w:spacing w:after="60"/>
              <w:rPr>
                <w:b/>
                <w:sz w:val="18"/>
                <w:szCs w:val="18"/>
              </w:rPr>
            </w:pPr>
            <w:r>
              <w:rPr>
                <w:rFonts w:hint="cs"/>
                <w:b/>
                <w:bCs/>
                <w:sz w:val="18"/>
                <w:szCs w:val="18"/>
                <w:rtl/>
              </w:rPr>
              <w:t>(خامساً</w:t>
            </w:r>
            <w:r w:rsidRPr="00031F01">
              <w:rPr>
                <w:rFonts w:hint="cs"/>
                <w:b/>
                <w:bCs/>
                <w:sz w:val="18"/>
                <w:szCs w:val="18"/>
                <w:rtl/>
              </w:rPr>
              <w:t>) خطة الأعمال</w:t>
            </w:r>
          </w:p>
        </w:tc>
        <w:tc>
          <w:tcPr>
            <w:tcW w:w="635" w:type="pct"/>
            <w:shd w:val="clear" w:color="auto" w:fill="auto"/>
          </w:tcPr>
          <w:p w14:paraId="584AD21C" w14:textId="77777777" w:rsidR="003D0E08" w:rsidRPr="00AD37FF" w:rsidRDefault="00AD37FF" w:rsidP="00DF6BDA">
            <w:pPr>
              <w:bidi/>
              <w:spacing w:after="60"/>
              <w:jc w:val="center"/>
              <w:rPr>
                <w:bCs/>
                <w:sz w:val="18"/>
                <w:szCs w:val="18"/>
              </w:rPr>
            </w:pPr>
            <w:r w:rsidRPr="00AD37FF">
              <w:rPr>
                <w:rFonts w:hint="cs"/>
                <w:bCs/>
                <w:sz w:val="18"/>
                <w:szCs w:val="18"/>
                <w:rtl/>
              </w:rPr>
              <w:t>2020</w:t>
            </w:r>
          </w:p>
        </w:tc>
        <w:tc>
          <w:tcPr>
            <w:tcW w:w="914" w:type="pct"/>
            <w:shd w:val="clear" w:color="auto" w:fill="auto"/>
          </w:tcPr>
          <w:p w14:paraId="496B5DE1" w14:textId="77777777" w:rsidR="003D0E08" w:rsidRPr="00AD37FF" w:rsidRDefault="00AD37FF" w:rsidP="00DF6BDA">
            <w:pPr>
              <w:bidi/>
              <w:spacing w:after="60"/>
              <w:jc w:val="center"/>
              <w:rPr>
                <w:bCs/>
                <w:sz w:val="18"/>
                <w:szCs w:val="18"/>
              </w:rPr>
            </w:pPr>
            <w:r w:rsidRPr="00AD37FF">
              <w:rPr>
                <w:rFonts w:hint="cs"/>
                <w:bCs/>
                <w:sz w:val="18"/>
                <w:szCs w:val="18"/>
                <w:rtl/>
              </w:rPr>
              <w:t>المجموع</w:t>
            </w:r>
          </w:p>
        </w:tc>
      </w:tr>
      <w:tr w:rsidR="003D0E08" w:rsidRPr="00FB3E75" w14:paraId="1C42C5C2" w14:textId="77777777" w:rsidTr="005C7429">
        <w:trPr>
          <w:trHeight w:val="262"/>
        </w:trPr>
        <w:tc>
          <w:tcPr>
            <w:tcW w:w="801" w:type="pct"/>
            <w:vMerge w:val="restart"/>
            <w:shd w:val="clear" w:color="auto" w:fill="auto"/>
          </w:tcPr>
          <w:p w14:paraId="2FB9BAC0" w14:textId="77777777" w:rsidR="00AD37FF" w:rsidRPr="009029C8" w:rsidRDefault="00AD37FF" w:rsidP="00AD37FF">
            <w:pPr>
              <w:bidi/>
              <w:spacing w:after="60"/>
              <w:jc w:val="center"/>
              <w:rPr>
                <w:sz w:val="18"/>
                <w:szCs w:val="18"/>
              </w:rPr>
            </w:pPr>
            <w:r>
              <w:rPr>
                <w:rFonts w:hint="cs"/>
                <w:sz w:val="18"/>
                <w:szCs w:val="18"/>
                <w:rtl/>
              </w:rPr>
              <w:t>ال</w:t>
            </w:r>
            <w:r w:rsidRPr="00AD37FF">
              <w:rPr>
                <w:rFonts w:hint="cs"/>
                <w:sz w:val="18"/>
                <w:szCs w:val="18"/>
                <w:rtl/>
              </w:rPr>
              <w:t>يونيب</w:t>
            </w:r>
          </w:p>
        </w:tc>
        <w:tc>
          <w:tcPr>
            <w:tcW w:w="2649" w:type="pct"/>
            <w:shd w:val="clear" w:color="auto" w:fill="auto"/>
          </w:tcPr>
          <w:p w14:paraId="033E26F4" w14:textId="77777777" w:rsidR="00AD37FF" w:rsidRPr="009029C8" w:rsidRDefault="00AD37FF" w:rsidP="00AD37FF">
            <w:pPr>
              <w:bidi/>
              <w:spacing w:after="60"/>
              <w:rPr>
                <w:sz w:val="18"/>
                <w:szCs w:val="18"/>
              </w:rPr>
            </w:pPr>
            <w:r>
              <w:rPr>
                <w:rFonts w:hint="cs"/>
                <w:color w:val="000000" w:themeColor="text1"/>
                <w:sz w:val="18"/>
                <w:szCs w:val="18"/>
                <w:rtl/>
              </w:rPr>
              <w:t>إزالة المواد المستنفدة للأوزون (طن من قدرات استنفاد الأوزون)</w:t>
            </w:r>
          </w:p>
        </w:tc>
        <w:tc>
          <w:tcPr>
            <w:tcW w:w="635" w:type="pct"/>
            <w:shd w:val="clear" w:color="auto" w:fill="auto"/>
          </w:tcPr>
          <w:p w14:paraId="026911E5" w14:textId="77777777" w:rsidR="00AD37FF" w:rsidRPr="009029C8" w:rsidRDefault="00AD37FF" w:rsidP="00AD37FF">
            <w:pPr>
              <w:bidi/>
              <w:spacing w:after="60"/>
              <w:jc w:val="left"/>
              <w:rPr>
                <w:sz w:val="18"/>
                <w:szCs w:val="18"/>
              </w:rPr>
            </w:pPr>
            <w:r>
              <w:rPr>
                <w:rFonts w:hint="cs"/>
                <w:sz w:val="18"/>
                <w:szCs w:val="18"/>
                <w:rtl/>
              </w:rPr>
              <w:t>0.0</w:t>
            </w:r>
          </w:p>
        </w:tc>
        <w:tc>
          <w:tcPr>
            <w:tcW w:w="914" w:type="pct"/>
            <w:shd w:val="clear" w:color="auto" w:fill="auto"/>
          </w:tcPr>
          <w:p w14:paraId="13E03AF7" w14:textId="77777777" w:rsidR="003D0E08" w:rsidRPr="009029C8" w:rsidRDefault="00AD37FF" w:rsidP="00AD37FF">
            <w:pPr>
              <w:bidi/>
              <w:spacing w:after="60"/>
              <w:jc w:val="left"/>
              <w:rPr>
                <w:sz w:val="18"/>
                <w:szCs w:val="18"/>
              </w:rPr>
            </w:pPr>
            <w:r>
              <w:rPr>
                <w:rFonts w:hint="cs"/>
                <w:sz w:val="18"/>
                <w:szCs w:val="18"/>
                <w:rtl/>
              </w:rPr>
              <w:t>0.0</w:t>
            </w:r>
          </w:p>
        </w:tc>
      </w:tr>
      <w:tr w:rsidR="003D0E08" w:rsidRPr="00FB3E75" w14:paraId="02A9B69B" w14:textId="77777777" w:rsidTr="005C7429">
        <w:trPr>
          <w:trHeight w:val="262"/>
        </w:trPr>
        <w:tc>
          <w:tcPr>
            <w:tcW w:w="801" w:type="pct"/>
            <w:vMerge/>
            <w:shd w:val="clear" w:color="auto" w:fill="auto"/>
          </w:tcPr>
          <w:p w14:paraId="48A95FE3" w14:textId="77777777" w:rsidR="003D0E08" w:rsidRPr="009029C8" w:rsidRDefault="003D0E08" w:rsidP="00DF6BDA">
            <w:pPr>
              <w:bidi/>
              <w:spacing w:after="60"/>
              <w:jc w:val="center"/>
              <w:rPr>
                <w:sz w:val="18"/>
                <w:szCs w:val="18"/>
              </w:rPr>
            </w:pPr>
          </w:p>
        </w:tc>
        <w:tc>
          <w:tcPr>
            <w:tcW w:w="2649" w:type="pct"/>
            <w:shd w:val="clear" w:color="auto" w:fill="auto"/>
          </w:tcPr>
          <w:p w14:paraId="24D068E0" w14:textId="77777777" w:rsidR="003D0E08" w:rsidRPr="009029C8" w:rsidRDefault="00AD37FF" w:rsidP="00DF6BDA">
            <w:pPr>
              <w:bidi/>
              <w:spacing w:after="60"/>
              <w:rPr>
                <w:sz w:val="18"/>
                <w:szCs w:val="18"/>
              </w:rPr>
            </w:pPr>
            <w:r>
              <w:rPr>
                <w:rFonts w:hint="cs"/>
                <w:color w:val="000000" w:themeColor="text1"/>
                <w:sz w:val="18"/>
                <w:szCs w:val="18"/>
                <w:rtl/>
              </w:rPr>
              <w:t>التمويل (دولار أمريكي)</w:t>
            </w:r>
          </w:p>
        </w:tc>
        <w:tc>
          <w:tcPr>
            <w:tcW w:w="635" w:type="pct"/>
            <w:shd w:val="clear" w:color="auto" w:fill="auto"/>
          </w:tcPr>
          <w:p w14:paraId="6A5411F2" w14:textId="77777777" w:rsidR="003D0E08" w:rsidRPr="009029C8" w:rsidRDefault="00AD37FF" w:rsidP="00AD37FF">
            <w:pPr>
              <w:bidi/>
              <w:spacing w:after="60"/>
              <w:jc w:val="left"/>
              <w:rPr>
                <w:sz w:val="18"/>
                <w:szCs w:val="18"/>
              </w:rPr>
            </w:pPr>
            <w:r>
              <w:rPr>
                <w:rFonts w:hint="cs"/>
                <w:sz w:val="18"/>
                <w:szCs w:val="18"/>
                <w:rtl/>
              </w:rPr>
              <w:t>0</w:t>
            </w:r>
          </w:p>
        </w:tc>
        <w:tc>
          <w:tcPr>
            <w:tcW w:w="914" w:type="pct"/>
            <w:shd w:val="clear" w:color="auto" w:fill="auto"/>
          </w:tcPr>
          <w:p w14:paraId="36415013" w14:textId="77777777" w:rsidR="003D0E08" w:rsidRPr="009029C8" w:rsidRDefault="00AD37FF" w:rsidP="00AD37FF">
            <w:pPr>
              <w:bidi/>
              <w:spacing w:after="60"/>
              <w:jc w:val="left"/>
              <w:rPr>
                <w:sz w:val="18"/>
                <w:szCs w:val="18"/>
              </w:rPr>
            </w:pPr>
            <w:r>
              <w:rPr>
                <w:rFonts w:hint="cs"/>
                <w:sz w:val="18"/>
                <w:szCs w:val="18"/>
                <w:rtl/>
              </w:rPr>
              <w:t>0</w:t>
            </w:r>
          </w:p>
        </w:tc>
      </w:tr>
      <w:tr w:rsidR="003D0E08" w:rsidRPr="00FB3E75" w14:paraId="086A4C5E" w14:textId="77777777" w:rsidTr="005C7429">
        <w:trPr>
          <w:trHeight w:val="262"/>
        </w:trPr>
        <w:tc>
          <w:tcPr>
            <w:tcW w:w="801" w:type="pct"/>
            <w:vMerge w:val="restart"/>
            <w:shd w:val="clear" w:color="auto" w:fill="auto"/>
          </w:tcPr>
          <w:p w14:paraId="43CF19A5" w14:textId="77777777" w:rsidR="00AD37FF" w:rsidRPr="009029C8" w:rsidRDefault="00F62252" w:rsidP="00AD37FF">
            <w:pPr>
              <w:bidi/>
              <w:spacing w:after="60"/>
              <w:jc w:val="center"/>
              <w:rPr>
                <w:sz w:val="18"/>
                <w:szCs w:val="18"/>
                <w:rtl/>
                <w:lang w:bidi="ar-AE"/>
              </w:rPr>
            </w:pPr>
            <w:r>
              <w:rPr>
                <w:rFonts w:hint="cs"/>
                <w:sz w:val="18"/>
                <w:szCs w:val="18"/>
                <w:rtl/>
                <w:lang w:bidi="ar-AE"/>
              </w:rPr>
              <w:t>اليونيدو</w:t>
            </w:r>
          </w:p>
        </w:tc>
        <w:tc>
          <w:tcPr>
            <w:tcW w:w="2649" w:type="pct"/>
            <w:shd w:val="clear" w:color="auto" w:fill="auto"/>
          </w:tcPr>
          <w:p w14:paraId="7B17B7C4" w14:textId="77777777" w:rsidR="00AD37FF" w:rsidRPr="009029C8" w:rsidRDefault="00AD37FF" w:rsidP="00AD37FF">
            <w:pPr>
              <w:bidi/>
              <w:spacing w:after="60"/>
              <w:rPr>
                <w:sz w:val="18"/>
                <w:szCs w:val="18"/>
              </w:rPr>
            </w:pPr>
            <w:r>
              <w:rPr>
                <w:rFonts w:hint="cs"/>
                <w:color w:val="000000" w:themeColor="text1"/>
                <w:sz w:val="18"/>
                <w:szCs w:val="18"/>
                <w:rtl/>
              </w:rPr>
              <w:t>إزالة المواد المستنفدة للأوزون (طن من قدرات استنفاد الأوزون)</w:t>
            </w:r>
          </w:p>
        </w:tc>
        <w:tc>
          <w:tcPr>
            <w:tcW w:w="635" w:type="pct"/>
            <w:shd w:val="clear" w:color="auto" w:fill="auto"/>
          </w:tcPr>
          <w:p w14:paraId="57F1CF77" w14:textId="77777777" w:rsidR="003D0E08" w:rsidRPr="009029C8" w:rsidRDefault="00AD37FF" w:rsidP="00AD37FF">
            <w:pPr>
              <w:bidi/>
              <w:spacing w:after="60"/>
              <w:jc w:val="left"/>
              <w:rPr>
                <w:sz w:val="18"/>
                <w:szCs w:val="18"/>
              </w:rPr>
            </w:pPr>
            <w:r>
              <w:rPr>
                <w:rFonts w:hint="cs"/>
                <w:sz w:val="18"/>
                <w:szCs w:val="18"/>
                <w:rtl/>
              </w:rPr>
              <w:t>0.3</w:t>
            </w:r>
          </w:p>
        </w:tc>
        <w:tc>
          <w:tcPr>
            <w:tcW w:w="914" w:type="pct"/>
            <w:shd w:val="clear" w:color="auto" w:fill="auto"/>
          </w:tcPr>
          <w:p w14:paraId="72B0EC68" w14:textId="77777777" w:rsidR="003D0E08" w:rsidRPr="009029C8" w:rsidRDefault="00AD37FF" w:rsidP="00AD37FF">
            <w:pPr>
              <w:bidi/>
              <w:spacing w:after="60"/>
              <w:jc w:val="left"/>
              <w:rPr>
                <w:sz w:val="18"/>
                <w:szCs w:val="18"/>
              </w:rPr>
            </w:pPr>
            <w:r>
              <w:rPr>
                <w:rFonts w:hint="cs"/>
                <w:sz w:val="18"/>
                <w:szCs w:val="18"/>
                <w:rtl/>
              </w:rPr>
              <w:t>0.3</w:t>
            </w:r>
          </w:p>
        </w:tc>
      </w:tr>
      <w:tr w:rsidR="003D0E08" w:rsidRPr="00FB3E75" w14:paraId="17DE2541" w14:textId="77777777" w:rsidTr="005C7429">
        <w:trPr>
          <w:trHeight w:val="262"/>
        </w:trPr>
        <w:tc>
          <w:tcPr>
            <w:tcW w:w="801" w:type="pct"/>
            <w:vMerge/>
            <w:shd w:val="clear" w:color="auto" w:fill="auto"/>
          </w:tcPr>
          <w:p w14:paraId="71006BEA" w14:textId="77777777" w:rsidR="003D0E08" w:rsidRPr="009029C8" w:rsidRDefault="003D0E08" w:rsidP="00DF6BDA">
            <w:pPr>
              <w:bidi/>
              <w:spacing w:after="60"/>
              <w:jc w:val="center"/>
              <w:rPr>
                <w:sz w:val="18"/>
                <w:szCs w:val="18"/>
              </w:rPr>
            </w:pPr>
          </w:p>
        </w:tc>
        <w:tc>
          <w:tcPr>
            <w:tcW w:w="2649" w:type="pct"/>
            <w:shd w:val="clear" w:color="auto" w:fill="auto"/>
          </w:tcPr>
          <w:p w14:paraId="3838F1EF" w14:textId="77777777" w:rsidR="003D0E08" w:rsidRPr="009029C8" w:rsidRDefault="00AD37FF" w:rsidP="00AD37FF">
            <w:pPr>
              <w:bidi/>
              <w:spacing w:after="60"/>
              <w:rPr>
                <w:sz w:val="18"/>
                <w:szCs w:val="18"/>
              </w:rPr>
            </w:pPr>
            <w:r w:rsidRPr="00AD37FF">
              <w:rPr>
                <w:rFonts w:hint="cs"/>
                <w:sz w:val="18"/>
                <w:szCs w:val="18"/>
                <w:rtl/>
              </w:rPr>
              <w:t>التمويل (دولار أمريكي)</w:t>
            </w:r>
          </w:p>
        </w:tc>
        <w:tc>
          <w:tcPr>
            <w:tcW w:w="635" w:type="pct"/>
            <w:shd w:val="clear" w:color="auto" w:fill="auto"/>
          </w:tcPr>
          <w:p w14:paraId="7BA63676" w14:textId="77777777" w:rsidR="00AD37FF" w:rsidRPr="009029C8" w:rsidRDefault="00AD37FF" w:rsidP="00AD37FF">
            <w:pPr>
              <w:bidi/>
              <w:spacing w:after="60"/>
              <w:jc w:val="left"/>
              <w:rPr>
                <w:sz w:val="18"/>
                <w:szCs w:val="18"/>
              </w:rPr>
            </w:pPr>
            <w:r>
              <w:rPr>
                <w:rFonts w:hint="cs"/>
                <w:sz w:val="18"/>
                <w:szCs w:val="18"/>
                <w:rtl/>
              </w:rPr>
              <w:t>35,475</w:t>
            </w:r>
          </w:p>
        </w:tc>
        <w:tc>
          <w:tcPr>
            <w:tcW w:w="914" w:type="pct"/>
            <w:shd w:val="clear" w:color="auto" w:fill="auto"/>
          </w:tcPr>
          <w:p w14:paraId="32844880" w14:textId="77777777" w:rsidR="003D0E08" w:rsidRPr="009029C8" w:rsidRDefault="00AD37FF" w:rsidP="00AD37FF">
            <w:pPr>
              <w:bidi/>
              <w:spacing w:after="60"/>
              <w:jc w:val="left"/>
              <w:rPr>
                <w:sz w:val="18"/>
                <w:szCs w:val="18"/>
              </w:rPr>
            </w:pPr>
            <w:r>
              <w:rPr>
                <w:rFonts w:hint="cs"/>
                <w:sz w:val="18"/>
                <w:szCs w:val="18"/>
                <w:rtl/>
              </w:rPr>
              <w:t>35,475</w:t>
            </w:r>
          </w:p>
        </w:tc>
      </w:tr>
    </w:tbl>
    <w:p w14:paraId="4047DE6B" w14:textId="77777777" w:rsidR="003D0E08" w:rsidRPr="00BD406D" w:rsidRDefault="003D0E08" w:rsidP="003D0E08">
      <w:pPr>
        <w:spacing w:after="60"/>
        <w:jc w:val="center"/>
        <w:rPr>
          <w:sz w:val="12"/>
          <w:szCs w:val="12"/>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50"/>
        <w:gridCol w:w="900"/>
        <w:gridCol w:w="1170"/>
        <w:gridCol w:w="648"/>
        <w:gridCol w:w="648"/>
        <w:gridCol w:w="648"/>
        <w:gridCol w:w="648"/>
        <w:gridCol w:w="648"/>
        <w:gridCol w:w="540"/>
        <w:gridCol w:w="540"/>
        <w:gridCol w:w="630"/>
        <w:gridCol w:w="477"/>
        <w:gridCol w:w="603"/>
        <w:gridCol w:w="720"/>
      </w:tblGrid>
      <w:tr w:rsidR="005D0F34" w:rsidRPr="00FB3E75" w14:paraId="5ECB5567" w14:textId="77777777" w:rsidTr="005D0F34">
        <w:trPr>
          <w:trHeight w:val="291"/>
        </w:trPr>
        <w:tc>
          <w:tcPr>
            <w:tcW w:w="3420" w:type="dxa"/>
            <w:gridSpan w:val="3"/>
            <w:shd w:val="clear" w:color="auto" w:fill="auto"/>
          </w:tcPr>
          <w:p w14:paraId="202C845E" w14:textId="77777777" w:rsidR="003D0E08" w:rsidRPr="00C05957" w:rsidRDefault="00C05957" w:rsidP="00DF6BDA">
            <w:pPr>
              <w:bidi/>
              <w:spacing w:after="60"/>
              <w:rPr>
                <w:b/>
                <w:bCs/>
                <w:sz w:val="18"/>
                <w:szCs w:val="18"/>
              </w:rPr>
            </w:pPr>
            <w:r w:rsidRPr="00C05957">
              <w:rPr>
                <w:rFonts w:hint="cs"/>
                <w:b/>
                <w:bCs/>
                <w:sz w:val="18"/>
                <w:szCs w:val="18"/>
                <w:rtl/>
              </w:rPr>
              <w:t>(سادساً) بيانات المشروع</w:t>
            </w:r>
          </w:p>
        </w:tc>
        <w:tc>
          <w:tcPr>
            <w:tcW w:w="648" w:type="dxa"/>
            <w:shd w:val="clear" w:color="auto" w:fill="auto"/>
            <w:tcMar>
              <w:left w:w="14" w:type="dxa"/>
              <w:right w:w="14" w:type="dxa"/>
            </w:tcMar>
          </w:tcPr>
          <w:p w14:paraId="66DEC74A" w14:textId="77777777" w:rsidR="003D0E08" w:rsidRPr="00C05957" w:rsidRDefault="00C05957" w:rsidP="00DF6BDA">
            <w:pPr>
              <w:bidi/>
              <w:spacing w:after="60"/>
              <w:jc w:val="center"/>
              <w:rPr>
                <w:bCs/>
                <w:sz w:val="18"/>
                <w:szCs w:val="18"/>
              </w:rPr>
            </w:pPr>
            <w:r w:rsidRPr="00C05957">
              <w:rPr>
                <w:rFonts w:hint="cs"/>
                <w:bCs/>
                <w:sz w:val="18"/>
                <w:szCs w:val="18"/>
                <w:rtl/>
              </w:rPr>
              <w:t>2011</w:t>
            </w:r>
          </w:p>
        </w:tc>
        <w:tc>
          <w:tcPr>
            <w:tcW w:w="648" w:type="dxa"/>
            <w:shd w:val="clear" w:color="auto" w:fill="auto"/>
            <w:tcMar>
              <w:left w:w="14" w:type="dxa"/>
              <w:right w:w="14" w:type="dxa"/>
            </w:tcMar>
          </w:tcPr>
          <w:p w14:paraId="0B90441E" w14:textId="77777777" w:rsidR="003D0E08" w:rsidRPr="00C05957" w:rsidRDefault="00C05957" w:rsidP="00DF6BDA">
            <w:pPr>
              <w:bidi/>
              <w:spacing w:after="60"/>
              <w:jc w:val="center"/>
              <w:rPr>
                <w:bCs/>
                <w:sz w:val="18"/>
                <w:szCs w:val="18"/>
              </w:rPr>
            </w:pPr>
            <w:r w:rsidRPr="00C05957">
              <w:rPr>
                <w:rFonts w:hint="cs"/>
                <w:bCs/>
                <w:sz w:val="18"/>
                <w:szCs w:val="18"/>
                <w:rtl/>
              </w:rPr>
              <w:t>2012</w:t>
            </w:r>
          </w:p>
        </w:tc>
        <w:tc>
          <w:tcPr>
            <w:tcW w:w="648" w:type="dxa"/>
            <w:shd w:val="clear" w:color="auto" w:fill="auto"/>
            <w:tcMar>
              <w:left w:w="14" w:type="dxa"/>
              <w:right w:w="14" w:type="dxa"/>
            </w:tcMar>
          </w:tcPr>
          <w:p w14:paraId="3891EB65" w14:textId="77777777" w:rsidR="003D0E08" w:rsidRPr="00C05957" w:rsidRDefault="00C05957" w:rsidP="00DF6BDA">
            <w:pPr>
              <w:bidi/>
              <w:spacing w:after="60"/>
              <w:jc w:val="center"/>
              <w:rPr>
                <w:bCs/>
                <w:sz w:val="18"/>
                <w:szCs w:val="18"/>
              </w:rPr>
            </w:pPr>
            <w:r w:rsidRPr="00C05957">
              <w:rPr>
                <w:rFonts w:hint="cs"/>
                <w:bCs/>
                <w:sz w:val="18"/>
                <w:szCs w:val="18"/>
                <w:rtl/>
              </w:rPr>
              <w:t>2013</w:t>
            </w:r>
          </w:p>
        </w:tc>
        <w:tc>
          <w:tcPr>
            <w:tcW w:w="648" w:type="dxa"/>
            <w:shd w:val="clear" w:color="auto" w:fill="auto"/>
            <w:tcMar>
              <w:left w:w="14" w:type="dxa"/>
              <w:right w:w="14" w:type="dxa"/>
            </w:tcMar>
          </w:tcPr>
          <w:p w14:paraId="510059E2" w14:textId="77777777" w:rsidR="003D0E08" w:rsidRPr="00C05957" w:rsidRDefault="00C05957" w:rsidP="00DF6BDA">
            <w:pPr>
              <w:bidi/>
              <w:spacing w:after="60"/>
              <w:jc w:val="center"/>
              <w:rPr>
                <w:bCs/>
                <w:sz w:val="18"/>
                <w:szCs w:val="18"/>
              </w:rPr>
            </w:pPr>
            <w:r w:rsidRPr="00C05957">
              <w:rPr>
                <w:rFonts w:hint="cs"/>
                <w:bCs/>
                <w:sz w:val="18"/>
                <w:szCs w:val="18"/>
                <w:rtl/>
              </w:rPr>
              <w:t>2014</w:t>
            </w:r>
          </w:p>
        </w:tc>
        <w:tc>
          <w:tcPr>
            <w:tcW w:w="648" w:type="dxa"/>
            <w:shd w:val="clear" w:color="auto" w:fill="auto"/>
            <w:tcMar>
              <w:left w:w="14" w:type="dxa"/>
              <w:right w:w="14" w:type="dxa"/>
            </w:tcMar>
          </w:tcPr>
          <w:p w14:paraId="158504ED" w14:textId="77777777" w:rsidR="003D0E08" w:rsidRPr="00C05957" w:rsidRDefault="00C05957" w:rsidP="00DF6BDA">
            <w:pPr>
              <w:bidi/>
              <w:spacing w:after="60"/>
              <w:jc w:val="center"/>
              <w:rPr>
                <w:bCs/>
                <w:sz w:val="18"/>
                <w:szCs w:val="18"/>
              </w:rPr>
            </w:pPr>
            <w:r w:rsidRPr="00C05957">
              <w:rPr>
                <w:rFonts w:hint="cs"/>
                <w:bCs/>
                <w:sz w:val="18"/>
                <w:szCs w:val="18"/>
                <w:rtl/>
              </w:rPr>
              <w:t>2015</w:t>
            </w:r>
          </w:p>
        </w:tc>
        <w:tc>
          <w:tcPr>
            <w:tcW w:w="540" w:type="dxa"/>
            <w:shd w:val="clear" w:color="auto" w:fill="auto"/>
            <w:tcMar>
              <w:left w:w="14" w:type="dxa"/>
              <w:right w:w="14" w:type="dxa"/>
            </w:tcMar>
          </w:tcPr>
          <w:p w14:paraId="2B1AB910" w14:textId="77777777" w:rsidR="003D0E08" w:rsidRPr="00C05957" w:rsidRDefault="00C05957" w:rsidP="00DF6BDA">
            <w:pPr>
              <w:bidi/>
              <w:spacing w:after="60"/>
              <w:jc w:val="center"/>
              <w:rPr>
                <w:bCs/>
                <w:sz w:val="18"/>
                <w:szCs w:val="18"/>
              </w:rPr>
            </w:pPr>
            <w:r w:rsidRPr="00C05957">
              <w:rPr>
                <w:rFonts w:hint="cs"/>
                <w:bCs/>
                <w:sz w:val="18"/>
                <w:szCs w:val="18"/>
                <w:rtl/>
              </w:rPr>
              <w:t>2016</w:t>
            </w:r>
          </w:p>
        </w:tc>
        <w:tc>
          <w:tcPr>
            <w:tcW w:w="540" w:type="dxa"/>
            <w:shd w:val="clear" w:color="auto" w:fill="auto"/>
            <w:tcMar>
              <w:left w:w="14" w:type="dxa"/>
              <w:right w:w="14" w:type="dxa"/>
            </w:tcMar>
          </w:tcPr>
          <w:p w14:paraId="3B3A60CC" w14:textId="77777777" w:rsidR="003D0E08" w:rsidRPr="00C05957" w:rsidRDefault="00C05957" w:rsidP="00DF6BDA">
            <w:pPr>
              <w:bidi/>
              <w:spacing w:after="60"/>
              <w:jc w:val="center"/>
              <w:rPr>
                <w:bCs/>
                <w:sz w:val="18"/>
                <w:szCs w:val="18"/>
              </w:rPr>
            </w:pPr>
            <w:r w:rsidRPr="00C05957">
              <w:rPr>
                <w:rFonts w:hint="cs"/>
                <w:bCs/>
                <w:sz w:val="18"/>
                <w:szCs w:val="18"/>
                <w:rtl/>
              </w:rPr>
              <w:t>2017</w:t>
            </w:r>
          </w:p>
        </w:tc>
        <w:tc>
          <w:tcPr>
            <w:tcW w:w="630" w:type="dxa"/>
            <w:shd w:val="clear" w:color="auto" w:fill="auto"/>
            <w:tcMar>
              <w:left w:w="14" w:type="dxa"/>
              <w:right w:w="14" w:type="dxa"/>
            </w:tcMar>
          </w:tcPr>
          <w:p w14:paraId="49A03E9C" w14:textId="77777777" w:rsidR="003D0E08" w:rsidRPr="00C05957" w:rsidRDefault="00C05957" w:rsidP="00DF6BDA">
            <w:pPr>
              <w:bidi/>
              <w:spacing w:after="60"/>
              <w:jc w:val="center"/>
              <w:rPr>
                <w:bCs/>
                <w:sz w:val="18"/>
                <w:szCs w:val="18"/>
              </w:rPr>
            </w:pPr>
            <w:r w:rsidRPr="00C05957">
              <w:rPr>
                <w:rFonts w:hint="cs"/>
                <w:bCs/>
                <w:sz w:val="18"/>
                <w:szCs w:val="18"/>
                <w:rtl/>
              </w:rPr>
              <w:t>2018</w:t>
            </w:r>
          </w:p>
        </w:tc>
        <w:tc>
          <w:tcPr>
            <w:tcW w:w="477" w:type="dxa"/>
            <w:shd w:val="clear" w:color="auto" w:fill="auto"/>
            <w:tcMar>
              <w:left w:w="14" w:type="dxa"/>
              <w:right w:w="14" w:type="dxa"/>
            </w:tcMar>
          </w:tcPr>
          <w:p w14:paraId="238ED1F9" w14:textId="77777777" w:rsidR="003D0E08" w:rsidRPr="00C05957" w:rsidRDefault="00C05957" w:rsidP="00DF6BDA">
            <w:pPr>
              <w:bidi/>
              <w:spacing w:after="60"/>
              <w:jc w:val="center"/>
              <w:rPr>
                <w:bCs/>
                <w:sz w:val="18"/>
                <w:szCs w:val="18"/>
              </w:rPr>
            </w:pPr>
            <w:r w:rsidRPr="00C05957">
              <w:rPr>
                <w:rFonts w:hint="cs"/>
                <w:bCs/>
                <w:sz w:val="18"/>
                <w:szCs w:val="18"/>
                <w:rtl/>
              </w:rPr>
              <w:t>2019</w:t>
            </w:r>
          </w:p>
        </w:tc>
        <w:tc>
          <w:tcPr>
            <w:tcW w:w="603" w:type="dxa"/>
            <w:shd w:val="clear" w:color="auto" w:fill="auto"/>
            <w:tcMar>
              <w:left w:w="14" w:type="dxa"/>
              <w:right w:w="14" w:type="dxa"/>
            </w:tcMar>
          </w:tcPr>
          <w:p w14:paraId="3919F521" w14:textId="77777777" w:rsidR="003D0E08" w:rsidRPr="00C05957" w:rsidRDefault="00C05957" w:rsidP="00DF6BDA">
            <w:pPr>
              <w:bidi/>
              <w:spacing w:after="60"/>
              <w:jc w:val="center"/>
              <w:rPr>
                <w:bCs/>
                <w:sz w:val="18"/>
                <w:szCs w:val="18"/>
              </w:rPr>
            </w:pPr>
            <w:r w:rsidRPr="00C05957">
              <w:rPr>
                <w:rFonts w:hint="cs"/>
                <w:bCs/>
                <w:sz w:val="18"/>
                <w:szCs w:val="18"/>
                <w:rtl/>
              </w:rPr>
              <w:t>2020</w:t>
            </w:r>
          </w:p>
        </w:tc>
        <w:tc>
          <w:tcPr>
            <w:tcW w:w="720" w:type="dxa"/>
            <w:shd w:val="clear" w:color="auto" w:fill="auto"/>
            <w:tcMar>
              <w:left w:w="14" w:type="dxa"/>
              <w:right w:w="14" w:type="dxa"/>
            </w:tcMar>
          </w:tcPr>
          <w:p w14:paraId="33DDCB41" w14:textId="77777777" w:rsidR="003D0E08" w:rsidRPr="00C05957" w:rsidRDefault="00C05957" w:rsidP="00DF6BDA">
            <w:pPr>
              <w:bidi/>
              <w:spacing w:after="60"/>
              <w:jc w:val="center"/>
              <w:rPr>
                <w:bCs/>
                <w:sz w:val="18"/>
                <w:szCs w:val="18"/>
              </w:rPr>
            </w:pPr>
            <w:r w:rsidRPr="00C05957">
              <w:rPr>
                <w:rFonts w:hint="cs"/>
                <w:bCs/>
                <w:sz w:val="18"/>
                <w:szCs w:val="18"/>
                <w:rtl/>
              </w:rPr>
              <w:t>المجموع</w:t>
            </w:r>
          </w:p>
        </w:tc>
      </w:tr>
      <w:tr w:rsidR="005D0F34" w:rsidRPr="00FB3E75" w14:paraId="5774478F" w14:textId="77777777" w:rsidTr="005D0F34">
        <w:trPr>
          <w:trHeight w:val="291"/>
        </w:trPr>
        <w:tc>
          <w:tcPr>
            <w:tcW w:w="3420" w:type="dxa"/>
            <w:gridSpan w:val="3"/>
            <w:shd w:val="clear" w:color="auto" w:fill="auto"/>
          </w:tcPr>
          <w:p w14:paraId="399833A0" w14:textId="77777777" w:rsidR="00E6588F" w:rsidRPr="005D0F34" w:rsidRDefault="00E6588F" w:rsidP="00072A7C">
            <w:pPr>
              <w:bidi/>
              <w:spacing w:after="60"/>
              <w:rPr>
                <w:sz w:val="17"/>
                <w:szCs w:val="17"/>
              </w:rPr>
            </w:pPr>
            <w:r w:rsidRPr="005D0F34">
              <w:rPr>
                <w:sz w:val="17"/>
                <w:szCs w:val="17"/>
                <w:rtl/>
                <w:lang w:bidi="ar-AE"/>
              </w:rPr>
              <w:t xml:space="preserve">حدود الاستهلاك </w:t>
            </w:r>
            <w:r w:rsidRPr="005D0F34">
              <w:rPr>
                <w:rFonts w:hint="cs"/>
                <w:sz w:val="17"/>
                <w:szCs w:val="17"/>
                <w:rtl/>
                <w:lang w:bidi="ar-AE"/>
              </w:rPr>
              <w:t xml:space="preserve">بموجب </w:t>
            </w:r>
            <w:r w:rsidRPr="005D0F34">
              <w:rPr>
                <w:sz w:val="17"/>
                <w:szCs w:val="17"/>
                <w:rtl/>
                <w:lang w:bidi="ar-AE"/>
              </w:rPr>
              <w:t>بروتوكول مونتريال</w:t>
            </w:r>
          </w:p>
        </w:tc>
        <w:tc>
          <w:tcPr>
            <w:tcW w:w="648" w:type="dxa"/>
            <w:shd w:val="clear" w:color="auto" w:fill="auto"/>
            <w:tcMar>
              <w:left w:w="14" w:type="dxa"/>
              <w:right w:w="14" w:type="dxa"/>
            </w:tcMar>
          </w:tcPr>
          <w:p w14:paraId="1F01477C" w14:textId="77777777" w:rsidR="00E6588F" w:rsidRPr="005D0F34" w:rsidRDefault="00E6588F" w:rsidP="008F1E3A">
            <w:pPr>
              <w:bidi/>
              <w:spacing w:after="60"/>
              <w:jc w:val="left"/>
              <w:rPr>
                <w:sz w:val="17"/>
                <w:szCs w:val="17"/>
              </w:rPr>
            </w:pPr>
            <w:r w:rsidRPr="005D0F34">
              <w:rPr>
                <w:rFonts w:hint="cs"/>
                <w:sz w:val="17"/>
                <w:szCs w:val="17"/>
                <w:rtl/>
              </w:rPr>
              <w:t>لا ينطبق</w:t>
            </w:r>
          </w:p>
        </w:tc>
        <w:tc>
          <w:tcPr>
            <w:tcW w:w="648" w:type="dxa"/>
            <w:shd w:val="clear" w:color="auto" w:fill="auto"/>
            <w:tcMar>
              <w:left w:w="14" w:type="dxa"/>
              <w:right w:w="14" w:type="dxa"/>
            </w:tcMar>
          </w:tcPr>
          <w:p w14:paraId="0F202908" w14:textId="77777777" w:rsidR="00E6588F" w:rsidRPr="005D0F34" w:rsidRDefault="00E6588F" w:rsidP="00A353E9">
            <w:pPr>
              <w:bidi/>
              <w:spacing w:after="60"/>
              <w:jc w:val="left"/>
              <w:rPr>
                <w:sz w:val="17"/>
                <w:szCs w:val="17"/>
              </w:rPr>
            </w:pPr>
            <w:r w:rsidRPr="005D0F34">
              <w:rPr>
                <w:rFonts w:hint="cs"/>
                <w:sz w:val="17"/>
                <w:szCs w:val="17"/>
                <w:rtl/>
              </w:rPr>
              <w:t>لا ينطبق</w:t>
            </w:r>
          </w:p>
        </w:tc>
        <w:tc>
          <w:tcPr>
            <w:tcW w:w="648" w:type="dxa"/>
            <w:shd w:val="clear" w:color="auto" w:fill="auto"/>
            <w:tcMar>
              <w:left w:w="14" w:type="dxa"/>
              <w:right w:w="14" w:type="dxa"/>
            </w:tcMar>
          </w:tcPr>
          <w:p w14:paraId="5FD2C83C" w14:textId="77777777" w:rsidR="00E6588F" w:rsidRPr="005D0F34" w:rsidRDefault="00E6588F" w:rsidP="00E6588F">
            <w:pPr>
              <w:bidi/>
              <w:spacing w:after="60"/>
              <w:jc w:val="left"/>
              <w:rPr>
                <w:sz w:val="17"/>
                <w:szCs w:val="17"/>
              </w:rPr>
            </w:pPr>
            <w:r w:rsidRPr="005D0F34">
              <w:rPr>
                <w:rFonts w:hint="cs"/>
                <w:sz w:val="17"/>
                <w:szCs w:val="17"/>
                <w:rtl/>
              </w:rPr>
              <w:t>8.3</w:t>
            </w:r>
          </w:p>
        </w:tc>
        <w:tc>
          <w:tcPr>
            <w:tcW w:w="648" w:type="dxa"/>
            <w:shd w:val="clear" w:color="auto" w:fill="auto"/>
            <w:tcMar>
              <w:left w:w="14" w:type="dxa"/>
              <w:right w:w="14" w:type="dxa"/>
            </w:tcMar>
          </w:tcPr>
          <w:p w14:paraId="345885B5" w14:textId="77777777" w:rsidR="00E6588F" w:rsidRPr="005D0F34" w:rsidRDefault="00E6588F" w:rsidP="00A353E9">
            <w:pPr>
              <w:bidi/>
              <w:spacing w:after="60"/>
              <w:jc w:val="left"/>
              <w:rPr>
                <w:sz w:val="17"/>
                <w:szCs w:val="17"/>
              </w:rPr>
            </w:pPr>
            <w:r w:rsidRPr="005D0F34">
              <w:rPr>
                <w:rFonts w:hint="cs"/>
                <w:sz w:val="17"/>
                <w:szCs w:val="17"/>
                <w:rtl/>
              </w:rPr>
              <w:t>8.3</w:t>
            </w:r>
          </w:p>
        </w:tc>
        <w:tc>
          <w:tcPr>
            <w:tcW w:w="648" w:type="dxa"/>
            <w:shd w:val="clear" w:color="auto" w:fill="auto"/>
            <w:tcMar>
              <w:left w:w="14" w:type="dxa"/>
              <w:right w:w="14" w:type="dxa"/>
            </w:tcMar>
          </w:tcPr>
          <w:p w14:paraId="430E3769" w14:textId="77777777" w:rsidR="00E6588F" w:rsidRPr="005D0F34" w:rsidRDefault="00E6588F" w:rsidP="00E6588F">
            <w:pPr>
              <w:bidi/>
              <w:spacing w:after="60"/>
              <w:jc w:val="left"/>
              <w:rPr>
                <w:sz w:val="17"/>
                <w:szCs w:val="17"/>
              </w:rPr>
            </w:pPr>
            <w:r w:rsidRPr="005D0F34">
              <w:rPr>
                <w:rFonts w:hint="cs"/>
                <w:sz w:val="17"/>
                <w:szCs w:val="17"/>
                <w:rtl/>
              </w:rPr>
              <w:t>7.5</w:t>
            </w:r>
          </w:p>
        </w:tc>
        <w:tc>
          <w:tcPr>
            <w:tcW w:w="540" w:type="dxa"/>
            <w:shd w:val="clear" w:color="auto" w:fill="auto"/>
            <w:tcMar>
              <w:left w:w="14" w:type="dxa"/>
              <w:right w:w="14" w:type="dxa"/>
            </w:tcMar>
          </w:tcPr>
          <w:p w14:paraId="13709C00" w14:textId="77777777" w:rsidR="00E6588F" w:rsidRPr="005D0F34" w:rsidRDefault="00E6588F" w:rsidP="00A353E9">
            <w:pPr>
              <w:bidi/>
              <w:spacing w:after="60"/>
              <w:jc w:val="left"/>
              <w:rPr>
                <w:sz w:val="17"/>
                <w:szCs w:val="17"/>
              </w:rPr>
            </w:pPr>
            <w:r w:rsidRPr="005D0F34">
              <w:rPr>
                <w:rFonts w:hint="cs"/>
                <w:sz w:val="17"/>
                <w:szCs w:val="17"/>
                <w:rtl/>
              </w:rPr>
              <w:t>7.5</w:t>
            </w:r>
          </w:p>
        </w:tc>
        <w:tc>
          <w:tcPr>
            <w:tcW w:w="540" w:type="dxa"/>
            <w:shd w:val="clear" w:color="auto" w:fill="auto"/>
            <w:tcMar>
              <w:left w:w="14" w:type="dxa"/>
              <w:right w:w="14" w:type="dxa"/>
            </w:tcMar>
          </w:tcPr>
          <w:p w14:paraId="621D7235" w14:textId="77777777" w:rsidR="00E6588F" w:rsidRPr="005D0F34" w:rsidRDefault="00E6588F" w:rsidP="00A353E9">
            <w:pPr>
              <w:bidi/>
              <w:spacing w:after="60"/>
              <w:jc w:val="left"/>
              <w:rPr>
                <w:sz w:val="17"/>
                <w:szCs w:val="17"/>
              </w:rPr>
            </w:pPr>
            <w:r w:rsidRPr="005D0F34">
              <w:rPr>
                <w:rFonts w:hint="cs"/>
                <w:sz w:val="17"/>
                <w:szCs w:val="17"/>
                <w:rtl/>
              </w:rPr>
              <w:t>7.5</w:t>
            </w:r>
          </w:p>
        </w:tc>
        <w:tc>
          <w:tcPr>
            <w:tcW w:w="630" w:type="dxa"/>
            <w:shd w:val="clear" w:color="auto" w:fill="auto"/>
            <w:tcMar>
              <w:left w:w="14" w:type="dxa"/>
              <w:right w:w="14" w:type="dxa"/>
            </w:tcMar>
          </w:tcPr>
          <w:p w14:paraId="1EB33CAA" w14:textId="77777777" w:rsidR="00E6588F" w:rsidRPr="005D0F34" w:rsidRDefault="00E6588F" w:rsidP="00A353E9">
            <w:pPr>
              <w:bidi/>
              <w:spacing w:after="60"/>
              <w:jc w:val="left"/>
              <w:rPr>
                <w:sz w:val="17"/>
                <w:szCs w:val="17"/>
              </w:rPr>
            </w:pPr>
            <w:r w:rsidRPr="005D0F34">
              <w:rPr>
                <w:rFonts w:hint="cs"/>
                <w:sz w:val="17"/>
                <w:szCs w:val="17"/>
                <w:rtl/>
              </w:rPr>
              <w:t>7.5</w:t>
            </w:r>
          </w:p>
        </w:tc>
        <w:tc>
          <w:tcPr>
            <w:tcW w:w="477" w:type="dxa"/>
            <w:shd w:val="clear" w:color="auto" w:fill="auto"/>
            <w:tcMar>
              <w:left w:w="14" w:type="dxa"/>
              <w:right w:w="14" w:type="dxa"/>
            </w:tcMar>
          </w:tcPr>
          <w:p w14:paraId="5D2AFE54" w14:textId="77777777" w:rsidR="00E6588F" w:rsidRPr="005D0F34" w:rsidRDefault="00E6588F" w:rsidP="00A353E9">
            <w:pPr>
              <w:bidi/>
              <w:spacing w:after="60"/>
              <w:jc w:val="left"/>
              <w:rPr>
                <w:sz w:val="17"/>
                <w:szCs w:val="17"/>
              </w:rPr>
            </w:pPr>
            <w:r w:rsidRPr="005D0F34">
              <w:rPr>
                <w:rFonts w:hint="cs"/>
                <w:sz w:val="17"/>
                <w:szCs w:val="17"/>
                <w:rtl/>
              </w:rPr>
              <w:t>7.5</w:t>
            </w:r>
          </w:p>
        </w:tc>
        <w:tc>
          <w:tcPr>
            <w:tcW w:w="603" w:type="dxa"/>
            <w:shd w:val="clear" w:color="auto" w:fill="auto"/>
            <w:tcMar>
              <w:left w:w="14" w:type="dxa"/>
              <w:right w:w="14" w:type="dxa"/>
            </w:tcMar>
          </w:tcPr>
          <w:p w14:paraId="556BBBAC" w14:textId="77777777" w:rsidR="00E6588F" w:rsidRPr="005D0F34" w:rsidRDefault="00E6588F" w:rsidP="00E6588F">
            <w:pPr>
              <w:bidi/>
              <w:spacing w:after="60"/>
              <w:jc w:val="left"/>
              <w:rPr>
                <w:sz w:val="17"/>
                <w:szCs w:val="17"/>
              </w:rPr>
            </w:pPr>
            <w:r w:rsidRPr="005D0F34">
              <w:rPr>
                <w:rFonts w:hint="cs"/>
                <w:sz w:val="17"/>
                <w:szCs w:val="17"/>
                <w:rtl/>
              </w:rPr>
              <w:t>5.4</w:t>
            </w:r>
          </w:p>
        </w:tc>
        <w:tc>
          <w:tcPr>
            <w:tcW w:w="720" w:type="dxa"/>
            <w:shd w:val="clear" w:color="auto" w:fill="auto"/>
            <w:tcMar>
              <w:left w:w="14" w:type="dxa"/>
              <w:right w:w="14" w:type="dxa"/>
            </w:tcMar>
          </w:tcPr>
          <w:p w14:paraId="210BA98D" w14:textId="77777777" w:rsidR="00E6588F" w:rsidRPr="005D0F34" w:rsidRDefault="00E6588F" w:rsidP="00A353E9">
            <w:pPr>
              <w:bidi/>
              <w:spacing w:after="60"/>
              <w:jc w:val="left"/>
              <w:rPr>
                <w:sz w:val="17"/>
                <w:szCs w:val="17"/>
              </w:rPr>
            </w:pPr>
            <w:r w:rsidRPr="005D0F34">
              <w:rPr>
                <w:rFonts w:hint="cs"/>
                <w:sz w:val="17"/>
                <w:szCs w:val="17"/>
                <w:rtl/>
              </w:rPr>
              <w:t>لا ينطبق</w:t>
            </w:r>
          </w:p>
        </w:tc>
      </w:tr>
      <w:tr w:rsidR="005D0F34" w:rsidRPr="00FB3E75" w14:paraId="01CC9D5C" w14:textId="77777777" w:rsidTr="005D0F34">
        <w:trPr>
          <w:trHeight w:val="291"/>
        </w:trPr>
        <w:tc>
          <w:tcPr>
            <w:tcW w:w="3420" w:type="dxa"/>
            <w:gridSpan w:val="3"/>
            <w:shd w:val="clear" w:color="auto" w:fill="auto"/>
          </w:tcPr>
          <w:p w14:paraId="22EA21C7" w14:textId="77777777" w:rsidR="00E6588F" w:rsidRPr="005D0F34" w:rsidRDefault="00E6588F" w:rsidP="004055D6">
            <w:pPr>
              <w:bidi/>
              <w:spacing w:after="60"/>
              <w:jc w:val="left"/>
              <w:rPr>
                <w:sz w:val="17"/>
                <w:szCs w:val="17"/>
              </w:rPr>
            </w:pPr>
            <w:r w:rsidRPr="005D0F34">
              <w:rPr>
                <w:rFonts w:hint="cs"/>
                <w:color w:val="000000" w:themeColor="text1"/>
                <w:sz w:val="17"/>
                <w:szCs w:val="17"/>
                <w:rtl/>
              </w:rPr>
              <w:t>الحد الأقصى للاستهلاك المسموح به (طن من قدرات استنفاد الأوزون)</w:t>
            </w:r>
          </w:p>
        </w:tc>
        <w:tc>
          <w:tcPr>
            <w:tcW w:w="648" w:type="dxa"/>
            <w:shd w:val="clear" w:color="auto" w:fill="auto"/>
            <w:tcMar>
              <w:left w:w="14" w:type="dxa"/>
              <w:right w:w="14" w:type="dxa"/>
            </w:tcMar>
          </w:tcPr>
          <w:p w14:paraId="0B1E8731" w14:textId="77777777" w:rsidR="00E6588F" w:rsidRPr="005D0F34" w:rsidRDefault="00E6588F" w:rsidP="00A353E9">
            <w:pPr>
              <w:bidi/>
              <w:spacing w:after="60"/>
              <w:jc w:val="left"/>
              <w:rPr>
                <w:sz w:val="17"/>
                <w:szCs w:val="17"/>
              </w:rPr>
            </w:pPr>
            <w:r w:rsidRPr="005D0F34">
              <w:rPr>
                <w:rFonts w:hint="cs"/>
                <w:sz w:val="17"/>
                <w:szCs w:val="17"/>
                <w:rtl/>
              </w:rPr>
              <w:t>لا ينطبق</w:t>
            </w:r>
          </w:p>
        </w:tc>
        <w:tc>
          <w:tcPr>
            <w:tcW w:w="648" w:type="dxa"/>
            <w:shd w:val="clear" w:color="auto" w:fill="auto"/>
            <w:tcMar>
              <w:left w:w="14" w:type="dxa"/>
              <w:right w:w="14" w:type="dxa"/>
            </w:tcMar>
          </w:tcPr>
          <w:p w14:paraId="2D35299C" w14:textId="77777777" w:rsidR="00E6588F" w:rsidRPr="005D0F34" w:rsidRDefault="00E6588F" w:rsidP="00A353E9">
            <w:pPr>
              <w:bidi/>
              <w:spacing w:after="60"/>
              <w:jc w:val="left"/>
              <w:rPr>
                <w:sz w:val="17"/>
                <w:szCs w:val="17"/>
              </w:rPr>
            </w:pPr>
            <w:r w:rsidRPr="005D0F34">
              <w:rPr>
                <w:rFonts w:hint="cs"/>
                <w:sz w:val="17"/>
                <w:szCs w:val="17"/>
                <w:rtl/>
              </w:rPr>
              <w:t>لا ينطبق</w:t>
            </w:r>
          </w:p>
        </w:tc>
        <w:tc>
          <w:tcPr>
            <w:tcW w:w="648" w:type="dxa"/>
            <w:shd w:val="clear" w:color="auto" w:fill="auto"/>
            <w:tcMar>
              <w:left w:w="14" w:type="dxa"/>
              <w:right w:w="14" w:type="dxa"/>
            </w:tcMar>
          </w:tcPr>
          <w:p w14:paraId="6B8A1219" w14:textId="77777777" w:rsidR="00E6588F" w:rsidRPr="005D0F34" w:rsidRDefault="00E6588F" w:rsidP="00A353E9">
            <w:pPr>
              <w:bidi/>
              <w:spacing w:after="60"/>
              <w:jc w:val="left"/>
              <w:rPr>
                <w:sz w:val="17"/>
                <w:szCs w:val="17"/>
              </w:rPr>
            </w:pPr>
            <w:r w:rsidRPr="005D0F34">
              <w:rPr>
                <w:rFonts w:hint="cs"/>
                <w:sz w:val="17"/>
                <w:szCs w:val="17"/>
                <w:rtl/>
              </w:rPr>
              <w:t>8.3</w:t>
            </w:r>
          </w:p>
        </w:tc>
        <w:tc>
          <w:tcPr>
            <w:tcW w:w="648" w:type="dxa"/>
            <w:shd w:val="clear" w:color="auto" w:fill="auto"/>
            <w:tcMar>
              <w:left w:w="14" w:type="dxa"/>
              <w:right w:w="14" w:type="dxa"/>
            </w:tcMar>
          </w:tcPr>
          <w:p w14:paraId="2AE52D6A" w14:textId="77777777" w:rsidR="00E6588F" w:rsidRPr="005D0F34" w:rsidRDefault="00E6588F" w:rsidP="00A353E9">
            <w:pPr>
              <w:bidi/>
              <w:spacing w:after="60"/>
              <w:jc w:val="left"/>
              <w:rPr>
                <w:sz w:val="17"/>
                <w:szCs w:val="17"/>
              </w:rPr>
            </w:pPr>
            <w:r w:rsidRPr="005D0F34">
              <w:rPr>
                <w:rFonts w:hint="cs"/>
                <w:sz w:val="17"/>
                <w:szCs w:val="17"/>
                <w:rtl/>
              </w:rPr>
              <w:t>8.3</w:t>
            </w:r>
          </w:p>
        </w:tc>
        <w:tc>
          <w:tcPr>
            <w:tcW w:w="648" w:type="dxa"/>
            <w:shd w:val="clear" w:color="auto" w:fill="auto"/>
            <w:tcMar>
              <w:left w:w="14" w:type="dxa"/>
              <w:right w:w="14" w:type="dxa"/>
            </w:tcMar>
          </w:tcPr>
          <w:p w14:paraId="350BF760" w14:textId="77777777" w:rsidR="00E6588F" w:rsidRPr="005D0F34" w:rsidRDefault="00E6588F" w:rsidP="00A353E9">
            <w:pPr>
              <w:bidi/>
              <w:spacing w:after="60"/>
              <w:jc w:val="left"/>
              <w:rPr>
                <w:sz w:val="17"/>
                <w:szCs w:val="17"/>
              </w:rPr>
            </w:pPr>
            <w:r w:rsidRPr="005D0F34">
              <w:rPr>
                <w:rFonts w:hint="cs"/>
                <w:sz w:val="17"/>
                <w:szCs w:val="17"/>
                <w:rtl/>
              </w:rPr>
              <w:t>7.5</w:t>
            </w:r>
          </w:p>
        </w:tc>
        <w:tc>
          <w:tcPr>
            <w:tcW w:w="540" w:type="dxa"/>
            <w:shd w:val="clear" w:color="auto" w:fill="auto"/>
            <w:tcMar>
              <w:left w:w="14" w:type="dxa"/>
              <w:right w:w="14" w:type="dxa"/>
            </w:tcMar>
          </w:tcPr>
          <w:p w14:paraId="271DFCBC" w14:textId="77777777" w:rsidR="00E6588F" w:rsidRPr="005D0F34" w:rsidRDefault="00E6588F" w:rsidP="00A353E9">
            <w:pPr>
              <w:bidi/>
              <w:spacing w:after="60"/>
              <w:jc w:val="left"/>
              <w:rPr>
                <w:sz w:val="17"/>
                <w:szCs w:val="17"/>
              </w:rPr>
            </w:pPr>
            <w:r w:rsidRPr="005D0F34">
              <w:rPr>
                <w:rFonts w:hint="cs"/>
                <w:sz w:val="17"/>
                <w:szCs w:val="17"/>
                <w:rtl/>
              </w:rPr>
              <w:t>7.5</w:t>
            </w:r>
          </w:p>
        </w:tc>
        <w:tc>
          <w:tcPr>
            <w:tcW w:w="540" w:type="dxa"/>
            <w:shd w:val="clear" w:color="auto" w:fill="auto"/>
            <w:tcMar>
              <w:left w:w="14" w:type="dxa"/>
              <w:right w:w="14" w:type="dxa"/>
            </w:tcMar>
          </w:tcPr>
          <w:p w14:paraId="4475907D" w14:textId="77777777" w:rsidR="00E6588F" w:rsidRPr="005D0F34" w:rsidRDefault="00E6588F" w:rsidP="00A353E9">
            <w:pPr>
              <w:bidi/>
              <w:spacing w:after="60"/>
              <w:jc w:val="left"/>
              <w:rPr>
                <w:sz w:val="17"/>
                <w:szCs w:val="17"/>
              </w:rPr>
            </w:pPr>
            <w:r w:rsidRPr="005D0F34">
              <w:rPr>
                <w:rFonts w:hint="cs"/>
                <w:sz w:val="17"/>
                <w:szCs w:val="17"/>
                <w:rtl/>
              </w:rPr>
              <w:t>7.5</w:t>
            </w:r>
          </w:p>
        </w:tc>
        <w:tc>
          <w:tcPr>
            <w:tcW w:w="630" w:type="dxa"/>
            <w:shd w:val="clear" w:color="auto" w:fill="auto"/>
            <w:tcMar>
              <w:left w:w="14" w:type="dxa"/>
              <w:right w:w="14" w:type="dxa"/>
            </w:tcMar>
          </w:tcPr>
          <w:p w14:paraId="6D34DD3B" w14:textId="77777777" w:rsidR="00E6588F" w:rsidRPr="005D0F34" w:rsidRDefault="00E6588F" w:rsidP="00A353E9">
            <w:pPr>
              <w:bidi/>
              <w:spacing w:after="60"/>
              <w:jc w:val="left"/>
              <w:rPr>
                <w:sz w:val="17"/>
                <w:szCs w:val="17"/>
              </w:rPr>
            </w:pPr>
            <w:r w:rsidRPr="005D0F34">
              <w:rPr>
                <w:rFonts w:hint="cs"/>
                <w:sz w:val="17"/>
                <w:szCs w:val="17"/>
                <w:rtl/>
              </w:rPr>
              <w:t>7.5</w:t>
            </w:r>
          </w:p>
        </w:tc>
        <w:tc>
          <w:tcPr>
            <w:tcW w:w="477" w:type="dxa"/>
            <w:shd w:val="clear" w:color="auto" w:fill="auto"/>
            <w:tcMar>
              <w:left w:w="14" w:type="dxa"/>
              <w:right w:w="14" w:type="dxa"/>
            </w:tcMar>
          </w:tcPr>
          <w:p w14:paraId="201807C3" w14:textId="77777777" w:rsidR="00E6588F" w:rsidRPr="005D0F34" w:rsidRDefault="00E6588F" w:rsidP="00A353E9">
            <w:pPr>
              <w:bidi/>
              <w:spacing w:after="60"/>
              <w:jc w:val="left"/>
              <w:rPr>
                <w:sz w:val="17"/>
                <w:szCs w:val="17"/>
              </w:rPr>
            </w:pPr>
            <w:r w:rsidRPr="005D0F34">
              <w:rPr>
                <w:rFonts w:hint="cs"/>
                <w:sz w:val="17"/>
                <w:szCs w:val="17"/>
                <w:rtl/>
              </w:rPr>
              <w:t>7.5</w:t>
            </w:r>
          </w:p>
        </w:tc>
        <w:tc>
          <w:tcPr>
            <w:tcW w:w="603" w:type="dxa"/>
            <w:shd w:val="clear" w:color="auto" w:fill="auto"/>
            <w:tcMar>
              <w:left w:w="14" w:type="dxa"/>
              <w:right w:w="14" w:type="dxa"/>
            </w:tcMar>
          </w:tcPr>
          <w:p w14:paraId="54EE89E6" w14:textId="77777777" w:rsidR="00E6588F" w:rsidRPr="005D0F34" w:rsidRDefault="00E6588F" w:rsidP="00A353E9">
            <w:pPr>
              <w:bidi/>
              <w:spacing w:after="60"/>
              <w:jc w:val="left"/>
              <w:rPr>
                <w:sz w:val="17"/>
                <w:szCs w:val="17"/>
              </w:rPr>
            </w:pPr>
            <w:r w:rsidRPr="005D0F34">
              <w:rPr>
                <w:rFonts w:hint="cs"/>
                <w:sz w:val="17"/>
                <w:szCs w:val="17"/>
                <w:rtl/>
              </w:rPr>
              <w:t>5.4</w:t>
            </w:r>
          </w:p>
        </w:tc>
        <w:tc>
          <w:tcPr>
            <w:tcW w:w="720" w:type="dxa"/>
            <w:shd w:val="clear" w:color="auto" w:fill="auto"/>
            <w:tcMar>
              <w:left w:w="14" w:type="dxa"/>
              <w:right w:w="14" w:type="dxa"/>
            </w:tcMar>
          </w:tcPr>
          <w:p w14:paraId="5E2D1006" w14:textId="77777777" w:rsidR="00E6588F" w:rsidRPr="005D0F34" w:rsidRDefault="00E6588F" w:rsidP="00A353E9">
            <w:pPr>
              <w:bidi/>
              <w:spacing w:after="60"/>
              <w:jc w:val="left"/>
              <w:rPr>
                <w:sz w:val="17"/>
                <w:szCs w:val="17"/>
              </w:rPr>
            </w:pPr>
            <w:r w:rsidRPr="005D0F34">
              <w:rPr>
                <w:rFonts w:hint="cs"/>
                <w:sz w:val="17"/>
                <w:szCs w:val="17"/>
                <w:rtl/>
              </w:rPr>
              <w:t>لا ينطبق</w:t>
            </w:r>
          </w:p>
        </w:tc>
      </w:tr>
      <w:tr w:rsidR="005D0F34" w:rsidRPr="00FB3E75" w14:paraId="4C9A2F6B" w14:textId="77777777" w:rsidTr="005D0F34">
        <w:trPr>
          <w:trHeight w:val="291"/>
        </w:trPr>
        <w:tc>
          <w:tcPr>
            <w:tcW w:w="1350" w:type="dxa"/>
            <w:vMerge w:val="restart"/>
            <w:shd w:val="clear" w:color="auto" w:fill="auto"/>
          </w:tcPr>
          <w:p w14:paraId="21BD8A78" w14:textId="77777777" w:rsidR="00AA52EB" w:rsidRPr="005D0F34" w:rsidRDefault="00AA52EB" w:rsidP="00DF6BDA">
            <w:pPr>
              <w:bidi/>
              <w:spacing w:after="60"/>
              <w:rPr>
                <w:sz w:val="17"/>
                <w:szCs w:val="17"/>
              </w:rPr>
            </w:pPr>
            <w:r w:rsidRPr="005D0F34">
              <w:rPr>
                <w:rFonts w:hint="cs"/>
                <w:sz w:val="17"/>
                <w:szCs w:val="17"/>
                <w:rtl/>
              </w:rPr>
              <w:t>التمويل الموافق عليه (دولار أمريكي)</w:t>
            </w:r>
          </w:p>
        </w:tc>
        <w:tc>
          <w:tcPr>
            <w:tcW w:w="900" w:type="dxa"/>
            <w:vMerge w:val="restart"/>
            <w:shd w:val="clear" w:color="auto" w:fill="auto"/>
          </w:tcPr>
          <w:p w14:paraId="7F75F256" w14:textId="77777777" w:rsidR="00AA52EB" w:rsidRPr="005D0F34" w:rsidRDefault="00AA52EB" w:rsidP="00DF6BDA">
            <w:pPr>
              <w:bidi/>
              <w:spacing w:after="60"/>
              <w:jc w:val="center"/>
              <w:rPr>
                <w:sz w:val="17"/>
                <w:szCs w:val="17"/>
              </w:rPr>
            </w:pPr>
            <w:r w:rsidRPr="005D0F34">
              <w:rPr>
                <w:rFonts w:hint="cs"/>
                <w:sz w:val="17"/>
                <w:szCs w:val="17"/>
                <w:rtl/>
              </w:rPr>
              <w:t>اليونيب*</w:t>
            </w:r>
          </w:p>
        </w:tc>
        <w:tc>
          <w:tcPr>
            <w:tcW w:w="1170" w:type="dxa"/>
            <w:shd w:val="clear" w:color="auto" w:fill="auto"/>
          </w:tcPr>
          <w:p w14:paraId="6ADECECA" w14:textId="77777777" w:rsidR="00AA52EB" w:rsidRPr="005D0F34" w:rsidRDefault="00AA52EB" w:rsidP="00DF6BDA">
            <w:pPr>
              <w:bidi/>
              <w:spacing w:after="60"/>
              <w:rPr>
                <w:sz w:val="17"/>
                <w:szCs w:val="17"/>
              </w:rPr>
            </w:pPr>
            <w:r w:rsidRPr="005D0F34">
              <w:rPr>
                <w:rFonts w:hint="cs"/>
                <w:sz w:val="17"/>
                <w:szCs w:val="17"/>
                <w:rtl/>
              </w:rPr>
              <w:t>تكاليف المشروع</w:t>
            </w:r>
          </w:p>
        </w:tc>
        <w:tc>
          <w:tcPr>
            <w:tcW w:w="648" w:type="dxa"/>
            <w:shd w:val="clear" w:color="auto" w:fill="auto"/>
            <w:tcMar>
              <w:left w:w="14" w:type="dxa"/>
              <w:right w:w="14" w:type="dxa"/>
            </w:tcMar>
          </w:tcPr>
          <w:p w14:paraId="00B01DD6" w14:textId="77777777" w:rsidR="00AA52EB" w:rsidRPr="005D0F34" w:rsidRDefault="00AA52EB" w:rsidP="00AA52EB">
            <w:pPr>
              <w:bidi/>
              <w:spacing w:after="60"/>
              <w:jc w:val="left"/>
              <w:rPr>
                <w:sz w:val="17"/>
                <w:szCs w:val="17"/>
              </w:rPr>
            </w:pPr>
            <w:r w:rsidRPr="005D0F34">
              <w:rPr>
                <w:rFonts w:hint="cs"/>
                <w:sz w:val="17"/>
                <w:szCs w:val="17"/>
                <w:rtl/>
              </w:rPr>
              <w:t>28,250</w:t>
            </w:r>
          </w:p>
        </w:tc>
        <w:tc>
          <w:tcPr>
            <w:tcW w:w="648" w:type="dxa"/>
            <w:shd w:val="clear" w:color="auto" w:fill="auto"/>
            <w:tcMar>
              <w:left w:w="14" w:type="dxa"/>
              <w:right w:w="14" w:type="dxa"/>
            </w:tcMar>
          </w:tcPr>
          <w:p w14:paraId="7F75575B" w14:textId="77777777" w:rsidR="00AA52EB" w:rsidRPr="005D0F34" w:rsidRDefault="00AA52EB" w:rsidP="008F1E3A">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53A53C3D"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0504D10C"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24D46784" w14:textId="77777777" w:rsidR="00DF215F" w:rsidRPr="005D0F34" w:rsidRDefault="00DF215F" w:rsidP="00DF215F">
            <w:pPr>
              <w:bidi/>
              <w:spacing w:after="60"/>
              <w:jc w:val="left"/>
              <w:rPr>
                <w:sz w:val="17"/>
                <w:szCs w:val="17"/>
              </w:rPr>
            </w:pPr>
            <w:r w:rsidRPr="005D0F34">
              <w:rPr>
                <w:rFonts w:hint="cs"/>
                <w:sz w:val="17"/>
                <w:szCs w:val="17"/>
                <w:rtl/>
              </w:rPr>
              <w:t>*30,184</w:t>
            </w:r>
          </w:p>
        </w:tc>
        <w:tc>
          <w:tcPr>
            <w:tcW w:w="540" w:type="dxa"/>
            <w:shd w:val="clear" w:color="auto" w:fill="auto"/>
            <w:tcMar>
              <w:left w:w="14" w:type="dxa"/>
              <w:right w:w="14" w:type="dxa"/>
            </w:tcMar>
          </w:tcPr>
          <w:p w14:paraId="0394089A"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611AA0A9"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55924D62" w14:textId="77777777" w:rsidR="003E2C19" w:rsidRPr="005D0F34" w:rsidRDefault="003E2C19" w:rsidP="003E2C19">
            <w:pPr>
              <w:bidi/>
              <w:spacing w:after="60"/>
              <w:jc w:val="left"/>
              <w:rPr>
                <w:sz w:val="17"/>
                <w:szCs w:val="17"/>
              </w:rPr>
            </w:pPr>
            <w:r w:rsidRPr="005D0F34">
              <w:rPr>
                <w:rFonts w:hint="cs"/>
                <w:sz w:val="17"/>
                <w:szCs w:val="17"/>
                <w:rtl/>
              </w:rPr>
              <w:t>23,250</w:t>
            </w:r>
          </w:p>
        </w:tc>
        <w:tc>
          <w:tcPr>
            <w:tcW w:w="477" w:type="dxa"/>
            <w:shd w:val="clear" w:color="auto" w:fill="auto"/>
            <w:tcMar>
              <w:left w:w="14" w:type="dxa"/>
              <w:right w:w="14" w:type="dxa"/>
            </w:tcMar>
          </w:tcPr>
          <w:p w14:paraId="68AF8835"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310950C4" w14:textId="77777777" w:rsidR="00AA52EB" w:rsidRPr="005D0F34" w:rsidRDefault="00AA52EB" w:rsidP="00A353E9">
            <w:pPr>
              <w:bidi/>
              <w:spacing w:after="60"/>
              <w:jc w:val="left"/>
              <w:rPr>
                <w:sz w:val="17"/>
                <w:szCs w:val="17"/>
              </w:rPr>
            </w:pPr>
            <w:r w:rsidRPr="005D0F34">
              <w:rPr>
                <w:rFonts w:hint="cs"/>
                <w:sz w:val="17"/>
                <w:szCs w:val="17"/>
                <w:rtl/>
              </w:rPr>
              <w:t>0</w:t>
            </w:r>
          </w:p>
        </w:tc>
        <w:tc>
          <w:tcPr>
            <w:tcW w:w="720" w:type="dxa"/>
            <w:shd w:val="clear" w:color="auto" w:fill="auto"/>
            <w:tcMar>
              <w:left w:w="14" w:type="dxa"/>
              <w:right w:w="14" w:type="dxa"/>
            </w:tcMar>
          </w:tcPr>
          <w:p w14:paraId="4D6C3E2D" w14:textId="77777777" w:rsidR="00117C36" w:rsidRPr="005D0F34" w:rsidRDefault="00117C36" w:rsidP="00117C36">
            <w:pPr>
              <w:bidi/>
              <w:spacing w:after="60"/>
              <w:jc w:val="left"/>
              <w:rPr>
                <w:sz w:val="17"/>
                <w:szCs w:val="17"/>
              </w:rPr>
            </w:pPr>
            <w:r w:rsidRPr="005D0F34">
              <w:rPr>
                <w:rFonts w:hint="cs"/>
                <w:sz w:val="17"/>
                <w:szCs w:val="17"/>
                <w:rtl/>
              </w:rPr>
              <w:t>*81,684</w:t>
            </w:r>
          </w:p>
        </w:tc>
      </w:tr>
      <w:tr w:rsidR="005D0F34" w:rsidRPr="00FB3E75" w14:paraId="3E5E3A64" w14:textId="77777777" w:rsidTr="005D0F34">
        <w:trPr>
          <w:trHeight w:val="291"/>
        </w:trPr>
        <w:tc>
          <w:tcPr>
            <w:tcW w:w="1350" w:type="dxa"/>
            <w:vMerge/>
            <w:shd w:val="clear" w:color="auto" w:fill="auto"/>
          </w:tcPr>
          <w:p w14:paraId="521A0B5D" w14:textId="77777777" w:rsidR="00AA52EB" w:rsidRPr="005D0F34" w:rsidRDefault="00AA52EB" w:rsidP="00DF6BDA">
            <w:pPr>
              <w:bidi/>
              <w:spacing w:after="60"/>
              <w:jc w:val="center"/>
              <w:rPr>
                <w:sz w:val="17"/>
                <w:szCs w:val="17"/>
              </w:rPr>
            </w:pPr>
          </w:p>
        </w:tc>
        <w:tc>
          <w:tcPr>
            <w:tcW w:w="900" w:type="dxa"/>
            <w:vMerge/>
            <w:shd w:val="clear" w:color="auto" w:fill="auto"/>
          </w:tcPr>
          <w:p w14:paraId="4C32D36A" w14:textId="77777777" w:rsidR="00AA52EB" w:rsidRPr="005D0F34" w:rsidRDefault="00AA52EB" w:rsidP="00DF6BDA">
            <w:pPr>
              <w:bidi/>
              <w:spacing w:after="60"/>
              <w:jc w:val="center"/>
              <w:rPr>
                <w:sz w:val="17"/>
                <w:szCs w:val="17"/>
              </w:rPr>
            </w:pPr>
          </w:p>
        </w:tc>
        <w:tc>
          <w:tcPr>
            <w:tcW w:w="1170" w:type="dxa"/>
            <w:shd w:val="clear" w:color="auto" w:fill="auto"/>
          </w:tcPr>
          <w:p w14:paraId="54E5612C" w14:textId="77777777" w:rsidR="00AA52EB" w:rsidRPr="005D0F34" w:rsidRDefault="00AA52EB" w:rsidP="00DF6BDA">
            <w:pPr>
              <w:bidi/>
              <w:spacing w:after="60"/>
              <w:rPr>
                <w:sz w:val="17"/>
                <w:szCs w:val="17"/>
              </w:rPr>
            </w:pPr>
            <w:r w:rsidRPr="005D0F34">
              <w:rPr>
                <w:rFonts w:hint="cs"/>
                <w:sz w:val="17"/>
                <w:szCs w:val="17"/>
                <w:rtl/>
              </w:rPr>
              <w:t>تكاليف الدعم</w:t>
            </w:r>
          </w:p>
        </w:tc>
        <w:tc>
          <w:tcPr>
            <w:tcW w:w="648" w:type="dxa"/>
            <w:shd w:val="clear" w:color="auto" w:fill="auto"/>
            <w:tcMar>
              <w:left w:w="14" w:type="dxa"/>
              <w:right w:w="14" w:type="dxa"/>
            </w:tcMar>
          </w:tcPr>
          <w:p w14:paraId="7ECDC2C0" w14:textId="77777777" w:rsidR="000B1E57" w:rsidRPr="005D0F34" w:rsidRDefault="000B1E57" w:rsidP="000B1E57">
            <w:pPr>
              <w:bidi/>
              <w:spacing w:after="60"/>
              <w:jc w:val="left"/>
              <w:rPr>
                <w:sz w:val="17"/>
                <w:szCs w:val="17"/>
              </w:rPr>
            </w:pPr>
            <w:r w:rsidRPr="005D0F34">
              <w:rPr>
                <w:rFonts w:hint="cs"/>
                <w:sz w:val="17"/>
                <w:szCs w:val="17"/>
                <w:rtl/>
              </w:rPr>
              <w:t>3,673</w:t>
            </w:r>
          </w:p>
        </w:tc>
        <w:tc>
          <w:tcPr>
            <w:tcW w:w="648" w:type="dxa"/>
            <w:shd w:val="clear" w:color="auto" w:fill="auto"/>
            <w:tcMar>
              <w:left w:w="14" w:type="dxa"/>
              <w:right w:w="14" w:type="dxa"/>
            </w:tcMar>
          </w:tcPr>
          <w:p w14:paraId="36B543ED"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62FB9E75"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69FAD3A8"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5696B61D" w14:textId="77777777" w:rsidR="00DF215F" w:rsidRPr="005D0F34" w:rsidRDefault="00DF215F" w:rsidP="00DF215F">
            <w:pPr>
              <w:bidi/>
              <w:spacing w:after="60"/>
              <w:jc w:val="left"/>
              <w:rPr>
                <w:sz w:val="17"/>
                <w:szCs w:val="17"/>
              </w:rPr>
            </w:pPr>
            <w:r w:rsidRPr="005D0F34">
              <w:rPr>
                <w:rFonts w:hint="cs"/>
                <w:sz w:val="17"/>
                <w:szCs w:val="17"/>
                <w:rtl/>
              </w:rPr>
              <w:t>*3,924</w:t>
            </w:r>
          </w:p>
        </w:tc>
        <w:tc>
          <w:tcPr>
            <w:tcW w:w="540" w:type="dxa"/>
            <w:shd w:val="clear" w:color="auto" w:fill="auto"/>
            <w:tcMar>
              <w:left w:w="14" w:type="dxa"/>
              <w:right w:w="14" w:type="dxa"/>
            </w:tcMar>
          </w:tcPr>
          <w:p w14:paraId="6ED54775"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072333F1"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6C8C4F55" w14:textId="77777777" w:rsidR="003E2C19" w:rsidRPr="005D0F34" w:rsidRDefault="003E2C19" w:rsidP="003E2C19">
            <w:pPr>
              <w:bidi/>
              <w:spacing w:after="60"/>
              <w:jc w:val="left"/>
              <w:rPr>
                <w:sz w:val="17"/>
                <w:szCs w:val="17"/>
              </w:rPr>
            </w:pPr>
            <w:r w:rsidRPr="005D0F34">
              <w:rPr>
                <w:rFonts w:hint="cs"/>
                <w:sz w:val="17"/>
                <w:szCs w:val="17"/>
                <w:rtl/>
              </w:rPr>
              <w:t>3,023</w:t>
            </w:r>
          </w:p>
        </w:tc>
        <w:tc>
          <w:tcPr>
            <w:tcW w:w="477" w:type="dxa"/>
            <w:shd w:val="clear" w:color="auto" w:fill="auto"/>
            <w:tcMar>
              <w:left w:w="14" w:type="dxa"/>
              <w:right w:w="14" w:type="dxa"/>
            </w:tcMar>
          </w:tcPr>
          <w:p w14:paraId="5DCC6537"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0553DA35" w14:textId="77777777" w:rsidR="00AA52EB" w:rsidRPr="005D0F34" w:rsidRDefault="00AA52EB" w:rsidP="00A353E9">
            <w:pPr>
              <w:bidi/>
              <w:spacing w:after="60"/>
              <w:jc w:val="left"/>
              <w:rPr>
                <w:sz w:val="17"/>
                <w:szCs w:val="17"/>
              </w:rPr>
            </w:pPr>
            <w:r w:rsidRPr="005D0F34">
              <w:rPr>
                <w:rFonts w:hint="cs"/>
                <w:sz w:val="17"/>
                <w:szCs w:val="17"/>
                <w:rtl/>
              </w:rPr>
              <w:t>0</w:t>
            </w:r>
          </w:p>
        </w:tc>
        <w:tc>
          <w:tcPr>
            <w:tcW w:w="720" w:type="dxa"/>
            <w:shd w:val="clear" w:color="auto" w:fill="auto"/>
            <w:tcMar>
              <w:left w:w="14" w:type="dxa"/>
              <w:right w:w="14" w:type="dxa"/>
            </w:tcMar>
          </w:tcPr>
          <w:p w14:paraId="7CE6D3F4" w14:textId="77777777" w:rsidR="00117C36" w:rsidRPr="005D0F34" w:rsidRDefault="00117C36" w:rsidP="00117C36">
            <w:pPr>
              <w:bidi/>
              <w:spacing w:after="60"/>
              <w:jc w:val="left"/>
              <w:rPr>
                <w:sz w:val="17"/>
                <w:szCs w:val="17"/>
              </w:rPr>
            </w:pPr>
            <w:r w:rsidRPr="005D0F34">
              <w:rPr>
                <w:rFonts w:hint="cs"/>
                <w:sz w:val="17"/>
                <w:szCs w:val="17"/>
                <w:rtl/>
              </w:rPr>
              <w:t>*10,620</w:t>
            </w:r>
          </w:p>
        </w:tc>
      </w:tr>
      <w:tr w:rsidR="005D0F34" w:rsidRPr="00FB3E75" w14:paraId="05B797DE" w14:textId="77777777" w:rsidTr="005D0F34">
        <w:trPr>
          <w:trHeight w:val="291"/>
        </w:trPr>
        <w:tc>
          <w:tcPr>
            <w:tcW w:w="1350" w:type="dxa"/>
            <w:vMerge/>
            <w:shd w:val="clear" w:color="auto" w:fill="auto"/>
          </w:tcPr>
          <w:p w14:paraId="3FF2E6D2" w14:textId="77777777" w:rsidR="00AA52EB" w:rsidRPr="005D0F34" w:rsidRDefault="00AA52EB" w:rsidP="00DF6BDA">
            <w:pPr>
              <w:bidi/>
              <w:spacing w:after="60"/>
              <w:jc w:val="center"/>
              <w:rPr>
                <w:sz w:val="17"/>
                <w:szCs w:val="17"/>
              </w:rPr>
            </w:pPr>
          </w:p>
        </w:tc>
        <w:tc>
          <w:tcPr>
            <w:tcW w:w="900" w:type="dxa"/>
            <w:vMerge w:val="restart"/>
            <w:shd w:val="clear" w:color="auto" w:fill="auto"/>
          </w:tcPr>
          <w:p w14:paraId="648DCD9E" w14:textId="77777777" w:rsidR="00AA52EB" w:rsidRPr="005D0F34" w:rsidRDefault="004F4E7A" w:rsidP="00DF6BDA">
            <w:pPr>
              <w:bidi/>
              <w:spacing w:after="60"/>
              <w:jc w:val="center"/>
              <w:rPr>
                <w:sz w:val="17"/>
                <w:szCs w:val="17"/>
              </w:rPr>
            </w:pPr>
            <w:r>
              <w:rPr>
                <w:rFonts w:hint="cs"/>
                <w:sz w:val="17"/>
                <w:szCs w:val="17"/>
                <w:rtl/>
                <w:lang w:bidi="ar-EG"/>
              </w:rPr>
              <w:t>اليونيدو</w:t>
            </w:r>
          </w:p>
        </w:tc>
        <w:tc>
          <w:tcPr>
            <w:tcW w:w="1170" w:type="dxa"/>
            <w:shd w:val="clear" w:color="auto" w:fill="auto"/>
          </w:tcPr>
          <w:p w14:paraId="2F16239B" w14:textId="77777777" w:rsidR="00AA52EB" w:rsidRPr="005D0F34" w:rsidRDefault="00AA52EB" w:rsidP="00A353E9">
            <w:pPr>
              <w:bidi/>
              <w:spacing w:after="60"/>
              <w:rPr>
                <w:sz w:val="17"/>
                <w:szCs w:val="17"/>
              </w:rPr>
            </w:pPr>
            <w:r w:rsidRPr="005D0F34">
              <w:rPr>
                <w:rFonts w:hint="cs"/>
                <w:sz w:val="17"/>
                <w:szCs w:val="17"/>
                <w:rtl/>
              </w:rPr>
              <w:t>تكاليف المشروع</w:t>
            </w:r>
          </w:p>
        </w:tc>
        <w:tc>
          <w:tcPr>
            <w:tcW w:w="648" w:type="dxa"/>
            <w:shd w:val="clear" w:color="auto" w:fill="auto"/>
            <w:tcMar>
              <w:left w:w="14" w:type="dxa"/>
              <w:right w:w="14" w:type="dxa"/>
            </w:tcMar>
          </w:tcPr>
          <w:p w14:paraId="7F60B8C9" w14:textId="77777777" w:rsidR="000B1E57" w:rsidRPr="005D0F34" w:rsidRDefault="000B1E57" w:rsidP="000B1E57">
            <w:pPr>
              <w:bidi/>
              <w:spacing w:after="60"/>
              <w:jc w:val="left"/>
              <w:rPr>
                <w:sz w:val="17"/>
                <w:szCs w:val="17"/>
              </w:rPr>
            </w:pPr>
            <w:r w:rsidRPr="005D0F34">
              <w:rPr>
                <w:rFonts w:hint="cs"/>
                <w:sz w:val="17"/>
                <w:szCs w:val="17"/>
                <w:rtl/>
              </w:rPr>
              <w:t>118,087</w:t>
            </w:r>
          </w:p>
        </w:tc>
        <w:tc>
          <w:tcPr>
            <w:tcW w:w="648" w:type="dxa"/>
            <w:shd w:val="clear" w:color="auto" w:fill="auto"/>
            <w:tcMar>
              <w:left w:w="14" w:type="dxa"/>
              <w:right w:w="14" w:type="dxa"/>
            </w:tcMar>
          </w:tcPr>
          <w:p w14:paraId="3C9E0229" w14:textId="77777777" w:rsidR="000B1E57" w:rsidRPr="005D0F34" w:rsidRDefault="000B1E57" w:rsidP="000B1E57">
            <w:pPr>
              <w:bidi/>
              <w:spacing w:after="60"/>
              <w:jc w:val="left"/>
              <w:rPr>
                <w:sz w:val="17"/>
                <w:szCs w:val="17"/>
              </w:rPr>
            </w:pPr>
            <w:r w:rsidRPr="005D0F34">
              <w:rPr>
                <w:rFonts w:hint="cs"/>
                <w:sz w:val="17"/>
                <w:szCs w:val="17"/>
                <w:rtl/>
              </w:rPr>
              <w:t>97,925</w:t>
            </w:r>
          </w:p>
        </w:tc>
        <w:tc>
          <w:tcPr>
            <w:tcW w:w="648" w:type="dxa"/>
            <w:shd w:val="clear" w:color="auto" w:fill="auto"/>
            <w:tcMar>
              <w:left w:w="14" w:type="dxa"/>
              <w:right w:w="14" w:type="dxa"/>
            </w:tcMar>
          </w:tcPr>
          <w:p w14:paraId="14C5C493"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0213018A"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2E2EBF36" w14:textId="77777777" w:rsidR="00DF215F" w:rsidRPr="005D0F34" w:rsidRDefault="00DF215F" w:rsidP="00DF215F">
            <w:pPr>
              <w:bidi/>
              <w:spacing w:after="60"/>
              <w:jc w:val="left"/>
              <w:rPr>
                <w:sz w:val="17"/>
                <w:szCs w:val="17"/>
              </w:rPr>
            </w:pPr>
            <w:r w:rsidRPr="005D0F34">
              <w:rPr>
                <w:rFonts w:hint="cs"/>
                <w:sz w:val="17"/>
                <w:szCs w:val="17"/>
                <w:rtl/>
              </w:rPr>
              <w:t>53,775</w:t>
            </w:r>
          </w:p>
        </w:tc>
        <w:tc>
          <w:tcPr>
            <w:tcW w:w="540" w:type="dxa"/>
            <w:shd w:val="clear" w:color="auto" w:fill="auto"/>
            <w:tcMar>
              <w:left w:w="14" w:type="dxa"/>
              <w:right w:w="14" w:type="dxa"/>
            </w:tcMar>
          </w:tcPr>
          <w:p w14:paraId="526A3750"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4FD8C77C"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4A69CE91" w14:textId="77777777" w:rsidR="003E2C19" w:rsidRPr="005D0F34" w:rsidRDefault="003E2C19" w:rsidP="003E2C19">
            <w:pPr>
              <w:bidi/>
              <w:spacing w:after="60"/>
              <w:jc w:val="left"/>
              <w:rPr>
                <w:sz w:val="17"/>
                <w:szCs w:val="17"/>
              </w:rPr>
            </w:pPr>
            <w:r w:rsidRPr="005D0F34">
              <w:rPr>
                <w:rFonts w:hint="cs"/>
                <w:sz w:val="17"/>
                <w:szCs w:val="17"/>
                <w:rtl/>
              </w:rPr>
              <w:t>42,850</w:t>
            </w:r>
          </w:p>
        </w:tc>
        <w:tc>
          <w:tcPr>
            <w:tcW w:w="477" w:type="dxa"/>
            <w:shd w:val="clear" w:color="auto" w:fill="auto"/>
            <w:tcMar>
              <w:left w:w="14" w:type="dxa"/>
              <w:right w:w="14" w:type="dxa"/>
            </w:tcMar>
          </w:tcPr>
          <w:p w14:paraId="58266771"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545B40ED" w14:textId="77777777" w:rsidR="001B4283" w:rsidRPr="005D0F34" w:rsidRDefault="001B4283" w:rsidP="001B4283">
            <w:pPr>
              <w:bidi/>
              <w:spacing w:after="60"/>
              <w:jc w:val="left"/>
              <w:rPr>
                <w:sz w:val="17"/>
                <w:szCs w:val="17"/>
              </w:rPr>
            </w:pPr>
            <w:r w:rsidRPr="005D0F34">
              <w:rPr>
                <w:rFonts w:hint="cs"/>
                <w:sz w:val="17"/>
                <w:szCs w:val="17"/>
                <w:rtl/>
              </w:rPr>
              <w:t>33,000</w:t>
            </w:r>
          </w:p>
        </w:tc>
        <w:tc>
          <w:tcPr>
            <w:tcW w:w="720" w:type="dxa"/>
            <w:shd w:val="clear" w:color="auto" w:fill="auto"/>
            <w:tcMar>
              <w:left w:w="14" w:type="dxa"/>
              <w:right w:w="14" w:type="dxa"/>
            </w:tcMar>
          </w:tcPr>
          <w:p w14:paraId="4BD6ACFF" w14:textId="77777777" w:rsidR="00117C36" w:rsidRPr="005D0F34" w:rsidRDefault="00117C36" w:rsidP="00117C36">
            <w:pPr>
              <w:bidi/>
              <w:spacing w:after="60"/>
              <w:jc w:val="left"/>
              <w:rPr>
                <w:sz w:val="17"/>
                <w:szCs w:val="17"/>
              </w:rPr>
            </w:pPr>
            <w:r w:rsidRPr="005D0F34">
              <w:rPr>
                <w:rFonts w:hint="cs"/>
                <w:sz w:val="17"/>
                <w:szCs w:val="17"/>
                <w:rtl/>
              </w:rPr>
              <w:t>345,637</w:t>
            </w:r>
          </w:p>
        </w:tc>
      </w:tr>
      <w:tr w:rsidR="005D0F34" w:rsidRPr="00FB3E75" w14:paraId="6F34E627" w14:textId="77777777" w:rsidTr="005D0F34">
        <w:trPr>
          <w:trHeight w:val="291"/>
        </w:trPr>
        <w:tc>
          <w:tcPr>
            <w:tcW w:w="1350" w:type="dxa"/>
            <w:vMerge/>
            <w:shd w:val="clear" w:color="auto" w:fill="auto"/>
          </w:tcPr>
          <w:p w14:paraId="6F49E255" w14:textId="77777777" w:rsidR="00AA52EB" w:rsidRPr="005D0F34" w:rsidRDefault="00AA52EB" w:rsidP="00DF6BDA">
            <w:pPr>
              <w:bidi/>
              <w:spacing w:after="60"/>
              <w:jc w:val="center"/>
              <w:rPr>
                <w:sz w:val="17"/>
                <w:szCs w:val="17"/>
              </w:rPr>
            </w:pPr>
          </w:p>
        </w:tc>
        <w:tc>
          <w:tcPr>
            <w:tcW w:w="900" w:type="dxa"/>
            <w:vMerge/>
            <w:shd w:val="clear" w:color="auto" w:fill="auto"/>
          </w:tcPr>
          <w:p w14:paraId="007CCA0C" w14:textId="77777777" w:rsidR="00AA52EB" w:rsidRPr="005D0F34" w:rsidRDefault="00AA52EB" w:rsidP="00DF6BDA">
            <w:pPr>
              <w:bidi/>
              <w:spacing w:after="60"/>
              <w:jc w:val="center"/>
              <w:rPr>
                <w:sz w:val="17"/>
                <w:szCs w:val="17"/>
              </w:rPr>
            </w:pPr>
          </w:p>
        </w:tc>
        <w:tc>
          <w:tcPr>
            <w:tcW w:w="1170" w:type="dxa"/>
            <w:shd w:val="clear" w:color="auto" w:fill="auto"/>
          </w:tcPr>
          <w:p w14:paraId="4E5FE8E1" w14:textId="77777777" w:rsidR="00AA52EB" w:rsidRPr="005D0F34" w:rsidRDefault="00AA52EB" w:rsidP="00A353E9">
            <w:pPr>
              <w:bidi/>
              <w:spacing w:after="60"/>
              <w:rPr>
                <w:sz w:val="17"/>
                <w:szCs w:val="17"/>
              </w:rPr>
            </w:pPr>
            <w:r w:rsidRPr="005D0F34">
              <w:rPr>
                <w:rFonts w:hint="cs"/>
                <w:sz w:val="17"/>
                <w:szCs w:val="17"/>
                <w:rtl/>
              </w:rPr>
              <w:t>تكاليف الدعم</w:t>
            </w:r>
          </w:p>
        </w:tc>
        <w:tc>
          <w:tcPr>
            <w:tcW w:w="648" w:type="dxa"/>
            <w:shd w:val="clear" w:color="auto" w:fill="auto"/>
            <w:tcMar>
              <w:left w:w="14" w:type="dxa"/>
              <w:right w:w="14" w:type="dxa"/>
            </w:tcMar>
          </w:tcPr>
          <w:p w14:paraId="5075D442" w14:textId="77777777" w:rsidR="000B1E57" w:rsidRPr="005D0F34" w:rsidRDefault="000B1E57" w:rsidP="000B1E57">
            <w:pPr>
              <w:bidi/>
              <w:spacing w:after="60"/>
              <w:jc w:val="left"/>
              <w:rPr>
                <w:sz w:val="17"/>
                <w:szCs w:val="17"/>
              </w:rPr>
            </w:pPr>
            <w:r w:rsidRPr="005D0F34">
              <w:rPr>
                <w:rFonts w:hint="cs"/>
                <w:sz w:val="17"/>
                <w:szCs w:val="17"/>
                <w:rtl/>
              </w:rPr>
              <w:t>8,857</w:t>
            </w:r>
          </w:p>
        </w:tc>
        <w:tc>
          <w:tcPr>
            <w:tcW w:w="648" w:type="dxa"/>
            <w:shd w:val="clear" w:color="auto" w:fill="auto"/>
            <w:tcMar>
              <w:left w:w="14" w:type="dxa"/>
              <w:right w:w="14" w:type="dxa"/>
            </w:tcMar>
          </w:tcPr>
          <w:p w14:paraId="535CC915" w14:textId="77777777" w:rsidR="000B1E57" w:rsidRPr="005D0F34" w:rsidRDefault="000B1E57" w:rsidP="000B1E57">
            <w:pPr>
              <w:bidi/>
              <w:spacing w:after="60"/>
              <w:jc w:val="left"/>
              <w:rPr>
                <w:sz w:val="17"/>
                <w:szCs w:val="17"/>
              </w:rPr>
            </w:pPr>
            <w:r w:rsidRPr="005D0F34">
              <w:rPr>
                <w:rFonts w:hint="cs"/>
                <w:sz w:val="17"/>
                <w:szCs w:val="17"/>
                <w:rtl/>
              </w:rPr>
              <w:t>7,344</w:t>
            </w:r>
          </w:p>
        </w:tc>
        <w:tc>
          <w:tcPr>
            <w:tcW w:w="648" w:type="dxa"/>
            <w:shd w:val="clear" w:color="auto" w:fill="auto"/>
            <w:tcMar>
              <w:left w:w="14" w:type="dxa"/>
              <w:right w:w="14" w:type="dxa"/>
            </w:tcMar>
          </w:tcPr>
          <w:p w14:paraId="299B140E"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3D5D265E"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3995B05A" w14:textId="77777777" w:rsidR="00DF215F" w:rsidRPr="005D0F34" w:rsidRDefault="00DF215F" w:rsidP="00DF215F">
            <w:pPr>
              <w:bidi/>
              <w:spacing w:after="60"/>
              <w:jc w:val="left"/>
              <w:rPr>
                <w:sz w:val="17"/>
                <w:szCs w:val="17"/>
              </w:rPr>
            </w:pPr>
            <w:r w:rsidRPr="005D0F34">
              <w:rPr>
                <w:rFonts w:hint="cs"/>
                <w:sz w:val="17"/>
                <w:szCs w:val="17"/>
                <w:rtl/>
              </w:rPr>
              <w:t>4,033</w:t>
            </w:r>
          </w:p>
        </w:tc>
        <w:tc>
          <w:tcPr>
            <w:tcW w:w="540" w:type="dxa"/>
            <w:shd w:val="clear" w:color="auto" w:fill="auto"/>
            <w:tcMar>
              <w:left w:w="14" w:type="dxa"/>
              <w:right w:w="14" w:type="dxa"/>
            </w:tcMar>
          </w:tcPr>
          <w:p w14:paraId="3E9B3C1F"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645E396A"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0DCD94A4" w14:textId="77777777" w:rsidR="003E2C19" w:rsidRPr="005D0F34" w:rsidRDefault="003E2C19" w:rsidP="003E2C19">
            <w:pPr>
              <w:bidi/>
              <w:spacing w:after="60"/>
              <w:jc w:val="left"/>
              <w:rPr>
                <w:sz w:val="17"/>
                <w:szCs w:val="17"/>
              </w:rPr>
            </w:pPr>
            <w:r w:rsidRPr="005D0F34">
              <w:rPr>
                <w:rFonts w:hint="cs"/>
                <w:sz w:val="17"/>
                <w:szCs w:val="17"/>
                <w:rtl/>
              </w:rPr>
              <w:t>3,214</w:t>
            </w:r>
          </w:p>
        </w:tc>
        <w:tc>
          <w:tcPr>
            <w:tcW w:w="477" w:type="dxa"/>
            <w:shd w:val="clear" w:color="auto" w:fill="auto"/>
            <w:tcMar>
              <w:left w:w="14" w:type="dxa"/>
              <w:right w:w="14" w:type="dxa"/>
            </w:tcMar>
          </w:tcPr>
          <w:p w14:paraId="22CC1818"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0AC51342" w14:textId="77777777" w:rsidR="001B4283" w:rsidRPr="005D0F34" w:rsidRDefault="001B4283" w:rsidP="001B4283">
            <w:pPr>
              <w:bidi/>
              <w:spacing w:after="60"/>
              <w:jc w:val="left"/>
              <w:rPr>
                <w:sz w:val="17"/>
                <w:szCs w:val="17"/>
              </w:rPr>
            </w:pPr>
            <w:r w:rsidRPr="005D0F34">
              <w:rPr>
                <w:rFonts w:hint="cs"/>
                <w:sz w:val="17"/>
                <w:szCs w:val="17"/>
                <w:rtl/>
              </w:rPr>
              <w:t>2,475</w:t>
            </w:r>
          </w:p>
        </w:tc>
        <w:tc>
          <w:tcPr>
            <w:tcW w:w="720" w:type="dxa"/>
            <w:shd w:val="clear" w:color="auto" w:fill="auto"/>
            <w:tcMar>
              <w:left w:w="14" w:type="dxa"/>
              <w:right w:w="14" w:type="dxa"/>
            </w:tcMar>
          </w:tcPr>
          <w:p w14:paraId="458089D7" w14:textId="77777777" w:rsidR="00117C36" w:rsidRPr="005D0F34" w:rsidRDefault="00117C36" w:rsidP="00117C36">
            <w:pPr>
              <w:bidi/>
              <w:spacing w:after="60"/>
              <w:jc w:val="left"/>
              <w:rPr>
                <w:sz w:val="17"/>
                <w:szCs w:val="17"/>
              </w:rPr>
            </w:pPr>
            <w:r w:rsidRPr="005D0F34">
              <w:rPr>
                <w:rFonts w:hint="cs"/>
                <w:sz w:val="17"/>
                <w:szCs w:val="17"/>
                <w:rtl/>
              </w:rPr>
              <w:t>25,923</w:t>
            </w:r>
          </w:p>
        </w:tc>
      </w:tr>
      <w:tr w:rsidR="005D0F34" w:rsidRPr="00FB3E75" w14:paraId="517414F9" w14:textId="77777777" w:rsidTr="005D0F34">
        <w:trPr>
          <w:trHeight w:val="291"/>
        </w:trPr>
        <w:tc>
          <w:tcPr>
            <w:tcW w:w="2250" w:type="dxa"/>
            <w:gridSpan w:val="2"/>
            <w:vMerge w:val="restart"/>
            <w:shd w:val="clear" w:color="auto" w:fill="auto"/>
          </w:tcPr>
          <w:p w14:paraId="5B6E5955" w14:textId="77777777" w:rsidR="00AA52EB" w:rsidRPr="005D0F34" w:rsidRDefault="00AA52EB" w:rsidP="00BC08F6">
            <w:pPr>
              <w:bidi/>
              <w:spacing w:after="60"/>
              <w:rPr>
                <w:sz w:val="17"/>
                <w:szCs w:val="17"/>
              </w:rPr>
            </w:pPr>
            <w:r w:rsidRPr="005D0F34">
              <w:rPr>
                <w:rFonts w:hint="cs"/>
                <w:sz w:val="17"/>
                <w:szCs w:val="17"/>
                <w:rtl/>
                <w:lang w:bidi="ar-EG"/>
              </w:rPr>
              <w:t>التمويل الموافق عليه من قِبل اللجنة التنفيذية</w:t>
            </w:r>
            <w:r w:rsidRPr="005D0F34">
              <w:rPr>
                <w:rFonts w:hint="cs"/>
                <w:sz w:val="17"/>
                <w:szCs w:val="17"/>
                <w:rtl/>
              </w:rPr>
              <w:t xml:space="preserve"> (دولار أمريكي)</w:t>
            </w:r>
          </w:p>
        </w:tc>
        <w:tc>
          <w:tcPr>
            <w:tcW w:w="1170" w:type="dxa"/>
            <w:shd w:val="clear" w:color="auto" w:fill="auto"/>
          </w:tcPr>
          <w:p w14:paraId="3365F2C3" w14:textId="77777777" w:rsidR="00AA52EB" w:rsidRPr="005D0F34" w:rsidRDefault="00AA52EB" w:rsidP="00A353E9">
            <w:pPr>
              <w:bidi/>
              <w:spacing w:after="60"/>
              <w:rPr>
                <w:sz w:val="17"/>
                <w:szCs w:val="17"/>
              </w:rPr>
            </w:pPr>
            <w:r w:rsidRPr="005D0F34">
              <w:rPr>
                <w:rFonts w:hint="cs"/>
                <w:sz w:val="17"/>
                <w:szCs w:val="17"/>
                <w:rtl/>
              </w:rPr>
              <w:t>تكاليف المشروع</w:t>
            </w:r>
          </w:p>
        </w:tc>
        <w:tc>
          <w:tcPr>
            <w:tcW w:w="648" w:type="dxa"/>
            <w:shd w:val="clear" w:color="auto" w:fill="auto"/>
            <w:tcMar>
              <w:left w:w="14" w:type="dxa"/>
              <w:right w:w="14" w:type="dxa"/>
            </w:tcMar>
          </w:tcPr>
          <w:p w14:paraId="691EF75B" w14:textId="77777777" w:rsidR="000B1E57" w:rsidRPr="005D0F34" w:rsidRDefault="000B1E57" w:rsidP="000B1E57">
            <w:pPr>
              <w:bidi/>
              <w:spacing w:after="60"/>
              <w:jc w:val="left"/>
              <w:rPr>
                <w:sz w:val="17"/>
                <w:szCs w:val="17"/>
              </w:rPr>
            </w:pPr>
            <w:r w:rsidRPr="005D0F34">
              <w:rPr>
                <w:rFonts w:hint="cs"/>
                <w:sz w:val="17"/>
                <w:szCs w:val="17"/>
                <w:rtl/>
              </w:rPr>
              <w:t>146,337</w:t>
            </w:r>
          </w:p>
        </w:tc>
        <w:tc>
          <w:tcPr>
            <w:tcW w:w="648" w:type="dxa"/>
            <w:shd w:val="clear" w:color="auto" w:fill="auto"/>
            <w:tcMar>
              <w:left w:w="14" w:type="dxa"/>
              <w:right w:w="14" w:type="dxa"/>
            </w:tcMar>
          </w:tcPr>
          <w:p w14:paraId="64045A10" w14:textId="77777777" w:rsidR="000B1E57" w:rsidRPr="005D0F34" w:rsidRDefault="000B1E57" w:rsidP="000B1E57">
            <w:pPr>
              <w:bidi/>
              <w:spacing w:after="60"/>
              <w:jc w:val="left"/>
              <w:rPr>
                <w:sz w:val="17"/>
                <w:szCs w:val="17"/>
              </w:rPr>
            </w:pPr>
            <w:r w:rsidRPr="005D0F34">
              <w:rPr>
                <w:rFonts w:hint="cs"/>
                <w:sz w:val="17"/>
                <w:szCs w:val="17"/>
                <w:rtl/>
              </w:rPr>
              <w:t>97,925</w:t>
            </w:r>
          </w:p>
        </w:tc>
        <w:tc>
          <w:tcPr>
            <w:tcW w:w="648" w:type="dxa"/>
            <w:shd w:val="clear" w:color="auto" w:fill="auto"/>
            <w:tcMar>
              <w:left w:w="14" w:type="dxa"/>
              <w:right w:w="14" w:type="dxa"/>
            </w:tcMar>
          </w:tcPr>
          <w:p w14:paraId="16000942"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1A6FDC9B"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506EDF8E" w14:textId="77777777" w:rsidR="00DF215F" w:rsidRPr="005D0F34" w:rsidRDefault="00DF215F" w:rsidP="00DF215F">
            <w:pPr>
              <w:bidi/>
              <w:spacing w:after="60"/>
              <w:jc w:val="left"/>
              <w:rPr>
                <w:sz w:val="17"/>
                <w:szCs w:val="17"/>
              </w:rPr>
            </w:pPr>
            <w:r w:rsidRPr="005D0F34">
              <w:rPr>
                <w:rFonts w:hint="cs"/>
                <w:sz w:val="17"/>
                <w:szCs w:val="17"/>
                <w:rtl/>
              </w:rPr>
              <w:t>*83,959</w:t>
            </w:r>
          </w:p>
        </w:tc>
        <w:tc>
          <w:tcPr>
            <w:tcW w:w="540" w:type="dxa"/>
            <w:shd w:val="clear" w:color="auto" w:fill="auto"/>
            <w:tcMar>
              <w:left w:w="14" w:type="dxa"/>
              <w:right w:w="14" w:type="dxa"/>
            </w:tcMar>
          </w:tcPr>
          <w:p w14:paraId="48831BBC"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68CBCA45"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6D1BA423" w14:textId="77777777" w:rsidR="003E2C19" w:rsidRPr="005D0F34" w:rsidRDefault="003E2C19" w:rsidP="003E2C19">
            <w:pPr>
              <w:bidi/>
              <w:spacing w:after="60"/>
              <w:jc w:val="left"/>
              <w:rPr>
                <w:sz w:val="17"/>
                <w:szCs w:val="17"/>
              </w:rPr>
            </w:pPr>
            <w:r w:rsidRPr="005D0F34">
              <w:rPr>
                <w:rFonts w:hint="cs"/>
                <w:sz w:val="17"/>
                <w:szCs w:val="17"/>
                <w:rtl/>
              </w:rPr>
              <w:t>66,100</w:t>
            </w:r>
          </w:p>
        </w:tc>
        <w:tc>
          <w:tcPr>
            <w:tcW w:w="477" w:type="dxa"/>
            <w:shd w:val="clear" w:color="auto" w:fill="auto"/>
            <w:tcMar>
              <w:left w:w="14" w:type="dxa"/>
              <w:right w:w="14" w:type="dxa"/>
            </w:tcMar>
          </w:tcPr>
          <w:p w14:paraId="5874C235"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124B4FE3" w14:textId="77777777" w:rsidR="00AA52EB" w:rsidRPr="005D0F34" w:rsidRDefault="00AA52EB" w:rsidP="00A353E9">
            <w:pPr>
              <w:bidi/>
              <w:spacing w:after="60"/>
              <w:jc w:val="left"/>
              <w:rPr>
                <w:sz w:val="17"/>
                <w:szCs w:val="17"/>
              </w:rPr>
            </w:pPr>
            <w:r w:rsidRPr="005D0F34">
              <w:rPr>
                <w:rFonts w:hint="cs"/>
                <w:sz w:val="17"/>
                <w:szCs w:val="17"/>
                <w:rtl/>
              </w:rPr>
              <w:t>0</w:t>
            </w:r>
          </w:p>
        </w:tc>
        <w:tc>
          <w:tcPr>
            <w:tcW w:w="720" w:type="dxa"/>
            <w:shd w:val="clear" w:color="auto" w:fill="auto"/>
            <w:tcMar>
              <w:left w:w="14" w:type="dxa"/>
              <w:right w:w="14" w:type="dxa"/>
            </w:tcMar>
          </w:tcPr>
          <w:p w14:paraId="6E4468C4" w14:textId="77777777" w:rsidR="00117C36" w:rsidRPr="005D0F34" w:rsidRDefault="00117C36" w:rsidP="00117C36">
            <w:pPr>
              <w:bidi/>
              <w:spacing w:after="60"/>
              <w:jc w:val="left"/>
              <w:rPr>
                <w:sz w:val="17"/>
                <w:szCs w:val="17"/>
              </w:rPr>
            </w:pPr>
            <w:r w:rsidRPr="005D0F34">
              <w:rPr>
                <w:rFonts w:hint="cs"/>
                <w:sz w:val="17"/>
                <w:szCs w:val="17"/>
                <w:rtl/>
              </w:rPr>
              <w:t>*394,321</w:t>
            </w:r>
          </w:p>
        </w:tc>
      </w:tr>
      <w:tr w:rsidR="005D0F34" w:rsidRPr="00FB3E75" w14:paraId="22DDC641" w14:textId="77777777" w:rsidTr="005D0F34">
        <w:trPr>
          <w:trHeight w:val="291"/>
        </w:trPr>
        <w:tc>
          <w:tcPr>
            <w:tcW w:w="2250" w:type="dxa"/>
            <w:gridSpan w:val="2"/>
            <w:vMerge/>
            <w:shd w:val="clear" w:color="auto" w:fill="auto"/>
          </w:tcPr>
          <w:p w14:paraId="6D557257" w14:textId="77777777" w:rsidR="00AA52EB" w:rsidRPr="005D0F34" w:rsidRDefault="00AA52EB" w:rsidP="00DF6BDA">
            <w:pPr>
              <w:bidi/>
              <w:spacing w:after="60"/>
              <w:jc w:val="center"/>
              <w:rPr>
                <w:sz w:val="17"/>
                <w:szCs w:val="17"/>
              </w:rPr>
            </w:pPr>
          </w:p>
        </w:tc>
        <w:tc>
          <w:tcPr>
            <w:tcW w:w="1170" w:type="dxa"/>
            <w:shd w:val="clear" w:color="auto" w:fill="auto"/>
          </w:tcPr>
          <w:p w14:paraId="0210644D" w14:textId="77777777" w:rsidR="00AA52EB" w:rsidRPr="005D0F34" w:rsidRDefault="00AA52EB" w:rsidP="00A353E9">
            <w:pPr>
              <w:bidi/>
              <w:spacing w:after="60"/>
              <w:rPr>
                <w:sz w:val="17"/>
                <w:szCs w:val="17"/>
              </w:rPr>
            </w:pPr>
            <w:r w:rsidRPr="005D0F34">
              <w:rPr>
                <w:rFonts w:hint="cs"/>
                <w:sz w:val="17"/>
                <w:szCs w:val="17"/>
                <w:rtl/>
              </w:rPr>
              <w:t>تكاليف الدعم</w:t>
            </w:r>
          </w:p>
        </w:tc>
        <w:tc>
          <w:tcPr>
            <w:tcW w:w="648" w:type="dxa"/>
            <w:shd w:val="clear" w:color="auto" w:fill="auto"/>
            <w:tcMar>
              <w:left w:w="14" w:type="dxa"/>
              <w:right w:w="14" w:type="dxa"/>
            </w:tcMar>
          </w:tcPr>
          <w:p w14:paraId="49E498A4" w14:textId="77777777" w:rsidR="000B1E57" w:rsidRPr="005D0F34" w:rsidRDefault="000B1E57" w:rsidP="000B1E57">
            <w:pPr>
              <w:bidi/>
              <w:spacing w:after="60"/>
              <w:jc w:val="left"/>
              <w:rPr>
                <w:sz w:val="17"/>
                <w:szCs w:val="17"/>
              </w:rPr>
            </w:pPr>
            <w:r w:rsidRPr="005D0F34">
              <w:rPr>
                <w:rFonts w:hint="cs"/>
                <w:sz w:val="17"/>
                <w:szCs w:val="17"/>
                <w:rtl/>
              </w:rPr>
              <w:t>12,530</w:t>
            </w:r>
          </w:p>
        </w:tc>
        <w:tc>
          <w:tcPr>
            <w:tcW w:w="648" w:type="dxa"/>
            <w:shd w:val="clear" w:color="auto" w:fill="auto"/>
            <w:tcMar>
              <w:left w:w="14" w:type="dxa"/>
              <w:right w:w="14" w:type="dxa"/>
            </w:tcMar>
          </w:tcPr>
          <w:p w14:paraId="61C0AE09" w14:textId="77777777" w:rsidR="000B1E57" w:rsidRPr="005D0F34" w:rsidRDefault="000B1E57" w:rsidP="000B1E57">
            <w:pPr>
              <w:bidi/>
              <w:spacing w:after="60"/>
              <w:jc w:val="left"/>
              <w:rPr>
                <w:sz w:val="17"/>
                <w:szCs w:val="17"/>
              </w:rPr>
            </w:pPr>
            <w:r w:rsidRPr="005D0F34">
              <w:rPr>
                <w:rFonts w:hint="cs"/>
                <w:sz w:val="17"/>
                <w:szCs w:val="17"/>
                <w:rtl/>
              </w:rPr>
              <w:t>7,344</w:t>
            </w:r>
          </w:p>
        </w:tc>
        <w:tc>
          <w:tcPr>
            <w:tcW w:w="648" w:type="dxa"/>
            <w:shd w:val="clear" w:color="auto" w:fill="auto"/>
            <w:tcMar>
              <w:left w:w="14" w:type="dxa"/>
              <w:right w:w="14" w:type="dxa"/>
            </w:tcMar>
          </w:tcPr>
          <w:p w14:paraId="37E173AD"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5F1F769B" w14:textId="77777777" w:rsidR="00AA52EB" w:rsidRPr="005D0F34" w:rsidRDefault="00AA52EB" w:rsidP="00A353E9">
            <w:pPr>
              <w:bidi/>
              <w:spacing w:after="60"/>
              <w:jc w:val="left"/>
              <w:rPr>
                <w:sz w:val="17"/>
                <w:szCs w:val="17"/>
              </w:rPr>
            </w:pPr>
            <w:r w:rsidRPr="005D0F34">
              <w:rPr>
                <w:rFonts w:hint="cs"/>
                <w:sz w:val="17"/>
                <w:szCs w:val="17"/>
                <w:rtl/>
              </w:rPr>
              <w:t>0</w:t>
            </w:r>
          </w:p>
        </w:tc>
        <w:tc>
          <w:tcPr>
            <w:tcW w:w="648" w:type="dxa"/>
            <w:shd w:val="clear" w:color="auto" w:fill="auto"/>
            <w:tcMar>
              <w:left w:w="14" w:type="dxa"/>
              <w:right w:w="14" w:type="dxa"/>
            </w:tcMar>
          </w:tcPr>
          <w:p w14:paraId="55161271" w14:textId="77777777" w:rsidR="00DF215F" w:rsidRPr="005D0F34" w:rsidRDefault="00DF215F" w:rsidP="00DF215F">
            <w:pPr>
              <w:bidi/>
              <w:spacing w:after="60"/>
              <w:jc w:val="left"/>
              <w:rPr>
                <w:sz w:val="17"/>
                <w:szCs w:val="17"/>
              </w:rPr>
            </w:pPr>
            <w:r w:rsidRPr="005D0F34">
              <w:rPr>
                <w:rFonts w:hint="cs"/>
                <w:sz w:val="17"/>
                <w:szCs w:val="17"/>
                <w:rtl/>
              </w:rPr>
              <w:t>*7,957</w:t>
            </w:r>
          </w:p>
        </w:tc>
        <w:tc>
          <w:tcPr>
            <w:tcW w:w="540" w:type="dxa"/>
            <w:shd w:val="clear" w:color="auto" w:fill="auto"/>
            <w:tcMar>
              <w:left w:w="14" w:type="dxa"/>
              <w:right w:w="14" w:type="dxa"/>
            </w:tcMar>
          </w:tcPr>
          <w:p w14:paraId="4ACE55BD" w14:textId="77777777" w:rsidR="00AA52EB" w:rsidRPr="005D0F34" w:rsidRDefault="00AA52EB" w:rsidP="00A353E9">
            <w:pPr>
              <w:bidi/>
              <w:spacing w:after="60"/>
              <w:jc w:val="left"/>
              <w:rPr>
                <w:sz w:val="17"/>
                <w:szCs w:val="17"/>
              </w:rPr>
            </w:pPr>
            <w:r w:rsidRPr="005D0F34">
              <w:rPr>
                <w:rFonts w:hint="cs"/>
                <w:sz w:val="17"/>
                <w:szCs w:val="17"/>
                <w:rtl/>
              </w:rPr>
              <w:t>0</w:t>
            </w:r>
          </w:p>
        </w:tc>
        <w:tc>
          <w:tcPr>
            <w:tcW w:w="540" w:type="dxa"/>
            <w:shd w:val="clear" w:color="auto" w:fill="auto"/>
            <w:tcMar>
              <w:left w:w="14" w:type="dxa"/>
              <w:right w:w="14" w:type="dxa"/>
            </w:tcMar>
          </w:tcPr>
          <w:p w14:paraId="68BC0195" w14:textId="77777777" w:rsidR="00AA52EB" w:rsidRPr="005D0F34" w:rsidRDefault="00AA52EB" w:rsidP="00A353E9">
            <w:pPr>
              <w:bidi/>
              <w:spacing w:after="60"/>
              <w:jc w:val="left"/>
              <w:rPr>
                <w:sz w:val="17"/>
                <w:szCs w:val="17"/>
              </w:rPr>
            </w:pPr>
            <w:r w:rsidRPr="005D0F34">
              <w:rPr>
                <w:rFonts w:hint="cs"/>
                <w:sz w:val="17"/>
                <w:szCs w:val="17"/>
                <w:rtl/>
              </w:rPr>
              <w:t>0</w:t>
            </w:r>
          </w:p>
        </w:tc>
        <w:tc>
          <w:tcPr>
            <w:tcW w:w="630" w:type="dxa"/>
            <w:shd w:val="clear" w:color="auto" w:fill="auto"/>
            <w:tcMar>
              <w:left w:w="14" w:type="dxa"/>
              <w:right w:w="14" w:type="dxa"/>
            </w:tcMar>
          </w:tcPr>
          <w:p w14:paraId="0F95ADBD" w14:textId="77777777" w:rsidR="003E2C19" w:rsidRPr="005D0F34" w:rsidRDefault="003E2C19" w:rsidP="003E2C19">
            <w:pPr>
              <w:bidi/>
              <w:spacing w:after="60"/>
              <w:jc w:val="left"/>
              <w:rPr>
                <w:sz w:val="17"/>
                <w:szCs w:val="17"/>
              </w:rPr>
            </w:pPr>
            <w:r w:rsidRPr="005D0F34">
              <w:rPr>
                <w:rFonts w:hint="cs"/>
                <w:sz w:val="17"/>
                <w:szCs w:val="17"/>
                <w:rtl/>
              </w:rPr>
              <w:t>6,237</w:t>
            </w:r>
          </w:p>
        </w:tc>
        <w:tc>
          <w:tcPr>
            <w:tcW w:w="477" w:type="dxa"/>
            <w:shd w:val="clear" w:color="auto" w:fill="auto"/>
            <w:tcMar>
              <w:left w:w="14" w:type="dxa"/>
              <w:right w:w="14" w:type="dxa"/>
            </w:tcMar>
          </w:tcPr>
          <w:p w14:paraId="7C36E1C1" w14:textId="77777777" w:rsidR="00AA52EB" w:rsidRPr="005D0F34" w:rsidRDefault="00AA52EB" w:rsidP="00A353E9">
            <w:pPr>
              <w:bidi/>
              <w:spacing w:after="60"/>
              <w:jc w:val="left"/>
              <w:rPr>
                <w:sz w:val="17"/>
                <w:szCs w:val="17"/>
              </w:rPr>
            </w:pPr>
            <w:r w:rsidRPr="005D0F34">
              <w:rPr>
                <w:rFonts w:hint="cs"/>
                <w:sz w:val="17"/>
                <w:szCs w:val="17"/>
                <w:rtl/>
              </w:rPr>
              <w:t>0</w:t>
            </w:r>
          </w:p>
        </w:tc>
        <w:tc>
          <w:tcPr>
            <w:tcW w:w="603" w:type="dxa"/>
            <w:shd w:val="clear" w:color="auto" w:fill="auto"/>
            <w:tcMar>
              <w:left w:w="14" w:type="dxa"/>
              <w:right w:w="14" w:type="dxa"/>
            </w:tcMar>
          </w:tcPr>
          <w:p w14:paraId="607FAEDC" w14:textId="77777777" w:rsidR="00AA52EB" w:rsidRPr="005D0F34" w:rsidRDefault="00AA52EB" w:rsidP="00A353E9">
            <w:pPr>
              <w:bidi/>
              <w:spacing w:after="60"/>
              <w:jc w:val="left"/>
              <w:rPr>
                <w:sz w:val="17"/>
                <w:szCs w:val="17"/>
              </w:rPr>
            </w:pPr>
            <w:r w:rsidRPr="005D0F34">
              <w:rPr>
                <w:rFonts w:hint="cs"/>
                <w:sz w:val="17"/>
                <w:szCs w:val="17"/>
                <w:rtl/>
              </w:rPr>
              <w:t>0</w:t>
            </w:r>
          </w:p>
        </w:tc>
        <w:tc>
          <w:tcPr>
            <w:tcW w:w="720" w:type="dxa"/>
            <w:shd w:val="clear" w:color="auto" w:fill="auto"/>
            <w:tcMar>
              <w:left w:w="14" w:type="dxa"/>
              <w:right w:w="14" w:type="dxa"/>
            </w:tcMar>
          </w:tcPr>
          <w:p w14:paraId="1D64109B" w14:textId="77777777" w:rsidR="00117C36" w:rsidRPr="005D0F34" w:rsidRDefault="00117C36" w:rsidP="00117C36">
            <w:pPr>
              <w:bidi/>
              <w:spacing w:after="60"/>
              <w:jc w:val="left"/>
              <w:rPr>
                <w:sz w:val="17"/>
                <w:szCs w:val="17"/>
              </w:rPr>
            </w:pPr>
            <w:r w:rsidRPr="005D0F34">
              <w:rPr>
                <w:rFonts w:hint="cs"/>
                <w:sz w:val="17"/>
                <w:szCs w:val="17"/>
                <w:rtl/>
              </w:rPr>
              <w:t>*34,068</w:t>
            </w:r>
          </w:p>
        </w:tc>
      </w:tr>
      <w:tr w:rsidR="005D0F34" w:rsidRPr="00FB3E75" w14:paraId="0EF56BE0" w14:textId="77777777" w:rsidTr="005D0F34">
        <w:trPr>
          <w:trHeight w:val="274"/>
        </w:trPr>
        <w:tc>
          <w:tcPr>
            <w:tcW w:w="2250" w:type="dxa"/>
            <w:gridSpan w:val="2"/>
            <w:vMerge w:val="restart"/>
            <w:shd w:val="clear" w:color="auto" w:fill="auto"/>
          </w:tcPr>
          <w:p w14:paraId="310B6B14" w14:textId="77777777" w:rsidR="00117C36" w:rsidRPr="005D0F34" w:rsidRDefault="00117C36" w:rsidP="00BC08F6">
            <w:pPr>
              <w:bidi/>
              <w:spacing w:after="60"/>
              <w:rPr>
                <w:sz w:val="17"/>
                <w:szCs w:val="17"/>
                <w:lang w:bidi="ar-EG"/>
              </w:rPr>
            </w:pPr>
            <w:r w:rsidRPr="005D0F34">
              <w:rPr>
                <w:rFonts w:hint="cs"/>
                <w:sz w:val="17"/>
                <w:szCs w:val="17"/>
                <w:rtl/>
                <w:lang w:bidi="ar-EG"/>
              </w:rPr>
              <w:t>إجمالي التمويل المطلوب للموافقة عليه في هذا الاجتماع (دولار أمريكي)</w:t>
            </w:r>
          </w:p>
        </w:tc>
        <w:tc>
          <w:tcPr>
            <w:tcW w:w="1170" w:type="dxa"/>
            <w:shd w:val="clear" w:color="auto" w:fill="auto"/>
          </w:tcPr>
          <w:p w14:paraId="1E17B256" w14:textId="77777777" w:rsidR="00117C36" w:rsidRPr="005D0F34" w:rsidRDefault="00117C36" w:rsidP="00A353E9">
            <w:pPr>
              <w:bidi/>
              <w:spacing w:after="60"/>
              <w:rPr>
                <w:sz w:val="17"/>
                <w:szCs w:val="17"/>
              </w:rPr>
            </w:pPr>
            <w:r w:rsidRPr="005D0F34">
              <w:rPr>
                <w:rFonts w:hint="cs"/>
                <w:sz w:val="17"/>
                <w:szCs w:val="17"/>
                <w:rtl/>
              </w:rPr>
              <w:t>تكاليف المشروع</w:t>
            </w:r>
          </w:p>
        </w:tc>
        <w:tc>
          <w:tcPr>
            <w:tcW w:w="648" w:type="dxa"/>
            <w:shd w:val="clear" w:color="auto" w:fill="auto"/>
            <w:tcMar>
              <w:left w:w="14" w:type="dxa"/>
              <w:right w:w="14" w:type="dxa"/>
            </w:tcMar>
          </w:tcPr>
          <w:p w14:paraId="0E215F71"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31572F7E"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78C5CC83"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5743B254"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5B1D1A5A" w14:textId="77777777" w:rsidR="00117C36" w:rsidRPr="005D0F34" w:rsidRDefault="00117C36" w:rsidP="008F1E3A">
            <w:pPr>
              <w:bidi/>
              <w:spacing w:after="60"/>
              <w:jc w:val="left"/>
              <w:rPr>
                <w:sz w:val="17"/>
                <w:szCs w:val="17"/>
              </w:rPr>
            </w:pPr>
          </w:p>
        </w:tc>
        <w:tc>
          <w:tcPr>
            <w:tcW w:w="540" w:type="dxa"/>
            <w:shd w:val="clear" w:color="auto" w:fill="auto"/>
            <w:tcMar>
              <w:left w:w="14" w:type="dxa"/>
              <w:right w:w="14" w:type="dxa"/>
            </w:tcMar>
          </w:tcPr>
          <w:p w14:paraId="0688E6BC" w14:textId="77777777" w:rsidR="00117C36" w:rsidRPr="005D0F34" w:rsidRDefault="00117C36" w:rsidP="008F1E3A">
            <w:pPr>
              <w:bidi/>
              <w:spacing w:after="60"/>
              <w:jc w:val="left"/>
              <w:rPr>
                <w:sz w:val="17"/>
                <w:szCs w:val="17"/>
              </w:rPr>
            </w:pPr>
          </w:p>
        </w:tc>
        <w:tc>
          <w:tcPr>
            <w:tcW w:w="540" w:type="dxa"/>
            <w:shd w:val="clear" w:color="auto" w:fill="auto"/>
            <w:tcMar>
              <w:left w:w="14" w:type="dxa"/>
              <w:right w:w="14" w:type="dxa"/>
            </w:tcMar>
          </w:tcPr>
          <w:p w14:paraId="4D086D53" w14:textId="77777777" w:rsidR="00117C36" w:rsidRPr="005D0F34" w:rsidRDefault="00117C36" w:rsidP="008F1E3A">
            <w:pPr>
              <w:bidi/>
              <w:spacing w:after="60"/>
              <w:jc w:val="left"/>
              <w:rPr>
                <w:sz w:val="17"/>
                <w:szCs w:val="17"/>
              </w:rPr>
            </w:pPr>
          </w:p>
        </w:tc>
        <w:tc>
          <w:tcPr>
            <w:tcW w:w="630" w:type="dxa"/>
            <w:shd w:val="clear" w:color="auto" w:fill="auto"/>
            <w:tcMar>
              <w:left w:w="14" w:type="dxa"/>
              <w:right w:w="14" w:type="dxa"/>
            </w:tcMar>
          </w:tcPr>
          <w:p w14:paraId="5756D760" w14:textId="77777777" w:rsidR="00117C36" w:rsidRPr="005D0F34" w:rsidRDefault="00117C36" w:rsidP="008F1E3A">
            <w:pPr>
              <w:bidi/>
              <w:spacing w:after="60"/>
              <w:jc w:val="left"/>
              <w:rPr>
                <w:sz w:val="17"/>
                <w:szCs w:val="17"/>
              </w:rPr>
            </w:pPr>
          </w:p>
        </w:tc>
        <w:tc>
          <w:tcPr>
            <w:tcW w:w="477" w:type="dxa"/>
            <w:shd w:val="clear" w:color="auto" w:fill="auto"/>
            <w:tcMar>
              <w:left w:w="14" w:type="dxa"/>
              <w:right w:w="14" w:type="dxa"/>
            </w:tcMar>
          </w:tcPr>
          <w:p w14:paraId="39916FFE" w14:textId="77777777" w:rsidR="00117C36" w:rsidRPr="005D0F34" w:rsidRDefault="00117C36" w:rsidP="008F1E3A">
            <w:pPr>
              <w:bidi/>
              <w:spacing w:after="60"/>
              <w:jc w:val="left"/>
              <w:rPr>
                <w:sz w:val="17"/>
                <w:szCs w:val="17"/>
              </w:rPr>
            </w:pPr>
          </w:p>
        </w:tc>
        <w:tc>
          <w:tcPr>
            <w:tcW w:w="603" w:type="dxa"/>
            <w:shd w:val="clear" w:color="auto" w:fill="auto"/>
            <w:tcMar>
              <w:left w:w="14" w:type="dxa"/>
              <w:right w:w="14" w:type="dxa"/>
            </w:tcMar>
          </w:tcPr>
          <w:p w14:paraId="1B822F41" w14:textId="77777777" w:rsidR="00117C36" w:rsidRPr="005D0F34" w:rsidRDefault="00117C36" w:rsidP="00A353E9">
            <w:pPr>
              <w:bidi/>
              <w:spacing w:after="60"/>
              <w:jc w:val="left"/>
              <w:rPr>
                <w:sz w:val="17"/>
                <w:szCs w:val="17"/>
              </w:rPr>
            </w:pPr>
            <w:r w:rsidRPr="005D0F34">
              <w:rPr>
                <w:rFonts w:hint="cs"/>
                <w:sz w:val="17"/>
                <w:szCs w:val="17"/>
                <w:rtl/>
              </w:rPr>
              <w:t>33,000</w:t>
            </w:r>
          </w:p>
        </w:tc>
        <w:tc>
          <w:tcPr>
            <w:tcW w:w="720" w:type="dxa"/>
            <w:shd w:val="clear" w:color="auto" w:fill="auto"/>
            <w:tcMar>
              <w:left w:w="14" w:type="dxa"/>
              <w:right w:w="14" w:type="dxa"/>
            </w:tcMar>
          </w:tcPr>
          <w:p w14:paraId="6C5B8B21" w14:textId="77777777" w:rsidR="00117C36" w:rsidRPr="005D0F34" w:rsidRDefault="00117C36" w:rsidP="00A353E9">
            <w:pPr>
              <w:bidi/>
              <w:spacing w:after="60"/>
              <w:jc w:val="left"/>
              <w:rPr>
                <w:sz w:val="17"/>
                <w:szCs w:val="17"/>
              </w:rPr>
            </w:pPr>
            <w:r w:rsidRPr="005D0F34">
              <w:rPr>
                <w:rFonts w:hint="cs"/>
                <w:sz w:val="17"/>
                <w:szCs w:val="17"/>
                <w:rtl/>
              </w:rPr>
              <w:t>33,000</w:t>
            </w:r>
          </w:p>
        </w:tc>
      </w:tr>
      <w:tr w:rsidR="005D0F34" w:rsidRPr="00FB3E75" w14:paraId="2797D8C2" w14:textId="77777777" w:rsidTr="005D0F34">
        <w:trPr>
          <w:trHeight w:val="256"/>
        </w:trPr>
        <w:tc>
          <w:tcPr>
            <w:tcW w:w="2250" w:type="dxa"/>
            <w:gridSpan w:val="2"/>
            <w:vMerge/>
            <w:shd w:val="clear" w:color="auto" w:fill="auto"/>
          </w:tcPr>
          <w:p w14:paraId="78381FA7" w14:textId="77777777" w:rsidR="00117C36" w:rsidRPr="005D0F34" w:rsidRDefault="00117C36" w:rsidP="00DF6BDA">
            <w:pPr>
              <w:bidi/>
              <w:spacing w:after="60"/>
              <w:jc w:val="center"/>
              <w:rPr>
                <w:sz w:val="17"/>
                <w:szCs w:val="17"/>
              </w:rPr>
            </w:pPr>
          </w:p>
        </w:tc>
        <w:tc>
          <w:tcPr>
            <w:tcW w:w="1170" w:type="dxa"/>
            <w:shd w:val="clear" w:color="auto" w:fill="auto"/>
          </w:tcPr>
          <w:p w14:paraId="1C233B1D" w14:textId="77777777" w:rsidR="00117C36" w:rsidRPr="005D0F34" w:rsidRDefault="00117C36" w:rsidP="00A353E9">
            <w:pPr>
              <w:bidi/>
              <w:spacing w:after="60"/>
              <w:rPr>
                <w:sz w:val="17"/>
                <w:szCs w:val="17"/>
              </w:rPr>
            </w:pPr>
            <w:r w:rsidRPr="005D0F34">
              <w:rPr>
                <w:rFonts w:hint="cs"/>
                <w:sz w:val="17"/>
                <w:szCs w:val="17"/>
                <w:rtl/>
              </w:rPr>
              <w:t>تكاليف الدعم</w:t>
            </w:r>
          </w:p>
        </w:tc>
        <w:tc>
          <w:tcPr>
            <w:tcW w:w="648" w:type="dxa"/>
            <w:shd w:val="clear" w:color="auto" w:fill="auto"/>
            <w:tcMar>
              <w:left w:w="14" w:type="dxa"/>
              <w:right w:w="14" w:type="dxa"/>
            </w:tcMar>
          </w:tcPr>
          <w:p w14:paraId="0E9F7B50"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174A733F"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1E3400CB"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4C0F3B78" w14:textId="77777777" w:rsidR="00117C36" w:rsidRPr="005D0F34" w:rsidRDefault="00117C36" w:rsidP="008F1E3A">
            <w:pPr>
              <w:bidi/>
              <w:spacing w:after="60"/>
              <w:jc w:val="left"/>
              <w:rPr>
                <w:sz w:val="17"/>
                <w:szCs w:val="17"/>
              </w:rPr>
            </w:pPr>
          </w:p>
        </w:tc>
        <w:tc>
          <w:tcPr>
            <w:tcW w:w="648" w:type="dxa"/>
            <w:shd w:val="clear" w:color="auto" w:fill="auto"/>
            <w:tcMar>
              <w:left w:w="14" w:type="dxa"/>
              <w:right w:w="14" w:type="dxa"/>
            </w:tcMar>
          </w:tcPr>
          <w:p w14:paraId="7F694E9F" w14:textId="77777777" w:rsidR="00117C36" w:rsidRPr="005D0F34" w:rsidRDefault="00117C36" w:rsidP="008F1E3A">
            <w:pPr>
              <w:bidi/>
              <w:spacing w:after="60"/>
              <w:jc w:val="left"/>
              <w:rPr>
                <w:sz w:val="17"/>
                <w:szCs w:val="17"/>
              </w:rPr>
            </w:pPr>
          </w:p>
        </w:tc>
        <w:tc>
          <w:tcPr>
            <w:tcW w:w="540" w:type="dxa"/>
            <w:shd w:val="clear" w:color="auto" w:fill="auto"/>
            <w:tcMar>
              <w:left w:w="14" w:type="dxa"/>
              <w:right w:w="14" w:type="dxa"/>
            </w:tcMar>
          </w:tcPr>
          <w:p w14:paraId="05FA1669" w14:textId="77777777" w:rsidR="00117C36" w:rsidRPr="005D0F34" w:rsidRDefault="00117C36" w:rsidP="008F1E3A">
            <w:pPr>
              <w:bidi/>
              <w:spacing w:after="60"/>
              <w:jc w:val="left"/>
              <w:rPr>
                <w:sz w:val="17"/>
                <w:szCs w:val="17"/>
              </w:rPr>
            </w:pPr>
          </w:p>
        </w:tc>
        <w:tc>
          <w:tcPr>
            <w:tcW w:w="540" w:type="dxa"/>
            <w:shd w:val="clear" w:color="auto" w:fill="auto"/>
            <w:tcMar>
              <w:left w:w="14" w:type="dxa"/>
              <w:right w:w="14" w:type="dxa"/>
            </w:tcMar>
          </w:tcPr>
          <w:p w14:paraId="663A7C4E" w14:textId="77777777" w:rsidR="00117C36" w:rsidRPr="005D0F34" w:rsidRDefault="00117C36" w:rsidP="008F1E3A">
            <w:pPr>
              <w:bidi/>
              <w:spacing w:after="60"/>
              <w:jc w:val="left"/>
              <w:rPr>
                <w:sz w:val="17"/>
                <w:szCs w:val="17"/>
              </w:rPr>
            </w:pPr>
          </w:p>
        </w:tc>
        <w:tc>
          <w:tcPr>
            <w:tcW w:w="630" w:type="dxa"/>
            <w:shd w:val="clear" w:color="auto" w:fill="auto"/>
            <w:tcMar>
              <w:left w:w="14" w:type="dxa"/>
              <w:right w:w="14" w:type="dxa"/>
            </w:tcMar>
          </w:tcPr>
          <w:p w14:paraId="6CBFA515" w14:textId="77777777" w:rsidR="00117C36" w:rsidRPr="005D0F34" w:rsidRDefault="00117C36" w:rsidP="008F1E3A">
            <w:pPr>
              <w:bidi/>
              <w:spacing w:after="60"/>
              <w:jc w:val="left"/>
              <w:rPr>
                <w:sz w:val="17"/>
                <w:szCs w:val="17"/>
              </w:rPr>
            </w:pPr>
          </w:p>
        </w:tc>
        <w:tc>
          <w:tcPr>
            <w:tcW w:w="477" w:type="dxa"/>
            <w:shd w:val="clear" w:color="auto" w:fill="auto"/>
            <w:tcMar>
              <w:left w:w="14" w:type="dxa"/>
              <w:right w:w="14" w:type="dxa"/>
            </w:tcMar>
          </w:tcPr>
          <w:p w14:paraId="0F2D1449" w14:textId="77777777" w:rsidR="00117C36" w:rsidRPr="005D0F34" w:rsidRDefault="00117C36" w:rsidP="008F1E3A">
            <w:pPr>
              <w:bidi/>
              <w:spacing w:after="60"/>
              <w:jc w:val="left"/>
              <w:rPr>
                <w:sz w:val="17"/>
                <w:szCs w:val="17"/>
              </w:rPr>
            </w:pPr>
          </w:p>
        </w:tc>
        <w:tc>
          <w:tcPr>
            <w:tcW w:w="603" w:type="dxa"/>
            <w:shd w:val="clear" w:color="auto" w:fill="auto"/>
            <w:tcMar>
              <w:left w:w="14" w:type="dxa"/>
              <w:right w:w="14" w:type="dxa"/>
            </w:tcMar>
          </w:tcPr>
          <w:p w14:paraId="4F6FFF86" w14:textId="77777777" w:rsidR="00117C36" w:rsidRPr="005D0F34" w:rsidRDefault="00117C36" w:rsidP="00A353E9">
            <w:pPr>
              <w:bidi/>
              <w:spacing w:after="60"/>
              <w:jc w:val="left"/>
              <w:rPr>
                <w:sz w:val="17"/>
                <w:szCs w:val="17"/>
              </w:rPr>
            </w:pPr>
            <w:r w:rsidRPr="005D0F34">
              <w:rPr>
                <w:rFonts w:hint="cs"/>
                <w:sz w:val="17"/>
                <w:szCs w:val="17"/>
                <w:rtl/>
              </w:rPr>
              <w:t>2,475</w:t>
            </w:r>
          </w:p>
        </w:tc>
        <w:tc>
          <w:tcPr>
            <w:tcW w:w="720" w:type="dxa"/>
            <w:shd w:val="clear" w:color="auto" w:fill="auto"/>
            <w:tcMar>
              <w:left w:w="14" w:type="dxa"/>
              <w:right w:w="14" w:type="dxa"/>
            </w:tcMar>
          </w:tcPr>
          <w:p w14:paraId="16AA8AB4" w14:textId="77777777" w:rsidR="00117C36" w:rsidRPr="005D0F34" w:rsidRDefault="00117C36" w:rsidP="00A353E9">
            <w:pPr>
              <w:bidi/>
              <w:spacing w:after="60"/>
              <w:jc w:val="left"/>
              <w:rPr>
                <w:sz w:val="17"/>
                <w:szCs w:val="17"/>
              </w:rPr>
            </w:pPr>
            <w:r w:rsidRPr="005D0F34">
              <w:rPr>
                <w:rFonts w:hint="cs"/>
                <w:sz w:val="17"/>
                <w:szCs w:val="17"/>
                <w:rtl/>
              </w:rPr>
              <w:t>2,475</w:t>
            </w:r>
          </w:p>
        </w:tc>
      </w:tr>
    </w:tbl>
    <w:p w14:paraId="07635B41" w14:textId="77777777" w:rsidR="005D0F34" w:rsidRPr="009469D5" w:rsidRDefault="005D0F34" w:rsidP="009469D5">
      <w:pPr>
        <w:bidi/>
        <w:ind w:right="-270" w:hanging="540"/>
        <w:rPr>
          <w:spacing w:val="-4"/>
          <w:sz w:val="17"/>
          <w:szCs w:val="17"/>
          <w:rtl/>
          <w:lang w:val="en-CA" w:bidi="ar-AE"/>
        </w:rPr>
      </w:pPr>
      <w:r w:rsidRPr="009469D5">
        <w:rPr>
          <w:rFonts w:hint="cs"/>
          <w:spacing w:val="-4"/>
          <w:sz w:val="17"/>
          <w:szCs w:val="17"/>
          <w:rtl/>
          <w:lang w:val="en-CA"/>
        </w:rPr>
        <w:t xml:space="preserve">* </w:t>
      </w:r>
      <w:r w:rsidR="00357B53" w:rsidRPr="009469D5">
        <w:rPr>
          <w:rFonts w:hint="cs"/>
          <w:spacing w:val="-4"/>
          <w:sz w:val="17"/>
          <w:szCs w:val="17"/>
          <w:rtl/>
          <w:lang w:val="en-CA" w:bidi="ar-AE"/>
        </w:rPr>
        <w:t xml:space="preserve">يتضمن </w:t>
      </w:r>
      <w:r w:rsidR="00357B53" w:rsidRPr="00B92BE4">
        <w:rPr>
          <w:rFonts w:hint="cs"/>
          <w:spacing w:val="-4"/>
          <w:sz w:val="17"/>
          <w:szCs w:val="17"/>
          <w:rtl/>
          <w:lang w:val="en-CA" w:bidi="ar-AE"/>
        </w:rPr>
        <w:t>اقتطاع ال</w:t>
      </w:r>
      <w:r w:rsidR="00B2547B">
        <w:rPr>
          <w:rFonts w:hint="cs"/>
          <w:spacing w:val="-4"/>
          <w:sz w:val="17"/>
          <w:szCs w:val="17"/>
          <w:rtl/>
          <w:lang w:val="en-CA" w:bidi="ar-AE"/>
        </w:rPr>
        <w:t>بند</w:t>
      </w:r>
      <w:r w:rsidR="00357B53" w:rsidRPr="00B92BE4">
        <w:rPr>
          <w:rFonts w:hint="cs"/>
          <w:spacing w:val="-4"/>
          <w:sz w:val="17"/>
          <w:szCs w:val="17"/>
          <w:rtl/>
          <w:lang w:val="en-CA" w:bidi="ar-AE"/>
        </w:rPr>
        <w:t xml:space="preserve"> الجزائي البالغ15</w:t>
      </w:r>
      <w:r w:rsidR="00357B53" w:rsidRPr="009469D5">
        <w:rPr>
          <w:rFonts w:hint="cs"/>
          <w:spacing w:val="-4"/>
          <w:sz w:val="17"/>
          <w:szCs w:val="17"/>
          <w:rtl/>
          <w:lang w:val="en-CA" w:bidi="ar-AE"/>
        </w:rPr>
        <w:t xml:space="preserve"> في المائة المطبق على التمويل الم</w:t>
      </w:r>
      <w:r w:rsidR="00B2547B">
        <w:rPr>
          <w:rFonts w:hint="cs"/>
          <w:spacing w:val="-4"/>
          <w:sz w:val="17"/>
          <w:szCs w:val="17"/>
          <w:rtl/>
          <w:lang w:val="en-CA" w:bidi="ar-AE"/>
        </w:rPr>
        <w:t>تفق</w:t>
      </w:r>
      <w:r w:rsidR="00357B53" w:rsidRPr="009469D5">
        <w:rPr>
          <w:rFonts w:hint="cs"/>
          <w:spacing w:val="-4"/>
          <w:sz w:val="17"/>
          <w:szCs w:val="17"/>
          <w:rtl/>
          <w:lang w:val="en-CA" w:bidi="ar-AE"/>
        </w:rPr>
        <w:t xml:space="preserve"> عليه بمبلغ 45,000 دولار أمريكي وتكاليف دعم الوكالة بمبلغ 5,850 دولار أمريكي للشريحة الثالثة (المقرر 75/59(ب)).</w:t>
      </w:r>
    </w:p>
    <w:p w14:paraId="09B078C0" w14:textId="77777777" w:rsidR="009469D5" w:rsidRPr="00BD406D" w:rsidRDefault="009469D5" w:rsidP="009469D5">
      <w:pPr>
        <w:jc w:val="center"/>
        <w:rPr>
          <w:spacing w:val="-4"/>
          <w:sz w:val="16"/>
          <w:szCs w:val="16"/>
          <w:rtl/>
          <w:lang w:val="en-US" w:bidi="ar-AE"/>
        </w:rPr>
      </w:pPr>
    </w:p>
    <w:tbl>
      <w:tblPr>
        <w:tblStyle w:val="TableGrid"/>
        <w:bidiVisual/>
        <w:tblW w:w="1000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3D0E08" w:rsidRPr="00FB3E75" w14:paraId="4E70002D" w14:textId="77777777" w:rsidTr="005C7429">
        <w:trPr>
          <w:trHeight w:val="240"/>
        </w:trPr>
        <w:tc>
          <w:tcPr>
            <w:tcW w:w="3000" w:type="dxa"/>
            <w:shd w:val="clear" w:color="auto" w:fill="auto"/>
          </w:tcPr>
          <w:p w14:paraId="521510B3" w14:textId="77777777" w:rsidR="003D0E08" w:rsidRPr="00BD406D" w:rsidRDefault="00357B53" w:rsidP="00DF6BDA">
            <w:pPr>
              <w:bidi/>
              <w:spacing w:after="60"/>
              <w:rPr>
                <w:bCs/>
                <w:sz w:val="18"/>
                <w:szCs w:val="18"/>
              </w:rPr>
            </w:pPr>
            <w:r w:rsidRPr="00BD406D">
              <w:rPr>
                <w:rFonts w:hint="cs"/>
                <w:bCs/>
                <w:sz w:val="18"/>
                <w:szCs w:val="18"/>
                <w:rtl/>
              </w:rPr>
              <w:t>توصيات الأمانة:</w:t>
            </w:r>
          </w:p>
        </w:tc>
        <w:tc>
          <w:tcPr>
            <w:tcW w:w="7000" w:type="dxa"/>
            <w:shd w:val="clear" w:color="auto" w:fill="auto"/>
          </w:tcPr>
          <w:p w14:paraId="0D2E90A7" w14:textId="77777777" w:rsidR="003D0E08" w:rsidRPr="00BD406D" w:rsidRDefault="003D13C4" w:rsidP="00DF6BDA">
            <w:pPr>
              <w:bidi/>
              <w:spacing w:after="60"/>
              <w:jc w:val="center"/>
              <w:rPr>
                <w:sz w:val="18"/>
                <w:szCs w:val="18"/>
              </w:rPr>
            </w:pPr>
            <w:r>
              <w:rPr>
                <w:rFonts w:hint="cs"/>
                <w:sz w:val="18"/>
                <w:szCs w:val="18"/>
                <w:rtl/>
              </w:rPr>
              <w:t>ال</w:t>
            </w:r>
            <w:r w:rsidR="00BD406D" w:rsidRPr="00BD406D">
              <w:rPr>
                <w:rFonts w:hint="cs"/>
                <w:sz w:val="18"/>
                <w:szCs w:val="18"/>
                <w:rtl/>
              </w:rPr>
              <w:t xml:space="preserve">موافقة </w:t>
            </w:r>
            <w:r>
              <w:rPr>
                <w:rFonts w:hint="cs"/>
                <w:sz w:val="18"/>
                <w:szCs w:val="18"/>
                <w:rtl/>
              </w:rPr>
              <w:t>ال</w:t>
            </w:r>
            <w:r w:rsidR="00BD406D" w:rsidRPr="00BD406D">
              <w:rPr>
                <w:rFonts w:hint="cs"/>
                <w:sz w:val="18"/>
                <w:szCs w:val="18"/>
                <w:rtl/>
              </w:rPr>
              <w:t>شمولية</w:t>
            </w:r>
          </w:p>
        </w:tc>
      </w:tr>
    </w:tbl>
    <w:p w14:paraId="39C3B050" w14:textId="77777777" w:rsidR="003D0E08" w:rsidRPr="009469D5" w:rsidRDefault="003D0E08" w:rsidP="003D0E08">
      <w:pPr>
        <w:jc w:val="center"/>
        <w:rPr>
          <w:b/>
          <w:sz w:val="12"/>
          <w:szCs w:val="8"/>
          <w:lang w:val="en-CA"/>
        </w:rPr>
      </w:pPr>
    </w:p>
    <w:p w14:paraId="234FD178" w14:textId="77777777" w:rsidR="00786481" w:rsidRPr="00490B63" w:rsidRDefault="00490B63" w:rsidP="00490B63">
      <w:pPr>
        <w:bidi/>
        <w:spacing w:after="80"/>
        <w:jc w:val="center"/>
        <w:rPr>
          <w:bCs/>
          <w:sz w:val="26"/>
          <w:szCs w:val="26"/>
          <w:rtl/>
          <w:lang w:bidi="ar-AE"/>
        </w:rPr>
      </w:pPr>
      <w:r>
        <w:rPr>
          <w:rFonts w:hint="cs"/>
          <w:bCs/>
          <w:sz w:val="26"/>
          <w:szCs w:val="26"/>
          <w:rtl/>
          <w:lang w:bidi="ar-AE"/>
        </w:rPr>
        <w:lastRenderedPageBreak/>
        <w:t>وصف المشروع</w:t>
      </w:r>
    </w:p>
    <w:p w14:paraId="4823AB5B" w14:textId="77777777" w:rsidR="00786481" w:rsidRPr="00490B63" w:rsidRDefault="00685B8C" w:rsidP="00FC1BD8">
      <w:pPr>
        <w:pStyle w:val="Heading1"/>
        <w:numPr>
          <w:ilvl w:val="0"/>
          <w:numId w:val="11"/>
        </w:numPr>
        <w:bidi/>
        <w:ind w:left="794" w:hanging="794"/>
        <w:rPr>
          <w:sz w:val="22"/>
          <w:szCs w:val="26"/>
        </w:rPr>
      </w:pPr>
      <w:r w:rsidRPr="00685B8C">
        <w:rPr>
          <w:sz w:val="22"/>
          <w:szCs w:val="26"/>
          <w:rtl/>
        </w:rPr>
        <w:t>بالنيابة عن حكومة غواتيمالا، تقدم اليونيدو، بوصفها الوكالة المنفذة الرئيسية، طلبا</w:t>
      </w:r>
      <w:r>
        <w:rPr>
          <w:rFonts w:hint="cs"/>
          <w:sz w:val="22"/>
          <w:szCs w:val="26"/>
          <w:rtl/>
        </w:rPr>
        <w:t>ً</w:t>
      </w:r>
      <w:r w:rsidRPr="00685B8C">
        <w:rPr>
          <w:sz w:val="22"/>
          <w:szCs w:val="26"/>
          <w:rtl/>
        </w:rPr>
        <w:t xml:space="preserve"> لتمويل الشريحة </w:t>
      </w:r>
      <w:r w:rsidRPr="00720607">
        <w:rPr>
          <w:sz w:val="22"/>
          <w:szCs w:val="26"/>
          <w:rtl/>
        </w:rPr>
        <w:t>الخامسة والنهائية</w:t>
      </w:r>
      <w:r w:rsidRPr="00685B8C">
        <w:rPr>
          <w:sz w:val="22"/>
          <w:szCs w:val="26"/>
          <w:rtl/>
        </w:rPr>
        <w:t xml:space="preserve"> من المرحلة الأولى من خطة إدارة إزالة المواد الهيدروكلوروفلوروكربونية </w:t>
      </w:r>
      <w:r w:rsidR="00FC1BD8">
        <w:rPr>
          <w:rFonts w:hint="cs"/>
          <w:sz w:val="22"/>
          <w:szCs w:val="26"/>
          <w:rtl/>
        </w:rPr>
        <w:t>بمبلغ</w:t>
      </w:r>
      <w:r w:rsidRPr="00685B8C">
        <w:rPr>
          <w:sz w:val="22"/>
          <w:szCs w:val="26"/>
          <w:rtl/>
        </w:rPr>
        <w:t xml:space="preserve"> 33,000 دولار أمريكي، بالإضافة إلى تكاليف دعم الوكالة </w:t>
      </w:r>
      <w:r w:rsidR="00FC1BD8">
        <w:rPr>
          <w:rFonts w:hint="cs"/>
          <w:sz w:val="22"/>
          <w:szCs w:val="26"/>
          <w:rtl/>
        </w:rPr>
        <w:t>بمبلغ</w:t>
      </w:r>
      <w:r w:rsidRPr="00685B8C">
        <w:rPr>
          <w:sz w:val="22"/>
          <w:szCs w:val="26"/>
          <w:rtl/>
        </w:rPr>
        <w:t xml:space="preserve"> 2,475 دولار أمريكي لليونيدو فقط</w:t>
      </w:r>
      <w:r>
        <w:rPr>
          <w:rStyle w:val="FootnoteReference"/>
          <w:sz w:val="22"/>
          <w:szCs w:val="26"/>
          <w:rtl/>
        </w:rPr>
        <w:footnoteReference w:id="1"/>
      </w:r>
      <w:r w:rsidRPr="00685B8C">
        <w:rPr>
          <w:sz w:val="22"/>
          <w:szCs w:val="26"/>
          <w:rtl/>
        </w:rPr>
        <w:t>. ويشتمل الطلب على تقرير مرحلي بشأن تنفيذ الشريحة الرابعة وخطة تنفيذ الشريحة لعام 2020-2021.</w:t>
      </w:r>
    </w:p>
    <w:p w14:paraId="1B7195D5" w14:textId="77777777" w:rsidR="005645D1" w:rsidRPr="005645D1" w:rsidRDefault="00E9274E" w:rsidP="00BC2D15">
      <w:pPr>
        <w:pStyle w:val="Heading1"/>
        <w:numPr>
          <w:ilvl w:val="0"/>
          <w:numId w:val="0"/>
        </w:numPr>
        <w:bidi/>
        <w:rPr>
          <w:sz w:val="26"/>
          <w:szCs w:val="26"/>
        </w:rPr>
      </w:pPr>
      <w:r>
        <w:rPr>
          <w:rFonts w:hint="cs"/>
          <w:sz w:val="26"/>
          <w:szCs w:val="26"/>
          <w:u w:val="single"/>
          <w:rtl/>
        </w:rPr>
        <w:t xml:space="preserve">تقرير </w:t>
      </w:r>
      <w:r w:rsidR="00BC2D15">
        <w:rPr>
          <w:rFonts w:hint="cs"/>
          <w:sz w:val="26"/>
          <w:szCs w:val="26"/>
          <w:u w:val="single"/>
          <w:rtl/>
        </w:rPr>
        <w:t>بشأن</w:t>
      </w:r>
      <w:r>
        <w:rPr>
          <w:rFonts w:hint="cs"/>
          <w:sz w:val="26"/>
          <w:szCs w:val="26"/>
          <w:u w:val="single"/>
          <w:rtl/>
        </w:rPr>
        <w:t xml:space="preserve"> استهلاك المواد الهيدروكلوروفلوروكربونية</w:t>
      </w:r>
    </w:p>
    <w:p w14:paraId="6F8DC2B3" w14:textId="77777777" w:rsidR="005645D1" w:rsidRPr="00317E49" w:rsidRDefault="00BC2D15" w:rsidP="006B6C3D">
      <w:pPr>
        <w:pStyle w:val="Heading1"/>
        <w:numPr>
          <w:ilvl w:val="0"/>
          <w:numId w:val="11"/>
        </w:numPr>
        <w:bidi/>
        <w:ind w:left="794" w:hanging="794"/>
        <w:rPr>
          <w:sz w:val="22"/>
          <w:szCs w:val="26"/>
        </w:rPr>
      </w:pPr>
      <w:r w:rsidRPr="00BC2D15">
        <w:rPr>
          <w:sz w:val="22"/>
          <w:szCs w:val="26"/>
          <w:rtl/>
        </w:rPr>
        <w:t>قد</w:t>
      </w:r>
      <w:r>
        <w:rPr>
          <w:rFonts w:hint="cs"/>
          <w:sz w:val="22"/>
          <w:szCs w:val="26"/>
          <w:rtl/>
        </w:rPr>
        <w:t>َّ</w:t>
      </w:r>
      <w:r w:rsidRPr="00BC2D15">
        <w:rPr>
          <w:sz w:val="22"/>
          <w:szCs w:val="26"/>
          <w:rtl/>
        </w:rPr>
        <w:t>رت حكومة غواتيمالا الاستهلاك بمقدار 3.19 طن من قدرات استنفاد الأوزون من المواد الهيدروكلوروفلوروكربونية في عام 201</w:t>
      </w:r>
      <w:r>
        <w:rPr>
          <w:sz w:val="22"/>
          <w:szCs w:val="26"/>
          <w:rtl/>
        </w:rPr>
        <w:t xml:space="preserve">9، أي </w:t>
      </w:r>
      <w:r w:rsidR="00B2547B">
        <w:rPr>
          <w:rFonts w:hint="cs"/>
          <w:sz w:val="22"/>
          <w:szCs w:val="26"/>
          <w:rtl/>
        </w:rPr>
        <w:t xml:space="preserve">أقل </w:t>
      </w:r>
      <w:r>
        <w:rPr>
          <w:sz w:val="22"/>
          <w:szCs w:val="26"/>
          <w:rtl/>
        </w:rPr>
        <w:t>بنسبة 62 في المائة</w:t>
      </w:r>
      <w:r w:rsidR="00FC1BD8">
        <w:rPr>
          <w:rFonts w:hint="cs"/>
          <w:sz w:val="22"/>
          <w:szCs w:val="26"/>
          <w:rtl/>
        </w:rPr>
        <w:t xml:space="preserve"> من</w:t>
      </w:r>
      <w:r>
        <w:rPr>
          <w:sz w:val="22"/>
          <w:szCs w:val="26"/>
          <w:rtl/>
        </w:rPr>
        <w:t xml:space="preserve"> خط</w:t>
      </w:r>
      <w:r w:rsidRPr="00BC2D15">
        <w:rPr>
          <w:sz w:val="22"/>
          <w:szCs w:val="26"/>
          <w:rtl/>
        </w:rPr>
        <w:t xml:space="preserve"> أساس الامتثال لاستهلاك المواد الهيدروكلوروفلوروكربونية. و</w:t>
      </w:r>
      <w:r w:rsidR="00F5785C">
        <w:rPr>
          <w:rFonts w:hint="cs"/>
          <w:sz w:val="22"/>
          <w:szCs w:val="26"/>
          <w:rtl/>
          <w:lang w:val="en-NZ" w:bidi="ar-SY"/>
        </w:rPr>
        <w:t xml:space="preserve">يبين </w:t>
      </w:r>
      <w:r w:rsidR="00F5785C" w:rsidRPr="00F5785C">
        <w:rPr>
          <w:sz w:val="22"/>
          <w:szCs w:val="26"/>
          <w:rtl/>
          <w:lang w:val="en-NZ" w:bidi="ar-SY"/>
        </w:rPr>
        <w:t xml:space="preserve">الجدول </w:t>
      </w:r>
      <w:r w:rsidR="00640FCB">
        <w:rPr>
          <w:rFonts w:hint="cs"/>
          <w:sz w:val="22"/>
          <w:szCs w:val="26"/>
          <w:rtl/>
          <w:lang w:val="en-NZ" w:bidi="ar-SY"/>
        </w:rPr>
        <w:t>1</w:t>
      </w:r>
      <w:r w:rsidRPr="00BC2D15">
        <w:rPr>
          <w:sz w:val="22"/>
          <w:szCs w:val="26"/>
          <w:rtl/>
        </w:rPr>
        <w:t xml:space="preserve"> استهلاك المواد الهيدروكلوروفلوروكربونية في الفترة بين</w:t>
      </w:r>
      <w:r w:rsidR="006B6C3D">
        <w:rPr>
          <w:rFonts w:hint="cs"/>
          <w:sz w:val="22"/>
          <w:szCs w:val="26"/>
          <w:rtl/>
        </w:rPr>
        <w:t xml:space="preserve"> عامي</w:t>
      </w:r>
      <w:r w:rsidRPr="00BC2D15">
        <w:rPr>
          <w:sz w:val="22"/>
          <w:szCs w:val="26"/>
          <w:rtl/>
        </w:rPr>
        <w:t xml:space="preserve"> 2015</w:t>
      </w:r>
      <w:r>
        <w:rPr>
          <w:rFonts w:hint="cs"/>
          <w:sz w:val="22"/>
          <w:szCs w:val="26"/>
          <w:rtl/>
        </w:rPr>
        <w:t>-</w:t>
      </w:r>
      <w:r w:rsidRPr="00BC2D15">
        <w:rPr>
          <w:sz w:val="22"/>
          <w:szCs w:val="26"/>
          <w:rtl/>
        </w:rPr>
        <w:t>2019 .</w:t>
      </w:r>
    </w:p>
    <w:p w14:paraId="2C734151" w14:textId="77777777" w:rsidR="008A4153" w:rsidRPr="008A4153" w:rsidRDefault="008A4153" w:rsidP="006B6C3D">
      <w:pPr>
        <w:bidi/>
        <w:rPr>
          <w:b/>
          <w:sz w:val="22"/>
          <w:szCs w:val="22"/>
          <w:lang w:val="en-CA"/>
        </w:rPr>
      </w:pPr>
      <w:bookmarkStart w:id="0" w:name="_Hlk37147660"/>
      <w:r w:rsidRPr="008A4153">
        <w:rPr>
          <w:rFonts w:hint="cs"/>
          <w:b/>
          <w:bCs/>
          <w:sz w:val="22"/>
          <w:szCs w:val="22"/>
          <w:rtl/>
          <w:lang w:val="en-CA" w:bidi="ar-EG"/>
        </w:rPr>
        <w:t>الجدول</w:t>
      </w:r>
      <w:r w:rsidR="006B6C3D">
        <w:rPr>
          <w:rFonts w:hint="cs"/>
          <w:b/>
          <w:bCs/>
          <w:sz w:val="22"/>
          <w:szCs w:val="22"/>
          <w:rtl/>
          <w:lang w:val="en-CA" w:bidi="ar-EG"/>
        </w:rPr>
        <w:t>1</w:t>
      </w:r>
      <w:r>
        <w:rPr>
          <w:rFonts w:hint="cs"/>
          <w:b/>
          <w:bCs/>
          <w:sz w:val="22"/>
          <w:szCs w:val="22"/>
          <w:rtl/>
          <w:lang w:val="en-CA" w:bidi="ar-EG"/>
        </w:rPr>
        <w:t xml:space="preserve">: </w:t>
      </w:r>
      <w:r w:rsidRPr="008A4153">
        <w:rPr>
          <w:rFonts w:hint="cs"/>
          <w:b/>
          <w:bCs/>
          <w:sz w:val="22"/>
          <w:szCs w:val="22"/>
          <w:rtl/>
          <w:lang w:val="en-CA" w:bidi="ar-EG"/>
        </w:rPr>
        <w:t xml:space="preserve">استهلاك المواد الهيدروكلوروفلوروكربونية في </w:t>
      </w:r>
      <w:r w:rsidRPr="008A4153">
        <w:rPr>
          <w:b/>
          <w:bCs/>
          <w:sz w:val="22"/>
          <w:szCs w:val="22"/>
          <w:rtl/>
          <w:lang w:val="en-CA"/>
        </w:rPr>
        <w:t>جمهورية غواتيمالا</w:t>
      </w:r>
      <w:r w:rsidRPr="008A4153">
        <w:rPr>
          <w:rFonts w:hint="cs"/>
          <w:b/>
          <w:bCs/>
          <w:sz w:val="22"/>
          <w:szCs w:val="22"/>
          <w:rtl/>
          <w:lang w:val="en-CA" w:bidi="ar-EG"/>
        </w:rPr>
        <w:t xml:space="preserve"> (2015-2019 بيانات المادة 7)</w:t>
      </w:r>
    </w:p>
    <w:tbl>
      <w:tblPr>
        <w:bidiVisual/>
        <w:tblW w:w="9341" w:type="dxa"/>
        <w:tblLook w:val="04A0" w:firstRow="1" w:lastRow="0" w:firstColumn="1" w:lastColumn="0" w:noHBand="0" w:noVBand="1"/>
      </w:tblPr>
      <w:tblGrid>
        <w:gridCol w:w="4944"/>
        <w:gridCol w:w="760"/>
        <w:gridCol w:w="635"/>
        <w:gridCol w:w="635"/>
        <w:gridCol w:w="635"/>
        <w:gridCol w:w="738"/>
        <w:gridCol w:w="994"/>
      </w:tblGrid>
      <w:tr w:rsidR="00390539" w:rsidRPr="006C1FD2" w14:paraId="76CECE90" w14:textId="77777777" w:rsidTr="00FE7BC7">
        <w:trPr>
          <w:trHeight w:val="25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C9D96AB" w14:textId="77777777" w:rsidR="00B33014" w:rsidRPr="006C1FD2" w:rsidRDefault="00B33014" w:rsidP="00B33014">
            <w:pPr>
              <w:widowControl w:val="0"/>
              <w:bidi/>
              <w:jc w:val="left"/>
              <w:rPr>
                <w:b/>
                <w:bCs/>
                <w:color w:val="000000"/>
                <w:sz w:val="20"/>
                <w:lang w:val="en-CA"/>
              </w:rPr>
            </w:pPr>
            <w:r>
              <w:rPr>
                <w:rFonts w:hint="cs"/>
                <w:b/>
                <w:bCs/>
                <w:color w:val="000000"/>
                <w:sz w:val="20"/>
                <w:rtl/>
                <w:lang w:val="en-CA" w:bidi="ar-SA"/>
              </w:rPr>
              <w:t xml:space="preserve">المواد </w:t>
            </w:r>
            <w:r w:rsidRPr="00B33014">
              <w:rPr>
                <w:b/>
                <w:bCs/>
                <w:color w:val="000000"/>
                <w:sz w:val="20"/>
                <w:rtl/>
                <w:lang w:val="en-CA" w:bidi="ar-SA"/>
              </w:rPr>
              <w:t>الهيدروكلوروفلوروكربون</w:t>
            </w:r>
            <w:r>
              <w:rPr>
                <w:rFonts w:hint="cs"/>
                <w:b/>
                <w:bCs/>
                <w:color w:val="000000"/>
                <w:sz w:val="20"/>
                <w:rtl/>
                <w:lang w:val="en-CA" w:bidi="ar-SA"/>
              </w:rPr>
              <w:t>ية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A9FA96" w14:textId="77777777" w:rsidR="00B33014" w:rsidRPr="00B33014" w:rsidRDefault="00B33014" w:rsidP="00B33014">
            <w:pPr>
              <w:widowControl w:val="0"/>
              <w:bidi/>
              <w:jc w:val="center"/>
              <w:rPr>
                <w:b/>
                <w:bCs/>
                <w:color w:val="000000"/>
                <w:sz w:val="20"/>
                <w:lang w:val="en-CA"/>
              </w:rPr>
            </w:pPr>
            <w:r w:rsidRPr="00B33014">
              <w:rPr>
                <w:rFonts w:hint="cs"/>
                <w:b/>
                <w:bCs/>
                <w:color w:val="000000"/>
                <w:sz w:val="20"/>
                <w:rtl/>
                <w:lang w:val="en-CA"/>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FF0584" w14:textId="77777777" w:rsidR="00B33014" w:rsidRPr="00B33014" w:rsidRDefault="00B33014" w:rsidP="00B33014">
            <w:pPr>
              <w:widowControl w:val="0"/>
              <w:bidi/>
              <w:jc w:val="center"/>
              <w:rPr>
                <w:b/>
                <w:bCs/>
                <w:color w:val="000000"/>
                <w:sz w:val="20"/>
                <w:lang w:val="en-CA"/>
              </w:rPr>
            </w:pPr>
            <w:r w:rsidRPr="00B33014">
              <w:rPr>
                <w:rFonts w:hint="cs"/>
                <w:b/>
                <w:bCs/>
                <w:color w:val="000000"/>
                <w:sz w:val="20"/>
                <w:rtl/>
                <w:lang w:val="en-CA"/>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835531" w14:textId="77777777" w:rsidR="00B33014" w:rsidRPr="00B33014" w:rsidRDefault="00B33014" w:rsidP="00B33014">
            <w:pPr>
              <w:widowControl w:val="0"/>
              <w:bidi/>
              <w:jc w:val="center"/>
              <w:rPr>
                <w:b/>
                <w:bCs/>
                <w:color w:val="000000"/>
                <w:sz w:val="20"/>
                <w:lang w:val="en-CA"/>
              </w:rPr>
            </w:pPr>
            <w:r w:rsidRPr="00B33014">
              <w:rPr>
                <w:rFonts w:hint="cs"/>
                <w:b/>
                <w:bCs/>
                <w:color w:val="000000"/>
                <w:sz w:val="20"/>
                <w:rtl/>
                <w:lang w:val="en-CA"/>
              </w:rPr>
              <w:t>2017</w:t>
            </w:r>
          </w:p>
        </w:tc>
        <w:tc>
          <w:tcPr>
            <w:tcW w:w="0" w:type="auto"/>
            <w:tcBorders>
              <w:top w:val="single" w:sz="4" w:space="0" w:color="auto"/>
              <w:left w:val="nil"/>
              <w:bottom w:val="single" w:sz="4" w:space="0" w:color="auto"/>
              <w:right w:val="single" w:sz="4" w:space="0" w:color="auto"/>
            </w:tcBorders>
          </w:tcPr>
          <w:p w14:paraId="32683A81" w14:textId="77777777" w:rsidR="00B33014" w:rsidRPr="00B33014" w:rsidRDefault="00B33014" w:rsidP="00B33014">
            <w:pPr>
              <w:widowControl w:val="0"/>
              <w:bidi/>
              <w:jc w:val="center"/>
              <w:rPr>
                <w:b/>
                <w:bCs/>
                <w:color w:val="000000"/>
                <w:sz w:val="20"/>
                <w:lang w:val="en-CA"/>
              </w:rPr>
            </w:pPr>
            <w:r w:rsidRPr="00B33014">
              <w:rPr>
                <w:rFonts w:hint="cs"/>
                <w:b/>
                <w:bCs/>
                <w:color w:val="000000"/>
                <w:sz w:val="20"/>
                <w:rtl/>
                <w:lang w:val="en-CA"/>
              </w:rPr>
              <w:t>2018</w:t>
            </w:r>
          </w:p>
        </w:tc>
        <w:tc>
          <w:tcPr>
            <w:tcW w:w="0" w:type="auto"/>
            <w:tcBorders>
              <w:top w:val="single" w:sz="4" w:space="0" w:color="auto"/>
              <w:left w:val="single" w:sz="4" w:space="0" w:color="auto"/>
              <w:bottom w:val="single" w:sz="4" w:space="0" w:color="auto"/>
              <w:right w:val="single" w:sz="4" w:space="0" w:color="auto"/>
            </w:tcBorders>
          </w:tcPr>
          <w:p w14:paraId="63992A86" w14:textId="77777777" w:rsidR="00B33014" w:rsidRPr="00B33014" w:rsidRDefault="00B33014" w:rsidP="00B33014">
            <w:pPr>
              <w:widowControl w:val="0"/>
              <w:bidi/>
              <w:jc w:val="center"/>
              <w:rPr>
                <w:b/>
                <w:bCs/>
                <w:color w:val="000000"/>
                <w:sz w:val="20"/>
                <w:lang w:val="en-CA"/>
              </w:rPr>
            </w:pPr>
            <w:r w:rsidRPr="00B33014">
              <w:rPr>
                <w:rFonts w:hint="cs"/>
                <w:b/>
                <w:bCs/>
                <w:color w:val="000000"/>
                <w:sz w:val="20"/>
                <w:rtl/>
                <w:lang w:val="en-CA"/>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13159" w14:textId="77777777" w:rsidR="006669CD" w:rsidRPr="006C1FD2" w:rsidRDefault="00B33014" w:rsidP="00FE7BC7">
            <w:pPr>
              <w:widowControl w:val="0"/>
              <w:bidi/>
              <w:jc w:val="center"/>
              <w:rPr>
                <w:b/>
                <w:bCs/>
                <w:color w:val="000000"/>
                <w:sz w:val="20"/>
                <w:lang w:val="en-CA"/>
              </w:rPr>
            </w:pPr>
            <w:r>
              <w:rPr>
                <w:rFonts w:hint="cs"/>
                <w:b/>
                <w:bCs/>
                <w:color w:val="000000"/>
                <w:sz w:val="20"/>
                <w:rtl/>
                <w:lang w:val="en-CA"/>
              </w:rPr>
              <w:t>خط الأساس</w:t>
            </w:r>
          </w:p>
        </w:tc>
      </w:tr>
      <w:tr w:rsidR="006669CD" w:rsidRPr="006C1FD2" w14:paraId="4001886E" w14:textId="77777777" w:rsidTr="00FE7BC7">
        <w:trPr>
          <w:trHeight w:val="253"/>
        </w:trPr>
        <w:tc>
          <w:tcPr>
            <w:tcW w:w="0" w:type="auto"/>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D76318" w14:textId="77777777" w:rsidR="006669CD" w:rsidRPr="006C1FD2" w:rsidRDefault="009F1855" w:rsidP="00FE7BC7">
            <w:pPr>
              <w:widowControl w:val="0"/>
              <w:bidi/>
              <w:jc w:val="left"/>
              <w:rPr>
                <w:b/>
                <w:bCs/>
                <w:color w:val="000000"/>
                <w:sz w:val="20"/>
                <w:lang w:val="en-CA"/>
              </w:rPr>
            </w:pPr>
            <w:r>
              <w:rPr>
                <w:rFonts w:hint="cs"/>
                <w:b/>
                <w:bCs/>
                <w:color w:val="000000"/>
                <w:sz w:val="20"/>
                <w:rtl/>
                <w:lang w:val="en-CA"/>
              </w:rPr>
              <w:t>طن متري</w:t>
            </w:r>
          </w:p>
        </w:tc>
      </w:tr>
      <w:tr w:rsidR="00390539" w:rsidRPr="006C1FD2" w14:paraId="67B9C948"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5DBAF6B" w14:textId="77777777" w:rsidR="009F1855" w:rsidRPr="006C1FD2" w:rsidRDefault="009F1855" w:rsidP="009F1855">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-22</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27E54BFA" w14:textId="77777777" w:rsidR="006932A7" w:rsidRPr="006C1FD2" w:rsidRDefault="006932A7" w:rsidP="006932A7">
            <w:pPr>
              <w:widowControl w:val="0"/>
              <w:bidi/>
              <w:jc w:val="left"/>
              <w:rPr>
                <w:color w:val="000000"/>
                <w:sz w:val="20"/>
              </w:rPr>
            </w:pPr>
            <w:r>
              <w:rPr>
                <w:rFonts w:hint="cs"/>
                <w:color w:val="000000"/>
                <w:sz w:val="20"/>
                <w:rtl/>
              </w:rPr>
              <w:t>61.80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22A080D3" w14:textId="77777777" w:rsidR="006932A7" w:rsidRPr="006C1FD2" w:rsidRDefault="006932A7" w:rsidP="006932A7">
            <w:pPr>
              <w:widowControl w:val="0"/>
              <w:bidi/>
              <w:jc w:val="left"/>
              <w:rPr>
                <w:color w:val="000000"/>
                <w:sz w:val="20"/>
              </w:rPr>
            </w:pPr>
            <w:r>
              <w:rPr>
                <w:rFonts w:hint="cs"/>
                <w:color w:val="000000"/>
                <w:sz w:val="20"/>
                <w:rtl/>
              </w:rPr>
              <w:t>66.97</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027AF1AD" w14:textId="77777777" w:rsidR="006932A7" w:rsidRPr="006C1FD2" w:rsidRDefault="006932A7" w:rsidP="006932A7">
            <w:pPr>
              <w:widowControl w:val="0"/>
              <w:bidi/>
              <w:jc w:val="left"/>
              <w:rPr>
                <w:color w:val="000000"/>
                <w:sz w:val="20"/>
                <w:lang w:val="en-CA"/>
              </w:rPr>
            </w:pPr>
            <w:r>
              <w:rPr>
                <w:rFonts w:hint="cs"/>
                <w:color w:val="000000"/>
                <w:sz w:val="20"/>
                <w:rtl/>
                <w:lang w:val="en-CA"/>
              </w:rPr>
              <w:t>49.66</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41963737" w14:textId="77777777" w:rsidR="006932A7" w:rsidRPr="006C1FD2" w:rsidRDefault="006932A7" w:rsidP="006932A7">
            <w:pPr>
              <w:widowControl w:val="0"/>
              <w:bidi/>
              <w:jc w:val="left"/>
              <w:rPr>
                <w:color w:val="000000"/>
                <w:sz w:val="20"/>
                <w:lang w:val="en-CA"/>
              </w:rPr>
            </w:pPr>
            <w:r>
              <w:rPr>
                <w:rFonts w:hint="cs"/>
                <w:color w:val="000000"/>
                <w:sz w:val="20"/>
                <w:rtl/>
                <w:lang w:val="en-CA"/>
              </w:rPr>
              <w:t>67.97</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3AD109C2" w14:textId="77777777" w:rsidR="006932A7" w:rsidRPr="006C1FD2" w:rsidRDefault="006932A7" w:rsidP="006932A7">
            <w:pPr>
              <w:widowControl w:val="0"/>
              <w:bidi/>
              <w:jc w:val="left"/>
              <w:rPr>
                <w:color w:val="000000"/>
                <w:sz w:val="20"/>
                <w:lang w:val="en-CA"/>
              </w:rPr>
            </w:pPr>
            <w:r>
              <w:rPr>
                <w:rFonts w:hint="cs"/>
                <w:color w:val="000000"/>
                <w:sz w:val="20"/>
                <w:rtl/>
                <w:lang w:val="en-CA"/>
              </w:rPr>
              <w:t>50.78</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00701A9E" w14:textId="77777777" w:rsidR="006932A7" w:rsidRPr="006C1FD2" w:rsidRDefault="006932A7" w:rsidP="006932A7">
            <w:pPr>
              <w:widowControl w:val="0"/>
              <w:bidi/>
              <w:jc w:val="left"/>
              <w:rPr>
                <w:color w:val="000000"/>
                <w:sz w:val="20"/>
              </w:rPr>
            </w:pPr>
            <w:r>
              <w:rPr>
                <w:rFonts w:hint="cs"/>
                <w:color w:val="000000"/>
                <w:sz w:val="20"/>
                <w:rtl/>
              </w:rPr>
              <w:t>126.9</w:t>
            </w:r>
          </w:p>
        </w:tc>
      </w:tr>
      <w:tr w:rsidR="00390539" w:rsidRPr="006C1FD2" w14:paraId="32EFBEB3"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6BBD9A" w14:textId="77777777" w:rsidR="00C4529C" w:rsidRPr="006C1FD2" w:rsidRDefault="00C4529C" w:rsidP="009F1855">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123</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09559836" w14:textId="77777777" w:rsidR="00C4529C" w:rsidRPr="006C1FD2" w:rsidRDefault="00C4529C" w:rsidP="00C4529C">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33BD0C3C" w14:textId="77777777" w:rsidR="00A20A90" w:rsidRPr="006C1FD2" w:rsidRDefault="00A20A90" w:rsidP="00A20A90">
            <w:pPr>
              <w:widowControl w:val="0"/>
              <w:bidi/>
              <w:jc w:val="left"/>
              <w:rPr>
                <w:color w:val="000000"/>
                <w:sz w:val="20"/>
              </w:rPr>
            </w:pPr>
            <w:r>
              <w:rPr>
                <w:rFonts w:hint="cs"/>
                <w:color w:val="000000"/>
                <w:sz w:val="20"/>
                <w:rtl/>
              </w:rPr>
              <w:t>0.45</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768B319C" w14:textId="77777777" w:rsidR="00A20A90" w:rsidRPr="006C1FD2" w:rsidRDefault="00A20A90" w:rsidP="00A20A90">
            <w:pPr>
              <w:widowControl w:val="0"/>
              <w:bidi/>
              <w:jc w:val="left"/>
              <w:rPr>
                <w:color w:val="000000"/>
                <w:sz w:val="20"/>
                <w:lang w:val="en-CA"/>
              </w:rPr>
            </w:pPr>
            <w:r>
              <w:rPr>
                <w:rFonts w:hint="cs"/>
                <w:color w:val="000000"/>
                <w:sz w:val="20"/>
                <w:rtl/>
                <w:lang w:val="en-CA"/>
              </w:rPr>
              <w:t>0.73</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54FB2961"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426F43E2" w14:textId="77777777" w:rsidR="00A20A90" w:rsidRPr="006C1FD2" w:rsidRDefault="00A20A90" w:rsidP="00A20A90">
            <w:pPr>
              <w:widowControl w:val="0"/>
              <w:bidi/>
              <w:jc w:val="left"/>
              <w:rPr>
                <w:color w:val="000000"/>
                <w:sz w:val="20"/>
                <w:lang w:val="en-CA"/>
              </w:rPr>
            </w:pPr>
            <w:r>
              <w:rPr>
                <w:rFonts w:hint="cs"/>
                <w:color w:val="000000"/>
                <w:sz w:val="20"/>
                <w:rtl/>
                <w:lang w:val="en-CA"/>
              </w:rPr>
              <w:t>0.54</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418C002E" w14:textId="77777777" w:rsidR="00A20A90" w:rsidRPr="006C1FD2" w:rsidRDefault="00A20A90" w:rsidP="00A20A90">
            <w:pPr>
              <w:widowControl w:val="0"/>
              <w:bidi/>
              <w:jc w:val="left"/>
              <w:rPr>
                <w:color w:val="000000"/>
                <w:sz w:val="20"/>
              </w:rPr>
            </w:pPr>
            <w:r>
              <w:rPr>
                <w:rFonts w:hint="cs"/>
                <w:color w:val="000000"/>
                <w:sz w:val="20"/>
                <w:rtl/>
              </w:rPr>
              <w:t>0.1</w:t>
            </w:r>
          </w:p>
        </w:tc>
      </w:tr>
      <w:tr w:rsidR="00390539" w:rsidRPr="006C1FD2" w14:paraId="425A3E91"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73B8A3" w14:textId="77777777" w:rsidR="00C4529C" w:rsidRPr="006C1FD2" w:rsidRDefault="00C4529C" w:rsidP="009F1855">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C7F165D" w14:textId="77777777" w:rsidR="00A20A90" w:rsidRPr="006C1FD2" w:rsidRDefault="00A20A90" w:rsidP="00A20A90">
            <w:pPr>
              <w:widowControl w:val="0"/>
              <w:bidi/>
              <w:jc w:val="left"/>
              <w:rPr>
                <w:color w:val="000000"/>
                <w:sz w:val="20"/>
              </w:rPr>
            </w:pPr>
            <w:r>
              <w:rPr>
                <w:rFonts w:hint="cs"/>
                <w:color w:val="000000"/>
                <w:sz w:val="20"/>
                <w:rtl/>
              </w:rPr>
              <w:t>0.49</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5289BCC2"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091B498E"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76E16F5A"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4179B453"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7507ABE4" w14:textId="77777777" w:rsidR="00A20A90" w:rsidRPr="006C1FD2" w:rsidRDefault="00A20A90" w:rsidP="00A20A90">
            <w:pPr>
              <w:widowControl w:val="0"/>
              <w:bidi/>
              <w:jc w:val="left"/>
              <w:rPr>
                <w:color w:val="000000"/>
                <w:sz w:val="20"/>
              </w:rPr>
            </w:pPr>
            <w:r>
              <w:rPr>
                <w:rFonts w:hint="cs"/>
                <w:color w:val="000000"/>
                <w:sz w:val="20"/>
                <w:rtl/>
              </w:rPr>
              <w:t>5.2</w:t>
            </w:r>
          </w:p>
        </w:tc>
      </w:tr>
      <w:tr w:rsidR="00390539" w:rsidRPr="006C1FD2" w14:paraId="12AC163D"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B1F1A84" w14:textId="77777777" w:rsidR="009F1855" w:rsidRPr="006C1FD2" w:rsidRDefault="009F1855" w:rsidP="009F1855">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141ب</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13490BA1" w14:textId="77777777" w:rsidR="000325A2" w:rsidRPr="006C1FD2" w:rsidRDefault="000325A2" w:rsidP="000325A2">
            <w:pPr>
              <w:widowControl w:val="0"/>
              <w:bidi/>
              <w:jc w:val="left"/>
              <w:rPr>
                <w:color w:val="000000"/>
                <w:sz w:val="20"/>
              </w:rPr>
            </w:pPr>
            <w:r>
              <w:rPr>
                <w:rFonts w:hint="cs"/>
                <w:color w:val="000000"/>
                <w:sz w:val="20"/>
                <w:rtl/>
              </w:rPr>
              <w:t>9.89</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744FD283" w14:textId="77777777" w:rsidR="000325A2" w:rsidRPr="006C1FD2" w:rsidRDefault="000325A2" w:rsidP="000325A2">
            <w:pPr>
              <w:widowControl w:val="0"/>
              <w:bidi/>
              <w:jc w:val="left"/>
              <w:rPr>
                <w:color w:val="000000"/>
                <w:sz w:val="20"/>
              </w:rPr>
            </w:pPr>
            <w:r>
              <w:rPr>
                <w:rFonts w:hint="cs"/>
                <w:color w:val="000000"/>
                <w:sz w:val="20"/>
                <w:rtl/>
              </w:rPr>
              <w:t>17.29</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354BE02E" w14:textId="77777777" w:rsidR="000325A2" w:rsidRPr="006C1FD2" w:rsidRDefault="000325A2" w:rsidP="000325A2">
            <w:pPr>
              <w:widowControl w:val="0"/>
              <w:bidi/>
              <w:jc w:val="left"/>
              <w:rPr>
                <w:color w:val="000000"/>
                <w:sz w:val="20"/>
                <w:lang w:val="en-CA"/>
              </w:rPr>
            </w:pPr>
            <w:r>
              <w:rPr>
                <w:rFonts w:hint="cs"/>
                <w:color w:val="000000"/>
                <w:sz w:val="20"/>
                <w:rtl/>
                <w:lang w:val="en-CA"/>
              </w:rPr>
              <w:t>5.53</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3AE41077" w14:textId="77777777" w:rsidR="000325A2" w:rsidRPr="006C1FD2" w:rsidRDefault="000325A2" w:rsidP="000325A2">
            <w:pPr>
              <w:widowControl w:val="0"/>
              <w:bidi/>
              <w:jc w:val="left"/>
              <w:rPr>
                <w:color w:val="000000"/>
                <w:sz w:val="20"/>
                <w:lang w:val="en-CA"/>
              </w:rPr>
            </w:pPr>
            <w:r>
              <w:rPr>
                <w:rFonts w:hint="cs"/>
                <w:color w:val="000000"/>
                <w:sz w:val="20"/>
                <w:rtl/>
                <w:lang w:val="en-CA"/>
              </w:rPr>
              <w:t>5.22</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5A587135" w14:textId="77777777" w:rsidR="000325A2" w:rsidRPr="006C1FD2" w:rsidRDefault="000325A2" w:rsidP="000325A2">
            <w:pPr>
              <w:widowControl w:val="0"/>
              <w:bidi/>
              <w:jc w:val="left"/>
              <w:rPr>
                <w:color w:val="000000"/>
                <w:sz w:val="20"/>
                <w:lang w:val="en-CA"/>
              </w:rPr>
            </w:pPr>
            <w:r>
              <w:rPr>
                <w:rFonts w:hint="cs"/>
                <w:color w:val="000000"/>
                <w:sz w:val="20"/>
                <w:rtl/>
                <w:lang w:val="en-CA"/>
              </w:rPr>
              <w:t>3.59</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0DFBDF24" w14:textId="77777777" w:rsidR="000325A2" w:rsidRPr="006C1FD2" w:rsidRDefault="000325A2" w:rsidP="000325A2">
            <w:pPr>
              <w:widowControl w:val="0"/>
              <w:bidi/>
              <w:jc w:val="left"/>
              <w:rPr>
                <w:color w:val="000000"/>
                <w:sz w:val="20"/>
              </w:rPr>
            </w:pPr>
            <w:r>
              <w:rPr>
                <w:rFonts w:hint="cs"/>
                <w:color w:val="000000"/>
                <w:sz w:val="20"/>
                <w:rtl/>
              </w:rPr>
              <w:t>9.8</w:t>
            </w:r>
          </w:p>
        </w:tc>
      </w:tr>
      <w:tr w:rsidR="00390539" w:rsidRPr="006C1FD2" w14:paraId="78EEB2E5"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EDDD170" w14:textId="77777777" w:rsidR="00C4529C" w:rsidRPr="006C1FD2" w:rsidRDefault="00C4529C" w:rsidP="009F1855">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142ب</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4EB8A721"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1CF07721"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5016F42B"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1BA204E4"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31A26E8E"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3F77FB41" w14:textId="77777777" w:rsidR="00F92C09" w:rsidRPr="006C1FD2" w:rsidRDefault="00F92C09" w:rsidP="00F92C09">
            <w:pPr>
              <w:widowControl w:val="0"/>
              <w:bidi/>
              <w:jc w:val="left"/>
              <w:rPr>
                <w:color w:val="000000"/>
                <w:sz w:val="20"/>
              </w:rPr>
            </w:pPr>
            <w:r>
              <w:rPr>
                <w:rFonts w:hint="cs"/>
                <w:color w:val="000000"/>
                <w:sz w:val="20"/>
                <w:rtl/>
              </w:rPr>
              <w:t>1.7</w:t>
            </w:r>
          </w:p>
        </w:tc>
      </w:tr>
      <w:tr w:rsidR="00390539" w:rsidRPr="006C1FD2" w14:paraId="74D37CDF"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851E390" w14:textId="77777777" w:rsidR="006669CD" w:rsidRPr="00D346F8" w:rsidRDefault="00D346F8" w:rsidP="00FE7BC7">
            <w:pPr>
              <w:bidi/>
              <w:jc w:val="left"/>
              <w:rPr>
                <w:rFonts w:eastAsiaTheme="minorHAnsi"/>
                <w:bCs/>
                <w:color w:val="000000"/>
                <w:sz w:val="20"/>
                <w:lang w:val="en-CA"/>
              </w:rPr>
            </w:pPr>
            <w:r w:rsidRPr="00D346F8">
              <w:rPr>
                <w:rFonts w:hint="cs"/>
                <w:bCs/>
                <w:color w:val="000000"/>
                <w:sz w:val="20"/>
                <w:rtl/>
                <w:lang w:val="en-CA"/>
              </w:rPr>
              <w:t>المجموع (طن متري)</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78940C90" w14:textId="77777777" w:rsidR="00F92C09" w:rsidRPr="00390539" w:rsidRDefault="00F92C09" w:rsidP="00F92C09">
            <w:pPr>
              <w:widowControl w:val="0"/>
              <w:bidi/>
              <w:jc w:val="left"/>
              <w:rPr>
                <w:bCs/>
                <w:color w:val="000000"/>
                <w:sz w:val="20"/>
              </w:rPr>
            </w:pPr>
            <w:r w:rsidRPr="00390539">
              <w:rPr>
                <w:rFonts w:hint="cs"/>
                <w:bCs/>
                <w:color w:val="000000"/>
                <w:sz w:val="20"/>
                <w:rtl/>
              </w:rPr>
              <w:t>72.18</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62B2D6E3" w14:textId="77777777" w:rsidR="00F92C09" w:rsidRPr="00390539" w:rsidRDefault="00F92C09" w:rsidP="00F92C09">
            <w:pPr>
              <w:widowControl w:val="0"/>
              <w:bidi/>
              <w:jc w:val="left"/>
              <w:rPr>
                <w:bCs/>
                <w:color w:val="000000"/>
                <w:sz w:val="20"/>
              </w:rPr>
            </w:pPr>
            <w:r w:rsidRPr="00390539">
              <w:rPr>
                <w:rFonts w:hint="cs"/>
                <w:bCs/>
                <w:color w:val="000000"/>
                <w:sz w:val="20"/>
                <w:rtl/>
              </w:rPr>
              <w:t>84.71</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01EAB5EF" w14:textId="77777777" w:rsidR="00390539" w:rsidRPr="00390539" w:rsidRDefault="00390539" w:rsidP="00390539">
            <w:pPr>
              <w:widowControl w:val="0"/>
              <w:bidi/>
              <w:jc w:val="left"/>
              <w:rPr>
                <w:bCs/>
                <w:color w:val="000000"/>
                <w:sz w:val="20"/>
                <w:lang w:val="en-CA"/>
              </w:rPr>
            </w:pPr>
            <w:r w:rsidRPr="00390539">
              <w:rPr>
                <w:rFonts w:hint="cs"/>
                <w:bCs/>
                <w:color w:val="000000"/>
                <w:sz w:val="20"/>
                <w:rtl/>
                <w:lang w:val="en-CA"/>
              </w:rPr>
              <w:t>55.93</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245241C8" w14:textId="77777777" w:rsidR="00390539" w:rsidRPr="00390539" w:rsidRDefault="00390539" w:rsidP="00390539">
            <w:pPr>
              <w:widowControl w:val="0"/>
              <w:bidi/>
              <w:jc w:val="left"/>
              <w:rPr>
                <w:bCs/>
                <w:color w:val="000000"/>
                <w:sz w:val="20"/>
                <w:lang w:val="en-CA"/>
              </w:rPr>
            </w:pPr>
            <w:r w:rsidRPr="00390539">
              <w:rPr>
                <w:rFonts w:hint="cs"/>
                <w:bCs/>
                <w:color w:val="000000"/>
                <w:sz w:val="20"/>
                <w:rtl/>
                <w:lang w:val="en-CA"/>
              </w:rPr>
              <w:t>73.19</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02B252BB" w14:textId="77777777" w:rsidR="00390539" w:rsidRPr="00390539" w:rsidRDefault="00390539" w:rsidP="00390539">
            <w:pPr>
              <w:widowControl w:val="0"/>
              <w:bidi/>
              <w:jc w:val="left"/>
              <w:rPr>
                <w:bCs/>
                <w:color w:val="000000"/>
                <w:sz w:val="20"/>
                <w:lang w:val="en-CA"/>
              </w:rPr>
            </w:pPr>
            <w:r w:rsidRPr="00390539">
              <w:rPr>
                <w:rFonts w:hint="cs"/>
                <w:bCs/>
                <w:color w:val="000000"/>
                <w:sz w:val="20"/>
                <w:rtl/>
                <w:lang w:val="en-CA"/>
              </w:rPr>
              <w:t>54.91</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0E1C757A" w14:textId="77777777" w:rsidR="00390539" w:rsidRPr="00390539" w:rsidRDefault="00390539" w:rsidP="00390539">
            <w:pPr>
              <w:bidi/>
              <w:jc w:val="left"/>
              <w:rPr>
                <w:bCs/>
                <w:sz w:val="20"/>
              </w:rPr>
            </w:pPr>
            <w:r w:rsidRPr="00390539">
              <w:rPr>
                <w:rFonts w:hint="cs"/>
                <w:bCs/>
                <w:sz w:val="20"/>
                <w:rtl/>
              </w:rPr>
              <w:t>143.8</w:t>
            </w:r>
          </w:p>
        </w:tc>
      </w:tr>
      <w:tr w:rsidR="00390539" w:rsidRPr="006C1FD2" w14:paraId="49FD6920" w14:textId="77777777" w:rsidTr="006932A7">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06A66A7" w14:textId="77777777" w:rsidR="00C4529C" w:rsidRPr="00683C9C" w:rsidRDefault="00C4529C" w:rsidP="00683C9C">
            <w:pPr>
              <w:bidi/>
              <w:jc w:val="left"/>
              <w:rPr>
                <w:color w:val="000000"/>
                <w:sz w:val="20"/>
                <w:lang w:val="en-CA"/>
              </w:rPr>
            </w:pPr>
            <w:r w:rsidRPr="00683C9C">
              <w:rPr>
                <w:rFonts w:hint="cs"/>
                <w:color w:val="000000"/>
                <w:sz w:val="20"/>
                <w:rtl/>
                <w:lang w:val="en-CA" w:bidi="ar-AE"/>
              </w:rPr>
              <w:t>الهيدروكلوروفلوروكربون-141ب في البوليولات سابقة الخلط المستوردة</w:t>
            </w:r>
            <w:r>
              <w:rPr>
                <w:rFonts w:hint="cs"/>
                <w:color w:val="000000"/>
                <w:sz w:val="20"/>
                <w:rtl/>
                <w:lang w:val="en-CA" w:bidi="ar-AE"/>
              </w:rPr>
              <w:t>**</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3CF10762" w14:textId="77777777" w:rsidR="0098365A" w:rsidRPr="006C1FD2" w:rsidRDefault="0098365A" w:rsidP="0098365A">
            <w:pPr>
              <w:bidi/>
              <w:jc w:val="left"/>
              <w:rPr>
                <w:color w:val="000000"/>
                <w:sz w:val="20"/>
                <w:lang w:val="en-CA"/>
              </w:rPr>
            </w:pPr>
            <w:r>
              <w:rPr>
                <w:rFonts w:hint="cs"/>
                <w:color w:val="000000"/>
                <w:sz w:val="20"/>
                <w:rtl/>
                <w:lang w:val="en-CA"/>
              </w:rPr>
              <w:t>13.81</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05B5180B" w14:textId="77777777" w:rsidR="0098365A" w:rsidRPr="006C1FD2" w:rsidRDefault="0098365A" w:rsidP="0098365A">
            <w:pPr>
              <w:bidi/>
              <w:jc w:val="left"/>
              <w:rPr>
                <w:color w:val="000000"/>
                <w:sz w:val="20"/>
                <w:lang w:val="en-CA"/>
              </w:rPr>
            </w:pPr>
            <w:r>
              <w:rPr>
                <w:rFonts w:hint="cs"/>
                <w:color w:val="000000"/>
                <w:sz w:val="20"/>
                <w:rtl/>
                <w:lang w:val="en-CA"/>
              </w:rPr>
              <w:t>7.74</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0F67FE85" w14:textId="77777777" w:rsidR="0098365A" w:rsidRPr="004E5B04" w:rsidRDefault="0098365A" w:rsidP="0098365A">
            <w:pPr>
              <w:bidi/>
              <w:jc w:val="left"/>
              <w:rPr>
                <w:sz w:val="20"/>
                <w:lang w:val="en-CA"/>
              </w:rPr>
            </w:pPr>
            <w:r>
              <w:rPr>
                <w:rFonts w:hint="cs"/>
                <w:sz w:val="20"/>
                <w:rtl/>
                <w:lang w:val="en-CA"/>
              </w:rPr>
              <w:t>0.27</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239BE15A"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2E20F38B" w14:textId="77777777" w:rsidR="00C4529C" w:rsidRPr="006C1FD2" w:rsidRDefault="00C4529C" w:rsidP="00A353E9">
            <w:pPr>
              <w:widowControl w:val="0"/>
              <w:bidi/>
              <w:jc w:val="left"/>
              <w:rPr>
                <w:color w:val="000000"/>
                <w:sz w:val="20"/>
              </w:rPr>
            </w:pPr>
            <w:r>
              <w:rPr>
                <w:rFonts w:hint="cs"/>
                <w:color w:val="000000"/>
                <w:sz w:val="20"/>
                <w:rtl/>
              </w:rPr>
              <w:t>0.00</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412BD7AA" w14:textId="77777777" w:rsidR="0098365A" w:rsidRPr="006C1FD2" w:rsidRDefault="0098365A" w:rsidP="0098365A">
            <w:pPr>
              <w:bidi/>
              <w:jc w:val="left"/>
              <w:rPr>
                <w:sz w:val="20"/>
                <w:lang w:val="en-CA"/>
              </w:rPr>
            </w:pPr>
            <w:r>
              <w:rPr>
                <w:rFonts w:hint="cs"/>
                <w:sz w:val="20"/>
                <w:rtl/>
                <w:lang w:val="en-CA"/>
              </w:rPr>
              <w:t>***12.73</w:t>
            </w:r>
          </w:p>
        </w:tc>
      </w:tr>
      <w:bookmarkEnd w:id="0"/>
      <w:tr w:rsidR="006669CD" w:rsidRPr="006C1FD2" w14:paraId="178A25FD" w14:textId="77777777" w:rsidTr="00FE7BC7">
        <w:trPr>
          <w:trHeight w:val="253"/>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9B6DEB3" w14:textId="77777777" w:rsidR="006669CD" w:rsidRPr="00B52FEE" w:rsidRDefault="00B52FEE" w:rsidP="00B52FEE">
            <w:pPr>
              <w:widowControl w:val="0"/>
              <w:bidi/>
              <w:jc w:val="left"/>
              <w:rPr>
                <w:color w:val="000000"/>
                <w:sz w:val="20"/>
                <w:lang w:val="en-CA"/>
              </w:rPr>
            </w:pPr>
            <w:r w:rsidRPr="00B52FEE">
              <w:rPr>
                <w:rFonts w:hint="cs"/>
                <w:color w:val="000000"/>
                <w:sz w:val="20"/>
                <w:rtl/>
                <w:lang w:val="en-CA"/>
              </w:rPr>
              <w:t>أطنان من قدرات استنفاد الأوزون</w:t>
            </w:r>
          </w:p>
        </w:tc>
      </w:tr>
      <w:tr w:rsidR="00390539" w:rsidRPr="006C1FD2" w14:paraId="21C48125"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E00DCA" w14:textId="77777777" w:rsidR="009F1855" w:rsidRPr="006C1FD2" w:rsidRDefault="009F1855" w:rsidP="00A353E9">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37DBEAD" w14:textId="77777777" w:rsidR="0025787D" w:rsidRPr="006C1FD2" w:rsidRDefault="0025787D" w:rsidP="0025787D">
            <w:pPr>
              <w:widowControl w:val="0"/>
              <w:bidi/>
              <w:jc w:val="left"/>
              <w:rPr>
                <w:color w:val="000000"/>
                <w:sz w:val="20"/>
                <w:lang w:val="en-CA"/>
              </w:rPr>
            </w:pPr>
            <w:r>
              <w:rPr>
                <w:rFonts w:hint="cs"/>
                <w:color w:val="000000"/>
                <w:sz w:val="20"/>
                <w:rtl/>
                <w:lang w:val="en-CA"/>
              </w:rPr>
              <w:t>3.40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5A08A07A" w14:textId="77777777" w:rsidR="0025787D" w:rsidRPr="006C1FD2" w:rsidRDefault="0025787D" w:rsidP="0025787D">
            <w:pPr>
              <w:widowControl w:val="0"/>
              <w:bidi/>
              <w:jc w:val="left"/>
              <w:rPr>
                <w:color w:val="000000"/>
                <w:sz w:val="20"/>
                <w:lang w:val="en-CA"/>
              </w:rPr>
            </w:pPr>
            <w:r>
              <w:rPr>
                <w:rFonts w:hint="cs"/>
                <w:color w:val="000000"/>
                <w:sz w:val="20"/>
                <w:rtl/>
                <w:lang w:val="en-CA"/>
              </w:rPr>
              <w:t>3.68</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180159EA" w14:textId="77777777" w:rsidR="0025787D" w:rsidRPr="004E5B04" w:rsidRDefault="0025787D" w:rsidP="0025787D">
            <w:pPr>
              <w:widowControl w:val="0"/>
              <w:bidi/>
              <w:jc w:val="left"/>
              <w:rPr>
                <w:color w:val="000000"/>
                <w:sz w:val="20"/>
                <w:lang w:val="en-CA"/>
              </w:rPr>
            </w:pPr>
            <w:r>
              <w:rPr>
                <w:rFonts w:hint="cs"/>
                <w:color w:val="000000"/>
                <w:sz w:val="20"/>
                <w:rtl/>
                <w:lang w:val="en-CA"/>
              </w:rPr>
              <w:t>2.73</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06E32793" w14:textId="77777777" w:rsidR="0025787D" w:rsidRPr="006C1FD2" w:rsidRDefault="0025787D" w:rsidP="0025787D">
            <w:pPr>
              <w:widowControl w:val="0"/>
              <w:bidi/>
              <w:jc w:val="left"/>
              <w:rPr>
                <w:color w:val="000000"/>
                <w:sz w:val="20"/>
                <w:lang w:val="en-CA"/>
              </w:rPr>
            </w:pPr>
            <w:r>
              <w:rPr>
                <w:rFonts w:hint="cs"/>
                <w:color w:val="000000"/>
                <w:sz w:val="20"/>
                <w:rtl/>
                <w:lang w:val="en-CA"/>
              </w:rPr>
              <w:t>3.74</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5371E368" w14:textId="77777777" w:rsidR="0025787D" w:rsidRPr="006C1FD2" w:rsidRDefault="0025787D" w:rsidP="0025787D">
            <w:pPr>
              <w:widowControl w:val="0"/>
              <w:bidi/>
              <w:jc w:val="left"/>
              <w:rPr>
                <w:color w:val="000000"/>
                <w:sz w:val="20"/>
                <w:lang w:val="en-CA"/>
              </w:rPr>
            </w:pPr>
            <w:r>
              <w:rPr>
                <w:rFonts w:hint="cs"/>
                <w:color w:val="000000"/>
                <w:sz w:val="20"/>
                <w:rtl/>
                <w:lang w:val="en-CA"/>
              </w:rPr>
              <w:t>2.79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532DDEAD" w14:textId="77777777" w:rsidR="0025787D" w:rsidRPr="006C1FD2" w:rsidRDefault="0025787D" w:rsidP="0025787D">
            <w:pPr>
              <w:widowControl w:val="0"/>
              <w:bidi/>
              <w:jc w:val="left"/>
              <w:rPr>
                <w:color w:val="000000"/>
                <w:sz w:val="20"/>
              </w:rPr>
            </w:pPr>
            <w:r>
              <w:rPr>
                <w:rFonts w:hint="cs"/>
                <w:color w:val="000000"/>
                <w:sz w:val="20"/>
                <w:rtl/>
              </w:rPr>
              <w:t>7.0</w:t>
            </w:r>
          </w:p>
        </w:tc>
      </w:tr>
      <w:tr w:rsidR="00304316" w:rsidRPr="006C1FD2" w14:paraId="01298571"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9B2A4F" w14:textId="77777777" w:rsidR="00304316" w:rsidRPr="006C1FD2" w:rsidRDefault="00304316" w:rsidP="00A353E9">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DB2BF35"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4D5E6264" w14:textId="77777777" w:rsidR="00304316" w:rsidRPr="006C1FD2" w:rsidRDefault="00304316" w:rsidP="00304316">
            <w:pPr>
              <w:widowControl w:val="0"/>
              <w:bidi/>
              <w:jc w:val="left"/>
              <w:rPr>
                <w:color w:val="000000"/>
                <w:sz w:val="20"/>
                <w:lang w:val="en-CA"/>
              </w:rPr>
            </w:pPr>
            <w:r>
              <w:rPr>
                <w:rFonts w:hint="cs"/>
                <w:color w:val="000000"/>
                <w:sz w:val="20"/>
                <w:rtl/>
              </w:rPr>
              <w:t>0.01</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38F18632" w14:textId="77777777" w:rsidR="00304316" w:rsidRPr="006C1FD2" w:rsidRDefault="00304316" w:rsidP="00A353E9">
            <w:pPr>
              <w:widowControl w:val="0"/>
              <w:bidi/>
              <w:jc w:val="left"/>
              <w:rPr>
                <w:color w:val="000000"/>
                <w:sz w:val="20"/>
                <w:lang w:val="en-CA"/>
              </w:rPr>
            </w:pPr>
            <w:r>
              <w:rPr>
                <w:rFonts w:hint="cs"/>
                <w:color w:val="000000"/>
                <w:sz w:val="20"/>
                <w:rtl/>
              </w:rPr>
              <w:t>0.01</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24B60D46"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7727F97D" w14:textId="77777777" w:rsidR="00304316" w:rsidRPr="006C1FD2" w:rsidRDefault="00304316" w:rsidP="00A353E9">
            <w:pPr>
              <w:widowControl w:val="0"/>
              <w:bidi/>
              <w:jc w:val="left"/>
              <w:rPr>
                <w:color w:val="000000"/>
                <w:sz w:val="20"/>
                <w:lang w:val="en-CA"/>
              </w:rPr>
            </w:pPr>
            <w:r>
              <w:rPr>
                <w:rFonts w:hint="cs"/>
                <w:color w:val="000000"/>
                <w:sz w:val="20"/>
                <w:rtl/>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539B200D" w14:textId="77777777" w:rsidR="00304316" w:rsidRPr="006C1FD2" w:rsidRDefault="00304316" w:rsidP="0025787D">
            <w:pPr>
              <w:widowControl w:val="0"/>
              <w:bidi/>
              <w:jc w:val="left"/>
              <w:rPr>
                <w:color w:val="000000"/>
                <w:sz w:val="20"/>
              </w:rPr>
            </w:pPr>
            <w:r>
              <w:rPr>
                <w:rFonts w:hint="cs"/>
                <w:color w:val="000000"/>
                <w:sz w:val="20"/>
                <w:rtl/>
              </w:rPr>
              <w:t>0.0</w:t>
            </w:r>
          </w:p>
        </w:tc>
      </w:tr>
      <w:tr w:rsidR="00304316" w:rsidRPr="006C1FD2" w14:paraId="0E32D642"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F0F70D" w14:textId="77777777" w:rsidR="00304316" w:rsidRPr="006C1FD2" w:rsidRDefault="00304316" w:rsidP="00A353E9">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7426DA4" w14:textId="77777777" w:rsidR="00304316" w:rsidRPr="006C1FD2" w:rsidRDefault="00304316" w:rsidP="00A353E9">
            <w:pPr>
              <w:widowControl w:val="0"/>
              <w:bidi/>
              <w:jc w:val="left"/>
              <w:rPr>
                <w:color w:val="000000"/>
                <w:sz w:val="20"/>
                <w:lang w:val="en-CA"/>
              </w:rPr>
            </w:pPr>
            <w:r>
              <w:rPr>
                <w:rFonts w:hint="cs"/>
                <w:color w:val="000000"/>
                <w:sz w:val="20"/>
                <w:rtl/>
              </w:rPr>
              <w:t>0.01</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3A74E93C"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32246AEB"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3A267983"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71105CA5" w14:textId="77777777" w:rsidR="00304316" w:rsidRPr="006C1FD2" w:rsidRDefault="00304316"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1BBF1FC7" w14:textId="77777777" w:rsidR="00304316" w:rsidRPr="006C1FD2" w:rsidRDefault="00304316" w:rsidP="0025787D">
            <w:pPr>
              <w:widowControl w:val="0"/>
              <w:bidi/>
              <w:jc w:val="left"/>
              <w:rPr>
                <w:color w:val="000000"/>
                <w:sz w:val="20"/>
              </w:rPr>
            </w:pPr>
            <w:r>
              <w:rPr>
                <w:rFonts w:hint="cs"/>
                <w:color w:val="000000"/>
                <w:sz w:val="20"/>
                <w:rtl/>
              </w:rPr>
              <w:t>0.1</w:t>
            </w:r>
          </w:p>
        </w:tc>
      </w:tr>
      <w:tr w:rsidR="00390539" w:rsidRPr="006C1FD2" w14:paraId="7E2FD3ED"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F5267F5" w14:textId="77777777" w:rsidR="009F1855" w:rsidRPr="006C1FD2" w:rsidRDefault="009F1855" w:rsidP="00A353E9">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141ب</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76B14DF" w14:textId="77777777" w:rsidR="00304316" w:rsidRPr="006C1FD2" w:rsidRDefault="00304316" w:rsidP="00304316">
            <w:pPr>
              <w:widowControl w:val="0"/>
              <w:bidi/>
              <w:jc w:val="left"/>
              <w:rPr>
                <w:color w:val="000000"/>
                <w:sz w:val="20"/>
                <w:lang w:val="en-CA"/>
              </w:rPr>
            </w:pPr>
            <w:r>
              <w:rPr>
                <w:rFonts w:hint="cs"/>
                <w:color w:val="000000"/>
                <w:sz w:val="20"/>
                <w:rtl/>
                <w:lang w:val="en-CA"/>
              </w:rPr>
              <w:t>1.09</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520C73F2" w14:textId="77777777" w:rsidR="00304316" w:rsidRPr="006C1FD2" w:rsidRDefault="00304316" w:rsidP="00304316">
            <w:pPr>
              <w:widowControl w:val="0"/>
              <w:bidi/>
              <w:jc w:val="left"/>
              <w:rPr>
                <w:color w:val="000000"/>
                <w:sz w:val="20"/>
                <w:lang w:val="en-CA"/>
              </w:rPr>
            </w:pPr>
            <w:r>
              <w:rPr>
                <w:rFonts w:hint="cs"/>
                <w:color w:val="000000"/>
                <w:sz w:val="20"/>
                <w:rtl/>
                <w:lang w:val="en-CA"/>
              </w:rPr>
              <w:t>1.90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42C8E8F3" w14:textId="77777777" w:rsidR="00304316" w:rsidRPr="004E5B04" w:rsidRDefault="00304316" w:rsidP="00304316">
            <w:pPr>
              <w:widowControl w:val="0"/>
              <w:bidi/>
              <w:jc w:val="left"/>
              <w:rPr>
                <w:color w:val="000000"/>
                <w:sz w:val="20"/>
                <w:lang w:val="en-CA"/>
              </w:rPr>
            </w:pPr>
            <w:r>
              <w:rPr>
                <w:rFonts w:hint="cs"/>
                <w:color w:val="000000"/>
                <w:sz w:val="20"/>
                <w:rtl/>
                <w:lang w:val="en-CA"/>
              </w:rPr>
              <w:t>0.61</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309D8A8B" w14:textId="77777777" w:rsidR="00304316" w:rsidRPr="006C1FD2" w:rsidRDefault="00304316" w:rsidP="00304316">
            <w:pPr>
              <w:widowControl w:val="0"/>
              <w:bidi/>
              <w:jc w:val="left"/>
              <w:rPr>
                <w:color w:val="000000"/>
                <w:sz w:val="20"/>
                <w:lang w:val="en-CA"/>
              </w:rPr>
            </w:pPr>
            <w:r>
              <w:rPr>
                <w:rFonts w:hint="cs"/>
                <w:color w:val="000000"/>
                <w:sz w:val="20"/>
                <w:rtl/>
                <w:lang w:val="en-CA"/>
              </w:rPr>
              <w:t>0.57</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26D8CF4A" w14:textId="77777777" w:rsidR="00304316" w:rsidRPr="006C1FD2" w:rsidRDefault="00304316" w:rsidP="00304316">
            <w:pPr>
              <w:widowControl w:val="0"/>
              <w:bidi/>
              <w:jc w:val="left"/>
              <w:rPr>
                <w:color w:val="000000"/>
                <w:sz w:val="20"/>
                <w:lang w:val="en-CA"/>
              </w:rPr>
            </w:pPr>
            <w:r>
              <w:rPr>
                <w:rFonts w:hint="cs"/>
                <w:color w:val="000000"/>
                <w:sz w:val="20"/>
                <w:rtl/>
                <w:lang w:val="en-CA"/>
              </w:rPr>
              <w:t>0.39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669506B9" w14:textId="77777777" w:rsidR="009F1855" w:rsidRPr="006C1FD2" w:rsidRDefault="00304316" w:rsidP="0025787D">
            <w:pPr>
              <w:widowControl w:val="0"/>
              <w:bidi/>
              <w:jc w:val="left"/>
              <w:rPr>
                <w:color w:val="000000"/>
                <w:sz w:val="20"/>
              </w:rPr>
            </w:pPr>
            <w:r>
              <w:rPr>
                <w:rFonts w:hint="cs"/>
                <w:color w:val="000000"/>
                <w:sz w:val="20"/>
                <w:rtl/>
              </w:rPr>
              <w:t>1.1</w:t>
            </w:r>
          </w:p>
        </w:tc>
      </w:tr>
      <w:tr w:rsidR="00390539" w:rsidRPr="006C1FD2" w14:paraId="24FEB113"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E21A72" w14:textId="77777777" w:rsidR="00C4529C" w:rsidRPr="006C1FD2" w:rsidRDefault="00C4529C" w:rsidP="00A353E9">
            <w:pPr>
              <w:widowControl w:val="0"/>
              <w:bidi/>
              <w:jc w:val="left"/>
              <w:rPr>
                <w:color w:val="000000"/>
                <w:sz w:val="20"/>
                <w:lang w:val="en-CA"/>
              </w:rPr>
            </w:pPr>
            <w:r w:rsidRPr="009F1855">
              <w:rPr>
                <w:color w:val="000000"/>
                <w:sz w:val="20"/>
                <w:rtl/>
                <w:lang w:val="en-CA" w:bidi="ar-AE"/>
              </w:rPr>
              <w:t>الهيدروكلوروفلوروكربون</w:t>
            </w:r>
            <w:r w:rsidRPr="009F1855">
              <w:rPr>
                <w:rFonts w:hint="cs"/>
                <w:color w:val="000000"/>
                <w:sz w:val="20"/>
                <w:rtl/>
                <w:lang w:val="en-CA"/>
              </w:rPr>
              <w:t>-</w:t>
            </w:r>
            <w:r>
              <w:rPr>
                <w:rFonts w:hint="cs"/>
                <w:color w:val="000000"/>
                <w:sz w:val="20"/>
                <w:rtl/>
                <w:lang w:val="en-CA"/>
              </w:rPr>
              <w:t>142ب</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C1D37E4"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7F613AD"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65D926B"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4EC6B9AF"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38CE4BDC"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5D41163B" w14:textId="77777777" w:rsidR="00C4529C" w:rsidRPr="006C1FD2" w:rsidRDefault="00304316" w:rsidP="0025787D">
            <w:pPr>
              <w:widowControl w:val="0"/>
              <w:bidi/>
              <w:jc w:val="left"/>
              <w:rPr>
                <w:color w:val="000000"/>
                <w:sz w:val="20"/>
              </w:rPr>
            </w:pPr>
            <w:r>
              <w:rPr>
                <w:rFonts w:hint="cs"/>
                <w:color w:val="000000"/>
                <w:sz w:val="20"/>
                <w:rtl/>
              </w:rPr>
              <w:t>0.1</w:t>
            </w:r>
          </w:p>
        </w:tc>
      </w:tr>
      <w:tr w:rsidR="00390539" w:rsidRPr="006C1FD2" w14:paraId="48259A98"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9DBDEFF" w14:textId="77777777" w:rsidR="006669CD" w:rsidRPr="00B52FEE" w:rsidRDefault="00B52FEE" w:rsidP="00B52FEE">
            <w:pPr>
              <w:bidi/>
              <w:jc w:val="left"/>
              <w:rPr>
                <w:rFonts w:eastAsiaTheme="minorHAnsi"/>
                <w:bCs/>
                <w:sz w:val="20"/>
                <w:lang w:val="en-CA"/>
              </w:rPr>
            </w:pPr>
            <w:r w:rsidRPr="00B52FEE">
              <w:rPr>
                <w:rFonts w:hint="cs"/>
                <w:bCs/>
                <w:sz w:val="20"/>
                <w:rtl/>
                <w:lang w:val="en-CA"/>
              </w:rPr>
              <w:t>المجموع (طن من قدرات استنفاد الأوزون)</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306C635" w14:textId="77777777" w:rsidR="00304316" w:rsidRPr="00304316" w:rsidRDefault="00304316" w:rsidP="00304316">
            <w:pPr>
              <w:widowControl w:val="0"/>
              <w:bidi/>
              <w:jc w:val="left"/>
              <w:rPr>
                <w:bCs/>
                <w:color w:val="000000"/>
                <w:sz w:val="20"/>
                <w:lang w:val="en-CA"/>
              </w:rPr>
            </w:pPr>
            <w:r w:rsidRPr="00304316">
              <w:rPr>
                <w:rFonts w:hint="cs"/>
                <w:bCs/>
                <w:color w:val="000000"/>
                <w:sz w:val="20"/>
                <w:rtl/>
                <w:lang w:val="en-CA"/>
              </w:rPr>
              <w:t>4.50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15EEDCD6" w14:textId="77777777" w:rsidR="00304316" w:rsidRPr="00304316" w:rsidRDefault="00304316" w:rsidP="00304316">
            <w:pPr>
              <w:bidi/>
              <w:jc w:val="left"/>
              <w:rPr>
                <w:bCs/>
                <w:color w:val="000000"/>
                <w:sz w:val="20"/>
                <w:lang w:val="en-CA"/>
              </w:rPr>
            </w:pPr>
            <w:r w:rsidRPr="00304316">
              <w:rPr>
                <w:rFonts w:hint="cs"/>
                <w:bCs/>
                <w:color w:val="000000"/>
                <w:sz w:val="20"/>
                <w:rtl/>
                <w:lang w:val="en-CA"/>
              </w:rPr>
              <w:t>5.59</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79AC1B5" w14:textId="77777777" w:rsidR="00304316" w:rsidRPr="00304316" w:rsidRDefault="00304316" w:rsidP="00304316">
            <w:pPr>
              <w:bidi/>
              <w:jc w:val="left"/>
              <w:rPr>
                <w:bCs/>
                <w:color w:val="000000"/>
                <w:sz w:val="20"/>
                <w:lang w:val="en-CA"/>
              </w:rPr>
            </w:pPr>
            <w:r w:rsidRPr="00304316">
              <w:rPr>
                <w:rFonts w:hint="cs"/>
                <w:bCs/>
                <w:color w:val="000000"/>
                <w:sz w:val="20"/>
                <w:rtl/>
                <w:lang w:val="en-CA"/>
              </w:rPr>
              <w:t>3.36</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5705E690" w14:textId="77777777" w:rsidR="00304316" w:rsidRPr="00304316" w:rsidRDefault="00304316" w:rsidP="00304316">
            <w:pPr>
              <w:bidi/>
              <w:jc w:val="left"/>
              <w:rPr>
                <w:bCs/>
                <w:color w:val="000000"/>
                <w:sz w:val="20"/>
                <w:lang w:val="en-CA"/>
              </w:rPr>
            </w:pPr>
            <w:r w:rsidRPr="00304316">
              <w:rPr>
                <w:rFonts w:hint="cs"/>
                <w:bCs/>
                <w:color w:val="000000"/>
                <w:sz w:val="20"/>
                <w:rtl/>
                <w:lang w:val="en-CA"/>
              </w:rPr>
              <w:t>4.31</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186B09CB" w14:textId="77777777" w:rsidR="00304316" w:rsidRPr="00304316" w:rsidRDefault="00304316" w:rsidP="00304316">
            <w:pPr>
              <w:bidi/>
              <w:jc w:val="left"/>
              <w:rPr>
                <w:bCs/>
                <w:color w:val="000000"/>
                <w:sz w:val="20"/>
                <w:lang w:val="en-CA"/>
              </w:rPr>
            </w:pPr>
            <w:r w:rsidRPr="00304316">
              <w:rPr>
                <w:rFonts w:hint="cs"/>
                <w:bCs/>
                <w:color w:val="000000"/>
                <w:sz w:val="20"/>
                <w:rtl/>
                <w:lang w:val="en-CA"/>
              </w:rPr>
              <w:t>3.19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5D635E4D" w14:textId="77777777" w:rsidR="00304316" w:rsidRPr="00304316" w:rsidRDefault="00304316" w:rsidP="00304316">
            <w:pPr>
              <w:widowControl w:val="0"/>
              <w:bidi/>
              <w:jc w:val="left"/>
              <w:rPr>
                <w:bCs/>
                <w:color w:val="000000"/>
                <w:sz w:val="20"/>
              </w:rPr>
            </w:pPr>
            <w:r w:rsidRPr="00304316">
              <w:rPr>
                <w:rFonts w:hint="cs"/>
                <w:bCs/>
                <w:color w:val="000000"/>
                <w:sz w:val="20"/>
                <w:rtl/>
              </w:rPr>
              <w:t>8.3</w:t>
            </w:r>
          </w:p>
        </w:tc>
      </w:tr>
      <w:tr w:rsidR="00390539" w:rsidRPr="006C1FD2" w14:paraId="648702F3" w14:textId="77777777" w:rsidTr="0025787D">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65A8A543" w14:textId="77777777" w:rsidR="00C4529C" w:rsidRPr="00683C9C" w:rsidRDefault="00C4529C" w:rsidP="00A353E9">
            <w:pPr>
              <w:bidi/>
              <w:jc w:val="left"/>
              <w:rPr>
                <w:color w:val="000000"/>
                <w:sz w:val="20"/>
                <w:lang w:val="en-CA"/>
              </w:rPr>
            </w:pPr>
            <w:r w:rsidRPr="00683C9C">
              <w:rPr>
                <w:rFonts w:hint="cs"/>
                <w:color w:val="000000"/>
                <w:sz w:val="20"/>
                <w:rtl/>
                <w:lang w:val="en-CA" w:bidi="ar-AE"/>
              </w:rPr>
              <w:t>الهيدروكلوروفلوروكربون-141ب في البوليولات سابقة الخلط المستوردة</w:t>
            </w:r>
            <w:r>
              <w:rPr>
                <w:rFonts w:hint="cs"/>
                <w:color w:val="000000"/>
                <w:sz w:val="20"/>
                <w:rtl/>
                <w:lang w:val="en-CA" w:bidi="ar-AE"/>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1D8F8B3" w14:textId="77777777" w:rsidR="00B15F24" w:rsidRPr="006C1FD2" w:rsidRDefault="00B15F24" w:rsidP="00B15F24">
            <w:pPr>
              <w:bidi/>
              <w:jc w:val="left"/>
              <w:rPr>
                <w:rFonts w:eastAsiaTheme="minorHAnsi"/>
                <w:color w:val="000000"/>
                <w:sz w:val="20"/>
                <w:lang w:val="en-CA"/>
              </w:rPr>
            </w:pPr>
            <w:r>
              <w:rPr>
                <w:rFonts w:eastAsiaTheme="minorHAnsi" w:hint="cs"/>
                <w:color w:val="000000"/>
                <w:sz w:val="20"/>
                <w:rtl/>
                <w:lang w:val="en-CA"/>
              </w:rPr>
              <w:t>1.52</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4BC99A15" w14:textId="77777777" w:rsidR="00B15F24" w:rsidRPr="006C1FD2" w:rsidRDefault="00B15F24" w:rsidP="00B15F24">
            <w:pPr>
              <w:bidi/>
              <w:jc w:val="left"/>
              <w:rPr>
                <w:color w:val="000000"/>
                <w:sz w:val="20"/>
                <w:lang w:val="en-CA"/>
              </w:rPr>
            </w:pPr>
            <w:r>
              <w:rPr>
                <w:rFonts w:hint="cs"/>
                <w:color w:val="000000"/>
                <w:sz w:val="20"/>
                <w:rtl/>
                <w:lang w:val="en-CA"/>
              </w:rPr>
              <w:t>0.85</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1028F42B" w14:textId="77777777" w:rsidR="00B15F24" w:rsidRPr="004E5B04" w:rsidRDefault="00B15F24" w:rsidP="00B15F24">
            <w:pPr>
              <w:bidi/>
              <w:jc w:val="left"/>
              <w:rPr>
                <w:rFonts w:eastAsiaTheme="minorHAnsi"/>
                <w:color w:val="000000"/>
                <w:sz w:val="20"/>
                <w:lang w:val="en-CA"/>
              </w:rPr>
            </w:pPr>
            <w:r>
              <w:rPr>
                <w:rFonts w:eastAsiaTheme="minorHAnsi" w:hint="cs"/>
                <w:color w:val="000000"/>
                <w:sz w:val="20"/>
                <w:rtl/>
                <w:lang w:val="en-CA"/>
              </w:rPr>
              <w:t>0.03</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0E2BD59D"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42AEA028" w14:textId="77777777" w:rsidR="00C4529C" w:rsidRPr="006C1FD2" w:rsidRDefault="00C4529C" w:rsidP="0025787D">
            <w:pPr>
              <w:widowControl w:val="0"/>
              <w:bidi/>
              <w:jc w:val="left"/>
              <w:rPr>
                <w:color w:val="000000"/>
                <w:sz w:val="20"/>
              </w:rPr>
            </w:pPr>
            <w:r>
              <w:rPr>
                <w:rFonts w:hint="cs"/>
                <w:color w:val="000000"/>
                <w:sz w:val="20"/>
                <w:rtl/>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4042FA3E" w14:textId="77777777" w:rsidR="00B15F24" w:rsidRPr="006C1FD2" w:rsidRDefault="00B15F24" w:rsidP="00B15F24">
            <w:pPr>
              <w:bidi/>
              <w:jc w:val="left"/>
              <w:rPr>
                <w:rFonts w:eastAsiaTheme="minorHAnsi"/>
                <w:color w:val="000000"/>
                <w:sz w:val="20"/>
                <w:lang w:val="en-CA"/>
              </w:rPr>
            </w:pPr>
            <w:r>
              <w:rPr>
                <w:rFonts w:eastAsiaTheme="minorHAnsi" w:hint="cs"/>
                <w:color w:val="000000"/>
                <w:sz w:val="20"/>
                <w:rtl/>
                <w:lang w:val="en-CA"/>
              </w:rPr>
              <w:t>***1.4</w:t>
            </w:r>
          </w:p>
        </w:tc>
      </w:tr>
    </w:tbl>
    <w:p w14:paraId="2A8909BB" w14:textId="77777777" w:rsidR="006669CD" w:rsidRPr="00720607" w:rsidRDefault="005742A7" w:rsidP="005742A7">
      <w:pPr>
        <w:bidi/>
        <w:rPr>
          <w:sz w:val="20"/>
          <w:rtl/>
          <w:lang w:val="en-CA"/>
        </w:rPr>
      </w:pPr>
      <w:r w:rsidRPr="00720607">
        <w:rPr>
          <w:rFonts w:hint="cs"/>
          <w:sz w:val="20"/>
          <w:rtl/>
          <w:lang w:val="en-CA"/>
        </w:rPr>
        <w:t xml:space="preserve">* تقديرات </w:t>
      </w:r>
      <w:r w:rsidRPr="00720607">
        <w:rPr>
          <w:sz w:val="20"/>
          <w:rtl/>
          <w:lang w:val="en-CA"/>
        </w:rPr>
        <w:t xml:space="preserve">خطة </w:t>
      </w:r>
      <w:r w:rsidR="00A353E9" w:rsidRPr="00720607">
        <w:rPr>
          <w:rFonts w:hint="cs"/>
          <w:sz w:val="20"/>
          <w:rtl/>
          <w:lang w:val="en-CA"/>
        </w:rPr>
        <w:t>إدارة</w:t>
      </w:r>
      <w:r w:rsidRPr="00720607">
        <w:rPr>
          <w:sz w:val="20"/>
          <w:rtl/>
          <w:lang w:val="en-CA"/>
        </w:rPr>
        <w:t xml:space="preserve"> إزالة المواد الهيدروكلوروفلوروكربونية </w:t>
      </w:r>
    </w:p>
    <w:p w14:paraId="66472286" w14:textId="77777777" w:rsidR="005742A7" w:rsidRPr="00720607" w:rsidRDefault="005742A7" w:rsidP="005742A7">
      <w:pPr>
        <w:bidi/>
        <w:rPr>
          <w:sz w:val="20"/>
          <w:rtl/>
          <w:lang w:val="en-CA"/>
        </w:rPr>
      </w:pPr>
      <w:r w:rsidRPr="00720607">
        <w:rPr>
          <w:rFonts w:hint="cs"/>
          <w:sz w:val="20"/>
          <w:rtl/>
          <w:lang w:val="en-CA"/>
        </w:rPr>
        <w:t>** بيانات البرنامج القُطري</w:t>
      </w:r>
    </w:p>
    <w:p w14:paraId="5204557B" w14:textId="77777777" w:rsidR="005742A7" w:rsidRPr="00720607" w:rsidRDefault="005742A7" w:rsidP="005742A7">
      <w:pPr>
        <w:bidi/>
        <w:rPr>
          <w:sz w:val="20"/>
          <w:rtl/>
          <w:lang w:val="en-CA"/>
        </w:rPr>
      </w:pPr>
      <w:r w:rsidRPr="00720607">
        <w:rPr>
          <w:rFonts w:hint="cs"/>
          <w:sz w:val="20"/>
          <w:rtl/>
          <w:lang w:val="en-CA"/>
        </w:rPr>
        <w:t>*** متوسط الاستهلاك بين عام 2007 وعام 2009</w:t>
      </w:r>
    </w:p>
    <w:p w14:paraId="0B50319E" w14:textId="77777777" w:rsidR="005742A7" w:rsidRDefault="005742A7" w:rsidP="005742A7">
      <w:pPr>
        <w:bidi/>
        <w:rPr>
          <w:sz w:val="19"/>
          <w:szCs w:val="19"/>
          <w:rtl/>
          <w:lang w:val="en-CA"/>
        </w:rPr>
      </w:pPr>
    </w:p>
    <w:p w14:paraId="1E8C3D63" w14:textId="77777777" w:rsidR="005645D1" w:rsidRPr="003E5812" w:rsidRDefault="00EF5480" w:rsidP="00EF5480">
      <w:pPr>
        <w:pStyle w:val="Heading1"/>
        <w:numPr>
          <w:ilvl w:val="0"/>
          <w:numId w:val="11"/>
        </w:numPr>
        <w:bidi/>
        <w:ind w:left="794" w:hanging="794"/>
        <w:rPr>
          <w:sz w:val="22"/>
          <w:szCs w:val="26"/>
        </w:rPr>
      </w:pPr>
      <w:r>
        <w:rPr>
          <w:sz w:val="22"/>
          <w:szCs w:val="26"/>
          <w:rtl/>
        </w:rPr>
        <w:t>منذ عام 2015، تم الحفاظ</w:t>
      </w:r>
      <w:r w:rsidR="00103D36" w:rsidRPr="00103D36">
        <w:rPr>
          <w:sz w:val="22"/>
          <w:szCs w:val="26"/>
          <w:rtl/>
        </w:rPr>
        <w:t xml:space="preserve"> على مستوى استهلاك المواد الهيدروكلوروفلوروكربونية </w:t>
      </w:r>
      <w:r>
        <w:rPr>
          <w:rFonts w:hint="cs"/>
          <w:sz w:val="22"/>
          <w:szCs w:val="26"/>
          <w:rtl/>
        </w:rPr>
        <w:t>أقل من</w:t>
      </w:r>
      <w:r w:rsidR="00103D36" w:rsidRPr="00103D36">
        <w:rPr>
          <w:sz w:val="22"/>
          <w:szCs w:val="26"/>
          <w:rtl/>
        </w:rPr>
        <w:t xml:space="preserve"> الحصص التي أصدرتها الحكومة بسبب التطبيق الصارم لنظام الترخيص وتنفيذ الأنشطة المدرجة في خطة إدارة إزالة المواد الهيدروكلوروفلوروكربونية، بما في ذلك أنشطة بناء قدرات موظفي الجمارك وفنيي التبريد، والمساعدة التقنية المقدمة لقطاع خدمة التبريد. كما انخفض استهلاك المواد الهيدروكلوروفلوروكربونية مع زيادة واردات أجهزة </w:t>
      </w:r>
      <w:r w:rsidR="00FC1BD8">
        <w:rPr>
          <w:rFonts w:hint="cs"/>
          <w:sz w:val="22"/>
          <w:szCs w:val="26"/>
          <w:rtl/>
        </w:rPr>
        <w:t>ال</w:t>
      </w:r>
      <w:r w:rsidR="00103D36" w:rsidRPr="00103D36">
        <w:rPr>
          <w:sz w:val="22"/>
          <w:szCs w:val="26"/>
          <w:rtl/>
        </w:rPr>
        <w:t xml:space="preserve">تبريد وتكييف الهواء </w:t>
      </w:r>
      <w:r w:rsidR="00D51946">
        <w:rPr>
          <w:rFonts w:hint="cs"/>
          <w:sz w:val="22"/>
          <w:szCs w:val="26"/>
          <w:rtl/>
        </w:rPr>
        <w:t>التي لا تستند</w:t>
      </w:r>
      <w:r>
        <w:rPr>
          <w:rFonts w:hint="cs"/>
          <w:sz w:val="22"/>
          <w:szCs w:val="26"/>
          <w:rtl/>
        </w:rPr>
        <w:t xml:space="preserve"> </w:t>
      </w:r>
      <w:r w:rsidR="00D51946">
        <w:rPr>
          <w:rFonts w:hint="cs"/>
          <w:sz w:val="22"/>
          <w:szCs w:val="26"/>
          <w:rtl/>
        </w:rPr>
        <w:t>إلى</w:t>
      </w:r>
      <w:r w:rsidR="00103D36" w:rsidRPr="00103D36">
        <w:rPr>
          <w:sz w:val="22"/>
          <w:szCs w:val="26"/>
          <w:rtl/>
        </w:rPr>
        <w:t xml:space="preserve"> المواد الهيدروكلوروفلوروكربونية. وفي عامي 2017 و2019، </w:t>
      </w:r>
      <w:r w:rsidR="009929F9">
        <w:rPr>
          <w:rFonts w:hint="cs"/>
          <w:sz w:val="22"/>
          <w:szCs w:val="26"/>
          <w:rtl/>
        </w:rPr>
        <w:t>طرأ</w:t>
      </w:r>
      <w:r w:rsidR="00103D36" w:rsidRPr="00103D36">
        <w:rPr>
          <w:sz w:val="22"/>
          <w:szCs w:val="26"/>
          <w:rtl/>
        </w:rPr>
        <w:t xml:space="preserve"> انخفاض حاد في استهلاك مركب الهيدروكلوروفلوروكربون-22، حيث لم يستخدم جميع المستوردين الثمانية حصصهم السنوية من المواد الهيدروكلوروفلوروكربونية بسبب ضريبة الاستيراد </w:t>
      </w:r>
      <w:r w:rsidR="00103D36" w:rsidRPr="00103D36">
        <w:rPr>
          <w:sz w:val="22"/>
          <w:szCs w:val="26"/>
          <w:rtl/>
        </w:rPr>
        <w:lastRenderedPageBreak/>
        <w:t>المفروضة؛ ومن المتوقع أن يستمر هذا التوجه.</w:t>
      </w:r>
      <w:r w:rsidR="009929F9">
        <w:rPr>
          <w:rFonts w:hint="cs"/>
          <w:sz w:val="22"/>
          <w:szCs w:val="26"/>
          <w:rtl/>
        </w:rPr>
        <w:t xml:space="preserve"> و</w:t>
      </w:r>
      <w:r w:rsidR="00103D36" w:rsidRPr="00103D36">
        <w:rPr>
          <w:sz w:val="22"/>
          <w:szCs w:val="26"/>
          <w:rtl/>
        </w:rPr>
        <w:t>لم يكن هناك استيراد لمركب الهيدروكلوروفلوروكربون-141ب في البوليولات مسبقة الخلط منذ</w:t>
      </w:r>
      <w:r w:rsidR="009929F9">
        <w:rPr>
          <w:rFonts w:hint="cs"/>
          <w:sz w:val="22"/>
          <w:szCs w:val="26"/>
          <w:rtl/>
        </w:rPr>
        <w:t xml:space="preserve"> عام</w:t>
      </w:r>
      <w:r w:rsidR="00103D36" w:rsidRPr="00103D36">
        <w:rPr>
          <w:sz w:val="22"/>
          <w:szCs w:val="26"/>
          <w:rtl/>
        </w:rPr>
        <w:t xml:space="preserve"> 2018 بسبب </w:t>
      </w:r>
      <w:r w:rsidR="009929F9">
        <w:rPr>
          <w:rFonts w:hint="cs"/>
          <w:sz w:val="22"/>
          <w:szCs w:val="26"/>
          <w:rtl/>
        </w:rPr>
        <w:t>إزالته بصورة كاملة من</w:t>
      </w:r>
      <w:r w:rsidR="00103D36" w:rsidRPr="00103D36">
        <w:rPr>
          <w:sz w:val="22"/>
          <w:szCs w:val="26"/>
          <w:rtl/>
        </w:rPr>
        <w:t xml:space="preserve"> قطاع الرغاوي.</w:t>
      </w:r>
    </w:p>
    <w:p w14:paraId="051BC148" w14:textId="77777777" w:rsidR="005645D1" w:rsidRPr="00BD0D03" w:rsidRDefault="00BD0D03" w:rsidP="009E7DE5">
      <w:pPr>
        <w:pStyle w:val="Heading1"/>
        <w:numPr>
          <w:ilvl w:val="0"/>
          <w:numId w:val="0"/>
        </w:numPr>
        <w:bidi/>
        <w:rPr>
          <w:i/>
          <w:iCs/>
          <w:sz w:val="26"/>
          <w:szCs w:val="26"/>
        </w:rPr>
      </w:pPr>
      <w:r w:rsidRPr="00BD0D03">
        <w:rPr>
          <w:i/>
          <w:iCs/>
          <w:sz w:val="26"/>
          <w:szCs w:val="26"/>
          <w:rtl/>
        </w:rPr>
        <w:t>تقرير تنفيذ البرنام</w:t>
      </w:r>
      <w:r w:rsidR="009E7DE5">
        <w:rPr>
          <w:rFonts w:hint="cs"/>
          <w:i/>
          <w:iCs/>
          <w:sz w:val="26"/>
          <w:szCs w:val="26"/>
          <w:rtl/>
        </w:rPr>
        <w:t xml:space="preserve">ج </w:t>
      </w:r>
      <w:r w:rsidRPr="00BD0D03">
        <w:rPr>
          <w:i/>
          <w:iCs/>
          <w:sz w:val="26"/>
          <w:szCs w:val="26"/>
          <w:rtl/>
        </w:rPr>
        <w:t>القطري</w:t>
      </w:r>
    </w:p>
    <w:p w14:paraId="14D2911E" w14:textId="77777777" w:rsidR="005645D1" w:rsidRPr="00BD0D03" w:rsidRDefault="005762DC" w:rsidP="00C0524B">
      <w:pPr>
        <w:pStyle w:val="Heading1"/>
        <w:numPr>
          <w:ilvl w:val="0"/>
          <w:numId w:val="11"/>
        </w:numPr>
        <w:bidi/>
        <w:ind w:left="794" w:hanging="794"/>
        <w:rPr>
          <w:sz w:val="22"/>
          <w:szCs w:val="26"/>
        </w:rPr>
      </w:pPr>
      <w:r w:rsidRPr="005762DC">
        <w:rPr>
          <w:sz w:val="22"/>
          <w:szCs w:val="26"/>
          <w:rtl/>
        </w:rPr>
        <w:t>أبلغت حكومة غواتيمالا عن بيانات استهلاك قطاع الهيدروكلوروفلوروكربون في إطار تقرير تنفيذ البرنامج القُطري لعام 2018 والتي تتسق مع البيانات المبلغ عنها بموجب المادة 7 من بروتوكول مونتريال. وسيتم تقديم تقرير تنفيذ البرنامج القُطري لعام 2019 بحلول 1 مايو</w:t>
      </w:r>
      <w:r w:rsidR="00162850">
        <w:rPr>
          <w:rFonts w:hint="cs"/>
          <w:sz w:val="22"/>
          <w:szCs w:val="26"/>
          <w:rtl/>
          <w:lang w:bidi="ar-AE"/>
        </w:rPr>
        <w:t>/أيار</w:t>
      </w:r>
      <w:r w:rsidRPr="005762DC">
        <w:rPr>
          <w:sz w:val="22"/>
          <w:szCs w:val="26"/>
          <w:rtl/>
        </w:rPr>
        <w:t xml:space="preserve"> 2020.</w:t>
      </w:r>
    </w:p>
    <w:p w14:paraId="6D15FAF2" w14:textId="77777777" w:rsidR="005645D1" w:rsidRPr="00983C8E" w:rsidRDefault="00983C8E" w:rsidP="005645D1">
      <w:pPr>
        <w:pStyle w:val="Heading1"/>
        <w:numPr>
          <w:ilvl w:val="0"/>
          <w:numId w:val="0"/>
        </w:numPr>
        <w:bidi/>
        <w:rPr>
          <w:i/>
          <w:iCs/>
          <w:sz w:val="26"/>
          <w:szCs w:val="26"/>
        </w:rPr>
      </w:pPr>
      <w:r w:rsidRPr="00E5190A">
        <w:rPr>
          <w:i/>
          <w:iCs/>
          <w:sz w:val="26"/>
          <w:szCs w:val="26"/>
          <w:rtl/>
        </w:rPr>
        <w:t>تقرير التحقق</w:t>
      </w:r>
    </w:p>
    <w:p w14:paraId="7F4907F4" w14:textId="77777777" w:rsidR="005645D1" w:rsidRPr="00EF7110" w:rsidRDefault="00B34A9B" w:rsidP="00A64328">
      <w:pPr>
        <w:pStyle w:val="Heading1"/>
        <w:numPr>
          <w:ilvl w:val="0"/>
          <w:numId w:val="11"/>
        </w:numPr>
        <w:bidi/>
        <w:ind w:left="794" w:hanging="794"/>
        <w:rPr>
          <w:sz w:val="22"/>
          <w:szCs w:val="26"/>
        </w:rPr>
      </w:pPr>
      <w:r w:rsidRPr="00B34A9B">
        <w:rPr>
          <w:sz w:val="22"/>
          <w:szCs w:val="26"/>
          <w:rtl/>
        </w:rPr>
        <w:t xml:space="preserve">كان التحقق من استهلاك الهيدروكلوروفلوروكربون للفترة 2018-2019 جارياً قبل تقديم شريحة التمويل الخامسة؛ لكن تم إلغاء إحدى البعثات إلى غواتيمالا بسبب قيود السفر المتعلقة </w:t>
      </w:r>
      <w:r w:rsidR="00A64328">
        <w:rPr>
          <w:rFonts w:hint="cs"/>
          <w:sz w:val="22"/>
          <w:szCs w:val="26"/>
          <w:rtl/>
        </w:rPr>
        <w:t>بفيروس</w:t>
      </w:r>
      <w:r w:rsidRPr="00B34A9B">
        <w:rPr>
          <w:sz w:val="22"/>
          <w:szCs w:val="26"/>
          <w:rtl/>
        </w:rPr>
        <w:t xml:space="preserve"> كوفيد-19. </w:t>
      </w:r>
      <w:r>
        <w:rPr>
          <w:rFonts w:hint="cs"/>
          <w:sz w:val="22"/>
          <w:szCs w:val="26"/>
          <w:rtl/>
        </w:rPr>
        <w:t>و</w:t>
      </w:r>
      <w:r w:rsidRPr="00B34A9B">
        <w:rPr>
          <w:sz w:val="22"/>
          <w:szCs w:val="26"/>
          <w:rtl/>
        </w:rPr>
        <w:t>لم يتم تقديم هذا التقرير حتى تاريخ إصدار هذه الوثيقة؛ ومع ذلك، تتوقع اليونيدو تقديمه قبل 12 أسبوع من الاجتماع السادس والثمانين.</w:t>
      </w:r>
    </w:p>
    <w:p w14:paraId="2FC3072A" w14:textId="77777777" w:rsidR="005645D1" w:rsidRPr="005645D1" w:rsidRDefault="00E84CAE" w:rsidP="00E84CAE">
      <w:pPr>
        <w:pStyle w:val="Heading1"/>
        <w:numPr>
          <w:ilvl w:val="0"/>
          <w:numId w:val="0"/>
        </w:numPr>
        <w:bidi/>
        <w:rPr>
          <w:sz w:val="26"/>
          <w:szCs w:val="26"/>
          <w:rtl/>
        </w:rPr>
      </w:pPr>
      <w:r w:rsidRPr="00E5190A">
        <w:rPr>
          <w:sz w:val="26"/>
          <w:szCs w:val="26"/>
          <w:u w:val="single"/>
          <w:rtl/>
          <w:lang w:bidi="ar-SA"/>
        </w:rPr>
        <w:t xml:space="preserve">تقرير مرحلي بشأن تنفيذ الشريحة </w:t>
      </w:r>
      <w:r>
        <w:rPr>
          <w:rFonts w:hint="cs"/>
          <w:sz w:val="26"/>
          <w:szCs w:val="26"/>
          <w:u w:val="single"/>
          <w:rtl/>
          <w:lang w:bidi="ar-SA"/>
        </w:rPr>
        <w:t>الرابعة</w:t>
      </w:r>
      <w:r w:rsidRPr="00E5190A">
        <w:rPr>
          <w:sz w:val="26"/>
          <w:szCs w:val="26"/>
          <w:u w:val="single"/>
          <w:rtl/>
          <w:lang w:bidi="ar-SA"/>
        </w:rPr>
        <w:t xml:space="preserve"> من خطة إدارة إزالة المواد الهيدروكلوروفلوروكربونية</w:t>
      </w:r>
    </w:p>
    <w:p w14:paraId="67F6A2E8" w14:textId="77777777" w:rsidR="00E84CAE" w:rsidRPr="00640FCB" w:rsidRDefault="00E84CAE" w:rsidP="00E84CAE">
      <w:pPr>
        <w:pStyle w:val="Heading1"/>
        <w:numPr>
          <w:ilvl w:val="0"/>
          <w:numId w:val="0"/>
        </w:numPr>
        <w:bidi/>
        <w:rPr>
          <w:i/>
          <w:iCs/>
          <w:sz w:val="26"/>
          <w:szCs w:val="26"/>
          <w:lang w:val="en-NZ" w:bidi="ar-SY"/>
        </w:rPr>
      </w:pPr>
      <w:r>
        <w:rPr>
          <w:rFonts w:hint="cs"/>
          <w:i/>
          <w:iCs/>
          <w:sz w:val="26"/>
          <w:szCs w:val="26"/>
          <w:rtl/>
        </w:rPr>
        <w:t>الإطار القانوني</w:t>
      </w:r>
    </w:p>
    <w:p w14:paraId="7BD49783" w14:textId="77777777" w:rsidR="00786481" w:rsidRPr="00381DBC" w:rsidRDefault="00451CD3" w:rsidP="00762F6E">
      <w:pPr>
        <w:pStyle w:val="Heading1"/>
        <w:numPr>
          <w:ilvl w:val="0"/>
          <w:numId w:val="11"/>
        </w:numPr>
        <w:bidi/>
        <w:ind w:left="794" w:hanging="794"/>
        <w:rPr>
          <w:sz w:val="22"/>
          <w:szCs w:val="26"/>
          <w:rtl/>
        </w:rPr>
      </w:pPr>
      <w:r w:rsidRPr="00451CD3">
        <w:rPr>
          <w:sz w:val="22"/>
          <w:szCs w:val="26"/>
          <w:rtl/>
        </w:rPr>
        <w:t>واصلت غواتيمالا تنفيذ نظامها الخاص بتراخيص وحصص المواد الهيدروكلوروفلوروكربونية للواردات والصادرات وجمع البيانات الجمركية حول تجارة المواد الهيدروكلوروفلوروكربونية. وتم إعداد وحدة تدريبية جديدة بشأن مراقبة المواد المستنفدة ل</w:t>
      </w:r>
      <w:r w:rsidR="00C125BB">
        <w:rPr>
          <w:rFonts w:hint="cs"/>
          <w:sz w:val="22"/>
          <w:szCs w:val="26"/>
          <w:rtl/>
        </w:rPr>
        <w:t>قدرات ا</w:t>
      </w:r>
      <w:r w:rsidRPr="00451CD3">
        <w:rPr>
          <w:sz w:val="22"/>
          <w:szCs w:val="26"/>
          <w:rtl/>
        </w:rPr>
        <w:t>لأوزون كجزء من برنامج التدريب الجمركي المنتظم. وقامت سبع ورش عمل بتدريب 247 موظف جمرك إضافي في أربع مدن تركز على المواد الخاضعة للرقابة وبدائلها ومنعِ التجارة غير القانونية. كما تم شراء خمس أجهزة لتحديد غازات التبريد لمكاتب الجمارك. وتم تنفيذ</w:t>
      </w:r>
      <w:r w:rsidR="00762F6E">
        <w:rPr>
          <w:sz w:val="22"/>
          <w:szCs w:val="26"/>
          <w:rtl/>
        </w:rPr>
        <w:t xml:space="preserve"> برنامج مراقبة لضمان سريان</w:t>
      </w:r>
      <w:r w:rsidRPr="00451CD3">
        <w:rPr>
          <w:sz w:val="22"/>
          <w:szCs w:val="26"/>
          <w:rtl/>
        </w:rPr>
        <w:t xml:space="preserve"> الحظر المفروض على تصنيع واستيراد المعدات القائمة على المواد الهيدروكلوروفلوروكربونية. شاركت غواتيمالا في عملية</w:t>
      </w:r>
      <w:r>
        <w:rPr>
          <w:rFonts w:hint="cs"/>
          <w:sz w:val="22"/>
          <w:szCs w:val="26"/>
          <w:rtl/>
        </w:rPr>
        <w:t xml:space="preserve"> "</w:t>
      </w:r>
      <w:r w:rsidRPr="00451CD3">
        <w:rPr>
          <w:sz w:val="22"/>
          <w:szCs w:val="26"/>
        </w:rPr>
        <w:t>Demeter-V</w:t>
      </w:r>
      <w:r>
        <w:rPr>
          <w:rStyle w:val="FootnoteReference"/>
          <w:sz w:val="22"/>
          <w:szCs w:val="26"/>
          <w:rtl/>
        </w:rPr>
        <w:footnoteReference w:id="2"/>
      </w:r>
      <w:r w:rsidRPr="00451CD3">
        <w:rPr>
          <w:sz w:val="22"/>
          <w:szCs w:val="26"/>
          <w:rtl/>
        </w:rPr>
        <w:t>" في إطار المنظمة العالمية للجمارك، والتي نجم عنها مصادرة 83 من مكيفات الهواء القائمة على مركبات الهيدروكلوروفلوروكربون-22 وتسع عمليات تفتيش في مواقع جمركية.</w:t>
      </w:r>
    </w:p>
    <w:p w14:paraId="25C578BF" w14:textId="77777777" w:rsidR="001E1761" w:rsidRPr="00381DBC" w:rsidRDefault="001115A8" w:rsidP="009C4458">
      <w:pPr>
        <w:pStyle w:val="Heading1"/>
        <w:numPr>
          <w:ilvl w:val="0"/>
          <w:numId w:val="11"/>
        </w:numPr>
        <w:bidi/>
        <w:ind w:left="794" w:hanging="794"/>
        <w:rPr>
          <w:sz w:val="22"/>
          <w:szCs w:val="26"/>
        </w:rPr>
      </w:pPr>
      <w:r w:rsidRPr="00640FCB">
        <w:rPr>
          <w:sz w:val="22"/>
          <w:szCs w:val="26"/>
          <w:rtl/>
        </w:rPr>
        <w:t>تواصلت</w:t>
      </w:r>
      <w:r w:rsidRPr="001115A8">
        <w:rPr>
          <w:sz w:val="22"/>
          <w:szCs w:val="26"/>
          <w:rtl/>
        </w:rPr>
        <w:t xml:space="preserve"> وحدة الأوزون الوطنية </w:t>
      </w:r>
      <w:r w:rsidRPr="00640FCB">
        <w:rPr>
          <w:sz w:val="22"/>
          <w:szCs w:val="26"/>
          <w:rtl/>
        </w:rPr>
        <w:t>مع</w:t>
      </w:r>
      <w:r w:rsidRPr="001115A8">
        <w:rPr>
          <w:sz w:val="22"/>
          <w:szCs w:val="26"/>
          <w:rtl/>
        </w:rPr>
        <w:t xml:space="preserve"> لجنة معايير غواتيمالا (</w:t>
      </w:r>
      <w:r w:rsidRPr="001115A8">
        <w:rPr>
          <w:sz w:val="22"/>
          <w:szCs w:val="26"/>
        </w:rPr>
        <w:t>COGUANOR</w:t>
      </w:r>
      <w:r w:rsidRPr="001115A8">
        <w:rPr>
          <w:sz w:val="22"/>
          <w:szCs w:val="26"/>
          <w:rtl/>
        </w:rPr>
        <w:t>) لتحديد أصحاب المصلحة والأدوار المحتملة</w:t>
      </w:r>
      <w:r w:rsidR="00031C01">
        <w:rPr>
          <w:rFonts w:hint="cs"/>
          <w:sz w:val="22"/>
          <w:szCs w:val="26"/>
          <w:rtl/>
        </w:rPr>
        <w:t xml:space="preserve"> إزاء </w:t>
      </w:r>
      <w:r w:rsidRPr="001115A8">
        <w:rPr>
          <w:sz w:val="22"/>
          <w:szCs w:val="26"/>
          <w:rtl/>
        </w:rPr>
        <w:t>اعتماد معايير التعامل مع غازات التبريد القابلة للاشتعال. ويتم تطوير معيار الكفاءة العمالية للممارسات الجيدة في التعامل مع غازات وأنظمة التبريد، والذي سيتم استخدامه كمرجع ل</w:t>
      </w:r>
      <w:r w:rsidR="00031C01">
        <w:rPr>
          <w:rFonts w:hint="cs"/>
          <w:sz w:val="22"/>
          <w:szCs w:val="26"/>
          <w:rtl/>
        </w:rPr>
        <w:t>إصدار</w:t>
      </w:r>
      <w:r w:rsidRPr="001115A8">
        <w:rPr>
          <w:sz w:val="22"/>
          <w:szCs w:val="26"/>
          <w:rtl/>
        </w:rPr>
        <w:t xml:space="preserve"> شهاد</w:t>
      </w:r>
      <w:r w:rsidR="00031C01">
        <w:rPr>
          <w:rFonts w:hint="cs"/>
          <w:sz w:val="22"/>
          <w:szCs w:val="26"/>
          <w:rtl/>
        </w:rPr>
        <w:t>ات</w:t>
      </w:r>
      <w:r w:rsidR="009C4458">
        <w:rPr>
          <w:rFonts w:hint="cs"/>
          <w:sz w:val="22"/>
          <w:szCs w:val="26"/>
          <w:rtl/>
        </w:rPr>
        <w:t xml:space="preserve"> </w:t>
      </w:r>
      <w:r w:rsidR="00031C01">
        <w:rPr>
          <w:rFonts w:hint="cs"/>
          <w:sz w:val="22"/>
          <w:szCs w:val="26"/>
          <w:rtl/>
        </w:rPr>
        <w:t>ل</w:t>
      </w:r>
      <w:r w:rsidRPr="001115A8">
        <w:rPr>
          <w:sz w:val="22"/>
          <w:szCs w:val="26"/>
          <w:rtl/>
        </w:rPr>
        <w:t xml:space="preserve">تقنيي أجهزة التبريد </w:t>
      </w:r>
      <w:r w:rsidR="00B36F25">
        <w:rPr>
          <w:rFonts w:hint="cs"/>
          <w:sz w:val="22"/>
          <w:szCs w:val="26"/>
          <w:rtl/>
        </w:rPr>
        <w:t>و</w:t>
      </w:r>
      <w:r w:rsidRPr="001115A8">
        <w:rPr>
          <w:sz w:val="22"/>
          <w:szCs w:val="26"/>
          <w:rtl/>
        </w:rPr>
        <w:t>أجهزة تكييف الهواء، بالتعاون مع المعهد الفني للتدريب والإنتاجية (</w:t>
      </w:r>
      <w:r w:rsidRPr="001115A8">
        <w:rPr>
          <w:sz w:val="22"/>
          <w:szCs w:val="26"/>
        </w:rPr>
        <w:t>INTECAP</w:t>
      </w:r>
      <w:r w:rsidRPr="001115A8">
        <w:rPr>
          <w:sz w:val="22"/>
          <w:szCs w:val="26"/>
          <w:rtl/>
        </w:rPr>
        <w:t>).</w:t>
      </w:r>
    </w:p>
    <w:p w14:paraId="23B6107A" w14:textId="77777777" w:rsidR="001E1761" w:rsidRPr="00381DBC" w:rsidRDefault="00D456A3" w:rsidP="00ED4EFC">
      <w:pPr>
        <w:pStyle w:val="Heading1"/>
        <w:numPr>
          <w:ilvl w:val="0"/>
          <w:numId w:val="11"/>
        </w:numPr>
        <w:bidi/>
        <w:ind w:left="794" w:hanging="794"/>
        <w:rPr>
          <w:sz w:val="22"/>
          <w:szCs w:val="26"/>
        </w:rPr>
      </w:pPr>
      <w:r w:rsidRPr="00D456A3">
        <w:rPr>
          <w:sz w:val="22"/>
          <w:szCs w:val="26"/>
          <w:rtl/>
        </w:rPr>
        <w:t xml:space="preserve">بموجب المقرر 68/25، قامت حكومة غواتيمالا في يناير/كانون الثاني 2020 بفرض حظر على استيراد </w:t>
      </w:r>
      <w:r w:rsidR="00113FDB">
        <w:rPr>
          <w:rFonts w:hint="cs"/>
          <w:sz w:val="22"/>
          <w:szCs w:val="26"/>
          <w:rtl/>
        </w:rPr>
        <w:t xml:space="preserve">كميات كبيرة من </w:t>
      </w:r>
      <w:r w:rsidRPr="00D456A3">
        <w:rPr>
          <w:sz w:val="22"/>
          <w:szCs w:val="26"/>
          <w:rtl/>
        </w:rPr>
        <w:t>الهيدروكلوروفلوروكربون-</w:t>
      </w:r>
      <w:r w:rsidRPr="00CC5391">
        <w:rPr>
          <w:sz w:val="22"/>
          <w:szCs w:val="26"/>
          <w:rtl/>
        </w:rPr>
        <w:t>141ب</w:t>
      </w:r>
      <w:r w:rsidR="00FF4BF7">
        <w:rPr>
          <w:rFonts w:hint="cs"/>
          <w:sz w:val="22"/>
          <w:szCs w:val="26"/>
          <w:rtl/>
        </w:rPr>
        <w:t xml:space="preserve"> </w:t>
      </w:r>
      <w:r w:rsidR="00D144A4">
        <w:rPr>
          <w:rFonts w:hint="cs"/>
          <w:sz w:val="22"/>
          <w:szCs w:val="26"/>
          <w:rtl/>
          <w:lang w:bidi="ar-SY"/>
        </w:rPr>
        <w:t>في</w:t>
      </w:r>
      <w:r w:rsidRPr="00113FDB">
        <w:rPr>
          <w:sz w:val="22"/>
          <w:szCs w:val="26"/>
          <w:rtl/>
        </w:rPr>
        <w:t xml:space="preserve"> البوليولات مسبقة الخلط، </w:t>
      </w:r>
      <w:r w:rsidRPr="00D144A4">
        <w:rPr>
          <w:sz w:val="22"/>
          <w:szCs w:val="26"/>
          <w:rtl/>
        </w:rPr>
        <w:t>إلا أنه تم سحب الحظر لاحقاً لأن التعريفة تشمل البوليولات وغيرها من المواد غير المستنفدة للأوزون المست</w:t>
      </w:r>
      <w:r w:rsidRPr="00D456A3">
        <w:rPr>
          <w:sz w:val="22"/>
          <w:szCs w:val="26"/>
          <w:rtl/>
        </w:rPr>
        <w:t xml:space="preserve">خدمة على نطاق واسع في القطاع. </w:t>
      </w:r>
      <w:r w:rsidR="00890187">
        <w:rPr>
          <w:rFonts w:hint="cs"/>
          <w:sz w:val="22"/>
          <w:szCs w:val="26"/>
          <w:rtl/>
        </w:rPr>
        <w:t>و</w:t>
      </w:r>
      <w:r w:rsidRPr="00D456A3">
        <w:rPr>
          <w:sz w:val="22"/>
          <w:szCs w:val="26"/>
          <w:rtl/>
        </w:rPr>
        <w:t xml:space="preserve">أبرمت وحدة الأوزون الوطنية اتفاقية مع الحكومة لحظر استيراد </w:t>
      </w:r>
      <w:r w:rsidR="00FA0DFE">
        <w:rPr>
          <w:rFonts w:hint="cs"/>
          <w:sz w:val="22"/>
          <w:szCs w:val="26"/>
          <w:rtl/>
        </w:rPr>
        <w:t xml:space="preserve">كميات كبيرة من </w:t>
      </w:r>
      <w:r w:rsidR="00FA0DFE" w:rsidRPr="00D456A3">
        <w:rPr>
          <w:sz w:val="22"/>
          <w:szCs w:val="26"/>
          <w:rtl/>
        </w:rPr>
        <w:lastRenderedPageBreak/>
        <w:t>الهيدروكلوروفلوروكربون-</w:t>
      </w:r>
      <w:r w:rsidR="00FA0DFE" w:rsidRPr="00CC5391">
        <w:rPr>
          <w:sz w:val="22"/>
          <w:szCs w:val="26"/>
          <w:rtl/>
        </w:rPr>
        <w:t>141ب</w:t>
      </w:r>
      <w:r w:rsidR="00FA0DFE" w:rsidRPr="00CC5391">
        <w:rPr>
          <w:rFonts w:hint="cs"/>
          <w:sz w:val="22"/>
          <w:szCs w:val="26"/>
          <w:rtl/>
        </w:rPr>
        <w:t xml:space="preserve"> </w:t>
      </w:r>
      <w:r w:rsidR="00FA0DFE" w:rsidRPr="00CC5391">
        <w:rPr>
          <w:sz w:val="22"/>
          <w:szCs w:val="26"/>
          <w:rtl/>
        </w:rPr>
        <w:t>في</w:t>
      </w:r>
      <w:r w:rsidR="00FA0DFE" w:rsidRPr="00113FDB">
        <w:rPr>
          <w:sz w:val="22"/>
          <w:szCs w:val="26"/>
          <w:rtl/>
        </w:rPr>
        <w:t xml:space="preserve"> البوليولات مسبقة الخلط</w:t>
      </w:r>
      <w:r w:rsidRPr="00D456A3">
        <w:rPr>
          <w:sz w:val="22"/>
          <w:szCs w:val="26"/>
          <w:rtl/>
        </w:rPr>
        <w:t>، إذ من المتوقع أن تدخل حيز التنفيذ في أكتوبر/تشرين الأول 2020. كما لم يتم استخدام الهيدروكلوروفلوروكربون-141ب في البوليولات مسبقة الخلط المستوردة في قطاع الرغاوي، وقد تم نشر عوامل التنظيف البديلة لقطاع التبريد وتكييف الهواء في ورش التدريب، بدلاً من الهيدروكلوروفلوروكربون-141ب النقي.</w:t>
      </w:r>
    </w:p>
    <w:p w14:paraId="1AA2F10A" w14:textId="77777777" w:rsidR="007D1BC4" w:rsidRPr="00983C8E" w:rsidRDefault="007D1BC4" w:rsidP="007D1BC4">
      <w:pPr>
        <w:pStyle w:val="Heading1"/>
        <w:numPr>
          <w:ilvl w:val="0"/>
          <w:numId w:val="0"/>
        </w:numPr>
        <w:bidi/>
        <w:rPr>
          <w:i/>
          <w:iCs/>
          <w:sz w:val="26"/>
          <w:szCs w:val="26"/>
        </w:rPr>
      </w:pPr>
      <w:r>
        <w:rPr>
          <w:rFonts w:hint="cs"/>
          <w:i/>
          <w:iCs/>
          <w:sz w:val="26"/>
          <w:szCs w:val="26"/>
          <w:rtl/>
        </w:rPr>
        <w:t>قطاع خدمة التبريد</w:t>
      </w:r>
    </w:p>
    <w:p w14:paraId="7805C281" w14:textId="77777777" w:rsidR="001E1761" w:rsidRPr="009E3066" w:rsidRDefault="009E3066" w:rsidP="00C0524B">
      <w:pPr>
        <w:pStyle w:val="Heading1"/>
        <w:numPr>
          <w:ilvl w:val="0"/>
          <w:numId w:val="11"/>
        </w:numPr>
        <w:bidi/>
        <w:ind w:left="794" w:hanging="794"/>
        <w:rPr>
          <w:sz w:val="22"/>
          <w:szCs w:val="26"/>
          <w:rtl/>
        </w:rPr>
      </w:pPr>
      <w:r>
        <w:rPr>
          <w:rFonts w:hint="cs"/>
          <w:sz w:val="22"/>
          <w:szCs w:val="26"/>
          <w:rtl/>
        </w:rPr>
        <w:t>تم تنفيذ الأنشطة التالية:</w:t>
      </w:r>
    </w:p>
    <w:p w14:paraId="1003BFB5" w14:textId="77777777" w:rsidR="001E1761" w:rsidRPr="008D5A54" w:rsidRDefault="00D70A48" w:rsidP="00A54AAB">
      <w:pPr>
        <w:pStyle w:val="Heading1"/>
        <w:numPr>
          <w:ilvl w:val="0"/>
          <w:numId w:val="12"/>
        </w:numPr>
        <w:bidi/>
        <w:ind w:left="1588" w:hanging="794"/>
        <w:rPr>
          <w:sz w:val="22"/>
          <w:szCs w:val="26"/>
          <w:rtl/>
        </w:rPr>
      </w:pPr>
      <w:r w:rsidRPr="008D5A54">
        <w:rPr>
          <w:sz w:val="22"/>
          <w:szCs w:val="26"/>
          <w:rtl/>
        </w:rPr>
        <w:t xml:space="preserve">برنامج </w:t>
      </w:r>
      <w:r w:rsidRPr="004358B6">
        <w:rPr>
          <w:sz w:val="22"/>
          <w:szCs w:val="26"/>
          <w:rtl/>
        </w:rPr>
        <w:t xml:space="preserve">تدريب </w:t>
      </w:r>
      <w:r w:rsidR="00A54AAB" w:rsidRPr="004358B6">
        <w:rPr>
          <w:rFonts w:hint="cs"/>
          <w:sz w:val="22"/>
          <w:szCs w:val="26"/>
          <w:rtl/>
        </w:rPr>
        <w:t>وإصدار</w:t>
      </w:r>
      <w:r w:rsidR="008844AF">
        <w:rPr>
          <w:rFonts w:hint="cs"/>
          <w:sz w:val="22"/>
          <w:szCs w:val="26"/>
          <w:rtl/>
        </w:rPr>
        <w:t xml:space="preserve"> </w:t>
      </w:r>
      <w:r w:rsidRPr="004358B6">
        <w:rPr>
          <w:sz w:val="22"/>
          <w:szCs w:val="26"/>
          <w:rtl/>
        </w:rPr>
        <w:t>شهادات</w:t>
      </w:r>
      <w:r w:rsidRPr="008D5A54">
        <w:rPr>
          <w:sz w:val="22"/>
          <w:szCs w:val="26"/>
          <w:rtl/>
        </w:rPr>
        <w:t xml:space="preserve"> في مجال التبريد من خلال معهد"</w:t>
      </w:r>
      <w:r w:rsidRPr="008D5A54">
        <w:rPr>
          <w:sz w:val="22"/>
          <w:szCs w:val="26"/>
        </w:rPr>
        <w:t>INTECAP</w:t>
      </w:r>
      <w:r w:rsidRPr="008D5A54">
        <w:rPr>
          <w:sz w:val="22"/>
          <w:szCs w:val="26"/>
          <w:rtl/>
        </w:rPr>
        <w:t>" وإشراك مؤسسات أخرى بما في ذلك الرابطة الوطنية للفنيين (</w:t>
      </w:r>
      <w:r w:rsidRPr="008D5A54">
        <w:rPr>
          <w:sz w:val="22"/>
          <w:szCs w:val="26"/>
        </w:rPr>
        <w:t>ASFRIGUA</w:t>
      </w:r>
      <w:r w:rsidRPr="008D5A54">
        <w:rPr>
          <w:sz w:val="22"/>
          <w:szCs w:val="26"/>
          <w:rtl/>
        </w:rPr>
        <w:t>)، التي أجرت دراسة لتوصيف المستوى التعليمي للفنيين في قطاع خدمة التبريد</w:t>
      </w:r>
      <w:r w:rsidR="00DF0490" w:rsidRPr="008D5A54">
        <w:rPr>
          <w:rFonts w:hint="cs"/>
          <w:sz w:val="22"/>
          <w:szCs w:val="26"/>
          <w:rtl/>
        </w:rPr>
        <w:t>،</w:t>
      </w:r>
      <w:r w:rsidRPr="008D5A54">
        <w:rPr>
          <w:sz w:val="22"/>
          <w:szCs w:val="26"/>
          <w:rtl/>
        </w:rPr>
        <w:t xml:space="preserve"> وستشارك في نشاط التحقق من مدونة قواعد السلوك لاستخدامها </w:t>
      </w:r>
      <w:r w:rsidRPr="004358B6">
        <w:rPr>
          <w:sz w:val="22"/>
          <w:szCs w:val="26"/>
          <w:rtl/>
        </w:rPr>
        <w:t xml:space="preserve">في </w:t>
      </w:r>
      <w:r w:rsidR="00A54AAB" w:rsidRPr="004358B6">
        <w:rPr>
          <w:rFonts w:hint="cs"/>
          <w:sz w:val="22"/>
          <w:szCs w:val="26"/>
          <w:rtl/>
        </w:rPr>
        <w:t>إصدار</w:t>
      </w:r>
      <w:r w:rsidR="00FA0DFE" w:rsidRPr="004358B6">
        <w:rPr>
          <w:rFonts w:hint="cs"/>
          <w:sz w:val="22"/>
          <w:szCs w:val="26"/>
          <w:rtl/>
        </w:rPr>
        <w:t xml:space="preserve"> الشهادات</w:t>
      </w:r>
      <w:r w:rsidRPr="008D5A54">
        <w:rPr>
          <w:sz w:val="22"/>
          <w:szCs w:val="26"/>
          <w:rtl/>
        </w:rPr>
        <w:t>؛</w:t>
      </w:r>
    </w:p>
    <w:p w14:paraId="7ADE4B82" w14:textId="77777777" w:rsidR="00A8338C" w:rsidRPr="008D5A54" w:rsidRDefault="00DF0490" w:rsidP="00B51CA4">
      <w:pPr>
        <w:pStyle w:val="Heading1"/>
        <w:numPr>
          <w:ilvl w:val="0"/>
          <w:numId w:val="12"/>
        </w:numPr>
        <w:bidi/>
        <w:ind w:left="1588" w:hanging="794"/>
        <w:rPr>
          <w:sz w:val="22"/>
          <w:szCs w:val="26"/>
          <w:rtl/>
        </w:rPr>
      </w:pPr>
      <w:r w:rsidRPr="008D5A54">
        <w:rPr>
          <w:sz w:val="22"/>
          <w:szCs w:val="26"/>
          <w:rtl/>
        </w:rPr>
        <w:t>تم عقد أربعة وستين اجتماعاً وورشة عمل لتدريب 1,200 من الفنيين البالغ عددهم 4,000، في القطاعين الرسمي وغير الرسمي في غواتيمالا</w:t>
      </w:r>
      <w:r w:rsidR="00B51CA4" w:rsidRPr="008D5A54">
        <w:rPr>
          <w:rStyle w:val="FootnoteReference"/>
          <w:sz w:val="22"/>
          <w:szCs w:val="26"/>
          <w:rtl/>
        </w:rPr>
        <w:footnoteReference w:id="3"/>
      </w:r>
      <w:r w:rsidRPr="008D5A54">
        <w:rPr>
          <w:sz w:val="22"/>
          <w:szCs w:val="26"/>
          <w:rtl/>
        </w:rPr>
        <w:t>، على ممارسات الخدمة الجيدة في قطاع التبريد؛ وتم تدريب 238 من طلاب التبريد وتكييف الهواء في معهد"</w:t>
      </w:r>
      <w:r w:rsidRPr="008D5A54">
        <w:rPr>
          <w:sz w:val="22"/>
          <w:szCs w:val="26"/>
        </w:rPr>
        <w:t>INTECAP</w:t>
      </w:r>
      <w:r w:rsidRPr="008D5A54">
        <w:rPr>
          <w:sz w:val="22"/>
          <w:szCs w:val="26"/>
          <w:rtl/>
        </w:rPr>
        <w:t>" على بدائل</w:t>
      </w:r>
      <w:r w:rsidR="00F04081">
        <w:rPr>
          <w:rFonts w:hint="cs"/>
          <w:sz w:val="22"/>
          <w:szCs w:val="26"/>
          <w:rtl/>
        </w:rPr>
        <w:t xml:space="preserve"> محتملة</w:t>
      </w:r>
      <w:r w:rsidRPr="008D5A54">
        <w:rPr>
          <w:sz w:val="22"/>
          <w:szCs w:val="26"/>
          <w:rtl/>
        </w:rPr>
        <w:t xml:space="preserve"> ذات قدرة منخفضة على إحداث الاحترار العالمي؛</w:t>
      </w:r>
    </w:p>
    <w:p w14:paraId="3D03A261" w14:textId="77777777" w:rsidR="001E1761" w:rsidRPr="008D5A54" w:rsidRDefault="00771F2A" w:rsidP="00FF57F9">
      <w:pPr>
        <w:pStyle w:val="Heading1"/>
        <w:numPr>
          <w:ilvl w:val="0"/>
          <w:numId w:val="12"/>
        </w:numPr>
        <w:bidi/>
        <w:ind w:left="1588" w:hanging="794"/>
        <w:rPr>
          <w:sz w:val="22"/>
          <w:szCs w:val="26"/>
          <w:rtl/>
        </w:rPr>
      </w:pPr>
      <w:r w:rsidRPr="008D5A54">
        <w:rPr>
          <w:sz w:val="22"/>
          <w:szCs w:val="26"/>
          <w:rtl/>
        </w:rPr>
        <w:t xml:space="preserve">أجرى خبيرٌ في كفاءة الطاقة دورتين تدريبيتين لفنيي قطاع التبريد وتكييف الهواء في مرافق معهد </w:t>
      </w:r>
      <w:r w:rsidR="00FF57F9" w:rsidRPr="008D5A54">
        <w:rPr>
          <w:sz w:val="22"/>
          <w:szCs w:val="26"/>
          <w:rtl/>
        </w:rPr>
        <w:t>"</w:t>
      </w:r>
      <w:r w:rsidRPr="008D5A54">
        <w:rPr>
          <w:sz w:val="22"/>
          <w:szCs w:val="26"/>
        </w:rPr>
        <w:t>INTECAP</w:t>
      </w:r>
      <w:r w:rsidRPr="008D5A54">
        <w:rPr>
          <w:sz w:val="22"/>
          <w:szCs w:val="26"/>
          <w:rtl/>
        </w:rPr>
        <w:t>" حول كفاءة الطاقة في المعدات القائمة على</w:t>
      </w:r>
      <w:r w:rsidR="00CB2098" w:rsidRPr="008D5A54">
        <w:rPr>
          <w:rFonts w:hint="cs"/>
          <w:sz w:val="22"/>
          <w:szCs w:val="26"/>
          <w:rtl/>
        </w:rPr>
        <w:t xml:space="preserve"> مركبات</w:t>
      </w:r>
      <w:r w:rsidRPr="008D5A54">
        <w:rPr>
          <w:sz w:val="22"/>
          <w:szCs w:val="26"/>
          <w:rtl/>
        </w:rPr>
        <w:t xml:space="preserve"> الهيدروكربون</w:t>
      </w:r>
      <w:r w:rsidR="00CB2098" w:rsidRPr="008D5A54">
        <w:rPr>
          <w:rFonts w:hint="cs"/>
          <w:sz w:val="22"/>
          <w:szCs w:val="26"/>
          <w:rtl/>
        </w:rPr>
        <w:t>،</w:t>
      </w:r>
      <w:r w:rsidRPr="008D5A54">
        <w:rPr>
          <w:sz w:val="22"/>
          <w:szCs w:val="26"/>
          <w:rtl/>
        </w:rPr>
        <w:t xml:space="preserve"> و</w:t>
      </w:r>
      <w:r w:rsidR="00CB2098" w:rsidRPr="008D5A54">
        <w:rPr>
          <w:rFonts w:hint="cs"/>
          <w:sz w:val="22"/>
          <w:szCs w:val="26"/>
          <w:rtl/>
        </w:rPr>
        <w:t xml:space="preserve">عقد </w:t>
      </w:r>
      <w:r w:rsidRPr="008D5A54">
        <w:rPr>
          <w:sz w:val="22"/>
          <w:szCs w:val="26"/>
          <w:rtl/>
        </w:rPr>
        <w:t>اجتماع مع "فوجل"، الشركة المصنعة لغازات التبريد المنزلية والتجارية (حيث تم تحويلها بمساعدة من الصندوق متعدد الأطراف) لتحسين كفاءة الطاقة في المعدات التي يتم تصنيعها وتقييم رأس المال الإضافي وتكاليف التشغيل الإضافية المرتبطة بها؛</w:t>
      </w:r>
    </w:p>
    <w:p w14:paraId="4F79294C" w14:textId="77777777" w:rsidR="001E1761" w:rsidRPr="005645D1" w:rsidRDefault="00C34E29" w:rsidP="00C0524B">
      <w:pPr>
        <w:pStyle w:val="Heading1"/>
        <w:numPr>
          <w:ilvl w:val="0"/>
          <w:numId w:val="12"/>
        </w:numPr>
        <w:bidi/>
        <w:ind w:left="1588" w:hanging="794"/>
        <w:rPr>
          <w:sz w:val="26"/>
          <w:szCs w:val="26"/>
        </w:rPr>
      </w:pPr>
      <w:r w:rsidRPr="00C34E29">
        <w:rPr>
          <w:sz w:val="26"/>
          <w:szCs w:val="26"/>
          <w:rtl/>
        </w:rPr>
        <w:t xml:space="preserve">تم التعاقد مع </w:t>
      </w:r>
      <w:r>
        <w:rPr>
          <w:sz w:val="26"/>
          <w:szCs w:val="26"/>
          <w:rtl/>
        </w:rPr>
        <w:t>خبير استشاري دولي لمواصلة تحسين</w:t>
      </w:r>
      <w:r w:rsidRPr="00C34E29">
        <w:rPr>
          <w:sz w:val="26"/>
          <w:szCs w:val="26"/>
          <w:rtl/>
        </w:rPr>
        <w:t xml:space="preserve"> نظام إصدار الشهادات الفنية؛ فيما يجري صياغة معيار الكفاءة العمالية للممارسات الجيدة في مجال التعامل مع غازات وأنظمة التبريد التي تحتوي عليها، وسيتم اعتمادها من قبل مجموعة تقنية في عام 2020؛</w:t>
      </w:r>
    </w:p>
    <w:p w14:paraId="76321C14" w14:textId="77777777" w:rsidR="001E1761" w:rsidRPr="008D5A54" w:rsidRDefault="009F3886" w:rsidP="008D5A54">
      <w:pPr>
        <w:pStyle w:val="Heading1"/>
        <w:numPr>
          <w:ilvl w:val="0"/>
          <w:numId w:val="12"/>
        </w:numPr>
        <w:bidi/>
        <w:ind w:left="1588" w:hanging="794"/>
        <w:rPr>
          <w:sz w:val="22"/>
          <w:szCs w:val="26"/>
        </w:rPr>
      </w:pPr>
      <w:r w:rsidRPr="008D5A54">
        <w:rPr>
          <w:sz w:val="22"/>
          <w:szCs w:val="26"/>
          <w:rtl/>
        </w:rPr>
        <w:t>تم شراء مجموعات أدوات الخدمة لتعزيز مراكز التدريب الإضافية، بما في ذلك 10 مكيفات هواء قائمة على</w:t>
      </w:r>
      <w:r w:rsidRPr="008D5A54">
        <w:rPr>
          <w:rFonts w:hint="cs"/>
          <w:sz w:val="22"/>
          <w:szCs w:val="26"/>
          <w:rtl/>
        </w:rPr>
        <w:t xml:space="preserve"> استخدام</w:t>
      </w:r>
      <w:r w:rsidRPr="008D5A54">
        <w:rPr>
          <w:sz w:val="22"/>
          <w:szCs w:val="26"/>
          <w:rtl/>
        </w:rPr>
        <w:t xml:space="preserve"> غاز</w:t>
      </w:r>
      <w:r w:rsidRPr="008D5A54">
        <w:rPr>
          <w:sz w:val="22"/>
          <w:szCs w:val="26"/>
        </w:rPr>
        <w:t>R-290</w:t>
      </w:r>
      <w:r w:rsidRPr="008D5A54">
        <w:rPr>
          <w:sz w:val="22"/>
          <w:szCs w:val="26"/>
          <w:rtl/>
        </w:rPr>
        <w:t xml:space="preserve"> ، وثمان مجموعات أدوات أساسية لتوفير خدمات تجهيزات غاز </w:t>
      </w:r>
      <w:r w:rsidRPr="008D5A54">
        <w:rPr>
          <w:sz w:val="22"/>
          <w:szCs w:val="26"/>
        </w:rPr>
        <w:t>R-290</w:t>
      </w:r>
      <w:r w:rsidRPr="008D5A54">
        <w:rPr>
          <w:sz w:val="22"/>
          <w:szCs w:val="26"/>
          <w:rtl/>
        </w:rPr>
        <w:t xml:space="preserve">، وكاشفات تسرب الهيدروكربون، </w:t>
      </w:r>
      <w:r w:rsidR="008D5A54">
        <w:rPr>
          <w:rFonts w:hint="cs"/>
          <w:sz w:val="22"/>
          <w:szCs w:val="26"/>
          <w:rtl/>
        </w:rPr>
        <w:t>وأجهزة تحديد</w:t>
      </w:r>
      <w:r w:rsidRPr="008D5A54">
        <w:rPr>
          <w:sz w:val="22"/>
          <w:szCs w:val="26"/>
          <w:rtl/>
        </w:rPr>
        <w:t xml:space="preserve"> غازات التبريد، ومقاييس الضغط؛ و</w:t>
      </w:r>
    </w:p>
    <w:p w14:paraId="7B6C1270" w14:textId="77777777" w:rsidR="001E1761" w:rsidRPr="008D5A54" w:rsidRDefault="008476D6" w:rsidP="00C0524B">
      <w:pPr>
        <w:pStyle w:val="Heading1"/>
        <w:numPr>
          <w:ilvl w:val="0"/>
          <w:numId w:val="12"/>
        </w:numPr>
        <w:bidi/>
        <w:ind w:left="1588" w:hanging="794"/>
        <w:rPr>
          <w:sz w:val="22"/>
          <w:szCs w:val="26"/>
          <w:rtl/>
        </w:rPr>
      </w:pPr>
      <w:r w:rsidRPr="008D5A54">
        <w:rPr>
          <w:sz w:val="22"/>
          <w:szCs w:val="26"/>
          <w:rtl/>
        </w:rPr>
        <w:t>تنفيذ برنامج "انعدام التسرب (</w:t>
      </w:r>
      <w:r w:rsidRPr="008D5A54">
        <w:rPr>
          <w:sz w:val="22"/>
          <w:szCs w:val="26"/>
        </w:rPr>
        <w:t xml:space="preserve">Zero </w:t>
      </w:r>
      <w:r w:rsidR="006C59C0" w:rsidRPr="008D5A54">
        <w:rPr>
          <w:sz w:val="22"/>
          <w:szCs w:val="26"/>
        </w:rPr>
        <w:t>Leakage</w:t>
      </w:r>
      <w:r w:rsidRPr="008D5A54">
        <w:rPr>
          <w:sz w:val="22"/>
          <w:szCs w:val="26"/>
          <w:rtl/>
        </w:rPr>
        <w:t>)" التجريبي لتعزيز احتواء غازات التبريد في إحدى شركات قطاع تجهيز الأغذية/النقل المبرد؛ إذ يتوقع صدور التقرير الذي يوثق المشروع في أواخر عام 2020.</w:t>
      </w:r>
    </w:p>
    <w:p w14:paraId="7C0C5788" w14:textId="77777777" w:rsidR="001E1761" w:rsidRPr="00884AAA" w:rsidRDefault="00AD5B33" w:rsidP="001E1761">
      <w:pPr>
        <w:pStyle w:val="Heading1"/>
        <w:numPr>
          <w:ilvl w:val="0"/>
          <w:numId w:val="0"/>
        </w:numPr>
        <w:bidi/>
        <w:rPr>
          <w:i/>
          <w:iCs/>
          <w:sz w:val="26"/>
          <w:szCs w:val="26"/>
          <w:rtl/>
        </w:rPr>
      </w:pPr>
      <w:r>
        <w:rPr>
          <w:rFonts w:hint="cs"/>
          <w:i/>
          <w:iCs/>
          <w:sz w:val="26"/>
          <w:szCs w:val="26"/>
          <w:rtl/>
        </w:rPr>
        <w:t>تنفيذ ورصد</w:t>
      </w:r>
      <w:r w:rsidR="00884AAA" w:rsidRPr="00884AAA">
        <w:rPr>
          <w:rFonts w:hint="cs"/>
          <w:i/>
          <w:iCs/>
          <w:sz w:val="26"/>
          <w:szCs w:val="26"/>
          <w:rtl/>
        </w:rPr>
        <w:t xml:space="preserve"> المشروع</w:t>
      </w:r>
    </w:p>
    <w:p w14:paraId="0086FE90" w14:textId="77777777" w:rsidR="001E1761" w:rsidRDefault="00C80A29" w:rsidP="00C0524B">
      <w:pPr>
        <w:pStyle w:val="Heading1"/>
        <w:numPr>
          <w:ilvl w:val="0"/>
          <w:numId w:val="11"/>
        </w:numPr>
        <w:bidi/>
        <w:ind w:left="794" w:hanging="794"/>
        <w:rPr>
          <w:sz w:val="26"/>
          <w:szCs w:val="26"/>
          <w:rtl/>
        </w:rPr>
      </w:pPr>
      <w:r w:rsidRPr="00B9090C">
        <w:rPr>
          <w:sz w:val="26"/>
          <w:szCs w:val="26"/>
          <w:rtl/>
          <w:lang w:val="en-CA"/>
        </w:rPr>
        <w:t xml:space="preserve">يقوم خبراء وطنيون برصد ومتابعة أنشطة المشروع تحت إشراف </w:t>
      </w:r>
      <w:r w:rsidRPr="006C59C0">
        <w:rPr>
          <w:rFonts w:hint="cs"/>
          <w:sz w:val="26"/>
          <w:szCs w:val="26"/>
          <w:rtl/>
          <w:lang w:val="en-CA"/>
        </w:rPr>
        <w:t>المسؤول المعني</w:t>
      </w:r>
      <w:r w:rsidR="008844AF">
        <w:rPr>
          <w:rFonts w:hint="cs"/>
          <w:sz w:val="26"/>
          <w:szCs w:val="26"/>
          <w:rtl/>
          <w:lang w:val="en-CA"/>
        </w:rPr>
        <w:t xml:space="preserve"> </w:t>
      </w:r>
      <w:r w:rsidRPr="006C59C0">
        <w:rPr>
          <w:rFonts w:hint="cs"/>
          <w:sz w:val="26"/>
          <w:szCs w:val="26"/>
          <w:rtl/>
          <w:lang w:val="en-CA"/>
        </w:rPr>
        <w:t>ب</w:t>
      </w:r>
      <w:r w:rsidRPr="006C59C0">
        <w:rPr>
          <w:sz w:val="26"/>
          <w:szCs w:val="26"/>
          <w:rtl/>
          <w:lang w:val="en-CA"/>
        </w:rPr>
        <w:t>الأوزون</w:t>
      </w:r>
      <w:r w:rsidRPr="00B9090C">
        <w:rPr>
          <w:sz w:val="26"/>
          <w:szCs w:val="26"/>
          <w:rtl/>
          <w:lang w:val="en-CA"/>
        </w:rPr>
        <w:t xml:space="preserve"> الوطني.وقد تم صرف ما مجموعه 42</w:t>
      </w:r>
      <w:r>
        <w:rPr>
          <w:rFonts w:hint="cs"/>
          <w:sz w:val="26"/>
          <w:szCs w:val="26"/>
          <w:rtl/>
          <w:lang w:val="en-CA"/>
        </w:rPr>
        <w:t>,</w:t>
      </w:r>
      <w:r w:rsidRPr="00B9090C">
        <w:rPr>
          <w:sz w:val="26"/>
          <w:szCs w:val="26"/>
          <w:rtl/>
          <w:lang w:val="en-CA"/>
        </w:rPr>
        <w:t>719 دولار أمري</w:t>
      </w:r>
      <w:r>
        <w:rPr>
          <w:sz w:val="26"/>
          <w:szCs w:val="26"/>
          <w:rtl/>
          <w:lang w:val="en-CA"/>
        </w:rPr>
        <w:t xml:space="preserve">كي على أنشطة رصد المشروع خلال </w:t>
      </w:r>
      <w:r>
        <w:rPr>
          <w:rFonts w:hint="cs"/>
          <w:sz w:val="26"/>
          <w:szCs w:val="26"/>
          <w:rtl/>
          <w:lang w:val="en-CA"/>
        </w:rPr>
        <w:t>ال</w:t>
      </w:r>
      <w:r w:rsidRPr="00B9090C">
        <w:rPr>
          <w:sz w:val="26"/>
          <w:szCs w:val="26"/>
          <w:rtl/>
          <w:lang w:val="en-CA"/>
        </w:rPr>
        <w:t>سنوات</w:t>
      </w:r>
      <w:r>
        <w:rPr>
          <w:rFonts w:hint="cs"/>
          <w:sz w:val="26"/>
          <w:szCs w:val="26"/>
          <w:rtl/>
          <w:lang w:val="en-CA"/>
        </w:rPr>
        <w:t xml:space="preserve"> الثمانية ل</w:t>
      </w:r>
      <w:r>
        <w:rPr>
          <w:sz w:val="26"/>
          <w:szCs w:val="26"/>
          <w:rtl/>
          <w:lang w:val="en-CA"/>
        </w:rPr>
        <w:t xml:space="preserve">تنفيذ </w:t>
      </w:r>
      <w:r>
        <w:rPr>
          <w:sz w:val="26"/>
          <w:szCs w:val="26"/>
          <w:rtl/>
          <w:lang w:val="en-CA"/>
        </w:rPr>
        <w:lastRenderedPageBreak/>
        <w:t>المرحلة الأولى</w:t>
      </w:r>
      <w:r w:rsidRPr="00B9090C">
        <w:rPr>
          <w:sz w:val="26"/>
          <w:szCs w:val="26"/>
          <w:rtl/>
          <w:lang w:val="en-CA"/>
        </w:rPr>
        <w:t>، بما في ذلك</w:t>
      </w:r>
      <w:r>
        <w:rPr>
          <w:rFonts w:hint="cs"/>
          <w:sz w:val="26"/>
          <w:szCs w:val="26"/>
          <w:rtl/>
          <w:lang w:val="en-CA"/>
        </w:rPr>
        <w:t xml:space="preserve"> تكاليف</w:t>
      </w:r>
      <w:r w:rsidRPr="00B9090C">
        <w:rPr>
          <w:sz w:val="26"/>
          <w:szCs w:val="26"/>
          <w:rtl/>
          <w:lang w:val="en-CA"/>
        </w:rPr>
        <w:t xml:space="preserve"> الموظفين والاستشاريين (18</w:t>
      </w:r>
      <w:r>
        <w:rPr>
          <w:rFonts w:hint="cs"/>
          <w:sz w:val="26"/>
          <w:szCs w:val="26"/>
          <w:rtl/>
          <w:lang w:val="en-CA"/>
        </w:rPr>
        <w:t>,</w:t>
      </w:r>
      <w:r w:rsidRPr="00B9090C">
        <w:rPr>
          <w:sz w:val="26"/>
          <w:szCs w:val="26"/>
          <w:rtl/>
          <w:lang w:val="en-CA"/>
        </w:rPr>
        <w:t>091 دول</w:t>
      </w:r>
      <w:r>
        <w:rPr>
          <w:sz w:val="26"/>
          <w:szCs w:val="26"/>
          <w:rtl/>
          <w:lang w:val="en-CA"/>
        </w:rPr>
        <w:t>ار أمريكي) والسفر (8</w:t>
      </w:r>
      <w:r>
        <w:rPr>
          <w:rFonts w:hint="cs"/>
          <w:sz w:val="26"/>
          <w:szCs w:val="26"/>
          <w:rtl/>
          <w:lang w:val="en-CA"/>
        </w:rPr>
        <w:t>,</w:t>
      </w:r>
      <w:r>
        <w:rPr>
          <w:sz w:val="26"/>
          <w:szCs w:val="26"/>
          <w:rtl/>
          <w:lang w:val="en-CA"/>
        </w:rPr>
        <w:t>535 دولار أمريكي) وورش العمل (16</w:t>
      </w:r>
      <w:r>
        <w:rPr>
          <w:rFonts w:hint="cs"/>
          <w:sz w:val="26"/>
          <w:szCs w:val="26"/>
          <w:rtl/>
          <w:lang w:val="en-CA"/>
        </w:rPr>
        <w:t>,</w:t>
      </w:r>
      <w:r>
        <w:rPr>
          <w:sz w:val="26"/>
          <w:szCs w:val="26"/>
          <w:rtl/>
          <w:lang w:val="en-CA"/>
        </w:rPr>
        <w:t>093 دولار أمريكي</w:t>
      </w:r>
      <w:r w:rsidRPr="00B9090C">
        <w:rPr>
          <w:sz w:val="26"/>
          <w:szCs w:val="26"/>
          <w:rtl/>
          <w:lang w:val="en-CA"/>
        </w:rPr>
        <w:t>).</w:t>
      </w:r>
    </w:p>
    <w:p w14:paraId="55E07B0E" w14:textId="77777777" w:rsidR="00884AAA" w:rsidRDefault="001F59AB" w:rsidP="00884AAA">
      <w:pPr>
        <w:pStyle w:val="Heading1"/>
        <w:numPr>
          <w:ilvl w:val="0"/>
          <w:numId w:val="0"/>
        </w:numPr>
        <w:bidi/>
        <w:rPr>
          <w:sz w:val="26"/>
          <w:szCs w:val="26"/>
          <w:rtl/>
        </w:rPr>
      </w:pPr>
      <w:r w:rsidRPr="00A0241E">
        <w:rPr>
          <w:rFonts w:hint="cs"/>
          <w:sz w:val="26"/>
          <w:szCs w:val="26"/>
          <w:u w:val="single"/>
          <w:rtl/>
          <w:lang w:val="en-US" w:bidi="ar-EG"/>
        </w:rPr>
        <w:t>مستوى صرف الأموال</w:t>
      </w:r>
    </w:p>
    <w:p w14:paraId="1FDDB064" w14:textId="77777777" w:rsidR="00884AAA" w:rsidRDefault="00905D04" w:rsidP="002565AE">
      <w:pPr>
        <w:pStyle w:val="Heading1"/>
        <w:numPr>
          <w:ilvl w:val="0"/>
          <w:numId w:val="11"/>
        </w:numPr>
        <w:bidi/>
        <w:ind w:left="794" w:hanging="794"/>
        <w:rPr>
          <w:sz w:val="26"/>
          <w:szCs w:val="26"/>
          <w:rtl/>
        </w:rPr>
      </w:pPr>
      <w:r w:rsidRPr="00905D04">
        <w:rPr>
          <w:sz w:val="26"/>
          <w:szCs w:val="26"/>
          <w:rtl/>
        </w:rPr>
        <w:t xml:space="preserve">تم صرف مبلغ 341,953 دولار أمريكي حتى مارس 2020، وذلك من </w:t>
      </w:r>
      <w:r w:rsidR="008D5A54">
        <w:rPr>
          <w:rFonts w:hint="cs"/>
          <w:sz w:val="26"/>
          <w:szCs w:val="26"/>
          <w:rtl/>
        </w:rPr>
        <w:t>إجمالي</w:t>
      </w:r>
      <w:r w:rsidRPr="00905D04">
        <w:rPr>
          <w:sz w:val="26"/>
          <w:szCs w:val="26"/>
          <w:rtl/>
        </w:rPr>
        <w:t xml:space="preserve"> مبلغ 394,321 دولار أمريكي تمت الموافقة عليه حتى الآن (296,828 دولار أمريكي لليونيدو و45,125 دولار أمريكي للي</w:t>
      </w:r>
      <w:r w:rsidR="002565AE">
        <w:rPr>
          <w:sz w:val="26"/>
          <w:szCs w:val="26"/>
          <w:rtl/>
        </w:rPr>
        <w:t>ونيب) على النحو المبين في الجدو</w:t>
      </w:r>
      <w:r w:rsidR="002565AE">
        <w:rPr>
          <w:rFonts w:hint="cs"/>
          <w:sz w:val="26"/>
          <w:szCs w:val="26"/>
          <w:rtl/>
        </w:rPr>
        <w:t>ل2</w:t>
      </w:r>
      <w:r w:rsidRPr="00905D04">
        <w:rPr>
          <w:sz w:val="26"/>
          <w:szCs w:val="26"/>
          <w:rtl/>
        </w:rPr>
        <w:t xml:space="preserve">. وسيتم صرف الرصيد </w:t>
      </w:r>
      <w:r w:rsidR="008D5A54">
        <w:rPr>
          <w:rFonts w:hint="cs"/>
          <w:sz w:val="26"/>
          <w:szCs w:val="26"/>
          <w:rtl/>
        </w:rPr>
        <w:t xml:space="preserve">المتبقي </w:t>
      </w:r>
      <w:r w:rsidRPr="00905D04">
        <w:rPr>
          <w:sz w:val="26"/>
          <w:szCs w:val="26"/>
          <w:rtl/>
        </w:rPr>
        <w:t>البالغ 52,368 دولار أمريكي في عام 2020.</w:t>
      </w:r>
    </w:p>
    <w:p w14:paraId="16C4A547" w14:textId="77777777" w:rsidR="00940452" w:rsidRPr="008F2B16" w:rsidRDefault="00A20340" w:rsidP="00A20340">
      <w:pPr>
        <w:bidi/>
        <w:rPr>
          <w:b/>
          <w:bCs/>
          <w:sz w:val="22"/>
          <w:szCs w:val="22"/>
          <w:lang w:val="en-CA" w:bidi="ar-EG"/>
        </w:rPr>
      </w:pPr>
      <w:r>
        <w:rPr>
          <w:b/>
          <w:bCs/>
          <w:sz w:val="22"/>
          <w:szCs w:val="22"/>
          <w:rtl/>
          <w:lang w:val="en-CA" w:bidi="ar-SA"/>
        </w:rPr>
        <w:t>الجدول</w:t>
      </w:r>
      <w:r>
        <w:rPr>
          <w:rFonts w:hint="cs"/>
          <w:b/>
          <w:bCs/>
          <w:sz w:val="22"/>
          <w:szCs w:val="22"/>
          <w:rtl/>
          <w:lang w:val="en-CA"/>
        </w:rPr>
        <w:t>2</w:t>
      </w:r>
      <w:r w:rsidR="00940452" w:rsidRPr="00940452">
        <w:rPr>
          <w:b/>
          <w:bCs/>
          <w:sz w:val="22"/>
          <w:szCs w:val="22"/>
          <w:rtl/>
          <w:lang w:val="en-CA"/>
        </w:rPr>
        <w:t xml:space="preserve">: </w:t>
      </w:r>
      <w:r w:rsidR="00940452" w:rsidRPr="00940452">
        <w:rPr>
          <w:b/>
          <w:bCs/>
          <w:sz w:val="22"/>
          <w:szCs w:val="22"/>
          <w:rtl/>
          <w:lang w:val="en-CA" w:bidi="ar-SA"/>
        </w:rPr>
        <w:t xml:space="preserve">التقرير المالي للمرحلة الأولى من خطة إدارة إزالة المواد الهيدروكلوروفلوروكربونية </w:t>
      </w:r>
      <w:r w:rsidR="00905D04">
        <w:rPr>
          <w:rFonts w:hint="cs"/>
          <w:b/>
          <w:bCs/>
          <w:sz w:val="22"/>
          <w:szCs w:val="22"/>
          <w:rtl/>
          <w:lang w:val="en-CA" w:bidi="ar-SA"/>
        </w:rPr>
        <w:t>ل</w:t>
      </w:r>
      <w:r>
        <w:rPr>
          <w:rFonts w:hint="cs"/>
          <w:b/>
          <w:bCs/>
          <w:sz w:val="22"/>
          <w:szCs w:val="22"/>
          <w:rtl/>
          <w:lang w:val="en-CA" w:bidi="ar-SA"/>
        </w:rPr>
        <w:t xml:space="preserve">جمهورية </w:t>
      </w:r>
      <w:r w:rsidR="00940452" w:rsidRPr="008A4153">
        <w:rPr>
          <w:b/>
          <w:bCs/>
          <w:sz w:val="22"/>
          <w:szCs w:val="22"/>
          <w:rtl/>
          <w:lang w:val="en-CA"/>
        </w:rPr>
        <w:t>غواتيمالا</w:t>
      </w:r>
      <w:r w:rsidR="006F6E46">
        <w:rPr>
          <w:rFonts w:hint="cs"/>
          <w:b/>
          <w:bCs/>
          <w:sz w:val="22"/>
          <w:szCs w:val="22"/>
          <w:rtl/>
          <w:lang w:val="en-CA"/>
        </w:rPr>
        <w:t xml:space="preserve"> </w:t>
      </w:r>
      <w:r w:rsidR="00940452" w:rsidRPr="00940452">
        <w:rPr>
          <w:b/>
          <w:bCs/>
          <w:sz w:val="22"/>
          <w:szCs w:val="22"/>
          <w:rtl/>
          <w:lang w:val="en-CA"/>
        </w:rPr>
        <w:t>(</w:t>
      </w:r>
      <w:r w:rsidR="00940452" w:rsidRPr="00940452">
        <w:rPr>
          <w:b/>
          <w:bCs/>
          <w:sz w:val="22"/>
          <w:szCs w:val="22"/>
          <w:rtl/>
          <w:lang w:val="en-CA" w:bidi="ar-SA"/>
        </w:rPr>
        <w:t>دولار أمريكي</w:t>
      </w:r>
      <w:r w:rsidR="00940452" w:rsidRPr="00940452">
        <w:rPr>
          <w:b/>
          <w:bCs/>
          <w:sz w:val="22"/>
          <w:szCs w:val="22"/>
          <w:rtl/>
          <w:lang w:val="en-CA"/>
        </w:rPr>
        <w:t>)</w:t>
      </w:r>
    </w:p>
    <w:tbl>
      <w:tblPr>
        <w:bidiVisual/>
        <w:tblW w:w="9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260"/>
        <w:gridCol w:w="1417"/>
        <w:gridCol w:w="2273"/>
        <w:gridCol w:w="1418"/>
        <w:gridCol w:w="2048"/>
      </w:tblGrid>
      <w:tr w:rsidR="008F2B16" w:rsidRPr="00FE3307" w14:paraId="6DCECEA3" w14:textId="77777777" w:rsidTr="00940452">
        <w:trPr>
          <w:tblHeader/>
        </w:trPr>
        <w:tc>
          <w:tcPr>
            <w:tcW w:w="2227" w:type="dxa"/>
            <w:gridSpan w:val="2"/>
            <w:shd w:val="clear" w:color="auto" w:fill="auto"/>
            <w:noWrap/>
            <w:vAlign w:val="center"/>
            <w:hideMark/>
          </w:tcPr>
          <w:p w14:paraId="11054A12" w14:textId="77777777" w:rsidR="008F2B16" w:rsidRPr="00FE3307" w:rsidRDefault="00940452" w:rsidP="00940452">
            <w:pPr>
              <w:bidi/>
              <w:rPr>
                <w:b/>
                <w:bCs/>
                <w:color w:val="000000"/>
                <w:sz w:val="20"/>
                <w:lang w:val="en-CA" w:eastAsia="en-CA"/>
              </w:rPr>
            </w:pPr>
            <w:r>
              <w:rPr>
                <w:rFonts w:hint="cs"/>
                <w:b/>
                <w:bCs/>
                <w:color w:val="000000"/>
                <w:sz w:val="20"/>
                <w:rtl/>
                <w:lang w:val="en-CA" w:eastAsia="en-CA"/>
              </w:rPr>
              <w:t>الشريحة</w:t>
            </w:r>
          </w:p>
        </w:tc>
        <w:tc>
          <w:tcPr>
            <w:tcW w:w="1417" w:type="dxa"/>
            <w:shd w:val="clear" w:color="auto" w:fill="auto"/>
            <w:noWrap/>
            <w:vAlign w:val="center"/>
            <w:hideMark/>
          </w:tcPr>
          <w:p w14:paraId="12F74DA3" w14:textId="77777777" w:rsidR="008F2B16" w:rsidRPr="00940452" w:rsidRDefault="00940452" w:rsidP="00940452">
            <w:pPr>
              <w:bidi/>
              <w:jc w:val="center"/>
              <w:rPr>
                <w:bCs/>
                <w:color w:val="000000"/>
                <w:sz w:val="20"/>
                <w:lang w:val="en-CA" w:eastAsia="en-CA"/>
              </w:rPr>
            </w:pPr>
            <w:r w:rsidRPr="00940452">
              <w:rPr>
                <w:rFonts w:hint="cs"/>
                <w:bCs/>
                <w:color w:val="000000"/>
                <w:sz w:val="20"/>
                <w:rtl/>
                <w:lang w:val="en-CA" w:eastAsia="en-CA"/>
              </w:rPr>
              <w:t>اليونيدو</w:t>
            </w:r>
          </w:p>
        </w:tc>
        <w:tc>
          <w:tcPr>
            <w:tcW w:w="2273" w:type="dxa"/>
            <w:vAlign w:val="center"/>
          </w:tcPr>
          <w:p w14:paraId="346A296D" w14:textId="77777777" w:rsidR="008F2B16" w:rsidRPr="00940452" w:rsidRDefault="00940452" w:rsidP="00940452">
            <w:pPr>
              <w:bidi/>
              <w:jc w:val="center"/>
              <w:rPr>
                <w:bCs/>
                <w:color w:val="000000"/>
                <w:sz w:val="20"/>
                <w:lang w:val="en-CA" w:eastAsia="en-CA"/>
              </w:rPr>
            </w:pPr>
            <w:r w:rsidRPr="00940452">
              <w:rPr>
                <w:rFonts w:hint="cs"/>
                <w:bCs/>
                <w:color w:val="000000"/>
                <w:sz w:val="20"/>
                <w:rtl/>
                <w:lang w:val="en-CA" w:eastAsia="en-CA"/>
              </w:rPr>
              <w:t>اليونيب</w:t>
            </w:r>
          </w:p>
        </w:tc>
        <w:tc>
          <w:tcPr>
            <w:tcW w:w="1418" w:type="dxa"/>
            <w:shd w:val="clear" w:color="auto" w:fill="auto"/>
            <w:noWrap/>
            <w:vAlign w:val="center"/>
            <w:hideMark/>
          </w:tcPr>
          <w:p w14:paraId="67C411D0" w14:textId="77777777" w:rsidR="008F2B16" w:rsidRPr="00940452" w:rsidRDefault="00940452" w:rsidP="00940452">
            <w:pPr>
              <w:bidi/>
              <w:jc w:val="center"/>
              <w:rPr>
                <w:bCs/>
                <w:color w:val="000000"/>
                <w:sz w:val="20"/>
                <w:lang w:val="en-CA" w:eastAsia="en-CA"/>
              </w:rPr>
            </w:pPr>
            <w:r w:rsidRPr="00940452">
              <w:rPr>
                <w:rFonts w:hint="cs"/>
                <w:bCs/>
                <w:color w:val="000000"/>
                <w:sz w:val="20"/>
                <w:rtl/>
                <w:lang w:val="en-CA" w:eastAsia="en-CA"/>
              </w:rPr>
              <w:t>المجموع</w:t>
            </w:r>
          </w:p>
        </w:tc>
        <w:tc>
          <w:tcPr>
            <w:tcW w:w="2048" w:type="dxa"/>
            <w:shd w:val="clear" w:color="auto" w:fill="auto"/>
            <w:noWrap/>
            <w:tcMar>
              <w:left w:w="0" w:type="dxa"/>
              <w:right w:w="0" w:type="dxa"/>
            </w:tcMar>
            <w:vAlign w:val="center"/>
            <w:hideMark/>
          </w:tcPr>
          <w:p w14:paraId="67EC42E2" w14:textId="77777777" w:rsidR="008F2B16" w:rsidRPr="00940452" w:rsidRDefault="00940452" w:rsidP="00940452">
            <w:pPr>
              <w:bidi/>
              <w:jc w:val="center"/>
              <w:rPr>
                <w:bCs/>
                <w:color w:val="000000"/>
                <w:sz w:val="20"/>
                <w:lang w:val="en-CA" w:eastAsia="en-CA"/>
              </w:rPr>
            </w:pPr>
            <w:r w:rsidRPr="00940452">
              <w:rPr>
                <w:rFonts w:hint="cs"/>
                <w:bCs/>
                <w:color w:val="000000"/>
                <w:sz w:val="20"/>
                <w:rtl/>
                <w:lang w:val="en-CA" w:eastAsia="en-CA"/>
              </w:rPr>
              <w:t>نسبة الصرف (%)</w:t>
            </w:r>
          </w:p>
        </w:tc>
      </w:tr>
      <w:tr w:rsidR="008F2B16" w:rsidRPr="00FE3307" w14:paraId="4B281DA1" w14:textId="77777777" w:rsidTr="00940452">
        <w:tc>
          <w:tcPr>
            <w:tcW w:w="967" w:type="dxa"/>
            <w:vMerge w:val="restart"/>
            <w:shd w:val="clear" w:color="auto" w:fill="auto"/>
            <w:noWrap/>
            <w:vAlign w:val="center"/>
            <w:hideMark/>
          </w:tcPr>
          <w:p w14:paraId="31DA2AB1" w14:textId="77777777" w:rsidR="008F2B16" w:rsidRPr="00940452" w:rsidRDefault="00940452" w:rsidP="00940452">
            <w:pPr>
              <w:bidi/>
              <w:jc w:val="left"/>
              <w:rPr>
                <w:b/>
                <w:color w:val="000000"/>
                <w:sz w:val="20"/>
                <w:lang w:val="en-CA" w:eastAsia="en-CA"/>
              </w:rPr>
            </w:pPr>
            <w:r w:rsidRPr="00940452">
              <w:rPr>
                <w:rFonts w:hint="cs"/>
                <w:b/>
                <w:color w:val="000000"/>
                <w:sz w:val="20"/>
                <w:rtl/>
                <w:lang w:val="en-CA" w:eastAsia="en-CA"/>
              </w:rPr>
              <w:t>الأولى</w:t>
            </w:r>
          </w:p>
        </w:tc>
        <w:tc>
          <w:tcPr>
            <w:tcW w:w="1260" w:type="dxa"/>
            <w:shd w:val="clear" w:color="auto" w:fill="auto"/>
            <w:noWrap/>
            <w:vAlign w:val="center"/>
            <w:hideMark/>
          </w:tcPr>
          <w:p w14:paraId="19A49C4C" w14:textId="77777777" w:rsidR="008F2B16" w:rsidRPr="009A49AC" w:rsidRDefault="00786CC1" w:rsidP="00940452">
            <w:pPr>
              <w:bidi/>
              <w:rPr>
                <w:b/>
                <w:color w:val="000000"/>
                <w:sz w:val="20"/>
                <w:rtl/>
                <w:lang w:val="en-NZ" w:eastAsia="en-CA" w:bidi="ar-SY"/>
              </w:rPr>
            </w:pPr>
            <w:r w:rsidRPr="00786CC1">
              <w:rPr>
                <w:rFonts w:hint="cs"/>
                <w:b/>
                <w:color w:val="000000"/>
                <w:sz w:val="20"/>
                <w:rtl/>
                <w:lang w:val="en-CA" w:eastAsia="en-CA"/>
              </w:rPr>
              <w:t>مُوافق عليها</w:t>
            </w:r>
          </w:p>
        </w:tc>
        <w:tc>
          <w:tcPr>
            <w:tcW w:w="1417" w:type="dxa"/>
            <w:shd w:val="clear" w:color="auto" w:fill="auto"/>
            <w:noWrap/>
            <w:tcMar>
              <w:left w:w="115" w:type="dxa"/>
              <w:right w:w="288" w:type="dxa"/>
            </w:tcMar>
            <w:vAlign w:val="center"/>
          </w:tcPr>
          <w:p w14:paraId="5B0CDAD6" w14:textId="77777777" w:rsidR="00955D0B" w:rsidRPr="00FD2416" w:rsidRDefault="00955D0B" w:rsidP="00955D0B">
            <w:pPr>
              <w:bidi/>
              <w:jc w:val="left"/>
              <w:rPr>
                <w:color w:val="000000"/>
                <w:sz w:val="20"/>
                <w:lang w:val="en-CA" w:eastAsia="en-CA"/>
              </w:rPr>
            </w:pPr>
            <w:r>
              <w:rPr>
                <w:rFonts w:hint="cs"/>
                <w:color w:val="000000"/>
                <w:sz w:val="20"/>
                <w:rtl/>
                <w:lang w:val="en-CA" w:eastAsia="en-CA"/>
              </w:rPr>
              <w:t>118,087</w:t>
            </w:r>
          </w:p>
        </w:tc>
        <w:tc>
          <w:tcPr>
            <w:tcW w:w="2273" w:type="dxa"/>
            <w:tcMar>
              <w:left w:w="115" w:type="dxa"/>
              <w:right w:w="288" w:type="dxa"/>
            </w:tcMar>
            <w:vAlign w:val="center"/>
          </w:tcPr>
          <w:p w14:paraId="17342BAC" w14:textId="77777777" w:rsidR="00955D0B" w:rsidRPr="00FD2416" w:rsidRDefault="00955D0B" w:rsidP="00955D0B">
            <w:pPr>
              <w:bidi/>
              <w:jc w:val="left"/>
              <w:rPr>
                <w:color w:val="000000"/>
                <w:sz w:val="20"/>
                <w:lang w:val="en-CA" w:eastAsia="en-CA"/>
              </w:rPr>
            </w:pPr>
            <w:r>
              <w:rPr>
                <w:rFonts w:hint="cs"/>
                <w:color w:val="000000"/>
                <w:sz w:val="20"/>
                <w:rtl/>
                <w:lang w:val="en-CA" w:eastAsia="en-CA"/>
              </w:rPr>
              <w:t>28,250</w:t>
            </w:r>
          </w:p>
        </w:tc>
        <w:tc>
          <w:tcPr>
            <w:tcW w:w="1418" w:type="dxa"/>
            <w:shd w:val="clear" w:color="auto" w:fill="auto"/>
            <w:noWrap/>
            <w:tcMar>
              <w:left w:w="115" w:type="dxa"/>
              <w:right w:w="288" w:type="dxa"/>
            </w:tcMar>
            <w:vAlign w:val="center"/>
          </w:tcPr>
          <w:p w14:paraId="477C167D" w14:textId="77777777" w:rsidR="00955D0B" w:rsidRPr="00FD2416" w:rsidRDefault="00955D0B" w:rsidP="00955D0B">
            <w:pPr>
              <w:bidi/>
              <w:jc w:val="left"/>
              <w:rPr>
                <w:color w:val="000000"/>
                <w:sz w:val="20"/>
                <w:lang w:val="en-CA" w:eastAsia="en-CA"/>
              </w:rPr>
            </w:pPr>
            <w:r>
              <w:rPr>
                <w:rFonts w:hint="cs"/>
                <w:color w:val="000000"/>
                <w:sz w:val="20"/>
                <w:rtl/>
                <w:lang w:val="en-CA" w:eastAsia="en-CA"/>
              </w:rPr>
              <w:t>146,337</w:t>
            </w:r>
          </w:p>
        </w:tc>
        <w:tc>
          <w:tcPr>
            <w:tcW w:w="2048" w:type="dxa"/>
            <w:vMerge w:val="restart"/>
            <w:shd w:val="clear" w:color="auto" w:fill="auto"/>
            <w:noWrap/>
            <w:vAlign w:val="center"/>
          </w:tcPr>
          <w:p w14:paraId="7E778B4E" w14:textId="77777777" w:rsidR="00AD25A0" w:rsidRPr="00FE3307" w:rsidRDefault="00AD25A0" w:rsidP="00AD25A0">
            <w:pPr>
              <w:bidi/>
              <w:jc w:val="center"/>
              <w:rPr>
                <w:color w:val="000000"/>
                <w:sz w:val="20"/>
                <w:lang w:val="en-CA" w:eastAsia="en-CA"/>
              </w:rPr>
            </w:pPr>
            <w:r>
              <w:rPr>
                <w:rFonts w:hint="cs"/>
                <w:color w:val="000000"/>
                <w:sz w:val="20"/>
                <w:rtl/>
                <w:lang w:val="en-CA" w:eastAsia="en-CA"/>
              </w:rPr>
              <w:t>100</w:t>
            </w:r>
          </w:p>
        </w:tc>
      </w:tr>
      <w:tr w:rsidR="008F2B16" w:rsidRPr="00FE3307" w14:paraId="3645391B" w14:textId="77777777" w:rsidTr="00940452">
        <w:tc>
          <w:tcPr>
            <w:tcW w:w="967" w:type="dxa"/>
            <w:vMerge/>
            <w:vAlign w:val="center"/>
            <w:hideMark/>
          </w:tcPr>
          <w:p w14:paraId="5D0591B6" w14:textId="77777777" w:rsidR="008F2B16" w:rsidRPr="00FE3307" w:rsidRDefault="008F2B16" w:rsidP="00940452">
            <w:pPr>
              <w:bidi/>
              <w:jc w:val="left"/>
              <w:rPr>
                <w:bCs/>
                <w:color w:val="000000"/>
                <w:sz w:val="20"/>
                <w:lang w:val="en-CA" w:eastAsia="en-CA"/>
              </w:rPr>
            </w:pPr>
          </w:p>
        </w:tc>
        <w:tc>
          <w:tcPr>
            <w:tcW w:w="1260" w:type="dxa"/>
            <w:shd w:val="clear" w:color="auto" w:fill="auto"/>
            <w:noWrap/>
            <w:vAlign w:val="center"/>
            <w:hideMark/>
          </w:tcPr>
          <w:p w14:paraId="39B3E65C" w14:textId="77777777" w:rsidR="008F2B16" w:rsidRPr="00786CC1" w:rsidRDefault="00786CC1" w:rsidP="00940452">
            <w:pPr>
              <w:bidi/>
              <w:rPr>
                <w:b/>
                <w:color w:val="000000"/>
                <w:sz w:val="20"/>
                <w:lang w:val="en-CA" w:eastAsia="en-CA"/>
              </w:rPr>
            </w:pPr>
            <w:r w:rsidRPr="00786CC1">
              <w:rPr>
                <w:rFonts w:hint="cs"/>
                <w:b/>
                <w:color w:val="000000"/>
                <w:sz w:val="20"/>
                <w:rtl/>
                <w:lang w:val="en-CA" w:eastAsia="en-CA"/>
              </w:rPr>
              <w:t>تم صرفها</w:t>
            </w:r>
          </w:p>
        </w:tc>
        <w:tc>
          <w:tcPr>
            <w:tcW w:w="1417" w:type="dxa"/>
            <w:shd w:val="clear" w:color="auto" w:fill="auto"/>
            <w:noWrap/>
            <w:tcMar>
              <w:left w:w="115" w:type="dxa"/>
              <w:right w:w="288" w:type="dxa"/>
            </w:tcMar>
            <w:vAlign w:val="center"/>
          </w:tcPr>
          <w:p w14:paraId="459918D6" w14:textId="77777777" w:rsidR="00955D0B" w:rsidRPr="00FE3307" w:rsidRDefault="00955D0B" w:rsidP="00955D0B">
            <w:pPr>
              <w:bidi/>
              <w:jc w:val="left"/>
              <w:rPr>
                <w:color w:val="000000"/>
                <w:sz w:val="20"/>
                <w:lang w:val="en-CA" w:eastAsia="en-CA"/>
              </w:rPr>
            </w:pPr>
            <w:r>
              <w:rPr>
                <w:rFonts w:hint="cs"/>
                <w:color w:val="000000"/>
                <w:sz w:val="20"/>
                <w:rtl/>
                <w:lang w:val="en-CA" w:eastAsia="en-CA"/>
              </w:rPr>
              <w:t>118,087</w:t>
            </w:r>
          </w:p>
        </w:tc>
        <w:tc>
          <w:tcPr>
            <w:tcW w:w="2273" w:type="dxa"/>
            <w:tcMar>
              <w:left w:w="115" w:type="dxa"/>
              <w:right w:w="288" w:type="dxa"/>
            </w:tcMar>
            <w:vAlign w:val="center"/>
          </w:tcPr>
          <w:p w14:paraId="1D5A932D" w14:textId="77777777" w:rsidR="00955D0B" w:rsidRPr="00FE3307" w:rsidRDefault="00955D0B" w:rsidP="00955D0B">
            <w:pPr>
              <w:bidi/>
              <w:jc w:val="left"/>
              <w:rPr>
                <w:color w:val="000000"/>
                <w:sz w:val="20"/>
                <w:lang w:val="en-CA" w:eastAsia="en-CA"/>
              </w:rPr>
            </w:pPr>
            <w:r>
              <w:rPr>
                <w:rFonts w:hint="cs"/>
                <w:color w:val="000000"/>
                <w:sz w:val="20"/>
                <w:bdr w:val="none" w:sz="0" w:space="0" w:color="auto" w:frame="1"/>
                <w:rtl/>
                <w:lang w:val="en-CA" w:eastAsia="es-CO"/>
              </w:rPr>
              <w:t>28,250</w:t>
            </w:r>
          </w:p>
        </w:tc>
        <w:tc>
          <w:tcPr>
            <w:tcW w:w="1418" w:type="dxa"/>
            <w:shd w:val="clear" w:color="auto" w:fill="auto"/>
            <w:noWrap/>
            <w:tcMar>
              <w:left w:w="115" w:type="dxa"/>
              <w:right w:w="288" w:type="dxa"/>
            </w:tcMar>
            <w:vAlign w:val="center"/>
          </w:tcPr>
          <w:p w14:paraId="36CCD920" w14:textId="77777777" w:rsidR="00955D0B" w:rsidRPr="00FE3307" w:rsidRDefault="00955D0B" w:rsidP="00955D0B">
            <w:pPr>
              <w:bidi/>
              <w:jc w:val="left"/>
              <w:rPr>
                <w:color w:val="000000"/>
                <w:sz w:val="20"/>
                <w:lang w:val="en-CA" w:eastAsia="en-CA"/>
              </w:rPr>
            </w:pPr>
            <w:r>
              <w:rPr>
                <w:rFonts w:hint="cs"/>
                <w:color w:val="000000"/>
                <w:sz w:val="20"/>
                <w:rtl/>
                <w:lang w:val="en-CA" w:eastAsia="en-CA"/>
              </w:rPr>
              <w:t>146,337</w:t>
            </w:r>
          </w:p>
        </w:tc>
        <w:tc>
          <w:tcPr>
            <w:tcW w:w="2048" w:type="dxa"/>
            <w:vMerge/>
            <w:vAlign w:val="center"/>
          </w:tcPr>
          <w:p w14:paraId="6BB267CE" w14:textId="77777777" w:rsidR="008F2B16" w:rsidRPr="00FE3307" w:rsidRDefault="008F2B16" w:rsidP="00940452">
            <w:pPr>
              <w:bidi/>
              <w:jc w:val="center"/>
              <w:rPr>
                <w:color w:val="000000"/>
                <w:sz w:val="20"/>
                <w:lang w:val="en-CA" w:eastAsia="en-CA"/>
              </w:rPr>
            </w:pPr>
          </w:p>
        </w:tc>
      </w:tr>
      <w:tr w:rsidR="00786CC1" w:rsidRPr="00FE3307" w14:paraId="05B66DC3" w14:textId="77777777" w:rsidTr="00940452">
        <w:tc>
          <w:tcPr>
            <w:tcW w:w="967" w:type="dxa"/>
            <w:vMerge w:val="restart"/>
            <w:shd w:val="clear" w:color="auto" w:fill="auto"/>
            <w:noWrap/>
            <w:vAlign w:val="center"/>
            <w:hideMark/>
          </w:tcPr>
          <w:p w14:paraId="18AC909C" w14:textId="77777777" w:rsidR="00786CC1" w:rsidRPr="00940452" w:rsidRDefault="00786CC1" w:rsidP="00940452">
            <w:pPr>
              <w:bidi/>
              <w:jc w:val="left"/>
              <w:rPr>
                <w:b/>
                <w:color w:val="000000"/>
                <w:sz w:val="20"/>
                <w:lang w:val="en-CA" w:eastAsia="en-CA"/>
              </w:rPr>
            </w:pPr>
            <w:r w:rsidRPr="00940452">
              <w:rPr>
                <w:rFonts w:hint="cs"/>
                <w:b/>
                <w:color w:val="000000"/>
                <w:sz w:val="20"/>
                <w:rtl/>
                <w:lang w:val="en-CA" w:eastAsia="en-CA"/>
              </w:rPr>
              <w:t>الثانية</w:t>
            </w:r>
          </w:p>
        </w:tc>
        <w:tc>
          <w:tcPr>
            <w:tcW w:w="1260" w:type="dxa"/>
            <w:shd w:val="clear" w:color="auto" w:fill="auto"/>
            <w:noWrap/>
            <w:vAlign w:val="center"/>
            <w:hideMark/>
          </w:tcPr>
          <w:p w14:paraId="2F34754F" w14:textId="77777777" w:rsidR="00786CC1" w:rsidRPr="00786CC1" w:rsidRDefault="00786CC1" w:rsidP="00A353E9">
            <w:pPr>
              <w:bidi/>
              <w:rPr>
                <w:b/>
                <w:color w:val="000000"/>
                <w:sz w:val="20"/>
                <w:lang w:val="en-CA" w:eastAsia="en-CA"/>
              </w:rPr>
            </w:pPr>
            <w:r w:rsidRPr="00786CC1">
              <w:rPr>
                <w:rFonts w:hint="cs"/>
                <w:b/>
                <w:color w:val="000000"/>
                <w:sz w:val="20"/>
                <w:rtl/>
                <w:lang w:val="en-CA" w:eastAsia="en-CA"/>
              </w:rPr>
              <w:t>مُوافق عليها</w:t>
            </w:r>
          </w:p>
        </w:tc>
        <w:tc>
          <w:tcPr>
            <w:tcW w:w="1417" w:type="dxa"/>
            <w:shd w:val="clear" w:color="auto" w:fill="auto"/>
            <w:noWrap/>
            <w:tcMar>
              <w:left w:w="115" w:type="dxa"/>
              <w:right w:w="288" w:type="dxa"/>
            </w:tcMar>
            <w:vAlign w:val="center"/>
          </w:tcPr>
          <w:p w14:paraId="0A8519DD" w14:textId="77777777" w:rsidR="00955D0B" w:rsidRPr="00C27B8A" w:rsidRDefault="00955D0B" w:rsidP="00955D0B">
            <w:pPr>
              <w:bidi/>
              <w:jc w:val="left"/>
              <w:rPr>
                <w:color w:val="000000"/>
                <w:sz w:val="20"/>
                <w:lang w:val="en-CA" w:eastAsia="en-CA"/>
              </w:rPr>
            </w:pPr>
            <w:r>
              <w:rPr>
                <w:rFonts w:hint="cs"/>
                <w:color w:val="000000"/>
                <w:sz w:val="20"/>
                <w:rtl/>
                <w:lang w:val="en-CA" w:eastAsia="en-CA"/>
              </w:rPr>
              <w:t>97,925</w:t>
            </w:r>
          </w:p>
        </w:tc>
        <w:tc>
          <w:tcPr>
            <w:tcW w:w="2273" w:type="dxa"/>
            <w:tcMar>
              <w:left w:w="115" w:type="dxa"/>
              <w:right w:w="288" w:type="dxa"/>
            </w:tcMar>
            <w:vAlign w:val="center"/>
          </w:tcPr>
          <w:p w14:paraId="2F3DF5AC" w14:textId="77777777" w:rsidR="00786CC1" w:rsidRPr="00C27B8A" w:rsidRDefault="00955D0B" w:rsidP="009E5D08">
            <w:pPr>
              <w:bidi/>
              <w:jc w:val="left"/>
              <w:rPr>
                <w:color w:val="000000"/>
                <w:sz w:val="20"/>
                <w:lang w:val="en-CA" w:eastAsia="en-CA"/>
              </w:rPr>
            </w:pPr>
            <w:r>
              <w:rPr>
                <w:rFonts w:hint="cs"/>
                <w:color w:val="000000"/>
                <w:sz w:val="20"/>
                <w:bdr w:val="none" w:sz="0" w:space="0" w:color="auto" w:frame="1"/>
                <w:rtl/>
                <w:lang w:val="en-CA" w:eastAsia="es-CO"/>
              </w:rPr>
              <w:t>0</w:t>
            </w:r>
          </w:p>
        </w:tc>
        <w:tc>
          <w:tcPr>
            <w:tcW w:w="1418" w:type="dxa"/>
            <w:shd w:val="clear" w:color="auto" w:fill="auto"/>
            <w:noWrap/>
            <w:tcMar>
              <w:left w:w="115" w:type="dxa"/>
              <w:right w:w="288" w:type="dxa"/>
            </w:tcMar>
            <w:vAlign w:val="center"/>
          </w:tcPr>
          <w:p w14:paraId="77069EC6" w14:textId="77777777" w:rsidR="00955D0B" w:rsidRPr="00C27B8A" w:rsidRDefault="00955D0B" w:rsidP="00955D0B">
            <w:pPr>
              <w:bidi/>
              <w:jc w:val="left"/>
              <w:rPr>
                <w:color w:val="000000"/>
                <w:sz w:val="20"/>
                <w:lang w:val="en-CA" w:eastAsia="en-CA"/>
              </w:rPr>
            </w:pPr>
            <w:r>
              <w:rPr>
                <w:rFonts w:hint="cs"/>
                <w:color w:val="000000"/>
                <w:sz w:val="20"/>
                <w:rtl/>
                <w:lang w:val="en-CA" w:eastAsia="en-CA"/>
              </w:rPr>
              <w:t>97,925</w:t>
            </w:r>
          </w:p>
        </w:tc>
        <w:tc>
          <w:tcPr>
            <w:tcW w:w="2048" w:type="dxa"/>
            <w:vMerge w:val="restart"/>
            <w:shd w:val="clear" w:color="auto" w:fill="auto"/>
            <w:noWrap/>
            <w:vAlign w:val="center"/>
          </w:tcPr>
          <w:p w14:paraId="54060338" w14:textId="77777777" w:rsidR="00AD25A0" w:rsidRPr="00C27B8A" w:rsidRDefault="00AD25A0" w:rsidP="00AD25A0">
            <w:pPr>
              <w:bidi/>
              <w:jc w:val="center"/>
              <w:rPr>
                <w:color w:val="000000"/>
                <w:sz w:val="20"/>
                <w:lang w:val="en-CA" w:eastAsia="en-CA"/>
              </w:rPr>
            </w:pPr>
            <w:r>
              <w:rPr>
                <w:rFonts w:hint="cs"/>
                <w:color w:val="000000"/>
                <w:sz w:val="20"/>
                <w:rtl/>
                <w:lang w:val="en-CA" w:eastAsia="en-CA"/>
              </w:rPr>
              <w:t>100</w:t>
            </w:r>
          </w:p>
        </w:tc>
      </w:tr>
      <w:tr w:rsidR="00955D0B" w:rsidRPr="00FE3307" w14:paraId="60C43A0A" w14:textId="77777777" w:rsidTr="00940452">
        <w:tc>
          <w:tcPr>
            <w:tcW w:w="967" w:type="dxa"/>
            <w:vMerge/>
            <w:vAlign w:val="center"/>
            <w:hideMark/>
          </w:tcPr>
          <w:p w14:paraId="429D9354" w14:textId="77777777" w:rsidR="00955D0B" w:rsidRPr="00940452" w:rsidRDefault="00955D0B" w:rsidP="00940452">
            <w:pPr>
              <w:bidi/>
              <w:jc w:val="left"/>
              <w:rPr>
                <w:b/>
                <w:color w:val="000000"/>
                <w:sz w:val="20"/>
                <w:lang w:val="en-CA" w:eastAsia="en-CA"/>
              </w:rPr>
            </w:pPr>
          </w:p>
        </w:tc>
        <w:tc>
          <w:tcPr>
            <w:tcW w:w="1260" w:type="dxa"/>
            <w:shd w:val="clear" w:color="auto" w:fill="auto"/>
            <w:noWrap/>
            <w:vAlign w:val="center"/>
            <w:hideMark/>
          </w:tcPr>
          <w:p w14:paraId="3229CDEA" w14:textId="77777777" w:rsidR="00955D0B" w:rsidRPr="00786CC1" w:rsidRDefault="00955D0B" w:rsidP="00A353E9">
            <w:pPr>
              <w:bidi/>
              <w:rPr>
                <w:b/>
                <w:color w:val="000000"/>
                <w:sz w:val="20"/>
                <w:lang w:val="en-CA" w:eastAsia="en-CA"/>
              </w:rPr>
            </w:pPr>
            <w:r w:rsidRPr="00786CC1">
              <w:rPr>
                <w:rFonts w:hint="cs"/>
                <w:b/>
                <w:color w:val="000000"/>
                <w:sz w:val="20"/>
                <w:rtl/>
                <w:lang w:val="en-CA" w:eastAsia="en-CA"/>
              </w:rPr>
              <w:t>تم صرفها</w:t>
            </w:r>
          </w:p>
        </w:tc>
        <w:tc>
          <w:tcPr>
            <w:tcW w:w="1417" w:type="dxa"/>
            <w:shd w:val="clear" w:color="auto" w:fill="auto"/>
            <w:noWrap/>
            <w:tcMar>
              <w:left w:w="115" w:type="dxa"/>
              <w:right w:w="288" w:type="dxa"/>
            </w:tcMar>
            <w:vAlign w:val="center"/>
          </w:tcPr>
          <w:p w14:paraId="08CD6007" w14:textId="77777777" w:rsidR="00955D0B" w:rsidRPr="00C27B8A" w:rsidRDefault="00955D0B" w:rsidP="00A353E9">
            <w:pPr>
              <w:bidi/>
              <w:jc w:val="left"/>
              <w:rPr>
                <w:color w:val="000000"/>
                <w:sz w:val="20"/>
                <w:lang w:val="en-CA" w:eastAsia="en-CA"/>
              </w:rPr>
            </w:pPr>
            <w:r>
              <w:rPr>
                <w:rFonts w:hint="cs"/>
                <w:color w:val="000000"/>
                <w:sz w:val="20"/>
                <w:rtl/>
                <w:lang w:val="en-CA" w:eastAsia="en-CA"/>
              </w:rPr>
              <w:t>97,925</w:t>
            </w:r>
          </w:p>
        </w:tc>
        <w:tc>
          <w:tcPr>
            <w:tcW w:w="2273" w:type="dxa"/>
            <w:tcMar>
              <w:left w:w="115" w:type="dxa"/>
              <w:right w:w="288" w:type="dxa"/>
            </w:tcMar>
            <w:vAlign w:val="center"/>
          </w:tcPr>
          <w:p w14:paraId="49E9B419" w14:textId="77777777" w:rsidR="00955D0B" w:rsidRPr="00C27B8A" w:rsidRDefault="00955D0B" w:rsidP="009E5D08">
            <w:pPr>
              <w:bidi/>
              <w:jc w:val="left"/>
              <w:rPr>
                <w:color w:val="000000"/>
                <w:sz w:val="20"/>
                <w:lang w:val="en-CA" w:eastAsia="en-CA"/>
              </w:rPr>
            </w:pPr>
            <w:r>
              <w:rPr>
                <w:rFonts w:hint="cs"/>
                <w:color w:val="000000"/>
                <w:sz w:val="20"/>
                <w:rtl/>
                <w:lang w:val="en-CA" w:eastAsia="en-CA"/>
              </w:rPr>
              <w:t>0</w:t>
            </w:r>
          </w:p>
        </w:tc>
        <w:tc>
          <w:tcPr>
            <w:tcW w:w="1418" w:type="dxa"/>
            <w:shd w:val="clear" w:color="auto" w:fill="auto"/>
            <w:noWrap/>
            <w:tcMar>
              <w:left w:w="115" w:type="dxa"/>
              <w:right w:w="288" w:type="dxa"/>
            </w:tcMar>
            <w:vAlign w:val="center"/>
          </w:tcPr>
          <w:p w14:paraId="25AF0ED5" w14:textId="77777777" w:rsidR="00955D0B" w:rsidRPr="00C27B8A" w:rsidRDefault="00955D0B" w:rsidP="00A353E9">
            <w:pPr>
              <w:bidi/>
              <w:jc w:val="left"/>
              <w:rPr>
                <w:color w:val="000000"/>
                <w:sz w:val="20"/>
                <w:lang w:val="en-CA" w:eastAsia="en-CA"/>
              </w:rPr>
            </w:pPr>
            <w:r>
              <w:rPr>
                <w:rFonts w:hint="cs"/>
                <w:color w:val="000000"/>
                <w:sz w:val="20"/>
                <w:rtl/>
                <w:lang w:val="en-CA" w:eastAsia="en-CA"/>
              </w:rPr>
              <w:t>97,925</w:t>
            </w:r>
          </w:p>
        </w:tc>
        <w:tc>
          <w:tcPr>
            <w:tcW w:w="2048" w:type="dxa"/>
            <w:vMerge/>
            <w:vAlign w:val="center"/>
          </w:tcPr>
          <w:p w14:paraId="47D8BC7F" w14:textId="77777777" w:rsidR="00955D0B" w:rsidRPr="00C27B8A" w:rsidRDefault="00955D0B" w:rsidP="00940452">
            <w:pPr>
              <w:bidi/>
              <w:jc w:val="center"/>
              <w:rPr>
                <w:color w:val="000000"/>
                <w:sz w:val="20"/>
                <w:lang w:val="en-CA" w:eastAsia="en-CA"/>
              </w:rPr>
            </w:pPr>
          </w:p>
        </w:tc>
      </w:tr>
      <w:tr w:rsidR="00786CC1" w:rsidRPr="00FE3307" w14:paraId="1013D989" w14:textId="77777777" w:rsidTr="00940452">
        <w:tc>
          <w:tcPr>
            <w:tcW w:w="967" w:type="dxa"/>
            <w:vMerge w:val="restart"/>
            <w:shd w:val="clear" w:color="auto" w:fill="auto"/>
            <w:noWrap/>
            <w:vAlign w:val="center"/>
            <w:hideMark/>
          </w:tcPr>
          <w:p w14:paraId="62F36CAB" w14:textId="77777777" w:rsidR="00786CC1" w:rsidRPr="00940452" w:rsidRDefault="00786CC1" w:rsidP="00940452">
            <w:pPr>
              <w:bidi/>
              <w:jc w:val="left"/>
              <w:rPr>
                <w:b/>
                <w:color w:val="000000"/>
                <w:sz w:val="20"/>
                <w:lang w:val="en-CA" w:eastAsia="en-CA"/>
              </w:rPr>
            </w:pPr>
            <w:r w:rsidRPr="00940452">
              <w:rPr>
                <w:rFonts w:hint="cs"/>
                <w:b/>
                <w:color w:val="000000"/>
                <w:sz w:val="20"/>
                <w:rtl/>
                <w:lang w:val="en-CA" w:eastAsia="en-CA"/>
              </w:rPr>
              <w:t>الثالثة</w:t>
            </w:r>
          </w:p>
        </w:tc>
        <w:tc>
          <w:tcPr>
            <w:tcW w:w="1260" w:type="dxa"/>
            <w:shd w:val="clear" w:color="auto" w:fill="auto"/>
            <w:noWrap/>
            <w:vAlign w:val="center"/>
            <w:hideMark/>
          </w:tcPr>
          <w:p w14:paraId="2F9CD090" w14:textId="77777777" w:rsidR="00786CC1" w:rsidRPr="00786CC1" w:rsidRDefault="00786CC1" w:rsidP="00A353E9">
            <w:pPr>
              <w:bidi/>
              <w:rPr>
                <w:b/>
                <w:color w:val="000000"/>
                <w:sz w:val="20"/>
                <w:lang w:val="en-CA" w:eastAsia="en-CA"/>
              </w:rPr>
            </w:pPr>
            <w:r w:rsidRPr="00786CC1">
              <w:rPr>
                <w:rFonts w:hint="cs"/>
                <w:b/>
                <w:color w:val="000000"/>
                <w:sz w:val="20"/>
                <w:rtl/>
                <w:lang w:val="en-CA" w:eastAsia="en-CA"/>
              </w:rPr>
              <w:t>مُوافق عليها</w:t>
            </w:r>
          </w:p>
        </w:tc>
        <w:tc>
          <w:tcPr>
            <w:tcW w:w="1417" w:type="dxa"/>
            <w:shd w:val="clear" w:color="auto" w:fill="auto"/>
            <w:noWrap/>
            <w:tcMar>
              <w:left w:w="115" w:type="dxa"/>
              <w:right w:w="288" w:type="dxa"/>
            </w:tcMar>
            <w:vAlign w:val="center"/>
          </w:tcPr>
          <w:p w14:paraId="2DF9E221" w14:textId="77777777" w:rsidR="00C6144B" w:rsidRPr="00C27B8A" w:rsidRDefault="00C6144B" w:rsidP="00C6144B">
            <w:pPr>
              <w:bidi/>
              <w:jc w:val="left"/>
              <w:rPr>
                <w:color w:val="000000"/>
                <w:sz w:val="20"/>
                <w:lang w:val="en-CA" w:eastAsia="en-CA"/>
              </w:rPr>
            </w:pPr>
            <w:r>
              <w:rPr>
                <w:rFonts w:hint="cs"/>
                <w:color w:val="000000"/>
                <w:sz w:val="20"/>
                <w:rtl/>
                <w:lang w:val="en-CA" w:eastAsia="en-CA"/>
              </w:rPr>
              <w:t>53,775</w:t>
            </w:r>
          </w:p>
        </w:tc>
        <w:tc>
          <w:tcPr>
            <w:tcW w:w="2273" w:type="dxa"/>
            <w:tcMar>
              <w:left w:w="115" w:type="dxa"/>
              <w:right w:w="288" w:type="dxa"/>
            </w:tcMar>
            <w:vAlign w:val="center"/>
          </w:tcPr>
          <w:p w14:paraId="6664E035" w14:textId="77777777" w:rsidR="00C6144B" w:rsidRPr="00C27B8A" w:rsidRDefault="00C6144B" w:rsidP="00C6144B">
            <w:pPr>
              <w:bidi/>
              <w:jc w:val="left"/>
              <w:rPr>
                <w:color w:val="000000"/>
                <w:sz w:val="20"/>
                <w:lang w:val="en-CA" w:eastAsia="en-CA"/>
              </w:rPr>
            </w:pPr>
            <w:r>
              <w:rPr>
                <w:rFonts w:hint="cs"/>
                <w:color w:val="000000"/>
                <w:sz w:val="20"/>
                <w:rtl/>
                <w:lang w:val="en-CA" w:eastAsia="en-CA"/>
              </w:rPr>
              <w:t>*30,184</w:t>
            </w:r>
          </w:p>
        </w:tc>
        <w:tc>
          <w:tcPr>
            <w:tcW w:w="1418" w:type="dxa"/>
            <w:shd w:val="clear" w:color="auto" w:fill="auto"/>
            <w:noWrap/>
            <w:tcMar>
              <w:left w:w="115" w:type="dxa"/>
              <w:right w:w="288" w:type="dxa"/>
            </w:tcMar>
            <w:vAlign w:val="center"/>
          </w:tcPr>
          <w:p w14:paraId="46FA3163" w14:textId="77777777" w:rsidR="00C6144B" w:rsidRPr="00C27B8A" w:rsidRDefault="00C6144B" w:rsidP="00C6144B">
            <w:pPr>
              <w:bidi/>
              <w:jc w:val="left"/>
              <w:rPr>
                <w:color w:val="000000"/>
                <w:sz w:val="20"/>
                <w:lang w:val="en-CA" w:eastAsia="en-CA"/>
              </w:rPr>
            </w:pPr>
            <w:r>
              <w:rPr>
                <w:rFonts w:hint="cs"/>
                <w:color w:val="000000"/>
                <w:sz w:val="20"/>
                <w:rtl/>
                <w:lang w:val="en-CA" w:eastAsia="en-CA"/>
              </w:rPr>
              <w:t>83,959</w:t>
            </w:r>
          </w:p>
        </w:tc>
        <w:tc>
          <w:tcPr>
            <w:tcW w:w="2048" w:type="dxa"/>
            <w:vMerge w:val="restart"/>
            <w:shd w:val="clear" w:color="auto" w:fill="auto"/>
            <w:noWrap/>
            <w:vAlign w:val="center"/>
          </w:tcPr>
          <w:p w14:paraId="07457E88" w14:textId="77777777" w:rsidR="00AD25A0" w:rsidRPr="00C27B8A" w:rsidRDefault="00AD25A0" w:rsidP="00AD25A0">
            <w:pPr>
              <w:bidi/>
              <w:jc w:val="center"/>
              <w:rPr>
                <w:color w:val="000000"/>
                <w:sz w:val="20"/>
                <w:lang w:val="en-CA" w:eastAsia="en-CA"/>
              </w:rPr>
            </w:pPr>
            <w:r>
              <w:rPr>
                <w:rFonts w:hint="cs"/>
                <w:color w:val="000000"/>
                <w:sz w:val="20"/>
                <w:rtl/>
                <w:lang w:val="en-CA" w:eastAsia="en-CA"/>
              </w:rPr>
              <w:t>66</w:t>
            </w:r>
          </w:p>
        </w:tc>
      </w:tr>
      <w:tr w:rsidR="00786CC1" w:rsidRPr="00FE3307" w14:paraId="16492139" w14:textId="77777777" w:rsidTr="00940452">
        <w:tc>
          <w:tcPr>
            <w:tcW w:w="967" w:type="dxa"/>
            <w:vMerge/>
            <w:vAlign w:val="center"/>
            <w:hideMark/>
          </w:tcPr>
          <w:p w14:paraId="648D2419" w14:textId="77777777" w:rsidR="00786CC1" w:rsidRPr="00940452" w:rsidRDefault="00786CC1" w:rsidP="00940452">
            <w:pPr>
              <w:bidi/>
              <w:jc w:val="left"/>
              <w:rPr>
                <w:b/>
                <w:color w:val="000000"/>
                <w:sz w:val="20"/>
                <w:lang w:val="en-CA" w:eastAsia="en-CA"/>
              </w:rPr>
            </w:pPr>
          </w:p>
        </w:tc>
        <w:tc>
          <w:tcPr>
            <w:tcW w:w="1260" w:type="dxa"/>
            <w:shd w:val="clear" w:color="auto" w:fill="auto"/>
            <w:noWrap/>
            <w:vAlign w:val="center"/>
            <w:hideMark/>
          </w:tcPr>
          <w:p w14:paraId="15AED04A" w14:textId="77777777" w:rsidR="00786CC1" w:rsidRPr="00786CC1" w:rsidRDefault="00786CC1" w:rsidP="00A353E9">
            <w:pPr>
              <w:bidi/>
              <w:rPr>
                <w:b/>
                <w:color w:val="000000"/>
                <w:sz w:val="20"/>
                <w:lang w:val="en-CA" w:eastAsia="en-CA"/>
              </w:rPr>
            </w:pPr>
            <w:r w:rsidRPr="00786CC1">
              <w:rPr>
                <w:rFonts w:hint="cs"/>
                <w:b/>
                <w:color w:val="000000"/>
                <w:sz w:val="20"/>
                <w:rtl/>
                <w:lang w:val="en-CA" w:eastAsia="en-CA"/>
              </w:rPr>
              <w:t>تم صرفها</w:t>
            </w:r>
          </w:p>
        </w:tc>
        <w:tc>
          <w:tcPr>
            <w:tcW w:w="1417" w:type="dxa"/>
            <w:shd w:val="clear" w:color="auto" w:fill="auto"/>
            <w:noWrap/>
            <w:tcMar>
              <w:left w:w="115" w:type="dxa"/>
              <w:right w:w="288" w:type="dxa"/>
            </w:tcMar>
            <w:vAlign w:val="center"/>
          </w:tcPr>
          <w:p w14:paraId="6E796E5D" w14:textId="77777777" w:rsidR="00C6144B" w:rsidRPr="00C27B8A" w:rsidRDefault="00C6144B" w:rsidP="00C6144B">
            <w:pPr>
              <w:bidi/>
              <w:jc w:val="left"/>
              <w:rPr>
                <w:color w:val="000000"/>
                <w:sz w:val="20"/>
                <w:lang w:val="en-CA" w:eastAsia="en-CA"/>
              </w:rPr>
            </w:pPr>
            <w:r>
              <w:rPr>
                <w:rFonts w:hint="cs"/>
                <w:color w:val="000000"/>
                <w:sz w:val="20"/>
                <w:rtl/>
                <w:lang w:val="en-CA" w:eastAsia="en-CA"/>
              </w:rPr>
              <w:t>52,469</w:t>
            </w:r>
          </w:p>
        </w:tc>
        <w:tc>
          <w:tcPr>
            <w:tcW w:w="2273" w:type="dxa"/>
            <w:tcMar>
              <w:left w:w="115" w:type="dxa"/>
              <w:right w:w="288" w:type="dxa"/>
            </w:tcMar>
            <w:vAlign w:val="center"/>
          </w:tcPr>
          <w:p w14:paraId="438BCA90" w14:textId="77777777" w:rsidR="00C6144B" w:rsidRPr="00C27B8A" w:rsidRDefault="00C6144B" w:rsidP="00C6144B">
            <w:pPr>
              <w:bidi/>
              <w:jc w:val="left"/>
              <w:rPr>
                <w:color w:val="000000"/>
                <w:sz w:val="20"/>
                <w:lang w:val="en-CA" w:eastAsia="en-CA"/>
              </w:rPr>
            </w:pPr>
            <w:r>
              <w:rPr>
                <w:rFonts w:hint="cs"/>
                <w:color w:val="000000"/>
                <w:sz w:val="20"/>
                <w:bdr w:val="none" w:sz="0" w:space="0" w:color="auto" w:frame="1"/>
                <w:rtl/>
                <w:lang w:val="en-CA" w:eastAsia="es-CO"/>
              </w:rPr>
              <w:t>2,985</w:t>
            </w:r>
          </w:p>
        </w:tc>
        <w:tc>
          <w:tcPr>
            <w:tcW w:w="1418" w:type="dxa"/>
            <w:shd w:val="clear" w:color="auto" w:fill="auto"/>
            <w:noWrap/>
            <w:tcMar>
              <w:left w:w="115" w:type="dxa"/>
              <w:right w:w="288" w:type="dxa"/>
            </w:tcMar>
            <w:vAlign w:val="center"/>
          </w:tcPr>
          <w:p w14:paraId="64E6DBFD" w14:textId="77777777" w:rsidR="00C6144B" w:rsidRPr="00C27B8A" w:rsidRDefault="00C6144B" w:rsidP="00C6144B">
            <w:pPr>
              <w:bidi/>
              <w:jc w:val="left"/>
              <w:rPr>
                <w:color w:val="000000"/>
                <w:sz w:val="20"/>
                <w:lang w:val="en-CA" w:eastAsia="en-CA"/>
              </w:rPr>
            </w:pPr>
            <w:r>
              <w:rPr>
                <w:rFonts w:hint="cs"/>
                <w:color w:val="000000"/>
                <w:sz w:val="20"/>
                <w:rtl/>
                <w:lang w:val="en-CA" w:eastAsia="en-CA"/>
              </w:rPr>
              <w:t>55,454</w:t>
            </w:r>
          </w:p>
        </w:tc>
        <w:tc>
          <w:tcPr>
            <w:tcW w:w="2048" w:type="dxa"/>
            <w:vMerge/>
            <w:vAlign w:val="center"/>
          </w:tcPr>
          <w:p w14:paraId="07926569" w14:textId="77777777" w:rsidR="00786CC1" w:rsidRPr="00C27B8A" w:rsidRDefault="00786CC1" w:rsidP="00940452">
            <w:pPr>
              <w:bidi/>
              <w:jc w:val="center"/>
              <w:rPr>
                <w:color w:val="000000"/>
                <w:sz w:val="20"/>
                <w:lang w:val="en-CA" w:eastAsia="en-CA"/>
              </w:rPr>
            </w:pPr>
          </w:p>
        </w:tc>
      </w:tr>
      <w:tr w:rsidR="00786CC1" w:rsidRPr="00FE3307" w14:paraId="5DFE52D5" w14:textId="77777777" w:rsidTr="00940452">
        <w:tc>
          <w:tcPr>
            <w:tcW w:w="967" w:type="dxa"/>
            <w:vMerge w:val="restart"/>
            <w:shd w:val="clear" w:color="auto" w:fill="auto"/>
            <w:noWrap/>
            <w:vAlign w:val="center"/>
            <w:hideMark/>
          </w:tcPr>
          <w:p w14:paraId="0E8C4467" w14:textId="77777777" w:rsidR="00786CC1" w:rsidRPr="00940452" w:rsidRDefault="00786CC1" w:rsidP="00940452">
            <w:pPr>
              <w:bidi/>
              <w:jc w:val="left"/>
              <w:rPr>
                <w:b/>
                <w:color w:val="000000"/>
                <w:sz w:val="20"/>
                <w:lang w:val="en-CA" w:eastAsia="en-CA"/>
              </w:rPr>
            </w:pPr>
            <w:r w:rsidRPr="00940452">
              <w:rPr>
                <w:rFonts w:hint="cs"/>
                <w:b/>
                <w:color w:val="000000"/>
                <w:sz w:val="20"/>
                <w:rtl/>
                <w:lang w:val="en-CA" w:eastAsia="en-CA"/>
              </w:rPr>
              <w:t>الرابعة</w:t>
            </w:r>
          </w:p>
        </w:tc>
        <w:tc>
          <w:tcPr>
            <w:tcW w:w="1260" w:type="dxa"/>
            <w:shd w:val="clear" w:color="auto" w:fill="auto"/>
            <w:noWrap/>
            <w:vAlign w:val="center"/>
            <w:hideMark/>
          </w:tcPr>
          <w:p w14:paraId="3628DBD7" w14:textId="77777777" w:rsidR="00786CC1" w:rsidRPr="00786CC1" w:rsidRDefault="00786CC1" w:rsidP="00A353E9">
            <w:pPr>
              <w:bidi/>
              <w:rPr>
                <w:b/>
                <w:color w:val="000000"/>
                <w:sz w:val="20"/>
                <w:lang w:val="en-CA" w:eastAsia="en-CA"/>
              </w:rPr>
            </w:pPr>
            <w:r w:rsidRPr="00786CC1">
              <w:rPr>
                <w:rFonts w:hint="cs"/>
                <w:b/>
                <w:color w:val="000000"/>
                <w:sz w:val="20"/>
                <w:rtl/>
                <w:lang w:val="en-CA" w:eastAsia="en-CA"/>
              </w:rPr>
              <w:t>مُوافق عليها</w:t>
            </w:r>
          </w:p>
        </w:tc>
        <w:tc>
          <w:tcPr>
            <w:tcW w:w="1417" w:type="dxa"/>
            <w:shd w:val="clear" w:color="auto" w:fill="auto"/>
            <w:noWrap/>
            <w:tcMar>
              <w:left w:w="115" w:type="dxa"/>
              <w:right w:w="288" w:type="dxa"/>
            </w:tcMar>
            <w:vAlign w:val="center"/>
          </w:tcPr>
          <w:p w14:paraId="58869854" w14:textId="77777777" w:rsidR="00261843" w:rsidRPr="00C27B8A" w:rsidRDefault="00261843" w:rsidP="00261843">
            <w:pPr>
              <w:bidi/>
              <w:jc w:val="left"/>
              <w:rPr>
                <w:color w:val="000000"/>
                <w:sz w:val="20"/>
                <w:lang w:val="en-CA" w:eastAsia="en-CA"/>
              </w:rPr>
            </w:pPr>
            <w:r>
              <w:rPr>
                <w:rFonts w:hint="cs"/>
                <w:color w:val="000000"/>
                <w:sz w:val="20"/>
                <w:rtl/>
                <w:lang w:val="en-CA" w:eastAsia="en-CA"/>
              </w:rPr>
              <w:t>42,850</w:t>
            </w:r>
          </w:p>
        </w:tc>
        <w:tc>
          <w:tcPr>
            <w:tcW w:w="2273" w:type="dxa"/>
            <w:tcMar>
              <w:left w:w="115" w:type="dxa"/>
              <w:right w:w="288" w:type="dxa"/>
            </w:tcMar>
            <w:vAlign w:val="center"/>
          </w:tcPr>
          <w:p w14:paraId="3E8EA475" w14:textId="77777777" w:rsidR="00261843" w:rsidRPr="00C27B8A" w:rsidRDefault="00261843" w:rsidP="00261843">
            <w:pPr>
              <w:bidi/>
              <w:jc w:val="left"/>
              <w:rPr>
                <w:color w:val="000000"/>
                <w:sz w:val="20"/>
                <w:lang w:val="en-CA" w:eastAsia="en-CA"/>
              </w:rPr>
            </w:pPr>
            <w:r>
              <w:rPr>
                <w:rFonts w:hint="cs"/>
                <w:color w:val="000000"/>
                <w:sz w:val="20"/>
                <w:rtl/>
                <w:lang w:val="en-CA" w:eastAsia="en-CA"/>
              </w:rPr>
              <w:t>23,250</w:t>
            </w:r>
          </w:p>
        </w:tc>
        <w:tc>
          <w:tcPr>
            <w:tcW w:w="1418" w:type="dxa"/>
            <w:shd w:val="clear" w:color="auto" w:fill="auto"/>
            <w:noWrap/>
            <w:tcMar>
              <w:left w:w="115" w:type="dxa"/>
              <w:right w:w="288" w:type="dxa"/>
            </w:tcMar>
            <w:vAlign w:val="center"/>
          </w:tcPr>
          <w:p w14:paraId="01480376" w14:textId="77777777" w:rsidR="00261843" w:rsidRPr="00C27B8A" w:rsidRDefault="00261843" w:rsidP="00261843">
            <w:pPr>
              <w:bidi/>
              <w:jc w:val="left"/>
              <w:rPr>
                <w:color w:val="000000"/>
                <w:sz w:val="20"/>
                <w:lang w:val="en-CA" w:eastAsia="en-CA"/>
              </w:rPr>
            </w:pPr>
            <w:r>
              <w:rPr>
                <w:rFonts w:hint="cs"/>
                <w:color w:val="000000"/>
                <w:sz w:val="20"/>
                <w:rtl/>
                <w:lang w:val="en-CA" w:eastAsia="en-CA"/>
              </w:rPr>
              <w:t>66,100</w:t>
            </w:r>
          </w:p>
        </w:tc>
        <w:tc>
          <w:tcPr>
            <w:tcW w:w="2048" w:type="dxa"/>
            <w:vMerge w:val="restart"/>
            <w:shd w:val="clear" w:color="auto" w:fill="auto"/>
            <w:noWrap/>
            <w:vAlign w:val="center"/>
          </w:tcPr>
          <w:p w14:paraId="42B96902" w14:textId="77777777" w:rsidR="00AD25A0" w:rsidRPr="00C27B8A" w:rsidRDefault="00AD25A0" w:rsidP="00AD25A0">
            <w:pPr>
              <w:bidi/>
              <w:jc w:val="center"/>
              <w:rPr>
                <w:color w:val="000000"/>
                <w:sz w:val="20"/>
                <w:lang w:val="en-CA" w:eastAsia="en-CA"/>
              </w:rPr>
            </w:pPr>
            <w:r>
              <w:rPr>
                <w:rFonts w:hint="cs"/>
                <w:color w:val="000000"/>
                <w:sz w:val="20"/>
                <w:rtl/>
                <w:lang w:val="en-CA" w:eastAsia="en-CA"/>
              </w:rPr>
              <w:t>64</w:t>
            </w:r>
          </w:p>
        </w:tc>
      </w:tr>
      <w:tr w:rsidR="00786CC1" w:rsidRPr="00FE3307" w14:paraId="03944B5F" w14:textId="77777777" w:rsidTr="00940452">
        <w:tc>
          <w:tcPr>
            <w:tcW w:w="967" w:type="dxa"/>
            <w:vMerge/>
            <w:vAlign w:val="center"/>
            <w:hideMark/>
          </w:tcPr>
          <w:p w14:paraId="00BCAA45" w14:textId="77777777" w:rsidR="00786CC1" w:rsidRPr="00FE3307" w:rsidRDefault="00786CC1" w:rsidP="00940452">
            <w:pPr>
              <w:bidi/>
              <w:jc w:val="left"/>
              <w:rPr>
                <w:bCs/>
                <w:color w:val="000000"/>
                <w:sz w:val="20"/>
                <w:lang w:val="en-CA" w:eastAsia="en-CA"/>
              </w:rPr>
            </w:pPr>
          </w:p>
        </w:tc>
        <w:tc>
          <w:tcPr>
            <w:tcW w:w="1260" w:type="dxa"/>
            <w:shd w:val="clear" w:color="auto" w:fill="auto"/>
            <w:noWrap/>
            <w:vAlign w:val="center"/>
            <w:hideMark/>
          </w:tcPr>
          <w:p w14:paraId="60DCDA54" w14:textId="77777777" w:rsidR="00786CC1" w:rsidRPr="00786CC1" w:rsidRDefault="00786CC1" w:rsidP="00A353E9">
            <w:pPr>
              <w:bidi/>
              <w:rPr>
                <w:b/>
                <w:color w:val="000000"/>
                <w:sz w:val="20"/>
                <w:lang w:val="en-CA" w:eastAsia="en-CA"/>
              </w:rPr>
            </w:pPr>
            <w:r w:rsidRPr="00786CC1">
              <w:rPr>
                <w:rFonts w:hint="cs"/>
                <w:b/>
                <w:color w:val="000000"/>
                <w:sz w:val="20"/>
                <w:rtl/>
                <w:lang w:val="en-CA" w:eastAsia="en-CA"/>
              </w:rPr>
              <w:t>تم صرفها</w:t>
            </w:r>
          </w:p>
        </w:tc>
        <w:tc>
          <w:tcPr>
            <w:tcW w:w="1417" w:type="dxa"/>
            <w:shd w:val="clear" w:color="auto" w:fill="auto"/>
            <w:noWrap/>
            <w:tcMar>
              <w:left w:w="115" w:type="dxa"/>
              <w:right w:w="288" w:type="dxa"/>
            </w:tcMar>
            <w:vAlign w:val="center"/>
          </w:tcPr>
          <w:p w14:paraId="13B0AA60" w14:textId="77777777" w:rsidR="008F7B76" w:rsidRPr="00C27B8A" w:rsidRDefault="008F7B76" w:rsidP="008F7B76">
            <w:pPr>
              <w:bidi/>
              <w:jc w:val="left"/>
              <w:rPr>
                <w:color w:val="000000"/>
                <w:sz w:val="20"/>
                <w:lang w:val="en-CA" w:eastAsia="en-CA"/>
              </w:rPr>
            </w:pPr>
            <w:r>
              <w:rPr>
                <w:rFonts w:hint="cs"/>
                <w:color w:val="000000"/>
                <w:sz w:val="20"/>
                <w:rtl/>
                <w:lang w:val="en-CA" w:eastAsia="en-CA"/>
              </w:rPr>
              <w:t>28,347</w:t>
            </w:r>
          </w:p>
        </w:tc>
        <w:tc>
          <w:tcPr>
            <w:tcW w:w="2273" w:type="dxa"/>
            <w:tcMar>
              <w:left w:w="115" w:type="dxa"/>
              <w:right w:w="288" w:type="dxa"/>
            </w:tcMar>
            <w:vAlign w:val="center"/>
          </w:tcPr>
          <w:p w14:paraId="7B84EC5A" w14:textId="77777777" w:rsidR="008F7B76" w:rsidRPr="00C27B8A" w:rsidRDefault="008F7B76" w:rsidP="008F7B76">
            <w:pPr>
              <w:bidi/>
              <w:jc w:val="left"/>
              <w:rPr>
                <w:color w:val="000000"/>
                <w:sz w:val="20"/>
                <w:lang w:val="en-CA" w:eastAsia="en-CA"/>
              </w:rPr>
            </w:pPr>
            <w:r>
              <w:rPr>
                <w:rFonts w:hint="cs"/>
                <w:color w:val="000000"/>
                <w:sz w:val="20"/>
                <w:bdr w:val="none" w:sz="0" w:space="0" w:color="auto" w:frame="1"/>
                <w:rtl/>
                <w:lang w:val="en-CA" w:eastAsia="es-CO"/>
              </w:rPr>
              <w:t>13,890</w:t>
            </w:r>
          </w:p>
        </w:tc>
        <w:tc>
          <w:tcPr>
            <w:tcW w:w="1418" w:type="dxa"/>
            <w:shd w:val="clear" w:color="auto" w:fill="auto"/>
            <w:noWrap/>
            <w:tcMar>
              <w:left w:w="115" w:type="dxa"/>
              <w:right w:w="288" w:type="dxa"/>
            </w:tcMar>
            <w:vAlign w:val="center"/>
          </w:tcPr>
          <w:p w14:paraId="356C43D7" w14:textId="77777777" w:rsidR="008F7B76" w:rsidRPr="00C27B8A" w:rsidRDefault="008F7B76" w:rsidP="008F7B76">
            <w:pPr>
              <w:bidi/>
              <w:jc w:val="left"/>
              <w:rPr>
                <w:color w:val="000000"/>
                <w:sz w:val="20"/>
                <w:lang w:val="en-CA" w:eastAsia="en-CA"/>
              </w:rPr>
            </w:pPr>
            <w:r>
              <w:rPr>
                <w:rFonts w:hint="cs"/>
                <w:color w:val="000000"/>
                <w:sz w:val="20"/>
                <w:rtl/>
                <w:lang w:val="en-CA" w:eastAsia="en-CA"/>
              </w:rPr>
              <w:t>42,237</w:t>
            </w:r>
          </w:p>
        </w:tc>
        <w:tc>
          <w:tcPr>
            <w:tcW w:w="2048" w:type="dxa"/>
            <w:vMerge/>
            <w:vAlign w:val="center"/>
          </w:tcPr>
          <w:p w14:paraId="15734E6C" w14:textId="77777777" w:rsidR="00786CC1" w:rsidRPr="00C27B8A" w:rsidRDefault="00786CC1" w:rsidP="00940452">
            <w:pPr>
              <w:bidi/>
              <w:jc w:val="center"/>
              <w:rPr>
                <w:color w:val="000000"/>
                <w:sz w:val="20"/>
                <w:lang w:val="en-CA" w:eastAsia="en-CA"/>
              </w:rPr>
            </w:pPr>
          </w:p>
        </w:tc>
      </w:tr>
      <w:tr w:rsidR="00786CC1" w:rsidRPr="00FE3307" w14:paraId="7319DEEC" w14:textId="77777777" w:rsidTr="00940452">
        <w:tc>
          <w:tcPr>
            <w:tcW w:w="967" w:type="dxa"/>
            <w:vMerge w:val="restart"/>
            <w:shd w:val="clear" w:color="auto" w:fill="auto"/>
            <w:vAlign w:val="center"/>
            <w:hideMark/>
          </w:tcPr>
          <w:p w14:paraId="6B1C2F96" w14:textId="77777777" w:rsidR="00786CC1" w:rsidRPr="00447603" w:rsidRDefault="00786CC1" w:rsidP="00940452">
            <w:pPr>
              <w:bidi/>
              <w:jc w:val="left"/>
              <w:rPr>
                <w:b/>
                <w:bCs/>
                <w:color w:val="000000"/>
                <w:sz w:val="20"/>
                <w:lang w:val="en-CA" w:eastAsia="en-CA"/>
              </w:rPr>
            </w:pPr>
            <w:r>
              <w:rPr>
                <w:rFonts w:hint="cs"/>
                <w:b/>
                <w:bCs/>
                <w:color w:val="000000"/>
                <w:sz w:val="20"/>
                <w:rtl/>
                <w:lang w:val="en-CA" w:eastAsia="en-CA"/>
              </w:rPr>
              <w:t>المجموع</w:t>
            </w:r>
          </w:p>
        </w:tc>
        <w:tc>
          <w:tcPr>
            <w:tcW w:w="1260" w:type="dxa"/>
            <w:shd w:val="clear" w:color="auto" w:fill="auto"/>
            <w:vAlign w:val="center"/>
            <w:hideMark/>
          </w:tcPr>
          <w:p w14:paraId="335A708C" w14:textId="77777777" w:rsidR="00786CC1" w:rsidRPr="00786CC1" w:rsidRDefault="00786CC1" w:rsidP="00A353E9">
            <w:pPr>
              <w:bidi/>
              <w:rPr>
                <w:bCs/>
                <w:color w:val="000000"/>
                <w:sz w:val="20"/>
                <w:lang w:val="en-CA" w:eastAsia="en-CA"/>
              </w:rPr>
            </w:pPr>
            <w:r w:rsidRPr="00786CC1">
              <w:rPr>
                <w:rFonts w:hint="cs"/>
                <w:bCs/>
                <w:color w:val="000000"/>
                <w:sz w:val="20"/>
                <w:rtl/>
                <w:lang w:val="en-CA" w:eastAsia="en-CA"/>
              </w:rPr>
              <w:t>مُوافق عليها</w:t>
            </w:r>
          </w:p>
        </w:tc>
        <w:tc>
          <w:tcPr>
            <w:tcW w:w="1417" w:type="dxa"/>
            <w:shd w:val="clear" w:color="auto" w:fill="auto"/>
            <w:tcMar>
              <w:left w:w="115" w:type="dxa"/>
              <w:right w:w="288" w:type="dxa"/>
            </w:tcMar>
            <w:vAlign w:val="center"/>
          </w:tcPr>
          <w:p w14:paraId="2F9C89CB" w14:textId="77777777" w:rsidR="008F7B76" w:rsidRPr="008F7B76" w:rsidRDefault="008F7B76" w:rsidP="008F7B76">
            <w:pPr>
              <w:bidi/>
              <w:jc w:val="left"/>
              <w:rPr>
                <w:bCs/>
                <w:color w:val="000000"/>
                <w:sz w:val="20"/>
                <w:lang w:val="en-CA" w:eastAsia="en-CA"/>
              </w:rPr>
            </w:pPr>
            <w:r w:rsidRPr="008F7B76">
              <w:rPr>
                <w:rFonts w:hint="cs"/>
                <w:bCs/>
                <w:color w:val="000000"/>
                <w:sz w:val="20"/>
                <w:rtl/>
                <w:lang w:val="en-CA" w:eastAsia="en-CA"/>
              </w:rPr>
              <w:t>312,637</w:t>
            </w:r>
          </w:p>
        </w:tc>
        <w:tc>
          <w:tcPr>
            <w:tcW w:w="2273" w:type="dxa"/>
            <w:tcMar>
              <w:left w:w="115" w:type="dxa"/>
              <w:right w:w="288" w:type="dxa"/>
            </w:tcMar>
            <w:vAlign w:val="center"/>
          </w:tcPr>
          <w:p w14:paraId="235F0FE8" w14:textId="77777777" w:rsidR="008F7B76" w:rsidRPr="008F7B76" w:rsidRDefault="008F7B76" w:rsidP="008F7B76">
            <w:pPr>
              <w:bidi/>
              <w:jc w:val="left"/>
              <w:rPr>
                <w:bCs/>
                <w:color w:val="000000"/>
                <w:sz w:val="20"/>
                <w:lang w:val="en-CA" w:eastAsia="en-CA"/>
              </w:rPr>
            </w:pPr>
            <w:r w:rsidRPr="008F7B76">
              <w:rPr>
                <w:rFonts w:hint="cs"/>
                <w:bCs/>
                <w:color w:val="000000"/>
                <w:sz w:val="20"/>
                <w:rtl/>
                <w:lang w:val="en-CA" w:eastAsia="en-CA"/>
              </w:rPr>
              <w:t>81,684</w:t>
            </w:r>
          </w:p>
        </w:tc>
        <w:tc>
          <w:tcPr>
            <w:tcW w:w="1418" w:type="dxa"/>
            <w:shd w:val="clear" w:color="auto" w:fill="auto"/>
            <w:tcMar>
              <w:left w:w="115" w:type="dxa"/>
              <w:right w:w="288" w:type="dxa"/>
            </w:tcMar>
            <w:vAlign w:val="center"/>
          </w:tcPr>
          <w:p w14:paraId="10F204FC" w14:textId="77777777" w:rsidR="008F7B76" w:rsidRPr="008F7B76" w:rsidRDefault="008F7B76" w:rsidP="008F7B76">
            <w:pPr>
              <w:bidi/>
              <w:jc w:val="left"/>
              <w:rPr>
                <w:bCs/>
                <w:color w:val="000000"/>
                <w:sz w:val="20"/>
                <w:lang w:val="en-CA" w:eastAsia="en-CA"/>
              </w:rPr>
            </w:pPr>
            <w:r w:rsidRPr="008F7B76">
              <w:rPr>
                <w:rFonts w:hint="cs"/>
                <w:bCs/>
                <w:color w:val="000000"/>
                <w:sz w:val="20"/>
                <w:rtl/>
                <w:lang w:val="en-CA" w:eastAsia="en-CA"/>
              </w:rPr>
              <w:t>394,321</w:t>
            </w:r>
          </w:p>
        </w:tc>
        <w:tc>
          <w:tcPr>
            <w:tcW w:w="2048" w:type="dxa"/>
            <w:vMerge w:val="restart"/>
            <w:shd w:val="clear" w:color="auto" w:fill="auto"/>
            <w:vAlign w:val="center"/>
          </w:tcPr>
          <w:p w14:paraId="2FB5F8E3" w14:textId="77777777" w:rsidR="00AD25A0" w:rsidRPr="00AD25A0" w:rsidRDefault="00AD25A0" w:rsidP="00AD25A0">
            <w:pPr>
              <w:bidi/>
              <w:jc w:val="center"/>
              <w:rPr>
                <w:bCs/>
                <w:color w:val="000000"/>
                <w:sz w:val="20"/>
                <w:lang w:val="en-CA" w:eastAsia="en-CA"/>
              </w:rPr>
            </w:pPr>
            <w:r w:rsidRPr="00AD25A0">
              <w:rPr>
                <w:rFonts w:hint="cs"/>
                <w:bCs/>
                <w:color w:val="000000"/>
                <w:sz w:val="20"/>
                <w:rtl/>
                <w:lang w:val="en-CA" w:eastAsia="en-CA"/>
              </w:rPr>
              <w:t>87</w:t>
            </w:r>
          </w:p>
        </w:tc>
      </w:tr>
      <w:tr w:rsidR="00786CC1" w:rsidRPr="00FE3307" w14:paraId="08C539B0" w14:textId="77777777" w:rsidTr="00940452">
        <w:tc>
          <w:tcPr>
            <w:tcW w:w="967" w:type="dxa"/>
            <w:vMerge/>
            <w:shd w:val="clear" w:color="auto" w:fill="auto"/>
            <w:vAlign w:val="center"/>
          </w:tcPr>
          <w:p w14:paraId="428A085C" w14:textId="77777777" w:rsidR="00786CC1" w:rsidRPr="00FE3307" w:rsidRDefault="00786CC1" w:rsidP="00940452">
            <w:pPr>
              <w:bidi/>
              <w:jc w:val="left"/>
              <w:rPr>
                <w:b/>
                <w:bCs/>
                <w:color w:val="000000"/>
                <w:sz w:val="20"/>
                <w:lang w:val="en-CA" w:eastAsia="en-CA"/>
              </w:rPr>
            </w:pPr>
          </w:p>
        </w:tc>
        <w:tc>
          <w:tcPr>
            <w:tcW w:w="1260" w:type="dxa"/>
            <w:shd w:val="clear" w:color="auto" w:fill="auto"/>
            <w:vAlign w:val="center"/>
          </w:tcPr>
          <w:p w14:paraId="446F7861" w14:textId="77777777" w:rsidR="00786CC1" w:rsidRPr="00786CC1" w:rsidRDefault="00786CC1" w:rsidP="00A353E9">
            <w:pPr>
              <w:bidi/>
              <w:rPr>
                <w:bCs/>
                <w:color w:val="000000"/>
                <w:sz w:val="20"/>
                <w:lang w:val="en-CA" w:eastAsia="en-CA"/>
              </w:rPr>
            </w:pPr>
            <w:r w:rsidRPr="00786CC1">
              <w:rPr>
                <w:rFonts w:hint="cs"/>
                <w:bCs/>
                <w:color w:val="000000"/>
                <w:sz w:val="20"/>
                <w:rtl/>
                <w:lang w:val="en-CA" w:eastAsia="en-CA"/>
              </w:rPr>
              <w:t>تم صرفها</w:t>
            </w:r>
          </w:p>
        </w:tc>
        <w:tc>
          <w:tcPr>
            <w:tcW w:w="1417" w:type="dxa"/>
            <w:shd w:val="clear" w:color="auto" w:fill="auto"/>
            <w:tcMar>
              <w:left w:w="115" w:type="dxa"/>
              <w:right w:w="288" w:type="dxa"/>
            </w:tcMar>
            <w:vAlign w:val="center"/>
          </w:tcPr>
          <w:p w14:paraId="0369FB9B" w14:textId="77777777" w:rsidR="008F7B76" w:rsidRPr="009E3864" w:rsidRDefault="008F7B76" w:rsidP="008F7B76">
            <w:pPr>
              <w:bidi/>
              <w:jc w:val="left"/>
              <w:rPr>
                <w:b/>
                <w:bCs/>
                <w:color w:val="000000"/>
                <w:sz w:val="20"/>
                <w:lang w:val="en-CA" w:eastAsia="en-CA"/>
              </w:rPr>
            </w:pPr>
            <w:r>
              <w:rPr>
                <w:rFonts w:hint="cs"/>
                <w:b/>
                <w:bCs/>
                <w:color w:val="000000"/>
                <w:sz w:val="20"/>
                <w:rtl/>
                <w:lang w:val="en-CA" w:eastAsia="en-CA"/>
              </w:rPr>
              <w:t>296,828</w:t>
            </w:r>
          </w:p>
        </w:tc>
        <w:tc>
          <w:tcPr>
            <w:tcW w:w="2273" w:type="dxa"/>
            <w:tcMar>
              <w:left w:w="115" w:type="dxa"/>
              <w:right w:w="288" w:type="dxa"/>
            </w:tcMar>
            <w:vAlign w:val="center"/>
          </w:tcPr>
          <w:p w14:paraId="13E61F09" w14:textId="77777777" w:rsidR="008F7B76" w:rsidRPr="009E3864" w:rsidRDefault="008F7B76" w:rsidP="008F7B76">
            <w:pPr>
              <w:bidi/>
              <w:jc w:val="left"/>
              <w:rPr>
                <w:b/>
                <w:bCs/>
                <w:color w:val="000000"/>
                <w:sz w:val="20"/>
                <w:lang w:val="en-CA" w:eastAsia="en-CA"/>
              </w:rPr>
            </w:pPr>
            <w:r>
              <w:rPr>
                <w:rFonts w:hint="cs"/>
                <w:b/>
                <w:bCs/>
                <w:color w:val="000000"/>
                <w:sz w:val="20"/>
                <w:rtl/>
                <w:lang w:val="en-CA" w:eastAsia="en-CA"/>
              </w:rPr>
              <w:t>45,125</w:t>
            </w:r>
          </w:p>
        </w:tc>
        <w:tc>
          <w:tcPr>
            <w:tcW w:w="1418" w:type="dxa"/>
            <w:shd w:val="clear" w:color="auto" w:fill="auto"/>
            <w:tcMar>
              <w:left w:w="115" w:type="dxa"/>
              <w:right w:w="288" w:type="dxa"/>
            </w:tcMar>
            <w:vAlign w:val="center"/>
          </w:tcPr>
          <w:p w14:paraId="7E4158CF" w14:textId="77777777" w:rsidR="008F7B76" w:rsidRPr="009E3864" w:rsidRDefault="008F7B76" w:rsidP="008F7B76">
            <w:pPr>
              <w:bidi/>
              <w:jc w:val="left"/>
              <w:rPr>
                <w:b/>
                <w:bCs/>
                <w:color w:val="000000"/>
                <w:sz w:val="20"/>
                <w:lang w:val="en-CA" w:eastAsia="en-CA"/>
              </w:rPr>
            </w:pPr>
            <w:r>
              <w:rPr>
                <w:rFonts w:hint="cs"/>
                <w:b/>
                <w:bCs/>
                <w:color w:val="000000"/>
                <w:sz w:val="20"/>
                <w:rtl/>
                <w:lang w:val="en-CA" w:eastAsia="en-CA"/>
              </w:rPr>
              <w:t>341,953</w:t>
            </w:r>
          </w:p>
        </w:tc>
        <w:tc>
          <w:tcPr>
            <w:tcW w:w="2048" w:type="dxa"/>
            <w:vMerge/>
            <w:shd w:val="clear" w:color="auto" w:fill="auto"/>
            <w:vAlign w:val="center"/>
          </w:tcPr>
          <w:p w14:paraId="2BF8F469" w14:textId="77777777" w:rsidR="00786CC1" w:rsidRPr="00FE3307" w:rsidRDefault="00786CC1" w:rsidP="00940452">
            <w:pPr>
              <w:bidi/>
              <w:jc w:val="center"/>
              <w:rPr>
                <w:color w:val="000000"/>
                <w:sz w:val="20"/>
                <w:lang w:val="en-CA" w:eastAsia="en-CA"/>
              </w:rPr>
            </w:pPr>
          </w:p>
        </w:tc>
      </w:tr>
    </w:tbl>
    <w:p w14:paraId="1142CABD" w14:textId="77777777" w:rsidR="00A81E25" w:rsidRPr="00720607" w:rsidRDefault="00A81E25" w:rsidP="00A81E25">
      <w:pPr>
        <w:bidi/>
        <w:rPr>
          <w:spacing w:val="-4"/>
          <w:sz w:val="20"/>
          <w:rtl/>
          <w:lang w:val="en-CA" w:bidi="ar-AE"/>
        </w:rPr>
      </w:pPr>
      <w:r w:rsidRPr="00720607">
        <w:rPr>
          <w:rFonts w:hint="cs"/>
          <w:spacing w:val="-4"/>
          <w:sz w:val="20"/>
          <w:rtl/>
          <w:lang w:val="en-CA"/>
        </w:rPr>
        <w:t xml:space="preserve">* </w:t>
      </w:r>
      <w:r w:rsidRPr="00720607">
        <w:rPr>
          <w:rFonts w:hint="cs"/>
          <w:spacing w:val="-4"/>
          <w:sz w:val="20"/>
          <w:rtl/>
          <w:lang w:val="en-CA" w:bidi="ar-AE"/>
        </w:rPr>
        <w:t>يتضمن نسبة 15 في الم</w:t>
      </w:r>
      <w:r w:rsidR="009A49AC">
        <w:rPr>
          <w:rFonts w:hint="cs"/>
          <w:spacing w:val="-4"/>
          <w:sz w:val="20"/>
          <w:rtl/>
          <w:lang w:val="en-CA" w:bidi="ar-AE"/>
        </w:rPr>
        <w:t>ئ</w:t>
      </w:r>
      <w:r w:rsidRPr="00720607">
        <w:rPr>
          <w:rFonts w:hint="cs"/>
          <w:spacing w:val="-4"/>
          <w:sz w:val="20"/>
          <w:rtl/>
          <w:lang w:val="en-CA" w:bidi="ar-AE"/>
        </w:rPr>
        <w:t xml:space="preserve">ة </w:t>
      </w:r>
      <w:r w:rsidR="009A49AC">
        <w:rPr>
          <w:rFonts w:hint="cs"/>
          <w:spacing w:val="-4"/>
          <w:sz w:val="20"/>
          <w:rtl/>
          <w:lang w:val="en-CA" w:bidi="ar-AE"/>
        </w:rPr>
        <w:t>عن البند</w:t>
      </w:r>
      <w:r w:rsidRPr="00720607">
        <w:rPr>
          <w:rFonts w:hint="cs"/>
          <w:spacing w:val="-4"/>
          <w:sz w:val="20"/>
          <w:rtl/>
          <w:lang w:val="en-CA" w:bidi="ar-AE"/>
        </w:rPr>
        <w:t xml:space="preserve"> الجزائي المطبق على التمويل الم</w:t>
      </w:r>
      <w:r w:rsidR="009A49AC">
        <w:rPr>
          <w:rFonts w:hint="cs"/>
          <w:spacing w:val="-4"/>
          <w:sz w:val="20"/>
          <w:rtl/>
          <w:lang w:val="en-CA" w:bidi="ar-AE"/>
        </w:rPr>
        <w:t>تفق</w:t>
      </w:r>
      <w:r w:rsidRPr="00720607">
        <w:rPr>
          <w:rFonts w:hint="cs"/>
          <w:spacing w:val="-4"/>
          <w:sz w:val="20"/>
          <w:rtl/>
          <w:lang w:val="en-CA" w:bidi="ar-AE"/>
        </w:rPr>
        <w:t xml:space="preserve"> عليه بمبلغ 45,000 دولار أمريكي وتكاليف للشريحة الثالثة (المقرر 75/59(ب)).</w:t>
      </w:r>
    </w:p>
    <w:p w14:paraId="4A68782C" w14:textId="77777777" w:rsidR="00094482" w:rsidRPr="00A81E25" w:rsidRDefault="00094482" w:rsidP="00094482">
      <w:pPr>
        <w:bidi/>
        <w:rPr>
          <w:sz w:val="19"/>
          <w:szCs w:val="19"/>
          <w:lang w:val="en-CA"/>
        </w:rPr>
      </w:pPr>
    </w:p>
    <w:p w14:paraId="24D6FCB7" w14:textId="77777777" w:rsidR="00D91FDE" w:rsidRPr="005645D1" w:rsidRDefault="00D91FDE" w:rsidP="00D91FDE">
      <w:pPr>
        <w:pStyle w:val="Heading1"/>
        <w:numPr>
          <w:ilvl w:val="0"/>
          <w:numId w:val="0"/>
        </w:numPr>
        <w:bidi/>
        <w:rPr>
          <w:sz w:val="26"/>
          <w:szCs w:val="26"/>
          <w:rtl/>
        </w:rPr>
      </w:pPr>
      <w:r w:rsidRPr="004358B6">
        <w:rPr>
          <w:rFonts w:hint="cs"/>
          <w:sz w:val="26"/>
          <w:szCs w:val="26"/>
          <w:u w:val="single"/>
          <w:rtl/>
          <w:lang w:bidi="ar-SA"/>
        </w:rPr>
        <w:t>خطة</w:t>
      </w:r>
      <w:r w:rsidRPr="004358B6">
        <w:rPr>
          <w:sz w:val="26"/>
          <w:szCs w:val="26"/>
          <w:u w:val="single"/>
          <w:rtl/>
          <w:lang w:bidi="ar-SA"/>
        </w:rPr>
        <w:t xml:space="preserve"> تنفيذ الشريحة </w:t>
      </w:r>
      <w:r w:rsidRPr="004358B6">
        <w:rPr>
          <w:rFonts w:hint="cs"/>
          <w:sz w:val="26"/>
          <w:szCs w:val="26"/>
          <w:u w:val="single"/>
          <w:rtl/>
          <w:lang w:bidi="ar-SA"/>
        </w:rPr>
        <w:t>الخامسة النهائية</w:t>
      </w:r>
      <w:r w:rsidRPr="004358B6">
        <w:rPr>
          <w:sz w:val="26"/>
          <w:szCs w:val="26"/>
          <w:u w:val="single"/>
          <w:rtl/>
          <w:lang w:bidi="ar-SA"/>
        </w:rPr>
        <w:t xml:space="preserve"> من خطة إدارة إزالة المواد الهيدروكلوروفلوروكربونية</w:t>
      </w:r>
    </w:p>
    <w:p w14:paraId="66A9ABF4" w14:textId="77777777" w:rsidR="00884AAA" w:rsidRPr="004C33C6" w:rsidRDefault="004C33C6" w:rsidP="00C0524B">
      <w:pPr>
        <w:pStyle w:val="Heading1"/>
        <w:numPr>
          <w:ilvl w:val="0"/>
          <w:numId w:val="11"/>
        </w:numPr>
        <w:bidi/>
        <w:ind w:left="794" w:hanging="794"/>
        <w:rPr>
          <w:sz w:val="26"/>
          <w:szCs w:val="26"/>
          <w:rtl/>
        </w:rPr>
      </w:pPr>
      <w:r>
        <w:rPr>
          <w:rFonts w:hint="cs"/>
          <w:sz w:val="26"/>
          <w:szCs w:val="26"/>
          <w:rtl/>
        </w:rPr>
        <w:t>سيتم تنفيذ الأنشطة التالية حتى ديسمبر/كانون الأول 2021:</w:t>
      </w:r>
    </w:p>
    <w:p w14:paraId="1636A7AE" w14:textId="77777777" w:rsidR="00884AAA" w:rsidRDefault="0096010B" w:rsidP="00785758">
      <w:pPr>
        <w:pStyle w:val="Heading1"/>
        <w:numPr>
          <w:ilvl w:val="0"/>
          <w:numId w:val="13"/>
        </w:numPr>
        <w:bidi/>
        <w:ind w:left="1588" w:hanging="794"/>
        <w:rPr>
          <w:sz w:val="26"/>
          <w:szCs w:val="26"/>
          <w:rtl/>
        </w:rPr>
      </w:pPr>
      <w:r w:rsidRPr="0096010B">
        <w:rPr>
          <w:sz w:val="26"/>
          <w:szCs w:val="26"/>
          <w:rtl/>
        </w:rPr>
        <w:t>المساعدة التقنية لتعزيز الرقابة على تجارة المواد والمعدات القائمة على المركبات الهيدروكلوروفلوروكربونية: تدريب 80 موظف</w:t>
      </w:r>
      <w:r w:rsidR="009A49AC">
        <w:rPr>
          <w:rFonts w:hint="cs"/>
          <w:sz w:val="26"/>
          <w:szCs w:val="26"/>
          <w:rtl/>
        </w:rPr>
        <w:t>اً</w:t>
      </w:r>
      <w:r w:rsidRPr="0096010B">
        <w:rPr>
          <w:sz w:val="26"/>
          <w:szCs w:val="26"/>
          <w:rtl/>
        </w:rPr>
        <w:t xml:space="preserve"> وضابط إنفاذ جمركي إضافي </w:t>
      </w:r>
      <w:r>
        <w:rPr>
          <w:rFonts w:hint="cs"/>
          <w:sz w:val="26"/>
          <w:szCs w:val="26"/>
          <w:rtl/>
        </w:rPr>
        <w:t>فيما يتعلق</w:t>
      </w:r>
      <w:r w:rsidR="00DF2E3F">
        <w:rPr>
          <w:rFonts w:hint="cs"/>
          <w:sz w:val="26"/>
          <w:szCs w:val="26"/>
          <w:rtl/>
        </w:rPr>
        <w:t xml:space="preserve"> </w:t>
      </w:r>
      <w:r>
        <w:rPr>
          <w:rFonts w:hint="cs"/>
          <w:sz w:val="26"/>
          <w:szCs w:val="26"/>
          <w:rtl/>
        </w:rPr>
        <w:t>ب</w:t>
      </w:r>
      <w:r w:rsidRPr="0096010B">
        <w:rPr>
          <w:sz w:val="26"/>
          <w:szCs w:val="26"/>
          <w:rtl/>
        </w:rPr>
        <w:t xml:space="preserve">المواد الخاضعة للرقابة وبدائلها ومنع الاتجار غير المشروع؛ </w:t>
      </w:r>
      <w:r>
        <w:rPr>
          <w:rFonts w:hint="cs"/>
          <w:sz w:val="26"/>
          <w:szCs w:val="26"/>
          <w:rtl/>
        </w:rPr>
        <w:t>والانتهاء من عملية</w:t>
      </w:r>
      <w:r w:rsidRPr="0096010B">
        <w:rPr>
          <w:sz w:val="26"/>
          <w:szCs w:val="26"/>
          <w:rtl/>
        </w:rPr>
        <w:t xml:space="preserve"> اعتماد معايير مناولة غازات التبريد (اليونيب) (أرصدة الصناديق من الشرائح </w:t>
      </w:r>
      <w:r w:rsidR="00785758">
        <w:rPr>
          <w:rFonts w:hint="cs"/>
          <w:sz w:val="26"/>
          <w:szCs w:val="26"/>
          <w:rtl/>
        </w:rPr>
        <w:t>الحالية</w:t>
      </w:r>
      <w:r w:rsidRPr="0096010B">
        <w:rPr>
          <w:sz w:val="26"/>
          <w:szCs w:val="26"/>
          <w:rtl/>
        </w:rPr>
        <w:t>)؛</w:t>
      </w:r>
    </w:p>
    <w:p w14:paraId="49CB713D" w14:textId="77777777" w:rsidR="00884AAA" w:rsidRPr="003E6EB4" w:rsidRDefault="003E713D" w:rsidP="003E6EB4">
      <w:pPr>
        <w:pStyle w:val="Heading1"/>
        <w:numPr>
          <w:ilvl w:val="0"/>
          <w:numId w:val="13"/>
        </w:numPr>
        <w:bidi/>
        <w:ind w:left="1588" w:hanging="794"/>
        <w:rPr>
          <w:sz w:val="22"/>
          <w:szCs w:val="26"/>
          <w:rtl/>
        </w:rPr>
      </w:pPr>
      <w:r w:rsidRPr="003E6EB4">
        <w:rPr>
          <w:sz w:val="22"/>
          <w:szCs w:val="26"/>
          <w:rtl/>
        </w:rPr>
        <w:t>المساعدة التقنية للحد من استخدام المواد الهيدروكلوروفلوروكربونية: التدريب على ممارسات التبريد الجيدة واعتماد 500 شخص من فنيي قطاع التبريد وتكييف الهواء؛ ومواصلة العمل مع معهد "</w:t>
      </w:r>
      <w:r w:rsidRPr="003E6EB4">
        <w:rPr>
          <w:sz w:val="22"/>
          <w:szCs w:val="26"/>
        </w:rPr>
        <w:t>INTECAP</w:t>
      </w:r>
      <w:r w:rsidRPr="003E6EB4">
        <w:rPr>
          <w:sz w:val="22"/>
          <w:szCs w:val="26"/>
          <w:rtl/>
        </w:rPr>
        <w:t xml:space="preserve">" لإضفاء الطابع المؤسسي على نظام إصدار الشهادات الذي يعد بمثابة </w:t>
      </w:r>
      <w:r w:rsidRPr="00252840">
        <w:rPr>
          <w:sz w:val="22"/>
          <w:szCs w:val="26"/>
          <w:rtl/>
        </w:rPr>
        <w:t>حلقة وصل</w:t>
      </w:r>
      <w:r w:rsidRPr="003E6EB4">
        <w:rPr>
          <w:sz w:val="22"/>
          <w:szCs w:val="26"/>
          <w:rtl/>
        </w:rPr>
        <w:t xml:space="preserve"> بالجهود الإقليمية لتوحيد برامج التدريب بالتعاون مع اليونيب؛ وتوفير مجموعات أدوات لمراكز التدريب الأخرى غير "</w:t>
      </w:r>
      <w:r w:rsidRPr="003E6EB4">
        <w:rPr>
          <w:sz w:val="22"/>
          <w:szCs w:val="26"/>
        </w:rPr>
        <w:t>INTECAP</w:t>
      </w:r>
      <w:r w:rsidRPr="003E6EB4">
        <w:rPr>
          <w:sz w:val="22"/>
          <w:szCs w:val="26"/>
          <w:rtl/>
        </w:rPr>
        <w:t>" (يتم تحديد المعدات والأدوات على أساس الاحتياجات)؛ وتعزيز الخدمة المقدمة من خلال استعادة غازات التبريد ولاسيما للمستخدمين النهائيين الأكبر، وتحديث</w:t>
      </w:r>
      <w:r w:rsidR="003E6EB4">
        <w:rPr>
          <w:rFonts w:hint="cs"/>
          <w:sz w:val="22"/>
          <w:szCs w:val="26"/>
          <w:rtl/>
        </w:rPr>
        <w:t xml:space="preserve"> مركز </w:t>
      </w:r>
      <w:r w:rsidR="003E6EB4" w:rsidRPr="003E6EB4">
        <w:rPr>
          <w:sz w:val="22"/>
          <w:szCs w:val="26"/>
          <w:rtl/>
        </w:rPr>
        <w:t xml:space="preserve">لإعادة </w:t>
      </w:r>
      <w:r w:rsidR="003E6EB4">
        <w:rPr>
          <w:rFonts w:hint="cs"/>
          <w:sz w:val="22"/>
          <w:szCs w:val="26"/>
          <w:rtl/>
        </w:rPr>
        <w:t>ال</w:t>
      </w:r>
      <w:r w:rsidR="003E6EB4" w:rsidRPr="003E6EB4">
        <w:rPr>
          <w:sz w:val="22"/>
          <w:szCs w:val="26"/>
          <w:rtl/>
        </w:rPr>
        <w:t xml:space="preserve">تدوير </w:t>
      </w:r>
      <w:r w:rsidR="003E6EB4">
        <w:rPr>
          <w:rFonts w:hint="cs"/>
          <w:sz w:val="22"/>
          <w:szCs w:val="26"/>
          <w:rtl/>
        </w:rPr>
        <w:t>والاسترجاع</w:t>
      </w:r>
      <w:r w:rsidRPr="003E6EB4">
        <w:rPr>
          <w:sz w:val="22"/>
          <w:szCs w:val="26"/>
          <w:rtl/>
        </w:rPr>
        <w:t xml:space="preserve"> وتقييم خيار شراء وحدة </w:t>
      </w:r>
      <w:r w:rsidR="003E6EB4">
        <w:rPr>
          <w:rFonts w:hint="cs"/>
          <w:sz w:val="22"/>
          <w:szCs w:val="26"/>
          <w:rtl/>
        </w:rPr>
        <w:t>استرجاع</w:t>
      </w:r>
      <w:r w:rsidRPr="003E6EB4">
        <w:rPr>
          <w:sz w:val="22"/>
          <w:szCs w:val="26"/>
          <w:rtl/>
        </w:rPr>
        <w:t>؛</w:t>
      </w:r>
      <w:r w:rsidR="00613E46">
        <w:rPr>
          <w:rFonts w:hint="cs"/>
          <w:sz w:val="22"/>
          <w:szCs w:val="26"/>
          <w:rtl/>
        </w:rPr>
        <w:t xml:space="preserve"> </w:t>
      </w:r>
      <w:r w:rsidRPr="003E6EB4">
        <w:rPr>
          <w:sz w:val="22"/>
          <w:szCs w:val="26"/>
          <w:rtl/>
        </w:rPr>
        <w:t>وإنشاء برنامج للمستخدم النهائي لاحتواء غازات التبريد لتوفير الكهرباء والحد من تسربات غازات التبريد الموجهة إلى محلات السوبر ماركت</w:t>
      </w:r>
      <w:r w:rsidR="00613E46">
        <w:rPr>
          <w:rFonts w:hint="cs"/>
          <w:sz w:val="22"/>
          <w:szCs w:val="26"/>
          <w:rtl/>
        </w:rPr>
        <w:t xml:space="preserve"> </w:t>
      </w:r>
      <w:r w:rsidRPr="00252840">
        <w:rPr>
          <w:sz w:val="22"/>
          <w:szCs w:val="26"/>
          <w:rtl/>
        </w:rPr>
        <w:t>ومنتجي البطيخ</w:t>
      </w:r>
      <w:r w:rsidRPr="003E6EB4">
        <w:rPr>
          <w:sz w:val="22"/>
          <w:szCs w:val="26"/>
          <w:rtl/>
        </w:rPr>
        <w:t xml:space="preserve"> ومقدمي الخدمات (اليونيدو) (27,000 دولار أمريكي)؛ و</w:t>
      </w:r>
    </w:p>
    <w:p w14:paraId="1CC3FF63" w14:textId="77777777" w:rsidR="00884AAA" w:rsidRDefault="00161A06" w:rsidP="00C0524B">
      <w:pPr>
        <w:pStyle w:val="Heading1"/>
        <w:numPr>
          <w:ilvl w:val="0"/>
          <w:numId w:val="13"/>
        </w:numPr>
        <w:bidi/>
        <w:ind w:left="1588" w:hanging="794"/>
        <w:rPr>
          <w:sz w:val="26"/>
          <w:szCs w:val="26"/>
          <w:rtl/>
        </w:rPr>
      </w:pPr>
      <w:r w:rsidRPr="00161A06">
        <w:rPr>
          <w:sz w:val="26"/>
          <w:szCs w:val="26"/>
          <w:rtl/>
        </w:rPr>
        <w:t>إدارة ورصد المشروع (اليونيدو) (6,000 دولار أمريكي): الموظفون والاستشاريون (3,000 دولار أمريكي)؛ وورش العمل/الاجتماعات (3,000 دولار أمريكي).</w:t>
      </w:r>
    </w:p>
    <w:p w14:paraId="262944B8" w14:textId="77777777" w:rsidR="004358B6" w:rsidRDefault="004358B6" w:rsidP="005D4938">
      <w:pPr>
        <w:bidi/>
        <w:spacing w:after="80"/>
        <w:jc w:val="center"/>
        <w:rPr>
          <w:bCs/>
          <w:sz w:val="26"/>
          <w:szCs w:val="26"/>
          <w:lang w:bidi="ar-AE"/>
        </w:rPr>
      </w:pPr>
    </w:p>
    <w:p w14:paraId="183E12D3" w14:textId="77777777" w:rsidR="002A1551" w:rsidRPr="005D4938" w:rsidRDefault="00983254" w:rsidP="004358B6">
      <w:pPr>
        <w:bidi/>
        <w:spacing w:after="80"/>
        <w:jc w:val="center"/>
        <w:rPr>
          <w:bCs/>
          <w:sz w:val="26"/>
          <w:szCs w:val="26"/>
          <w:rtl/>
          <w:lang w:bidi="ar-AE"/>
        </w:rPr>
      </w:pPr>
      <w:r>
        <w:rPr>
          <w:rFonts w:hint="cs"/>
          <w:bCs/>
          <w:sz w:val="26"/>
          <w:szCs w:val="26"/>
          <w:rtl/>
          <w:lang w:bidi="ar-AE"/>
        </w:rPr>
        <w:lastRenderedPageBreak/>
        <w:t>تعليقات وتوصيات الأمانة</w:t>
      </w:r>
    </w:p>
    <w:p w14:paraId="2064E32C" w14:textId="77777777" w:rsidR="00884AAA" w:rsidRPr="00983254" w:rsidRDefault="00983254" w:rsidP="00884AAA">
      <w:pPr>
        <w:pStyle w:val="Heading1"/>
        <w:numPr>
          <w:ilvl w:val="0"/>
          <w:numId w:val="0"/>
        </w:numPr>
        <w:bidi/>
        <w:rPr>
          <w:b/>
          <w:bCs/>
          <w:sz w:val="26"/>
          <w:szCs w:val="26"/>
          <w:rtl/>
        </w:rPr>
      </w:pPr>
      <w:r w:rsidRPr="00983254">
        <w:rPr>
          <w:rFonts w:hint="cs"/>
          <w:b/>
          <w:bCs/>
          <w:sz w:val="26"/>
          <w:szCs w:val="26"/>
          <w:rtl/>
        </w:rPr>
        <w:t>التعليقات</w:t>
      </w:r>
    </w:p>
    <w:p w14:paraId="596BE381" w14:textId="77777777" w:rsidR="00983254" w:rsidRPr="00983C8E" w:rsidRDefault="00983254" w:rsidP="00983254">
      <w:pPr>
        <w:pStyle w:val="Heading1"/>
        <w:numPr>
          <w:ilvl w:val="0"/>
          <w:numId w:val="0"/>
        </w:numPr>
        <w:bidi/>
        <w:rPr>
          <w:i/>
          <w:iCs/>
          <w:sz w:val="26"/>
          <w:szCs w:val="26"/>
        </w:rPr>
      </w:pPr>
      <w:r w:rsidRPr="00E5190A">
        <w:rPr>
          <w:i/>
          <w:iCs/>
          <w:sz w:val="26"/>
          <w:szCs w:val="26"/>
          <w:rtl/>
        </w:rPr>
        <w:t>تقرير التحقق</w:t>
      </w:r>
    </w:p>
    <w:p w14:paraId="1B03A182" w14:textId="77777777" w:rsidR="00884AAA" w:rsidRPr="00CB128E" w:rsidRDefault="00BC6710" w:rsidP="00347974">
      <w:pPr>
        <w:pStyle w:val="Heading1"/>
        <w:numPr>
          <w:ilvl w:val="0"/>
          <w:numId w:val="11"/>
        </w:numPr>
        <w:bidi/>
        <w:ind w:left="794" w:hanging="794"/>
        <w:rPr>
          <w:sz w:val="26"/>
          <w:szCs w:val="26"/>
          <w:rtl/>
        </w:rPr>
      </w:pPr>
      <w:r w:rsidRPr="00D21769">
        <w:rPr>
          <w:sz w:val="26"/>
          <w:szCs w:val="26"/>
          <w:rtl/>
          <w:lang w:val="en-CA"/>
        </w:rPr>
        <w:t xml:space="preserve">تتطلب الشريحة الخامسة من المرحلة الأولى من خطة إدارة إزالة المواد </w:t>
      </w:r>
      <w:r>
        <w:rPr>
          <w:sz w:val="26"/>
          <w:szCs w:val="26"/>
          <w:rtl/>
          <w:lang w:val="en-CA"/>
        </w:rPr>
        <w:t>الهيدروكلوروفلوروكربونية</w:t>
      </w:r>
      <w:r w:rsidR="00347974">
        <w:rPr>
          <w:rFonts w:hint="cs"/>
          <w:sz w:val="26"/>
          <w:szCs w:val="26"/>
          <w:rtl/>
          <w:lang w:val="en-CA"/>
        </w:rPr>
        <w:t xml:space="preserve"> </w:t>
      </w:r>
      <w:r w:rsidRPr="00D21769">
        <w:rPr>
          <w:sz w:val="26"/>
          <w:szCs w:val="26"/>
          <w:rtl/>
          <w:lang w:val="en-CA"/>
        </w:rPr>
        <w:t>تقديم تقرير التحقق.</w:t>
      </w:r>
      <w:r>
        <w:rPr>
          <w:rFonts w:hint="cs"/>
          <w:sz w:val="26"/>
          <w:szCs w:val="26"/>
          <w:rtl/>
          <w:lang w:val="en-CA"/>
        </w:rPr>
        <w:t xml:space="preserve"> وتشير الأمانة إلى </w:t>
      </w:r>
      <w:r w:rsidRPr="00D21769">
        <w:rPr>
          <w:sz w:val="26"/>
          <w:szCs w:val="26"/>
          <w:rtl/>
          <w:lang w:val="en-CA"/>
        </w:rPr>
        <w:t xml:space="preserve">أن استكمال تقرير التحقق </w:t>
      </w:r>
      <w:r>
        <w:rPr>
          <w:rFonts w:hint="cs"/>
          <w:sz w:val="26"/>
          <w:szCs w:val="26"/>
          <w:rtl/>
          <w:lang w:val="en-CA"/>
        </w:rPr>
        <w:t>س</w:t>
      </w:r>
      <w:r w:rsidRPr="00D21769">
        <w:rPr>
          <w:sz w:val="26"/>
          <w:szCs w:val="26"/>
          <w:rtl/>
          <w:lang w:val="en-CA"/>
        </w:rPr>
        <w:t xml:space="preserve">يتأخر لعدة </w:t>
      </w:r>
      <w:r>
        <w:rPr>
          <w:rFonts w:hint="cs"/>
          <w:sz w:val="26"/>
          <w:szCs w:val="26"/>
          <w:rtl/>
          <w:lang w:val="en-CA"/>
        </w:rPr>
        <w:t>أشهر</w:t>
      </w:r>
      <w:r w:rsidRPr="00D21769">
        <w:rPr>
          <w:sz w:val="26"/>
          <w:szCs w:val="26"/>
          <w:rtl/>
          <w:lang w:val="en-CA"/>
        </w:rPr>
        <w:t xml:space="preserve"> نظراً للقيود النا</w:t>
      </w:r>
      <w:r w:rsidR="007F4E60">
        <w:rPr>
          <w:rFonts w:hint="cs"/>
          <w:sz w:val="26"/>
          <w:szCs w:val="26"/>
          <w:rtl/>
          <w:lang w:val="en-CA"/>
        </w:rPr>
        <w:t>جمة</w:t>
      </w:r>
      <w:r w:rsidRPr="00D21769">
        <w:rPr>
          <w:sz w:val="26"/>
          <w:szCs w:val="26"/>
          <w:rtl/>
          <w:lang w:val="en-CA"/>
        </w:rPr>
        <w:t xml:space="preserve"> عن تفشي</w:t>
      </w:r>
      <w:r>
        <w:rPr>
          <w:rFonts w:hint="cs"/>
          <w:sz w:val="26"/>
          <w:szCs w:val="26"/>
          <w:rtl/>
          <w:lang w:val="en-CA" w:bidi="ar-AE"/>
        </w:rPr>
        <w:t xml:space="preserve"> فيروس</w:t>
      </w:r>
      <w:r w:rsidR="00347974">
        <w:rPr>
          <w:rFonts w:hint="cs"/>
          <w:sz w:val="26"/>
          <w:szCs w:val="26"/>
          <w:rtl/>
          <w:lang w:val="en-CA" w:bidi="ar-AE"/>
        </w:rPr>
        <w:t xml:space="preserve"> </w:t>
      </w:r>
      <w:r>
        <w:rPr>
          <w:rFonts w:hint="cs"/>
          <w:sz w:val="26"/>
          <w:szCs w:val="26"/>
          <w:rtl/>
          <w:lang w:val="en-CA"/>
        </w:rPr>
        <w:t>كوفيد-19</w:t>
      </w:r>
      <w:r w:rsidRPr="00D21769">
        <w:rPr>
          <w:sz w:val="26"/>
          <w:szCs w:val="26"/>
          <w:rtl/>
          <w:lang w:val="en-CA"/>
        </w:rPr>
        <w:t xml:space="preserve">، وأن الاستهلاك المقدر من </w:t>
      </w:r>
      <w:r>
        <w:rPr>
          <w:rFonts w:hint="cs"/>
          <w:sz w:val="26"/>
          <w:szCs w:val="26"/>
          <w:rtl/>
          <w:lang w:val="en-CA"/>
        </w:rPr>
        <w:t xml:space="preserve">المواد </w:t>
      </w:r>
      <w:r w:rsidRPr="00D21769">
        <w:rPr>
          <w:sz w:val="26"/>
          <w:szCs w:val="26"/>
          <w:rtl/>
          <w:lang w:val="en-CA"/>
        </w:rPr>
        <w:t xml:space="preserve">الهيدروكلوروفلوروكربونية لعام 2019 كان </w:t>
      </w:r>
      <w:r w:rsidR="00CB128E">
        <w:rPr>
          <w:rFonts w:hint="cs"/>
          <w:sz w:val="26"/>
          <w:szCs w:val="26"/>
          <w:rtl/>
          <w:lang w:val="en-CA"/>
        </w:rPr>
        <w:t>أدنى من</w:t>
      </w:r>
      <w:r>
        <w:rPr>
          <w:rFonts w:hint="cs"/>
          <w:sz w:val="26"/>
          <w:szCs w:val="26"/>
          <w:rtl/>
          <w:lang w:val="en-CA"/>
        </w:rPr>
        <w:t xml:space="preserve"> خط أساس الامتثال ب</w:t>
      </w:r>
      <w:r>
        <w:rPr>
          <w:sz w:val="26"/>
          <w:szCs w:val="26"/>
          <w:rtl/>
          <w:lang w:val="en-CA"/>
        </w:rPr>
        <w:t xml:space="preserve">نسبة 62 في </w:t>
      </w:r>
      <w:r w:rsidR="00347974">
        <w:rPr>
          <w:rFonts w:hint="cs"/>
          <w:sz w:val="26"/>
          <w:szCs w:val="26"/>
          <w:rtl/>
          <w:lang w:val="en-CA"/>
        </w:rPr>
        <w:t>المائة</w:t>
      </w:r>
      <w:r w:rsidRPr="00D21769">
        <w:rPr>
          <w:sz w:val="26"/>
          <w:szCs w:val="26"/>
          <w:rtl/>
          <w:lang w:val="en-CA"/>
        </w:rPr>
        <w:t>،</w:t>
      </w:r>
      <w:r>
        <w:rPr>
          <w:rFonts w:hint="cs"/>
          <w:sz w:val="26"/>
          <w:szCs w:val="26"/>
          <w:rtl/>
          <w:lang w:val="en-CA"/>
        </w:rPr>
        <w:t xml:space="preserve"> وبذلك </w:t>
      </w:r>
      <w:r w:rsidRPr="00D21769">
        <w:rPr>
          <w:sz w:val="26"/>
          <w:szCs w:val="26"/>
          <w:rtl/>
          <w:lang w:val="en-CA"/>
        </w:rPr>
        <w:t>توصي</w:t>
      </w:r>
      <w:r w:rsidR="00CB128E">
        <w:rPr>
          <w:rFonts w:hint="cs"/>
          <w:sz w:val="26"/>
          <w:szCs w:val="26"/>
          <w:rtl/>
          <w:lang w:val="en-CA"/>
        </w:rPr>
        <w:t xml:space="preserve"> ا</w:t>
      </w:r>
      <w:r w:rsidR="00CB128E">
        <w:rPr>
          <w:rFonts w:hint="cs"/>
          <w:sz w:val="26"/>
          <w:szCs w:val="26"/>
          <w:rtl/>
          <w:lang w:bidi="ar-AE"/>
        </w:rPr>
        <w:t>لأمانة</w:t>
      </w:r>
      <w:r w:rsidRPr="00CB128E">
        <w:rPr>
          <w:sz w:val="26"/>
          <w:szCs w:val="26"/>
          <w:rtl/>
          <w:lang w:val="en-CA"/>
        </w:rPr>
        <w:t xml:space="preserve"> بالموافقة على طلب شريحة التمويل هذا، على أساس استثنائي ودون</w:t>
      </w:r>
      <w:r w:rsidRPr="00CB128E">
        <w:rPr>
          <w:rFonts w:hint="cs"/>
          <w:sz w:val="26"/>
          <w:szCs w:val="26"/>
          <w:rtl/>
          <w:lang w:val="en-CA" w:bidi="ar-AE"/>
        </w:rPr>
        <w:t xml:space="preserve"> أن يشكل ذلك سابقة</w:t>
      </w:r>
      <w:r w:rsidRPr="00CB128E">
        <w:rPr>
          <w:sz w:val="26"/>
          <w:szCs w:val="26"/>
          <w:rtl/>
          <w:lang w:val="en-CA"/>
        </w:rPr>
        <w:t>، على أساس</w:t>
      </w:r>
      <w:r w:rsidRPr="00CB128E">
        <w:rPr>
          <w:rFonts w:hint="cs"/>
          <w:sz w:val="26"/>
          <w:szCs w:val="26"/>
          <w:rtl/>
          <w:lang w:val="en-CA"/>
        </w:rPr>
        <w:t xml:space="preserve"> تفهم</w:t>
      </w:r>
      <w:r w:rsidRPr="00CB128E">
        <w:rPr>
          <w:sz w:val="26"/>
          <w:szCs w:val="26"/>
          <w:rtl/>
          <w:lang w:val="en-CA"/>
        </w:rPr>
        <w:t xml:space="preserve"> أن</w:t>
      </w:r>
      <w:r w:rsidRPr="00CB128E">
        <w:rPr>
          <w:rFonts w:hint="cs"/>
          <w:sz w:val="26"/>
          <w:szCs w:val="26"/>
          <w:rtl/>
          <w:lang w:val="en-CA"/>
        </w:rPr>
        <w:t>ه</w:t>
      </w:r>
      <w:r w:rsidRPr="00CB128E">
        <w:rPr>
          <w:sz w:val="26"/>
          <w:szCs w:val="26"/>
          <w:rtl/>
          <w:lang w:val="en-CA"/>
        </w:rPr>
        <w:t>:</w:t>
      </w:r>
    </w:p>
    <w:p w14:paraId="7557C34D" w14:textId="77777777" w:rsidR="002A1551" w:rsidRDefault="004452A2" w:rsidP="004452A2">
      <w:pPr>
        <w:pStyle w:val="Heading1"/>
        <w:numPr>
          <w:ilvl w:val="0"/>
          <w:numId w:val="14"/>
        </w:numPr>
        <w:bidi/>
        <w:ind w:left="1588" w:hanging="794"/>
        <w:rPr>
          <w:sz w:val="26"/>
          <w:szCs w:val="26"/>
          <w:rtl/>
        </w:rPr>
      </w:pPr>
      <w:r w:rsidRPr="00D21769">
        <w:rPr>
          <w:sz w:val="26"/>
          <w:szCs w:val="26"/>
          <w:rtl/>
          <w:lang w:val="en-CA"/>
        </w:rPr>
        <w:t xml:space="preserve">سيُطلب </w:t>
      </w:r>
      <w:r>
        <w:rPr>
          <w:rFonts w:hint="cs"/>
          <w:sz w:val="26"/>
          <w:szCs w:val="26"/>
          <w:rtl/>
          <w:lang w:val="en-CA"/>
        </w:rPr>
        <w:t>من</w:t>
      </w:r>
      <w:r w:rsidRPr="00D21769">
        <w:rPr>
          <w:sz w:val="26"/>
          <w:szCs w:val="26"/>
          <w:rtl/>
          <w:lang w:val="en-CA"/>
        </w:rPr>
        <w:t xml:space="preserve"> أمين الخزانة تحويل الأموال </w:t>
      </w:r>
      <w:r>
        <w:rPr>
          <w:rFonts w:hint="cs"/>
          <w:sz w:val="26"/>
          <w:szCs w:val="26"/>
          <w:rtl/>
          <w:lang w:val="en-CA"/>
        </w:rPr>
        <w:t>الموافق عليها</w:t>
      </w:r>
      <w:r w:rsidRPr="00D21769">
        <w:rPr>
          <w:sz w:val="26"/>
          <w:szCs w:val="26"/>
          <w:rtl/>
          <w:lang w:val="en-CA"/>
        </w:rPr>
        <w:t xml:space="preserve"> إلى اليوني</w:t>
      </w:r>
      <w:r>
        <w:rPr>
          <w:sz w:val="26"/>
          <w:szCs w:val="26"/>
          <w:rtl/>
          <w:lang w:val="en-CA"/>
        </w:rPr>
        <w:t>دو</w:t>
      </w:r>
      <w:r w:rsidR="00636B5F">
        <w:rPr>
          <w:rStyle w:val="FootnoteReference"/>
          <w:sz w:val="26"/>
          <w:szCs w:val="26"/>
          <w:rtl/>
        </w:rPr>
        <w:footnoteReference w:id="4"/>
      </w:r>
      <w:r w:rsidRPr="00D21769">
        <w:rPr>
          <w:sz w:val="26"/>
          <w:szCs w:val="26"/>
          <w:rtl/>
          <w:lang w:val="en-CA"/>
        </w:rPr>
        <w:t>؛</w:t>
      </w:r>
    </w:p>
    <w:p w14:paraId="42EC6153" w14:textId="77777777" w:rsidR="002A1551" w:rsidRDefault="00A552D3" w:rsidP="00A552D3">
      <w:pPr>
        <w:pStyle w:val="Heading1"/>
        <w:numPr>
          <w:ilvl w:val="0"/>
          <w:numId w:val="14"/>
        </w:numPr>
        <w:bidi/>
        <w:ind w:left="1588" w:hanging="794"/>
        <w:rPr>
          <w:sz w:val="26"/>
          <w:szCs w:val="26"/>
          <w:rtl/>
        </w:rPr>
      </w:pPr>
      <w:r w:rsidRPr="00A552D3">
        <w:rPr>
          <w:sz w:val="26"/>
          <w:szCs w:val="26"/>
          <w:rtl/>
        </w:rPr>
        <w:t xml:space="preserve">التزمت اليونيدو بتقديم تقرير التحقق في موعد أقصاه 12 أسبوعاً </w:t>
      </w:r>
      <w:r>
        <w:rPr>
          <w:rFonts w:hint="cs"/>
          <w:sz w:val="26"/>
          <w:szCs w:val="26"/>
          <w:rtl/>
        </w:rPr>
        <w:t>قبل</w:t>
      </w:r>
      <w:r w:rsidRPr="00A552D3">
        <w:rPr>
          <w:sz w:val="26"/>
          <w:szCs w:val="26"/>
          <w:rtl/>
        </w:rPr>
        <w:t xml:space="preserve"> الاجتماع السادس والثمانين؛</w:t>
      </w:r>
    </w:p>
    <w:p w14:paraId="015E8CD7" w14:textId="77777777" w:rsidR="002A1551" w:rsidRDefault="00A552D3" w:rsidP="00C0524B">
      <w:pPr>
        <w:pStyle w:val="Heading1"/>
        <w:numPr>
          <w:ilvl w:val="0"/>
          <w:numId w:val="14"/>
        </w:numPr>
        <w:bidi/>
        <w:ind w:left="1588" w:hanging="794"/>
        <w:rPr>
          <w:sz w:val="26"/>
          <w:szCs w:val="26"/>
          <w:rtl/>
        </w:rPr>
      </w:pPr>
      <w:r w:rsidRPr="00A552D3">
        <w:rPr>
          <w:sz w:val="26"/>
          <w:szCs w:val="26"/>
          <w:rtl/>
        </w:rPr>
        <w:t>سيتم تناول التوصيات الواردة في تقرير التحقق أثناء تنفيذ الشريحة الخامسة، فيما سيتم تضمين الإجراءات المنفذة لتحقيق هذه الغاية في التقرير المرحلي للمرحلة الأولى من خطة إدارة إزالة المواد الهيدروكلوروفلوروكربونية بغية تقديمه كجزء من طلب البلد للمرحلة الثانية من خطة إدارة إزالة المواد الهيدروكلوروفلوروكربونية؛ و</w:t>
      </w:r>
    </w:p>
    <w:p w14:paraId="234DC5DC" w14:textId="77777777" w:rsidR="002A1551" w:rsidRDefault="008C4280" w:rsidP="00347974">
      <w:pPr>
        <w:pStyle w:val="Heading1"/>
        <w:numPr>
          <w:ilvl w:val="0"/>
          <w:numId w:val="14"/>
        </w:numPr>
        <w:bidi/>
        <w:ind w:left="1588" w:hanging="794"/>
        <w:rPr>
          <w:sz w:val="26"/>
          <w:szCs w:val="26"/>
          <w:rtl/>
        </w:rPr>
      </w:pPr>
      <w:r w:rsidRPr="008C4280">
        <w:rPr>
          <w:sz w:val="26"/>
          <w:szCs w:val="26"/>
          <w:rtl/>
        </w:rPr>
        <w:t xml:space="preserve">في </w:t>
      </w:r>
      <w:r w:rsidR="00347974">
        <w:rPr>
          <w:rFonts w:hint="cs"/>
          <w:sz w:val="26"/>
          <w:szCs w:val="26"/>
          <w:rtl/>
        </w:rPr>
        <w:t xml:space="preserve">حالة </w:t>
      </w:r>
      <w:r w:rsidRPr="008C4280">
        <w:rPr>
          <w:sz w:val="26"/>
          <w:szCs w:val="26"/>
          <w:rtl/>
        </w:rPr>
        <w:t>عدم امتثال حكومة غواتيمالا لاتفاقها المبرم مع اللجنة التنفيذية</w:t>
      </w:r>
      <w:r w:rsidR="00347974">
        <w:rPr>
          <w:rFonts w:hint="cs"/>
          <w:sz w:val="26"/>
          <w:szCs w:val="26"/>
          <w:rtl/>
        </w:rPr>
        <w:t>، وهو أمر مستبعد الحدوث</w:t>
      </w:r>
      <w:r w:rsidRPr="008C4280">
        <w:rPr>
          <w:sz w:val="26"/>
          <w:szCs w:val="26"/>
          <w:rtl/>
        </w:rPr>
        <w:t>، ستتخذ اللجنة التنفيذية الإجراءات ذات الصلة.</w:t>
      </w:r>
    </w:p>
    <w:p w14:paraId="79AC53C6" w14:textId="77777777" w:rsidR="0030673F" w:rsidRPr="005645D1" w:rsidRDefault="0030673F" w:rsidP="0030673F">
      <w:pPr>
        <w:pStyle w:val="Heading1"/>
        <w:numPr>
          <w:ilvl w:val="0"/>
          <w:numId w:val="0"/>
        </w:numPr>
        <w:bidi/>
        <w:rPr>
          <w:sz w:val="26"/>
          <w:szCs w:val="26"/>
          <w:rtl/>
        </w:rPr>
      </w:pPr>
      <w:r>
        <w:rPr>
          <w:rFonts w:hint="cs"/>
          <w:sz w:val="26"/>
          <w:szCs w:val="26"/>
          <w:u w:val="single"/>
          <w:rtl/>
          <w:lang w:bidi="ar-SA"/>
        </w:rPr>
        <w:t>ال</w:t>
      </w:r>
      <w:r w:rsidRPr="00E5190A">
        <w:rPr>
          <w:sz w:val="26"/>
          <w:szCs w:val="26"/>
          <w:u w:val="single"/>
          <w:rtl/>
          <w:lang w:bidi="ar-SA"/>
        </w:rPr>
        <w:t xml:space="preserve">تقرير </w:t>
      </w:r>
      <w:r>
        <w:rPr>
          <w:rFonts w:hint="cs"/>
          <w:sz w:val="26"/>
          <w:szCs w:val="26"/>
          <w:u w:val="single"/>
          <w:rtl/>
          <w:lang w:bidi="ar-SA"/>
        </w:rPr>
        <w:t>ال</w:t>
      </w:r>
      <w:r w:rsidRPr="00E5190A">
        <w:rPr>
          <w:sz w:val="26"/>
          <w:szCs w:val="26"/>
          <w:u w:val="single"/>
          <w:rtl/>
          <w:lang w:bidi="ar-SA"/>
        </w:rPr>
        <w:t xml:space="preserve">مرحلي </w:t>
      </w:r>
      <w:r>
        <w:rPr>
          <w:rFonts w:hint="cs"/>
          <w:sz w:val="26"/>
          <w:szCs w:val="26"/>
          <w:u w:val="single"/>
          <w:rtl/>
          <w:lang w:bidi="ar-SA"/>
        </w:rPr>
        <w:t>المتعلق</w:t>
      </w:r>
      <w:r w:rsidR="00D77996">
        <w:rPr>
          <w:rFonts w:hint="cs"/>
          <w:sz w:val="26"/>
          <w:szCs w:val="26"/>
          <w:u w:val="single"/>
          <w:rtl/>
          <w:lang w:bidi="ar-SA"/>
        </w:rPr>
        <w:t xml:space="preserve"> </w:t>
      </w:r>
      <w:r>
        <w:rPr>
          <w:rFonts w:hint="cs"/>
          <w:sz w:val="26"/>
          <w:szCs w:val="26"/>
          <w:u w:val="single"/>
          <w:rtl/>
          <w:lang w:bidi="ar-SA"/>
        </w:rPr>
        <w:t>ب</w:t>
      </w:r>
      <w:r w:rsidRPr="00E5190A">
        <w:rPr>
          <w:sz w:val="26"/>
          <w:szCs w:val="26"/>
          <w:u w:val="single"/>
          <w:rtl/>
          <w:lang w:bidi="ar-SA"/>
        </w:rPr>
        <w:t xml:space="preserve">تنفيذ الشريحة </w:t>
      </w:r>
      <w:r>
        <w:rPr>
          <w:rFonts w:hint="cs"/>
          <w:sz w:val="26"/>
          <w:szCs w:val="26"/>
          <w:u w:val="single"/>
          <w:rtl/>
          <w:lang w:bidi="ar-SA"/>
        </w:rPr>
        <w:t>الرابعة</w:t>
      </w:r>
      <w:r w:rsidRPr="00E5190A">
        <w:rPr>
          <w:sz w:val="26"/>
          <w:szCs w:val="26"/>
          <w:u w:val="single"/>
          <w:rtl/>
          <w:lang w:bidi="ar-SA"/>
        </w:rPr>
        <w:t xml:space="preserve"> من خطة إدارة إزالة المواد الهيدروكلوروفلوروكربونية</w:t>
      </w:r>
    </w:p>
    <w:p w14:paraId="6316C9E0" w14:textId="77777777" w:rsidR="00364211" w:rsidRPr="00983C8E" w:rsidRDefault="00364211" w:rsidP="00364211">
      <w:pPr>
        <w:pStyle w:val="Heading1"/>
        <w:numPr>
          <w:ilvl w:val="0"/>
          <w:numId w:val="0"/>
        </w:numPr>
        <w:bidi/>
        <w:rPr>
          <w:i/>
          <w:iCs/>
          <w:sz w:val="26"/>
          <w:szCs w:val="26"/>
        </w:rPr>
      </w:pPr>
      <w:r>
        <w:rPr>
          <w:rFonts w:hint="cs"/>
          <w:i/>
          <w:iCs/>
          <w:sz w:val="26"/>
          <w:szCs w:val="26"/>
          <w:rtl/>
        </w:rPr>
        <w:t>الإطار القانوني</w:t>
      </w:r>
    </w:p>
    <w:p w14:paraId="7C4B9107" w14:textId="77777777" w:rsidR="002A1551" w:rsidRDefault="008C4280" w:rsidP="005D2052">
      <w:pPr>
        <w:pStyle w:val="Heading1"/>
        <w:numPr>
          <w:ilvl w:val="0"/>
          <w:numId w:val="11"/>
        </w:numPr>
        <w:bidi/>
        <w:ind w:left="794" w:hanging="794"/>
        <w:rPr>
          <w:sz w:val="26"/>
          <w:szCs w:val="26"/>
          <w:rtl/>
        </w:rPr>
      </w:pPr>
      <w:r w:rsidRPr="008C4280">
        <w:rPr>
          <w:sz w:val="26"/>
          <w:szCs w:val="26"/>
          <w:rtl/>
        </w:rPr>
        <w:t>أصدرت حكومة غواتيمالا بالفعل حصص استيراد المواد الهيدروكلوروفلوروكربونية لعام 2020 بواقع 4.59 طن من قدرات استنفاد الأوزون (76,21 طن متري)، أي أقل بنسبة 15 في المائة من أهداف الرقا</w:t>
      </w:r>
      <w:r w:rsidR="005D2052">
        <w:rPr>
          <w:sz w:val="26"/>
          <w:szCs w:val="26"/>
          <w:rtl/>
        </w:rPr>
        <w:t>بة الواردة في بروتوكول مونتريال</w:t>
      </w:r>
      <w:r w:rsidR="00921A22">
        <w:rPr>
          <w:rStyle w:val="FootnoteReference"/>
          <w:sz w:val="26"/>
          <w:szCs w:val="26"/>
          <w:rtl/>
        </w:rPr>
        <w:footnoteReference w:id="5"/>
      </w:r>
      <w:r w:rsidR="005D2052">
        <w:rPr>
          <w:rFonts w:hint="cs"/>
          <w:sz w:val="26"/>
          <w:szCs w:val="26"/>
          <w:rtl/>
        </w:rPr>
        <w:t>.</w:t>
      </w:r>
    </w:p>
    <w:p w14:paraId="7A07C701" w14:textId="77777777" w:rsidR="00B3331D" w:rsidRPr="00983C8E" w:rsidRDefault="00B3331D" w:rsidP="00B3331D">
      <w:pPr>
        <w:pStyle w:val="Heading1"/>
        <w:numPr>
          <w:ilvl w:val="0"/>
          <w:numId w:val="0"/>
        </w:numPr>
        <w:bidi/>
        <w:rPr>
          <w:i/>
          <w:iCs/>
          <w:sz w:val="26"/>
          <w:szCs w:val="26"/>
        </w:rPr>
      </w:pPr>
      <w:r>
        <w:rPr>
          <w:rFonts w:hint="cs"/>
          <w:i/>
          <w:iCs/>
          <w:sz w:val="26"/>
          <w:szCs w:val="26"/>
          <w:rtl/>
        </w:rPr>
        <w:t>قطاع خدمة التبريد</w:t>
      </w:r>
    </w:p>
    <w:p w14:paraId="176A6F2C" w14:textId="77777777" w:rsidR="002A1551" w:rsidRPr="001D45A2" w:rsidRDefault="005D2052" w:rsidP="00C0524B">
      <w:pPr>
        <w:pStyle w:val="Heading1"/>
        <w:numPr>
          <w:ilvl w:val="0"/>
          <w:numId w:val="11"/>
        </w:numPr>
        <w:bidi/>
        <w:ind w:left="794" w:hanging="794"/>
        <w:rPr>
          <w:sz w:val="22"/>
          <w:szCs w:val="26"/>
          <w:rtl/>
        </w:rPr>
      </w:pPr>
      <w:r w:rsidRPr="001D45A2">
        <w:rPr>
          <w:sz w:val="22"/>
          <w:szCs w:val="26"/>
          <w:rtl/>
        </w:rPr>
        <w:t xml:space="preserve">بناء على طلب للإيضاح، أشارت اليونيدو إلى أن المشروع الموجه إلى المستخدم النهائي في قطاع التبريد التجاري لا يهدف إلى تركيب معدات جديدة، وإنما </w:t>
      </w:r>
      <w:r w:rsidR="00E16BB2" w:rsidRPr="001D45A2">
        <w:rPr>
          <w:rFonts w:hint="cs"/>
          <w:sz w:val="22"/>
          <w:szCs w:val="26"/>
          <w:rtl/>
        </w:rPr>
        <w:t xml:space="preserve">إلى </w:t>
      </w:r>
      <w:r w:rsidRPr="001D45A2">
        <w:rPr>
          <w:sz w:val="22"/>
          <w:szCs w:val="26"/>
          <w:rtl/>
        </w:rPr>
        <w:t>مساعدة إحدى الشركات في قطاع التبريد التجاري على الحد من تسرب الهيدروكلوروفلوروكربون-22 من خلال مراجعة عملية التبريد بأكملها (أي استهلاك غازات التبريد، وتحديد التسرب، والأدوات، والشهادات، والسجلات، واستهلاك الطاقة، وجودة غاز التبريد، ومتطلبات التدريب). وعلى غرار برنامج "انعدام التسرب (</w:t>
      </w:r>
      <w:r w:rsidRPr="001D45A2">
        <w:rPr>
          <w:sz w:val="22"/>
          <w:szCs w:val="26"/>
        </w:rPr>
        <w:t xml:space="preserve">Zero </w:t>
      </w:r>
      <w:r w:rsidR="0026564C" w:rsidRPr="001D45A2">
        <w:rPr>
          <w:sz w:val="22"/>
          <w:szCs w:val="26"/>
        </w:rPr>
        <w:t>Leakage</w:t>
      </w:r>
      <w:r w:rsidRPr="001D45A2">
        <w:rPr>
          <w:sz w:val="22"/>
          <w:szCs w:val="26"/>
          <w:rtl/>
        </w:rPr>
        <w:t xml:space="preserve">)" الذي تم تطبيقه في الشريحة </w:t>
      </w:r>
      <w:r w:rsidRPr="001D45A2">
        <w:rPr>
          <w:sz w:val="22"/>
          <w:szCs w:val="26"/>
          <w:rtl/>
        </w:rPr>
        <w:lastRenderedPageBreak/>
        <w:t>السابقة، سيتم توثيق العملية لزيادة الوعي ودعم الشركات الأخرى للتعامل بشكل أفضل مع الهيدروكلوروفلوروكربون-22.</w:t>
      </w:r>
    </w:p>
    <w:p w14:paraId="69379D8F" w14:textId="77777777" w:rsidR="00BB1B56" w:rsidRDefault="00BB1B56" w:rsidP="00BB1B56">
      <w:pPr>
        <w:pStyle w:val="Heading1"/>
        <w:numPr>
          <w:ilvl w:val="0"/>
          <w:numId w:val="0"/>
        </w:numPr>
        <w:bidi/>
        <w:rPr>
          <w:sz w:val="26"/>
          <w:szCs w:val="26"/>
          <w:rtl/>
        </w:rPr>
      </w:pPr>
      <w:r w:rsidRPr="00A0241E">
        <w:rPr>
          <w:rFonts w:hint="cs"/>
          <w:sz w:val="26"/>
          <w:szCs w:val="26"/>
          <w:u w:val="single"/>
          <w:rtl/>
          <w:lang w:val="en-US" w:bidi="ar-EG"/>
        </w:rPr>
        <w:t>مستوى صرف الأموال</w:t>
      </w:r>
    </w:p>
    <w:p w14:paraId="15A46818" w14:textId="77777777" w:rsidR="002A1551" w:rsidRDefault="007B66ED" w:rsidP="00EC7388">
      <w:pPr>
        <w:pStyle w:val="Heading1"/>
        <w:numPr>
          <w:ilvl w:val="0"/>
          <w:numId w:val="11"/>
        </w:numPr>
        <w:bidi/>
        <w:ind w:left="794" w:hanging="794"/>
        <w:rPr>
          <w:sz w:val="26"/>
          <w:szCs w:val="26"/>
          <w:rtl/>
        </w:rPr>
      </w:pPr>
      <w:r w:rsidRPr="007B66ED">
        <w:rPr>
          <w:sz w:val="26"/>
          <w:szCs w:val="26"/>
          <w:rtl/>
        </w:rPr>
        <w:t>أشارت الأمانة إلى أنه تم صرف مبلغ 2,985 دولار أمريكي فقط من إجمالي مبلغ 30,184 دولار أمريكي تم</w:t>
      </w:r>
      <w:r w:rsidR="0026564C">
        <w:rPr>
          <w:rFonts w:hint="cs"/>
          <w:sz w:val="26"/>
          <w:szCs w:val="26"/>
          <w:rtl/>
        </w:rPr>
        <w:t xml:space="preserve"> اعتمادها</w:t>
      </w:r>
      <w:r w:rsidRPr="007B66ED">
        <w:rPr>
          <w:sz w:val="26"/>
          <w:szCs w:val="26"/>
          <w:rtl/>
        </w:rPr>
        <w:t xml:space="preserve"> ل</w:t>
      </w:r>
      <w:r w:rsidR="0026564C">
        <w:rPr>
          <w:rFonts w:hint="cs"/>
          <w:sz w:val="26"/>
          <w:szCs w:val="26"/>
          <w:rtl/>
        </w:rPr>
        <w:t>ل</w:t>
      </w:r>
      <w:r w:rsidRPr="007B66ED">
        <w:rPr>
          <w:sz w:val="26"/>
          <w:szCs w:val="26"/>
          <w:rtl/>
        </w:rPr>
        <w:t>عنصر</w:t>
      </w:r>
      <w:r w:rsidR="0026564C">
        <w:rPr>
          <w:rFonts w:hint="cs"/>
          <w:sz w:val="26"/>
          <w:szCs w:val="26"/>
          <w:rtl/>
        </w:rPr>
        <w:t xml:space="preserve"> الخاص</w:t>
      </w:r>
      <w:r w:rsidR="00D77996">
        <w:rPr>
          <w:rFonts w:hint="cs"/>
          <w:sz w:val="26"/>
          <w:szCs w:val="26"/>
          <w:rtl/>
        </w:rPr>
        <w:t xml:space="preserve"> </w:t>
      </w:r>
      <w:r w:rsidR="0026564C">
        <w:rPr>
          <w:rFonts w:hint="cs"/>
          <w:sz w:val="26"/>
          <w:szCs w:val="26"/>
          <w:rtl/>
        </w:rPr>
        <w:t>ب</w:t>
      </w:r>
      <w:r w:rsidRPr="007B66ED">
        <w:rPr>
          <w:sz w:val="26"/>
          <w:szCs w:val="26"/>
          <w:rtl/>
        </w:rPr>
        <w:t>برنامج اليونيب في الشريحة الثالثة. وأوضحت اليونيدو أنه تم بالفعل تخصيص مبلغ إضافي قدره 22,000 دولار أمريكي لاثنتين من الاستشارات: بشأن اعتماد معايير السلامة للتعامل مع غازات التبريد القابلة للاشتعال؛ وبشأن تنفيذ نظام إصدار شهادات لتقنيي التبريد وتكييف الهواء في ممارسات التبريد الجيدة. وسيُستخدم الرصيد المتبقي في المساعدة التقنية لتعزيز الرقابة على التجارة المتعلقة بالمواد الهيدروكلوروفلوروكربونية.</w:t>
      </w:r>
    </w:p>
    <w:p w14:paraId="5F3A1ED5" w14:textId="77777777" w:rsidR="004915E9" w:rsidRDefault="004915E9" w:rsidP="004915E9">
      <w:pPr>
        <w:pStyle w:val="Heading1"/>
        <w:numPr>
          <w:ilvl w:val="0"/>
          <w:numId w:val="0"/>
        </w:numPr>
        <w:bidi/>
        <w:rPr>
          <w:sz w:val="26"/>
          <w:szCs w:val="26"/>
          <w:u w:val="single"/>
          <w:rtl/>
          <w:lang w:val="en-US" w:bidi="ar-EG"/>
        </w:rPr>
      </w:pPr>
      <w:r>
        <w:rPr>
          <w:rFonts w:hint="cs"/>
          <w:sz w:val="26"/>
          <w:szCs w:val="26"/>
          <w:u w:val="single"/>
          <w:rtl/>
          <w:lang w:val="en-US" w:bidi="ar-EG"/>
        </w:rPr>
        <w:t xml:space="preserve">تنفيذ السياسات </w:t>
      </w:r>
      <w:r w:rsidRPr="009339D4">
        <w:rPr>
          <w:rFonts w:hint="cs"/>
          <w:sz w:val="26"/>
          <w:szCs w:val="26"/>
          <w:u w:val="single"/>
          <w:rtl/>
          <w:lang w:val="en-US" w:bidi="ar-EG"/>
        </w:rPr>
        <w:t>الجنسانية</w:t>
      </w:r>
      <w:r w:rsidR="00432C80">
        <w:rPr>
          <w:rStyle w:val="FootnoteReference"/>
          <w:sz w:val="26"/>
          <w:szCs w:val="26"/>
          <w:u w:val="single"/>
          <w:rtl/>
          <w:lang w:val="en-US" w:bidi="ar-EG"/>
        </w:rPr>
        <w:footnoteReference w:id="6"/>
      </w:r>
    </w:p>
    <w:p w14:paraId="53BDC179" w14:textId="77777777" w:rsidR="004915E9" w:rsidRPr="00970FD6" w:rsidRDefault="009339D4" w:rsidP="00D77996">
      <w:pPr>
        <w:pStyle w:val="Heading1"/>
        <w:numPr>
          <w:ilvl w:val="0"/>
          <w:numId w:val="11"/>
        </w:numPr>
        <w:bidi/>
        <w:ind w:left="794" w:hanging="794"/>
        <w:rPr>
          <w:sz w:val="26"/>
          <w:szCs w:val="26"/>
          <w:rtl/>
        </w:rPr>
      </w:pPr>
      <w:r w:rsidRPr="009339D4">
        <w:rPr>
          <w:sz w:val="26"/>
          <w:szCs w:val="26"/>
          <w:rtl/>
        </w:rPr>
        <w:t xml:space="preserve">أفادت اليونيدو بأن الحكومة ملتزمة بالشروع في أنشطة </w:t>
      </w:r>
      <w:r w:rsidR="00D77996">
        <w:rPr>
          <w:rFonts w:hint="cs"/>
          <w:sz w:val="26"/>
          <w:szCs w:val="26"/>
          <w:rtl/>
        </w:rPr>
        <w:t>تتعلق</w:t>
      </w:r>
      <w:r w:rsidRPr="009339D4">
        <w:rPr>
          <w:sz w:val="26"/>
          <w:szCs w:val="26"/>
          <w:rtl/>
        </w:rPr>
        <w:t xml:space="preserve"> </w:t>
      </w:r>
      <w:r w:rsidR="00D77996">
        <w:rPr>
          <w:rFonts w:hint="cs"/>
          <w:sz w:val="26"/>
          <w:szCs w:val="26"/>
          <w:rtl/>
        </w:rPr>
        <w:t>ب</w:t>
      </w:r>
      <w:r w:rsidRPr="009339D4">
        <w:rPr>
          <w:sz w:val="26"/>
          <w:szCs w:val="26"/>
          <w:rtl/>
        </w:rPr>
        <w:t>تعميم مراعاة المنظور الجنساني خلال المرحلة الأولى. وستقدم وحدة الأوزون الوطنية بيانات عن عدد النساء المدرَبات في قطاع خدمات الجمارك والتبريد</w:t>
      </w:r>
      <w:r w:rsidR="00230AF5">
        <w:rPr>
          <w:rFonts w:hint="cs"/>
          <w:sz w:val="26"/>
          <w:szCs w:val="26"/>
          <w:rtl/>
        </w:rPr>
        <w:t>،</w:t>
      </w:r>
      <w:r w:rsidRPr="009339D4">
        <w:rPr>
          <w:sz w:val="26"/>
          <w:szCs w:val="26"/>
          <w:rtl/>
        </w:rPr>
        <w:t xml:space="preserve"> ما من شأنه تسهيل توفير فرص متكافئة للمُستشارات على المستويين الوطني والدولي.</w:t>
      </w:r>
    </w:p>
    <w:p w14:paraId="31B40E9B" w14:textId="77777777" w:rsidR="002A1551" w:rsidRPr="004915E9" w:rsidRDefault="004915E9" w:rsidP="002A1551">
      <w:pPr>
        <w:pStyle w:val="Heading1"/>
        <w:numPr>
          <w:ilvl w:val="0"/>
          <w:numId w:val="0"/>
        </w:numPr>
        <w:bidi/>
        <w:rPr>
          <w:sz w:val="26"/>
          <w:szCs w:val="26"/>
          <w:u w:val="single"/>
          <w:rtl/>
        </w:rPr>
      </w:pPr>
      <w:r w:rsidRPr="004915E9">
        <w:rPr>
          <w:rFonts w:hint="cs"/>
          <w:sz w:val="26"/>
          <w:szCs w:val="26"/>
          <w:u w:val="single"/>
          <w:rtl/>
        </w:rPr>
        <w:t xml:space="preserve">استدامة التخلص من </w:t>
      </w:r>
      <w:r w:rsidRPr="004915E9">
        <w:rPr>
          <w:sz w:val="26"/>
          <w:szCs w:val="26"/>
          <w:u w:val="single"/>
          <w:rtl/>
          <w:lang w:bidi="ar-SA"/>
        </w:rPr>
        <w:t>المواد الهيدروكلوروفلوروكربونية</w:t>
      </w:r>
    </w:p>
    <w:p w14:paraId="63A12D5E" w14:textId="77777777" w:rsidR="002A1551" w:rsidRDefault="00E35CA8" w:rsidP="00C0524B">
      <w:pPr>
        <w:pStyle w:val="Heading1"/>
        <w:numPr>
          <w:ilvl w:val="0"/>
          <w:numId w:val="11"/>
        </w:numPr>
        <w:bidi/>
        <w:ind w:left="794" w:hanging="794"/>
        <w:rPr>
          <w:sz w:val="26"/>
          <w:szCs w:val="26"/>
          <w:rtl/>
        </w:rPr>
      </w:pPr>
      <w:r w:rsidRPr="00E35CA8">
        <w:rPr>
          <w:sz w:val="26"/>
          <w:szCs w:val="26"/>
          <w:rtl/>
        </w:rPr>
        <w:t>من المتوقع أن يبدأ سريان حظر استيراد الهيدروكلوروفلوروكربون-141ب، والبوليولات مسبقة الخلط، بكميات كبيرة في أكتوبر/تشرين الأول 2020 وسيدعم هذا الإجراء الاستدامة طويلة الأجل للتخلص من المركب في قطاع الرغاوي وعوامل التنظيف في قطاع التبريد وتكييف الهواء. وثمة اتفاقات حكومية ووزارية مُطبقة تحظر استهلاك المواد التي تم التخلص منها بموجب بروتوكول مونتريال؛ وتتم مراقبة الشركات المصنعة للرغاوي والعمليات التجارية با</w:t>
      </w:r>
      <w:r>
        <w:rPr>
          <w:sz w:val="26"/>
          <w:szCs w:val="26"/>
          <w:rtl/>
        </w:rPr>
        <w:t>لتنسيق الوثيق مع الجمارك، وتحظر</w:t>
      </w:r>
      <w:r w:rsidRPr="00E35CA8">
        <w:rPr>
          <w:sz w:val="26"/>
          <w:szCs w:val="26"/>
          <w:rtl/>
        </w:rPr>
        <w:t xml:space="preserve"> اللوائح الوطنية استيراد بروميد الميثيل، باستثناء استخدامات الحجر ومعالجات ما قبل الشحن. وقد أبلغت اليونيدو أنها لم تكن على دراية بأي استخدام أو مخزونات من المواد الخاضعة للرقابة التي تم التخلص منها في البلد.</w:t>
      </w:r>
    </w:p>
    <w:p w14:paraId="39565FEB" w14:textId="77777777" w:rsidR="002A1551" w:rsidRDefault="003D1348" w:rsidP="00C0524B">
      <w:pPr>
        <w:pStyle w:val="Heading1"/>
        <w:numPr>
          <w:ilvl w:val="0"/>
          <w:numId w:val="11"/>
        </w:numPr>
        <w:bidi/>
        <w:ind w:left="794" w:hanging="794"/>
        <w:rPr>
          <w:sz w:val="26"/>
          <w:szCs w:val="26"/>
          <w:rtl/>
        </w:rPr>
      </w:pPr>
      <w:r w:rsidRPr="003D1348">
        <w:rPr>
          <w:sz w:val="26"/>
          <w:szCs w:val="26"/>
          <w:rtl/>
        </w:rPr>
        <w:t xml:space="preserve">تواصلت اليونيدو مع معهد التدريب الجمركي لتضمين مناهجه مواضيع تتعلق بالمواد الخاضعة للرقابة بموجب البروتوكول، وقدمت أجهزة </w:t>
      </w:r>
      <w:r>
        <w:rPr>
          <w:rFonts w:hint="cs"/>
          <w:sz w:val="26"/>
          <w:szCs w:val="26"/>
          <w:rtl/>
        </w:rPr>
        <w:t>ل</w:t>
      </w:r>
      <w:r w:rsidRPr="003D1348">
        <w:rPr>
          <w:sz w:val="26"/>
          <w:szCs w:val="26"/>
          <w:rtl/>
        </w:rPr>
        <w:t>تحديد غازات التبريد. وتتضمن البرامج التدريبية لطلاب التبريد وتكييف الهواء في المناهج الوطنية موضوعات تتعلق ببروتوكول مونتريال. وقد تم توفير مجموعات أدوات للمدارس المتوسطة والكليات التقنية وبرامج التدريس ذات الصلة بـقطاع التبريد وتكييف الهواء، في حين يتلقى المدربون ت</w:t>
      </w:r>
      <w:r>
        <w:rPr>
          <w:sz w:val="26"/>
          <w:szCs w:val="26"/>
          <w:rtl/>
        </w:rPr>
        <w:t>دريباً وتحديثاً مستمرين في مجال</w:t>
      </w:r>
      <w:r w:rsidRPr="003D1348">
        <w:rPr>
          <w:sz w:val="26"/>
          <w:szCs w:val="26"/>
          <w:rtl/>
        </w:rPr>
        <w:t xml:space="preserve"> الممارسات الجيدة والتعامل مع المواد البديلة.</w:t>
      </w:r>
    </w:p>
    <w:p w14:paraId="41AA7C02" w14:textId="77777777" w:rsidR="00970FD6" w:rsidRPr="004915E9" w:rsidRDefault="00970FD6" w:rsidP="00970FD6">
      <w:pPr>
        <w:pStyle w:val="Heading1"/>
        <w:numPr>
          <w:ilvl w:val="0"/>
          <w:numId w:val="0"/>
        </w:numPr>
        <w:bidi/>
        <w:rPr>
          <w:sz w:val="26"/>
          <w:szCs w:val="26"/>
          <w:u w:val="single"/>
          <w:rtl/>
        </w:rPr>
      </w:pPr>
      <w:r>
        <w:rPr>
          <w:rFonts w:hint="cs"/>
          <w:sz w:val="26"/>
          <w:szCs w:val="26"/>
          <w:u w:val="single"/>
          <w:rtl/>
        </w:rPr>
        <w:t xml:space="preserve">تاريخ اكتمال المرحلة الأولى من خطة </w:t>
      </w:r>
      <w:r w:rsidRPr="00E5190A">
        <w:rPr>
          <w:sz w:val="26"/>
          <w:szCs w:val="26"/>
          <w:u w:val="single"/>
          <w:rtl/>
          <w:lang w:bidi="ar-SA"/>
        </w:rPr>
        <w:t>إدارة إزالة المواد الهيدروكلوروفلوروكربونية</w:t>
      </w:r>
    </w:p>
    <w:p w14:paraId="44643710" w14:textId="77777777" w:rsidR="002A1551" w:rsidRDefault="00D47AF8" w:rsidP="00C0524B">
      <w:pPr>
        <w:pStyle w:val="Heading1"/>
        <w:numPr>
          <w:ilvl w:val="0"/>
          <w:numId w:val="11"/>
        </w:numPr>
        <w:bidi/>
        <w:ind w:left="794" w:hanging="794"/>
        <w:rPr>
          <w:sz w:val="26"/>
          <w:szCs w:val="26"/>
          <w:rtl/>
        </w:rPr>
      </w:pPr>
      <w:r w:rsidRPr="00D47AF8">
        <w:rPr>
          <w:sz w:val="26"/>
          <w:szCs w:val="26"/>
          <w:rtl/>
        </w:rPr>
        <w:t>أشارت اليونيدو إلى أنه من المقرر أن تكتمل جميع الأنشطة التي تنفذها اليونيب واليونيدو في إطار المرحلة الأولى من خطة إدارة إزالة المواد الهيدروكلوروفلوروكربونية لغواتيمالا بحلول ديسمبر/كانون الأول 2021، على النحو المنصوص عليه في الاتفاقية.</w:t>
      </w:r>
    </w:p>
    <w:p w14:paraId="53C9EE02" w14:textId="77777777" w:rsidR="00106E2B" w:rsidRDefault="00106E2B">
      <w:pPr>
        <w:jc w:val="left"/>
        <w:rPr>
          <w:sz w:val="26"/>
          <w:szCs w:val="26"/>
          <w:u w:val="single"/>
          <w:rtl/>
        </w:rPr>
      </w:pPr>
      <w:r>
        <w:rPr>
          <w:sz w:val="26"/>
          <w:szCs w:val="26"/>
          <w:u w:val="single"/>
          <w:rtl/>
        </w:rPr>
        <w:br w:type="page"/>
      </w:r>
    </w:p>
    <w:p w14:paraId="53A12E96" w14:textId="3FCDC34B" w:rsidR="006524CF" w:rsidRPr="004915E9" w:rsidRDefault="006524CF" w:rsidP="006524CF">
      <w:pPr>
        <w:pStyle w:val="Heading1"/>
        <w:numPr>
          <w:ilvl w:val="0"/>
          <w:numId w:val="0"/>
        </w:numPr>
        <w:bidi/>
        <w:rPr>
          <w:sz w:val="26"/>
          <w:szCs w:val="26"/>
          <w:u w:val="single"/>
          <w:rtl/>
        </w:rPr>
      </w:pPr>
      <w:r>
        <w:rPr>
          <w:rFonts w:hint="cs"/>
          <w:sz w:val="26"/>
          <w:szCs w:val="26"/>
          <w:u w:val="single"/>
          <w:rtl/>
        </w:rPr>
        <w:lastRenderedPageBreak/>
        <w:t>الخلاصة</w:t>
      </w:r>
    </w:p>
    <w:p w14:paraId="69851F29" w14:textId="77777777" w:rsidR="002A1551" w:rsidRDefault="00BA2566" w:rsidP="005172D9">
      <w:pPr>
        <w:pStyle w:val="Heading1"/>
        <w:numPr>
          <w:ilvl w:val="0"/>
          <w:numId w:val="11"/>
        </w:numPr>
        <w:bidi/>
        <w:ind w:left="794" w:hanging="794"/>
        <w:rPr>
          <w:sz w:val="26"/>
          <w:szCs w:val="26"/>
          <w:rtl/>
        </w:rPr>
      </w:pPr>
      <w:r w:rsidRPr="00BA2566">
        <w:rPr>
          <w:sz w:val="26"/>
          <w:szCs w:val="26"/>
          <w:rtl/>
        </w:rPr>
        <w:t>عكفت حكومة غواتيمالا على التنفيذ الفعال لنظامها الخاص بإصدار تراخيص الاستيراد والتصدير للمواد الهيدروكلوروفلوروكربونية وحافظت على امتثالها لبروتوكول مونتريال واتفاقها مع اللجنة التنفيذية</w:t>
      </w:r>
      <w:r>
        <w:rPr>
          <w:rFonts w:hint="cs"/>
          <w:sz w:val="26"/>
          <w:szCs w:val="26"/>
          <w:rtl/>
        </w:rPr>
        <w:t xml:space="preserve"> المتعلق</w:t>
      </w:r>
      <w:r w:rsidR="001F590E">
        <w:rPr>
          <w:sz w:val="26"/>
          <w:szCs w:val="26"/>
          <w:rtl/>
        </w:rPr>
        <w:t xml:space="preserve"> بنسبة استهلاك</w:t>
      </w:r>
      <w:r w:rsidR="005172D9">
        <w:rPr>
          <w:rFonts w:hint="cs"/>
          <w:sz w:val="26"/>
          <w:szCs w:val="26"/>
          <w:rtl/>
        </w:rPr>
        <w:t xml:space="preserve"> </w:t>
      </w:r>
      <w:r>
        <w:rPr>
          <w:rFonts w:hint="cs"/>
          <w:sz w:val="26"/>
          <w:szCs w:val="26"/>
          <w:rtl/>
        </w:rPr>
        <w:t xml:space="preserve">المواد </w:t>
      </w:r>
      <w:r w:rsidRPr="00BA2566">
        <w:rPr>
          <w:sz w:val="26"/>
          <w:szCs w:val="26"/>
          <w:rtl/>
        </w:rPr>
        <w:t xml:space="preserve">الهيدروكلوروفلوروكربونية </w:t>
      </w:r>
      <w:r>
        <w:rPr>
          <w:rFonts w:hint="cs"/>
          <w:sz w:val="26"/>
          <w:szCs w:val="26"/>
          <w:rtl/>
        </w:rPr>
        <w:t>بأقل</w:t>
      </w:r>
      <w:r w:rsidR="005172D9">
        <w:rPr>
          <w:rFonts w:hint="cs"/>
          <w:sz w:val="26"/>
          <w:szCs w:val="26"/>
          <w:rtl/>
        </w:rPr>
        <w:t xml:space="preserve"> </w:t>
      </w:r>
      <w:r w:rsidR="002D2346">
        <w:rPr>
          <w:rFonts w:hint="cs"/>
          <w:sz w:val="26"/>
          <w:szCs w:val="26"/>
          <w:rtl/>
        </w:rPr>
        <w:t xml:space="preserve">من </w:t>
      </w:r>
      <w:r w:rsidRPr="00BA2566">
        <w:rPr>
          <w:sz w:val="26"/>
          <w:szCs w:val="26"/>
          <w:rtl/>
        </w:rPr>
        <w:t xml:space="preserve">62 في المائة من خط أساس الامتثال في عام 2019. كما واصلت غواتيمالا تحسين نظامها القانوني المتعلق بالمواد المستنفدة لقدرات الأوزون مع الحفاظ على حظر تصنيع واستيراد المعدات والمنتجات التي تحتوي على المواد الهيدروكلوروفلوروكربونية. ورغم بعض التأخير، إلا أنه من المتوقع أن يتم فرض حظر على استيراد كميات كبيرة من الهيدروكلوروفلوروكربون-141ب </w:t>
      </w:r>
      <w:r w:rsidR="0026564C">
        <w:rPr>
          <w:rFonts w:hint="cs"/>
          <w:sz w:val="26"/>
          <w:szCs w:val="26"/>
          <w:rtl/>
        </w:rPr>
        <w:t>الموجود</w:t>
      </w:r>
      <w:r w:rsidRPr="00BA2566">
        <w:rPr>
          <w:sz w:val="26"/>
          <w:szCs w:val="26"/>
          <w:rtl/>
        </w:rPr>
        <w:t xml:space="preserve"> في البوليولات مسبقة الخلط بحلول أكتوبر/تشرين الأول 2020. واستمرت الأنشطة في قطاع خدمة التبريد من خلال توزيع المعدات على مراكز التدريب وتقديم التدريب الإضافي للفنيين. ويتم تنفيذ برنامج المستخدم النهائي الذي يهدف إلى الحد من تسرب غازات التبريد. ويبلغ المستوى الإجمالي للصرف نسبة 87 في المائة من </w:t>
      </w:r>
      <w:r w:rsidR="005172D9">
        <w:rPr>
          <w:rFonts w:hint="cs"/>
          <w:sz w:val="26"/>
          <w:szCs w:val="26"/>
          <w:rtl/>
        </w:rPr>
        <w:t>التمويل الموافق عليه</w:t>
      </w:r>
      <w:r w:rsidRPr="00BA2566">
        <w:rPr>
          <w:sz w:val="26"/>
          <w:szCs w:val="26"/>
          <w:rtl/>
        </w:rPr>
        <w:t xml:space="preserve"> حتى الآن.</w:t>
      </w:r>
    </w:p>
    <w:p w14:paraId="33094C99" w14:textId="77777777" w:rsidR="0030673F" w:rsidRPr="003D6D3B" w:rsidRDefault="003D6D3B" w:rsidP="0030673F">
      <w:pPr>
        <w:pStyle w:val="Heading1"/>
        <w:numPr>
          <w:ilvl w:val="0"/>
          <w:numId w:val="0"/>
        </w:numPr>
        <w:bidi/>
        <w:rPr>
          <w:b/>
          <w:bCs/>
          <w:sz w:val="26"/>
          <w:szCs w:val="26"/>
          <w:rtl/>
        </w:rPr>
      </w:pPr>
      <w:r w:rsidRPr="003D6D3B">
        <w:rPr>
          <w:rFonts w:hint="cs"/>
          <w:b/>
          <w:bCs/>
          <w:sz w:val="26"/>
          <w:szCs w:val="26"/>
          <w:rtl/>
        </w:rPr>
        <w:t>التوصيات</w:t>
      </w:r>
    </w:p>
    <w:p w14:paraId="06CC6838" w14:textId="77777777" w:rsidR="0030673F" w:rsidRDefault="003F1119" w:rsidP="00C0524B">
      <w:pPr>
        <w:pStyle w:val="Heading1"/>
        <w:numPr>
          <w:ilvl w:val="0"/>
          <w:numId w:val="11"/>
        </w:numPr>
        <w:bidi/>
        <w:ind w:left="794" w:hanging="794"/>
        <w:rPr>
          <w:sz w:val="26"/>
          <w:szCs w:val="26"/>
          <w:rtl/>
        </w:rPr>
      </w:pPr>
      <w:r w:rsidRPr="003F1119">
        <w:rPr>
          <w:sz w:val="26"/>
          <w:szCs w:val="26"/>
          <w:rtl/>
        </w:rPr>
        <w:t>توصي أمانة الصندوق بأن تحيط اللجنة التنفيذية علماً بالتقرير المرحلي المتعلق بتنفيذ الشريحة الرابعة من المرحلة الأولى من خطة إدارة إزالة المواد الهيدروكلوروفلوروكربونية لغواتيمالا، وتوصي كذلك بالموافقة الشاملة على الشريحة الخامسة والأخيرة من المرحلة الأولى من خطة إدارة إزالة المواد الهيدروكلوروفلوروكربونية لغواتيمالا، وخطة تنفيذ الشريحة المقابلة 2020-2021، على مستوى التمويل الموضح</w:t>
      </w:r>
      <w:r>
        <w:rPr>
          <w:rFonts w:hint="cs"/>
          <w:sz w:val="26"/>
          <w:szCs w:val="26"/>
          <w:rtl/>
        </w:rPr>
        <w:t>ة</w:t>
      </w:r>
      <w:r w:rsidRPr="003F1119">
        <w:rPr>
          <w:sz w:val="26"/>
          <w:szCs w:val="26"/>
          <w:rtl/>
        </w:rPr>
        <w:t xml:space="preserve"> في الجدول أدناه، على</w:t>
      </w:r>
      <w:r>
        <w:rPr>
          <w:rFonts w:hint="cs"/>
          <w:sz w:val="26"/>
          <w:szCs w:val="26"/>
          <w:rtl/>
        </w:rPr>
        <w:t xml:space="preserve"> أساس</w:t>
      </w:r>
      <w:r w:rsidRPr="003F1119">
        <w:rPr>
          <w:sz w:val="26"/>
          <w:szCs w:val="26"/>
          <w:rtl/>
        </w:rPr>
        <w:t xml:space="preserve"> تفهم أنه:</w:t>
      </w:r>
    </w:p>
    <w:p w14:paraId="6AC6EFA1" w14:textId="77777777" w:rsidR="0030673F" w:rsidRDefault="00654FBE" w:rsidP="00C0524B">
      <w:pPr>
        <w:pStyle w:val="Heading1"/>
        <w:numPr>
          <w:ilvl w:val="0"/>
          <w:numId w:val="15"/>
        </w:numPr>
        <w:bidi/>
        <w:ind w:left="1588" w:hanging="794"/>
        <w:rPr>
          <w:sz w:val="26"/>
          <w:szCs w:val="26"/>
          <w:rtl/>
        </w:rPr>
      </w:pPr>
      <w:r w:rsidRPr="000A4E5B">
        <w:rPr>
          <w:sz w:val="26"/>
          <w:szCs w:val="26"/>
          <w:rtl/>
          <w:lang w:val="en-CA"/>
        </w:rPr>
        <w:t>سيُطلب إلى أمين الخزانة تحويل الأموال إلى اليونيد</w:t>
      </w:r>
      <w:r>
        <w:rPr>
          <w:sz w:val="26"/>
          <w:szCs w:val="26"/>
          <w:rtl/>
          <w:lang w:val="en-CA"/>
        </w:rPr>
        <w:t>و عند الموافقة</w:t>
      </w:r>
      <w:r w:rsidRPr="000A4E5B">
        <w:rPr>
          <w:sz w:val="26"/>
          <w:szCs w:val="26"/>
          <w:rtl/>
          <w:lang w:val="en-CA"/>
        </w:rPr>
        <w:t>؛</w:t>
      </w:r>
    </w:p>
    <w:p w14:paraId="6CE3D1AC" w14:textId="77777777" w:rsidR="0030673F" w:rsidRDefault="00654FBE" w:rsidP="00654FBE">
      <w:pPr>
        <w:pStyle w:val="Heading1"/>
        <w:numPr>
          <w:ilvl w:val="0"/>
          <w:numId w:val="15"/>
        </w:numPr>
        <w:bidi/>
        <w:ind w:left="1588" w:hanging="794"/>
        <w:rPr>
          <w:sz w:val="26"/>
          <w:szCs w:val="26"/>
          <w:rtl/>
        </w:rPr>
      </w:pPr>
      <w:r w:rsidRPr="00654FBE">
        <w:rPr>
          <w:sz w:val="26"/>
          <w:szCs w:val="26"/>
          <w:rtl/>
        </w:rPr>
        <w:t>التزمت اليونيدو بتقديم تقرير التحقق إلى الأمانة في موعد أقصاه 12 أسبوعاً قبل الاجتماع السادس والثمانين؛</w:t>
      </w:r>
    </w:p>
    <w:p w14:paraId="7AEF99C2" w14:textId="77777777" w:rsidR="0030673F" w:rsidRDefault="00654FBE" w:rsidP="00C0524B">
      <w:pPr>
        <w:pStyle w:val="Heading1"/>
        <w:numPr>
          <w:ilvl w:val="0"/>
          <w:numId w:val="15"/>
        </w:numPr>
        <w:bidi/>
        <w:ind w:left="1588" w:hanging="794"/>
        <w:rPr>
          <w:sz w:val="26"/>
          <w:szCs w:val="26"/>
          <w:rtl/>
        </w:rPr>
      </w:pPr>
      <w:r w:rsidRPr="00654FBE">
        <w:rPr>
          <w:sz w:val="26"/>
          <w:szCs w:val="26"/>
          <w:rtl/>
        </w:rPr>
        <w:t>سيتم تناول التوصيات الواردة في تقرير التحقق أثناء تنفيذ الشريحة الخامسة من المرحلة الأولى من خطة إدارة إزالة المواد الهيدروكلوروفلوروكربونية، وسيتم إدراج الإجراءات المنفذة لتحقيق هذا الهدف في التقرير المرحلي للمرحلة الأولى من خطة إدارة إزالة المواد الهيدروكلوروفلوروكربونية التي ستقدم كجزء من طلب البلد للمرحلة الثانية من خطة إدارة إزالة المواد الهيدروكلوروفلوروكربونية لغواتيمالا؛ و</w:t>
      </w:r>
    </w:p>
    <w:p w14:paraId="54EAA56E" w14:textId="77777777" w:rsidR="0030673F" w:rsidRDefault="00927AFF" w:rsidP="00C0524B">
      <w:pPr>
        <w:pStyle w:val="Heading1"/>
        <w:numPr>
          <w:ilvl w:val="0"/>
          <w:numId w:val="15"/>
        </w:numPr>
        <w:bidi/>
        <w:ind w:left="1588" w:hanging="794"/>
        <w:rPr>
          <w:sz w:val="26"/>
          <w:szCs w:val="26"/>
          <w:rtl/>
        </w:rPr>
      </w:pPr>
      <w:r>
        <w:rPr>
          <w:sz w:val="26"/>
          <w:szCs w:val="26"/>
          <w:rtl/>
          <w:lang w:val="en-CA"/>
        </w:rPr>
        <w:t>في حال</w:t>
      </w:r>
      <w:r w:rsidRPr="000A4E5B">
        <w:rPr>
          <w:sz w:val="26"/>
          <w:szCs w:val="26"/>
          <w:rtl/>
          <w:lang w:val="en-CA"/>
        </w:rPr>
        <w:t xml:space="preserve"> تأكيد تقرير التحقق أن غواتيمالا لم تمتثل لبروتوكول مونتريال واتفاقها مع اللجنة التنفيذية</w:t>
      </w:r>
      <w:r>
        <w:rPr>
          <w:rFonts w:hint="cs"/>
          <w:sz w:val="26"/>
          <w:szCs w:val="26"/>
          <w:rtl/>
          <w:lang w:val="en-CA"/>
        </w:rPr>
        <w:t xml:space="preserve">، </w:t>
      </w:r>
      <w:r w:rsidRPr="000A4E5B">
        <w:rPr>
          <w:sz w:val="26"/>
          <w:szCs w:val="26"/>
          <w:rtl/>
          <w:lang w:val="en-CA"/>
        </w:rPr>
        <w:t>ستقوم الأمانة بإبلاغ اللجنة التنفيذية بحيث يم</w:t>
      </w:r>
      <w:r>
        <w:rPr>
          <w:sz w:val="26"/>
          <w:szCs w:val="26"/>
          <w:rtl/>
          <w:lang w:val="en-CA"/>
        </w:rPr>
        <w:t>كن النظر في الإجراءات ذات الصلة</w:t>
      </w:r>
      <w:r>
        <w:rPr>
          <w:rFonts w:hint="cs"/>
          <w:sz w:val="26"/>
          <w:szCs w:val="26"/>
          <w:rtl/>
          <w:lang w:val="en-CA"/>
        </w:rPr>
        <w:t xml:space="preserve"> التي تشمل</w:t>
      </w:r>
      <w:r>
        <w:rPr>
          <w:sz w:val="26"/>
          <w:szCs w:val="26"/>
          <w:rtl/>
          <w:lang w:val="en-CA"/>
        </w:rPr>
        <w:t>، من بين أمور أخرى، تطبيق ا</w:t>
      </w:r>
      <w:r w:rsidR="0026564C">
        <w:rPr>
          <w:rFonts w:hint="cs"/>
          <w:sz w:val="26"/>
          <w:szCs w:val="26"/>
          <w:rtl/>
          <w:lang w:val="en-CA"/>
        </w:rPr>
        <w:t>لبند</w:t>
      </w:r>
      <w:r>
        <w:rPr>
          <w:sz w:val="26"/>
          <w:szCs w:val="26"/>
          <w:rtl/>
          <w:lang w:val="en-CA"/>
        </w:rPr>
        <w:t xml:space="preserve"> الجزائي</w:t>
      </w:r>
      <w:r w:rsidRPr="000A4E5B">
        <w:rPr>
          <w:sz w:val="26"/>
          <w:szCs w:val="26"/>
          <w:rtl/>
          <w:lang w:val="en-CA"/>
        </w:rPr>
        <w:t>، في الاجتماع السادس والثمانين:</w:t>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590"/>
        <w:gridCol w:w="1446"/>
        <w:gridCol w:w="1446"/>
        <w:gridCol w:w="1446"/>
      </w:tblGrid>
      <w:tr w:rsidR="00A96734" w:rsidRPr="00FE3307" w14:paraId="40588683" w14:textId="77777777" w:rsidTr="00A96734">
        <w:tc>
          <w:tcPr>
            <w:tcW w:w="517" w:type="dxa"/>
          </w:tcPr>
          <w:p w14:paraId="48D953D6" w14:textId="77777777" w:rsidR="00A96734" w:rsidRPr="00FE3307" w:rsidRDefault="00A96734" w:rsidP="00A96734">
            <w:pPr>
              <w:bidi/>
              <w:jc w:val="center"/>
              <w:rPr>
                <w:b/>
                <w:bCs/>
                <w:sz w:val="20"/>
                <w:lang w:val="en-CA"/>
              </w:rPr>
            </w:pPr>
          </w:p>
        </w:tc>
        <w:tc>
          <w:tcPr>
            <w:tcW w:w="4590" w:type="dxa"/>
            <w:vAlign w:val="center"/>
          </w:tcPr>
          <w:p w14:paraId="547221A4" w14:textId="77777777" w:rsidR="00A96734" w:rsidRPr="00FE3307" w:rsidRDefault="00A96734" w:rsidP="00A96734">
            <w:pPr>
              <w:bidi/>
              <w:jc w:val="center"/>
              <w:rPr>
                <w:b/>
                <w:bCs/>
                <w:sz w:val="20"/>
                <w:lang w:val="en-CA"/>
              </w:rPr>
            </w:pPr>
            <w:r w:rsidRPr="001F590E">
              <w:rPr>
                <w:rFonts w:hint="cs"/>
                <w:b/>
                <w:bCs/>
                <w:sz w:val="20"/>
                <w:rtl/>
                <w:lang w:val="en-CA"/>
              </w:rPr>
              <w:t>عنوان</w:t>
            </w:r>
            <w:r>
              <w:rPr>
                <w:rFonts w:hint="cs"/>
                <w:b/>
                <w:bCs/>
                <w:sz w:val="20"/>
                <w:rtl/>
                <w:lang w:val="en-CA"/>
              </w:rPr>
              <w:t xml:space="preserve"> المشروع</w:t>
            </w:r>
          </w:p>
        </w:tc>
        <w:tc>
          <w:tcPr>
            <w:tcW w:w="1446" w:type="dxa"/>
            <w:tcMar>
              <w:left w:w="29" w:type="dxa"/>
              <w:right w:w="29" w:type="dxa"/>
            </w:tcMar>
            <w:vAlign w:val="center"/>
          </w:tcPr>
          <w:p w14:paraId="398175CF" w14:textId="77777777" w:rsidR="00A96734" w:rsidRPr="00FE3307" w:rsidRDefault="00A96734" w:rsidP="00A96734">
            <w:pPr>
              <w:bidi/>
              <w:jc w:val="center"/>
              <w:rPr>
                <w:b/>
                <w:bCs/>
                <w:sz w:val="20"/>
                <w:lang w:val="en-CA"/>
              </w:rPr>
            </w:pPr>
            <w:r w:rsidRPr="008F2258">
              <w:rPr>
                <w:b/>
                <w:bCs/>
                <w:sz w:val="20"/>
                <w:rtl/>
                <w:lang w:val="en-US" w:bidi="ar-LB"/>
              </w:rPr>
              <w:t>تمويل المشروع (دولار أمريكي)</w:t>
            </w:r>
          </w:p>
        </w:tc>
        <w:tc>
          <w:tcPr>
            <w:tcW w:w="1446" w:type="dxa"/>
            <w:tcMar>
              <w:left w:w="29" w:type="dxa"/>
              <w:right w:w="29" w:type="dxa"/>
            </w:tcMar>
            <w:vAlign w:val="center"/>
          </w:tcPr>
          <w:p w14:paraId="369148E3" w14:textId="77777777" w:rsidR="00A96734" w:rsidRPr="00FE3307" w:rsidRDefault="00A96734" w:rsidP="00A96734">
            <w:pPr>
              <w:bidi/>
              <w:jc w:val="center"/>
              <w:rPr>
                <w:b/>
                <w:bCs/>
                <w:sz w:val="20"/>
                <w:lang w:val="en-CA"/>
              </w:rPr>
            </w:pPr>
            <w:r w:rsidRPr="008F2258">
              <w:rPr>
                <w:b/>
                <w:bCs/>
                <w:sz w:val="20"/>
                <w:rtl/>
                <w:lang w:val="en-US" w:bidi="ar-LB"/>
              </w:rPr>
              <w:t>تكاليف الدعم (دولار أمريكي)</w:t>
            </w:r>
          </w:p>
        </w:tc>
        <w:tc>
          <w:tcPr>
            <w:tcW w:w="1446" w:type="dxa"/>
            <w:tcMar>
              <w:left w:w="29" w:type="dxa"/>
              <w:right w:w="29" w:type="dxa"/>
            </w:tcMar>
            <w:vAlign w:val="center"/>
          </w:tcPr>
          <w:p w14:paraId="7EA5F943" w14:textId="77777777" w:rsidR="00A96734" w:rsidRPr="00FE3307" w:rsidRDefault="00A96734" w:rsidP="00A96734">
            <w:pPr>
              <w:bidi/>
              <w:jc w:val="center"/>
              <w:rPr>
                <w:b/>
                <w:bCs/>
                <w:sz w:val="20"/>
                <w:lang w:val="en-CA"/>
              </w:rPr>
            </w:pPr>
            <w:r w:rsidRPr="00A96734">
              <w:rPr>
                <w:b/>
                <w:bCs/>
                <w:sz w:val="20"/>
                <w:rtl/>
                <w:lang w:val="en-CA" w:bidi="ar-LB"/>
              </w:rPr>
              <w:t>الوكالة المنفذة</w:t>
            </w:r>
          </w:p>
        </w:tc>
      </w:tr>
      <w:tr w:rsidR="00A96734" w:rsidRPr="00FE3307" w14:paraId="19D93B43" w14:textId="77777777" w:rsidTr="00A96734">
        <w:tc>
          <w:tcPr>
            <w:tcW w:w="517" w:type="dxa"/>
          </w:tcPr>
          <w:p w14:paraId="1F2D1D25" w14:textId="77777777" w:rsidR="00A96734" w:rsidRPr="00FE3307" w:rsidRDefault="00A96734" w:rsidP="00A96734">
            <w:pPr>
              <w:bidi/>
              <w:rPr>
                <w:sz w:val="20"/>
                <w:lang w:val="en-CA"/>
              </w:rPr>
            </w:pPr>
            <w:r>
              <w:rPr>
                <w:rFonts w:hint="cs"/>
                <w:sz w:val="20"/>
                <w:rtl/>
                <w:lang w:val="en-CA"/>
              </w:rPr>
              <w:t>(أ)</w:t>
            </w:r>
          </w:p>
        </w:tc>
        <w:tc>
          <w:tcPr>
            <w:tcW w:w="4590" w:type="dxa"/>
          </w:tcPr>
          <w:p w14:paraId="20C3C7D8" w14:textId="77777777" w:rsidR="00A96734" w:rsidRPr="00FE3307" w:rsidRDefault="0075210F" w:rsidP="0075210F">
            <w:pPr>
              <w:bidi/>
              <w:rPr>
                <w:sz w:val="20"/>
                <w:lang w:val="en-CA"/>
              </w:rPr>
            </w:pPr>
            <w:r w:rsidRPr="0075210F">
              <w:rPr>
                <w:sz w:val="20"/>
                <w:rtl/>
                <w:lang w:val="en-CA"/>
              </w:rPr>
              <w:t xml:space="preserve">خطة إدارة إزالة المواد الهيدروكلوروفلوروكربونية (المرحلة الأولى، الشريحة الخامسة) </w:t>
            </w:r>
          </w:p>
        </w:tc>
        <w:tc>
          <w:tcPr>
            <w:tcW w:w="1446" w:type="dxa"/>
          </w:tcPr>
          <w:p w14:paraId="11D6742D" w14:textId="77777777" w:rsidR="00A96734" w:rsidRPr="00F7289A" w:rsidRDefault="00A96734" w:rsidP="00A96734">
            <w:pPr>
              <w:bidi/>
              <w:jc w:val="center"/>
              <w:rPr>
                <w:sz w:val="20"/>
                <w:highlight w:val="cyan"/>
                <w:lang w:val="en-CA"/>
              </w:rPr>
            </w:pPr>
            <w:r>
              <w:rPr>
                <w:rFonts w:hint="cs"/>
                <w:sz w:val="20"/>
                <w:rtl/>
              </w:rPr>
              <w:t>33,000</w:t>
            </w:r>
          </w:p>
        </w:tc>
        <w:tc>
          <w:tcPr>
            <w:tcW w:w="1446" w:type="dxa"/>
          </w:tcPr>
          <w:p w14:paraId="6B33997E" w14:textId="77777777" w:rsidR="00A96734" w:rsidRPr="00F7289A" w:rsidRDefault="00A96734" w:rsidP="00A96734">
            <w:pPr>
              <w:bidi/>
              <w:jc w:val="center"/>
              <w:rPr>
                <w:sz w:val="20"/>
                <w:lang w:val="en-CA"/>
              </w:rPr>
            </w:pPr>
            <w:r>
              <w:rPr>
                <w:rFonts w:hint="cs"/>
                <w:sz w:val="20"/>
                <w:rtl/>
              </w:rPr>
              <w:t>2,475</w:t>
            </w:r>
          </w:p>
        </w:tc>
        <w:tc>
          <w:tcPr>
            <w:tcW w:w="1446" w:type="dxa"/>
          </w:tcPr>
          <w:p w14:paraId="35946AFD" w14:textId="77777777" w:rsidR="00A96734" w:rsidRPr="00F7289A" w:rsidRDefault="00A96734" w:rsidP="00A96734">
            <w:pPr>
              <w:bidi/>
              <w:jc w:val="center"/>
              <w:rPr>
                <w:sz w:val="20"/>
                <w:lang w:val="en-CA"/>
              </w:rPr>
            </w:pPr>
            <w:r>
              <w:rPr>
                <w:rFonts w:hint="cs"/>
                <w:sz w:val="20"/>
                <w:rtl/>
                <w:lang w:val="en-CA"/>
              </w:rPr>
              <w:t>اليونيدو</w:t>
            </w:r>
          </w:p>
        </w:tc>
      </w:tr>
    </w:tbl>
    <w:p w14:paraId="3DC33A87" w14:textId="77777777" w:rsidR="00A96734" w:rsidRDefault="00A96734" w:rsidP="00A96734">
      <w:pPr>
        <w:bidi/>
        <w:rPr>
          <w:rtl/>
          <w:lang w:val="en-CA"/>
        </w:rPr>
      </w:pPr>
    </w:p>
    <w:p w14:paraId="05A927EF" w14:textId="77777777" w:rsidR="00D84A68" w:rsidRDefault="00D84A68" w:rsidP="00D84A68">
      <w:pPr>
        <w:bidi/>
        <w:rPr>
          <w:rtl/>
          <w:lang w:val="en-CA"/>
        </w:rPr>
      </w:pPr>
    </w:p>
    <w:p w14:paraId="456DBBF6" w14:textId="77777777" w:rsidR="00D84A68" w:rsidRPr="00A96734" w:rsidRDefault="00D84A68" w:rsidP="00D84A68">
      <w:pPr>
        <w:bidi/>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96734" w14:paraId="2FF1FAC3" w14:textId="77777777" w:rsidTr="00A353E9">
        <w:tc>
          <w:tcPr>
            <w:tcW w:w="1871" w:type="dxa"/>
          </w:tcPr>
          <w:p w14:paraId="1DD0B8CA" w14:textId="77777777" w:rsidR="00A96734" w:rsidRDefault="00A96734" w:rsidP="00A353E9"/>
        </w:tc>
        <w:tc>
          <w:tcPr>
            <w:tcW w:w="1872" w:type="dxa"/>
          </w:tcPr>
          <w:p w14:paraId="6B4DF0DA" w14:textId="77777777" w:rsidR="00A96734" w:rsidRDefault="00A96734" w:rsidP="00A353E9"/>
        </w:tc>
        <w:tc>
          <w:tcPr>
            <w:tcW w:w="1872" w:type="dxa"/>
            <w:tcBorders>
              <w:bottom w:val="single" w:sz="4" w:space="0" w:color="auto"/>
            </w:tcBorders>
          </w:tcPr>
          <w:p w14:paraId="281DC260" w14:textId="77777777" w:rsidR="00A96734" w:rsidRDefault="00A96734" w:rsidP="00A353E9"/>
        </w:tc>
        <w:tc>
          <w:tcPr>
            <w:tcW w:w="1872" w:type="dxa"/>
          </w:tcPr>
          <w:p w14:paraId="18B69500" w14:textId="77777777" w:rsidR="00A96734" w:rsidRDefault="00A96734" w:rsidP="00A353E9"/>
        </w:tc>
        <w:tc>
          <w:tcPr>
            <w:tcW w:w="1873" w:type="dxa"/>
          </w:tcPr>
          <w:p w14:paraId="2F7ED65A" w14:textId="77777777" w:rsidR="00A96734" w:rsidRDefault="00A96734" w:rsidP="00A353E9"/>
        </w:tc>
      </w:tr>
    </w:tbl>
    <w:p w14:paraId="712DC9ED" w14:textId="77777777" w:rsidR="00A96734" w:rsidRDefault="00A96734" w:rsidP="00A96734">
      <w:pPr>
        <w:bidi/>
        <w:rPr>
          <w:rtl/>
          <w:lang w:val="en-CA"/>
        </w:rPr>
      </w:pPr>
    </w:p>
    <w:sectPr w:rsidR="00A96734" w:rsidSect="00A96734">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55361" w14:textId="77777777" w:rsidR="00C973CE" w:rsidRDefault="00C973CE">
      <w:r>
        <w:separator/>
      </w:r>
    </w:p>
  </w:endnote>
  <w:endnote w:type="continuationSeparator" w:id="0">
    <w:p w14:paraId="51E95573" w14:textId="77777777" w:rsidR="00C973CE" w:rsidRDefault="00C9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6B9F" w14:textId="77777777" w:rsidR="00B2547B" w:rsidRDefault="007C4BE8" w:rsidP="00800EF5">
    <w:pPr>
      <w:bidi/>
      <w:jc w:val="center"/>
    </w:pPr>
    <w:r>
      <w:fldChar w:fldCharType="begin"/>
    </w:r>
    <w:r w:rsidR="00B2547B">
      <w:instrText xml:space="preserve"> PAGE </w:instrText>
    </w:r>
    <w:r>
      <w:fldChar w:fldCharType="separate"/>
    </w:r>
    <w:r w:rsidR="00EB5527">
      <w:rPr>
        <w:noProof/>
        <w:rtl/>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6455" w14:textId="77777777" w:rsidR="00B2547B" w:rsidRDefault="007C4BE8" w:rsidP="001F2637">
    <w:pPr>
      <w:bidi/>
      <w:jc w:val="center"/>
    </w:pPr>
    <w:r>
      <w:fldChar w:fldCharType="begin"/>
    </w:r>
    <w:r w:rsidR="00B2547B">
      <w:instrText xml:space="preserve"> PAGE </w:instrText>
    </w:r>
    <w:r>
      <w:fldChar w:fldCharType="separate"/>
    </w:r>
    <w:r w:rsidR="00EB5527">
      <w:rPr>
        <w:noProof/>
        <w:rtl/>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98752022"/>
      <w:docPartObj>
        <w:docPartGallery w:val="Page Numbers (Bottom of Page)"/>
        <w:docPartUnique/>
      </w:docPartObj>
    </w:sdtPr>
    <w:sdtEndPr>
      <w:rPr>
        <w:noProof/>
      </w:rPr>
    </w:sdtEndPr>
    <w:sdtContent>
      <w:sdt>
        <w:sdtPr>
          <w:rPr>
            <w:rtl/>
          </w:rPr>
          <w:id w:val="86889344"/>
          <w:docPartObj>
            <w:docPartGallery w:val="Page Numbers (Bottom of Page)"/>
            <w:docPartUnique/>
          </w:docPartObj>
        </w:sdtPr>
        <w:sdtEndPr>
          <w:rPr>
            <w:noProof/>
          </w:rPr>
        </w:sdtEndPr>
        <w:sdtContent>
          <w:sdt>
            <w:sdtPr>
              <w:rPr>
                <w:rtl/>
              </w:rPr>
              <w:id w:val="5724988"/>
              <w:docPartObj>
                <w:docPartGallery w:val="Page Numbers (Bottom of Page)"/>
                <w:docPartUnique/>
              </w:docPartObj>
            </w:sdtPr>
            <w:sdtEndPr>
              <w:rPr>
                <w:noProof/>
              </w:rPr>
            </w:sdtEndPr>
            <w:sdtContent>
              <w:sdt>
                <w:sdtPr>
                  <w:rPr>
                    <w:rtl/>
                  </w:rPr>
                  <w:id w:val="124363979"/>
                  <w:docPartObj>
                    <w:docPartGallery w:val="Page Numbers (Bottom of Page)"/>
                    <w:docPartUnique/>
                  </w:docPartObj>
                </w:sdtPr>
                <w:sdtEndPr>
                  <w:rPr>
                    <w:noProof/>
                  </w:rPr>
                </w:sdtEndPr>
                <w:sdtContent>
                  <w:p w14:paraId="4F9AE06F" w14:textId="77777777" w:rsidR="00732E1E" w:rsidRDefault="00732E1E" w:rsidP="00732E1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p>
                  <w:p w14:paraId="03A0E7EE" w14:textId="77777777" w:rsidR="00B2547B" w:rsidRPr="00732E1E" w:rsidRDefault="00732E1E" w:rsidP="00732E1E">
                    <w:pPr>
                      <w:pBdr>
                        <w:top w:val="single" w:sz="4" w:space="1" w:color="auto"/>
                        <w:left w:val="single" w:sz="4" w:space="0" w:color="auto"/>
                        <w:bottom w:val="single" w:sz="4" w:space="1" w:color="auto"/>
                        <w:right w:val="single" w:sz="4" w:space="0" w:color="auto"/>
                      </w:pBdr>
                      <w:bidi/>
                      <w:jc w:val="center"/>
                      <w:rPr>
                        <w:noProof/>
                      </w:rPr>
                    </w:pPr>
                    <w:r>
                      <w:rPr>
                        <w:rFonts w:cs="Arabic Transparent" w:hint="cs"/>
                        <w:rtl/>
                      </w:rPr>
                      <w:t>قد تصدر دون إخلال بأي قرار تتخذه اللجنة التنفيذية بعد صدورها.</w:t>
                    </w:r>
                  </w:p>
                </w:sdtContent>
              </w:sdt>
            </w:sdtContent>
          </w:sdt>
        </w:sdtContent>
      </w:sdt>
      <w:p w14:paraId="4EEE54A0" w14:textId="77777777" w:rsidR="00B2547B" w:rsidRDefault="007C4BE8" w:rsidP="00B63EF9">
        <w:pPr>
          <w:pStyle w:val="Footer"/>
          <w:bidi/>
          <w:jc w:val="center"/>
        </w:pPr>
        <w:r>
          <w:fldChar w:fldCharType="begin"/>
        </w:r>
        <w:r w:rsidR="00B2547B">
          <w:instrText xml:space="preserve"> PAGE   \* MERGEFORMAT </w:instrText>
        </w:r>
        <w:r>
          <w:fldChar w:fldCharType="separate"/>
        </w:r>
        <w:r w:rsidR="00EB5527">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204D" w14:textId="77777777" w:rsidR="00C973CE" w:rsidRDefault="00C973CE" w:rsidP="009E7DE5">
      <w:pPr>
        <w:bidi/>
      </w:pPr>
      <w:r>
        <w:separator/>
      </w:r>
    </w:p>
  </w:footnote>
  <w:footnote w:type="continuationSeparator" w:id="0">
    <w:p w14:paraId="094762DE" w14:textId="77777777" w:rsidR="00C973CE" w:rsidRDefault="00C973CE">
      <w:r>
        <w:continuationSeparator/>
      </w:r>
    </w:p>
  </w:footnote>
  <w:footnote w:id="1">
    <w:p w14:paraId="6A2107EB" w14:textId="77777777" w:rsidR="00B2547B" w:rsidRPr="00720607" w:rsidRDefault="00B2547B" w:rsidP="00685B8C">
      <w:pPr>
        <w:pStyle w:val="FootnoteText"/>
        <w:bidi/>
        <w:rPr>
          <w:sz w:val="22"/>
          <w:szCs w:val="22"/>
          <w:rtl/>
          <w:lang w:bidi="ar-AE"/>
        </w:rPr>
      </w:pPr>
      <w:r w:rsidRPr="00720607">
        <w:rPr>
          <w:rStyle w:val="FootnoteReference"/>
          <w:sz w:val="22"/>
          <w:szCs w:val="22"/>
        </w:rPr>
        <w:footnoteRef/>
      </w:r>
      <w:r w:rsidR="006F6E46">
        <w:rPr>
          <w:rFonts w:hint="cs"/>
          <w:sz w:val="22"/>
          <w:szCs w:val="22"/>
          <w:rtl/>
          <w:lang w:bidi="ar-AE"/>
        </w:rPr>
        <w:t xml:space="preserve"> </w:t>
      </w:r>
      <w:r w:rsidRPr="00720607">
        <w:rPr>
          <w:sz w:val="22"/>
          <w:szCs w:val="22"/>
          <w:rtl/>
          <w:lang w:bidi="ar-AE"/>
        </w:rPr>
        <w:t>وفقاً للرسالة المؤرخة في 13 آذار/مارس 2020 الموجهة من وزارة البيئة والموارد الطبيعية في غواتيمالا إلى اليونيدو.</w:t>
      </w:r>
    </w:p>
  </w:footnote>
  <w:footnote w:id="2">
    <w:p w14:paraId="1039A834" w14:textId="77777777" w:rsidR="00B2547B" w:rsidRPr="00720607" w:rsidRDefault="00B2547B" w:rsidP="000A5438">
      <w:pPr>
        <w:pStyle w:val="FootnoteText"/>
        <w:bidi/>
        <w:rPr>
          <w:sz w:val="18"/>
          <w:szCs w:val="22"/>
          <w:rtl/>
          <w:lang w:bidi="ar-AE"/>
        </w:rPr>
      </w:pPr>
      <w:r w:rsidRPr="00720607">
        <w:rPr>
          <w:rStyle w:val="FootnoteReference"/>
          <w:sz w:val="18"/>
          <w:szCs w:val="22"/>
        </w:rPr>
        <w:footnoteRef/>
      </w:r>
      <w:r w:rsidR="00904926">
        <w:rPr>
          <w:rFonts w:hint="cs"/>
          <w:sz w:val="18"/>
          <w:szCs w:val="22"/>
          <w:rtl/>
          <w:lang w:bidi="ar-AE"/>
        </w:rPr>
        <w:t xml:space="preserve"> </w:t>
      </w:r>
      <w:r w:rsidRPr="00720607">
        <w:rPr>
          <w:sz w:val="18"/>
          <w:szCs w:val="22"/>
          <w:rtl/>
          <w:lang w:bidi="ar-AE"/>
        </w:rPr>
        <w:t>شهدت عملية "</w:t>
      </w:r>
      <w:r w:rsidRPr="00720607">
        <w:rPr>
          <w:sz w:val="18"/>
          <w:szCs w:val="22"/>
          <w:lang w:bidi="ar-AE"/>
        </w:rPr>
        <w:t>Demeter-V</w:t>
      </w:r>
      <w:r w:rsidRPr="00720607">
        <w:rPr>
          <w:sz w:val="18"/>
          <w:szCs w:val="22"/>
          <w:rtl/>
          <w:lang w:bidi="ar-AE"/>
        </w:rPr>
        <w:t>"، التي أجريت في الفترة من 1 إلى 30 سبتمبر</w:t>
      </w:r>
      <w:r w:rsidRPr="00720607">
        <w:rPr>
          <w:rFonts w:hint="cs"/>
          <w:sz w:val="18"/>
          <w:szCs w:val="22"/>
          <w:rtl/>
          <w:lang w:bidi="ar-AE"/>
        </w:rPr>
        <w:t>/أيلول</w:t>
      </w:r>
      <w:r w:rsidRPr="00720607">
        <w:rPr>
          <w:sz w:val="18"/>
          <w:szCs w:val="22"/>
          <w:rtl/>
          <w:lang w:bidi="ar-AE"/>
        </w:rPr>
        <w:t xml:space="preserve"> 2019، تحوّل جهود إدارات الجمارك إلى </w:t>
      </w:r>
      <w:r w:rsidRPr="00720607">
        <w:rPr>
          <w:rFonts w:hint="cs"/>
          <w:sz w:val="18"/>
          <w:szCs w:val="22"/>
          <w:rtl/>
          <w:lang w:bidi="ar-AE"/>
        </w:rPr>
        <w:t>رصد و</w:t>
      </w:r>
      <w:r w:rsidRPr="00720607">
        <w:rPr>
          <w:sz w:val="18"/>
          <w:szCs w:val="22"/>
          <w:rtl/>
          <w:lang w:bidi="ar-AE"/>
        </w:rPr>
        <w:t>مراقبة التحركات عبر الحدود للسلع الحساسة بيئياً، وضمان الامتثال للأحكام المتعلقة بالتجارة المنصوص عليها في الاتفاق</w:t>
      </w:r>
      <w:r w:rsidRPr="00720607">
        <w:rPr>
          <w:rFonts w:hint="cs"/>
          <w:sz w:val="18"/>
          <w:szCs w:val="22"/>
          <w:rtl/>
          <w:lang w:bidi="ar-AE"/>
        </w:rPr>
        <w:t>ي</w:t>
      </w:r>
      <w:r w:rsidRPr="00720607">
        <w:rPr>
          <w:sz w:val="18"/>
          <w:szCs w:val="22"/>
          <w:rtl/>
          <w:lang w:bidi="ar-AE"/>
        </w:rPr>
        <w:t>ات البيئية متعددة الأطراف (</w:t>
      </w:r>
      <w:r w:rsidRPr="00720607">
        <w:rPr>
          <w:sz w:val="18"/>
          <w:szCs w:val="22"/>
          <w:lang w:bidi="ar-AE"/>
        </w:rPr>
        <w:t>MEAs</w:t>
      </w:r>
      <w:r w:rsidRPr="00720607">
        <w:rPr>
          <w:sz w:val="18"/>
          <w:szCs w:val="22"/>
          <w:rtl/>
          <w:lang w:bidi="ar-AE"/>
        </w:rPr>
        <w:t>)، بما في ذلك بروتوكول مونتريال. و</w:t>
      </w:r>
      <w:r w:rsidRPr="00720607">
        <w:rPr>
          <w:rFonts w:hint="cs"/>
          <w:sz w:val="18"/>
          <w:szCs w:val="22"/>
          <w:rtl/>
          <w:lang w:bidi="ar-AE"/>
        </w:rPr>
        <w:t xml:space="preserve">تعتبر </w:t>
      </w:r>
      <w:r w:rsidRPr="00720607">
        <w:rPr>
          <w:sz w:val="18"/>
          <w:szCs w:val="22"/>
          <w:rtl/>
          <w:lang w:bidi="ar-AE"/>
        </w:rPr>
        <w:t>عملية "</w:t>
      </w:r>
      <w:r w:rsidRPr="00720607">
        <w:rPr>
          <w:sz w:val="18"/>
          <w:szCs w:val="22"/>
          <w:lang w:bidi="ar-AE"/>
        </w:rPr>
        <w:t>Demeter-V</w:t>
      </w:r>
      <w:r w:rsidRPr="00720607">
        <w:rPr>
          <w:sz w:val="18"/>
          <w:szCs w:val="22"/>
          <w:rtl/>
          <w:lang w:bidi="ar-AE"/>
        </w:rPr>
        <w:t>" مشروع</w:t>
      </w:r>
      <w:r w:rsidR="00D144A4">
        <w:rPr>
          <w:rFonts w:hint="cs"/>
          <w:sz w:val="18"/>
          <w:szCs w:val="22"/>
          <w:rtl/>
          <w:lang w:bidi="ar-AE"/>
        </w:rPr>
        <w:t>اً</w:t>
      </w:r>
      <w:r w:rsidR="00904926">
        <w:rPr>
          <w:rFonts w:hint="cs"/>
          <w:sz w:val="18"/>
          <w:szCs w:val="22"/>
          <w:rtl/>
          <w:lang w:bidi="ar-AE"/>
        </w:rPr>
        <w:t xml:space="preserve"> </w:t>
      </w:r>
      <w:r w:rsidRPr="00720607">
        <w:rPr>
          <w:rFonts w:hint="cs"/>
          <w:sz w:val="18"/>
          <w:szCs w:val="22"/>
          <w:rtl/>
          <w:lang w:bidi="ar-AE"/>
        </w:rPr>
        <w:t>قائم</w:t>
      </w:r>
      <w:r w:rsidR="00D144A4">
        <w:rPr>
          <w:rFonts w:hint="cs"/>
          <w:sz w:val="18"/>
          <w:szCs w:val="22"/>
          <w:rtl/>
          <w:lang w:bidi="ar-AE"/>
        </w:rPr>
        <w:t>اً</w:t>
      </w:r>
      <w:r w:rsidRPr="00720607">
        <w:rPr>
          <w:rFonts w:hint="cs"/>
          <w:sz w:val="18"/>
          <w:szCs w:val="22"/>
          <w:rtl/>
          <w:lang w:bidi="ar-AE"/>
        </w:rPr>
        <w:t xml:space="preserve"> في</w:t>
      </w:r>
      <w:r w:rsidRPr="00720607">
        <w:rPr>
          <w:sz w:val="18"/>
          <w:szCs w:val="22"/>
          <w:rtl/>
          <w:lang w:bidi="ar-AE"/>
        </w:rPr>
        <w:t xml:space="preserve"> إطار خطة العمليات العامة للجنة المشتركة بين </w:t>
      </w:r>
      <w:r w:rsidRPr="00720607">
        <w:rPr>
          <w:rFonts w:hint="cs"/>
          <w:sz w:val="18"/>
          <w:szCs w:val="22"/>
          <w:rtl/>
          <w:lang w:bidi="ar-AE"/>
        </w:rPr>
        <w:t>المؤسسات</w:t>
      </w:r>
      <w:r w:rsidRPr="00720607">
        <w:rPr>
          <w:sz w:val="18"/>
          <w:szCs w:val="22"/>
          <w:rtl/>
          <w:lang w:bidi="ar-AE"/>
        </w:rPr>
        <w:t xml:space="preserve"> لمكافحة التهريب والاحتيال الجمركي (</w:t>
      </w:r>
      <w:r w:rsidRPr="00720607">
        <w:rPr>
          <w:sz w:val="18"/>
          <w:szCs w:val="22"/>
          <w:lang w:bidi="ar-AE"/>
        </w:rPr>
        <w:t>COINCON</w:t>
      </w:r>
      <w:r w:rsidRPr="00720607">
        <w:rPr>
          <w:sz w:val="18"/>
          <w:szCs w:val="22"/>
          <w:rtl/>
          <w:lang w:bidi="ar-AE"/>
        </w:rPr>
        <w:t>).</w:t>
      </w:r>
    </w:p>
  </w:footnote>
  <w:footnote w:id="3">
    <w:p w14:paraId="0EF6809A" w14:textId="77777777" w:rsidR="00B2547B" w:rsidRPr="00720607" w:rsidRDefault="00B2547B" w:rsidP="004B67D3">
      <w:pPr>
        <w:pStyle w:val="FootnoteText"/>
        <w:bidi/>
        <w:rPr>
          <w:sz w:val="18"/>
          <w:szCs w:val="22"/>
          <w:rtl/>
          <w:lang w:bidi="ar-AE"/>
        </w:rPr>
      </w:pPr>
      <w:r w:rsidRPr="00720607">
        <w:rPr>
          <w:rStyle w:val="FootnoteReference"/>
          <w:sz w:val="18"/>
          <w:szCs w:val="22"/>
        </w:rPr>
        <w:footnoteRef/>
      </w:r>
      <w:r w:rsidR="008844AF">
        <w:rPr>
          <w:rFonts w:hint="cs"/>
          <w:sz w:val="18"/>
          <w:szCs w:val="22"/>
          <w:rtl/>
          <w:lang w:bidi="ar-AE"/>
        </w:rPr>
        <w:t xml:space="preserve"> </w:t>
      </w:r>
      <w:r w:rsidRPr="00720607">
        <w:rPr>
          <w:sz w:val="18"/>
          <w:szCs w:val="22"/>
          <w:rtl/>
          <w:lang w:bidi="ar-AE"/>
        </w:rPr>
        <w:t>تقدير</w:t>
      </w:r>
      <w:r w:rsidRPr="00720607">
        <w:rPr>
          <w:rFonts w:hint="cs"/>
          <w:sz w:val="18"/>
          <w:szCs w:val="22"/>
          <w:rtl/>
          <w:lang w:bidi="ar-AE"/>
        </w:rPr>
        <w:t xml:space="preserve">ات </w:t>
      </w:r>
      <w:r w:rsidR="005B7074">
        <w:rPr>
          <w:rFonts w:hint="cs"/>
          <w:sz w:val="18"/>
          <w:szCs w:val="22"/>
          <w:rtl/>
          <w:lang w:bidi="ar-AE"/>
        </w:rPr>
        <w:t>تم إعدادها من</w:t>
      </w:r>
      <w:r w:rsidRPr="00720607">
        <w:rPr>
          <w:sz w:val="18"/>
          <w:szCs w:val="22"/>
          <w:rtl/>
          <w:lang w:bidi="ar-AE"/>
        </w:rPr>
        <w:t xml:space="preserve"> قبل</w:t>
      </w:r>
      <w:r w:rsidR="008844AF">
        <w:rPr>
          <w:rFonts w:hint="cs"/>
          <w:sz w:val="18"/>
          <w:szCs w:val="22"/>
          <w:rtl/>
          <w:lang w:bidi="ar-AE"/>
        </w:rPr>
        <w:t xml:space="preserve"> </w:t>
      </w:r>
      <w:r w:rsidRPr="00720607">
        <w:rPr>
          <w:sz w:val="18"/>
          <w:szCs w:val="22"/>
          <w:rtl/>
        </w:rPr>
        <w:t>الرابطة الوطنية للفنيين (</w:t>
      </w:r>
      <w:r w:rsidRPr="00720607">
        <w:rPr>
          <w:sz w:val="18"/>
          <w:szCs w:val="22"/>
          <w:lang w:bidi="ar-AE"/>
        </w:rPr>
        <w:t>ASFRIGUA</w:t>
      </w:r>
      <w:r w:rsidRPr="00720607">
        <w:rPr>
          <w:sz w:val="18"/>
          <w:szCs w:val="22"/>
          <w:rtl/>
        </w:rPr>
        <w:t>)</w:t>
      </w:r>
      <w:r w:rsidRPr="00720607">
        <w:rPr>
          <w:rFonts w:hint="cs"/>
          <w:sz w:val="18"/>
          <w:szCs w:val="22"/>
          <w:rtl/>
          <w:lang w:bidi="ar-AE"/>
        </w:rPr>
        <w:t>.</w:t>
      </w:r>
    </w:p>
  </w:footnote>
  <w:footnote w:id="4">
    <w:p w14:paraId="21B03FC8" w14:textId="77777777" w:rsidR="00B2547B" w:rsidRPr="004358B6" w:rsidRDefault="00B2547B" w:rsidP="004358B6">
      <w:pPr>
        <w:pStyle w:val="FootnoteText"/>
        <w:bidi/>
        <w:spacing w:after="120"/>
        <w:rPr>
          <w:sz w:val="18"/>
          <w:szCs w:val="22"/>
          <w:rtl/>
          <w:lang w:bidi="ar-AE"/>
        </w:rPr>
      </w:pPr>
      <w:r w:rsidRPr="004358B6">
        <w:rPr>
          <w:rStyle w:val="FootnoteReference"/>
          <w:sz w:val="18"/>
          <w:szCs w:val="22"/>
        </w:rPr>
        <w:footnoteRef/>
      </w:r>
      <w:r w:rsidR="00D77996">
        <w:rPr>
          <w:rFonts w:hint="cs"/>
          <w:sz w:val="18"/>
          <w:szCs w:val="22"/>
          <w:rtl/>
          <w:lang w:bidi="ar-AE"/>
        </w:rPr>
        <w:t xml:space="preserve"> </w:t>
      </w:r>
      <w:r w:rsidRPr="004358B6">
        <w:rPr>
          <w:sz w:val="18"/>
          <w:szCs w:val="22"/>
          <w:rtl/>
          <w:lang w:bidi="ar-AE"/>
        </w:rPr>
        <w:t>ينص المقرر 72/19(ب) على أنه في حال لم يكن تقرير التحقق جاهزاً في الوقت الم</w:t>
      </w:r>
      <w:r w:rsidR="007049B2">
        <w:rPr>
          <w:rFonts w:hint="cs"/>
          <w:sz w:val="18"/>
          <w:szCs w:val="22"/>
          <w:rtl/>
          <w:lang w:bidi="ar-AE"/>
        </w:rPr>
        <w:t>حدد</w:t>
      </w:r>
      <w:r w:rsidRPr="004358B6">
        <w:rPr>
          <w:sz w:val="18"/>
          <w:szCs w:val="22"/>
          <w:rtl/>
          <w:lang w:bidi="ar-AE"/>
        </w:rPr>
        <w:t>، فلن يتم تحويل الأموال المعتمدة إلى الوكالات إلا بعد استلام الأمانة لتقرير التحقق الذي يؤكد أن البلد في حالة امتثال. وفي ظل الظروف الحالية، يُقترح، على أساس استثنائي، تحويل الأموال إلى الوكالة عند الموافقة.</w:t>
      </w:r>
    </w:p>
  </w:footnote>
  <w:footnote w:id="5">
    <w:p w14:paraId="018B991A" w14:textId="77777777" w:rsidR="00B2547B" w:rsidRPr="004358B6" w:rsidRDefault="00B2547B" w:rsidP="004358B6">
      <w:pPr>
        <w:pStyle w:val="FootnoteText"/>
        <w:bidi/>
        <w:spacing w:after="120"/>
        <w:rPr>
          <w:sz w:val="18"/>
          <w:szCs w:val="22"/>
          <w:rtl/>
          <w:lang w:bidi="ar-AE"/>
        </w:rPr>
      </w:pPr>
      <w:r w:rsidRPr="004358B6">
        <w:rPr>
          <w:rStyle w:val="FootnoteReference"/>
          <w:sz w:val="18"/>
          <w:szCs w:val="22"/>
        </w:rPr>
        <w:footnoteRef/>
      </w:r>
      <w:r w:rsidRPr="004358B6">
        <w:rPr>
          <w:rFonts w:hint="cs"/>
          <w:sz w:val="18"/>
          <w:szCs w:val="22"/>
          <w:rtl/>
          <w:lang w:bidi="ar-AE"/>
        </w:rPr>
        <w:t xml:space="preserve"> تتضمن</w:t>
      </w:r>
      <w:r w:rsidRPr="004358B6">
        <w:rPr>
          <w:sz w:val="18"/>
          <w:szCs w:val="22"/>
          <w:rtl/>
          <w:lang w:bidi="ar-AE"/>
        </w:rPr>
        <w:t xml:space="preserve"> الحصص 3.76 طن من قدرات استنفاد الأوزون (68.31 طن متري) من هيدروكلوروفلوروكربون-22، و0.83 طن من قدرات استنفاد الأوزون (7.50 طن متري) من هيدروكلوروفلوروكربون-121ب، و0.01 طن من قدرات استنفاد الأوزون (0.40 طن متري) من هيدروكلوروفلوروكربون-123.</w:t>
      </w:r>
    </w:p>
  </w:footnote>
  <w:footnote w:id="6">
    <w:p w14:paraId="637D2BD2" w14:textId="77777777" w:rsidR="00B2547B" w:rsidRPr="004358B6" w:rsidRDefault="00B2547B" w:rsidP="00432C80">
      <w:pPr>
        <w:pStyle w:val="FootnoteText"/>
        <w:bidi/>
        <w:rPr>
          <w:sz w:val="18"/>
          <w:szCs w:val="22"/>
          <w:rtl/>
          <w:lang w:bidi="ar-AE"/>
        </w:rPr>
      </w:pPr>
      <w:r w:rsidRPr="004358B6">
        <w:rPr>
          <w:rStyle w:val="FootnoteReference"/>
          <w:sz w:val="18"/>
          <w:szCs w:val="22"/>
        </w:rPr>
        <w:footnoteRef/>
      </w:r>
      <w:r w:rsidR="00470721">
        <w:rPr>
          <w:rFonts w:hint="cs"/>
          <w:sz w:val="18"/>
          <w:szCs w:val="22"/>
          <w:rtl/>
          <w:lang w:bidi="ar-AE"/>
        </w:rPr>
        <w:t xml:space="preserve"> </w:t>
      </w:r>
      <w:r w:rsidRPr="004358B6">
        <w:rPr>
          <w:sz w:val="18"/>
          <w:szCs w:val="22"/>
          <w:rtl/>
          <w:lang w:bidi="ar-AE"/>
        </w:rPr>
        <w:t>طلب المقرر 84/92(د) من الوكالات الثنائية والمنفذة تطبيق السياسة التشغيلية المتعلقة بتعميم مراعاة المنظور الجنساني طوال دورة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F297" w14:textId="77777777" w:rsidR="00B2547B" w:rsidRDefault="007E0524" w:rsidP="00611709">
    <w:pPr>
      <w:jc w:val="right"/>
      <w:rPr>
        <w:rtl/>
      </w:rPr>
    </w:pPr>
    <w:fldSimple w:instr=" DOCPROPERTY &quot;Document number&quot;  \* MERGEFORMAT ">
      <w:r w:rsidR="00B2547B">
        <w:t>UNEP/OzL.Pro/ExCom/85/</w:t>
      </w:r>
      <w:r w:rsidR="00B2547B">
        <w:rPr>
          <w:lang w:val="en-US"/>
        </w:rPr>
        <w:t>28</w:t>
      </w:r>
    </w:fldSimple>
  </w:p>
  <w:p w14:paraId="28066525" w14:textId="77777777" w:rsidR="00B2547B" w:rsidRDefault="00B2547B"/>
  <w:p w14:paraId="18631190" w14:textId="77777777" w:rsidR="00B2547B" w:rsidRDefault="00B254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244C" w14:textId="77777777" w:rsidR="00B2547B" w:rsidRDefault="007E0524" w:rsidP="00611709">
    <w:pPr>
      <w:jc w:val="left"/>
    </w:pPr>
    <w:fldSimple w:instr=" DOCPROPERTY &quot;Document number&quot;  \* MERGEFORMAT ">
      <w:r w:rsidR="00B2547B">
        <w:t>UNEP/OzL.Pro/ExCom/85/28</w:t>
      </w:r>
    </w:fldSimple>
  </w:p>
  <w:p w14:paraId="27152E3C" w14:textId="77777777" w:rsidR="00B2547B" w:rsidRDefault="00B2547B"/>
  <w:p w14:paraId="729B773B" w14:textId="77777777" w:rsidR="00B2547B" w:rsidRDefault="00B25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63AD" w14:textId="77777777" w:rsidR="00B2547B" w:rsidRDefault="00B2547B"/>
  <w:p w14:paraId="429FBAB1" w14:textId="77777777" w:rsidR="00B2547B" w:rsidRDefault="00B2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6010BD9"/>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457A"/>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5" w15:restartNumberingAfterBreak="0">
    <w:nsid w:val="49797325"/>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AE24FE2"/>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5465B"/>
    <w:multiLevelType w:val="hybridMultilevel"/>
    <w:tmpl w:val="C5EA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A0518"/>
    <w:multiLevelType w:val="hybridMultilevel"/>
    <w:tmpl w:val="4BD8347C"/>
    <w:lvl w:ilvl="0" w:tplc="E648D35A">
      <w:start w:val="1"/>
      <w:numFmt w:val="decimal"/>
      <w:lvlText w:val="%1."/>
      <w:lvlJc w:val="left"/>
      <w:pPr>
        <w:ind w:left="1440" w:hanging="360"/>
      </w:pPr>
      <w:rPr>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3"/>
  </w:num>
  <w:num w:numId="6">
    <w:abstractNumId w:val="6"/>
  </w:num>
  <w:num w:numId="7">
    <w:abstractNumId w:val="7"/>
  </w:num>
  <w:num w:numId="8">
    <w:abstractNumId w:val="11"/>
  </w:num>
  <w:num w:numId="9">
    <w:abstractNumId w:val="4"/>
  </w:num>
  <w:num w:numId="10">
    <w:abstractNumId w:val="9"/>
  </w:num>
  <w:num w:numId="11">
    <w:abstractNumId w:val="10"/>
  </w:num>
  <w:num w:numId="12">
    <w:abstractNumId w:val="1"/>
  </w:num>
  <w:num w:numId="13">
    <w:abstractNumId w:val="5"/>
  </w:num>
  <w:num w:numId="14">
    <w:abstractNumId w:val="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2D"/>
    <w:rsid w:val="00013372"/>
    <w:rsid w:val="00031C01"/>
    <w:rsid w:val="00031F01"/>
    <w:rsid w:val="000325A2"/>
    <w:rsid w:val="00036C1A"/>
    <w:rsid w:val="0004254A"/>
    <w:rsid w:val="000514CF"/>
    <w:rsid w:val="0005182D"/>
    <w:rsid w:val="00056A6A"/>
    <w:rsid w:val="00057C61"/>
    <w:rsid w:val="00072A7C"/>
    <w:rsid w:val="00072C88"/>
    <w:rsid w:val="00076885"/>
    <w:rsid w:val="0008042D"/>
    <w:rsid w:val="000861FE"/>
    <w:rsid w:val="0009355D"/>
    <w:rsid w:val="00094482"/>
    <w:rsid w:val="000A5438"/>
    <w:rsid w:val="000B023A"/>
    <w:rsid w:val="000B1E57"/>
    <w:rsid w:val="000C2FE8"/>
    <w:rsid w:val="000E06E7"/>
    <w:rsid w:val="000E2E4E"/>
    <w:rsid w:val="000E7ED5"/>
    <w:rsid w:val="000F611B"/>
    <w:rsid w:val="000F7AFF"/>
    <w:rsid w:val="00103D36"/>
    <w:rsid w:val="00106D83"/>
    <w:rsid w:val="00106E2B"/>
    <w:rsid w:val="001115A8"/>
    <w:rsid w:val="00113FDB"/>
    <w:rsid w:val="00117C36"/>
    <w:rsid w:val="0012067C"/>
    <w:rsid w:val="001416E6"/>
    <w:rsid w:val="00151592"/>
    <w:rsid w:val="00161A06"/>
    <w:rsid w:val="00162850"/>
    <w:rsid w:val="00181F8E"/>
    <w:rsid w:val="001A25B5"/>
    <w:rsid w:val="001A3960"/>
    <w:rsid w:val="001A6A07"/>
    <w:rsid w:val="001B4283"/>
    <w:rsid w:val="001B4EFA"/>
    <w:rsid w:val="001B5131"/>
    <w:rsid w:val="001C2FF0"/>
    <w:rsid w:val="001D45A2"/>
    <w:rsid w:val="001D7D1C"/>
    <w:rsid w:val="001E1761"/>
    <w:rsid w:val="001E37A2"/>
    <w:rsid w:val="001F2637"/>
    <w:rsid w:val="001F4627"/>
    <w:rsid w:val="001F590E"/>
    <w:rsid w:val="001F59AB"/>
    <w:rsid w:val="001F6C25"/>
    <w:rsid w:val="002107AA"/>
    <w:rsid w:val="00230AF5"/>
    <w:rsid w:val="00252840"/>
    <w:rsid w:val="002565AE"/>
    <w:rsid w:val="0025787D"/>
    <w:rsid w:val="00261843"/>
    <w:rsid w:val="0026564C"/>
    <w:rsid w:val="002A1551"/>
    <w:rsid w:val="002D2346"/>
    <w:rsid w:val="002E7EF7"/>
    <w:rsid w:val="002F505F"/>
    <w:rsid w:val="00304316"/>
    <w:rsid w:val="00304DAB"/>
    <w:rsid w:val="0030673F"/>
    <w:rsid w:val="00317E49"/>
    <w:rsid w:val="003263B5"/>
    <w:rsid w:val="0033270E"/>
    <w:rsid w:val="00337802"/>
    <w:rsid w:val="00347974"/>
    <w:rsid w:val="00357B53"/>
    <w:rsid w:val="00364211"/>
    <w:rsid w:val="00372A3D"/>
    <w:rsid w:val="0037393A"/>
    <w:rsid w:val="00381DBC"/>
    <w:rsid w:val="00382355"/>
    <w:rsid w:val="00390539"/>
    <w:rsid w:val="003D0E08"/>
    <w:rsid w:val="003D1348"/>
    <w:rsid w:val="003D13C4"/>
    <w:rsid w:val="003D5E2B"/>
    <w:rsid w:val="003D6D3B"/>
    <w:rsid w:val="003E2C19"/>
    <w:rsid w:val="003E3595"/>
    <w:rsid w:val="003E4893"/>
    <w:rsid w:val="003E5812"/>
    <w:rsid w:val="003E6EB4"/>
    <w:rsid w:val="003E713D"/>
    <w:rsid w:val="003F0B48"/>
    <w:rsid w:val="003F1119"/>
    <w:rsid w:val="003F2852"/>
    <w:rsid w:val="003F3EE9"/>
    <w:rsid w:val="00403E74"/>
    <w:rsid w:val="004055D6"/>
    <w:rsid w:val="00406EEF"/>
    <w:rsid w:val="00432C80"/>
    <w:rsid w:val="004358B6"/>
    <w:rsid w:val="004370E0"/>
    <w:rsid w:val="00440B3F"/>
    <w:rsid w:val="004452A2"/>
    <w:rsid w:val="00445D24"/>
    <w:rsid w:val="00451143"/>
    <w:rsid w:val="00451CD3"/>
    <w:rsid w:val="0045583A"/>
    <w:rsid w:val="00470721"/>
    <w:rsid w:val="00480E1D"/>
    <w:rsid w:val="00490B63"/>
    <w:rsid w:val="004915E9"/>
    <w:rsid w:val="004B67D3"/>
    <w:rsid w:val="004C33C6"/>
    <w:rsid w:val="004C5B74"/>
    <w:rsid w:val="004F4E7A"/>
    <w:rsid w:val="00504F49"/>
    <w:rsid w:val="005172D9"/>
    <w:rsid w:val="00532BD7"/>
    <w:rsid w:val="00533EBF"/>
    <w:rsid w:val="00550E4B"/>
    <w:rsid w:val="005535A9"/>
    <w:rsid w:val="005645D1"/>
    <w:rsid w:val="005742A7"/>
    <w:rsid w:val="005762DC"/>
    <w:rsid w:val="00591F15"/>
    <w:rsid w:val="005B7074"/>
    <w:rsid w:val="005C7429"/>
    <w:rsid w:val="005C7D4A"/>
    <w:rsid w:val="005D0F34"/>
    <w:rsid w:val="005D2052"/>
    <w:rsid w:val="005D4938"/>
    <w:rsid w:val="00601792"/>
    <w:rsid w:val="00611709"/>
    <w:rsid w:val="00613E46"/>
    <w:rsid w:val="00636B5F"/>
    <w:rsid w:val="00640FCB"/>
    <w:rsid w:val="006524CF"/>
    <w:rsid w:val="00654FBE"/>
    <w:rsid w:val="00662A73"/>
    <w:rsid w:val="006669CD"/>
    <w:rsid w:val="00683C9C"/>
    <w:rsid w:val="00685B8C"/>
    <w:rsid w:val="006932A7"/>
    <w:rsid w:val="00694CC8"/>
    <w:rsid w:val="006B6C3D"/>
    <w:rsid w:val="006C0EBB"/>
    <w:rsid w:val="006C59C0"/>
    <w:rsid w:val="006F2A2C"/>
    <w:rsid w:val="006F51E8"/>
    <w:rsid w:val="006F594E"/>
    <w:rsid w:val="006F6E46"/>
    <w:rsid w:val="006F7D78"/>
    <w:rsid w:val="007049B2"/>
    <w:rsid w:val="007171FC"/>
    <w:rsid w:val="00720607"/>
    <w:rsid w:val="00732E1E"/>
    <w:rsid w:val="00751B07"/>
    <w:rsid w:val="0075210F"/>
    <w:rsid w:val="0075277F"/>
    <w:rsid w:val="00762F6E"/>
    <w:rsid w:val="00771F2A"/>
    <w:rsid w:val="00774DB8"/>
    <w:rsid w:val="00785758"/>
    <w:rsid w:val="00786481"/>
    <w:rsid w:val="00786775"/>
    <w:rsid w:val="00786CC1"/>
    <w:rsid w:val="0078742A"/>
    <w:rsid w:val="007B66ED"/>
    <w:rsid w:val="007C4BE8"/>
    <w:rsid w:val="007D1BC4"/>
    <w:rsid w:val="007D7A23"/>
    <w:rsid w:val="007E0524"/>
    <w:rsid w:val="007E5D09"/>
    <w:rsid w:val="007F4E60"/>
    <w:rsid w:val="00800EF5"/>
    <w:rsid w:val="008122C1"/>
    <w:rsid w:val="0082041C"/>
    <w:rsid w:val="008476D6"/>
    <w:rsid w:val="008708A0"/>
    <w:rsid w:val="008844AF"/>
    <w:rsid w:val="00884AAA"/>
    <w:rsid w:val="00890187"/>
    <w:rsid w:val="00892DDF"/>
    <w:rsid w:val="008A30AB"/>
    <w:rsid w:val="008A4153"/>
    <w:rsid w:val="008A57A9"/>
    <w:rsid w:val="008B26DB"/>
    <w:rsid w:val="008C4280"/>
    <w:rsid w:val="008D5A54"/>
    <w:rsid w:val="008F1E3A"/>
    <w:rsid w:val="008F2B16"/>
    <w:rsid w:val="008F7B76"/>
    <w:rsid w:val="00904926"/>
    <w:rsid w:val="00905D04"/>
    <w:rsid w:val="00907A76"/>
    <w:rsid w:val="00921A22"/>
    <w:rsid w:val="00922997"/>
    <w:rsid w:val="00925742"/>
    <w:rsid w:val="00927AFF"/>
    <w:rsid w:val="009339D4"/>
    <w:rsid w:val="00940452"/>
    <w:rsid w:val="00942E79"/>
    <w:rsid w:val="009469D5"/>
    <w:rsid w:val="00955D0B"/>
    <w:rsid w:val="0096010B"/>
    <w:rsid w:val="009652DF"/>
    <w:rsid w:val="00970FD6"/>
    <w:rsid w:val="009713EE"/>
    <w:rsid w:val="00983254"/>
    <w:rsid w:val="0098365A"/>
    <w:rsid w:val="00983C8E"/>
    <w:rsid w:val="009929F9"/>
    <w:rsid w:val="00996998"/>
    <w:rsid w:val="009A49AC"/>
    <w:rsid w:val="009C4458"/>
    <w:rsid w:val="009D4DDB"/>
    <w:rsid w:val="009E3066"/>
    <w:rsid w:val="009E5D08"/>
    <w:rsid w:val="009E7DE5"/>
    <w:rsid w:val="009F1855"/>
    <w:rsid w:val="009F3886"/>
    <w:rsid w:val="00A20340"/>
    <w:rsid w:val="00A20A90"/>
    <w:rsid w:val="00A353E9"/>
    <w:rsid w:val="00A44778"/>
    <w:rsid w:val="00A5478B"/>
    <w:rsid w:val="00A54AAB"/>
    <w:rsid w:val="00A54FC6"/>
    <w:rsid w:val="00A552D3"/>
    <w:rsid w:val="00A62DFD"/>
    <w:rsid w:val="00A64328"/>
    <w:rsid w:val="00A81E25"/>
    <w:rsid w:val="00A8338C"/>
    <w:rsid w:val="00A9536E"/>
    <w:rsid w:val="00A96734"/>
    <w:rsid w:val="00AA52EB"/>
    <w:rsid w:val="00AB4886"/>
    <w:rsid w:val="00AD25A0"/>
    <w:rsid w:val="00AD37FF"/>
    <w:rsid w:val="00AD5B33"/>
    <w:rsid w:val="00AF6CD8"/>
    <w:rsid w:val="00B11DB6"/>
    <w:rsid w:val="00B15F24"/>
    <w:rsid w:val="00B2547B"/>
    <w:rsid w:val="00B26FC7"/>
    <w:rsid w:val="00B30761"/>
    <w:rsid w:val="00B33014"/>
    <w:rsid w:val="00B3331D"/>
    <w:rsid w:val="00B34A9B"/>
    <w:rsid w:val="00B34BCA"/>
    <w:rsid w:val="00B36F25"/>
    <w:rsid w:val="00B40E87"/>
    <w:rsid w:val="00B51CA4"/>
    <w:rsid w:val="00B52FEE"/>
    <w:rsid w:val="00B63EF9"/>
    <w:rsid w:val="00B81E83"/>
    <w:rsid w:val="00B82281"/>
    <w:rsid w:val="00B83923"/>
    <w:rsid w:val="00B847B0"/>
    <w:rsid w:val="00B92BE4"/>
    <w:rsid w:val="00BA0D52"/>
    <w:rsid w:val="00BA1E43"/>
    <w:rsid w:val="00BA2566"/>
    <w:rsid w:val="00BB1B56"/>
    <w:rsid w:val="00BB232F"/>
    <w:rsid w:val="00BB60AD"/>
    <w:rsid w:val="00BC08F6"/>
    <w:rsid w:val="00BC2D15"/>
    <w:rsid w:val="00BC3FCA"/>
    <w:rsid w:val="00BC6710"/>
    <w:rsid w:val="00BD0D03"/>
    <w:rsid w:val="00BD406D"/>
    <w:rsid w:val="00BE2ACD"/>
    <w:rsid w:val="00C0524B"/>
    <w:rsid w:val="00C05957"/>
    <w:rsid w:val="00C125BB"/>
    <w:rsid w:val="00C34E29"/>
    <w:rsid w:val="00C37A81"/>
    <w:rsid w:val="00C41308"/>
    <w:rsid w:val="00C4529C"/>
    <w:rsid w:val="00C6144B"/>
    <w:rsid w:val="00C64277"/>
    <w:rsid w:val="00C66139"/>
    <w:rsid w:val="00C777AB"/>
    <w:rsid w:val="00C80A29"/>
    <w:rsid w:val="00C973CE"/>
    <w:rsid w:val="00CA0BD0"/>
    <w:rsid w:val="00CA0E82"/>
    <w:rsid w:val="00CB128E"/>
    <w:rsid w:val="00CB2098"/>
    <w:rsid w:val="00CB2E6D"/>
    <w:rsid w:val="00CC5391"/>
    <w:rsid w:val="00CD370C"/>
    <w:rsid w:val="00CF36B4"/>
    <w:rsid w:val="00D13D33"/>
    <w:rsid w:val="00D144A4"/>
    <w:rsid w:val="00D346F8"/>
    <w:rsid w:val="00D456A3"/>
    <w:rsid w:val="00D47AF8"/>
    <w:rsid w:val="00D510A6"/>
    <w:rsid w:val="00D51946"/>
    <w:rsid w:val="00D70A48"/>
    <w:rsid w:val="00D77996"/>
    <w:rsid w:val="00D81B12"/>
    <w:rsid w:val="00D84A68"/>
    <w:rsid w:val="00D91FDE"/>
    <w:rsid w:val="00DB3D34"/>
    <w:rsid w:val="00DD4380"/>
    <w:rsid w:val="00DD7C58"/>
    <w:rsid w:val="00DF0490"/>
    <w:rsid w:val="00DF215F"/>
    <w:rsid w:val="00DF2E3F"/>
    <w:rsid w:val="00DF6BDA"/>
    <w:rsid w:val="00E1360E"/>
    <w:rsid w:val="00E16BB2"/>
    <w:rsid w:val="00E336A1"/>
    <w:rsid w:val="00E35CA8"/>
    <w:rsid w:val="00E6588F"/>
    <w:rsid w:val="00E84CAE"/>
    <w:rsid w:val="00E9274E"/>
    <w:rsid w:val="00EB5527"/>
    <w:rsid w:val="00EC108E"/>
    <w:rsid w:val="00EC7388"/>
    <w:rsid w:val="00ED4EFC"/>
    <w:rsid w:val="00EE1127"/>
    <w:rsid w:val="00EF5480"/>
    <w:rsid w:val="00EF7110"/>
    <w:rsid w:val="00F04081"/>
    <w:rsid w:val="00F1163A"/>
    <w:rsid w:val="00F311C3"/>
    <w:rsid w:val="00F5785C"/>
    <w:rsid w:val="00F62252"/>
    <w:rsid w:val="00F92C09"/>
    <w:rsid w:val="00FA0DFE"/>
    <w:rsid w:val="00FC1BD8"/>
    <w:rsid w:val="00FE13A5"/>
    <w:rsid w:val="00FE7BC7"/>
    <w:rsid w:val="00FF4BF7"/>
    <w:rsid w:val="00FF5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287BF"/>
  <w15:docId w15:val="{D21971E6-D999-48B6-872D-385AA60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FF"/>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0F7AFF"/>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0F7AFF"/>
    <w:pPr>
      <w:widowControl w:val="0"/>
      <w:numPr>
        <w:ilvl w:val="1"/>
        <w:numId w:val="2"/>
      </w:numPr>
      <w:spacing w:after="240"/>
      <w:outlineLvl w:val="1"/>
    </w:pPr>
  </w:style>
  <w:style w:type="paragraph" w:styleId="Heading3">
    <w:name w:val="heading 3"/>
    <w:aliases w:val="Char"/>
    <w:basedOn w:val="Normal"/>
    <w:next w:val="Normal"/>
    <w:qFormat/>
    <w:rsid w:val="000F7AFF"/>
    <w:pPr>
      <w:widowControl w:val="0"/>
      <w:numPr>
        <w:ilvl w:val="2"/>
        <w:numId w:val="3"/>
      </w:numPr>
      <w:spacing w:after="240"/>
      <w:outlineLvl w:val="2"/>
    </w:pPr>
  </w:style>
  <w:style w:type="paragraph" w:styleId="Heading4">
    <w:name w:val="heading 4"/>
    <w:aliases w:val="Heading 11"/>
    <w:basedOn w:val="Normal"/>
    <w:next w:val="Heading9"/>
    <w:qFormat/>
    <w:rsid w:val="000F7AFF"/>
    <w:pPr>
      <w:keepNext/>
      <w:numPr>
        <w:ilvl w:val="3"/>
        <w:numId w:val="4"/>
      </w:numPr>
      <w:spacing w:before="240" w:after="60"/>
      <w:outlineLvl w:val="3"/>
    </w:pPr>
  </w:style>
  <w:style w:type="paragraph" w:styleId="Heading5">
    <w:name w:val="heading 5"/>
    <w:basedOn w:val="Normal"/>
    <w:next w:val="Normal"/>
    <w:qFormat/>
    <w:rsid w:val="000F7AFF"/>
    <w:pPr>
      <w:keepNext/>
      <w:numPr>
        <w:numId w:val="9"/>
      </w:numPr>
      <w:spacing w:after="240"/>
      <w:ind w:left="3600" w:hanging="720"/>
      <w:outlineLvl w:val="4"/>
    </w:pPr>
  </w:style>
  <w:style w:type="paragraph" w:styleId="Heading6">
    <w:name w:val="heading 6"/>
    <w:basedOn w:val="Normal"/>
    <w:next w:val="Normal"/>
    <w:qFormat/>
    <w:rsid w:val="000F7AFF"/>
    <w:pPr>
      <w:numPr>
        <w:ilvl w:val="5"/>
        <w:numId w:val="1"/>
      </w:numPr>
      <w:spacing w:before="240" w:after="60"/>
      <w:outlineLvl w:val="5"/>
    </w:pPr>
    <w:rPr>
      <w:rFonts w:ascii="Arial" w:hAnsi="Arial"/>
      <w:i/>
    </w:rPr>
  </w:style>
  <w:style w:type="paragraph" w:styleId="Heading7">
    <w:name w:val="heading 7"/>
    <w:basedOn w:val="Normal"/>
    <w:next w:val="Normal"/>
    <w:qFormat/>
    <w:rsid w:val="000F7AFF"/>
    <w:pPr>
      <w:numPr>
        <w:ilvl w:val="6"/>
        <w:numId w:val="1"/>
      </w:numPr>
      <w:spacing w:before="240" w:after="60"/>
      <w:outlineLvl w:val="6"/>
    </w:pPr>
    <w:rPr>
      <w:rFonts w:ascii="Arial" w:hAnsi="Arial"/>
    </w:rPr>
  </w:style>
  <w:style w:type="paragraph" w:styleId="Heading8">
    <w:name w:val="heading 8"/>
    <w:basedOn w:val="Normal"/>
    <w:next w:val="Normal"/>
    <w:qFormat/>
    <w:rsid w:val="000F7AFF"/>
    <w:pPr>
      <w:outlineLvl w:val="7"/>
    </w:pPr>
    <w:rPr>
      <w:b/>
    </w:rPr>
  </w:style>
  <w:style w:type="paragraph" w:styleId="Heading9">
    <w:name w:val="heading 9"/>
    <w:basedOn w:val="Normal"/>
    <w:next w:val="Normal"/>
    <w:qFormat/>
    <w:rsid w:val="000F7AF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F7AFF"/>
    <w:pPr>
      <w:numPr>
        <w:numId w:val="5"/>
      </w:numPr>
    </w:pPr>
  </w:style>
  <w:style w:type="paragraph" w:styleId="Header">
    <w:name w:val="header"/>
    <w:basedOn w:val="Normal"/>
    <w:rsid w:val="000F7AFF"/>
    <w:pPr>
      <w:tabs>
        <w:tab w:val="center" w:pos="4320"/>
        <w:tab w:val="right" w:pos="8640"/>
      </w:tabs>
    </w:pPr>
  </w:style>
  <w:style w:type="paragraph" w:customStyle="1" w:styleId="sub-title">
    <w:name w:val="sub-title"/>
    <w:rsid w:val="000F7AFF"/>
    <w:pPr>
      <w:jc w:val="both"/>
      <w:outlineLvl w:val="0"/>
    </w:pPr>
    <w:rPr>
      <w:b/>
      <w:noProof/>
      <w:sz w:val="22"/>
      <w:szCs w:val="22"/>
    </w:rPr>
  </w:style>
  <w:style w:type="paragraph" w:customStyle="1" w:styleId="Title1">
    <w:name w:val="Title1"/>
    <w:rsid w:val="000F7AFF"/>
    <w:pPr>
      <w:jc w:val="center"/>
      <w:outlineLvl w:val="0"/>
    </w:pPr>
    <w:rPr>
      <w:b/>
      <w:caps/>
      <w:sz w:val="22"/>
      <w:szCs w:val="22"/>
      <w:lang w:val="en-GB"/>
    </w:rPr>
  </w:style>
  <w:style w:type="paragraph" w:customStyle="1" w:styleId="Decision">
    <w:name w:val="Decision"/>
    <w:basedOn w:val="Normal"/>
    <w:rsid w:val="000F7AFF"/>
    <w:pPr>
      <w:keepLines/>
      <w:jc w:val="right"/>
    </w:pPr>
    <w:rPr>
      <w:b/>
    </w:rPr>
  </w:style>
  <w:style w:type="paragraph" w:customStyle="1" w:styleId="0Heading0">
    <w:name w:val="0 Heading 0"/>
    <w:uiPriority w:val="99"/>
    <w:rsid w:val="000F7AFF"/>
    <w:rPr>
      <w:sz w:val="22"/>
      <w:szCs w:val="22"/>
      <w:lang w:val="en-GB"/>
    </w:rPr>
  </w:style>
  <w:style w:type="paragraph" w:styleId="Footer">
    <w:name w:val="footer"/>
    <w:basedOn w:val="Normal"/>
    <w:link w:val="FooterChar"/>
    <w:uiPriority w:val="99"/>
    <w:rsid w:val="000F7AFF"/>
    <w:pPr>
      <w:tabs>
        <w:tab w:val="center" w:pos="4320"/>
        <w:tab w:val="right" w:pos="8640"/>
      </w:tabs>
    </w:pPr>
  </w:style>
  <w:style w:type="numbering" w:styleId="1ai">
    <w:name w:val="Outline List 1"/>
    <w:basedOn w:val="NoList"/>
    <w:semiHidden/>
    <w:rsid w:val="000F7AFF"/>
    <w:pPr>
      <w:numPr>
        <w:numId w:val="6"/>
      </w:numPr>
    </w:pPr>
  </w:style>
  <w:style w:type="numbering" w:styleId="ArticleSection">
    <w:name w:val="Outline List 3"/>
    <w:basedOn w:val="NoList"/>
    <w:semiHidden/>
    <w:rsid w:val="000F7AFF"/>
    <w:pPr>
      <w:numPr>
        <w:numId w:val="7"/>
      </w:numPr>
    </w:pPr>
  </w:style>
  <w:style w:type="paragraph" w:styleId="BlockText">
    <w:name w:val="Block Text"/>
    <w:basedOn w:val="Normal"/>
    <w:semiHidden/>
    <w:rsid w:val="000F7AFF"/>
    <w:pPr>
      <w:spacing w:after="120"/>
      <w:ind w:left="1440" w:right="1440"/>
    </w:pPr>
  </w:style>
  <w:style w:type="paragraph" w:styleId="BodyText3">
    <w:name w:val="Body Text 3"/>
    <w:basedOn w:val="Normal"/>
    <w:semiHidden/>
    <w:rsid w:val="000F7AFF"/>
    <w:pPr>
      <w:spacing w:after="120"/>
    </w:pPr>
    <w:rPr>
      <w:sz w:val="16"/>
      <w:szCs w:val="16"/>
    </w:rPr>
  </w:style>
  <w:style w:type="paragraph" w:styleId="BodyTextIndent3">
    <w:name w:val="Body Text Indent 3"/>
    <w:basedOn w:val="Normal"/>
    <w:semiHidden/>
    <w:rsid w:val="000F7AFF"/>
    <w:pPr>
      <w:spacing w:after="120"/>
      <w:ind w:left="360"/>
    </w:pPr>
    <w:rPr>
      <w:sz w:val="16"/>
      <w:szCs w:val="16"/>
    </w:rPr>
  </w:style>
  <w:style w:type="paragraph" w:styleId="PlainText">
    <w:name w:val="Plain Text"/>
    <w:basedOn w:val="Normal"/>
    <w:semiHidden/>
    <w:rsid w:val="000F7AFF"/>
    <w:rPr>
      <w:rFonts w:ascii="Courier New" w:hAnsi="Courier New" w:cs="Courier New"/>
      <w:sz w:val="20"/>
    </w:rPr>
  </w:style>
  <w:style w:type="table" w:styleId="Table3Deffects1">
    <w:name w:val="Table 3D effects 1"/>
    <w:basedOn w:val="TableNormal"/>
    <w:semiHidden/>
    <w:rsid w:val="000F7AF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AF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AF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AF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AF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AF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AF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AF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AF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AF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AF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AF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AF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AF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AF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AF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AF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7A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7AF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AF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AF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AF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AF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AF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AF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AF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AF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AF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AF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AF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AF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AF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AF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AF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AF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AF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AF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AF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AF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AF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A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AF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AF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AF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0F7AFF"/>
    <w:rPr>
      <w:sz w:val="24"/>
      <w:lang w:val="en-GB" w:bidi="ar-DZ"/>
    </w:rPr>
  </w:style>
  <w:style w:type="paragraph" w:customStyle="1" w:styleId="Header4">
    <w:name w:val="Header4"/>
    <w:aliases w:val="Para 4"/>
    <w:basedOn w:val="Normal"/>
    <w:next w:val="Normal"/>
    <w:rsid w:val="000F7AFF"/>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0F7AFF"/>
    <w:rPr>
      <w:sz w:val="16"/>
      <w:szCs w:val="16"/>
    </w:rPr>
  </w:style>
  <w:style w:type="paragraph" w:styleId="Subtitle">
    <w:name w:val="Subtitle"/>
    <w:basedOn w:val="Normal"/>
    <w:qFormat/>
    <w:rsid w:val="000F7AFF"/>
    <w:pPr>
      <w:spacing w:after="60"/>
      <w:jc w:val="center"/>
      <w:outlineLvl w:val="1"/>
    </w:pPr>
    <w:rPr>
      <w:rFonts w:ascii="Arial" w:hAnsi="Arial" w:cs="Arial"/>
    </w:rPr>
  </w:style>
  <w:style w:type="paragraph" w:styleId="Title">
    <w:name w:val="Title"/>
    <w:basedOn w:val="Normal"/>
    <w:qFormat/>
    <w:rsid w:val="000F7AFF"/>
    <w:pPr>
      <w:spacing w:before="240" w:after="60"/>
      <w:jc w:val="center"/>
      <w:outlineLvl w:val="0"/>
    </w:pPr>
    <w:rPr>
      <w:rFonts w:ascii="Arial" w:hAnsi="Arial" w:cs="Arial"/>
      <w:b/>
      <w:bCs/>
      <w:kern w:val="28"/>
    </w:rPr>
  </w:style>
  <w:style w:type="paragraph" w:styleId="Date">
    <w:name w:val="Date"/>
    <w:basedOn w:val="Normal"/>
    <w:next w:val="Normal"/>
    <w:rsid w:val="000F7AFF"/>
  </w:style>
  <w:style w:type="character" w:styleId="PlaceholderText">
    <w:name w:val="Placeholder Text"/>
    <w:basedOn w:val="DefaultParagraphFont"/>
    <w:uiPriority w:val="99"/>
    <w:semiHidden/>
    <w:rsid w:val="000F7AFF"/>
    <w:rPr>
      <w:color w:val="808080"/>
    </w:rPr>
  </w:style>
  <w:style w:type="paragraph" w:styleId="BalloonText">
    <w:name w:val="Balloon Text"/>
    <w:basedOn w:val="Normal"/>
    <w:link w:val="BalloonTextChar"/>
    <w:uiPriority w:val="99"/>
    <w:semiHidden/>
    <w:unhideWhenUsed/>
    <w:rsid w:val="000F7AFF"/>
    <w:rPr>
      <w:rFonts w:ascii="Tahoma" w:hAnsi="Tahoma" w:cs="Tahoma"/>
      <w:sz w:val="16"/>
      <w:szCs w:val="16"/>
    </w:rPr>
  </w:style>
  <w:style w:type="character" w:customStyle="1" w:styleId="BalloonTextChar">
    <w:name w:val="Balloon Text Char"/>
    <w:basedOn w:val="DefaultParagraphFont"/>
    <w:link w:val="BalloonText"/>
    <w:uiPriority w:val="99"/>
    <w:semiHidden/>
    <w:rsid w:val="000F7AFF"/>
    <w:rPr>
      <w:rFonts w:ascii="Tahoma" w:hAnsi="Tahoma" w:cs="Tahoma"/>
      <w:sz w:val="16"/>
      <w:szCs w:val="16"/>
      <w:lang w:val="en-GB"/>
    </w:rPr>
  </w:style>
  <w:style w:type="paragraph" w:styleId="CommentText">
    <w:name w:val="annotation text"/>
    <w:basedOn w:val="Normal"/>
    <w:link w:val="CommentTextChar"/>
    <w:uiPriority w:val="99"/>
    <w:semiHidden/>
    <w:unhideWhenUsed/>
    <w:rsid w:val="000F7AFF"/>
    <w:rPr>
      <w:sz w:val="20"/>
    </w:rPr>
  </w:style>
  <w:style w:type="character" w:customStyle="1" w:styleId="CommentTextChar">
    <w:name w:val="Comment Text Char"/>
    <w:basedOn w:val="DefaultParagraphFont"/>
    <w:link w:val="CommentText"/>
    <w:uiPriority w:val="99"/>
    <w:semiHidden/>
    <w:rsid w:val="000F7AFF"/>
    <w:rPr>
      <w:lang w:val="en-GB"/>
    </w:rPr>
  </w:style>
  <w:style w:type="paragraph" w:styleId="CommentSubject">
    <w:name w:val="annotation subject"/>
    <w:basedOn w:val="CommentText"/>
    <w:next w:val="CommentText"/>
    <w:link w:val="CommentSubjectChar"/>
    <w:uiPriority w:val="99"/>
    <w:semiHidden/>
    <w:unhideWhenUsed/>
    <w:rsid w:val="000F7AFF"/>
    <w:rPr>
      <w:b/>
      <w:bCs/>
    </w:rPr>
  </w:style>
  <w:style w:type="character" w:customStyle="1" w:styleId="CommentSubjectChar">
    <w:name w:val="Comment Subject Char"/>
    <w:basedOn w:val="CommentTextChar"/>
    <w:link w:val="CommentSubject"/>
    <w:uiPriority w:val="99"/>
    <w:semiHidden/>
    <w:rsid w:val="000F7AFF"/>
    <w:rPr>
      <w:b/>
      <w:bCs/>
      <w:lang w:val="en-GB"/>
    </w:rPr>
  </w:style>
  <w:style w:type="paragraph" w:customStyle="1" w:styleId="StyleHeader4Para4Left0Firstline0">
    <w:name w:val="Style Header4Para 4 + Left:  0&quot; First line:  0&quot;"/>
    <w:basedOn w:val="Header4"/>
    <w:rsid w:val="000F7AFF"/>
    <w:pPr>
      <w:ind w:left="0" w:firstLine="0"/>
    </w:pPr>
    <w:rPr>
      <w:sz w:val="20"/>
    </w:rPr>
  </w:style>
  <w:style w:type="paragraph" w:styleId="Caption">
    <w:name w:val="caption"/>
    <w:basedOn w:val="Normal"/>
    <w:next w:val="Normal"/>
    <w:qFormat/>
    <w:rsid w:val="000F7AFF"/>
    <w:pPr>
      <w:bidi/>
      <w:ind w:left="180" w:hanging="180"/>
      <w:jc w:val="lowKashida"/>
    </w:pPr>
    <w:rPr>
      <w:rFonts w:cs="Simplified Arabic"/>
      <w:szCs w:val="32"/>
      <w:lang w:val="en-US" w:eastAsia="en-CA"/>
    </w:rPr>
  </w:style>
  <w:style w:type="character" w:styleId="PageNumber">
    <w:name w:val="page number"/>
    <w:basedOn w:val="DefaultParagraphFont"/>
    <w:semiHidden/>
    <w:rsid w:val="000F7AFF"/>
  </w:style>
  <w:style w:type="character" w:customStyle="1" w:styleId="FooterChar">
    <w:name w:val="Footer Char"/>
    <w:basedOn w:val="DefaultParagraphFont"/>
    <w:link w:val="Footer"/>
    <w:uiPriority w:val="99"/>
    <w:rsid w:val="000F7AFF"/>
    <w:rPr>
      <w:sz w:val="24"/>
      <w:lang w:val="en-GB" w:bidi="ar-DZ"/>
    </w:rPr>
  </w:style>
  <w:style w:type="paragraph" w:styleId="ListParagraph">
    <w:name w:val="List Paragraph"/>
    <w:basedOn w:val="Normal"/>
    <w:uiPriority w:val="34"/>
    <w:qFormat/>
    <w:rsid w:val="006669CD"/>
    <w:pPr>
      <w:ind w:left="720"/>
      <w:contextualSpacing/>
    </w:pPr>
  </w:style>
  <w:style w:type="paragraph" w:styleId="FootnoteText">
    <w:name w:val="footnote text"/>
    <w:basedOn w:val="Normal"/>
    <w:link w:val="FootnoteTextChar"/>
    <w:uiPriority w:val="99"/>
    <w:semiHidden/>
    <w:unhideWhenUsed/>
    <w:rsid w:val="001E1761"/>
    <w:rPr>
      <w:sz w:val="20"/>
    </w:rPr>
  </w:style>
  <w:style w:type="character" w:customStyle="1" w:styleId="FootnoteTextChar">
    <w:name w:val="Footnote Text Char"/>
    <w:basedOn w:val="DefaultParagraphFont"/>
    <w:link w:val="FootnoteText"/>
    <w:uiPriority w:val="99"/>
    <w:semiHidden/>
    <w:rsid w:val="001E1761"/>
    <w:rPr>
      <w:lang w:val="en-GB" w:bidi="ar-DZ"/>
    </w:rPr>
  </w:style>
  <w:style w:type="character" w:styleId="FootnoteReference">
    <w:name w:val="footnote reference"/>
    <w:basedOn w:val="DefaultParagraphFont"/>
    <w:uiPriority w:val="99"/>
    <w:semiHidden/>
    <w:unhideWhenUsed/>
    <w:rsid w:val="001E1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a\AppData\Local\Temp\A85-template%20-%20with%20footnot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UNEP/OzL.Pro/ExCom/85/28</Document_x0020_Number>
    <DocumentType xmlns="48d2d36d-b4e3-478b-a344-cdbeebaca89a">Pre-session</DocumentType>
  </documentManagement>
</p:properties>
</file>

<file path=customXml/itemProps1.xml><?xml version="1.0" encoding="utf-8"?>
<ds:datastoreItem xmlns:ds="http://schemas.openxmlformats.org/officeDocument/2006/customXml" ds:itemID="{E5F0786A-4295-4C49-9A53-FAAA44552612}"/>
</file>

<file path=customXml/itemProps2.xml><?xml version="1.0" encoding="utf-8"?>
<ds:datastoreItem xmlns:ds="http://schemas.openxmlformats.org/officeDocument/2006/customXml" ds:itemID="{C2D97897-FE15-48CF-9F56-888F902823FD}"/>
</file>

<file path=customXml/itemProps3.xml><?xml version="1.0" encoding="utf-8"?>
<ds:datastoreItem xmlns:ds="http://schemas.openxmlformats.org/officeDocument/2006/customXml" ds:itemID="{12CE79A5-549D-48C7-BB24-315EAC344D19}"/>
</file>

<file path=customXml/itemProps4.xml><?xml version="1.0" encoding="utf-8"?>
<ds:datastoreItem xmlns:ds="http://schemas.openxmlformats.org/officeDocument/2006/customXml" ds:itemID="{8DB6578A-1CB3-44E6-A934-F30DC5FC083B}"/>
</file>

<file path=docProps/app.xml><?xml version="1.0" encoding="utf-8"?>
<Properties xmlns="http://schemas.openxmlformats.org/officeDocument/2006/extended-properties" xmlns:vt="http://schemas.openxmlformats.org/officeDocument/2006/docPropsVTypes">
  <Template>A85-template - with footnote-2</Template>
  <TotalTime>4</TotalTime>
  <Pages>9</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مُقترح مشروع: غواتيمالا</vt:lpstr>
    </vt:vector>
  </TitlesOfParts>
  <Company>UNMFS</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غواتيمالا</dc:title>
  <dc:creator>Shareef</dc:creator>
  <cp:lastModifiedBy>Lynda</cp:lastModifiedBy>
  <cp:revision>14</cp:revision>
  <cp:lastPrinted>2001-05-26T16:40:00Z</cp:lastPrinted>
  <dcterms:created xsi:type="dcterms:W3CDTF">2020-04-30T18:12:00Z</dcterms:created>
  <dcterms:modified xsi:type="dcterms:W3CDTF">2020-05-18T03:15:00Z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UNEP/OzL.Pro/ExCom/85/28</vt:lpwstr>
  </property>
  <property fmtid="{D5CDD505-2E9C-101B-9397-08002B2CF9AE}" pid="3" name="Revision date">
    <vt:lpwstr>4/27/2020</vt:lpwstr>
  </property>
  <property fmtid="{D5CDD505-2E9C-101B-9397-08002B2CF9AE}" pid="4" name="ContentTypeId">
    <vt:lpwstr>0x0101000F92D74A04FAEF42BD852E17FDD6E5B6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