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227F4F" w:rsidRPr="004E55B1" w14:paraId="44C14AE5" w14:textId="77777777" w:rsidTr="00724F2A">
        <w:trPr>
          <w:trHeight w:val="720"/>
        </w:trPr>
        <w:tc>
          <w:tcPr>
            <w:tcW w:w="5490" w:type="dxa"/>
            <w:gridSpan w:val="2"/>
            <w:tcBorders>
              <w:bottom w:val="single" w:sz="18" w:space="0" w:color="auto"/>
            </w:tcBorders>
          </w:tcPr>
          <w:p w14:paraId="69DB20A3" w14:textId="77777777" w:rsidR="00227F4F" w:rsidRPr="004E55B1" w:rsidRDefault="00227F4F" w:rsidP="00724F2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4E55B1">
              <w:rPr>
                <w:rFonts w:ascii="Univers" w:hAnsi="Univers"/>
                <w:b/>
                <w:sz w:val="28"/>
                <w:szCs w:val="28"/>
                <w:lang w:val="en-CA"/>
              </w:rPr>
              <w:t>UNITED</w:t>
            </w:r>
            <w:r w:rsidRPr="004E55B1">
              <w:rPr>
                <w:rFonts w:ascii="Univers" w:hAnsi="Univers"/>
                <w:b/>
                <w:sz w:val="28"/>
                <w:szCs w:val="28"/>
                <w:lang w:val="en-CA"/>
              </w:rPr>
              <w:br/>
              <w:t>NATIONS</w:t>
            </w:r>
          </w:p>
        </w:tc>
        <w:tc>
          <w:tcPr>
            <w:tcW w:w="4590" w:type="dxa"/>
            <w:tcBorders>
              <w:bottom w:val="single" w:sz="18" w:space="0" w:color="auto"/>
            </w:tcBorders>
          </w:tcPr>
          <w:p w14:paraId="167FED5A" w14:textId="77777777" w:rsidR="00227F4F" w:rsidRPr="004E55B1" w:rsidRDefault="00227F4F" w:rsidP="00724F2A">
            <w:pPr>
              <w:jc w:val="right"/>
              <w:rPr>
                <w:sz w:val="52"/>
                <w:szCs w:val="52"/>
                <w:lang w:val="en-CA"/>
              </w:rPr>
            </w:pPr>
            <w:r w:rsidRPr="004E55B1">
              <w:rPr>
                <w:rFonts w:ascii="Univers Bold" w:hAnsi="Univers Bold"/>
                <w:b/>
                <w:sz w:val="72"/>
                <w:lang w:val="en-CA"/>
              </w:rPr>
              <w:t>EP</w:t>
            </w:r>
          </w:p>
        </w:tc>
      </w:tr>
      <w:tr w:rsidR="00227F4F" w:rsidRPr="004E55B1" w14:paraId="7964CAEF" w14:textId="77777777" w:rsidTr="00724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6630BAF" w14:textId="77777777" w:rsidR="00227F4F" w:rsidRPr="004E55B1" w:rsidRDefault="007B3D87" w:rsidP="00724F2A">
            <w:pPr>
              <w:spacing w:before="120"/>
              <w:rPr>
                <w:lang w:val="en-CA"/>
              </w:rPr>
            </w:pPr>
            <w:r w:rsidRPr="004E55B1">
              <w:rPr>
                <w:noProof/>
                <w:lang w:val="en-US" w:eastAsia="en-US"/>
              </w:rPr>
              <mc:AlternateContent>
                <mc:Choice Requires="wpg">
                  <w:drawing>
                    <wp:anchor distT="0" distB="0" distL="114300" distR="114300" simplePos="0" relativeHeight="251660288" behindDoc="0" locked="0" layoutInCell="1" allowOverlap="1" wp14:anchorId="321BDFAE" wp14:editId="7260F78A">
                      <wp:simplePos x="0" y="0"/>
                      <wp:positionH relativeFrom="column">
                        <wp:posOffset>15240</wp:posOffset>
                      </wp:positionH>
                      <wp:positionV relativeFrom="paragraph">
                        <wp:posOffset>48895</wp:posOffset>
                      </wp:positionV>
                      <wp:extent cx="857250" cy="1622425"/>
                      <wp:effectExtent l="0" t="0" r="0" b="0"/>
                      <wp:wrapNone/>
                      <wp:docPr id="1" name="Group 1"/>
                      <wp:cNvGraphicFramePr/>
                      <a:graphic xmlns:a="http://schemas.openxmlformats.org/drawingml/2006/main">
                        <a:graphicData uri="http://schemas.microsoft.com/office/word/2010/wordprocessingGroup">
                          <wpg:wgp>
                            <wpg:cNvGrpSpPr/>
                            <wpg:grpSpPr>
                              <a:xfrm>
                                <a:off x="0" y="0"/>
                                <a:ext cx="857250" cy="1622425"/>
                                <a:chOff x="0" y="0"/>
                                <a:chExt cx="857250" cy="162242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19050" y="77470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4D57F6" id="Group 1" o:spid="_x0000_s1026" style="position:absolute;margin-left:1.2pt;margin-top:3.85pt;width:67.5pt;height:127.75pt;z-index:251660288" coordsize="8572,16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190;top:7747;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3420" w:type="dxa"/>
            <w:tcBorders>
              <w:top w:val="nil"/>
              <w:left w:val="nil"/>
              <w:bottom w:val="single" w:sz="36" w:space="0" w:color="auto"/>
              <w:right w:val="nil"/>
            </w:tcBorders>
          </w:tcPr>
          <w:p w14:paraId="60C3FFE7" w14:textId="77777777" w:rsidR="00227F4F" w:rsidRPr="004E55B1" w:rsidRDefault="00227F4F" w:rsidP="00724F2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4E55B1">
              <w:rPr>
                <w:rFonts w:ascii="Univers" w:hAnsi="Univers"/>
                <w:b/>
                <w:sz w:val="32"/>
                <w:lang w:val="en-CA"/>
              </w:rPr>
              <w:t>United Nations</w:t>
            </w:r>
          </w:p>
          <w:p w14:paraId="5A3D3E1F" w14:textId="77777777" w:rsidR="00227F4F" w:rsidRPr="004E55B1" w:rsidRDefault="00227F4F" w:rsidP="00724F2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4E55B1">
              <w:rPr>
                <w:rFonts w:ascii="Univers" w:hAnsi="Univers"/>
                <w:b/>
                <w:sz w:val="32"/>
                <w:lang w:val="en-CA"/>
              </w:rPr>
              <w:t>Environment</w:t>
            </w:r>
          </w:p>
          <w:p w14:paraId="7A85191A" w14:textId="77777777" w:rsidR="00227F4F" w:rsidRPr="004E55B1" w:rsidRDefault="00227F4F" w:rsidP="00724F2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4E55B1">
              <w:rPr>
                <w:rFonts w:ascii="Univers" w:hAnsi="Univers"/>
                <w:b/>
                <w:sz w:val="32"/>
                <w:lang w:val="en-CA"/>
              </w:rPr>
              <w:t>Programme</w:t>
            </w:r>
          </w:p>
          <w:p w14:paraId="5F210596" w14:textId="77777777" w:rsidR="00227F4F" w:rsidRPr="004E55B1" w:rsidRDefault="00227F4F" w:rsidP="00724F2A">
            <w:pPr>
              <w:spacing w:before="720"/>
              <w:ind w:left="158"/>
              <w:rPr>
                <w:lang w:val="en-CA"/>
              </w:rPr>
            </w:pPr>
          </w:p>
        </w:tc>
        <w:tc>
          <w:tcPr>
            <w:tcW w:w="4590" w:type="dxa"/>
            <w:tcBorders>
              <w:top w:val="nil"/>
              <w:left w:val="nil"/>
              <w:bottom w:val="single" w:sz="36" w:space="0" w:color="auto"/>
              <w:right w:val="nil"/>
            </w:tcBorders>
          </w:tcPr>
          <w:p w14:paraId="10E0312C" w14:textId="77777777" w:rsidR="00227F4F" w:rsidRPr="004E55B1" w:rsidRDefault="00227F4F" w:rsidP="00724F2A">
            <w:pPr>
              <w:rPr>
                <w:sz w:val="22"/>
                <w:szCs w:val="22"/>
                <w:lang w:val="en-CA"/>
              </w:rPr>
            </w:pPr>
            <w:r w:rsidRPr="004E55B1">
              <w:rPr>
                <w:sz w:val="22"/>
                <w:szCs w:val="22"/>
                <w:lang w:val="en-CA"/>
              </w:rPr>
              <w:t>Distr.</w:t>
            </w:r>
          </w:p>
          <w:p w14:paraId="03CB2B1F" w14:textId="081D204C" w:rsidR="00227F4F" w:rsidRPr="004E55B1" w:rsidRDefault="00A42436" w:rsidP="00724F2A">
            <w:pPr>
              <w:rPr>
                <w:sz w:val="22"/>
                <w:szCs w:val="22"/>
                <w:lang w:val="en-CA"/>
              </w:rPr>
            </w:pPr>
            <w:r w:rsidRPr="004E55B1">
              <w:rPr>
                <w:sz w:val="22"/>
                <w:szCs w:val="22"/>
                <w:lang w:val="en-CA"/>
              </w:rPr>
              <w:t>GENERAL</w:t>
            </w:r>
          </w:p>
          <w:p w14:paraId="2441F857" w14:textId="77777777" w:rsidR="00227F4F" w:rsidRPr="004E55B1" w:rsidRDefault="00227F4F" w:rsidP="00724F2A">
            <w:pPr>
              <w:rPr>
                <w:sz w:val="22"/>
                <w:szCs w:val="22"/>
                <w:lang w:val="en-CA"/>
              </w:rPr>
            </w:pPr>
          </w:p>
          <w:p w14:paraId="11E0DE4D" w14:textId="77777777" w:rsidR="00227F4F" w:rsidRPr="004E55B1" w:rsidRDefault="00227F4F" w:rsidP="00724F2A">
            <w:pPr>
              <w:rPr>
                <w:sz w:val="22"/>
                <w:szCs w:val="22"/>
                <w:lang w:val="en-CA"/>
              </w:rPr>
            </w:pPr>
          </w:p>
          <w:p w14:paraId="7ABCE864" w14:textId="73DA6395" w:rsidR="00227F4F" w:rsidRPr="004E55B1" w:rsidRDefault="00227F4F" w:rsidP="00724F2A">
            <w:pPr>
              <w:rPr>
                <w:sz w:val="22"/>
                <w:szCs w:val="22"/>
                <w:lang w:val="en-CA"/>
              </w:rPr>
            </w:pPr>
            <w:r w:rsidRPr="004E55B1">
              <w:rPr>
                <w:sz w:val="22"/>
                <w:szCs w:val="22"/>
                <w:lang w:val="en-CA"/>
              </w:rPr>
              <w:fldChar w:fldCharType="begin"/>
            </w:r>
            <w:r w:rsidRPr="004E55B1">
              <w:rPr>
                <w:sz w:val="22"/>
                <w:szCs w:val="22"/>
                <w:lang w:val="en-CA"/>
              </w:rPr>
              <w:instrText xml:space="preserve"> DOCPROPERTY "Document number"  \* MERGEFORMAT </w:instrText>
            </w:r>
            <w:r w:rsidRPr="004E55B1">
              <w:rPr>
                <w:sz w:val="22"/>
                <w:szCs w:val="22"/>
                <w:lang w:val="en-CA"/>
              </w:rPr>
              <w:fldChar w:fldCharType="separate"/>
            </w:r>
            <w:r w:rsidR="00144270" w:rsidRPr="004E55B1">
              <w:rPr>
                <w:sz w:val="22"/>
                <w:szCs w:val="22"/>
                <w:lang w:val="en-CA"/>
              </w:rPr>
              <w:t>UNEP/OzL.Pro/ExCom/85/27</w:t>
            </w:r>
            <w:r w:rsidRPr="004E55B1">
              <w:rPr>
                <w:sz w:val="22"/>
                <w:szCs w:val="22"/>
                <w:lang w:val="en-CA"/>
              </w:rPr>
              <w:fldChar w:fldCharType="end"/>
            </w:r>
          </w:p>
          <w:p w14:paraId="3C2C3BEA" w14:textId="24A79344" w:rsidR="00227F4F" w:rsidRPr="004E55B1" w:rsidRDefault="00227F4F" w:rsidP="00724F2A">
            <w:pPr>
              <w:rPr>
                <w:sz w:val="22"/>
                <w:szCs w:val="22"/>
                <w:lang w:val="en-CA"/>
              </w:rPr>
            </w:pPr>
            <w:r w:rsidRPr="004E55B1">
              <w:rPr>
                <w:sz w:val="22"/>
                <w:szCs w:val="22"/>
                <w:lang w:val="en-CA"/>
              </w:rPr>
              <w:fldChar w:fldCharType="begin"/>
            </w:r>
            <w:r w:rsidRPr="004E55B1">
              <w:rPr>
                <w:sz w:val="22"/>
                <w:szCs w:val="22"/>
                <w:lang w:val="en-CA"/>
              </w:rPr>
              <w:instrText xml:space="preserve"> DOCPROPERTY "Revision date" \@ "d MMMM YYYY"  \* MERGEFORMAT </w:instrText>
            </w:r>
            <w:r w:rsidRPr="004E55B1">
              <w:rPr>
                <w:sz w:val="22"/>
                <w:szCs w:val="22"/>
                <w:lang w:val="en-CA"/>
              </w:rPr>
              <w:fldChar w:fldCharType="separate"/>
            </w:r>
            <w:r w:rsidR="00EA5E03">
              <w:rPr>
                <w:sz w:val="22"/>
                <w:szCs w:val="22"/>
                <w:lang w:val="en-CA"/>
              </w:rPr>
              <w:t>4 May 2020</w:t>
            </w:r>
            <w:r w:rsidRPr="004E55B1">
              <w:rPr>
                <w:sz w:val="22"/>
                <w:szCs w:val="22"/>
                <w:lang w:val="en-CA"/>
              </w:rPr>
              <w:fldChar w:fldCharType="end"/>
            </w:r>
          </w:p>
          <w:p w14:paraId="080355F4" w14:textId="77777777" w:rsidR="00227F4F" w:rsidRPr="004E55B1" w:rsidRDefault="00227F4F" w:rsidP="00724F2A">
            <w:pPr>
              <w:rPr>
                <w:caps/>
                <w:sz w:val="22"/>
                <w:szCs w:val="22"/>
                <w:lang w:val="en-CA"/>
              </w:rPr>
            </w:pPr>
          </w:p>
          <w:p w14:paraId="0305323C" w14:textId="77777777" w:rsidR="00227F4F" w:rsidRPr="004E55B1" w:rsidRDefault="00227F4F" w:rsidP="00724F2A">
            <w:pPr>
              <w:rPr>
                <w:lang w:val="en-CA"/>
              </w:rPr>
            </w:pPr>
            <w:r w:rsidRPr="004E55B1">
              <w:rPr>
                <w:sz w:val="22"/>
                <w:szCs w:val="22"/>
                <w:lang w:val="en-CA"/>
              </w:rPr>
              <w:t>ORIGINAL: ENGLISH</w:t>
            </w:r>
          </w:p>
        </w:tc>
      </w:tr>
    </w:tbl>
    <w:p w14:paraId="2ACA3A4C" w14:textId="77777777" w:rsidR="00A852F9" w:rsidRPr="004E55B1" w:rsidRDefault="00227F4F" w:rsidP="00A852F9">
      <w:pPr>
        <w:rPr>
          <w:sz w:val="22"/>
          <w:szCs w:val="22"/>
          <w:lang w:val="en-CA"/>
        </w:rPr>
      </w:pPr>
      <w:r w:rsidRPr="004E55B1">
        <w:rPr>
          <w:sz w:val="22"/>
          <w:szCs w:val="22"/>
          <w:lang w:val="en-CA"/>
        </w:rPr>
        <w:t>EXECUTIVE COMMITTEE OF</w:t>
      </w:r>
      <w:r w:rsidRPr="004E55B1">
        <w:rPr>
          <w:sz w:val="22"/>
          <w:szCs w:val="22"/>
          <w:lang w:val="en-CA"/>
        </w:rPr>
        <w:br/>
        <w:t xml:space="preserve">  THE MULTILATERAL FUND FOR THE</w:t>
      </w:r>
      <w:r w:rsidRPr="004E55B1">
        <w:rPr>
          <w:sz w:val="22"/>
          <w:szCs w:val="22"/>
          <w:lang w:val="en-CA"/>
        </w:rPr>
        <w:br/>
        <w:t xml:space="preserve">  IMPLEMENTATION OF THE MONTREAL PROTOCOL</w:t>
      </w:r>
      <w:r w:rsidRPr="004E55B1">
        <w:rPr>
          <w:sz w:val="22"/>
          <w:szCs w:val="22"/>
          <w:lang w:val="en-CA"/>
        </w:rPr>
        <w:br/>
      </w:r>
      <w:r w:rsidR="004D7C74" w:rsidRPr="004E55B1">
        <w:rPr>
          <w:sz w:val="22"/>
          <w:szCs w:val="22"/>
          <w:lang w:val="en-CA"/>
        </w:rPr>
        <w:t>Eighty-</w:t>
      </w:r>
      <w:r w:rsidR="00470584" w:rsidRPr="004E55B1">
        <w:rPr>
          <w:sz w:val="22"/>
          <w:szCs w:val="22"/>
          <w:lang w:val="en-CA"/>
        </w:rPr>
        <w:t xml:space="preserve">fifth </w:t>
      </w:r>
      <w:r w:rsidR="00A852F9" w:rsidRPr="004E55B1">
        <w:rPr>
          <w:sz w:val="22"/>
          <w:szCs w:val="22"/>
          <w:lang w:val="en-CA"/>
        </w:rPr>
        <w:t>Meeting</w:t>
      </w:r>
    </w:p>
    <w:p w14:paraId="2B2B4FC0" w14:textId="77777777" w:rsidR="00A852F9" w:rsidRPr="004E55B1" w:rsidRDefault="00A852F9" w:rsidP="00A852F9">
      <w:pPr>
        <w:rPr>
          <w:sz w:val="22"/>
          <w:szCs w:val="22"/>
          <w:lang w:val="en-CA"/>
        </w:rPr>
      </w:pPr>
      <w:r w:rsidRPr="004E55B1">
        <w:rPr>
          <w:sz w:val="22"/>
          <w:szCs w:val="22"/>
          <w:lang w:val="en-CA"/>
        </w:rPr>
        <w:t xml:space="preserve">Montreal, </w:t>
      </w:r>
      <w:r w:rsidR="004D7C74" w:rsidRPr="004E55B1">
        <w:rPr>
          <w:sz w:val="22"/>
          <w:szCs w:val="22"/>
          <w:lang w:val="en-CA"/>
        </w:rPr>
        <w:t>25-2</w:t>
      </w:r>
      <w:r w:rsidRPr="004E55B1">
        <w:rPr>
          <w:sz w:val="22"/>
          <w:szCs w:val="22"/>
          <w:lang w:val="en-CA"/>
        </w:rPr>
        <w:t>9 May 2020</w:t>
      </w:r>
    </w:p>
    <w:p w14:paraId="54A14F18" w14:textId="77777777" w:rsidR="008F41E6" w:rsidRPr="004E55B1" w:rsidRDefault="008F41E6" w:rsidP="008F41E6">
      <w:pPr>
        <w:rPr>
          <w:sz w:val="22"/>
          <w:szCs w:val="22"/>
          <w:lang w:val="en-CA"/>
        </w:rPr>
      </w:pPr>
      <w:r w:rsidRPr="004E55B1">
        <w:rPr>
          <w:sz w:val="22"/>
          <w:szCs w:val="22"/>
          <w:lang w:val="en-CA"/>
        </w:rPr>
        <w:t>Postponed to 19-22 July 2020*</w:t>
      </w:r>
    </w:p>
    <w:p w14:paraId="379F3FEF" w14:textId="77777777" w:rsidR="00227F4F" w:rsidRPr="004E55B1" w:rsidRDefault="00227F4F" w:rsidP="00A852F9">
      <w:pPr>
        <w:rPr>
          <w:sz w:val="22"/>
          <w:szCs w:val="22"/>
          <w:lang w:val="en-CA"/>
        </w:rPr>
      </w:pPr>
    </w:p>
    <w:p w14:paraId="73647CBA" w14:textId="77777777" w:rsidR="00AC3935" w:rsidRPr="004E55B1" w:rsidRDefault="00AC3935">
      <w:pPr>
        <w:rPr>
          <w:sz w:val="22"/>
          <w:szCs w:val="22"/>
          <w:lang w:val="en-CA"/>
        </w:rPr>
      </w:pPr>
    </w:p>
    <w:p w14:paraId="7111E1A8" w14:textId="549CE2ED" w:rsidR="00AC3935" w:rsidRPr="004E55B1" w:rsidRDefault="00AC3935">
      <w:pPr>
        <w:rPr>
          <w:sz w:val="22"/>
          <w:szCs w:val="22"/>
          <w:lang w:val="en-CA"/>
        </w:rPr>
      </w:pPr>
    </w:p>
    <w:p w14:paraId="21BA7E3C" w14:textId="491352D7" w:rsidR="00744A16" w:rsidRPr="004E55B1" w:rsidRDefault="00744A16">
      <w:pPr>
        <w:rPr>
          <w:sz w:val="22"/>
          <w:szCs w:val="22"/>
          <w:lang w:val="en-CA"/>
        </w:rPr>
      </w:pPr>
    </w:p>
    <w:p w14:paraId="055DCC37" w14:textId="77777777" w:rsidR="00744A16" w:rsidRPr="004E55B1" w:rsidRDefault="00744A16">
      <w:pPr>
        <w:rPr>
          <w:sz w:val="22"/>
          <w:szCs w:val="22"/>
          <w:lang w:val="en-CA"/>
        </w:rPr>
      </w:pPr>
    </w:p>
    <w:p w14:paraId="560ACE0F" w14:textId="77777777" w:rsidR="00AC3935" w:rsidRPr="004E55B1" w:rsidRDefault="00AC3935" w:rsidP="00B13355">
      <w:pPr>
        <w:jc w:val="right"/>
        <w:rPr>
          <w:b/>
          <w:sz w:val="22"/>
          <w:szCs w:val="22"/>
          <w:lang w:val="en-CA"/>
        </w:rPr>
      </w:pPr>
    </w:p>
    <w:p w14:paraId="741F6B5B" w14:textId="77777777" w:rsidR="006C049B" w:rsidRPr="004E55B1" w:rsidRDefault="006C049B" w:rsidP="006C049B">
      <w:pPr>
        <w:jc w:val="center"/>
        <w:rPr>
          <w:b/>
          <w:color w:val="0D0D0D" w:themeColor="text1" w:themeTint="F2"/>
          <w:sz w:val="22"/>
          <w:szCs w:val="22"/>
          <w:lang w:val="en-CA"/>
        </w:rPr>
      </w:pPr>
      <w:r w:rsidRPr="004E55B1">
        <w:rPr>
          <w:b/>
          <w:color w:val="0D0D0D" w:themeColor="text1" w:themeTint="F2"/>
          <w:sz w:val="22"/>
          <w:szCs w:val="22"/>
          <w:lang w:val="en-CA"/>
        </w:rPr>
        <w:t>PROJECT PROPOSAL: GEORGIA</w:t>
      </w:r>
    </w:p>
    <w:p w14:paraId="74668089" w14:textId="77777777" w:rsidR="006C049B" w:rsidRPr="004E55B1" w:rsidRDefault="006C049B" w:rsidP="006C049B">
      <w:pPr>
        <w:rPr>
          <w:color w:val="0D0D0D" w:themeColor="text1" w:themeTint="F2"/>
          <w:sz w:val="22"/>
          <w:szCs w:val="22"/>
          <w:lang w:val="en-CA"/>
        </w:rPr>
      </w:pPr>
    </w:p>
    <w:p w14:paraId="1B5DF8FD" w14:textId="77777777" w:rsidR="006C049B" w:rsidRPr="004E55B1" w:rsidRDefault="006C049B" w:rsidP="006C049B">
      <w:pPr>
        <w:rPr>
          <w:color w:val="0D0D0D" w:themeColor="text1" w:themeTint="F2"/>
          <w:sz w:val="22"/>
          <w:szCs w:val="22"/>
          <w:lang w:val="en-CA"/>
        </w:rPr>
      </w:pPr>
    </w:p>
    <w:p w14:paraId="7F25C711" w14:textId="77777777" w:rsidR="006C049B" w:rsidRPr="004E55B1" w:rsidRDefault="006C049B" w:rsidP="006C049B">
      <w:pPr>
        <w:ind w:firstLine="720"/>
        <w:rPr>
          <w:color w:val="0D0D0D" w:themeColor="text1" w:themeTint="F2"/>
          <w:sz w:val="22"/>
          <w:szCs w:val="22"/>
          <w:lang w:val="en-CA"/>
        </w:rPr>
      </w:pPr>
      <w:r w:rsidRPr="004E55B1">
        <w:rPr>
          <w:color w:val="0D0D0D" w:themeColor="text1" w:themeTint="F2"/>
          <w:sz w:val="22"/>
          <w:szCs w:val="22"/>
          <w:lang w:val="en-CA"/>
        </w:rPr>
        <w:t xml:space="preserve">This document consists of the comments and recommendation of the Secretariat on the following project proposal: </w:t>
      </w:r>
    </w:p>
    <w:p w14:paraId="6752CA1D" w14:textId="77777777" w:rsidR="006C049B" w:rsidRPr="004E55B1" w:rsidRDefault="006C049B" w:rsidP="006C049B">
      <w:pPr>
        <w:rPr>
          <w:color w:val="0D0D0D" w:themeColor="text1" w:themeTint="F2"/>
          <w:sz w:val="22"/>
          <w:szCs w:val="22"/>
          <w:lang w:val="en-CA"/>
        </w:rPr>
      </w:pPr>
    </w:p>
    <w:p w14:paraId="6E20ACF3" w14:textId="77777777" w:rsidR="006C049B" w:rsidRPr="004E55B1" w:rsidRDefault="006C049B" w:rsidP="006C049B">
      <w:pPr>
        <w:rPr>
          <w:color w:val="0D0D0D" w:themeColor="text1" w:themeTint="F2"/>
          <w:sz w:val="22"/>
          <w:szCs w:val="22"/>
          <w:u w:val="single"/>
          <w:lang w:val="en-CA"/>
        </w:rPr>
      </w:pPr>
      <w:r w:rsidRPr="004E55B1">
        <w:rPr>
          <w:color w:val="0D0D0D" w:themeColor="text1" w:themeTint="F2"/>
          <w:sz w:val="22"/>
          <w:szCs w:val="22"/>
          <w:u w:val="single"/>
          <w:lang w:val="en-CA"/>
        </w:rPr>
        <w:t>Phase-out</w:t>
      </w:r>
    </w:p>
    <w:p w14:paraId="7697CE20" w14:textId="77777777" w:rsidR="006C049B" w:rsidRPr="004E55B1" w:rsidRDefault="006C049B" w:rsidP="006C049B">
      <w:pPr>
        <w:rPr>
          <w:color w:val="0D0D0D" w:themeColor="text1" w:themeTint="F2"/>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6C049B" w:rsidRPr="004E55B1" w14:paraId="3B43B5C2" w14:textId="77777777" w:rsidTr="00724F2A">
        <w:tc>
          <w:tcPr>
            <w:tcW w:w="6941" w:type="dxa"/>
          </w:tcPr>
          <w:p w14:paraId="38CB9889" w14:textId="77777777" w:rsidR="006C049B" w:rsidRPr="004E55B1" w:rsidRDefault="006C049B" w:rsidP="006C049B">
            <w:pPr>
              <w:pStyle w:val="ListParagraph"/>
              <w:numPr>
                <w:ilvl w:val="0"/>
                <w:numId w:val="21"/>
              </w:numPr>
              <w:ind w:hanging="830"/>
              <w:rPr>
                <w:color w:val="0D0D0D" w:themeColor="text1" w:themeTint="F2"/>
                <w:sz w:val="22"/>
                <w:szCs w:val="22"/>
                <w:lang w:val="en-CA"/>
              </w:rPr>
            </w:pPr>
            <w:r w:rsidRPr="004E55B1">
              <w:rPr>
                <w:color w:val="0D0D0D" w:themeColor="text1" w:themeTint="F2"/>
                <w:sz w:val="22"/>
                <w:szCs w:val="22"/>
                <w:lang w:val="en-CA"/>
              </w:rPr>
              <w:t>HCFC phase-out management plan (stage I, fourth tranche)</w:t>
            </w:r>
          </w:p>
        </w:tc>
        <w:tc>
          <w:tcPr>
            <w:tcW w:w="2409" w:type="dxa"/>
          </w:tcPr>
          <w:p w14:paraId="75A7A3CC" w14:textId="77777777" w:rsidR="006C049B" w:rsidRPr="004E55B1" w:rsidRDefault="006C049B" w:rsidP="00724F2A">
            <w:pPr>
              <w:jc w:val="right"/>
              <w:rPr>
                <w:color w:val="0D0D0D" w:themeColor="text1" w:themeTint="F2"/>
                <w:sz w:val="22"/>
                <w:szCs w:val="22"/>
                <w:lang w:val="en-CA"/>
              </w:rPr>
            </w:pPr>
            <w:r w:rsidRPr="004E55B1">
              <w:rPr>
                <w:color w:val="0D0D0D" w:themeColor="text1" w:themeTint="F2"/>
                <w:sz w:val="22"/>
                <w:szCs w:val="22"/>
                <w:lang w:val="en-CA"/>
              </w:rPr>
              <w:t>UNDP</w:t>
            </w:r>
          </w:p>
        </w:tc>
      </w:tr>
    </w:tbl>
    <w:p w14:paraId="2FA095A4" w14:textId="77777777" w:rsidR="006C049B" w:rsidRPr="004E55B1" w:rsidRDefault="006C049B" w:rsidP="006C049B">
      <w:pPr>
        <w:rPr>
          <w:color w:val="0D0D0D" w:themeColor="text1" w:themeTint="F2"/>
          <w:sz w:val="22"/>
          <w:szCs w:val="22"/>
          <w:lang w:val="en-CA"/>
        </w:rPr>
      </w:pPr>
    </w:p>
    <w:p w14:paraId="3E9976F7" w14:textId="77777777" w:rsidR="006C049B" w:rsidRPr="004E55B1" w:rsidRDefault="006C049B" w:rsidP="006C049B">
      <w:pPr>
        <w:rPr>
          <w:color w:val="0D0D0D" w:themeColor="text1" w:themeTint="F2"/>
          <w:sz w:val="22"/>
          <w:szCs w:val="22"/>
          <w:lang w:val="en-CA"/>
        </w:rPr>
      </w:pPr>
    </w:p>
    <w:p w14:paraId="2075B906" w14:textId="7B0E42E4" w:rsidR="006C049B" w:rsidRPr="004E55B1" w:rsidRDefault="006C049B" w:rsidP="006C049B">
      <w:pPr>
        <w:rPr>
          <w:color w:val="0D0D0D" w:themeColor="text1" w:themeTint="F2"/>
          <w:sz w:val="22"/>
          <w:szCs w:val="22"/>
          <w:lang w:val="en-CA"/>
        </w:rPr>
      </w:pPr>
    </w:p>
    <w:p w14:paraId="6D29312B" w14:textId="605020B3" w:rsidR="008F41E6" w:rsidRPr="004E55B1" w:rsidRDefault="008F41E6" w:rsidP="006C049B">
      <w:pPr>
        <w:rPr>
          <w:color w:val="0D0D0D" w:themeColor="text1" w:themeTint="F2"/>
          <w:lang w:val="en-CA"/>
        </w:rPr>
      </w:pPr>
    </w:p>
    <w:p w14:paraId="7D036A62" w14:textId="07153F5F" w:rsidR="008F41E6" w:rsidRPr="004E55B1" w:rsidRDefault="008F41E6" w:rsidP="006C049B">
      <w:pPr>
        <w:rPr>
          <w:color w:val="0D0D0D" w:themeColor="text1" w:themeTint="F2"/>
          <w:lang w:val="en-CA"/>
        </w:rPr>
      </w:pPr>
    </w:p>
    <w:p w14:paraId="552CC619" w14:textId="31B89BD4" w:rsidR="008F41E6" w:rsidRPr="004E55B1" w:rsidRDefault="008F41E6" w:rsidP="006C049B">
      <w:pPr>
        <w:rPr>
          <w:color w:val="0D0D0D" w:themeColor="text1" w:themeTint="F2"/>
          <w:lang w:val="en-CA"/>
        </w:rPr>
      </w:pPr>
    </w:p>
    <w:p w14:paraId="123ED954" w14:textId="10241FAB" w:rsidR="008F41E6" w:rsidRPr="004E55B1" w:rsidRDefault="008F41E6" w:rsidP="006C049B">
      <w:pPr>
        <w:rPr>
          <w:color w:val="0D0D0D" w:themeColor="text1" w:themeTint="F2"/>
          <w:lang w:val="en-CA"/>
        </w:rPr>
      </w:pPr>
    </w:p>
    <w:p w14:paraId="23042EB4" w14:textId="72806629" w:rsidR="008F41E6" w:rsidRPr="004E55B1" w:rsidRDefault="008F41E6" w:rsidP="006C049B">
      <w:pPr>
        <w:rPr>
          <w:color w:val="0D0D0D" w:themeColor="text1" w:themeTint="F2"/>
          <w:lang w:val="en-CA"/>
        </w:rPr>
      </w:pPr>
    </w:p>
    <w:p w14:paraId="42DC2AA1" w14:textId="135C4685" w:rsidR="008F41E6" w:rsidRPr="004E55B1" w:rsidRDefault="008F41E6" w:rsidP="006C049B">
      <w:pPr>
        <w:rPr>
          <w:color w:val="0D0D0D" w:themeColor="text1" w:themeTint="F2"/>
          <w:lang w:val="en-CA"/>
        </w:rPr>
      </w:pPr>
    </w:p>
    <w:p w14:paraId="560A2299" w14:textId="5DDE2FF5" w:rsidR="008F41E6" w:rsidRPr="004E55B1" w:rsidRDefault="008F41E6" w:rsidP="006C049B">
      <w:pPr>
        <w:rPr>
          <w:color w:val="0D0D0D" w:themeColor="text1" w:themeTint="F2"/>
          <w:lang w:val="en-CA"/>
        </w:rPr>
      </w:pPr>
    </w:p>
    <w:p w14:paraId="2FE2A4D1" w14:textId="24D9C576" w:rsidR="008F41E6" w:rsidRPr="004E55B1" w:rsidRDefault="008F41E6" w:rsidP="006C049B">
      <w:pPr>
        <w:rPr>
          <w:color w:val="0D0D0D" w:themeColor="text1" w:themeTint="F2"/>
          <w:lang w:val="en-CA"/>
        </w:rPr>
      </w:pPr>
    </w:p>
    <w:p w14:paraId="20A1BAB8" w14:textId="7784D731" w:rsidR="008F41E6" w:rsidRPr="004E55B1" w:rsidRDefault="008F41E6" w:rsidP="006C049B">
      <w:pPr>
        <w:rPr>
          <w:color w:val="0D0D0D" w:themeColor="text1" w:themeTint="F2"/>
          <w:lang w:val="en-CA"/>
        </w:rPr>
      </w:pPr>
    </w:p>
    <w:p w14:paraId="3E407567" w14:textId="38E3CD0D" w:rsidR="008F41E6" w:rsidRPr="004E55B1" w:rsidRDefault="008F41E6" w:rsidP="006C049B">
      <w:pPr>
        <w:rPr>
          <w:color w:val="0D0D0D" w:themeColor="text1" w:themeTint="F2"/>
          <w:lang w:val="en-CA"/>
        </w:rPr>
      </w:pPr>
    </w:p>
    <w:p w14:paraId="163E37ED" w14:textId="7B8ADFFD" w:rsidR="00744A16" w:rsidRPr="004E55B1" w:rsidRDefault="00744A16" w:rsidP="006C049B">
      <w:pPr>
        <w:rPr>
          <w:color w:val="0D0D0D" w:themeColor="text1" w:themeTint="F2"/>
          <w:lang w:val="en-CA"/>
        </w:rPr>
      </w:pPr>
    </w:p>
    <w:p w14:paraId="19BFE506" w14:textId="3746FD19" w:rsidR="0069797E" w:rsidRPr="004E55B1" w:rsidRDefault="0069797E" w:rsidP="006C049B">
      <w:pPr>
        <w:rPr>
          <w:color w:val="0D0D0D" w:themeColor="text1" w:themeTint="F2"/>
          <w:lang w:val="en-CA"/>
        </w:rPr>
      </w:pPr>
    </w:p>
    <w:p w14:paraId="396878B5" w14:textId="77777777" w:rsidR="0069797E" w:rsidRPr="004E55B1" w:rsidRDefault="0069797E" w:rsidP="006C049B">
      <w:pPr>
        <w:rPr>
          <w:color w:val="0D0D0D" w:themeColor="text1" w:themeTint="F2"/>
          <w:lang w:val="en-CA"/>
        </w:rPr>
      </w:pPr>
    </w:p>
    <w:p w14:paraId="5F47E61B" w14:textId="286A9E4D" w:rsidR="006C049B" w:rsidRPr="004E55B1" w:rsidRDefault="008F41E6" w:rsidP="006C049B">
      <w:pPr>
        <w:rPr>
          <w:color w:val="0D0D0D" w:themeColor="text1" w:themeTint="F2"/>
          <w:lang w:val="en-CA"/>
        </w:rPr>
      </w:pPr>
      <w:r w:rsidRPr="004E55B1">
        <w:rPr>
          <w:sz w:val="20"/>
          <w:szCs w:val="20"/>
          <w:lang w:val="en-CA"/>
        </w:rPr>
        <w:t>* Due to coronavirus disease (COVID-19)</w:t>
      </w:r>
      <w:r w:rsidR="006C049B" w:rsidRPr="004E55B1">
        <w:rPr>
          <w:color w:val="0D0D0D" w:themeColor="text1" w:themeTint="F2"/>
          <w:lang w:val="en-CA"/>
        </w:rPr>
        <w:br w:type="page"/>
      </w:r>
    </w:p>
    <w:p w14:paraId="5861BEB7" w14:textId="77777777" w:rsidR="0069797E" w:rsidRPr="004E55B1" w:rsidRDefault="0069797E" w:rsidP="006C049B">
      <w:pPr>
        <w:jc w:val="center"/>
        <w:rPr>
          <w:b/>
          <w:color w:val="0D0D0D" w:themeColor="text1" w:themeTint="F2"/>
          <w:sz w:val="22"/>
          <w:szCs w:val="22"/>
          <w:lang w:val="en-CA"/>
        </w:rPr>
      </w:pPr>
    </w:p>
    <w:p w14:paraId="48F531CD" w14:textId="77777777" w:rsidR="0069797E" w:rsidRPr="004E55B1" w:rsidRDefault="0069797E" w:rsidP="006C049B">
      <w:pPr>
        <w:jc w:val="center"/>
        <w:rPr>
          <w:b/>
          <w:color w:val="0D0D0D" w:themeColor="text1" w:themeTint="F2"/>
          <w:sz w:val="22"/>
          <w:szCs w:val="22"/>
          <w:lang w:val="en-CA"/>
        </w:rPr>
      </w:pPr>
    </w:p>
    <w:p w14:paraId="64538C39" w14:textId="240E057C" w:rsidR="006C049B" w:rsidRPr="004E55B1" w:rsidRDefault="006C049B" w:rsidP="006C049B">
      <w:pPr>
        <w:jc w:val="center"/>
        <w:rPr>
          <w:b/>
          <w:color w:val="0D0D0D" w:themeColor="text1" w:themeTint="F2"/>
          <w:sz w:val="22"/>
          <w:szCs w:val="22"/>
          <w:lang w:val="en-CA"/>
        </w:rPr>
      </w:pPr>
      <w:r w:rsidRPr="004E55B1">
        <w:rPr>
          <w:b/>
          <w:color w:val="0D0D0D" w:themeColor="text1" w:themeTint="F2"/>
          <w:sz w:val="22"/>
          <w:szCs w:val="22"/>
          <w:lang w:val="en-CA"/>
        </w:rPr>
        <w:t>PROJECT EVALUATION SHEET – MULTI-YEAR PROJECTS</w:t>
      </w:r>
    </w:p>
    <w:p w14:paraId="74374E8E" w14:textId="77777777" w:rsidR="006C049B" w:rsidRPr="004E55B1" w:rsidRDefault="006C049B" w:rsidP="006C049B">
      <w:pPr>
        <w:jc w:val="center"/>
        <w:rPr>
          <w:color w:val="0D0D0D" w:themeColor="text1" w:themeTint="F2"/>
          <w:sz w:val="22"/>
          <w:szCs w:val="22"/>
          <w:lang w:val="en-CA"/>
        </w:rPr>
      </w:pPr>
    </w:p>
    <w:p w14:paraId="08CD945A" w14:textId="77777777" w:rsidR="006C049B" w:rsidRPr="004E55B1" w:rsidRDefault="006C049B" w:rsidP="006C049B">
      <w:pPr>
        <w:spacing w:after="80"/>
        <w:jc w:val="center"/>
        <w:rPr>
          <w:color w:val="0D0D0D" w:themeColor="text1" w:themeTint="F2"/>
          <w:sz w:val="22"/>
          <w:szCs w:val="22"/>
          <w:lang w:val="en-CA"/>
        </w:rPr>
      </w:pPr>
      <w:r w:rsidRPr="004E55B1">
        <w:rPr>
          <w:b/>
          <w:color w:val="0D0D0D" w:themeColor="text1" w:themeTint="F2"/>
          <w:sz w:val="22"/>
          <w:szCs w:val="22"/>
          <w:lang w:val="en-CA"/>
        </w:rPr>
        <w:t>Georgia</w:t>
      </w:r>
    </w:p>
    <w:p w14:paraId="51C0F06D" w14:textId="77777777" w:rsidR="006C049B" w:rsidRPr="004E55B1" w:rsidRDefault="006C049B" w:rsidP="006C049B">
      <w:pPr>
        <w:spacing w:after="80"/>
        <w:jc w:val="center"/>
        <w:rPr>
          <w:color w:val="0D0D0D" w:themeColor="text1" w:themeTint="F2"/>
          <w:sz w:val="22"/>
          <w:szCs w:val="22"/>
          <w:lang w:val="en-CA"/>
        </w:rPr>
      </w:pPr>
    </w:p>
    <w:tbl>
      <w:tblPr>
        <w:tblStyle w:val="TableGrid"/>
        <w:tblW w:w="9992"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47"/>
        <w:gridCol w:w="1843"/>
        <w:gridCol w:w="2693"/>
        <w:gridCol w:w="2909"/>
      </w:tblGrid>
      <w:tr w:rsidR="006C049B" w:rsidRPr="004E55B1" w14:paraId="2C868A2E" w14:textId="77777777" w:rsidTr="00724F2A">
        <w:trPr>
          <w:trHeight w:val="240"/>
          <w:jc w:val="center"/>
        </w:trPr>
        <w:tc>
          <w:tcPr>
            <w:tcW w:w="2547" w:type="dxa"/>
            <w:shd w:val="clear" w:color="auto" w:fill="auto"/>
          </w:tcPr>
          <w:p w14:paraId="71D4541F" w14:textId="77777777" w:rsidR="006C049B" w:rsidRPr="004E55B1" w:rsidRDefault="006C049B" w:rsidP="00724F2A">
            <w:pPr>
              <w:spacing w:after="80"/>
              <w:rPr>
                <w:b/>
                <w:color w:val="0D0D0D" w:themeColor="text1" w:themeTint="F2"/>
                <w:sz w:val="18"/>
                <w:lang w:val="en-CA"/>
              </w:rPr>
            </w:pPr>
            <w:r w:rsidRPr="004E55B1">
              <w:rPr>
                <w:b/>
                <w:color w:val="0D0D0D" w:themeColor="text1" w:themeTint="F2"/>
                <w:sz w:val="18"/>
                <w:lang w:val="en-CA"/>
              </w:rPr>
              <w:t>(I) PROJECT TITLE</w:t>
            </w:r>
          </w:p>
        </w:tc>
        <w:tc>
          <w:tcPr>
            <w:tcW w:w="1843" w:type="dxa"/>
            <w:shd w:val="clear" w:color="auto" w:fill="auto"/>
          </w:tcPr>
          <w:p w14:paraId="79AC10E2" w14:textId="77777777" w:rsidR="006C049B" w:rsidRPr="004E55B1" w:rsidRDefault="006C049B" w:rsidP="00724F2A">
            <w:pPr>
              <w:spacing w:after="80"/>
              <w:jc w:val="center"/>
              <w:rPr>
                <w:b/>
                <w:color w:val="0D0D0D" w:themeColor="text1" w:themeTint="F2"/>
                <w:sz w:val="18"/>
                <w:lang w:val="en-CA"/>
              </w:rPr>
            </w:pPr>
            <w:r w:rsidRPr="004E55B1">
              <w:rPr>
                <w:b/>
                <w:color w:val="0D0D0D" w:themeColor="text1" w:themeTint="F2"/>
                <w:sz w:val="18"/>
                <w:lang w:val="en-CA"/>
              </w:rPr>
              <w:t>AGENCY</w:t>
            </w:r>
          </w:p>
        </w:tc>
        <w:tc>
          <w:tcPr>
            <w:tcW w:w="2693" w:type="dxa"/>
            <w:shd w:val="clear" w:color="auto" w:fill="auto"/>
          </w:tcPr>
          <w:p w14:paraId="5910B665" w14:textId="77777777" w:rsidR="006C049B" w:rsidRPr="004E55B1" w:rsidRDefault="006C049B" w:rsidP="00724F2A">
            <w:pPr>
              <w:spacing w:after="80"/>
              <w:jc w:val="center"/>
              <w:rPr>
                <w:b/>
                <w:color w:val="0D0D0D" w:themeColor="text1" w:themeTint="F2"/>
                <w:sz w:val="18"/>
                <w:lang w:val="en-CA"/>
              </w:rPr>
            </w:pPr>
            <w:r w:rsidRPr="004E55B1">
              <w:rPr>
                <w:b/>
                <w:color w:val="0D0D0D" w:themeColor="text1" w:themeTint="F2"/>
                <w:sz w:val="18"/>
                <w:lang w:val="en-CA"/>
              </w:rPr>
              <w:t>MEETING APPROVED</w:t>
            </w:r>
          </w:p>
        </w:tc>
        <w:tc>
          <w:tcPr>
            <w:tcW w:w="2909" w:type="dxa"/>
            <w:shd w:val="clear" w:color="auto" w:fill="auto"/>
          </w:tcPr>
          <w:p w14:paraId="71322A1D" w14:textId="77777777" w:rsidR="006C049B" w:rsidRPr="004E55B1" w:rsidRDefault="006C049B" w:rsidP="00724F2A">
            <w:pPr>
              <w:spacing w:after="80"/>
              <w:jc w:val="center"/>
              <w:rPr>
                <w:b/>
                <w:color w:val="0D0D0D" w:themeColor="text1" w:themeTint="F2"/>
                <w:sz w:val="18"/>
                <w:lang w:val="en-CA"/>
              </w:rPr>
            </w:pPr>
            <w:r w:rsidRPr="004E55B1">
              <w:rPr>
                <w:b/>
                <w:color w:val="0D0D0D" w:themeColor="text1" w:themeTint="F2"/>
                <w:sz w:val="18"/>
                <w:lang w:val="en-CA"/>
              </w:rPr>
              <w:t>CONTROL MEASURE</w:t>
            </w:r>
          </w:p>
        </w:tc>
      </w:tr>
      <w:tr w:rsidR="006C049B" w:rsidRPr="004E55B1" w14:paraId="260BEE65" w14:textId="77777777" w:rsidTr="00724F2A">
        <w:trPr>
          <w:trHeight w:val="240"/>
          <w:jc w:val="center"/>
        </w:trPr>
        <w:tc>
          <w:tcPr>
            <w:tcW w:w="2547" w:type="dxa"/>
            <w:shd w:val="clear" w:color="auto" w:fill="auto"/>
          </w:tcPr>
          <w:p w14:paraId="406FD310" w14:textId="77777777" w:rsidR="006C049B" w:rsidRPr="004E55B1" w:rsidRDefault="006C049B" w:rsidP="00724F2A">
            <w:pPr>
              <w:spacing w:after="80"/>
              <w:jc w:val="center"/>
              <w:rPr>
                <w:color w:val="0D0D0D" w:themeColor="text1" w:themeTint="F2"/>
                <w:sz w:val="18"/>
                <w:lang w:val="en-CA"/>
              </w:rPr>
            </w:pPr>
            <w:r w:rsidRPr="004E55B1">
              <w:rPr>
                <w:color w:val="0D0D0D" w:themeColor="text1" w:themeTint="F2"/>
                <w:sz w:val="18"/>
                <w:lang w:val="en-CA"/>
              </w:rPr>
              <w:t>HCFC phase out plan (Stage I)</w:t>
            </w:r>
          </w:p>
        </w:tc>
        <w:tc>
          <w:tcPr>
            <w:tcW w:w="1843" w:type="dxa"/>
            <w:shd w:val="clear" w:color="auto" w:fill="auto"/>
          </w:tcPr>
          <w:p w14:paraId="1D00EA2D" w14:textId="77777777" w:rsidR="006C049B" w:rsidRPr="004E55B1" w:rsidRDefault="006C049B" w:rsidP="00724F2A">
            <w:pPr>
              <w:spacing w:after="80"/>
              <w:jc w:val="center"/>
              <w:rPr>
                <w:color w:val="0D0D0D" w:themeColor="text1" w:themeTint="F2"/>
                <w:sz w:val="18"/>
                <w:lang w:val="en-CA"/>
              </w:rPr>
            </w:pPr>
            <w:r w:rsidRPr="004E55B1">
              <w:rPr>
                <w:color w:val="0D0D0D" w:themeColor="text1" w:themeTint="F2"/>
                <w:sz w:val="18"/>
                <w:lang w:val="en-CA"/>
              </w:rPr>
              <w:t>UNDP</w:t>
            </w:r>
          </w:p>
        </w:tc>
        <w:tc>
          <w:tcPr>
            <w:tcW w:w="2693" w:type="dxa"/>
            <w:shd w:val="clear" w:color="auto" w:fill="auto"/>
          </w:tcPr>
          <w:p w14:paraId="47248043" w14:textId="77777777" w:rsidR="006C049B" w:rsidRPr="004E55B1" w:rsidRDefault="006C049B" w:rsidP="00724F2A">
            <w:pPr>
              <w:spacing w:after="80"/>
              <w:jc w:val="center"/>
              <w:rPr>
                <w:color w:val="0D0D0D" w:themeColor="text1" w:themeTint="F2"/>
                <w:sz w:val="18"/>
                <w:lang w:val="en-CA"/>
              </w:rPr>
            </w:pPr>
            <w:r w:rsidRPr="004E55B1">
              <w:rPr>
                <w:color w:val="0D0D0D" w:themeColor="text1" w:themeTint="F2"/>
                <w:sz w:val="18"/>
                <w:lang w:val="en-CA"/>
              </w:rPr>
              <w:t>63</w:t>
            </w:r>
            <w:r w:rsidRPr="004E55B1">
              <w:rPr>
                <w:color w:val="0D0D0D" w:themeColor="text1" w:themeTint="F2"/>
                <w:sz w:val="18"/>
                <w:vertAlign w:val="superscript"/>
                <w:lang w:val="en-CA"/>
              </w:rPr>
              <w:t>rd</w:t>
            </w:r>
            <w:r w:rsidRPr="004E55B1">
              <w:rPr>
                <w:color w:val="0D0D0D" w:themeColor="text1" w:themeTint="F2"/>
                <w:sz w:val="18"/>
                <w:lang w:val="en-CA"/>
              </w:rPr>
              <w:t xml:space="preserve">  </w:t>
            </w:r>
          </w:p>
        </w:tc>
        <w:tc>
          <w:tcPr>
            <w:tcW w:w="2909" w:type="dxa"/>
            <w:shd w:val="clear" w:color="auto" w:fill="auto"/>
          </w:tcPr>
          <w:p w14:paraId="5E5961DB" w14:textId="77777777" w:rsidR="006C049B" w:rsidRPr="004E55B1" w:rsidRDefault="006C049B" w:rsidP="00724F2A">
            <w:pPr>
              <w:spacing w:after="80"/>
              <w:jc w:val="center"/>
              <w:rPr>
                <w:color w:val="0D0D0D" w:themeColor="text1" w:themeTint="F2"/>
                <w:sz w:val="18"/>
                <w:lang w:val="en-CA"/>
              </w:rPr>
            </w:pPr>
            <w:r w:rsidRPr="004E55B1">
              <w:rPr>
                <w:color w:val="0D0D0D" w:themeColor="text1" w:themeTint="F2"/>
                <w:sz w:val="18"/>
                <w:lang w:val="en-CA"/>
              </w:rPr>
              <w:t>35% by 2020</w:t>
            </w:r>
          </w:p>
        </w:tc>
      </w:tr>
    </w:tbl>
    <w:p w14:paraId="32C55862" w14:textId="77777777" w:rsidR="006C049B" w:rsidRPr="004E55B1" w:rsidRDefault="006C049B" w:rsidP="006C049B">
      <w:pPr>
        <w:spacing w:after="60"/>
        <w:jc w:val="center"/>
        <w:rPr>
          <w:color w:val="0D0D0D" w:themeColor="text1" w:themeTint="F2"/>
          <w:lang w:val="en-CA"/>
        </w:rP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098"/>
        <w:gridCol w:w="2502"/>
        <w:gridCol w:w="2400"/>
      </w:tblGrid>
      <w:tr w:rsidR="006C049B" w:rsidRPr="004E55B1" w14:paraId="5055EBF3" w14:textId="77777777" w:rsidTr="00724F2A">
        <w:trPr>
          <w:trHeight w:val="240"/>
          <w:jc w:val="center"/>
        </w:trPr>
        <w:tc>
          <w:tcPr>
            <w:tcW w:w="5098" w:type="dxa"/>
            <w:shd w:val="clear" w:color="auto" w:fill="auto"/>
          </w:tcPr>
          <w:p w14:paraId="57DC6A36" w14:textId="77777777" w:rsidR="006C049B" w:rsidRPr="004E55B1" w:rsidRDefault="006C049B" w:rsidP="00724F2A">
            <w:pPr>
              <w:spacing w:after="60"/>
              <w:jc w:val="left"/>
              <w:rPr>
                <w:b/>
                <w:color w:val="0D0D0D" w:themeColor="text1" w:themeTint="F2"/>
                <w:sz w:val="18"/>
                <w:lang w:val="en-CA"/>
              </w:rPr>
            </w:pPr>
            <w:r w:rsidRPr="004E55B1">
              <w:rPr>
                <w:b/>
                <w:color w:val="0D0D0D" w:themeColor="text1" w:themeTint="F2"/>
                <w:sz w:val="18"/>
                <w:lang w:val="en-CA"/>
              </w:rPr>
              <w:t>(II) LATEST ARTICLE 7 DATA (Annex C Group l)</w:t>
            </w:r>
          </w:p>
        </w:tc>
        <w:tc>
          <w:tcPr>
            <w:tcW w:w="2502" w:type="dxa"/>
            <w:shd w:val="clear" w:color="auto" w:fill="auto"/>
          </w:tcPr>
          <w:p w14:paraId="3DE385D0"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Year: 2018</w:t>
            </w:r>
          </w:p>
        </w:tc>
        <w:tc>
          <w:tcPr>
            <w:tcW w:w="2400" w:type="dxa"/>
            <w:shd w:val="clear" w:color="auto" w:fill="auto"/>
          </w:tcPr>
          <w:p w14:paraId="5C91617D"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1.89 (ODP tonnes)</w:t>
            </w:r>
          </w:p>
        </w:tc>
      </w:tr>
    </w:tbl>
    <w:p w14:paraId="0B49A691" w14:textId="77777777" w:rsidR="006C049B" w:rsidRPr="004E55B1" w:rsidRDefault="006C049B" w:rsidP="006C049B">
      <w:pPr>
        <w:spacing w:after="60"/>
        <w:jc w:val="center"/>
        <w:rPr>
          <w:color w:val="0D0D0D" w:themeColor="text1" w:themeTint="F2"/>
          <w:lang w:val="en-CA"/>
        </w:rPr>
      </w:pPr>
    </w:p>
    <w:tbl>
      <w:tblPr>
        <w:tblStyle w:val="TableGrid"/>
        <w:tblW w:w="1006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75"/>
        <w:gridCol w:w="900"/>
        <w:gridCol w:w="631"/>
        <w:gridCol w:w="786"/>
        <w:gridCol w:w="1286"/>
        <w:gridCol w:w="906"/>
        <w:gridCol w:w="767"/>
        <w:gridCol w:w="1091"/>
        <w:gridCol w:w="709"/>
        <w:gridCol w:w="1909"/>
      </w:tblGrid>
      <w:tr w:rsidR="006C049B" w:rsidRPr="004E55B1" w14:paraId="077D4484" w14:textId="77777777" w:rsidTr="00724F2A">
        <w:trPr>
          <w:trHeight w:val="240"/>
          <w:jc w:val="center"/>
        </w:trPr>
        <w:tc>
          <w:tcPr>
            <w:tcW w:w="0" w:type="auto"/>
            <w:gridSpan w:val="8"/>
            <w:shd w:val="clear" w:color="auto" w:fill="auto"/>
          </w:tcPr>
          <w:p w14:paraId="2387C1A0" w14:textId="77777777" w:rsidR="006C049B" w:rsidRPr="004E55B1" w:rsidRDefault="006C049B" w:rsidP="00724F2A">
            <w:pPr>
              <w:spacing w:after="60"/>
              <w:jc w:val="left"/>
              <w:rPr>
                <w:b/>
                <w:color w:val="0D0D0D" w:themeColor="text1" w:themeTint="F2"/>
                <w:sz w:val="18"/>
                <w:lang w:val="en-CA"/>
              </w:rPr>
            </w:pPr>
            <w:r w:rsidRPr="004E55B1">
              <w:rPr>
                <w:b/>
                <w:color w:val="0D0D0D" w:themeColor="text1" w:themeTint="F2"/>
                <w:sz w:val="18"/>
                <w:lang w:val="en-CA"/>
              </w:rPr>
              <w:t>(III) LATEST COUNTRY PROGRAMME SECTORAL DATA (ODP tonnes)</w:t>
            </w:r>
          </w:p>
        </w:tc>
        <w:tc>
          <w:tcPr>
            <w:tcW w:w="2618" w:type="dxa"/>
            <w:gridSpan w:val="2"/>
            <w:shd w:val="clear" w:color="auto" w:fill="auto"/>
          </w:tcPr>
          <w:p w14:paraId="2A1BCC67" w14:textId="77777777" w:rsidR="006C049B" w:rsidRPr="004E55B1" w:rsidRDefault="006C049B" w:rsidP="00724F2A">
            <w:pPr>
              <w:spacing w:after="60"/>
              <w:jc w:val="right"/>
              <w:rPr>
                <w:b/>
                <w:color w:val="0D0D0D" w:themeColor="text1" w:themeTint="F2"/>
                <w:sz w:val="18"/>
                <w:lang w:val="en-CA"/>
              </w:rPr>
            </w:pPr>
            <w:r w:rsidRPr="004E55B1">
              <w:rPr>
                <w:b/>
                <w:color w:val="0D0D0D" w:themeColor="text1" w:themeTint="F2"/>
                <w:sz w:val="18"/>
                <w:lang w:val="en-CA"/>
              </w:rPr>
              <w:t>Year: 2019</w:t>
            </w:r>
          </w:p>
        </w:tc>
      </w:tr>
      <w:tr w:rsidR="006C049B" w:rsidRPr="004E55B1" w14:paraId="58B88939" w14:textId="77777777" w:rsidTr="00724F2A">
        <w:trPr>
          <w:trHeight w:val="240"/>
          <w:jc w:val="center"/>
        </w:trPr>
        <w:tc>
          <w:tcPr>
            <w:tcW w:w="1075" w:type="dxa"/>
            <w:shd w:val="clear" w:color="auto" w:fill="auto"/>
          </w:tcPr>
          <w:p w14:paraId="6BBA3F29"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Chemical</w:t>
            </w:r>
          </w:p>
        </w:tc>
        <w:tc>
          <w:tcPr>
            <w:tcW w:w="900" w:type="dxa"/>
            <w:shd w:val="clear" w:color="auto" w:fill="auto"/>
          </w:tcPr>
          <w:p w14:paraId="63160579"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Aerosol</w:t>
            </w:r>
          </w:p>
        </w:tc>
        <w:tc>
          <w:tcPr>
            <w:tcW w:w="631" w:type="dxa"/>
            <w:shd w:val="clear" w:color="auto" w:fill="auto"/>
          </w:tcPr>
          <w:p w14:paraId="5EDCDD47"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Foam</w:t>
            </w:r>
          </w:p>
        </w:tc>
        <w:tc>
          <w:tcPr>
            <w:tcW w:w="786" w:type="dxa"/>
            <w:shd w:val="clear" w:color="auto" w:fill="auto"/>
          </w:tcPr>
          <w:p w14:paraId="5A21E354"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Fire fighting</w:t>
            </w:r>
          </w:p>
        </w:tc>
        <w:tc>
          <w:tcPr>
            <w:tcW w:w="0" w:type="auto"/>
            <w:gridSpan w:val="2"/>
            <w:shd w:val="clear" w:color="auto" w:fill="auto"/>
          </w:tcPr>
          <w:p w14:paraId="611AF4FD"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Refrigeration</w:t>
            </w:r>
          </w:p>
        </w:tc>
        <w:tc>
          <w:tcPr>
            <w:tcW w:w="0" w:type="auto"/>
            <w:shd w:val="clear" w:color="auto" w:fill="auto"/>
          </w:tcPr>
          <w:p w14:paraId="62358831"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Solvent</w:t>
            </w:r>
          </w:p>
        </w:tc>
        <w:tc>
          <w:tcPr>
            <w:tcW w:w="0" w:type="auto"/>
            <w:shd w:val="clear" w:color="auto" w:fill="auto"/>
          </w:tcPr>
          <w:p w14:paraId="3AB6AA6D"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Process agent</w:t>
            </w:r>
          </w:p>
        </w:tc>
        <w:tc>
          <w:tcPr>
            <w:tcW w:w="0" w:type="auto"/>
            <w:shd w:val="clear" w:color="auto" w:fill="auto"/>
          </w:tcPr>
          <w:p w14:paraId="0CB4DD49"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Lab use</w:t>
            </w:r>
          </w:p>
        </w:tc>
        <w:tc>
          <w:tcPr>
            <w:tcW w:w="1909" w:type="dxa"/>
            <w:shd w:val="clear" w:color="auto" w:fill="auto"/>
          </w:tcPr>
          <w:p w14:paraId="1199EA27"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Total sector consumption</w:t>
            </w:r>
          </w:p>
        </w:tc>
      </w:tr>
      <w:tr w:rsidR="006C049B" w:rsidRPr="004E55B1" w14:paraId="03D0D748" w14:textId="77777777" w:rsidTr="00724F2A">
        <w:trPr>
          <w:trHeight w:val="240"/>
          <w:jc w:val="center"/>
        </w:trPr>
        <w:tc>
          <w:tcPr>
            <w:tcW w:w="0" w:type="auto"/>
            <w:gridSpan w:val="4"/>
            <w:shd w:val="clear" w:color="auto" w:fill="auto"/>
          </w:tcPr>
          <w:p w14:paraId="3A752C3E"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 xml:space="preserve"> </w:t>
            </w:r>
          </w:p>
        </w:tc>
        <w:tc>
          <w:tcPr>
            <w:tcW w:w="0" w:type="auto"/>
            <w:shd w:val="clear" w:color="auto" w:fill="auto"/>
          </w:tcPr>
          <w:p w14:paraId="3C2F2CE0"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Manufacturing</w:t>
            </w:r>
          </w:p>
        </w:tc>
        <w:tc>
          <w:tcPr>
            <w:tcW w:w="0" w:type="auto"/>
            <w:shd w:val="clear" w:color="auto" w:fill="auto"/>
          </w:tcPr>
          <w:p w14:paraId="78D96BDB"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Servicing</w:t>
            </w:r>
          </w:p>
        </w:tc>
        <w:tc>
          <w:tcPr>
            <w:tcW w:w="4476" w:type="dxa"/>
            <w:gridSpan w:val="4"/>
            <w:shd w:val="clear" w:color="auto" w:fill="auto"/>
          </w:tcPr>
          <w:p w14:paraId="480BB2A2" w14:textId="77777777" w:rsidR="006C049B" w:rsidRPr="004E55B1" w:rsidRDefault="006C049B" w:rsidP="00724F2A">
            <w:pPr>
              <w:spacing w:after="60"/>
              <w:jc w:val="center"/>
              <w:rPr>
                <w:color w:val="0D0D0D" w:themeColor="text1" w:themeTint="F2"/>
                <w:sz w:val="18"/>
                <w:lang w:val="en-CA"/>
              </w:rPr>
            </w:pPr>
          </w:p>
        </w:tc>
      </w:tr>
      <w:tr w:rsidR="006C049B" w:rsidRPr="004E55B1" w14:paraId="7DDE7507" w14:textId="77777777" w:rsidTr="00724F2A">
        <w:trPr>
          <w:trHeight w:val="240"/>
          <w:jc w:val="center"/>
        </w:trPr>
        <w:tc>
          <w:tcPr>
            <w:tcW w:w="1075" w:type="dxa"/>
            <w:shd w:val="clear" w:color="auto" w:fill="auto"/>
          </w:tcPr>
          <w:p w14:paraId="7DDFA43E" w14:textId="77777777"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HCFC-22</w:t>
            </w:r>
          </w:p>
        </w:tc>
        <w:tc>
          <w:tcPr>
            <w:tcW w:w="900" w:type="dxa"/>
            <w:shd w:val="clear" w:color="auto" w:fill="auto"/>
          </w:tcPr>
          <w:p w14:paraId="07ACDC7B" w14:textId="77777777" w:rsidR="006C049B" w:rsidRPr="004E55B1" w:rsidRDefault="006C049B" w:rsidP="00724F2A">
            <w:pPr>
              <w:spacing w:after="60"/>
              <w:jc w:val="right"/>
              <w:rPr>
                <w:color w:val="0D0D0D" w:themeColor="text1" w:themeTint="F2"/>
                <w:sz w:val="18"/>
                <w:lang w:val="en-CA"/>
              </w:rPr>
            </w:pPr>
          </w:p>
        </w:tc>
        <w:tc>
          <w:tcPr>
            <w:tcW w:w="631" w:type="dxa"/>
            <w:shd w:val="clear" w:color="auto" w:fill="auto"/>
          </w:tcPr>
          <w:p w14:paraId="0D931B33" w14:textId="77777777" w:rsidR="006C049B" w:rsidRPr="004E55B1" w:rsidRDefault="006C049B" w:rsidP="00724F2A">
            <w:pPr>
              <w:spacing w:after="60"/>
              <w:jc w:val="right"/>
              <w:rPr>
                <w:color w:val="0D0D0D" w:themeColor="text1" w:themeTint="F2"/>
                <w:sz w:val="18"/>
                <w:lang w:val="en-CA"/>
              </w:rPr>
            </w:pPr>
          </w:p>
        </w:tc>
        <w:tc>
          <w:tcPr>
            <w:tcW w:w="786" w:type="dxa"/>
            <w:shd w:val="clear" w:color="auto" w:fill="auto"/>
          </w:tcPr>
          <w:p w14:paraId="5F873610" w14:textId="77777777" w:rsidR="006C049B" w:rsidRPr="004E55B1" w:rsidRDefault="006C049B" w:rsidP="00724F2A">
            <w:pPr>
              <w:spacing w:after="60"/>
              <w:jc w:val="right"/>
              <w:rPr>
                <w:color w:val="0D0D0D" w:themeColor="text1" w:themeTint="F2"/>
                <w:sz w:val="18"/>
                <w:lang w:val="en-CA"/>
              </w:rPr>
            </w:pPr>
          </w:p>
        </w:tc>
        <w:tc>
          <w:tcPr>
            <w:tcW w:w="0" w:type="auto"/>
            <w:shd w:val="clear" w:color="auto" w:fill="auto"/>
          </w:tcPr>
          <w:p w14:paraId="6131E90A" w14:textId="77777777" w:rsidR="006C049B" w:rsidRPr="004E55B1" w:rsidRDefault="006C049B" w:rsidP="00724F2A">
            <w:pPr>
              <w:spacing w:after="60"/>
              <w:jc w:val="right"/>
              <w:rPr>
                <w:color w:val="0D0D0D" w:themeColor="text1" w:themeTint="F2"/>
                <w:sz w:val="18"/>
                <w:lang w:val="en-CA"/>
              </w:rPr>
            </w:pPr>
          </w:p>
        </w:tc>
        <w:tc>
          <w:tcPr>
            <w:tcW w:w="0" w:type="auto"/>
            <w:shd w:val="clear" w:color="auto" w:fill="auto"/>
          </w:tcPr>
          <w:p w14:paraId="52C60DAE"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2.40</w:t>
            </w:r>
          </w:p>
        </w:tc>
        <w:tc>
          <w:tcPr>
            <w:tcW w:w="0" w:type="auto"/>
            <w:shd w:val="clear" w:color="auto" w:fill="auto"/>
          </w:tcPr>
          <w:p w14:paraId="1307BF61" w14:textId="77777777" w:rsidR="006C049B" w:rsidRPr="004E55B1" w:rsidRDefault="006C049B" w:rsidP="00724F2A">
            <w:pPr>
              <w:spacing w:after="60"/>
              <w:jc w:val="right"/>
              <w:rPr>
                <w:color w:val="0D0D0D" w:themeColor="text1" w:themeTint="F2"/>
                <w:sz w:val="18"/>
                <w:lang w:val="en-CA"/>
              </w:rPr>
            </w:pPr>
          </w:p>
        </w:tc>
        <w:tc>
          <w:tcPr>
            <w:tcW w:w="0" w:type="auto"/>
            <w:shd w:val="clear" w:color="auto" w:fill="auto"/>
          </w:tcPr>
          <w:p w14:paraId="2B45A6AF" w14:textId="77777777" w:rsidR="006C049B" w:rsidRPr="004E55B1" w:rsidRDefault="006C049B" w:rsidP="00724F2A">
            <w:pPr>
              <w:spacing w:after="60"/>
              <w:jc w:val="right"/>
              <w:rPr>
                <w:color w:val="0D0D0D" w:themeColor="text1" w:themeTint="F2"/>
                <w:sz w:val="18"/>
                <w:lang w:val="en-CA"/>
              </w:rPr>
            </w:pPr>
          </w:p>
        </w:tc>
        <w:tc>
          <w:tcPr>
            <w:tcW w:w="0" w:type="auto"/>
            <w:shd w:val="clear" w:color="auto" w:fill="auto"/>
          </w:tcPr>
          <w:p w14:paraId="2A185520" w14:textId="77777777" w:rsidR="006C049B" w:rsidRPr="004E55B1" w:rsidRDefault="006C049B" w:rsidP="00724F2A">
            <w:pPr>
              <w:spacing w:after="60"/>
              <w:jc w:val="right"/>
              <w:rPr>
                <w:color w:val="0D0D0D" w:themeColor="text1" w:themeTint="F2"/>
                <w:sz w:val="18"/>
                <w:lang w:val="en-CA"/>
              </w:rPr>
            </w:pPr>
          </w:p>
        </w:tc>
        <w:tc>
          <w:tcPr>
            <w:tcW w:w="1909" w:type="dxa"/>
            <w:shd w:val="clear" w:color="auto" w:fill="auto"/>
          </w:tcPr>
          <w:p w14:paraId="02868665"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2.40</w:t>
            </w:r>
          </w:p>
        </w:tc>
      </w:tr>
    </w:tbl>
    <w:p w14:paraId="5A3C916B" w14:textId="77777777" w:rsidR="006C049B" w:rsidRPr="004E55B1" w:rsidRDefault="006C049B" w:rsidP="006C049B">
      <w:pPr>
        <w:spacing w:after="60"/>
        <w:jc w:val="center"/>
        <w:rPr>
          <w:color w:val="0D0D0D" w:themeColor="text1" w:themeTint="F2"/>
          <w:lang w:val="en-CA"/>
        </w:rPr>
      </w:pPr>
    </w:p>
    <w:tbl>
      <w:tblPr>
        <w:tblStyle w:val="TableGrid"/>
        <w:tblW w:w="1020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56"/>
        <w:gridCol w:w="766"/>
        <w:gridCol w:w="5427"/>
        <w:gridCol w:w="1452"/>
      </w:tblGrid>
      <w:tr w:rsidR="006C049B" w:rsidRPr="004E55B1" w14:paraId="7F7677A5" w14:textId="77777777" w:rsidTr="00724F2A">
        <w:trPr>
          <w:trHeight w:val="240"/>
          <w:jc w:val="center"/>
        </w:trPr>
        <w:tc>
          <w:tcPr>
            <w:tcW w:w="10201" w:type="dxa"/>
            <w:gridSpan w:val="4"/>
            <w:shd w:val="clear" w:color="auto" w:fill="auto"/>
          </w:tcPr>
          <w:p w14:paraId="60A39ACC" w14:textId="77777777" w:rsidR="006C049B" w:rsidRPr="004E55B1" w:rsidRDefault="006C049B" w:rsidP="00724F2A">
            <w:pPr>
              <w:spacing w:after="60"/>
              <w:jc w:val="left"/>
              <w:rPr>
                <w:b/>
                <w:color w:val="0D0D0D" w:themeColor="text1" w:themeTint="F2"/>
                <w:sz w:val="18"/>
                <w:lang w:val="en-CA"/>
              </w:rPr>
            </w:pPr>
            <w:r w:rsidRPr="004E55B1">
              <w:rPr>
                <w:b/>
                <w:color w:val="0D0D0D" w:themeColor="text1" w:themeTint="F2"/>
                <w:sz w:val="18"/>
                <w:lang w:val="en-CA"/>
              </w:rPr>
              <w:t>(IV) CONSUMPTION DATA (ODP tonnes)</w:t>
            </w:r>
          </w:p>
        </w:tc>
      </w:tr>
      <w:tr w:rsidR="006C049B" w:rsidRPr="004E55B1" w14:paraId="4BAFC1F9" w14:textId="77777777" w:rsidTr="00724F2A">
        <w:trPr>
          <w:trHeight w:val="240"/>
          <w:jc w:val="center"/>
        </w:trPr>
        <w:tc>
          <w:tcPr>
            <w:tcW w:w="0" w:type="auto"/>
            <w:shd w:val="clear" w:color="auto" w:fill="auto"/>
          </w:tcPr>
          <w:p w14:paraId="7ED8F896"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2009 - 2010 baseline:</w:t>
            </w:r>
          </w:p>
        </w:tc>
        <w:tc>
          <w:tcPr>
            <w:tcW w:w="0" w:type="auto"/>
            <w:shd w:val="clear" w:color="auto" w:fill="auto"/>
          </w:tcPr>
          <w:p w14:paraId="64C5983D"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5.3</w:t>
            </w:r>
          </w:p>
        </w:tc>
        <w:tc>
          <w:tcPr>
            <w:tcW w:w="0" w:type="auto"/>
            <w:shd w:val="clear" w:color="auto" w:fill="auto"/>
          </w:tcPr>
          <w:p w14:paraId="0B6E3ED8"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Starting point for sustained aggregate reductions:</w:t>
            </w:r>
          </w:p>
        </w:tc>
        <w:tc>
          <w:tcPr>
            <w:tcW w:w="1006" w:type="dxa"/>
            <w:shd w:val="clear" w:color="auto" w:fill="auto"/>
          </w:tcPr>
          <w:p w14:paraId="1F6DA06A"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5.33</w:t>
            </w:r>
          </w:p>
        </w:tc>
      </w:tr>
      <w:tr w:rsidR="006C049B" w:rsidRPr="004E55B1" w14:paraId="1B2BAA3E" w14:textId="77777777" w:rsidTr="00724F2A">
        <w:trPr>
          <w:trHeight w:val="240"/>
          <w:jc w:val="center"/>
        </w:trPr>
        <w:tc>
          <w:tcPr>
            <w:tcW w:w="10201" w:type="dxa"/>
            <w:gridSpan w:val="4"/>
            <w:shd w:val="clear" w:color="auto" w:fill="auto"/>
          </w:tcPr>
          <w:p w14:paraId="30B14187"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CONSUMPTION ELIGIBLE FOR FUNDING (ODP tonnes)</w:t>
            </w:r>
          </w:p>
        </w:tc>
      </w:tr>
      <w:tr w:rsidR="006C049B" w:rsidRPr="004E55B1" w14:paraId="7A955CA9" w14:textId="77777777" w:rsidTr="00724F2A">
        <w:trPr>
          <w:trHeight w:val="240"/>
          <w:jc w:val="center"/>
        </w:trPr>
        <w:tc>
          <w:tcPr>
            <w:tcW w:w="0" w:type="auto"/>
            <w:shd w:val="clear" w:color="auto" w:fill="auto"/>
          </w:tcPr>
          <w:p w14:paraId="752EC9F6"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Already approved:</w:t>
            </w:r>
          </w:p>
        </w:tc>
        <w:tc>
          <w:tcPr>
            <w:tcW w:w="0" w:type="auto"/>
            <w:shd w:val="clear" w:color="auto" w:fill="auto"/>
          </w:tcPr>
          <w:p w14:paraId="1F06E079"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2.33</w:t>
            </w:r>
          </w:p>
        </w:tc>
        <w:tc>
          <w:tcPr>
            <w:tcW w:w="0" w:type="auto"/>
            <w:shd w:val="clear" w:color="auto" w:fill="auto"/>
          </w:tcPr>
          <w:p w14:paraId="65DE5068"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Remaining:</w:t>
            </w:r>
          </w:p>
        </w:tc>
        <w:tc>
          <w:tcPr>
            <w:tcW w:w="1006" w:type="dxa"/>
            <w:shd w:val="clear" w:color="auto" w:fill="auto"/>
          </w:tcPr>
          <w:p w14:paraId="1CBF8671"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3.00</w:t>
            </w:r>
          </w:p>
        </w:tc>
      </w:tr>
    </w:tbl>
    <w:p w14:paraId="4F10C7C3" w14:textId="77777777" w:rsidR="006C049B" w:rsidRPr="004E55B1" w:rsidRDefault="006C049B" w:rsidP="006C049B">
      <w:pPr>
        <w:spacing w:after="60"/>
        <w:jc w:val="center"/>
        <w:rPr>
          <w:color w:val="0D0D0D" w:themeColor="text1" w:themeTint="F2"/>
          <w:lang w:val="en-CA"/>
        </w:rPr>
      </w:pPr>
    </w:p>
    <w:tbl>
      <w:tblPr>
        <w:tblStyle w:val="TableGrid"/>
        <w:tblW w:w="1016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980"/>
        <w:gridCol w:w="2551"/>
        <w:gridCol w:w="5634"/>
      </w:tblGrid>
      <w:tr w:rsidR="006C049B" w:rsidRPr="004E55B1" w14:paraId="75C9A7B0" w14:textId="77777777" w:rsidTr="00724F2A">
        <w:trPr>
          <w:trHeight w:val="240"/>
          <w:jc w:val="center"/>
        </w:trPr>
        <w:tc>
          <w:tcPr>
            <w:tcW w:w="4531" w:type="dxa"/>
            <w:gridSpan w:val="2"/>
            <w:shd w:val="clear" w:color="auto" w:fill="auto"/>
          </w:tcPr>
          <w:p w14:paraId="51CC7428" w14:textId="77777777" w:rsidR="006C049B" w:rsidRPr="004E55B1" w:rsidRDefault="006C049B" w:rsidP="00724F2A">
            <w:pPr>
              <w:spacing w:after="60"/>
              <w:jc w:val="left"/>
              <w:rPr>
                <w:b/>
                <w:color w:val="0D0D0D" w:themeColor="text1" w:themeTint="F2"/>
                <w:sz w:val="18"/>
                <w:lang w:val="en-CA"/>
              </w:rPr>
            </w:pPr>
            <w:r w:rsidRPr="004E55B1">
              <w:rPr>
                <w:b/>
                <w:color w:val="0D0D0D" w:themeColor="text1" w:themeTint="F2"/>
                <w:sz w:val="18"/>
                <w:lang w:val="en-CA"/>
              </w:rPr>
              <w:t>(V) BUSINESS PLAN</w:t>
            </w:r>
          </w:p>
        </w:tc>
        <w:tc>
          <w:tcPr>
            <w:tcW w:w="5634" w:type="dxa"/>
            <w:shd w:val="clear" w:color="auto" w:fill="auto"/>
          </w:tcPr>
          <w:p w14:paraId="2B910716"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2020</w:t>
            </w:r>
          </w:p>
        </w:tc>
      </w:tr>
      <w:tr w:rsidR="006C049B" w:rsidRPr="004E55B1" w14:paraId="449CBC93" w14:textId="77777777" w:rsidTr="00724F2A">
        <w:trPr>
          <w:trHeight w:val="240"/>
          <w:jc w:val="center"/>
        </w:trPr>
        <w:tc>
          <w:tcPr>
            <w:tcW w:w="1980" w:type="dxa"/>
            <w:vMerge w:val="restart"/>
            <w:shd w:val="clear" w:color="auto" w:fill="auto"/>
          </w:tcPr>
          <w:p w14:paraId="5432FCD4"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UNDP</w:t>
            </w:r>
          </w:p>
        </w:tc>
        <w:tc>
          <w:tcPr>
            <w:tcW w:w="2551" w:type="dxa"/>
            <w:shd w:val="clear" w:color="auto" w:fill="auto"/>
          </w:tcPr>
          <w:p w14:paraId="431A2E74" w14:textId="77777777"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ODS phase-out (ODP tonnes)</w:t>
            </w:r>
          </w:p>
        </w:tc>
        <w:tc>
          <w:tcPr>
            <w:tcW w:w="5634" w:type="dxa"/>
            <w:shd w:val="clear" w:color="auto" w:fill="auto"/>
          </w:tcPr>
          <w:p w14:paraId="5E74DF05"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0.15</w:t>
            </w:r>
          </w:p>
        </w:tc>
      </w:tr>
      <w:tr w:rsidR="006C049B" w:rsidRPr="004E55B1" w14:paraId="57DE2F32" w14:textId="77777777" w:rsidTr="00724F2A">
        <w:trPr>
          <w:trHeight w:val="240"/>
          <w:jc w:val="center"/>
        </w:trPr>
        <w:tc>
          <w:tcPr>
            <w:tcW w:w="1980" w:type="dxa"/>
            <w:vMerge/>
            <w:shd w:val="clear" w:color="auto" w:fill="auto"/>
          </w:tcPr>
          <w:p w14:paraId="4BFB339C" w14:textId="77777777" w:rsidR="006C049B" w:rsidRPr="004E55B1" w:rsidRDefault="006C049B" w:rsidP="00724F2A">
            <w:pPr>
              <w:spacing w:after="60"/>
              <w:jc w:val="center"/>
              <w:rPr>
                <w:color w:val="0D0D0D" w:themeColor="text1" w:themeTint="F2"/>
                <w:sz w:val="18"/>
                <w:lang w:val="en-CA"/>
              </w:rPr>
            </w:pPr>
          </w:p>
        </w:tc>
        <w:tc>
          <w:tcPr>
            <w:tcW w:w="2551" w:type="dxa"/>
            <w:shd w:val="clear" w:color="auto" w:fill="auto"/>
          </w:tcPr>
          <w:p w14:paraId="7EF7CA33" w14:textId="3F2BB149"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Funding (</w:t>
            </w:r>
            <w:r w:rsidR="00744A16" w:rsidRPr="004E55B1">
              <w:rPr>
                <w:color w:val="0D0D0D" w:themeColor="text1" w:themeTint="F2"/>
                <w:sz w:val="18"/>
                <w:lang w:val="en-CA"/>
              </w:rPr>
              <w:t>US $</w:t>
            </w:r>
            <w:r w:rsidRPr="004E55B1">
              <w:rPr>
                <w:color w:val="0D0D0D" w:themeColor="text1" w:themeTint="F2"/>
                <w:sz w:val="18"/>
                <w:lang w:val="en-CA"/>
              </w:rPr>
              <w:t>)</w:t>
            </w:r>
          </w:p>
        </w:tc>
        <w:tc>
          <w:tcPr>
            <w:tcW w:w="5634" w:type="dxa"/>
            <w:shd w:val="clear" w:color="auto" w:fill="auto"/>
          </w:tcPr>
          <w:p w14:paraId="03150144"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33,863</w:t>
            </w:r>
          </w:p>
        </w:tc>
      </w:tr>
    </w:tbl>
    <w:p w14:paraId="01C5726D" w14:textId="77777777" w:rsidR="006C049B" w:rsidRPr="004E55B1" w:rsidRDefault="006C049B" w:rsidP="006C049B">
      <w:pPr>
        <w:spacing w:after="60"/>
        <w:jc w:val="center"/>
        <w:rPr>
          <w:color w:val="0D0D0D" w:themeColor="text1" w:themeTint="F2"/>
          <w:lang w:val="en-CA"/>
        </w:rPr>
      </w:pPr>
    </w:p>
    <w:tbl>
      <w:tblPr>
        <w:tblStyle w:val="TableGrid"/>
        <w:tblW w:w="1016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784"/>
        <w:gridCol w:w="709"/>
        <w:gridCol w:w="842"/>
        <w:gridCol w:w="711"/>
        <w:gridCol w:w="712"/>
        <w:gridCol w:w="712"/>
        <w:gridCol w:w="712"/>
        <w:gridCol w:w="712"/>
        <w:gridCol w:w="711"/>
        <w:gridCol w:w="712"/>
        <w:gridCol w:w="712"/>
        <w:gridCol w:w="712"/>
        <w:gridCol w:w="712"/>
        <w:gridCol w:w="712"/>
      </w:tblGrid>
      <w:tr w:rsidR="006C049B" w:rsidRPr="004E55B1" w14:paraId="3436335C" w14:textId="77777777" w:rsidTr="00C04ED4">
        <w:trPr>
          <w:jc w:val="center"/>
        </w:trPr>
        <w:tc>
          <w:tcPr>
            <w:tcW w:w="2335" w:type="dxa"/>
            <w:gridSpan w:val="3"/>
            <w:shd w:val="clear" w:color="auto" w:fill="auto"/>
          </w:tcPr>
          <w:p w14:paraId="0EC3813D" w14:textId="77777777" w:rsidR="006C049B" w:rsidRPr="004E55B1" w:rsidRDefault="006C049B" w:rsidP="00724F2A">
            <w:pPr>
              <w:spacing w:after="60"/>
              <w:jc w:val="left"/>
              <w:rPr>
                <w:b/>
                <w:color w:val="0D0D0D" w:themeColor="text1" w:themeTint="F2"/>
                <w:sz w:val="18"/>
                <w:lang w:val="en-CA"/>
              </w:rPr>
            </w:pPr>
            <w:r w:rsidRPr="004E55B1">
              <w:rPr>
                <w:b/>
                <w:color w:val="0D0D0D" w:themeColor="text1" w:themeTint="F2"/>
                <w:sz w:val="18"/>
                <w:lang w:val="en-CA"/>
              </w:rPr>
              <w:t>(VI) PROJECT DATA</w:t>
            </w:r>
          </w:p>
        </w:tc>
        <w:tc>
          <w:tcPr>
            <w:tcW w:w="711" w:type="dxa"/>
            <w:shd w:val="clear" w:color="auto" w:fill="auto"/>
            <w:tcMar>
              <w:left w:w="0" w:type="dxa"/>
              <w:right w:w="58" w:type="dxa"/>
            </w:tcMar>
          </w:tcPr>
          <w:p w14:paraId="7D41B921"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2011</w:t>
            </w:r>
          </w:p>
        </w:tc>
        <w:tc>
          <w:tcPr>
            <w:tcW w:w="712" w:type="dxa"/>
            <w:shd w:val="clear" w:color="auto" w:fill="auto"/>
            <w:tcMar>
              <w:left w:w="0" w:type="dxa"/>
              <w:right w:w="58" w:type="dxa"/>
            </w:tcMar>
          </w:tcPr>
          <w:p w14:paraId="5D683221"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2012</w:t>
            </w:r>
          </w:p>
        </w:tc>
        <w:tc>
          <w:tcPr>
            <w:tcW w:w="712" w:type="dxa"/>
            <w:shd w:val="clear" w:color="auto" w:fill="auto"/>
            <w:tcMar>
              <w:left w:w="0" w:type="dxa"/>
              <w:right w:w="58" w:type="dxa"/>
            </w:tcMar>
          </w:tcPr>
          <w:p w14:paraId="015801AC"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2013</w:t>
            </w:r>
          </w:p>
        </w:tc>
        <w:tc>
          <w:tcPr>
            <w:tcW w:w="712" w:type="dxa"/>
            <w:shd w:val="clear" w:color="auto" w:fill="auto"/>
            <w:tcMar>
              <w:left w:w="0" w:type="dxa"/>
              <w:right w:w="58" w:type="dxa"/>
            </w:tcMar>
          </w:tcPr>
          <w:p w14:paraId="2844C341"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2014</w:t>
            </w:r>
          </w:p>
        </w:tc>
        <w:tc>
          <w:tcPr>
            <w:tcW w:w="712" w:type="dxa"/>
            <w:shd w:val="clear" w:color="auto" w:fill="auto"/>
            <w:tcMar>
              <w:left w:w="0" w:type="dxa"/>
              <w:right w:w="58" w:type="dxa"/>
            </w:tcMar>
          </w:tcPr>
          <w:p w14:paraId="71036F0D"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2015</w:t>
            </w:r>
          </w:p>
        </w:tc>
        <w:tc>
          <w:tcPr>
            <w:tcW w:w="711" w:type="dxa"/>
            <w:shd w:val="clear" w:color="auto" w:fill="auto"/>
            <w:tcMar>
              <w:left w:w="0" w:type="dxa"/>
              <w:right w:w="58" w:type="dxa"/>
            </w:tcMar>
          </w:tcPr>
          <w:p w14:paraId="2BC83448"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2016</w:t>
            </w:r>
          </w:p>
        </w:tc>
        <w:tc>
          <w:tcPr>
            <w:tcW w:w="712" w:type="dxa"/>
            <w:shd w:val="clear" w:color="auto" w:fill="auto"/>
            <w:tcMar>
              <w:left w:w="0" w:type="dxa"/>
              <w:right w:w="58" w:type="dxa"/>
            </w:tcMar>
          </w:tcPr>
          <w:p w14:paraId="3A8A7544"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2017</w:t>
            </w:r>
          </w:p>
        </w:tc>
        <w:tc>
          <w:tcPr>
            <w:tcW w:w="712" w:type="dxa"/>
            <w:shd w:val="clear" w:color="auto" w:fill="auto"/>
            <w:tcMar>
              <w:left w:w="0" w:type="dxa"/>
              <w:right w:w="58" w:type="dxa"/>
            </w:tcMar>
          </w:tcPr>
          <w:p w14:paraId="6CC173A3"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2018</w:t>
            </w:r>
          </w:p>
        </w:tc>
        <w:tc>
          <w:tcPr>
            <w:tcW w:w="712" w:type="dxa"/>
            <w:shd w:val="clear" w:color="auto" w:fill="auto"/>
            <w:tcMar>
              <w:left w:w="0" w:type="dxa"/>
              <w:right w:w="58" w:type="dxa"/>
            </w:tcMar>
          </w:tcPr>
          <w:p w14:paraId="547E2E6C"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2019</w:t>
            </w:r>
          </w:p>
        </w:tc>
        <w:tc>
          <w:tcPr>
            <w:tcW w:w="712" w:type="dxa"/>
            <w:shd w:val="clear" w:color="auto" w:fill="auto"/>
            <w:tcMar>
              <w:left w:w="0" w:type="dxa"/>
              <w:right w:w="58" w:type="dxa"/>
            </w:tcMar>
          </w:tcPr>
          <w:p w14:paraId="07C7C8F8"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2020</w:t>
            </w:r>
          </w:p>
        </w:tc>
        <w:tc>
          <w:tcPr>
            <w:tcW w:w="712" w:type="dxa"/>
            <w:shd w:val="clear" w:color="auto" w:fill="auto"/>
            <w:tcMar>
              <w:left w:w="0" w:type="dxa"/>
              <w:right w:w="58" w:type="dxa"/>
            </w:tcMar>
          </w:tcPr>
          <w:p w14:paraId="16757C82" w14:textId="77777777" w:rsidR="006C049B" w:rsidRPr="004E55B1" w:rsidRDefault="006C049B" w:rsidP="00724F2A">
            <w:pPr>
              <w:spacing w:after="60"/>
              <w:jc w:val="center"/>
              <w:rPr>
                <w:b/>
                <w:color w:val="0D0D0D" w:themeColor="text1" w:themeTint="F2"/>
                <w:sz w:val="18"/>
                <w:lang w:val="en-CA"/>
              </w:rPr>
            </w:pPr>
            <w:r w:rsidRPr="004E55B1">
              <w:rPr>
                <w:b/>
                <w:color w:val="0D0D0D" w:themeColor="text1" w:themeTint="F2"/>
                <w:sz w:val="18"/>
                <w:lang w:val="en-CA"/>
              </w:rPr>
              <w:t>Total</w:t>
            </w:r>
          </w:p>
        </w:tc>
      </w:tr>
      <w:tr w:rsidR="006C049B" w:rsidRPr="004E55B1" w14:paraId="6D4643AD" w14:textId="77777777" w:rsidTr="00C04ED4">
        <w:trPr>
          <w:jc w:val="center"/>
        </w:trPr>
        <w:tc>
          <w:tcPr>
            <w:tcW w:w="2335" w:type="dxa"/>
            <w:gridSpan w:val="3"/>
            <w:shd w:val="clear" w:color="auto" w:fill="auto"/>
          </w:tcPr>
          <w:p w14:paraId="1E5D29BD" w14:textId="77777777"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Montreal Protocol consumption limits</w:t>
            </w:r>
          </w:p>
        </w:tc>
        <w:tc>
          <w:tcPr>
            <w:tcW w:w="711" w:type="dxa"/>
            <w:shd w:val="clear" w:color="auto" w:fill="auto"/>
            <w:tcMar>
              <w:left w:w="0" w:type="dxa"/>
              <w:right w:w="58" w:type="dxa"/>
            </w:tcMar>
          </w:tcPr>
          <w:p w14:paraId="7716FEEA" w14:textId="77777777" w:rsidR="006C049B" w:rsidRPr="004E55B1" w:rsidRDefault="006C049B" w:rsidP="00724F2A">
            <w:pPr>
              <w:spacing w:after="60"/>
              <w:jc w:val="right"/>
              <w:rPr>
                <w:color w:val="0D0D0D" w:themeColor="text1" w:themeTint="F2"/>
                <w:sz w:val="18"/>
                <w:szCs w:val="18"/>
                <w:lang w:val="en-CA"/>
              </w:rPr>
            </w:pPr>
            <w:r w:rsidRPr="004E55B1">
              <w:rPr>
                <w:color w:val="0D0D0D" w:themeColor="text1" w:themeTint="F2"/>
                <w:sz w:val="18"/>
                <w:szCs w:val="18"/>
                <w:lang w:val="en-CA"/>
              </w:rPr>
              <w:t>n/a</w:t>
            </w:r>
          </w:p>
        </w:tc>
        <w:tc>
          <w:tcPr>
            <w:tcW w:w="712" w:type="dxa"/>
            <w:shd w:val="clear" w:color="auto" w:fill="auto"/>
            <w:tcMar>
              <w:left w:w="0" w:type="dxa"/>
              <w:right w:w="58" w:type="dxa"/>
            </w:tcMar>
          </w:tcPr>
          <w:p w14:paraId="483E4D3F" w14:textId="77777777" w:rsidR="006C049B" w:rsidRPr="004E55B1" w:rsidRDefault="006C049B" w:rsidP="00724F2A">
            <w:pPr>
              <w:spacing w:after="60"/>
              <w:jc w:val="right"/>
              <w:rPr>
                <w:color w:val="0D0D0D" w:themeColor="text1" w:themeTint="F2"/>
                <w:sz w:val="18"/>
                <w:szCs w:val="18"/>
                <w:lang w:val="en-CA"/>
              </w:rPr>
            </w:pPr>
            <w:r w:rsidRPr="004E55B1">
              <w:rPr>
                <w:color w:val="0D0D0D" w:themeColor="text1" w:themeTint="F2"/>
                <w:sz w:val="18"/>
                <w:szCs w:val="18"/>
                <w:lang w:val="en-CA"/>
              </w:rPr>
              <w:t>n/a</w:t>
            </w:r>
          </w:p>
        </w:tc>
        <w:tc>
          <w:tcPr>
            <w:tcW w:w="712" w:type="dxa"/>
            <w:shd w:val="clear" w:color="auto" w:fill="auto"/>
            <w:tcMar>
              <w:left w:w="0" w:type="dxa"/>
              <w:right w:w="58" w:type="dxa"/>
            </w:tcMar>
          </w:tcPr>
          <w:p w14:paraId="192635A4" w14:textId="77777777"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5.3</w:t>
            </w:r>
          </w:p>
        </w:tc>
        <w:tc>
          <w:tcPr>
            <w:tcW w:w="712" w:type="dxa"/>
            <w:shd w:val="clear" w:color="auto" w:fill="auto"/>
            <w:tcMar>
              <w:left w:w="0" w:type="dxa"/>
              <w:right w:w="58" w:type="dxa"/>
            </w:tcMar>
          </w:tcPr>
          <w:p w14:paraId="69E4A08E" w14:textId="77777777"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5.3</w:t>
            </w:r>
          </w:p>
        </w:tc>
        <w:tc>
          <w:tcPr>
            <w:tcW w:w="712" w:type="dxa"/>
            <w:shd w:val="clear" w:color="auto" w:fill="auto"/>
            <w:tcMar>
              <w:left w:w="0" w:type="dxa"/>
              <w:right w:w="58" w:type="dxa"/>
            </w:tcMar>
          </w:tcPr>
          <w:p w14:paraId="02F04879" w14:textId="77777777"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4.8</w:t>
            </w:r>
          </w:p>
        </w:tc>
        <w:tc>
          <w:tcPr>
            <w:tcW w:w="711" w:type="dxa"/>
            <w:shd w:val="clear" w:color="auto" w:fill="auto"/>
            <w:tcMar>
              <w:left w:w="0" w:type="dxa"/>
              <w:right w:w="58" w:type="dxa"/>
            </w:tcMar>
          </w:tcPr>
          <w:p w14:paraId="5718F81D" w14:textId="77777777"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4.8</w:t>
            </w:r>
          </w:p>
        </w:tc>
        <w:tc>
          <w:tcPr>
            <w:tcW w:w="712" w:type="dxa"/>
            <w:shd w:val="clear" w:color="auto" w:fill="auto"/>
            <w:tcMar>
              <w:left w:w="0" w:type="dxa"/>
              <w:right w:w="58" w:type="dxa"/>
            </w:tcMar>
          </w:tcPr>
          <w:p w14:paraId="73F3462D" w14:textId="77777777"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4.8</w:t>
            </w:r>
          </w:p>
        </w:tc>
        <w:tc>
          <w:tcPr>
            <w:tcW w:w="712" w:type="dxa"/>
            <w:shd w:val="clear" w:color="auto" w:fill="auto"/>
            <w:tcMar>
              <w:left w:w="0" w:type="dxa"/>
              <w:right w:w="58" w:type="dxa"/>
            </w:tcMar>
          </w:tcPr>
          <w:p w14:paraId="56D834CA" w14:textId="77777777"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4.8</w:t>
            </w:r>
          </w:p>
        </w:tc>
        <w:tc>
          <w:tcPr>
            <w:tcW w:w="712" w:type="dxa"/>
            <w:shd w:val="clear" w:color="auto" w:fill="auto"/>
            <w:tcMar>
              <w:left w:w="0" w:type="dxa"/>
              <w:right w:w="58" w:type="dxa"/>
            </w:tcMar>
          </w:tcPr>
          <w:p w14:paraId="3F6E20BE" w14:textId="77777777"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4.8</w:t>
            </w:r>
          </w:p>
        </w:tc>
        <w:tc>
          <w:tcPr>
            <w:tcW w:w="712" w:type="dxa"/>
            <w:shd w:val="clear" w:color="auto" w:fill="auto"/>
            <w:tcMar>
              <w:left w:w="0" w:type="dxa"/>
              <w:right w:w="58" w:type="dxa"/>
            </w:tcMar>
          </w:tcPr>
          <w:p w14:paraId="7EEB006C" w14:textId="77777777"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3.5</w:t>
            </w:r>
          </w:p>
        </w:tc>
        <w:tc>
          <w:tcPr>
            <w:tcW w:w="712" w:type="dxa"/>
            <w:shd w:val="clear" w:color="auto" w:fill="auto"/>
            <w:tcMar>
              <w:left w:w="0" w:type="dxa"/>
              <w:right w:w="58" w:type="dxa"/>
            </w:tcMar>
          </w:tcPr>
          <w:p w14:paraId="187C228D" w14:textId="77777777" w:rsidR="006C049B" w:rsidRPr="004E55B1" w:rsidRDefault="006C049B" w:rsidP="00724F2A">
            <w:pPr>
              <w:spacing w:after="60"/>
              <w:jc w:val="right"/>
              <w:rPr>
                <w:color w:val="0D0D0D" w:themeColor="text1" w:themeTint="F2"/>
                <w:sz w:val="18"/>
                <w:szCs w:val="18"/>
                <w:lang w:val="en-CA"/>
              </w:rPr>
            </w:pPr>
            <w:r w:rsidRPr="004E55B1">
              <w:rPr>
                <w:color w:val="0D0D0D" w:themeColor="text1" w:themeTint="F2"/>
                <w:sz w:val="18"/>
                <w:szCs w:val="18"/>
                <w:lang w:val="en-CA"/>
              </w:rPr>
              <w:t>n/a</w:t>
            </w:r>
          </w:p>
        </w:tc>
      </w:tr>
      <w:tr w:rsidR="006C049B" w:rsidRPr="004E55B1" w14:paraId="1B2404B4" w14:textId="77777777" w:rsidTr="00C04ED4">
        <w:trPr>
          <w:jc w:val="center"/>
        </w:trPr>
        <w:tc>
          <w:tcPr>
            <w:tcW w:w="2335" w:type="dxa"/>
            <w:gridSpan w:val="3"/>
            <w:shd w:val="clear" w:color="auto" w:fill="auto"/>
          </w:tcPr>
          <w:p w14:paraId="3B9F367D" w14:textId="77777777"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Maximum allowable consumption (ODP tonnes)</w:t>
            </w:r>
          </w:p>
        </w:tc>
        <w:tc>
          <w:tcPr>
            <w:tcW w:w="711" w:type="dxa"/>
            <w:shd w:val="clear" w:color="auto" w:fill="auto"/>
            <w:tcMar>
              <w:left w:w="0" w:type="dxa"/>
              <w:right w:w="58" w:type="dxa"/>
            </w:tcMar>
          </w:tcPr>
          <w:p w14:paraId="65FA2FF3" w14:textId="77777777" w:rsidR="006C049B" w:rsidRPr="004E55B1" w:rsidRDefault="006C049B" w:rsidP="00724F2A">
            <w:pPr>
              <w:spacing w:after="60"/>
              <w:jc w:val="right"/>
              <w:rPr>
                <w:color w:val="0D0D0D" w:themeColor="text1" w:themeTint="F2"/>
                <w:sz w:val="18"/>
                <w:szCs w:val="18"/>
                <w:lang w:val="en-CA"/>
              </w:rPr>
            </w:pPr>
            <w:r w:rsidRPr="004E55B1">
              <w:rPr>
                <w:color w:val="0D0D0D" w:themeColor="text1" w:themeTint="F2"/>
                <w:sz w:val="18"/>
                <w:szCs w:val="18"/>
                <w:lang w:val="en-CA"/>
              </w:rPr>
              <w:t>n/a</w:t>
            </w:r>
          </w:p>
        </w:tc>
        <w:tc>
          <w:tcPr>
            <w:tcW w:w="712" w:type="dxa"/>
            <w:shd w:val="clear" w:color="auto" w:fill="auto"/>
            <w:tcMar>
              <w:left w:w="0" w:type="dxa"/>
              <w:right w:w="58" w:type="dxa"/>
            </w:tcMar>
          </w:tcPr>
          <w:p w14:paraId="4A0E759D" w14:textId="77777777" w:rsidR="006C049B" w:rsidRPr="004E55B1" w:rsidRDefault="006C049B" w:rsidP="00724F2A">
            <w:pPr>
              <w:spacing w:after="60"/>
              <w:jc w:val="right"/>
              <w:rPr>
                <w:color w:val="0D0D0D" w:themeColor="text1" w:themeTint="F2"/>
                <w:sz w:val="18"/>
                <w:szCs w:val="18"/>
                <w:lang w:val="en-CA"/>
              </w:rPr>
            </w:pPr>
            <w:r w:rsidRPr="004E55B1">
              <w:rPr>
                <w:color w:val="0D0D0D" w:themeColor="text1" w:themeTint="F2"/>
                <w:sz w:val="18"/>
                <w:szCs w:val="18"/>
                <w:lang w:val="en-CA"/>
              </w:rPr>
              <w:t>n/a</w:t>
            </w:r>
          </w:p>
        </w:tc>
        <w:tc>
          <w:tcPr>
            <w:tcW w:w="712" w:type="dxa"/>
            <w:shd w:val="clear" w:color="auto" w:fill="auto"/>
            <w:tcMar>
              <w:left w:w="0" w:type="dxa"/>
              <w:right w:w="58" w:type="dxa"/>
            </w:tcMar>
          </w:tcPr>
          <w:p w14:paraId="27C2D6F0" w14:textId="77777777"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5.33</w:t>
            </w:r>
          </w:p>
        </w:tc>
        <w:tc>
          <w:tcPr>
            <w:tcW w:w="712" w:type="dxa"/>
            <w:shd w:val="clear" w:color="auto" w:fill="auto"/>
            <w:tcMar>
              <w:left w:w="0" w:type="dxa"/>
              <w:right w:w="58" w:type="dxa"/>
            </w:tcMar>
          </w:tcPr>
          <w:p w14:paraId="78BC72ED" w14:textId="77777777"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5.33</w:t>
            </w:r>
          </w:p>
        </w:tc>
        <w:tc>
          <w:tcPr>
            <w:tcW w:w="712" w:type="dxa"/>
            <w:shd w:val="clear" w:color="auto" w:fill="auto"/>
            <w:tcMar>
              <w:left w:w="0" w:type="dxa"/>
              <w:right w:w="58" w:type="dxa"/>
            </w:tcMar>
          </w:tcPr>
          <w:p w14:paraId="7091E1B6" w14:textId="77777777" w:rsidR="006C049B" w:rsidRPr="004E55B1" w:rsidRDefault="006C049B" w:rsidP="00724F2A">
            <w:pPr>
              <w:spacing w:after="60"/>
              <w:jc w:val="right"/>
              <w:rPr>
                <w:color w:val="0D0D0D" w:themeColor="text1" w:themeTint="F2"/>
                <w:sz w:val="19"/>
                <w:szCs w:val="19"/>
                <w:lang w:val="en-CA"/>
              </w:rPr>
            </w:pPr>
            <w:r w:rsidRPr="004E55B1">
              <w:rPr>
                <w:color w:val="0D0D0D" w:themeColor="text1" w:themeTint="F2"/>
                <w:sz w:val="19"/>
                <w:szCs w:val="19"/>
                <w:lang w:val="en-CA"/>
              </w:rPr>
              <w:t>4.79</w:t>
            </w:r>
          </w:p>
        </w:tc>
        <w:tc>
          <w:tcPr>
            <w:tcW w:w="711" w:type="dxa"/>
            <w:shd w:val="clear" w:color="auto" w:fill="auto"/>
            <w:tcMar>
              <w:left w:w="0" w:type="dxa"/>
              <w:right w:w="58" w:type="dxa"/>
            </w:tcMar>
          </w:tcPr>
          <w:p w14:paraId="278CE773" w14:textId="77777777" w:rsidR="006C049B" w:rsidRPr="004E55B1" w:rsidRDefault="006C049B" w:rsidP="00724F2A">
            <w:pPr>
              <w:jc w:val="right"/>
              <w:rPr>
                <w:color w:val="0D0D0D" w:themeColor="text1" w:themeTint="F2"/>
                <w:sz w:val="19"/>
                <w:szCs w:val="19"/>
                <w:lang w:val="en-CA"/>
              </w:rPr>
            </w:pPr>
            <w:r w:rsidRPr="004E55B1">
              <w:rPr>
                <w:color w:val="0D0D0D" w:themeColor="text1" w:themeTint="F2"/>
                <w:sz w:val="19"/>
                <w:szCs w:val="19"/>
                <w:lang w:val="en-CA"/>
              </w:rPr>
              <w:t>4.14</w:t>
            </w:r>
          </w:p>
        </w:tc>
        <w:tc>
          <w:tcPr>
            <w:tcW w:w="712" w:type="dxa"/>
            <w:shd w:val="clear" w:color="auto" w:fill="auto"/>
            <w:tcMar>
              <w:left w:w="0" w:type="dxa"/>
              <w:right w:w="58" w:type="dxa"/>
            </w:tcMar>
          </w:tcPr>
          <w:p w14:paraId="6397E2A5" w14:textId="77777777" w:rsidR="006C049B" w:rsidRPr="004E55B1" w:rsidRDefault="006C049B" w:rsidP="00724F2A">
            <w:pPr>
              <w:jc w:val="right"/>
              <w:rPr>
                <w:color w:val="0D0D0D" w:themeColor="text1" w:themeTint="F2"/>
                <w:sz w:val="19"/>
                <w:szCs w:val="19"/>
                <w:lang w:val="en-CA"/>
              </w:rPr>
            </w:pPr>
            <w:r w:rsidRPr="004E55B1">
              <w:rPr>
                <w:color w:val="0D0D0D" w:themeColor="text1" w:themeTint="F2"/>
                <w:sz w:val="19"/>
                <w:szCs w:val="19"/>
                <w:lang w:val="en-CA"/>
              </w:rPr>
              <w:t>4.14</w:t>
            </w:r>
          </w:p>
        </w:tc>
        <w:tc>
          <w:tcPr>
            <w:tcW w:w="712" w:type="dxa"/>
            <w:shd w:val="clear" w:color="auto" w:fill="auto"/>
            <w:tcMar>
              <w:left w:w="0" w:type="dxa"/>
              <w:right w:w="58" w:type="dxa"/>
            </w:tcMar>
          </w:tcPr>
          <w:p w14:paraId="54DEB2CD" w14:textId="77777777" w:rsidR="006C049B" w:rsidRPr="004E55B1" w:rsidRDefault="006C049B" w:rsidP="00724F2A">
            <w:pPr>
              <w:jc w:val="right"/>
              <w:rPr>
                <w:color w:val="0D0D0D" w:themeColor="text1" w:themeTint="F2"/>
                <w:sz w:val="19"/>
                <w:szCs w:val="19"/>
                <w:lang w:val="en-CA"/>
              </w:rPr>
            </w:pPr>
            <w:r w:rsidRPr="004E55B1">
              <w:rPr>
                <w:color w:val="0D0D0D" w:themeColor="text1" w:themeTint="F2"/>
                <w:sz w:val="19"/>
                <w:szCs w:val="19"/>
                <w:lang w:val="en-CA"/>
              </w:rPr>
              <w:t>4.14</w:t>
            </w:r>
          </w:p>
        </w:tc>
        <w:tc>
          <w:tcPr>
            <w:tcW w:w="712" w:type="dxa"/>
            <w:shd w:val="clear" w:color="auto" w:fill="auto"/>
            <w:tcMar>
              <w:left w:w="0" w:type="dxa"/>
              <w:right w:w="58" w:type="dxa"/>
            </w:tcMar>
          </w:tcPr>
          <w:p w14:paraId="7E7E3AA9" w14:textId="77777777" w:rsidR="006C049B" w:rsidRPr="004E55B1" w:rsidRDefault="006C049B" w:rsidP="00724F2A">
            <w:pPr>
              <w:jc w:val="right"/>
              <w:rPr>
                <w:color w:val="0D0D0D" w:themeColor="text1" w:themeTint="F2"/>
                <w:sz w:val="19"/>
                <w:szCs w:val="19"/>
                <w:lang w:val="en-CA"/>
              </w:rPr>
            </w:pPr>
            <w:r w:rsidRPr="004E55B1">
              <w:rPr>
                <w:color w:val="0D0D0D" w:themeColor="text1" w:themeTint="F2"/>
                <w:sz w:val="19"/>
                <w:szCs w:val="19"/>
                <w:lang w:val="en-CA"/>
              </w:rPr>
              <w:t>4.14</w:t>
            </w:r>
          </w:p>
        </w:tc>
        <w:tc>
          <w:tcPr>
            <w:tcW w:w="712" w:type="dxa"/>
            <w:shd w:val="clear" w:color="auto" w:fill="auto"/>
            <w:tcMar>
              <w:left w:w="0" w:type="dxa"/>
              <w:right w:w="58" w:type="dxa"/>
            </w:tcMar>
          </w:tcPr>
          <w:p w14:paraId="4B9D5D94" w14:textId="77777777" w:rsidR="006C049B" w:rsidRPr="004E55B1" w:rsidRDefault="006C049B" w:rsidP="00724F2A">
            <w:pPr>
              <w:jc w:val="right"/>
              <w:rPr>
                <w:color w:val="0D0D0D" w:themeColor="text1" w:themeTint="F2"/>
                <w:sz w:val="19"/>
                <w:szCs w:val="19"/>
                <w:lang w:val="en-CA"/>
              </w:rPr>
            </w:pPr>
            <w:r w:rsidRPr="004E55B1">
              <w:rPr>
                <w:color w:val="0D0D0D" w:themeColor="text1" w:themeTint="F2"/>
                <w:sz w:val="19"/>
                <w:szCs w:val="19"/>
                <w:lang w:val="en-CA"/>
              </w:rPr>
              <w:t>3.00</w:t>
            </w:r>
          </w:p>
        </w:tc>
        <w:tc>
          <w:tcPr>
            <w:tcW w:w="712" w:type="dxa"/>
            <w:shd w:val="clear" w:color="auto" w:fill="auto"/>
            <w:tcMar>
              <w:left w:w="0" w:type="dxa"/>
              <w:right w:w="58" w:type="dxa"/>
            </w:tcMar>
          </w:tcPr>
          <w:p w14:paraId="6F1BDE17" w14:textId="77777777" w:rsidR="006C049B" w:rsidRPr="004E55B1" w:rsidRDefault="006C049B" w:rsidP="00724F2A">
            <w:pPr>
              <w:spacing w:after="60"/>
              <w:jc w:val="right"/>
              <w:rPr>
                <w:color w:val="0D0D0D" w:themeColor="text1" w:themeTint="F2"/>
                <w:sz w:val="18"/>
                <w:szCs w:val="18"/>
                <w:lang w:val="en-CA"/>
              </w:rPr>
            </w:pPr>
            <w:r w:rsidRPr="004E55B1">
              <w:rPr>
                <w:color w:val="0D0D0D" w:themeColor="text1" w:themeTint="F2"/>
                <w:sz w:val="18"/>
                <w:szCs w:val="18"/>
                <w:lang w:val="en-CA"/>
              </w:rPr>
              <w:t>n/a</w:t>
            </w:r>
          </w:p>
        </w:tc>
      </w:tr>
      <w:tr w:rsidR="006C049B" w:rsidRPr="004E55B1" w14:paraId="3EF4C5D0" w14:textId="77777777" w:rsidTr="00C04ED4">
        <w:trPr>
          <w:jc w:val="center"/>
        </w:trPr>
        <w:tc>
          <w:tcPr>
            <w:tcW w:w="784" w:type="dxa"/>
            <w:vMerge w:val="restart"/>
            <w:shd w:val="clear" w:color="auto" w:fill="auto"/>
          </w:tcPr>
          <w:p w14:paraId="4FD53A0B" w14:textId="65A48B5C"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Agreed funding (</w:t>
            </w:r>
            <w:r w:rsidR="00744A16" w:rsidRPr="004E55B1">
              <w:rPr>
                <w:color w:val="0D0D0D" w:themeColor="text1" w:themeTint="F2"/>
                <w:sz w:val="18"/>
                <w:lang w:val="en-CA"/>
              </w:rPr>
              <w:t>US $</w:t>
            </w:r>
            <w:r w:rsidRPr="004E55B1">
              <w:rPr>
                <w:color w:val="0D0D0D" w:themeColor="text1" w:themeTint="F2"/>
                <w:sz w:val="18"/>
                <w:lang w:val="en-CA"/>
              </w:rPr>
              <w:t>)</w:t>
            </w:r>
          </w:p>
        </w:tc>
        <w:tc>
          <w:tcPr>
            <w:tcW w:w="709" w:type="dxa"/>
            <w:vMerge w:val="restart"/>
            <w:shd w:val="clear" w:color="auto" w:fill="auto"/>
          </w:tcPr>
          <w:p w14:paraId="42208ADE"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UNDP</w:t>
            </w:r>
          </w:p>
        </w:tc>
        <w:tc>
          <w:tcPr>
            <w:tcW w:w="842" w:type="dxa"/>
            <w:shd w:val="clear" w:color="auto" w:fill="auto"/>
          </w:tcPr>
          <w:p w14:paraId="757C3C70" w14:textId="77777777"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Project costs</w:t>
            </w:r>
          </w:p>
        </w:tc>
        <w:tc>
          <w:tcPr>
            <w:tcW w:w="711" w:type="dxa"/>
            <w:shd w:val="clear" w:color="auto" w:fill="auto"/>
            <w:tcMar>
              <w:left w:w="0" w:type="dxa"/>
              <w:right w:w="58" w:type="dxa"/>
            </w:tcMar>
          </w:tcPr>
          <w:p w14:paraId="3A279411"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200,000</w:t>
            </w:r>
          </w:p>
        </w:tc>
        <w:tc>
          <w:tcPr>
            <w:tcW w:w="712" w:type="dxa"/>
            <w:shd w:val="clear" w:color="auto" w:fill="auto"/>
            <w:tcMar>
              <w:left w:w="0" w:type="dxa"/>
              <w:right w:w="58" w:type="dxa"/>
            </w:tcMar>
          </w:tcPr>
          <w:p w14:paraId="1B6821ED"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04EA3B19"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28E9D1D3"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150,000</w:t>
            </w:r>
          </w:p>
        </w:tc>
        <w:tc>
          <w:tcPr>
            <w:tcW w:w="712" w:type="dxa"/>
            <w:shd w:val="clear" w:color="auto" w:fill="auto"/>
            <w:tcMar>
              <w:left w:w="0" w:type="dxa"/>
              <w:right w:w="58" w:type="dxa"/>
            </w:tcMar>
          </w:tcPr>
          <w:p w14:paraId="2D2357C8"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1" w:type="dxa"/>
            <w:shd w:val="clear" w:color="auto" w:fill="auto"/>
            <w:tcMar>
              <w:left w:w="0" w:type="dxa"/>
              <w:right w:w="58" w:type="dxa"/>
            </w:tcMar>
          </w:tcPr>
          <w:p w14:paraId="3FEB5C1D"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433990D0"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119,400</w:t>
            </w:r>
          </w:p>
        </w:tc>
        <w:tc>
          <w:tcPr>
            <w:tcW w:w="712" w:type="dxa"/>
            <w:shd w:val="clear" w:color="auto" w:fill="auto"/>
            <w:tcMar>
              <w:left w:w="0" w:type="dxa"/>
              <w:right w:w="58" w:type="dxa"/>
            </w:tcMar>
          </w:tcPr>
          <w:p w14:paraId="127551F5"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39D5E80A"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5E339EC6"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31,500</w:t>
            </w:r>
          </w:p>
        </w:tc>
        <w:tc>
          <w:tcPr>
            <w:tcW w:w="712" w:type="dxa"/>
            <w:shd w:val="clear" w:color="auto" w:fill="auto"/>
            <w:tcMar>
              <w:left w:w="0" w:type="dxa"/>
              <w:right w:w="58" w:type="dxa"/>
            </w:tcMar>
          </w:tcPr>
          <w:p w14:paraId="7D5EF548"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500,900</w:t>
            </w:r>
          </w:p>
        </w:tc>
      </w:tr>
      <w:tr w:rsidR="006C049B" w:rsidRPr="004E55B1" w14:paraId="6021F8F5" w14:textId="77777777" w:rsidTr="00C04ED4">
        <w:trPr>
          <w:jc w:val="center"/>
        </w:trPr>
        <w:tc>
          <w:tcPr>
            <w:tcW w:w="784" w:type="dxa"/>
            <w:vMerge/>
            <w:shd w:val="clear" w:color="auto" w:fill="auto"/>
          </w:tcPr>
          <w:p w14:paraId="4F55A3BD" w14:textId="77777777" w:rsidR="006C049B" w:rsidRPr="004E55B1" w:rsidRDefault="006C049B" w:rsidP="00724F2A">
            <w:pPr>
              <w:spacing w:after="60"/>
              <w:jc w:val="center"/>
              <w:rPr>
                <w:color w:val="0D0D0D" w:themeColor="text1" w:themeTint="F2"/>
                <w:sz w:val="18"/>
                <w:lang w:val="en-CA"/>
              </w:rPr>
            </w:pPr>
          </w:p>
        </w:tc>
        <w:tc>
          <w:tcPr>
            <w:tcW w:w="709" w:type="dxa"/>
            <w:vMerge/>
            <w:shd w:val="clear" w:color="auto" w:fill="auto"/>
          </w:tcPr>
          <w:p w14:paraId="23776812" w14:textId="77777777" w:rsidR="006C049B" w:rsidRPr="004E55B1" w:rsidRDefault="006C049B" w:rsidP="00724F2A">
            <w:pPr>
              <w:spacing w:after="60"/>
              <w:jc w:val="center"/>
              <w:rPr>
                <w:color w:val="0D0D0D" w:themeColor="text1" w:themeTint="F2"/>
                <w:sz w:val="18"/>
                <w:lang w:val="en-CA"/>
              </w:rPr>
            </w:pPr>
          </w:p>
        </w:tc>
        <w:tc>
          <w:tcPr>
            <w:tcW w:w="842" w:type="dxa"/>
            <w:shd w:val="clear" w:color="auto" w:fill="auto"/>
          </w:tcPr>
          <w:p w14:paraId="36E04F49" w14:textId="77777777"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Support costs</w:t>
            </w:r>
          </w:p>
        </w:tc>
        <w:tc>
          <w:tcPr>
            <w:tcW w:w="711" w:type="dxa"/>
            <w:shd w:val="clear" w:color="auto" w:fill="auto"/>
            <w:tcMar>
              <w:left w:w="0" w:type="dxa"/>
              <w:right w:w="58" w:type="dxa"/>
            </w:tcMar>
          </w:tcPr>
          <w:p w14:paraId="564E67B4"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15,000</w:t>
            </w:r>
          </w:p>
        </w:tc>
        <w:tc>
          <w:tcPr>
            <w:tcW w:w="712" w:type="dxa"/>
            <w:shd w:val="clear" w:color="auto" w:fill="auto"/>
            <w:tcMar>
              <w:left w:w="0" w:type="dxa"/>
              <w:right w:w="58" w:type="dxa"/>
            </w:tcMar>
          </w:tcPr>
          <w:p w14:paraId="18ED4979"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62285BB4"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415303CC"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11,250</w:t>
            </w:r>
          </w:p>
        </w:tc>
        <w:tc>
          <w:tcPr>
            <w:tcW w:w="712" w:type="dxa"/>
            <w:shd w:val="clear" w:color="auto" w:fill="auto"/>
            <w:tcMar>
              <w:left w:w="0" w:type="dxa"/>
              <w:right w:w="58" w:type="dxa"/>
            </w:tcMar>
          </w:tcPr>
          <w:p w14:paraId="28C5892B"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1" w:type="dxa"/>
            <w:shd w:val="clear" w:color="auto" w:fill="auto"/>
            <w:tcMar>
              <w:left w:w="0" w:type="dxa"/>
              <w:right w:w="58" w:type="dxa"/>
            </w:tcMar>
          </w:tcPr>
          <w:p w14:paraId="3D2C0B37"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5DB71997"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8,955</w:t>
            </w:r>
          </w:p>
        </w:tc>
        <w:tc>
          <w:tcPr>
            <w:tcW w:w="712" w:type="dxa"/>
            <w:shd w:val="clear" w:color="auto" w:fill="auto"/>
            <w:tcMar>
              <w:left w:w="0" w:type="dxa"/>
              <w:right w:w="58" w:type="dxa"/>
            </w:tcMar>
          </w:tcPr>
          <w:p w14:paraId="545DA32D"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2749CFB7"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55B25534"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2,363</w:t>
            </w:r>
          </w:p>
        </w:tc>
        <w:tc>
          <w:tcPr>
            <w:tcW w:w="712" w:type="dxa"/>
            <w:shd w:val="clear" w:color="auto" w:fill="auto"/>
            <w:tcMar>
              <w:left w:w="0" w:type="dxa"/>
              <w:right w:w="58" w:type="dxa"/>
            </w:tcMar>
          </w:tcPr>
          <w:p w14:paraId="357B8ECC"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37,568</w:t>
            </w:r>
          </w:p>
        </w:tc>
      </w:tr>
      <w:tr w:rsidR="006C049B" w:rsidRPr="004E55B1" w14:paraId="4917166A" w14:textId="77777777" w:rsidTr="00C04ED4">
        <w:trPr>
          <w:jc w:val="center"/>
        </w:trPr>
        <w:tc>
          <w:tcPr>
            <w:tcW w:w="1493" w:type="dxa"/>
            <w:gridSpan w:val="2"/>
            <w:vMerge w:val="restart"/>
            <w:shd w:val="clear" w:color="auto" w:fill="auto"/>
          </w:tcPr>
          <w:p w14:paraId="1258A879" w14:textId="6630913A"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Funds approved by ExCom (</w:t>
            </w:r>
            <w:r w:rsidR="00744A16" w:rsidRPr="004E55B1">
              <w:rPr>
                <w:color w:val="0D0D0D" w:themeColor="text1" w:themeTint="F2"/>
                <w:sz w:val="18"/>
                <w:lang w:val="en-CA"/>
              </w:rPr>
              <w:t>US $</w:t>
            </w:r>
            <w:r w:rsidRPr="004E55B1">
              <w:rPr>
                <w:color w:val="0D0D0D" w:themeColor="text1" w:themeTint="F2"/>
                <w:sz w:val="18"/>
                <w:lang w:val="en-CA"/>
              </w:rPr>
              <w:t>)</w:t>
            </w:r>
          </w:p>
        </w:tc>
        <w:tc>
          <w:tcPr>
            <w:tcW w:w="842" w:type="dxa"/>
            <w:shd w:val="clear" w:color="auto" w:fill="auto"/>
          </w:tcPr>
          <w:p w14:paraId="6E43D8C9" w14:textId="77777777"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Project costs</w:t>
            </w:r>
          </w:p>
        </w:tc>
        <w:tc>
          <w:tcPr>
            <w:tcW w:w="711" w:type="dxa"/>
            <w:shd w:val="clear" w:color="auto" w:fill="auto"/>
            <w:tcMar>
              <w:left w:w="0" w:type="dxa"/>
              <w:right w:w="58" w:type="dxa"/>
            </w:tcMar>
          </w:tcPr>
          <w:p w14:paraId="3BE08504"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200,000</w:t>
            </w:r>
          </w:p>
        </w:tc>
        <w:tc>
          <w:tcPr>
            <w:tcW w:w="712" w:type="dxa"/>
            <w:shd w:val="clear" w:color="auto" w:fill="auto"/>
            <w:tcMar>
              <w:left w:w="0" w:type="dxa"/>
              <w:right w:w="58" w:type="dxa"/>
            </w:tcMar>
          </w:tcPr>
          <w:p w14:paraId="2F5BB6CE"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6C80DA32"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263F9671"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150,000</w:t>
            </w:r>
          </w:p>
        </w:tc>
        <w:tc>
          <w:tcPr>
            <w:tcW w:w="712" w:type="dxa"/>
            <w:shd w:val="clear" w:color="auto" w:fill="auto"/>
            <w:tcMar>
              <w:left w:w="0" w:type="dxa"/>
              <w:right w:w="58" w:type="dxa"/>
            </w:tcMar>
          </w:tcPr>
          <w:p w14:paraId="707B44A4"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1" w:type="dxa"/>
            <w:shd w:val="clear" w:color="auto" w:fill="auto"/>
            <w:tcMar>
              <w:left w:w="0" w:type="dxa"/>
              <w:right w:w="58" w:type="dxa"/>
            </w:tcMar>
          </w:tcPr>
          <w:p w14:paraId="44052E61"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15D1212C"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12F257F9"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119,400</w:t>
            </w:r>
          </w:p>
        </w:tc>
        <w:tc>
          <w:tcPr>
            <w:tcW w:w="712" w:type="dxa"/>
            <w:shd w:val="clear" w:color="auto" w:fill="auto"/>
            <w:tcMar>
              <w:left w:w="0" w:type="dxa"/>
              <w:right w:w="58" w:type="dxa"/>
            </w:tcMar>
          </w:tcPr>
          <w:p w14:paraId="7625ADC4"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1E882EE4"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697BAFE0"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fldChar w:fldCharType="begin"/>
            </w:r>
            <w:r w:rsidRPr="004E55B1">
              <w:rPr>
                <w:color w:val="0D0D0D" w:themeColor="text1" w:themeTint="F2"/>
                <w:sz w:val="18"/>
                <w:lang w:val="en-CA"/>
              </w:rPr>
              <w:instrText xml:space="preserve"> =SUM(LEFT) </w:instrText>
            </w:r>
            <w:r w:rsidRPr="004E55B1">
              <w:rPr>
                <w:color w:val="0D0D0D" w:themeColor="text1" w:themeTint="F2"/>
                <w:sz w:val="18"/>
                <w:lang w:val="en-CA"/>
              </w:rPr>
              <w:fldChar w:fldCharType="separate"/>
            </w:r>
            <w:r w:rsidRPr="004E55B1">
              <w:rPr>
                <w:noProof/>
                <w:color w:val="0D0D0D" w:themeColor="text1" w:themeTint="F2"/>
                <w:sz w:val="18"/>
                <w:lang w:val="en-CA"/>
              </w:rPr>
              <w:t>469,400</w:t>
            </w:r>
            <w:r w:rsidRPr="004E55B1">
              <w:rPr>
                <w:color w:val="0D0D0D" w:themeColor="text1" w:themeTint="F2"/>
                <w:sz w:val="18"/>
                <w:lang w:val="en-CA"/>
              </w:rPr>
              <w:fldChar w:fldCharType="end"/>
            </w:r>
          </w:p>
        </w:tc>
      </w:tr>
      <w:tr w:rsidR="006C049B" w:rsidRPr="004E55B1" w14:paraId="7FAF96DF" w14:textId="77777777" w:rsidTr="00C04ED4">
        <w:trPr>
          <w:jc w:val="center"/>
        </w:trPr>
        <w:tc>
          <w:tcPr>
            <w:tcW w:w="1493" w:type="dxa"/>
            <w:gridSpan w:val="2"/>
            <w:vMerge/>
            <w:shd w:val="clear" w:color="auto" w:fill="auto"/>
          </w:tcPr>
          <w:p w14:paraId="15C3CBE2" w14:textId="77777777" w:rsidR="006C049B" w:rsidRPr="004E55B1" w:rsidRDefault="006C049B" w:rsidP="00724F2A">
            <w:pPr>
              <w:spacing w:after="60"/>
              <w:jc w:val="center"/>
              <w:rPr>
                <w:color w:val="0D0D0D" w:themeColor="text1" w:themeTint="F2"/>
                <w:sz w:val="18"/>
                <w:lang w:val="en-CA"/>
              </w:rPr>
            </w:pPr>
          </w:p>
        </w:tc>
        <w:tc>
          <w:tcPr>
            <w:tcW w:w="842" w:type="dxa"/>
            <w:shd w:val="clear" w:color="auto" w:fill="auto"/>
          </w:tcPr>
          <w:p w14:paraId="13715BBF" w14:textId="77777777"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Support costs</w:t>
            </w:r>
          </w:p>
        </w:tc>
        <w:tc>
          <w:tcPr>
            <w:tcW w:w="711" w:type="dxa"/>
            <w:shd w:val="clear" w:color="auto" w:fill="auto"/>
            <w:tcMar>
              <w:left w:w="0" w:type="dxa"/>
              <w:right w:w="58" w:type="dxa"/>
            </w:tcMar>
          </w:tcPr>
          <w:p w14:paraId="7ED95C2A"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15,000</w:t>
            </w:r>
          </w:p>
        </w:tc>
        <w:tc>
          <w:tcPr>
            <w:tcW w:w="712" w:type="dxa"/>
            <w:shd w:val="clear" w:color="auto" w:fill="auto"/>
            <w:tcMar>
              <w:left w:w="0" w:type="dxa"/>
              <w:right w:w="58" w:type="dxa"/>
            </w:tcMar>
          </w:tcPr>
          <w:p w14:paraId="73B1B6C8"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03BE1CDB"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2F65BD53"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11,250</w:t>
            </w:r>
          </w:p>
        </w:tc>
        <w:tc>
          <w:tcPr>
            <w:tcW w:w="712" w:type="dxa"/>
            <w:shd w:val="clear" w:color="auto" w:fill="auto"/>
            <w:tcMar>
              <w:left w:w="0" w:type="dxa"/>
              <w:right w:w="58" w:type="dxa"/>
            </w:tcMar>
          </w:tcPr>
          <w:p w14:paraId="6D1CE2BB"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1" w:type="dxa"/>
            <w:shd w:val="clear" w:color="auto" w:fill="auto"/>
            <w:tcMar>
              <w:left w:w="0" w:type="dxa"/>
              <w:right w:w="58" w:type="dxa"/>
            </w:tcMar>
          </w:tcPr>
          <w:p w14:paraId="08330803"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28C71A1B"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79414E6E"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8,955</w:t>
            </w:r>
          </w:p>
        </w:tc>
        <w:tc>
          <w:tcPr>
            <w:tcW w:w="712" w:type="dxa"/>
            <w:shd w:val="clear" w:color="auto" w:fill="auto"/>
            <w:tcMar>
              <w:left w:w="0" w:type="dxa"/>
              <w:right w:w="58" w:type="dxa"/>
            </w:tcMar>
          </w:tcPr>
          <w:p w14:paraId="596ABCE2"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6EDD0BBB"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0</w:t>
            </w:r>
          </w:p>
        </w:tc>
        <w:tc>
          <w:tcPr>
            <w:tcW w:w="712" w:type="dxa"/>
            <w:shd w:val="clear" w:color="auto" w:fill="auto"/>
            <w:tcMar>
              <w:left w:w="0" w:type="dxa"/>
              <w:right w:w="58" w:type="dxa"/>
            </w:tcMar>
          </w:tcPr>
          <w:p w14:paraId="3117F8C6"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fldChar w:fldCharType="begin"/>
            </w:r>
            <w:r w:rsidRPr="004E55B1">
              <w:rPr>
                <w:color w:val="0D0D0D" w:themeColor="text1" w:themeTint="F2"/>
                <w:sz w:val="18"/>
                <w:lang w:val="en-CA"/>
              </w:rPr>
              <w:instrText xml:space="preserve"> =SUM(LEFT) </w:instrText>
            </w:r>
            <w:r w:rsidRPr="004E55B1">
              <w:rPr>
                <w:color w:val="0D0D0D" w:themeColor="text1" w:themeTint="F2"/>
                <w:sz w:val="18"/>
                <w:lang w:val="en-CA"/>
              </w:rPr>
              <w:fldChar w:fldCharType="separate"/>
            </w:r>
            <w:r w:rsidRPr="004E55B1">
              <w:rPr>
                <w:noProof/>
                <w:color w:val="0D0D0D" w:themeColor="text1" w:themeTint="F2"/>
                <w:sz w:val="18"/>
                <w:lang w:val="en-CA"/>
              </w:rPr>
              <w:t>35,205</w:t>
            </w:r>
            <w:r w:rsidRPr="004E55B1">
              <w:rPr>
                <w:color w:val="0D0D0D" w:themeColor="text1" w:themeTint="F2"/>
                <w:sz w:val="18"/>
                <w:lang w:val="en-CA"/>
              </w:rPr>
              <w:fldChar w:fldCharType="end"/>
            </w:r>
          </w:p>
        </w:tc>
      </w:tr>
      <w:tr w:rsidR="006C049B" w:rsidRPr="004E55B1" w14:paraId="7A1ABA97" w14:textId="77777777" w:rsidTr="00C04ED4">
        <w:trPr>
          <w:jc w:val="center"/>
        </w:trPr>
        <w:tc>
          <w:tcPr>
            <w:tcW w:w="1493" w:type="dxa"/>
            <w:gridSpan w:val="2"/>
            <w:vMerge w:val="restart"/>
            <w:shd w:val="clear" w:color="auto" w:fill="auto"/>
          </w:tcPr>
          <w:p w14:paraId="0E3BEC24" w14:textId="6AC4B648"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Total funds requested for approval at this meeting (</w:t>
            </w:r>
            <w:r w:rsidR="00744A16" w:rsidRPr="004E55B1">
              <w:rPr>
                <w:color w:val="0D0D0D" w:themeColor="text1" w:themeTint="F2"/>
                <w:sz w:val="18"/>
                <w:lang w:val="en-CA"/>
              </w:rPr>
              <w:t>US $</w:t>
            </w:r>
            <w:r w:rsidRPr="004E55B1">
              <w:rPr>
                <w:color w:val="0D0D0D" w:themeColor="text1" w:themeTint="F2"/>
                <w:sz w:val="18"/>
                <w:lang w:val="en-CA"/>
              </w:rPr>
              <w:t>)</w:t>
            </w:r>
          </w:p>
        </w:tc>
        <w:tc>
          <w:tcPr>
            <w:tcW w:w="842" w:type="dxa"/>
            <w:shd w:val="clear" w:color="auto" w:fill="auto"/>
          </w:tcPr>
          <w:p w14:paraId="2BDECFC3" w14:textId="77777777"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Project costs</w:t>
            </w:r>
          </w:p>
        </w:tc>
        <w:tc>
          <w:tcPr>
            <w:tcW w:w="711" w:type="dxa"/>
            <w:shd w:val="clear" w:color="auto" w:fill="auto"/>
            <w:tcMar>
              <w:left w:w="0" w:type="dxa"/>
              <w:right w:w="58" w:type="dxa"/>
            </w:tcMar>
          </w:tcPr>
          <w:p w14:paraId="1DD52589"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150DCD5E"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4D8C4565"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194F2104"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0BB24A75" w14:textId="77777777" w:rsidR="006C049B" w:rsidRPr="004E55B1" w:rsidRDefault="006C049B" w:rsidP="00724F2A">
            <w:pPr>
              <w:spacing w:after="60"/>
              <w:jc w:val="right"/>
              <w:rPr>
                <w:color w:val="0D0D0D" w:themeColor="text1" w:themeTint="F2"/>
                <w:sz w:val="18"/>
                <w:lang w:val="en-CA"/>
              </w:rPr>
            </w:pPr>
          </w:p>
        </w:tc>
        <w:tc>
          <w:tcPr>
            <w:tcW w:w="711" w:type="dxa"/>
            <w:shd w:val="clear" w:color="auto" w:fill="auto"/>
            <w:tcMar>
              <w:left w:w="0" w:type="dxa"/>
              <w:right w:w="58" w:type="dxa"/>
            </w:tcMar>
          </w:tcPr>
          <w:p w14:paraId="51DF203A"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77E433F9"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08AACEAC"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1BC74FAA"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4847E28E"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31,500</w:t>
            </w:r>
          </w:p>
        </w:tc>
        <w:tc>
          <w:tcPr>
            <w:tcW w:w="712" w:type="dxa"/>
            <w:shd w:val="clear" w:color="auto" w:fill="auto"/>
            <w:tcMar>
              <w:left w:w="0" w:type="dxa"/>
              <w:right w:w="58" w:type="dxa"/>
            </w:tcMar>
          </w:tcPr>
          <w:p w14:paraId="08CB4B77"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31,500</w:t>
            </w:r>
          </w:p>
        </w:tc>
      </w:tr>
      <w:tr w:rsidR="006C049B" w:rsidRPr="004E55B1" w14:paraId="7FB49D41" w14:textId="77777777" w:rsidTr="00C04ED4">
        <w:trPr>
          <w:jc w:val="center"/>
        </w:trPr>
        <w:tc>
          <w:tcPr>
            <w:tcW w:w="1493" w:type="dxa"/>
            <w:gridSpan w:val="2"/>
            <w:vMerge/>
            <w:shd w:val="clear" w:color="auto" w:fill="auto"/>
          </w:tcPr>
          <w:p w14:paraId="6E75330E" w14:textId="77777777" w:rsidR="006C049B" w:rsidRPr="004E55B1" w:rsidRDefault="006C049B" w:rsidP="00724F2A">
            <w:pPr>
              <w:spacing w:after="60"/>
              <w:jc w:val="center"/>
              <w:rPr>
                <w:color w:val="0D0D0D" w:themeColor="text1" w:themeTint="F2"/>
                <w:sz w:val="18"/>
                <w:lang w:val="en-CA"/>
              </w:rPr>
            </w:pPr>
          </w:p>
        </w:tc>
        <w:tc>
          <w:tcPr>
            <w:tcW w:w="842" w:type="dxa"/>
            <w:shd w:val="clear" w:color="auto" w:fill="auto"/>
          </w:tcPr>
          <w:p w14:paraId="21349833" w14:textId="77777777" w:rsidR="006C049B" w:rsidRPr="004E55B1" w:rsidRDefault="006C049B" w:rsidP="00724F2A">
            <w:pPr>
              <w:spacing w:after="60"/>
              <w:jc w:val="left"/>
              <w:rPr>
                <w:color w:val="0D0D0D" w:themeColor="text1" w:themeTint="F2"/>
                <w:sz w:val="18"/>
                <w:lang w:val="en-CA"/>
              </w:rPr>
            </w:pPr>
            <w:r w:rsidRPr="004E55B1">
              <w:rPr>
                <w:color w:val="0D0D0D" w:themeColor="text1" w:themeTint="F2"/>
                <w:sz w:val="18"/>
                <w:lang w:val="en-CA"/>
              </w:rPr>
              <w:t>Support costs</w:t>
            </w:r>
          </w:p>
        </w:tc>
        <w:tc>
          <w:tcPr>
            <w:tcW w:w="711" w:type="dxa"/>
            <w:shd w:val="clear" w:color="auto" w:fill="auto"/>
            <w:tcMar>
              <w:left w:w="0" w:type="dxa"/>
              <w:right w:w="58" w:type="dxa"/>
            </w:tcMar>
          </w:tcPr>
          <w:p w14:paraId="79BF9698"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46013CA8"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3880C130"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3E802534"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552022C4" w14:textId="77777777" w:rsidR="006C049B" w:rsidRPr="004E55B1" w:rsidRDefault="006C049B" w:rsidP="00724F2A">
            <w:pPr>
              <w:spacing w:after="60"/>
              <w:jc w:val="right"/>
              <w:rPr>
                <w:color w:val="0D0D0D" w:themeColor="text1" w:themeTint="F2"/>
                <w:sz w:val="18"/>
                <w:lang w:val="en-CA"/>
              </w:rPr>
            </w:pPr>
          </w:p>
        </w:tc>
        <w:tc>
          <w:tcPr>
            <w:tcW w:w="711" w:type="dxa"/>
            <w:shd w:val="clear" w:color="auto" w:fill="auto"/>
            <w:tcMar>
              <w:left w:w="0" w:type="dxa"/>
              <w:right w:w="58" w:type="dxa"/>
            </w:tcMar>
          </w:tcPr>
          <w:p w14:paraId="4CE2A21A"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2D71A4AD"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7BC74388"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2676AB93" w14:textId="77777777" w:rsidR="006C049B" w:rsidRPr="004E55B1" w:rsidRDefault="006C049B" w:rsidP="00724F2A">
            <w:pPr>
              <w:spacing w:after="60"/>
              <w:jc w:val="right"/>
              <w:rPr>
                <w:color w:val="0D0D0D" w:themeColor="text1" w:themeTint="F2"/>
                <w:sz w:val="18"/>
                <w:lang w:val="en-CA"/>
              </w:rPr>
            </w:pPr>
          </w:p>
        </w:tc>
        <w:tc>
          <w:tcPr>
            <w:tcW w:w="712" w:type="dxa"/>
            <w:shd w:val="clear" w:color="auto" w:fill="auto"/>
            <w:tcMar>
              <w:left w:w="0" w:type="dxa"/>
              <w:right w:w="58" w:type="dxa"/>
            </w:tcMar>
          </w:tcPr>
          <w:p w14:paraId="31A0E0EC"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2,363</w:t>
            </w:r>
          </w:p>
        </w:tc>
        <w:tc>
          <w:tcPr>
            <w:tcW w:w="712" w:type="dxa"/>
            <w:shd w:val="clear" w:color="auto" w:fill="auto"/>
            <w:tcMar>
              <w:left w:w="0" w:type="dxa"/>
              <w:right w:w="58" w:type="dxa"/>
            </w:tcMar>
          </w:tcPr>
          <w:p w14:paraId="03E19242" w14:textId="77777777" w:rsidR="006C049B" w:rsidRPr="004E55B1" w:rsidRDefault="006C049B" w:rsidP="00724F2A">
            <w:pPr>
              <w:spacing w:after="60"/>
              <w:jc w:val="right"/>
              <w:rPr>
                <w:color w:val="0D0D0D" w:themeColor="text1" w:themeTint="F2"/>
                <w:sz w:val="18"/>
                <w:lang w:val="en-CA"/>
              </w:rPr>
            </w:pPr>
            <w:r w:rsidRPr="004E55B1">
              <w:rPr>
                <w:color w:val="0D0D0D" w:themeColor="text1" w:themeTint="F2"/>
                <w:sz w:val="18"/>
                <w:lang w:val="en-CA"/>
              </w:rPr>
              <w:t>2,363</w:t>
            </w:r>
          </w:p>
        </w:tc>
      </w:tr>
    </w:tbl>
    <w:p w14:paraId="4F01B80E" w14:textId="77777777" w:rsidR="006C049B" w:rsidRPr="004E55B1" w:rsidRDefault="006C049B" w:rsidP="006C049B">
      <w:pPr>
        <w:rPr>
          <w:color w:val="0D0D0D" w:themeColor="text1" w:themeTint="F2"/>
          <w:lang w:val="en-CA"/>
        </w:rPr>
      </w:pPr>
    </w:p>
    <w:p w14:paraId="0FFECB3A" w14:textId="77777777" w:rsidR="006C049B" w:rsidRPr="004E55B1" w:rsidRDefault="006C049B" w:rsidP="006C049B">
      <w:pPr>
        <w:rPr>
          <w:color w:val="0D0D0D" w:themeColor="text1" w:themeTint="F2"/>
          <w:lang w:val="en-CA"/>
        </w:rPr>
      </w:pPr>
    </w:p>
    <w:tbl>
      <w:tblPr>
        <w:tblStyle w:val="TableGrid"/>
        <w:tblW w:w="10207" w:type="dxa"/>
        <w:tblInd w:w="-4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431"/>
        <w:gridCol w:w="6776"/>
      </w:tblGrid>
      <w:tr w:rsidR="006C049B" w:rsidRPr="004E55B1" w14:paraId="1F389B0B" w14:textId="77777777" w:rsidTr="00724F2A">
        <w:trPr>
          <w:trHeight w:val="240"/>
        </w:trPr>
        <w:tc>
          <w:tcPr>
            <w:tcW w:w="3431" w:type="dxa"/>
            <w:shd w:val="clear" w:color="auto" w:fill="auto"/>
          </w:tcPr>
          <w:p w14:paraId="3CC73741" w14:textId="77777777" w:rsidR="006C049B" w:rsidRPr="004E55B1" w:rsidRDefault="006C049B" w:rsidP="00724F2A">
            <w:pPr>
              <w:spacing w:after="60"/>
              <w:jc w:val="left"/>
              <w:rPr>
                <w:b/>
                <w:color w:val="0D0D0D" w:themeColor="text1" w:themeTint="F2"/>
                <w:sz w:val="18"/>
                <w:lang w:val="en-CA"/>
              </w:rPr>
            </w:pPr>
            <w:r w:rsidRPr="004E55B1">
              <w:rPr>
                <w:b/>
                <w:color w:val="0D0D0D" w:themeColor="text1" w:themeTint="F2"/>
                <w:sz w:val="18"/>
                <w:lang w:val="en-CA"/>
              </w:rPr>
              <w:t>Secretariat's recommendation:</w:t>
            </w:r>
          </w:p>
        </w:tc>
        <w:tc>
          <w:tcPr>
            <w:tcW w:w="6776" w:type="dxa"/>
            <w:shd w:val="clear" w:color="auto" w:fill="auto"/>
          </w:tcPr>
          <w:p w14:paraId="419F8185" w14:textId="77777777" w:rsidR="006C049B" w:rsidRPr="004E55B1" w:rsidRDefault="006C049B" w:rsidP="00724F2A">
            <w:pPr>
              <w:spacing w:after="60"/>
              <w:jc w:val="center"/>
              <w:rPr>
                <w:color w:val="0D0D0D" w:themeColor="text1" w:themeTint="F2"/>
                <w:sz w:val="18"/>
                <w:lang w:val="en-CA"/>
              </w:rPr>
            </w:pPr>
            <w:r w:rsidRPr="004E55B1">
              <w:rPr>
                <w:color w:val="0D0D0D" w:themeColor="text1" w:themeTint="F2"/>
                <w:sz w:val="18"/>
                <w:lang w:val="en-CA"/>
              </w:rPr>
              <w:t>For blanket approval</w:t>
            </w:r>
          </w:p>
        </w:tc>
      </w:tr>
    </w:tbl>
    <w:p w14:paraId="76096A01" w14:textId="77777777" w:rsidR="006C049B" w:rsidRPr="004E55B1" w:rsidRDefault="006C049B" w:rsidP="006C049B">
      <w:pPr>
        <w:rPr>
          <w:color w:val="0D0D0D" w:themeColor="text1" w:themeTint="F2"/>
          <w:lang w:val="en-CA"/>
        </w:rPr>
      </w:pPr>
    </w:p>
    <w:p w14:paraId="6234A98A" w14:textId="77777777" w:rsidR="006C049B" w:rsidRPr="004E55B1" w:rsidRDefault="006C049B" w:rsidP="006C049B">
      <w:pPr>
        <w:rPr>
          <w:color w:val="0D0D0D" w:themeColor="text1" w:themeTint="F2"/>
          <w:lang w:val="en-CA"/>
        </w:rPr>
      </w:pPr>
      <w:r w:rsidRPr="004E55B1">
        <w:rPr>
          <w:color w:val="0D0D0D" w:themeColor="text1" w:themeTint="F2"/>
          <w:lang w:val="en-CA"/>
        </w:rPr>
        <w:br w:type="page"/>
      </w:r>
    </w:p>
    <w:p w14:paraId="1343808E" w14:textId="77777777" w:rsidR="00EA5E03" w:rsidRDefault="00EA5E03" w:rsidP="006C049B">
      <w:pPr>
        <w:jc w:val="center"/>
        <w:rPr>
          <w:b/>
          <w:color w:val="0D0D0D" w:themeColor="text1" w:themeTint="F2"/>
          <w:sz w:val="22"/>
          <w:szCs w:val="22"/>
          <w:lang w:val="en-CA"/>
        </w:rPr>
      </w:pPr>
    </w:p>
    <w:p w14:paraId="3E8CA535" w14:textId="77777777" w:rsidR="00EA5E03" w:rsidRDefault="00EA5E03" w:rsidP="006C049B">
      <w:pPr>
        <w:jc w:val="center"/>
        <w:rPr>
          <w:b/>
          <w:color w:val="0D0D0D" w:themeColor="text1" w:themeTint="F2"/>
          <w:sz w:val="22"/>
          <w:szCs w:val="22"/>
          <w:lang w:val="en-CA"/>
        </w:rPr>
      </w:pPr>
    </w:p>
    <w:p w14:paraId="1958F2AB" w14:textId="4549E2BF" w:rsidR="006C049B" w:rsidRPr="004E55B1" w:rsidRDefault="006C049B" w:rsidP="006C049B">
      <w:pPr>
        <w:jc w:val="center"/>
        <w:rPr>
          <w:b/>
          <w:color w:val="0D0D0D" w:themeColor="text1" w:themeTint="F2"/>
          <w:sz w:val="22"/>
          <w:szCs w:val="22"/>
          <w:lang w:val="en-CA"/>
        </w:rPr>
      </w:pPr>
      <w:r w:rsidRPr="004E55B1">
        <w:rPr>
          <w:b/>
          <w:color w:val="0D0D0D" w:themeColor="text1" w:themeTint="F2"/>
          <w:sz w:val="22"/>
          <w:szCs w:val="22"/>
          <w:lang w:val="en-CA"/>
        </w:rPr>
        <w:t>PROJECT DESCRIPTION</w:t>
      </w:r>
    </w:p>
    <w:p w14:paraId="0462544E" w14:textId="77777777" w:rsidR="006C049B" w:rsidRPr="004E55B1" w:rsidRDefault="006C049B" w:rsidP="006C049B">
      <w:pPr>
        <w:rPr>
          <w:color w:val="0D0D0D" w:themeColor="text1" w:themeTint="F2"/>
          <w:sz w:val="22"/>
          <w:szCs w:val="22"/>
          <w:lang w:val="en-CA"/>
        </w:rPr>
      </w:pPr>
    </w:p>
    <w:p w14:paraId="4B48E111" w14:textId="0A88E213" w:rsidR="006C049B" w:rsidRPr="004E55B1" w:rsidRDefault="006C049B" w:rsidP="00E41C29">
      <w:pPr>
        <w:pStyle w:val="Heading1"/>
        <w:jc w:val="both"/>
        <w:rPr>
          <w:color w:val="0D0D0D" w:themeColor="text1" w:themeTint="F2"/>
          <w:sz w:val="22"/>
          <w:szCs w:val="22"/>
          <w:lang w:val="en-CA"/>
        </w:rPr>
      </w:pPr>
      <w:r w:rsidRPr="004E55B1">
        <w:rPr>
          <w:color w:val="0D0D0D" w:themeColor="text1" w:themeTint="F2"/>
          <w:sz w:val="22"/>
          <w:szCs w:val="22"/>
          <w:lang w:val="en-CA"/>
        </w:rPr>
        <w:t xml:space="preserve">On behalf of the Government of Georgia, UNDP as the designated implementing agency, has submitted a request for funding for the fourth and final tranche of stage I of the HCFC phase-out management plan (HPMP), at the amount of </w:t>
      </w:r>
      <w:r w:rsidR="00744A16" w:rsidRPr="004E55B1">
        <w:rPr>
          <w:color w:val="0D0D0D" w:themeColor="text1" w:themeTint="F2"/>
          <w:sz w:val="22"/>
          <w:szCs w:val="22"/>
          <w:lang w:val="en-CA"/>
        </w:rPr>
        <w:t>US $</w:t>
      </w:r>
      <w:r w:rsidRPr="004E55B1">
        <w:rPr>
          <w:color w:val="0D0D0D" w:themeColor="text1" w:themeTint="F2"/>
          <w:sz w:val="22"/>
          <w:szCs w:val="22"/>
          <w:lang w:val="en-CA"/>
        </w:rPr>
        <w:t xml:space="preserve">31,500, plus agency support costs of </w:t>
      </w:r>
      <w:r w:rsidR="00744A16" w:rsidRPr="004E55B1">
        <w:rPr>
          <w:color w:val="0D0D0D" w:themeColor="text1" w:themeTint="F2"/>
          <w:sz w:val="22"/>
          <w:szCs w:val="22"/>
          <w:lang w:val="en-CA"/>
        </w:rPr>
        <w:t>US $</w:t>
      </w:r>
      <w:r w:rsidRPr="004E55B1">
        <w:rPr>
          <w:color w:val="0D0D0D" w:themeColor="text1" w:themeTint="F2"/>
          <w:sz w:val="22"/>
          <w:szCs w:val="22"/>
          <w:lang w:val="en-CA"/>
        </w:rPr>
        <w:t>2,363.</w:t>
      </w:r>
      <w:r w:rsidRPr="004E55B1">
        <w:rPr>
          <w:rStyle w:val="FootnoteReference"/>
          <w:color w:val="0D0D0D" w:themeColor="text1" w:themeTint="F2"/>
          <w:sz w:val="22"/>
          <w:szCs w:val="22"/>
          <w:lang w:val="en-CA"/>
        </w:rPr>
        <w:footnoteReference w:id="1"/>
      </w:r>
      <w:r w:rsidRPr="004E55B1">
        <w:rPr>
          <w:color w:val="0D0D0D" w:themeColor="text1" w:themeTint="F2"/>
          <w:sz w:val="22"/>
          <w:szCs w:val="22"/>
          <w:lang w:val="en-CA"/>
        </w:rPr>
        <w:t xml:space="preserve"> The submission includes a progress report on the implementation of the third tranche and the tranche implementation plan for 2020</w:t>
      </w:r>
      <w:r w:rsidR="002658D0" w:rsidRPr="004E55B1">
        <w:rPr>
          <w:color w:val="0D0D0D" w:themeColor="text1" w:themeTint="F2"/>
          <w:sz w:val="22"/>
          <w:szCs w:val="22"/>
          <w:lang w:val="en-CA"/>
        </w:rPr>
        <w:t>-2021</w:t>
      </w:r>
      <w:r w:rsidRPr="004E55B1">
        <w:rPr>
          <w:color w:val="0D0D0D" w:themeColor="text1" w:themeTint="F2"/>
          <w:sz w:val="22"/>
          <w:szCs w:val="22"/>
          <w:lang w:val="en-CA"/>
        </w:rPr>
        <w:t>.</w:t>
      </w:r>
    </w:p>
    <w:p w14:paraId="45EF33E0" w14:textId="77777777" w:rsidR="006C049B" w:rsidRPr="004E55B1" w:rsidRDefault="006C049B" w:rsidP="00E41C29">
      <w:pPr>
        <w:jc w:val="both"/>
        <w:rPr>
          <w:color w:val="0D0D0D" w:themeColor="text1" w:themeTint="F2"/>
          <w:sz w:val="22"/>
          <w:szCs w:val="22"/>
          <w:u w:val="single"/>
          <w:lang w:val="en-CA"/>
        </w:rPr>
      </w:pPr>
      <w:r w:rsidRPr="004E55B1">
        <w:rPr>
          <w:color w:val="0D0D0D" w:themeColor="text1" w:themeTint="F2"/>
          <w:sz w:val="22"/>
          <w:szCs w:val="22"/>
          <w:u w:val="single"/>
          <w:lang w:val="en-CA"/>
        </w:rPr>
        <w:t>Report on HCFC consumption</w:t>
      </w:r>
    </w:p>
    <w:p w14:paraId="04A5E508" w14:textId="77777777" w:rsidR="006C049B" w:rsidRPr="004E55B1" w:rsidRDefault="006C049B" w:rsidP="00E41C29">
      <w:pPr>
        <w:jc w:val="both"/>
        <w:rPr>
          <w:color w:val="0D0D0D" w:themeColor="text1" w:themeTint="F2"/>
          <w:sz w:val="22"/>
          <w:szCs w:val="22"/>
          <w:lang w:val="en-CA"/>
        </w:rPr>
      </w:pPr>
    </w:p>
    <w:p w14:paraId="6B501069" w14:textId="3714633F" w:rsidR="006C049B" w:rsidRPr="004E55B1" w:rsidRDefault="006C049B" w:rsidP="00E41C29">
      <w:pPr>
        <w:pStyle w:val="Heading1"/>
        <w:jc w:val="both"/>
        <w:rPr>
          <w:color w:val="0D0D0D" w:themeColor="text1" w:themeTint="F2"/>
          <w:sz w:val="22"/>
          <w:szCs w:val="22"/>
          <w:lang w:val="en-CA"/>
        </w:rPr>
      </w:pPr>
      <w:r w:rsidRPr="004E55B1">
        <w:rPr>
          <w:color w:val="0D0D0D" w:themeColor="text1" w:themeTint="F2"/>
          <w:sz w:val="22"/>
          <w:szCs w:val="22"/>
          <w:lang w:val="en-CA"/>
        </w:rPr>
        <w:t>The Government of Georgia reported under the country programme</w:t>
      </w:r>
      <w:r w:rsidR="001308F4" w:rsidRPr="004E55B1">
        <w:rPr>
          <w:color w:val="0D0D0D" w:themeColor="text1" w:themeTint="F2"/>
          <w:sz w:val="22"/>
          <w:szCs w:val="22"/>
          <w:lang w:val="en-CA"/>
        </w:rPr>
        <w:t xml:space="preserve"> (CP)</w:t>
      </w:r>
      <w:r w:rsidRPr="004E55B1">
        <w:rPr>
          <w:color w:val="0D0D0D" w:themeColor="text1" w:themeTint="F2"/>
          <w:sz w:val="22"/>
          <w:szCs w:val="22"/>
          <w:lang w:val="en-CA"/>
        </w:rPr>
        <w:t xml:space="preserve"> implementation report, a consumption of 2.4</w:t>
      </w:r>
      <w:r w:rsidR="001308F4" w:rsidRPr="004E55B1">
        <w:rPr>
          <w:color w:val="0D0D0D" w:themeColor="text1" w:themeTint="F2"/>
          <w:sz w:val="22"/>
          <w:szCs w:val="22"/>
          <w:lang w:val="en-CA"/>
        </w:rPr>
        <w:t>0</w:t>
      </w:r>
      <w:r w:rsidRPr="004E55B1">
        <w:rPr>
          <w:color w:val="0D0D0D" w:themeColor="text1" w:themeTint="F2"/>
          <w:sz w:val="22"/>
          <w:szCs w:val="22"/>
          <w:lang w:val="en-CA"/>
        </w:rPr>
        <w:t> ODP tonnes of HCFC in 2019</w:t>
      </w:r>
      <w:r w:rsidR="00924C21" w:rsidRPr="004E55B1">
        <w:rPr>
          <w:color w:val="0D0D0D" w:themeColor="text1" w:themeTint="F2"/>
          <w:sz w:val="22"/>
          <w:szCs w:val="22"/>
          <w:lang w:val="en-CA"/>
        </w:rPr>
        <w:t>, which is 55 per cent below the HCFC baseline for compliance</w:t>
      </w:r>
      <w:r w:rsidRPr="004E55B1">
        <w:rPr>
          <w:color w:val="0D0D0D" w:themeColor="text1" w:themeTint="F2"/>
          <w:sz w:val="22"/>
          <w:szCs w:val="22"/>
          <w:lang w:val="en-CA"/>
        </w:rPr>
        <w:t>. The 2015</w:t>
      </w:r>
      <w:r w:rsidRPr="004E55B1">
        <w:rPr>
          <w:color w:val="0D0D0D" w:themeColor="text1" w:themeTint="F2"/>
          <w:sz w:val="22"/>
          <w:szCs w:val="22"/>
          <w:lang w:val="en-CA"/>
        </w:rPr>
        <w:noBreakHyphen/>
        <w:t xml:space="preserve">2019 HCFC consumption is shown in Table 1. </w:t>
      </w:r>
    </w:p>
    <w:p w14:paraId="7992884C" w14:textId="77777777" w:rsidR="006C049B" w:rsidRPr="004E55B1" w:rsidRDefault="006C049B" w:rsidP="00E41C29">
      <w:pPr>
        <w:jc w:val="both"/>
        <w:rPr>
          <w:b/>
          <w:color w:val="0D0D0D" w:themeColor="text1" w:themeTint="F2"/>
          <w:sz w:val="22"/>
          <w:szCs w:val="22"/>
          <w:lang w:val="en-CA"/>
        </w:rPr>
      </w:pPr>
      <w:bookmarkStart w:id="0" w:name="_Hlk37178566"/>
      <w:r w:rsidRPr="004E55B1">
        <w:rPr>
          <w:b/>
          <w:color w:val="0D0D0D" w:themeColor="text1" w:themeTint="F2"/>
          <w:sz w:val="22"/>
          <w:szCs w:val="22"/>
          <w:lang w:val="en-CA"/>
        </w:rPr>
        <w:t>Table 1. HCFC consumption in Georgia (2015-2019 Article 7 data)</w:t>
      </w:r>
    </w:p>
    <w:tbl>
      <w:tblPr>
        <w:tblW w:w="5000" w:type="pct"/>
        <w:tblLayout w:type="fixed"/>
        <w:tblLook w:val="04A0" w:firstRow="1" w:lastRow="0" w:firstColumn="1" w:lastColumn="0" w:noHBand="0" w:noVBand="1"/>
      </w:tblPr>
      <w:tblGrid>
        <w:gridCol w:w="2604"/>
        <w:gridCol w:w="1124"/>
        <w:gridCol w:w="1124"/>
        <w:gridCol w:w="1124"/>
        <w:gridCol w:w="1124"/>
        <w:gridCol w:w="1124"/>
        <w:gridCol w:w="1126"/>
      </w:tblGrid>
      <w:tr w:rsidR="006C049B" w:rsidRPr="004E55B1" w14:paraId="1AA9E82D" w14:textId="77777777" w:rsidTr="00744A16">
        <w:trPr>
          <w:tblHeader/>
        </w:trPr>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583CB11" w14:textId="77777777" w:rsidR="006C049B" w:rsidRPr="004E55B1" w:rsidRDefault="006C049B" w:rsidP="00E41C29">
            <w:pPr>
              <w:widowControl w:val="0"/>
              <w:jc w:val="both"/>
              <w:rPr>
                <w:b/>
                <w:bCs/>
                <w:color w:val="0D0D0D" w:themeColor="text1" w:themeTint="F2"/>
                <w:sz w:val="20"/>
                <w:szCs w:val="20"/>
                <w:lang w:val="en-CA"/>
              </w:rPr>
            </w:pPr>
            <w:r w:rsidRPr="004E55B1">
              <w:rPr>
                <w:b/>
                <w:bCs/>
                <w:color w:val="0D0D0D" w:themeColor="text1" w:themeTint="F2"/>
                <w:sz w:val="20"/>
                <w:szCs w:val="20"/>
                <w:lang w:val="en-CA"/>
              </w:rPr>
              <w:t>HCFC</w:t>
            </w:r>
          </w:p>
        </w:tc>
        <w:tc>
          <w:tcPr>
            <w:tcW w:w="601" w:type="pct"/>
            <w:tcBorders>
              <w:top w:val="single" w:sz="4" w:space="0" w:color="auto"/>
              <w:left w:val="nil"/>
              <w:bottom w:val="single" w:sz="4" w:space="0" w:color="auto"/>
              <w:right w:val="single" w:sz="4" w:space="0" w:color="auto"/>
            </w:tcBorders>
            <w:shd w:val="clear" w:color="auto" w:fill="auto"/>
            <w:noWrap/>
          </w:tcPr>
          <w:p w14:paraId="2C11FD9B" w14:textId="77777777" w:rsidR="006C049B" w:rsidRPr="004E55B1" w:rsidRDefault="006C049B" w:rsidP="0069797E">
            <w:pPr>
              <w:widowControl w:val="0"/>
              <w:jc w:val="center"/>
              <w:rPr>
                <w:b/>
                <w:bCs/>
                <w:color w:val="0D0D0D" w:themeColor="text1" w:themeTint="F2"/>
                <w:sz w:val="20"/>
                <w:szCs w:val="20"/>
                <w:lang w:val="en-CA"/>
              </w:rPr>
            </w:pPr>
            <w:r w:rsidRPr="004E55B1">
              <w:rPr>
                <w:b/>
                <w:bCs/>
                <w:color w:val="0D0D0D" w:themeColor="text1" w:themeTint="F2"/>
                <w:sz w:val="20"/>
                <w:szCs w:val="20"/>
                <w:lang w:val="en-CA"/>
              </w:rPr>
              <w:t>2015</w:t>
            </w:r>
          </w:p>
        </w:tc>
        <w:tc>
          <w:tcPr>
            <w:tcW w:w="601" w:type="pct"/>
            <w:tcBorders>
              <w:top w:val="single" w:sz="4" w:space="0" w:color="auto"/>
              <w:left w:val="nil"/>
              <w:bottom w:val="single" w:sz="4" w:space="0" w:color="auto"/>
              <w:right w:val="single" w:sz="4" w:space="0" w:color="auto"/>
            </w:tcBorders>
          </w:tcPr>
          <w:p w14:paraId="493AE026" w14:textId="77777777" w:rsidR="006C049B" w:rsidRPr="004E55B1" w:rsidRDefault="006C049B" w:rsidP="0069797E">
            <w:pPr>
              <w:widowControl w:val="0"/>
              <w:jc w:val="center"/>
              <w:rPr>
                <w:b/>
                <w:bCs/>
                <w:color w:val="0D0D0D" w:themeColor="text1" w:themeTint="F2"/>
                <w:sz w:val="20"/>
                <w:szCs w:val="20"/>
                <w:lang w:val="en-CA"/>
              </w:rPr>
            </w:pPr>
            <w:r w:rsidRPr="004E55B1">
              <w:rPr>
                <w:b/>
                <w:bCs/>
                <w:color w:val="0D0D0D" w:themeColor="text1" w:themeTint="F2"/>
                <w:sz w:val="20"/>
                <w:szCs w:val="20"/>
                <w:lang w:val="en-CA"/>
              </w:rPr>
              <w:t>2016</w:t>
            </w:r>
          </w:p>
        </w:tc>
        <w:tc>
          <w:tcPr>
            <w:tcW w:w="601" w:type="pct"/>
            <w:tcBorders>
              <w:top w:val="single" w:sz="4" w:space="0" w:color="auto"/>
              <w:left w:val="single" w:sz="4" w:space="0" w:color="auto"/>
              <w:bottom w:val="single" w:sz="4" w:space="0" w:color="auto"/>
              <w:right w:val="single" w:sz="4" w:space="0" w:color="auto"/>
            </w:tcBorders>
          </w:tcPr>
          <w:p w14:paraId="72B5FE86" w14:textId="77777777" w:rsidR="006C049B" w:rsidRPr="004E55B1" w:rsidRDefault="006C049B" w:rsidP="0069797E">
            <w:pPr>
              <w:widowControl w:val="0"/>
              <w:jc w:val="center"/>
              <w:rPr>
                <w:b/>
                <w:bCs/>
                <w:color w:val="0D0D0D" w:themeColor="text1" w:themeTint="F2"/>
                <w:sz w:val="20"/>
                <w:szCs w:val="20"/>
                <w:lang w:val="en-CA"/>
              </w:rPr>
            </w:pPr>
            <w:r w:rsidRPr="004E55B1">
              <w:rPr>
                <w:b/>
                <w:bCs/>
                <w:color w:val="0D0D0D" w:themeColor="text1" w:themeTint="F2"/>
                <w:sz w:val="20"/>
                <w:szCs w:val="20"/>
                <w:lang w:val="en-CA"/>
              </w:rPr>
              <w:t>2017</w:t>
            </w:r>
          </w:p>
        </w:tc>
        <w:tc>
          <w:tcPr>
            <w:tcW w:w="601" w:type="pct"/>
            <w:tcBorders>
              <w:top w:val="single" w:sz="4" w:space="0" w:color="auto"/>
              <w:left w:val="single" w:sz="4" w:space="0" w:color="auto"/>
              <w:bottom w:val="single" w:sz="4" w:space="0" w:color="auto"/>
              <w:right w:val="single" w:sz="4" w:space="0" w:color="auto"/>
            </w:tcBorders>
            <w:vAlign w:val="center"/>
          </w:tcPr>
          <w:p w14:paraId="4AF24A06" w14:textId="77777777" w:rsidR="006C049B" w:rsidRPr="004E55B1" w:rsidRDefault="006C049B" w:rsidP="0069797E">
            <w:pPr>
              <w:widowControl w:val="0"/>
              <w:jc w:val="center"/>
              <w:rPr>
                <w:b/>
                <w:bCs/>
                <w:color w:val="0D0D0D" w:themeColor="text1" w:themeTint="F2"/>
                <w:sz w:val="20"/>
                <w:szCs w:val="20"/>
                <w:lang w:val="en-CA"/>
              </w:rPr>
            </w:pPr>
            <w:r w:rsidRPr="004E55B1">
              <w:rPr>
                <w:b/>
                <w:bCs/>
                <w:color w:val="0D0D0D" w:themeColor="text1" w:themeTint="F2"/>
                <w:sz w:val="20"/>
                <w:szCs w:val="20"/>
                <w:lang w:val="en-CA"/>
              </w:rPr>
              <w:t>2018</w:t>
            </w:r>
          </w:p>
        </w:tc>
        <w:tc>
          <w:tcPr>
            <w:tcW w:w="601" w:type="pct"/>
            <w:tcBorders>
              <w:top w:val="single" w:sz="4" w:space="0" w:color="auto"/>
              <w:left w:val="single" w:sz="4" w:space="0" w:color="auto"/>
              <w:bottom w:val="single" w:sz="4" w:space="0" w:color="auto"/>
              <w:right w:val="single" w:sz="4" w:space="0" w:color="auto"/>
            </w:tcBorders>
            <w:vAlign w:val="center"/>
          </w:tcPr>
          <w:p w14:paraId="4C0E9F05" w14:textId="77777777" w:rsidR="006C049B" w:rsidRPr="004E55B1" w:rsidRDefault="006C049B" w:rsidP="0069797E">
            <w:pPr>
              <w:widowControl w:val="0"/>
              <w:jc w:val="center"/>
              <w:rPr>
                <w:b/>
                <w:bCs/>
                <w:color w:val="0D0D0D" w:themeColor="text1" w:themeTint="F2"/>
                <w:sz w:val="20"/>
                <w:szCs w:val="20"/>
                <w:lang w:val="en-CA"/>
              </w:rPr>
            </w:pPr>
            <w:r w:rsidRPr="004E55B1">
              <w:rPr>
                <w:b/>
                <w:bCs/>
                <w:color w:val="0D0D0D" w:themeColor="text1" w:themeTint="F2"/>
                <w:sz w:val="20"/>
                <w:szCs w:val="20"/>
                <w:lang w:val="en-CA"/>
              </w:rPr>
              <w:t>2019*</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770A9" w14:textId="77777777" w:rsidR="006C049B" w:rsidRPr="004E55B1" w:rsidRDefault="006C049B" w:rsidP="0069797E">
            <w:pPr>
              <w:widowControl w:val="0"/>
              <w:jc w:val="center"/>
              <w:rPr>
                <w:b/>
                <w:bCs/>
                <w:color w:val="0D0D0D" w:themeColor="text1" w:themeTint="F2"/>
                <w:sz w:val="20"/>
                <w:szCs w:val="20"/>
                <w:lang w:val="en-CA"/>
              </w:rPr>
            </w:pPr>
            <w:r w:rsidRPr="004E55B1">
              <w:rPr>
                <w:b/>
                <w:bCs/>
                <w:color w:val="0D0D0D" w:themeColor="text1" w:themeTint="F2"/>
                <w:sz w:val="20"/>
                <w:szCs w:val="20"/>
                <w:lang w:val="en-CA"/>
              </w:rPr>
              <w:t>Baseline</w:t>
            </w:r>
          </w:p>
        </w:tc>
      </w:tr>
      <w:tr w:rsidR="006C049B" w:rsidRPr="004E55B1" w14:paraId="0B42DC00" w14:textId="77777777" w:rsidTr="00744A16">
        <w:tc>
          <w:tcPr>
            <w:tcW w:w="139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33CC597" w14:textId="77777777" w:rsidR="006C049B" w:rsidRPr="004E55B1" w:rsidRDefault="006C049B" w:rsidP="00E41C29">
            <w:pPr>
              <w:widowControl w:val="0"/>
              <w:jc w:val="both"/>
              <w:rPr>
                <w:b/>
                <w:bCs/>
                <w:color w:val="0D0D0D" w:themeColor="text1" w:themeTint="F2"/>
                <w:sz w:val="20"/>
                <w:szCs w:val="20"/>
                <w:lang w:val="en-CA"/>
              </w:rPr>
            </w:pPr>
            <w:r w:rsidRPr="004E55B1">
              <w:rPr>
                <w:b/>
                <w:bCs/>
                <w:color w:val="0D0D0D" w:themeColor="text1" w:themeTint="F2"/>
                <w:sz w:val="20"/>
                <w:szCs w:val="20"/>
                <w:lang w:val="en-CA"/>
              </w:rPr>
              <w:t>Metric tonnes</w:t>
            </w:r>
          </w:p>
        </w:tc>
        <w:tc>
          <w:tcPr>
            <w:tcW w:w="601" w:type="pct"/>
            <w:tcBorders>
              <w:top w:val="nil"/>
              <w:left w:val="nil"/>
              <w:bottom w:val="single" w:sz="4" w:space="0" w:color="auto"/>
              <w:right w:val="single" w:sz="4" w:space="0" w:color="auto"/>
            </w:tcBorders>
            <w:shd w:val="clear" w:color="auto" w:fill="auto"/>
            <w:noWrap/>
            <w:vAlign w:val="center"/>
            <w:hideMark/>
          </w:tcPr>
          <w:p w14:paraId="4D74F105" w14:textId="77777777" w:rsidR="006C049B" w:rsidRPr="004E55B1" w:rsidRDefault="006C049B" w:rsidP="00E41C29">
            <w:pPr>
              <w:widowControl w:val="0"/>
              <w:jc w:val="both"/>
              <w:rPr>
                <w:b/>
                <w:bCs/>
                <w:color w:val="0D0D0D" w:themeColor="text1" w:themeTint="F2"/>
                <w:sz w:val="20"/>
                <w:szCs w:val="20"/>
                <w:lang w:val="en-CA"/>
              </w:rPr>
            </w:pPr>
          </w:p>
        </w:tc>
        <w:tc>
          <w:tcPr>
            <w:tcW w:w="601" w:type="pct"/>
            <w:tcBorders>
              <w:top w:val="single" w:sz="4" w:space="0" w:color="auto"/>
              <w:left w:val="nil"/>
              <w:bottom w:val="single" w:sz="4" w:space="0" w:color="auto"/>
              <w:right w:val="single" w:sz="4" w:space="0" w:color="auto"/>
            </w:tcBorders>
          </w:tcPr>
          <w:p w14:paraId="1A4F2B62" w14:textId="77777777" w:rsidR="006C049B" w:rsidRPr="004E55B1" w:rsidRDefault="006C049B" w:rsidP="00E41C29">
            <w:pPr>
              <w:widowControl w:val="0"/>
              <w:jc w:val="both"/>
              <w:rPr>
                <w:b/>
                <w:bCs/>
                <w:color w:val="0D0D0D" w:themeColor="text1" w:themeTint="F2"/>
                <w:sz w:val="20"/>
                <w:szCs w:val="20"/>
                <w:lang w:val="en-CA"/>
              </w:rPr>
            </w:pPr>
          </w:p>
        </w:tc>
        <w:tc>
          <w:tcPr>
            <w:tcW w:w="601" w:type="pct"/>
            <w:tcBorders>
              <w:top w:val="nil"/>
              <w:left w:val="single" w:sz="4" w:space="0" w:color="auto"/>
              <w:bottom w:val="single" w:sz="4" w:space="0" w:color="auto"/>
              <w:right w:val="single" w:sz="4" w:space="0" w:color="auto"/>
            </w:tcBorders>
          </w:tcPr>
          <w:p w14:paraId="6A3FFB8E" w14:textId="77777777" w:rsidR="006C049B" w:rsidRPr="004E55B1" w:rsidRDefault="006C049B" w:rsidP="00E41C29">
            <w:pPr>
              <w:widowControl w:val="0"/>
              <w:jc w:val="both"/>
              <w:rPr>
                <w:b/>
                <w:bCs/>
                <w:color w:val="0D0D0D" w:themeColor="text1" w:themeTint="F2"/>
                <w:sz w:val="20"/>
                <w:szCs w:val="20"/>
                <w:lang w:val="en-CA"/>
              </w:rPr>
            </w:pPr>
          </w:p>
        </w:tc>
        <w:tc>
          <w:tcPr>
            <w:tcW w:w="601" w:type="pct"/>
            <w:tcBorders>
              <w:top w:val="nil"/>
              <w:left w:val="single" w:sz="4" w:space="0" w:color="auto"/>
              <w:bottom w:val="single" w:sz="4" w:space="0" w:color="auto"/>
              <w:right w:val="single" w:sz="4" w:space="0" w:color="auto"/>
            </w:tcBorders>
            <w:vAlign w:val="center"/>
          </w:tcPr>
          <w:p w14:paraId="33A27631" w14:textId="77777777" w:rsidR="006C049B" w:rsidRPr="004E55B1" w:rsidRDefault="006C049B" w:rsidP="00E41C29">
            <w:pPr>
              <w:widowControl w:val="0"/>
              <w:jc w:val="both"/>
              <w:rPr>
                <w:b/>
                <w:bCs/>
                <w:color w:val="0D0D0D" w:themeColor="text1" w:themeTint="F2"/>
                <w:sz w:val="20"/>
                <w:szCs w:val="20"/>
                <w:lang w:val="en-CA"/>
              </w:rPr>
            </w:pPr>
          </w:p>
        </w:tc>
        <w:tc>
          <w:tcPr>
            <w:tcW w:w="601" w:type="pct"/>
            <w:tcBorders>
              <w:top w:val="nil"/>
              <w:left w:val="single" w:sz="4" w:space="0" w:color="auto"/>
              <w:bottom w:val="single" w:sz="4" w:space="0" w:color="auto"/>
              <w:right w:val="single" w:sz="4" w:space="0" w:color="auto"/>
            </w:tcBorders>
            <w:vAlign w:val="center"/>
          </w:tcPr>
          <w:p w14:paraId="7A9CF616" w14:textId="77777777" w:rsidR="006C049B" w:rsidRPr="004E55B1" w:rsidRDefault="006C049B" w:rsidP="00E41C29">
            <w:pPr>
              <w:widowControl w:val="0"/>
              <w:jc w:val="both"/>
              <w:rPr>
                <w:b/>
                <w:bCs/>
                <w:color w:val="0D0D0D" w:themeColor="text1" w:themeTint="F2"/>
                <w:sz w:val="20"/>
                <w:szCs w:val="20"/>
                <w:lang w:val="en-CA"/>
              </w:rPr>
            </w:pP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7299A459" w14:textId="77777777" w:rsidR="006C049B" w:rsidRPr="004E55B1" w:rsidRDefault="006C049B" w:rsidP="00E41C29">
            <w:pPr>
              <w:widowControl w:val="0"/>
              <w:jc w:val="both"/>
              <w:rPr>
                <w:b/>
                <w:bCs/>
                <w:color w:val="0D0D0D" w:themeColor="text1" w:themeTint="F2"/>
                <w:sz w:val="20"/>
                <w:szCs w:val="20"/>
                <w:lang w:val="en-CA"/>
              </w:rPr>
            </w:pPr>
          </w:p>
        </w:tc>
      </w:tr>
      <w:tr w:rsidR="006C049B" w:rsidRPr="004E55B1" w14:paraId="74E70522" w14:textId="77777777" w:rsidTr="00744A16">
        <w:tc>
          <w:tcPr>
            <w:tcW w:w="139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EFEB49C" w14:textId="77777777" w:rsidR="006C049B" w:rsidRPr="004E55B1" w:rsidRDefault="006C049B" w:rsidP="00E41C29">
            <w:pPr>
              <w:widowControl w:val="0"/>
              <w:jc w:val="both"/>
              <w:rPr>
                <w:color w:val="0D0D0D" w:themeColor="text1" w:themeTint="F2"/>
                <w:sz w:val="20"/>
                <w:szCs w:val="20"/>
                <w:lang w:val="en-CA"/>
              </w:rPr>
            </w:pPr>
            <w:r w:rsidRPr="004E55B1">
              <w:rPr>
                <w:color w:val="0D0D0D" w:themeColor="text1" w:themeTint="F2"/>
                <w:sz w:val="20"/>
                <w:szCs w:val="20"/>
                <w:lang w:val="en-CA"/>
              </w:rPr>
              <w:t>HCFC-22</w:t>
            </w:r>
          </w:p>
        </w:tc>
        <w:tc>
          <w:tcPr>
            <w:tcW w:w="601" w:type="pct"/>
            <w:tcBorders>
              <w:top w:val="nil"/>
              <w:left w:val="nil"/>
              <w:bottom w:val="single" w:sz="4" w:space="0" w:color="auto"/>
              <w:right w:val="single" w:sz="4" w:space="0" w:color="auto"/>
            </w:tcBorders>
            <w:shd w:val="clear" w:color="auto" w:fill="auto"/>
            <w:noWrap/>
            <w:tcMar>
              <w:left w:w="115" w:type="dxa"/>
              <w:right w:w="202" w:type="dxa"/>
            </w:tcMar>
          </w:tcPr>
          <w:p w14:paraId="2C637886" w14:textId="77777777" w:rsidR="006C049B" w:rsidRPr="004E55B1" w:rsidRDefault="006C049B" w:rsidP="0069797E">
            <w:pPr>
              <w:widowControl w:val="0"/>
              <w:jc w:val="right"/>
              <w:rPr>
                <w:color w:val="0D0D0D" w:themeColor="text1" w:themeTint="F2"/>
                <w:sz w:val="20"/>
                <w:szCs w:val="20"/>
                <w:lang w:val="en-CA"/>
              </w:rPr>
            </w:pPr>
            <w:r w:rsidRPr="004E55B1">
              <w:rPr>
                <w:bCs/>
                <w:color w:val="0D0D0D" w:themeColor="text1" w:themeTint="F2"/>
                <w:sz w:val="20"/>
                <w:szCs w:val="20"/>
                <w:lang w:val="en-CA"/>
              </w:rPr>
              <w:t>30.60</w:t>
            </w:r>
          </w:p>
        </w:tc>
        <w:tc>
          <w:tcPr>
            <w:tcW w:w="601" w:type="pct"/>
            <w:tcBorders>
              <w:top w:val="single" w:sz="4" w:space="0" w:color="auto"/>
              <w:left w:val="nil"/>
              <w:bottom w:val="single" w:sz="4" w:space="0" w:color="auto"/>
              <w:right w:val="single" w:sz="4" w:space="0" w:color="auto"/>
            </w:tcBorders>
            <w:tcMar>
              <w:left w:w="115" w:type="dxa"/>
              <w:right w:w="202" w:type="dxa"/>
            </w:tcMar>
          </w:tcPr>
          <w:p w14:paraId="7F137AD4" w14:textId="77777777" w:rsidR="006C049B" w:rsidRPr="004E55B1" w:rsidRDefault="006C049B" w:rsidP="0069797E">
            <w:pPr>
              <w:widowControl w:val="0"/>
              <w:jc w:val="right"/>
              <w:rPr>
                <w:color w:val="0D0D0D" w:themeColor="text1" w:themeTint="F2"/>
                <w:sz w:val="20"/>
                <w:szCs w:val="20"/>
                <w:lang w:val="en-CA"/>
              </w:rPr>
            </w:pPr>
            <w:r w:rsidRPr="004E55B1">
              <w:rPr>
                <w:bCs/>
                <w:color w:val="0D0D0D" w:themeColor="text1" w:themeTint="F2"/>
                <w:sz w:val="20"/>
                <w:szCs w:val="20"/>
                <w:lang w:val="en-CA"/>
              </w:rPr>
              <w:t>25.20</w:t>
            </w:r>
          </w:p>
        </w:tc>
        <w:tc>
          <w:tcPr>
            <w:tcW w:w="601" w:type="pct"/>
            <w:tcBorders>
              <w:top w:val="nil"/>
              <w:left w:val="single" w:sz="4" w:space="0" w:color="auto"/>
              <w:bottom w:val="single" w:sz="4" w:space="0" w:color="auto"/>
              <w:right w:val="single" w:sz="4" w:space="0" w:color="auto"/>
            </w:tcBorders>
            <w:tcMar>
              <w:left w:w="115" w:type="dxa"/>
              <w:right w:w="202" w:type="dxa"/>
            </w:tcMar>
          </w:tcPr>
          <w:p w14:paraId="295C022A" w14:textId="77777777" w:rsidR="006C049B" w:rsidRPr="004E55B1" w:rsidRDefault="006C049B" w:rsidP="0069797E">
            <w:pPr>
              <w:widowControl w:val="0"/>
              <w:jc w:val="right"/>
              <w:rPr>
                <w:color w:val="0D0D0D" w:themeColor="text1" w:themeTint="F2"/>
                <w:sz w:val="20"/>
                <w:szCs w:val="20"/>
                <w:lang w:val="en-CA"/>
              </w:rPr>
            </w:pPr>
            <w:r w:rsidRPr="004E55B1">
              <w:rPr>
                <w:rFonts w:eastAsiaTheme="minorHAnsi"/>
                <w:color w:val="0D0D0D" w:themeColor="text1" w:themeTint="F2"/>
                <w:sz w:val="20"/>
                <w:szCs w:val="20"/>
                <w:lang w:val="en-CA"/>
              </w:rPr>
              <w:t>38.20</w:t>
            </w:r>
          </w:p>
        </w:tc>
        <w:tc>
          <w:tcPr>
            <w:tcW w:w="601" w:type="pct"/>
            <w:tcBorders>
              <w:top w:val="nil"/>
              <w:left w:val="single" w:sz="4" w:space="0" w:color="auto"/>
              <w:bottom w:val="single" w:sz="4" w:space="0" w:color="auto"/>
              <w:right w:val="single" w:sz="4" w:space="0" w:color="auto"/>
            </w:tcBorders>
            <w:tcMar>
              <w:left w:w="115" w:type="dxa"/>
              <w:right w:w="202" w:type="dxa"/>
            </w:tcMar>
            <w:vAlign w:val="bottom"/>
          </w:tcPr>
          <w:p w14:paraId="49CBD581"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34.32</w:t>
            </w:r>
          </w:p>
        </w:tc>
        <w:tc>
          <w:tcPr>
            <w:tcW w:w="601" w:type="pct"/>
            <w:tcBorders>
              <w:top w:val="nil"/>
              <w:left w:val="single" w:sz="4" w:space="0" w:color="auto"/>
              <w:bottom w:val="single" w:sz="4" w:space="0" w:color="auto"/>
              <w:right w:val="single" w:sz="4" w:space="0" w:color="auto"/>
            </w:tcBorders>
            <w:tcMar>
              <w:left w:w="115" w:type="dxa"/>
              <w:right w:w="202" w:type="dxa"/>
            </w:tcMar>
          </w:tcPr>
          <w:p w14:paraId="2BCAA44F" w14:textId="0F080436"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43.</w:t>
            </w:r>
            <w:r w:rsidR="00F35214" w:rsidRPr="004E55B1">
              <w:rPr>
                <w:color w:val="0D0D0D" w:themeColor="text1" w:themeTint="F2"/>
                <w:sz w:val="20"/>
                <w:szCs w:val="20"/>
                <w:lang w:val="en-CA"/>
              </w:rPr>
              <w:t>59</w:t>
            </w:r>
          </w:p>
        </w:tc>
        <w:tc>
          <w:tcPr>
            <w:tcW w:w="602"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180E3A80" w14:textId="77777777" w:rsidR="006C049B" w:rsidRPr="004E55B1" w:rsidRDefault="006C049B" w:rsidP="0069797E">
            <w:pPr>
              <w:widowControl w:val="0"/>
              <w:jc w:val="right"/>
              <w:rPr>
                <w:color w:val="0D0D0D" w:themeColor="text1" w:themeTint="F2"/>
                <w:sz w:val="20"/>
                <w:szCs w:val="20"/>
                <w:lang w:val="en-CA"/>
              </w:rPr>
            </w:pPr>
            <w:r w:rsidRPr="004E55B1">
              <w:rPr>
                <w:b/>
                <w:bCs/>
                <w:color w:val="0D0D0D" w:themeColor="text1" w:themeTint="F2"/>
                <w:sz w:val="20"/>
                <w:szCs w:val="20"/>
                <w:lang w:val="en-CA"/>
              </w:rPr>
              <w:t>83.1</w:t>
            </w:r>
          </w:p>
        </w:tc>
      </w:tr>
      <w:tr w:rsidR="006C049B" w:rsidRPr="004E55B1" w14:paraId="2F3D7482" w14:textId="77777777" w:rsidTr="00744A16">
        <w:tc>
          <w:tcPr>
            <w:tcW w:w="139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DBCD1E0" w14:textId="77777777" w:rsidR="006C049B" w:rsidRPr="004E55B1" w:rsidRDefault="006C049B" w:rsidP="00E41C29">
            <w:pPr>
              <w:widowControl w:val="0"/>
              <w:jc w:val="both"/>
              <w:rPr>
                <w:color w:val="0D0D0D" w:themeColor="text1" w:themeTint="F2"/>
                <w:sz w:val="20"/>
                <w:szCs w:val="20"/>
                <w:lang w:val="en-CA"/>
              </w:rPr>
            </w:pPr>
            <w:r w:rsidRPr="004E55B1">
              <w:rPr>
                <w:color w:val="0D0D0D" w:themeColor="text1" w:themeTint="F2"/>
                <w:sz w:val="20"/>
                <w:szCs w:val="20"/>
                <w:lang w:val="en-CA"/>
              </w:rPr>
              <w:t>HCFC-142b</w:t>
            </w:r>
          </w:p>
        </w:tc>
        <w:tc>
          <w:tcPr>
            <w:tcW w:w="601" w:type="pct"/>
            <w:tcBorders>
              <w:top w:val="nil"/>
              <w:left w:val="nil"/>
              <w:bottom w:val="single" w:sz="4" w:space="0" w:color="auto"/>
              <w:right w:val="single" w:sz="4" w:space="0" w:color="auto"/>
            </w:tcBorders>
            <w:shd w:val="clear" w:color="auto" w:fill="auto"/>
            <w:noWrap/>
            <w:tcMar>
              <w:left w:w="115" w:type="dxa"/>
              <w:right w:w="202" w:type="dxa"/>
            </w:tcMar>
            <w:vAlign w:val="center"/>
          </w:tcPr>
          <w:p w14:paraId="2FCC6733"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0.00</w:t>
            </w:r>
          </w:p>
        </w:tc>
        <w:tc>
          <w:tcPr>
            <w:tcW w:w="601" w:type="pct"/>
            <w:tcBorders>
              <w:top w:val="single" w:sz="4" w:space="0" w:color="auto"/>
              <w:left w:val="nil"/>
              <w:bottom w:val="single" w:sz="4" w:space="0" w:color="auto"/>
              <w:right w:val="single" w:sz="4" w:space="0" w:color="auto"/>
            </w:tcBorders>
            <w:tcMar>
              <w:left w:w="115" w:type="dxa"/>
              <w:right w:w="202" w:type="dxa"/>
            </w:tcMar>
          </w:tcPr>
          <w:p w14:paraId="4F9FEDC9"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0.00</w:t>
            </w:r>
          </w:p>
        </w:tc>
        <w:tc>
          <w:tcPr>
            <w:tcW w:w="601" w:type="pct"/>
            <w:tcBorders>
              <w:top w:val="nil"/>
              <w:left w:val="single" w:sz="4" w:space="0" w:color="auto"/>
              <w:bottom w:val="single" w:sz="4" w:space="0" w:color="auto"/>
              <w:right w:val="single" w:sz="4" w:space="0" w:color="auto"/>
            </w:tcBorders>
            <w:tcMar>
              <w:left w:w="115" w:type="dxa"/>
              <w:right w:w="202" w:type="dxa"/>
            </w:tcMar>
          </w:tcPr>
          <w:p w14:paraId="45722531"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0.00</w:t>
            </w:r>
          </w:p>
        </w:tc>
        <w:tc>
          <w:tcPr>
            <w:tcW w:w="601" w:type="pct"/>
            <w:tcBorders>
              <w:top w:val="nil"/>
              <w:left w:val="single" w:sz="4" w:space="0" w:color="auto"/>
              <w:bottom w:val="single" w:sz="4" w:space="0" w:color="auto"/>
              <w:right w:val="single" w:sz="4" w:space="0" w:color="auto"/>
            </w:tcBorders>
            <w:tcMar>
              <w:left w:w="115" w:type="dxa"/>
              <w:right w:w="202" w:type="dxa"/>
            </w:tcMar>
            <w:vAlign w:val="center"/>
          </w:tcPr>
          <w:p w14:paraId="4709953A"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0.00</w:t>
            </w:r>
          </w:p>
        </w:tc>
        <w:tc>
          <w:tcPr>
            <w:tcW w:w="601" w:type="pct"/>
            <w:tcBorders>
              <w:top w:val="nil"/>
              <w:left w:val="single" w:sz="4" w:space="0" w:color="auto"/>
              <w:bottom w:val="single" w:sz="4" w:space="0" w:color="auto"/>
              <w:right w:val="single" w:sz="4" w:space="0" w:color="auto"/>
            </w:tcBorders>
            <w:tcMar>
              <w:left w:w="115" w:type="dxa"/>
              <w:right w:w="202" w:type="dxa"/>
            </w:tcMar>
            <w:vAlign w:val="center"/>
          </w:tcPr>
          <w:p w14:paraId="55AEB666"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w:t>
            </w:r>
          </w:p>
        </w:tc>
        <w:tc>
          <w:tcPr>
            <w:tcW w:w="602"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2A984936"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9.9</w:t>
            </w:r>
          </w:p>
        </w:tc>
      </w:tr>
      <w:tr w:rsidR="006C049B" w:rsidRPr="004E55B1" w14:paraId="5FE2A569" w14:textId="77777777" w:rsidTr="00744A16">
        <w:tc>
          <w:tcPr>
            <w:tcW w:w="139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63AB7B89" w14:textId="77777777" w:rsidR="006C049B" w:rsidRPr="004E55B1" w:rsidRDefault="006C049B" w:rsidP="00E41C29">
            <w:pPr>
              <w:widowControl w:val="0"/>
              <w:jc w:val="both"/>
              <w:rPr>
                <w:b/>
                <w:color w:val="0D0D0D" w:themeColor="text1" w:themeTint="F2"/>
                <w:sz w:val="20"/>
                <w:szCs w:val="20"/>
                <w:lang w:val="en-CA"/>
              </w:rPr>
            </w:pPr>
            <w:r w:rsidRPr="004E55B1">
              <w:rPr>
                <w:b/>
                <w:color w:val="0D0D0D" w:themeColor="text1" w:themeTint="F2"/>
                <w:sz w:val="20"/>
                <w:szCs w:val="20"/>
                <w:lang w:val="en-CA"/>
              </w:rPr>
              <w:t>Total (mt)</w:t>
            </w:r>
          </w:p>
        </w:tc>
        <w:tc>
          <w:tcPr>
            <w:tcW w:w="601" w:type="pct"/>
            <w:tcBorders>
              <w:top w:val="nil"/>
              <w:left w:val="nil"/>
              <w:bottom w:val="single" w:sz="4" w:space="0" w:color="auto"/>
              <w:right w:val="single" w:sz="4" w:space="0" w:color="auto"/>
            </w:tcBorders>
            <w:shd w:val="clear" w:color="auto" w:fill="auto"/>
            <w:noWrap/>
            <w:tcMar>
              <w:left w:w="115" w:type="dxa"/>
              <w:right w:w="202" w:type="dxa"/>
            </w:tcMar>
            <w:vAlign w:val="center"/>
          </w:tcPr>
          <w:p w14:paraId="44AF2E94" w14:textId="77777777"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30.06</w:t>
            </w:r>
          </w:p>
        </w:tc>
        <w:tc>
          <w:tcPr>
            <w:tcW w:w="601" w:type="pct"/>
            <w:tcBorders>
              <w:top w:val="single" w:sz="4" w:space="0" w:color="auto"/>
              <w:left w:val="nil"/>
              <w:bottom w:val="single" w:sz="4" w:space="0" w:color="auto"/>
              <w:right w:val="single" w:sz="4" w:space="0" w:color="auto"/>
            </w:tcBorders>
            <w:tcMar>
              <w:left w:w="115" w:type="dxa"/>
              <w:right w:w="202" w:type="dxa"/>
            </w:tcMar>
          </w:tcPr>
          <w:p w14:paraId="0F9ACE9E" w14:textId="77777777"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25.20</w:t>
            </w:r>
          </w:p>
        </w:tc>
        <w:tc>
          <w:tcPr>
            <w:tcW w:w="601" w:type="pct"/>
            <w:tcBorders>
              <w:top w:val="nil"/>
              <w:left w:val="single" w:sz="4" w:space="0" w:color="auto"/>
              <w:bottom w:val="single" w:sz="4" w:space="0" w:color="auto"/>
              <w:right w:val="single" w:sz="4" w:space="0" w:color="auto"/>
            </w:tcBorders>
            <w:tcMar>
              <w:left w:w="115" w:type="dxa"/>
              <w:right w:w="202" w:type="dxa"/>
            </w:tcMar>
          </w:tcPr>
          <w:p w14:paraId="40F537A0" w14:textId="77777777"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38.20</w:t>
            </w:r>
          </w:p>
        </w:tc>
        <w:tc>
          <w:tcPr>
            <w:tcW w:w="601" w:type="pct"/>
            <w:tcBorders>
              <w:top w:val="nil"/>
              <w:left w:val="single" w:sz="4" w:space="0" w:color="auto"/>
              <w:bottom w:val="single" w:sz="4" w:space="0" w:color="auto"/>
              <w:right w:val="single" w:sz="4" w:space="0" w:color="auto"/>
            </w:tcBorders>
            <w:tcMar>
              <w:left w:w="115" w:type="dxa"/>
              <w:right w:w="202" w:type="dxa"/>
            </w:tcMar>
            <w:vAlign w:val="center"/>
          </w:tcPr>
          <w:p w14:paraId="1A63BFC2" w14:textId="77777777"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34.32</w:t>
            </w:r>
          </w:p>
        </w:tc>
        <w:tc>
          <w:tcPr>
            <w:tcW w:w="601" w:type="pct"/>
            <w:tcBorders>
              <w:top w:val="nil"/>
              <w:left w:val="single" w:sz="4" w:space="0" w:color="auto"/>
              <w:bottom w:val="single" w:sz="4" w:space="0" w:color="auto"/>
              <w:right w:val="single" w:sz="4" w:space="0" w:color="auto"/>
            </w:tcBorders>
            <w:tcMar>
              <w:left w:w="115" w:type="dxa"/>
              <w:right w:w="202" w:type="dxa"/>
            </w:tcMar>
            <w:vAlign w:val="center"/>
          </w:tcPr>
          <w:p w14:paraId="7FC025A7" w14:textId="2B444B64"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43.</w:t>
            </w:r>
            <w:r w:rsidR="00F35214" w:rsidRPr="004E55B1">
              <w:rPr>
                <w:b/>
                <w:color w:val="0D0D0D" w:themeColor="text1" w:themeTint="F2"/>
                <w:sz w:val="20"/>
                <w:szCs w:val="20"/>
                <w:lang w:val="en-CA"/>
              </w:rPr>
              <w:t>59</w:t>
            </w:r>
          </w:p>
        </w:tc>
        <w:tc>
          <w:tcPr>
            <w:tcW w:w="602" w:type="pct"/>
            <w:tcBorders>
              <w:top w:val="nil"/>
              <w:left w:val="single" w:sz="4" w:space="0" w:color="auto"/>
              <w:bottom w:val="single" w:sz="4" w:space="0" w:color="auto"/>
              <w:right w:val="single" w:sz="4" w:space="0" w:color="auto"/>
            </w:tcBorders>
            <w:shd w:val="clear" w:color="auto" w:fill="auto"/>
            <w:noWrap/>
            <w:tcMar>
              <w:left w:w="115" w:type="dxa"/>
              <w:right w:w="202" w:type="dxa"/>
            </w:tcMar>
            <w:vAlign w:val="center"/>
          </w:tcPr>
          <w:p w14:paraId="09717002" w14:textId="77777777"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93.0</w:t>
            </w:r>
          </w:p>
        </w:tc>
      </w:tr>
      <w:tr w:rsidR="006C049B" w:rsidRPr="004E55B1" w14:paraId="5A1A323D" w14:textId="77777777" w:rsidTr="00744A16">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4F09F30" w14:textId="77777777" w:rsidR="006C049B" w:rsidRPr="004E55B1" w:rsidRDefault="006C049B" w:rsidP="00E41C29">
            <w:pPr>
              <w:widowControl w:val="0"/>
              <w:jc w:val="both"/>
              <w:rPr>
                <w:b/>
                <w:bCs/>
                <w:color w:val="0D0D0D" w:themeColor="text1" w:themeTint="F2"/>
                <w:sz w:val="20"/>
                <w:szCs w:val="20"/>
                <w:lang w:val="en-CA"/>
              </w:rPr>
            </w:pPr>
            <w:r w:rsidRPr="004E55B1">
              <w:rPr>
                <w:b/>
                <w:bCs/>
                <w:color w:val="0D0D0D" w:themeColor="text1" w:themeTint="F2"/>
                <w:sz w:val="20"/>
                <w:szCs w:val="20"/>
                <w:lang w:val="en-CA"/>
              </w:rPr>
              <w:t>ODP tonnes</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6E17B972" w14:textId="77777777" w:rsidR="006C049B" w:rsidRPr="004E55B1" w:rsidRDefault="006C049B" w:rsidP="0069797E">
            <w:pPr>
              <w:widowControl w:val="0"/>
              <w:jc w:val="right"/>
              <w:rPr>
                <w:color w:val="0D0D0D" w:themeColor="text1" w:themeTint="F2"/>
                <w:sz w:val="20"/>
                <w:szCs w:val="20"/>
                <w:lang w:val="en-CA"/>
              </w:rPr>
            </w:pP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1F322F6B" w14:textId="77777777" w:rsidR="006C049B" w:rsidRPr="004E55B1" w:rsidRDefault="006C049B" w:rsidP="0069797E">
            <w:pPr>
              <w:widowControl w:val="0"/>
              <w:jc w:val="right"/>
              <w:rPr>
                <w:color w:val="0D0D0D" w:themeColor="text1" w:themeTint="F2"/>
                <w:sz w:val="20"/>
                <w:szCs w:val="20"/>
                <w:lang w:val="en-CA"/>
              </w:rPr>
            </w:pP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6351F004" w14:textId="77777777" w:rsidR="006C049B" w:rsidRPr="004E55B1" w:rsidRDefault="006C049B" w:rsidP="0069797E">
            <w:pPr>
              <w:widowControl w:val="0"/>
              <w:jc w:val="right"/>
              <w:rPr>
                <w:color w:val="0D0D0D" w:themeColor="text1" w:themeTint="F2"/>
                <w:sz w:val="20"/>
                <w:szCs w:val="20"/>
                <w:lang w:val="en-CA"/>
              </w:rPr>
            </w:pP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5971A29E" w14:textId="77777777" w:rsidR="006C049B" w:rsidRPr="004E55B1" w:rsidRDefault="006C049B" w:rsidP="0069797E">
            <w:pPr>
              <w:widowControl w:val="0"/>
              <w:jc w:val="right"/>
              <w:rPr>
                <w:color w:val="0D0D0D" w:themeColor="text1" w:themeTint="F2"/>
                <w:sz w:val="20"/>
                <w:szCs w:val="20"/>
                <w:lang w:val="en-CA"/>
              </w:rPr>
            </w:pP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77786714" w14:textId="77777777" w:rsidR="006C049B" w:rsidRPr="004E55B1" w:rsidRDefault="006C049B" w:rsidP="0069797E">
            <w:pPr>
              <w:widowControl w:val="0"/>
              <w:jc w:val="right"/>
              <w:rPr>
                <w:color w:val="0D0D0D" w:themeColor="text1" w:themeTint="F2"/>
                <w:sz w:val="20"/>
                <w:szCs w:val="20"/>
                <w:lang w:val="en-CA"/>
              </w:rPr>
            </w:pP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611768BE" w14:textId="77777777" w:rsidR="006C049B" w:rsidRPr="004E55B1" w:rsidRDefault="006C049B" w:rsidP="0069797E">
            <w:pPr>
              <w:widowControl w:val="0"/>
              <w:jc w:val="right"/>
              <w:rPr>
                <w:color w:val="0D0D0D" w:themeColor="text1" w:themeTint="F2"/>
                <w:sz w:val="20"/>
                <w:szCs w:val="20"/>
                <w:lang w:val="en-CA"/>
              </w:rPr>
            </w:pPr>
          </w:p>
        </w:tc>
      </w:tr>
      <w:tr w:rsidR="006C049B" w:rsidRPr="004E55B1" w14:paraId="289E2EC5" w14:textId="77777777" w:rsidTr="00744A16">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A06399C" w14:textId="77777777" w:rsidR="006C049B" w:rsidRPr="004E55B1" w:rsidRDefault="006C049B" w:rsidP="00E41C29">
            <w:pPr>
              <w:widowControl w:val="0"/>
              <w:jc w:val="both"/>
              <w:rPr>
                <w:color w:val="0D0D0D" w:themeColor="text1" w:themeTint="F2"/>
                <w:sz w:val="20"/>
                <w:szCs w:val="20"/>
                <w:lang w:val="en-CA"/>
              </w:rPr>
            </w:pPr>
            <w:r w:rsidRPr="004E55B1">
              <w:rPr>
                <w:color w:val="0D0D0D" w:themeColor="text1" w:themeTint="F2"/>
                <w:sz w:val="20"/>
                <w:szCs w:val="20"/>
                <w:lang w:val="en-CA"/>
              </w:rPr>
              <w:t>HCFC-22</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tcPr>
          <w:p w14:paraId="1BDCDB48"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1.68</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02D5292F"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1.39</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4699A340" w14:textId="77777777" w:rsidR="006C049B" w:rsidRPr="004E55B1" w:rsidRDefault="006C049B" w:rsidP="0069797E">
            <w:pPr>
              <w:widowControl w:val="0"/>
              <w:jc w:val="right"/>
              <w:rPr>
                <w:color w:val="0D0D0D" w:themeColor="text1" w:themeTint="F2"/>
                <w:sz w:val="20"/>
                <w:szCs w:val="20"/>
                <w:lang w:val="en-CA"/>
              </w:rPr>
            </w:pPr>
            <w:r w:rsidRPr="004E55B1">
              <w:rPr>
                <w:rFonts w:eastAsiaTheme="minorHAnsi"/>
                <w:color w:val="0D0D0D" w:themeColor="text1" w:themeTint="F2"/>
                <w:sz w:val="20"/>
                <w:szCs w:val="20"/>
                <w:lang w:val="en-CA"/>
              </w:rPr>
              <w:t>2.10</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0F18AA6B" w14:textId="77777777" w:rsidR="006C049B" w:rsidRPr="004E55B1" w:rsidRDefault="006C049B" w:rsidP="0069797E">
            <w:pPr>
              <w:widowControl w:val="0"/>
              <w:jc w:val="right"/>
              <w:rPr>
                <w:color w:val="0D0D0D" w:themeColor="text1" w:themeTint="F2"/>
                <w:sz w:val="20"/>
                <w:szCs w:val="20"/>
                <w:lang w:val="en-CA" w:eastAsia="en-CA"/>
              </w:rPr>
            </w:pPr>
            <w:r w:rsidRPr="004E55B1">
              <w:rPr>
                <w:color w:val="0D0D0D" w:themeColor="text1" w:themeTint="F2"/>
                <w:sz w:val="20"/>
                <w:szCs w:val="20"/>
                <w:lang w:val="en-CA" w:eastAsia="en-CA"/>
              </w:rPr>
              <w:t>1.89</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404E7F06" w14:textId="184BD712"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2.4</w:t>
            </w:r>
            <w:r w:rsidR="00F35214" w:rsidRPr="004E55B1">
              <w:rPr>
                <w:color w:val="0D0D0D" w:themeColor="text1" w:themeTint="F2"/>
                <w:sz w:val="20"/>
                <w:szCs w:val="20"/>
                <w:lang w:val="en-CA"/>
              </w:rPr>
              <w:t>0</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1E6BCCD8" w14:textId="77777777" w:rsidR="006C049B" w:rsidRPr="004E55B1" w:rsidRDefault="006C049B" w:rsidP="0069797E">
            <w:pPr>
              <w:widowControl w:val="0"/>
              <w:jc w:val="right"/>
              <w:rPr>
                <w:color w:val="0D0D0D" w:themeColor="text1" w:themeTint="F2"/>
                <w:sz w:val="20"/>
                <w:szCs w:val="20"/>
                <w:lang w:val="en-CA"/>
              </w:rPr>
            </w:pPr>
            <w:r w:rsidRPr="004E55B1">
              <w:rPr>
                <w:rFonts w:eastAsiaTheme="minorHAnsi"/>
                <w:b/>
                <w:color w:val="0D0D0D" w:themeColor="text1" w:themeTint="F2"/>
                <w:sz w:val="20"/>
                <w:szCs w:val="20"/>
                <w:lang w:val="en-CA"/>
              </w:rPr>
              <w:t>4.6</w:t>
            </w:r>
          </w:p>
        </w:tc>
      </w:tr>
      <w:tr w:rsidR="006C049B" w:rsidRPr="004E55B1" w14:paraId="4369B965" w14:textId="77777777" w:rsidTr="00744A16">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7750D2A" w14:textId="77777777" w:rsidR="006C049B" w:rsidRPr="004E55B1" w:rsidRDefault="006C049B" w:rsidP="00E41C29">
            <w:pPr>
              <w:widowControl w:val="0"/>
              <w:jc w:val="both"/>
              <w:rPr>
                <w:color w:val="0D0D0D" w:themeColor="text1" w:themeTint="F2"/>
                <w:sz w:val="20"/>
                <w:szCs w:val="20"/>
                <w:lang w:val="en-CA"/>
              </w:rPr>
            </w:pPr>
            <w:r w:rsidRPr="004E55B1">
              <w:rPr>
                <w:color w:val="0D0D0D" w:themeColor="text1" w:themeTint="F2"/>
                <w:sz w:val="20"/>
                <w:szCs w:val="20"/>
                <w:lang w:val="en-CA"/>
              </w:rPr>
              <w:t>HCFC-142b</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4086D6AE"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0.00</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0FE6A38F"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0.00</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1E1D7054"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0.00</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6A6B1603" w14:textId="77777777" w:rsidR="006C049B" w:rsidRPr="004E55B1" w:rsidRDefault="006C049B" w:rsidP="0069797E">
            <w:pPr>
              <w:widowControl w:val="0"/>
              <w:jc w:val="right"/>
              <w:rPr>
                <w:color w:val="0D0D0D" w:themeColor="text1" w:themeTint="F2"/>
                <w:sz w:val="20"/>
                <w:szCs w:val="20"/>
                <w:lang w:val="en-CA" w:eastAsia="en-CA"/>
              </w:rPr>
            </w:pPr>
            <w:r w:rsidRPr="004E55B1">
              <w:rPr>
                <w:color w:val="0D0D0D" w:themeColor="text1" w:themeTint="F2"/>
                <w:sz w:val="20"/>
                <w:szCs w:val="20"/>
                <w:lang w:val="en-CA" w:eastAsia="en-CA"/>
              </w:rPr>
              <w:t>0.00</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29386694"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73C40E69" w14:textId="77777777" w:rsidR="006C049B" w:rsidRPr="004E55B1" w:rsidRDefault="006C049B" w:rsidP="0069797E">
            <w:pPr>
              <w:widowControl w:val="0"/>
              <w:jc w:val="right"/>
              <w:rPr>
                <w:color w:val="0D0D0D" w:themeColor="text1" w:themeTint="F2"/>
                <w:sz w:val="20"/>
                <w:szCs w:val="20"/>
                <w:lang w:val="en-CA"/>
              </w:rPr>
            </w:pPr>
            <w:r w:rsidRPr="004E55B1">
              <w:rPr>
                <w:color w:val="0D0D0D" w:themeColor="text1" w:themeTint="F2"/>
                <w:sz w:val="20"/>
                <w:szCs w:val="20"/>
                <w:lang w:val="en-CA"/>
              </w:rPr>
              <w:t>0.6</w:t>
            </w:r>
          </w:p>
        </w:tc>
      </w:tr>
      <w:tr w:rsidR="006C049B" w:rsidRPr="004E55B1" w14:paraId="5895DF54" w14:textId="77777777" w:rsidTr="00744A16">
        <w:tc>
          <w:tcPr>
            <w:tcW w:w="139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49FA3D38" w14:textId="77777777" w:rsidR="006C049B" w:rsidRPr="004E55B1" w:rsidRDefault="006C049B" w:rsidP="00E41C29">
            <w:pPr>
              <w:widowControl w:val="0"/>
              <w:jc w:val="both"/>
              <w:rPr>
                <w:b/>
                <w:color w:val="0D0D0D" w:themeColor="text1" w:themeTint="F2"/>
                <w:sz w:val="20"/>
                <w:szCs w:val="20"/>
                <w:lang w:val="en-CA"/>
              </w:rPr>
            </w:pPr>
            <w:r w:rsidRPr="004E55B1">
              <w:rPr>
                <w:b/>
                <w:color w:val="0D0D0D" w:themeColor="text1" w:themeTint="F2"/>
                <w:sz w:val="20"/>
                <w:szCs w:val="20"/>
                <w:lang w:val="en-CA"/>
              </w:rPr>
              <w:t>Total (ODP tonnes)</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200B6BE8" w14:textId="77777777"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1.68</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71375F99" w14:textId="77777777"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1.39</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tcPr>
          <w:p w14:paraId="745B52E3" w14:textId="77777777"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2.10</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6E87B44A" w14:textId="77777777" w:rsidR="006C049B" w:rsidRPr="004E55B1" w:rsidRDefault="006C049B" w:rsidP="0069797E">
            <w:pPr>
              <w:widowControl w:val="0"/>
              <w:jc w:val="right"/>
              <w:rPr>
                <w:b/>
                <w:color w:val="0D0D0D" w:themeColor="text1" w:themeTint="F2"/>
                <w:sz w:val="20"/>
                <w:szCs w:val="20"/>
                <w:lang w:val="en-CA" w:eastAsia="en-CA"/>
              </w:rPr>
            </w:pPr>
            <w:r w:rsidRPr="004E55B1">
              <w:rPr>
                <w:b/>
                <w:color w:val="0D0D0D" w:themeColor="text1" w:themeTint="F2"/>
                <w:sz w:val="20"/>
                <w:szCs w:val="20"/>
                <w:lang w:val="en-CA" w:eastAsia="en-CA"/>
              </w:rPr>
              <w:t>1.89</w:t>
            </w:r>
          </w:p>
        </w:tc>
        <w:tc>
          <w:tcPr>
            <w:tcW w:w="601" w:type="pct"/>
            <w:tcBorders>
              <w:top w:val="single" w:sz="4" w:space="0" w:color="auto"/>
              <w:left w:val="single" w:sz="4" w:space="0" w:color="auto"/>
              <w:bottom w:val="single" w:sz="4" w:space="0" w:color="auto"/>
              <w:right w:val="single" w:sz="4" w:space="0" w:color="auto"/>
            </w:tcBorders>
            <w:tcMar>
              <w:left w:w="115" w:type="dxa"/>
              <w:right w:w="202" w:type="dxa"/>
            </w:tcMar>
            <w:vAlign w:val="center"/>
          </w:tcPr>
          <w:p w14:paraId="671C7563" w14:textId="7F6144E9"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2.4</w:t>
            </w:r>
            <w:r w:rsidR="00F35214" w:rsidRPr="004E55B1">
              <w:rPr>
                <w:b/>
                <w:color w:val="0D0D0D" w:themeColor="text1" w:themeTint="F2"/>
                <w:sz w:val="20"/>
                <w:szCs w:val="20"/>
                <w:lang w:val="en-CA"/>
              </w:rPr>
              <w:t>0</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02" w:type="dxa"/>
            </w:tcMar>
            <w:vAlign w:val="center"/>
          </w:tcPr>
          <w:p w14:paraId="49D05691" w14:textId="77777777" w:rsidR="006C049B" w:rsidRPr="004E55B1" w:rsidRDefault="006C049B" w:rsidP="0069797E">
            <w:pPr>
              <w:widowControl w:val="0"/>
              <w:jc w:val="right"/>
              <w:rPr>
                <w:b/>
                <w:color w:val="0D0D0D" w:themeColor="text1" w:themeTint="F2"/>
                <w:sz w:val="20"/>
                <w:szCs w:val="20"/>
                <w:lang w:val="en-CA"/>
              </w:rPr>
            </w:pPr>
            <w:r w:rsidRPr="004E55B1">
              <w:rPr>
                <w:b/>
                <w:color w:val="0D0D0D" w:themeColor="text1" w:themeTint="F2"/>
                <w:sz w:val="20"/>
                <w:szCs w:val="20"/>
                <w:lang w:val="en-CA"/>
              </w:rPr>
              <w:t>5.3</w:t>
            </w:r>
          </w:p>
        </w:tc>
      </w:tr>
    </w:tbl>
    <w:p w14:paraId="519520B6" w14:textId="739658B5" w:rsidR="00E41C29" w:rsidRPr="004E55B1" w:rsidRDefault="00E41C29" w:rsidP="00E41C29">
      <w:pPr>
        <w:rPr>
          <w:sz w:val="16"/>
          <w:szCs w:val="16"/>
          <w:lang w:val="en-CA"/>
        </w:rPr>
      </w:pPr>
      <w:r w:rsidRPr="004E55B1">
        <w:rPr>
          <w:sz w:val="16"/>
          <w:szCs w:val="16"/>
          <w:lang w:val="en-CA"/>
        </w:rPr>
        <w:t>*Country programme data</w:t>
      </w:r>
      <w:r w:rsidR="0069797E" w:rsidRPr="004E55B1">
        <w:rPr>
          <w:sz w:val="16"/>
          <w:szCs w:val="16"/>
          <w:lang w:val="en-CA"/>
        </w:rPr>
        <w:t>.</w:t>
      </w:r>
    </w:p>
    <w:p w14:paraId="4D6705D1" w14:textId="77777777" w:rsidR="006C049B" w:rsidRPr="004E55B1" w:rsidRDefault="006C049B" w:rsidP="00E41C29">
      <w:pPr>
        <w:jc w:val="both"/>
        <w:rPr>
          <w:color w:val="0D0D0D" w:themeColor="text1" w:themeTint="F2"/>
          <w:sz w:val="22"/>
          <w:szCs w:val="22"/>
          <w:lang w:val="en-CA"/>
        </w:rPr>
      </w:pPr>
    </w:p>
    <w:bookmarkEnd w:id="0"/>
    <w:p w14:paraId="0675DB7D" w14:textId="2D16D2C5" w:rsidR="00EB4070" w:rsidRPr="004E55B1" w:rsidRDefault="006C049B" w:rsidP="00E41C29">
      <w:pPr>
        <w:pStyle w:val="Heading1"/>
        <w:tabs>
          <w:tab w:val="clear" w:pos="0"/>
          <w:tab w:val="num" w:pos="90"/>
        </w:tabs>
        <w:jc w:val="both"/>
        <w:rPr>
          <w:sz w:val="22"/>
          <w:szCs w:val="22"/>
          <w:lang w:val="en-CA"/>
        </w:rPr>
      </w:pPr>
      <w:r w:rsidRPr="004E55B1">
        <w:rPr>
          <w:rFonts w:eastAsia="SimSun"/>
          <w:color w:val="0D0D0D" w:themeColor="text1" w:themeTint="F2"/>
          <w:sz w:val="22"/>
          <w:szCs w:val="22"/>
          <w:lang w:val="en-CA" w:eastAsia="zh-CN"/>
        </w:rPr>
        <w:t>HCFC</w:t>
      </w:r>
      <w:r w:rsidRPr="004E55B1">
        <w:rPr>
          <w:rFonts w:eastAsia="SimSun"/>
          <w:color w:val="0D0D0D" w:themeColor="text1" w:themeTint="F2"/>
          <w:sz w:val="22"/>
          <w:szCs w:val="22"/>
          <w:lang w:val="en-CA" w:eastAsia="zh-CN"/>
        </w:rPr>
        <w:noBreakHyphen/>
        <w:t>22 is used in the servicing and maintenance of refrigeration and air-conditioning (RAC) equipment</w:t>
      </w:r>
      <w:r w:rsidR="006F5B67" w:rsidRPr="004E55B1">
        <w:rPr>
          <w:rFonts w:eastAsia="SimSun"/>
          <w:color w:val="0D0D0D" w:themeColor="text1" w:themeTint="F2"/>
          <w:sz w:val="22"/>
          <w:szCs w:val="22"/>
          <w:lang w:val="en-CA" w:eastAsia="zh-CN"/>
        </w:rPr>
        <w:t>.</w:t>
      </w:r>
      <w:r w:rsidR="008E68E8" w:rsidRPr="004E55B1">
        <w:rPr>
          <w:rFonts w:eastAsia="SimSun"/>
          <w:color w:val="0D0D0D" w:themeColor="text1" w:themeTint="F2"/>
          <w:sz w:val="22"/>
          <w:szCs w:val="22"/>
          <w:lang w:val="en-CA" w:eastAsia="zh-CN"/>
        </w:rPr>
        <w:t xml:space="preserve"> </w:t>
      </w:r>
      <w:r w:rsidRPr="004E55B1">
        <w:rPr>
          <w:rFonts w:eastAsia="SimSun"/>
          <w:color w:val="0D0D0D" w:themeColor="text1" w:themeTint="F2"/>
          <w:sz w:val="22"/>
          <w:szCs w:val="22"/>
          <w:lang w:val="en-CA" w:eastAsia="zh-CN"/>
        </w:rPr>
        <w:t>The steep increase between 2016 and 2017 was due to the gradual exhaustion of HCFC-22 stockpiled prior to the freeze in consumption in 2013. HCFC-22 consumption in 2019 increased to 2.4</w:t>
      </w:r>
      <w:r w:rsidR="001308F4" w:rsidRPr="004E55B1">
        <w:rPr>
          <w:rFonts w:eastAsia="SimSun"/>
          <w:color w:val="0D0D0D" w:themeColor="text1" w:themeTint="F2"/>
          <w:sz w:val="22"/>
          <w:szCs w:val="22"/>
          <w:lang w:val="en-CA" w:eastAsia="zh-CN"/>
        </w:rPr>
        <w:t>0</w:t>
      </w:r>
      <w:r w:rsidRPr="004E55B1">
        <w:rPr>
          <w:rFonts w:eastAsia="SimSun"/>
          <w:color w:val="0D0D0D" w:themeColor="text1" w:themeTint="F2"/>
          <w:sz w:val="22"/>
          <w:szCs w:val="22"/>
          <w:lang w:val="en-CA" w:eastAsia="zh-CN"/>
        </w:rPr>
        <w:t xml:space="preserve"> ODP tonnes </w:t>
      </w:r>
      <w:r w:rsidRPr="004E55B1">
        <w:rPr>
          <w:sz w:val="22"/>
          <w:szCs w:val="22"/>
          <w:lang w:val="en-CA"/>
        </w:rPr>
        <w:t xml:space="preserve">due to importers stockpiling HCFC-22 in anticipation of price increases and a lower </w:t>
      </w:r>
      <w:r w:rsidR="00C42515" w:rsidRPr="004E55B1">
        <w:rPr>
          <w:sz w:val="22"/>
          <w:szCs w:val="22"/>
          <w:lang w:val="en-CA"/>
        </w:rPr>
        <w:t xml:space="preserve">import </w:t>
      </w:r>
      <w:r w:rsidRPr="004E55B1">
        <w:rPr>
          <w:sz w:val="22"/>
          <w:szCs w:val="22"/>
          <w:lang w:val="en-CA"/>
        </w:rPr>
        <w:t xml:space="preserve">quota in 2020. </w:t>
      </w:r>
    </w:p>
    <w:p w14:paraId="46272E98" w14:textId="5C63A998" w:rsidR="001C15C0" w:rsidRPr="004E55B1" w:rsidRDefault="001C15C0" w:rsidP="00E41C29">
      <w:pPr>
        <w:pStyle w:val="Heading1"/>
        <w:tabs>
          <w:tab w:val="clear" w:pos="0"/>
          <w:tab w:val="num" w:pos="90"/>
        </w:tabs>
        <w:jc w:val="both"/>
        <w:rPr>
          <w:sz w:val="22"/>
          <w:szCs w:val="22"/>
          <w:lang w:val="en-CA"/>
        </w:rPr>
      </w:pPr>
      <w:r w:rsidRPr="004E55B1">
        <w:rPr>
          <w:rFonts w:eastAsia="SimSun"/>
          <w:color w:val="0D0D0D" w:themeColor="text1" w:themeTint="F2"/>
          <w:sz w:val="22"/>
          <w:szCs w:val="22"/>
          <w:lang w:val="en-CA" w:eastAsia="zh-CN"/>
        </w:rPr>
        <w:t>While the</w:t>
      </w:r>
      <w:r w:rsidR="00710B7E" w:rsidRPr="004E55B1">
        <w:rPr>
          <w:rFonts w:eastAsia="SimSun"/>
          <w:color w:val="0D0D0D" w:themeColor="text1" w:themeTint="F2"/>
          <w:sz w:val="22"/>
          <w:szCs w:val="22"/>
          <w:lang w:val="en-CA" w:eastAsia="zh-CN"/>
        </w:rPr>
        <w:t>re has been an upward trend in the</w:t>
      </w:r>
      <w:r w:rsidRPr="004E55B1">
        <w:rPr>
          <w:rFonts w:eastAsia="SimSun"/>
          <w:color w:val="0D0D0D" w:themeColor="text1" w:themeTint="F2"/>
          <w:sz w:val="22"/>
          <w:szCs w:val="22"/>
          <w:lang w:val="en-CA" w:eastAsia="zh-CN"/>
        </w:rPr>
        <w:t xml:space="preserve"> consumption of HCFCs over the last five years, the average consumption (i.e., 1.90 ODP tonnes) is 65 per cent below the HCFC baseline for compliance. </w:t>
      </w:r>
      <w:r w:rsidR="00EB4070" w:rsidRPr="004E55B1">
        <w:rPr>
          <w:rFonts w:eastAsia="SimSun"/>
          <w:color w:val="0D0D0D" w:themeColor="text1" w:themeTint="F2"/>
          <w:sz w:val="22"/>
          <w:szCs w:val="22"/>
          <w:lang w:val="en-CA" w:eastAsia="zh-CN"/>
        </w:rPr>
        <w:t xml:space="preserve">This reduction from the baseline is due to the </w:t>
      </w:r>
      <w:r w:rsidRPr="004E55B1">
        <w:rPr>
          <w:sz w:val="22"/>
          <w:szCs w:val="22"/>
          <w:lang w:val="en-CA"/>
        </w:rPr>
        <w:t xml:space="preserve">enforcement of the import/export licensing and quota </w:t>
      </w:r>
      <w:r w:rsidR="00EB4070" w:rsidRPr="004E55B1">
        <w:rPr>
          <w:sz w:val="22"/>
          <w:szCs w:val="22"/>
          <w:lang w:val="en-CA"/>
        </w:rPr>
        <w:t>system</w:t>
      </w:r>
      <w:r w:rsidRPr="004E55B1">
        <w:rPr>
          <w:sz w:val="22"/>
          <w:szCs w:val="22"/>
          <w:lang w:val="en-CA"/>
        </w:rPr>
        <w:t xml:space="preserve"> </w:t>
      </w:r>
      <w:r w:rsidR="00EB4070" w:rsidRPr="004E55B1">
        <w:rPr>
          <w:sz w:val="22"/>
          <w:szCs w:val="22"/>
          <w:lang w:val="en-CA"/>
        </w:rPr>
        <w:t xml:space="preserve">and the implementation of the activities under the HPMP, including training of technicians and technical assistance provided to the refrigeration servicing sector. </w:t>
      </w:r>
      <w:r w:rsidR="00EB4070" w:rsidRPr="004E55B1">
        <w:rPr>
          <w:rFonts w:eastAsia="SimSun"/>
          <w:color w:val="0D0D0D" w:themeColor="text1" w:themeTint="F2"/>
          <w:sz w:val="22"/>
          <w:szCs w:val="22"/>
          <w:lang w:val="en-CA" w:eastAsia="zh-CN"/>
        </w:rPr>
        <w:t xml:space="preserve">HCFC-142b, which </w:t>
      </w:r>
      <w:r w:rsidR="00710B7E" w:rsidRPr="004E55B1">
        <w:rPr>
          <w:rFonts w:eastAsia="SimSun"/>
          <w:color w:val="0D0D0D" w:themeColor="text1" w:themeTint="F2"/>
          <w:sz w:val="22"/>
          <w:szCs w:val="22"/>
          <w:lang w:val="en-CA" w:eastAsia="zh-CN"/>
        </w:rPr>
        <w:t xml:space="preserve">was </w:t>
      </w:r>
      <w:r w:rsidR="00EB4070" w:rsidRPr="004E55B1">
        <w:rPr>
          <w:rFonts w:eastAsia="SimSun"/>
          <w:color w:val="0D0D0D" w:themeColor="text1" w:themeTint="F2"/>
          <w:sz w:val="22"/>
          <w:szCs w:val="22"/>
          <w:lang w:val="en-CA" w:eastAsia="zh-CN"/>
        </w:rPr>
        <w:t>consumed in the solvent sector</w:t>
      </w:r>
      <w:r w:rsidR="001862A6" w:rsidRPr="004E55B1">
        <w:rPr>
          <w:rFonts w:eastAsia="SimSun"/>
          <w:color w:val="0D0D0D" w:themeColor="text1" w:themeTint="F2"/>
          <w:sz w:val="22"/>
          <w:szCs w:val="22"/>
          <w:lang w:val="en-CA" w:eastAsia="zh-CN"/>
        </w:rPr>
        <w:t xml:space="preserve"> for dry cleaning of garments</w:t>
      </w:r>
      <w:r w:rsidR="00EB4070" w:rsidRPr="004E55B1">
        <w:rPr>
          <w:rFonts w:eastAsia="SimSun"/>
          <w:color w:val="0D0D0D" w:themeColor="text1" w:themeTint="F2"/>
          <w:sz w:val="22"/>
          <w:szCs w:val="22"/>
          <w:lang w:val="en-CA" w:eastAsia="zh-CN"/>
        </w:rPr>
        <w:t>, ha</w:t>
      </w:r>
      <w:r w:rsidR="00710B7E" w:rsidRPr="004E55B1">
        <w:rPr>
          <w:rFonts w:eastAsia="SimSun"/>
          <w:color w:val="0D0D0D" w:themeColor="text1" w:themeTint="F2"/>
          <w:sz w:val="22"/>
          <w:szCs w:val="22"/>
          <w:lang w:val="en-CA" w:eastAsia="zh-CN"/>
        </w:rPr>
        <w:t>s</w:t>
      </w:r>
      <w:r w:rsidR="00EB4070" w:rsidRPr="004E55B1">
        <w:rPr>
          <w:rFonts w:eastAsia="SimSun"/>
          <w:color w:val="0D0D0D" w:themeColor="text1" w:themeTint="F2"/>
          <w:sz w:val="22"/>
          <w:szCs w:val="22"/>
          <w:lang w:val="en-CA" w:eastAsia="zh-CN"/>
        </w:rPr>
        <w:t xml:space="preserve"> been phased out since 2011</w:t>
      </w:r>
      <w:r w:rsidR="001862A6" w:rsidRPr="004E55B1">
        <w:rPr>
          <w:rFonts w:eastAsia="SimSun"/>
          <w:color w:val="0D0D0D" w:themeColor="text1" w:themeTint="F2"/>
          <w:sz w:val="22"/>
          <w:szCs w:val="22"/>
          <w:lang w:val="en-CA" w:eastAsia="zh-CN"/>
        </w:rPr>
        <w:t>, after the dry-cleaning sub-sector was converted</w:t>
      </w:r>
      <w:r w:rsidR="00EB4070" w:rsidRPr="004E55B1">
        <w:rPr>
          <w:rFonts w:eastAsia="SimSun"/>
          <w:color w:val="0D0D0D" w:themeColor="text1" w:themeTint="F2"/>
          <w:sz w:val="22"/>
          <w:szCs w:val="22"/>
          <w:lang w:val="en-CA" w:eastAsia="zh-CN"/>
        </w:rPr>
        <w:t xml:space="preserve">. </w:t>
      </w:r>
      <w:r w:rsidRPr="004E55B1">
        <w:rPr>
          <w:sz w:val="22"/>
          <w:szCs w:val="22"/>
          <w:lang w:val="en-CA"/>
        </w:rPr>
        <w:t xml:space="preserve">Import of non-HCFC-22 based </w:t>
      </w:r>
      <w:r w:rsidR="00710B7E" w:rsidRPr="004E55B1">
        <w:rPr>
          <w:sz w:val="22"/>
          <w:szCs w:val="22"/>
          <w:lang w:val="en-CA"/>
        </w:rPr>
        <w:t xml:space="preserve">RAC </w:t>
      </w:r>
      <w:r w:rsidRPr="004E55B1">
        <w:rPr>
          <w:sz w:val="22"/>
          <w:szCs w:val="22"/>
          <w:lang w:val="en-CA"/>
        </w:rPr>
        <w:t xml:space="preserve">equipment also contributed to the reduction </w:t>
      </w:r>
      <w:r w:rsidR="00710B7E" w:rsidRPr="004E55B1">
        <w:rPr>
          <w:sz w:val="22"/>
          <w:szCs w:val="22"/>
          <w:lang w:val="en-CA"/>
        </w:rPr>
        <w:t>i</w:t>
      </w:r>
      <w:r w:rsidRPr="004E55B1">
        <w:rPr>
          <w:sz w:val="22"/>
          <w:szCs w:val="22"/>
          <w:lang w:val="en-CA"/>
        </w:rPr>
        <w:t>n HCFC consumption.</w:t>
      </w:r>
    </w:p>
    <w:p w14:paraId="1A482490" w14:textId="70A29EA9" w:rsidR="006C049B" w:rsidRPr="004E55B1" w:rsidRDefault="006C049B" w:rsidP="00E41C29">
      <w:pPr>
        <w:jc w:val="both"/>
        <w:rPr>
          <w:i/>
          <w:color w:val="0D0D0D" w:themeColor="text1" w:themeTint="F2"/>
          <w:sz w:val="22"/>
          <w:szCs w:val="22"/>
          <w:lang w:val="en-CA"/>
        </w:rPr>
      </w:pPr>
      <w:r w:rsidRPr="004E55B1">
        <w:rPr>
          <w:i/>
          <w:color w:val="0D0D0D" w:themeColor="text1" w:themeTint="F2"/>
          <w:sz w:val="22"/>
          <w:szCs w:val="22"/>
          <w:lang w:val="en-CA"/>
        </w:rPr>
        <w:t>CP implementation report</w:t>
      </w:r>
    </w:p>
    <w:p w14:paraId="5CAF7A35" w14:textId="52892F64" w:rsidR="006C049B" w:rsidRPr="004E55B1" w:rsidRDefault="006C049B" w:rsidP="00E41C29">
      <w:pPr>
        <w:jc w:val="both"/>
        <w:rPr>
          <w:color w:val="0D0D0D" w:themeColor="text1" w:themeTint="F2"/>
          <w:sz w:val="22"/>
          <w:szCs w:val="22"/>
          <w:lang w:val="en-CA"/>
        </w:rPr>
      </w:pPr>
    </w:p>
    <w:p w14:paraId="52F0318C" w14:textId="7217DCD0" w:rsidR="006C049B" w:rsidRPr="004E55B1" w:rsidRDefault="006C049B" w:rsidP="00E41C29">
      <w:pPr>
        <w:pStyle w:val="Heading1"/>
        <w:jc w:val="both"/>
        <w:rPr>
          <w:color w:val="0D0D0D" w:themeColor="text1" w:themeTint="F2"/>
          <w:sz w:val="22"/>
          <w:szCs w:val="22"/>
          <w:lang w:val="en-CA"/>
        </w:rPr>
      </w:pPr>
      <w:r w:rsidRPr="004E55B1">
        <w:rPr>
          <w:color w:val="0D0D0D" w:themeColor="text1" w:themeTint="F2"/>
          <w:sz w:val="22"/>
          <w:szCs w:val="22"/>
          <w:lang w:val="en-CA"/>
        </w:rPr>
        <w:t xml:space="preserve">The Government of Georgia reported HCFC sector consumption data under the </w:t>
      </w:r>
      <w:r w:rsidR="00EB4070" w:rsidRPr="004E55B1">
        <w:rPr>
          <w:color w:val="0D0D0D" w:themeColor="text1" w:themeTint="F2"/>
          <w:sz w:val="22"/>
          <w:szCs w:val="22"/>
          <w:lang w:val="en-CA"/>
        </w:rPr>
        <w:t>201</w:t>
      </w:r>
      <w:r w:rsidR="001327AF" w:rsidRPr="004E55B1">
        <w:rPr>
          <w:color w:val="0D0D0D" w:themeColor="text1" w:themeTint="F2"/>
          <w:sz w:val="22"/>
          <w:szCs w:val="22"/>
          <w:lang w:val="en-CA"/>
        </w:rPr>
        <w:t>8</w:t>
      </w:r>
      <w:r w:rsidR="00EB4070" w:rsidRPr="004E55B1">
        <w:rPr>
          <w:color w:val="0D0D0D" w:themeColor="text1" w:themeTint="F2"/>
          <w:sz w:val="22"/>
          <w:szCs w:val="22"/>
          <w:lang w:val="en-CA"/>
        </w:rPr>
        <w:t xml:space="preserve"> </w:t>
      </w:r>
      <w:r w:rsidRPr="004E55B1">
        <w:rPr>
          <w:color w:val="0D0D0D" w:themeColor="text1" w:themeTint="F2"/>
          <w:sz w:val="22"/>
          <w:szCs w:val="22"/>
          <w:lang w:val="en-CA"/>
        </w:rPr>
        <w:t>CP implementation report that is consistent with the data reported under Article 7 of the Montreal Protocol.</w:t>
      </w:r>
      <w:r w:rsidR="0081240F" w:rsidRPr="004E55B1">
        <w:rPr>
          <w:color w:val="0D0D0D" w:themeColor="text1" w:themeTint="F2"/>
          <w:sz w:val="22"/>
          <w:szCs w:val="22"/>
          <w:lang w:val="en-CA"/>
        </w:rPr>
        <w:t xml:space="preserve"> </w:t>
      </w:r>
    </w:p>
    <w:p w14:paraId="63A9B015" w14:textId="77777777" w:rsidR="006C049B" w:rsidRPr="004E55B1" w:rsidRDefault="006C049B" w:rsidP="00EA5E03">
      <w:pPr>
        <w:keepNext/>
        <w:keepLines/>
        <w:jc w:val="both"/>
        <w:rPr>
          <w:i/>
          <w:color w:val="0D0D0D" w:themeColor="text1" w:themeTint="F2"/>
          <w:sz w:val="22"/>
          <w:szCs w:val="22"/>
          <w:lang w:val="en-CA"/>
        </w:rPr>
      </w:pPr>
      <w:r w:rsidRPr="004E55B1">
        <w:rPr>
          <w:i/>
          <w:color w:val="0D0D0D" w:themeColor="text1" w:themeTint="F2"/>
          <w:sz w:val="22"/>
          <w:szCs w:val="22"/>
          <w:lang w:val="en-CA"/>
        </w:rPr>
        <w:lastRenderedPageBreak/>
        <w:t>Verification report</w:t>
      </w:r>
    </w:p>
    <w:p w14:paraId="7FD508DD" w14:textId="77777777" w:rsidR="006C049B" w:rsidRPr="004E55B1" w:rsidRDefault="006C049B" w:rsidP="00EA5E03">
      <w:pPr>
        <w:keepNext/>
        <w:keepLines/>
        <w:jc w:val="both"/>
        <w:rPr>
          <w:color w:val="0D0D0D" w:themeColor="text1" w:themeTint="F2"/>
          <w:sz w:val="22"/>
          <w:szCs w:val="22"/>
          <w:lang w:val="en-CA"/>
        </w:rPr>
      </w:pPr>
    </w:p>
    <w:p w14:paraId="2AC2146D" w14:textId="48BC9F77" w:rsidR="006C049B" w:rsidRPr="004E55B1" w:rsidRDefault="006C049B" w:rsidP="00EA5E03">
      <w:pPr>
        <w:pStyle w:val="Heading1"/>
        <w:keepNext/>
        <w:keepLines/>
        <w:jc w:val="both"/>
        <w:rPr>
          <w:color w:val="0D0D0D" w:themeColor="text1" w:themeTint="F2"/>
          <w:sz w:val="22"/>
          <w:szCs w:val="22"/>
          <w:lang w:val="en-CA"/>
        </w:rPr>
      </w:pPr>
      <w:r w:rsidRPr="004E55B1">
        <w:rPr>
          <w:color w:val="0D0D0D" w:themeColor="text1" w:themeTint="F2"/>
          <w:sz w:val="22"/>
          <w:szCs w:val="22"/>
          <w:lang w:val="en-CA"/>
        </w:rPr>
        <w:t>The updated verification report including 2016 and 2017 HCFC consumption data was submitted in June 2018 in accordance with the condition for approval of the third tranche set at the 81</w:t>
      </w:r>
      <w:r w:rsidRPr="004E55B1">
        <w:rPr>
          <w:color w:val="0D0D0D" w:themeColor="text1" w:themeTint="F2"/>
          <w:sz w:val="22"/>
          <w:szCs w:val="22"/>
          <w:vertAlign w:val="superscript"/>
          <w:lang w:val="en-CA"/>
        </w:rPr>
        <w:t>st</w:t>
      </w:r>
      <w:r w:rsidR="001308F4" w:rsidRPr="004E55B1">
        <w:rPr>
          <w:color w:val="0D0D0D" w:themeColor="text1" w:themeTint="F2"/>
          <w:sz w:val="22"/>
          <w:szCs w:val="22"/>
          <w:vertAlign w:val="superscript"/>
          <w:lang w:val="en-CA"/>
        </w:rPr>
        <w:t> </w:t>
      </w:r>
      <w:r w:rsidRPr="004E55B1">
        <w:rPr>
          <w:color w:val="0D0D0D" w:themeColor="text1" w:themeTint="F2"/>
          <w:sz w:val="22"/>
          <w:szCs w:val="22"/>
          <w:lang w:val="en-CA"/>
        </w:rPr>
        <w:t xml:space="preserve">meeting. The report confirmed that the country was in compliance with the Montreal Protocol and </w:t>
      </w:r>
      <w:r w:rsidR="00EB4070" w:rsidRPr="004E55B1">
        <w:rPr>
          <w:color w:val="0D0D0D" w:themeColor="text1" w:themeTint="F2"/>
          <w:sz w:val="22"/>
          <w:szCs w:val="22"/>
          <w:lang w:val="en-CA"/>
        </w:rPr>
        <w:t xml:space="preserve">its </w:t>
      </w:r>
      <w:r w:rsidRPr="004E55B1">
        <w:rPr>
          <w:color w:val="0D0D0D" w:themeColor="text1" w:themeTint="F2"/>
          <w:sz w:val="22"/>
          <w:szCs w:val="22"/>
          <w:lang w:val="en-CA"/>
        </w:rPr>
        <w:t xml:space="preserve">Agreement with the Executive Committee for those years. </w:t>
      </w:r>
    </w:p>
    <w:p w14:paraId="0E64BD8E" w14:textId="77777777" w:rsidR="006C049B" w:rsidRPr="004E55B1" w:rsidRDefault="006C049B" w:rsidP="00E41C29">
      <w:pPr>
        <w:jc w:val="both"/>
        <w:rPr>
          <w:color w:val="0D0D0D" w:themeColor="text1" w:themeTint="F2"/>
          <w:sz w:val="22"/>
          <w:szCs w:val="22"/>
          <w:u w:val="single"/>
          <w:lang w:val="en-CA"/>
        </w:rPr>
      </w:pPr>
      <w:r w:rsidRPr="004E55B1">
        <w:rPr>
          <w:color w:val="0D0D0D" w:themeColor="text1" w:themeTint="F2"/>
          <w:sz w:val="22"/>
          <w:szCs w:val="22"/>
          <w:u w:val="single"/>
          <w:lang w:val="en-CA"/>
        </w:rPr>
        <w:t>Progress report on the implementation of the third tranche of the HPMP</w:t>
      </w:r>
    </w:p>
    <w:p w14:paraId="49C8B3A6" w14:textId="77777777" w:rsidR="006C049B" w:rsidRPr="004E55B1" w:rsidRDefault="006C049B" w:rsidP="00E41C29">
      <w:pPr>
        <w:jc w:val="both"/>
        <w:rPr>
          <w:color w:val="0D0D0D" w:themeColor="text1" w:themeTint="F2"/>
          <w:sz w:val="22"/>
          <w:szCs w:val="22"/>
          <w:lang w:val="en-CA"/>
        </w:rPr>
      </w:pPr>
    </w:p>
    <w:p w14:paraId="33A0B096" w14:textId="77777777" w:rsidR="006C049B" w:rsidRPr="004E55B1" w:rsidRDefault="006C049B" w:rsidP="00E41C29">
      <w:pPr>
        <w:jc w:val="both"/>
        <w:rPr>
          <w:i/>
          <w:color w:val="0D0D0D" w:themeColor="text1" w:themeTint="F2"/>
          <w:sz w:val="22"/>
          <w:szCs w:val="22"/>
          <w:lang w:val="en-CA"/>
        </w:rPr>
      </w:pPr>
      <w:r w:rsidRPr="004E55B1">
        <w:rPr>
          <w:i/>
          <w:color w:val="0D0D0D" w:themeColor="text1" w:themeTint="F2"/>
          <w:sz w:val="22"/>
          <w:szCs w:val="22"/>
          <w:lang w:val="en-CA"/>
        </w:rPr>
        <w:t>Legal framework</w:t>
      </w:r>
    </w:p>
    <w:p w14:paraId="36A336B2" w14:textId="77777777" w:rsidR="006C049B" w:rsidRPr="004E55B1" w:rsidRDefault="006C049B" w:rsidP="00E41C29">
      <w:pPr>
        <w:jc w:val="both"/>
        <w:rPr>
          <w:color w:val="0D0D0D" w:themeColor="text1" w:themeTint="F2"/>
          <w:sz w:val="22"/>
          <w:szCs w:val="22"/>
          <w:lang w:val="en-CA"/>
        </w:rPr>
      </w:pPr>
    </w:p>
    <w:p w14:paraId="2E761A17" w14:textId="39ED300F" w:rsidR="006C049B" w:rsidRPr="004E55B1" w:rsidRDefault="006C049B" w:rsidP="00E41C29">
      <w:pPr>
        <w:pStyle w:val="Heading1"/>
        <w:tabs>
          <w:tab w:val="num" w:pos="-159"/>
        </w:tabs>
        <w:jc w:val="both"/>
        <w:rPr>
          <w:color w:val="0D0D0D" w:themeColor="text1" w:themeTint="F2"/>
          <w:sz w:val="22"/>
          <w:szCs w:val="22"/>
          <w:lang w:val="en-CA"/>
        </w:rPr>
      </w:pPr>
      <w:r w:rsidRPr="004E55B1">
        <w:rPr>
          <w:color w:val="0D0D0D" w:themeColor="text1" w:themeTint="F2"/>
          <w:sz w:val="22"/>
          <w:szCs w:val="22"/>
          <w:lang w:val="en-CA"/>
        </w:rPr>
        <w:t>The country has a framework Law on Environmental Protection with provisions for the protection of the ozone layer. In 2014, the Government amended the ODS import-export legislation, introducing the HCFC quota system</w:t>
      </w:r>
      <w:r w:rsidR="00EB4070" w:rsidRPr="004E55B1">
        <w:rPr>
          <w:color w:val="0D0D0D" w:themeColor="text1" w:themeTint="F2"/>
          <w:sz w:val="22"/>
          <w:szCs w:val="22"/>
          <w:lang w:val="en-CA"/>
        </w:rPr>
        <w:t>. I</w:t>
      </w:r>
      <w:r w:rsidRPr="004E55B1">
        <w:rPr>
          <w:color w:val="0D0D0D" w:themeColor="text1" w:themeTint="F2"/>
          <w:sz w:val="22"/>
          <w:szCs w:val="22"/>
          <w:lang w:val="en-CA"/>
        </w:rPr>
        <w:t xml:space="preserve">n April 2016, amendments were introduced to laws on Environmental Protection, Atmospheric Air Protection, Licenses and Permits and Royalties to </w:t>
      </w:r>
      <w:r w:rsidRPr="004E55B1">
        <w:rPr>
          <w:i/>
          <w:color w:val="0D0D0D" w:themeColor="text1" w:themeTint="F2"/>
          <w:sz w:val="22"/>
          <w:szCs w:val="22"/>
          <w:lang w:val="en-CA"/>
        </w:rPr>
        <w:t>inter alia</w:t>
      </w:r>
      <w:r w:rsidRPr="004E55B1">
        <w:rPr>
          <w:color w:val="0D0D0D" w:themeColor="text1" w:themeTint="F2"/>
          <w:sz w:val="22"/>
          <w:szCs w:val="22"/>
          <w:lang w:val="en-CA"/>
        </w:rPr>
        <w:t xml:space="preserve"> strengthen ODS import-export regulations</w:t>
      </w:r>
      <w:r w:rsidR="00EB4070" w:rsidRPr="004E55B1">
        <w:rPr>
          <w:color w:val="0D0D0D" w:themeColor="text1" w:themeTint="F2"/>
          <w:sz w:val="22"/>
          <w:szCs w:val="22"/>
          <w:lang w:val="en-CA"/>
        </w:rPr>
        <w:t>,</w:t>
      </w:r>
      <w:r w:rsidRPr="004E55B1">
        <w:rPr>
          <w:color w:val="0D0D0D" w:themeColor="text1" w:themeTint="F2"/>
          <w:sz w:val="22"/>
          <w:szCs w:val="22"/>
          <w:lang w:val="en-CA"/>
        </w:rPr>
        <w:t xml:space="preserve"> establish administrative sanctions </w:t>
      </w:r>
      <w:r w:rsidR="00EB4070" w:rsidRPr="004E55B1">
        <w:rPr>
          <w:color w:val="0D0D0D" w:themeColor="text1" w:themeTint="F2"/>
          <w:sz w:val="22"/>
          <w:szCs w:val="22"/>
          <w:lang w:val="en-CA"/>
        </w:rPr>
        <w:t xml:space="preserve">for </w:t>
      </w:r>
      <w:r w:rsidRPr="004E55B1">
        <w:rPr>
          <w:color w:val="0D0D0D" w:themeColor="text1" w:themeTint="F2"/>
          <w:sz w:val="22"/>
          <w:szCs w:val="22"/>
          <w:lang w:val="en-CA"/>
        </w:rPr>
        <w:t xml:space="preserve">violation of </w:t>
      </w:r>
      <w:r w:rsidR="00B745BA" w:rsidRPr="004E55B1">
        <w:rPr>
          <w:color w:val="0D0D0D" w:themeColor="text1" w:themeTint="F2"/>
          <w:sz w:val="22"/>
          <w:szCs w:val="22"/>
          <w:lang w:val="en-CA"/>
        </w:rPr>
        <w:t xml:space="preserve">ODS </w:t>
      </w:r>
      <w:r w:rsidRPr="004E55B1">
        <w:rPr>
          <w:color w:val="0D0D0D" w:themeColor="text1" w:themeTint="F2"/>
          <w:sz w:val="22"/>
          <w:szCs w:val="22"/>
          <w:lang w:val="en-CA"/>
        </w:rPr>
        <w:t>regulations</w:t>
      </w:r>
      <w:r w:rsidR="00EB4070" w:rsidRPr="004E55B1">
        <w:rPr>
          <w:color w:val="0D0D0D" w:themeColor="text1" w:themeTint="F2"/>
          <w:sz w:val="22"/>
          <w:szCs w:val="22"/>
          <w:lang w:val="en-CA"/>
        </w:rPr>
        <w:t>,</w:t>
      </w:r>
      <w:r w:rsidRPr="004E55B1">
        <w:rPr>
          <w:color w:val="0D0D0D" w:themeColor="text1" w:themeTint="F2"/>
          <w:sz w:val="22"/>
          <w:szCs w:val="22"/>
          <w:lang w:val="en-CA"/>
        </w:rPr>
        <w:t xml:space="preserve"> and strengthen regulatory requirements for certification of </w:t>
      </w:r>
      <w:r w:rsidR="00EB4070" w:rsidRPr="004E55B1">
        <w:rPr>
          <w:color w:val="0D0D0D" w:themeColor="text1" w:themeTint="F2"/>
          <w:sz w:val="22"/>
          <w:szCs w:val="22"/>
          <w:lang w:val="en-CA"/>
        </w:rPr>
        <w:t xml:space="preserve">RAC </w:t>
      </w:r>
      <w:r w:rsidRPr="004E55B1">
        <w:rPr>
          <w:color w:val="0D0D0D" w:themeColor="text1" w:themeTint="F2"/>
          <w:sz w:val="22"/>
          <w:szCs w:val="22"/>
          <w:lang w:val="en-CA"/>
        </w:rPr>
        <w:t xml:space="preserve">technicians. </w:t>
      </w:r>
    </w:p>
    <w:p w14:paraId="03D3AC84" w14:textId="099C0B04" w:rsidR="006C049B" w:rsidRPr="004E55B1" w:rsidRDefault="006C049B" w:rsidP="00E41C29">
      <w:pPr>
        <w:pStyle w:val="Heading1"/>
        <w:tabs>
          <w:tab w:val="num" w:pos="-159"/>
        </w:tabs>
        <w:jc w:val="both"/>
        <w:rPr>
          <w:rFonts w:eastAsia="SimSun"/>
          <w:color w:val="0D0D0D" w:themeColor="text1" w:themeTint="F2"/>
          <w:sz w:val="22"/>
          <w:szCs w:val="22"/>
          <w:lang w:val="en-CA" w:eastAsia="zh-CN"/>
        </w:rPr>
      </w:pPr>
      <w:r w:rsidRPr="004E55B1">
        <w:rPr>
          <w:color w:val="0D0D0D" w:themeColor="text1" w:themeTint="F2"/>
          <w:sz w:val="22"/>
          <w:szCs w:val="22"/>
          <w:lang w:val="en-CA"/>
        </w:rPr>
        <w:t xml:space="preserve">Further </w:t>
      </w:r>
      <w:r w:rsidRPr="004E55B1">
        <w:rPr>
          <w:rFonts w:eastAsia="SimSun"/>
          <w:color w:val="0D0D0D" w:themeColor="text1" w:themeTint="F2"/>
          <w:sz w:val="22"/>
          <w:szCs w:val="22"/>
          <w:lang w:val="en-CA" w:eastAsia="zh-CN"/>
        </w:rPr>
        <w:t>amendments have been drafted in 2019 including a licensing system for exempt uses of ODS; stricter penalties for illegal imports; the establishment of legal validity of electronic reporting; and certification of RAC companies. Other draft legislation includes the alignment of RAC certification with European Union (EU) regulations on fluorinated gases; a ban on the import of HCFC-22</w:t>
      </w:r>
      <w:r w:rsidR="00EB4070" w:rsidRPr="004E55B1">
        <w:rPr>
          <w:rFonts w:eastAsia="SimSun"/>
          <w:color w:val="0D0D0D" w:themeColor="text1" w:themeTint="F2"/>
          <w:sz w:val="22"/>
          <w:szCs w:val="22"/>
          <w:lang w:val="en-CA" w:eastAsia="zh-CN"/>
        </w:rPr>
        <w:t>-</w:t>
      </w:r>
      <w:r w:rsidRPr="004E55B1">
        <w:rPr>
          <w:rFonts w:eastAsia="SimSun"/>
          <w:color w:val="0D0D0D" w:themeColor="text1" w:themeTint="F2"/>
          <w:sz w:val="22"/>
          <w:szCs w:val="22"/>
          <w:lang w:val="en-CA" w:eastAsia="zh-CN"/>
        </w:rPr>
        <w:t>based equipment; and a resolution to make manufacturers, importers and retailers of RAC systems responsible for waste generated from those products, including ODS. The amendments and draft legislation w</w:t>
      </w:r>
      <w:r w:rsidR="002339A4" w:rsidRPr="004E55B1">
        <w:rPr>
          <w:rFonts w:eastAsia="SimSun"/>
          <w:color w:val="0D0D0D" w:themeColor="text1" w:themeTint="F2"/>
          <w:sz w:val="22"/>
          <w:szCs w:val="22"/>
          <w:lang w:val="en-CA" w:eastAsia="zh-CN"/>
        </w:rPr>
        <w:t>ould</w:t>
      </w:r>
      <w:r w:rsidRPr="004E55B1">
        <w:rPr>
          <w:rFonts w:eastAsia="SimSun"/>
          <w:color w:val="0D0D0D" w:themeColor="text1" w:themeTint="F2"/>
          <w:sz w:val="22"/>
          <w:szCs w:val="22"/>
          <w:lang w:val="en-CA" w:eastAsia="zh-CN"/>
        </w:rPr>
        <w:t xml:space="preserve"> be reviewed in Parliament for adoption in the second half of 2020. </w:t>
      </w:r>
    </w:p>
    <w:p w14:paraId="1D3DD5A4" w14:textId="25A678F7" w:rsidR="003A50BA" w:rsidRPr="004E55B1" w:rsidRDefault="003A50BA" w:rsidP="00E41C29">
      <w:pPr>
        <w:pStyle w:val="Heading1"/>
        <w:jc w:val="both"/>
        <w:rPr>
          <w:sz w:val="22"/>
          <w:szCs w:val="22"/>
          <w:lang w:val="en-CA"/>
        </w:rPr>
      </w:pPr>
      <w:r w:rsidRPr="004E55B1">
        <w:rPr>
          <w:sz w:val="22"/>
          <w:szCs w:val="22"/>
          <w:lang w:val="en-CA"/>
        </w:rPr>
        <w:t xml:space="preserve">The enforcement of the national legislation to ban the import of phased out ODS, the list of banned ODS, </w:t>
      </w:r>
      <w:r w:rsidR="002339A4" w:rsidRPr="004E55B1">
        <w:rPr>
          <w:sz w:val="22"/>
          <w:szCs w:val="22"/>
          <w:lang w:val="en-CA"/>
        </w:rPr>
        <w:t xml:space="preserve">and </w:t>
      </w:r>
      <w:r w:rsidRPr="004E55B1">
        <w:rPr>
          <w:sz w:val="22"/>
          <w:szCs w:val="22"/>
          <w:lang w:val="en-CA"/>
        </w:rPr>
        <w:t>the penalties for violations</w:t>
      </w:r>
      <w:r w:rsidR="006430B8" w:rsidRPr="004E55B1">
        <w:rPr>
          <w:sz w:val="22"/>
          <w:szCs w:val="22"/>
          <w:lang w:val="en-CA"/>
        </w:rPr>
        <w:t xml:space="preserve"> </w:t>
      </w:r>
      <w:r w:rsidRPr="004E55B1">
        <w:rPr>
          <w:sz w:val="22"/>
          <w:szCs w:val="22"/>
          <w:lang w:val="en-CA"/>
        </w:rPr>
        <w:t>allow</w:t>
      </w:r>
      <w:r w:rsidR="00E40AC8" w:rsidRPr="004E55B1">
        <w:rPr>
          <w:sz w:val="22"/>
          <w:szCs w:val="22"/>
          <w:lang w:val="en-CA"/>
        </w:rPr>
        <w:t>ed</w:t>
      </w:r>
      <w:r w:rsidR="006430B8" w:rsidRPr="004E55B1">
        <w:rPr>
          <w:sz w:val="22"/>
          <w:szCs w:val="22"/>
          <w:lang w:val="en-CA"/>
        </w:rPr>
        <w:t xml:space="preserve"> C</w:t>
      </w:r>
      <w:r w:rsidRPr="004E55B1">
        <w:rPr>
          <w:sz w:val="22"/>
          <w:szCs w:val="22"/>
          <w:lang w:val="en-CA"/>
        </w:rPr>
        <w:t xml:space="preserve">ustoms officers to </w:t>
      </w:r>
      <w:r w:rsidR="006430B8" w:rsidRPr="004E55B1">
        <w:rPr>
          <w:sz w:val="22"/>
          <w:szCs w:val="22"/>
          <w:lang w:val="en-CA"/>
        </w:rPr>
        <w:t xml:space="preserve">intercept </w:t>
      </w:r>
      <w:r w:rsidRPr="004E55B1">
        <w:rPr>
          <w:sz w:val="22"/>
          <w:szCs w:val="22"/>
          <w:lang w:val="en-CA"/>
        </w:rPr>
        <w:t>several cases of illegal trade in</w:t>
      </w:r>
      <w:r w:rsidR="006430B8" w:rsidRPr="004E55B1">
        <w:rPr>
          <w:sz w:val="22"/>
          <w:szCs w:val="22"/>
          <w:lang w:val="en-CA"/>
        </w:rPr>
        <w:t xml:space="preserve"> </w:t>
      </w:r>
      <w:r w:rsidR="00724F2A" w:rsidRPr="004E55B1">
        <w:rPr>
          <w:sz w:val="22"/>
          <w:szCs w:val="22"/>
          <w:lang w:val="en-CA"/>
        </w:rPr>
        <w:t>ODS that have been phased-out</w:t>
      </w:r>
      <w:r w:rsidR="002339A4" w:rsidRPr="004E55B1">
        <w:rPr>
          <w:sz w:val="22"/>
          <w:szCs w:val="22"/>
          <w:lang w:val="en-CA"/>
        </w:rPr>
        <w:t xml:space="preserve">. </w:t>
      </w:r>
      <w:r w:rsidRPr="004E55B1">
        <w:rPr>
          <w:sz w:val="22"/>
          <w:szCs w:val="22"/>
          <w:lang w:val="en-CA"/>
        </w:rPr>
        <w:t>The Government</w:t>
      </w:r>
      <w:r w:rsidR="006430B8" w:rsidRPr="004E55B1">
        <w:rPr>
          <w:sz w:val="22"/>
          <w:szCs w:val="22"/>
          <w:lang w:val="en-CA"/>
        </w:rPr>
        <w:t xml:space="preserve"> </w:t>
      </w:r>
      <w:r w:rsidRPr="004E55B1">
        <w:rPr>
          <w:sz w:val="22"/>
          <w:szCs w:val="22"/>
          <w:lang w:val="en-CA"/>
        </w:rPr>
        <w:t>is not aware of any controlled substances that have been phased out</w:t>
      </w:r>
      <w:r w:rsidR="006430B8" w:rsidRPr="004E55B1">
        <w:rPr>
          <w:sz w:val="22"/>
          <w:szCs w:val="22"/>
          <w:lang w:val="en-CA"/>
        </w:rPr>
        <w:t xml:space="preserve"> that are currently available on </w:t>
      </w:r>
      <w:r w:rsidR="003A75A9" w:rsidRPr="004E55B1">
        <w:rPr>
          <w:sz w:val="22"/>
          <w:szCs w:val="22"/>
          <w:lang w:val="en-CA"/>
        </w:rPr>
        <w:t>the market</w:t>
      </w:r>
      <w:r w:rsidRPr="004E55B1">
        <w:rPr>
          <w:sz w:val="22"/>
          <w:szCs w:val="22"/>
          <w:lang w:val="en-CA"/>
        </w:rPr>
        <w:t>, nor any stocks of those substances</w:t>
      </w:r>
      <w:r w:rsidR="006430B8" w:rsidRPr="004E55B1">
        <w:rPr>
          <w:sz w:val="22"/>
          <w:szCs w:val="22"/>
          <w:lang w:val="en-CA"/>
        </w:rPr>
        <w:t>, other than</w:t>
      </w:r>
      <w:r w:rsidR="00B7526D" w:rsidRPr="004E55B1">
        <w:rPr>
          <w:sz w:val="22"/>
          <w:szCs w:val="22"/>
          <w:lang w:val="en-CA"/>
        </w:rPr>
        <w:t xml:space="preserve"> methyl bromide (</w:t>
      </w:r>
      <w:r w:rsidR="006430B8" w:rsidRPr="004E55B1">
        <w:rPr>
          <w:sz w:val="22"/>
          <w:szCs w:val="22"/>
          <w:lang w:val="en-CA"/>
        </w:rPr>
        <w:t>MB</w:t>
      </w:r>
      <w:r w:rsidR="00B7526D" w:rsidRPr="004E55B1">
        <w:rPr>
          <w:sz w:val="22"/>
          <w:szCs w:val="22"/>
          <w:lang w:val="en-CA"/>
        </w:rPr>
        <w:t>)</w:t>
      </w:r>
      <w:r w:rsidR="006430B8" w:rsidRPr="004E55B1">
        <w:rPr>
          <w:sz w:val="22"/>
          <w:szCs w:val="22"/>
          <w:lang w:val="en-CA"/>
        </w:rPr>
        <w:t xml:space="preserve">, </w:t>
      </w:r>
      <w:r w:rsidRPr="004E55B1">
        <w:rPr>
          <w:sz w:val="22"/>
          <w:szCs w:val="22"/>
          <w:lang w:val="en-CA"/>
        </w:rPr>
        <w:t xml:space="preserve">which are not used. The National Food Agency of </w:t>
      </w:r>
      <w:r w:rsidR="002339A4" w:rsidRPr="004E55B1">
        <w:rPr>
          <w:sz w:val="22"/>
          <w:szCs w:val="22"/>
          <w:lang w:val="en-CA"/>
        </w:rPr>
        <w:t xml:space="preserve">the </w:t>
      </w:r>
      <w:r w:rsidR="002339A4" w:rsidRPr="004E55B1">
        <w:rPr>
          <w:color w:val="0D0D0D" w:themeColor="text1" w:themeTint="F2"/>
          <w:sz w:val="22"/>
          <w:szCs w:val="22"/>
          <w:lang w:val="en-CA"/>
        </w:rPr>
        <w:t>Ministry of Environmental Protection and Agriculture</w:t>
      </w:r>
      <w:r w:rsidR="002339A4" w:rsidRPr="004E55B1">
        <w:rPr>
          <w:sz w:val="22"/>
          <w:szCs w:val="22"/>
          <w:lang w:val="en-CA"/>
        </w:rPr>
        <w:t xml:space="preserve"> (</w:t>
      </w:r>
      <w:r w:rsidRPr="004E55B1">
        <w:rPr>
          <w:sz w:val="22"/>
          <w:szCs w:val="22"/>
          <w:lang w:val="en-CA"/>
        </w:rPr>
        <w:t>MEPA</w:t>
      </w:r>
      <w:r w:rsidR="002339A4" w:rsidRPr="004E55B1">
        <w:rPr>
          <w:sz w:val="22"/>
          <w:szCs w:val="22"/>
          <w:lang w:val="en-CA"/>
        </w:rPr>
        <w:t>)</w:t>
      </w:r>
      <w:r w:rsidRPr="004E55B1">
        <w:rPr>
          <w:sz w:val="22"/>
          <w:szCs w:val="22"/>
          <w:lang w:val="en-CA"/>
        </w:rPr>
        <w:t xml:space="preserve"> has 1</w:t>
      </w:r>
      <w:r w:rsidR="00231E7F" w:rsidRPr="004E55B1">
        <w:rPr>
          <w:sz w:val="22"/>
          <w:szCs w:val="22"/>
          <w:lang w:val="en-CA"/>
        </w:rPr>
        <w:t>.</w:t>
      </w:r>
      <w:r w:rsidR="00724F2A" w:rsidRPr="004E55B1">
        <w:rPr>
          <w:sz w:val="22"/>
          <w:szCs w:val="22"/>
          <w:lang w:val="en-CA"/>
        </w:rPr>
        <w:t>9 mt</w:t>
      </w:r>
      <w:r w:rsidRPr="004E55B1">
        <w:rPr>
          <w:sz w:val="22"/>
          <w:szCs w:val="22"/>
          <w:lang w:val="en-CA"/>
        </w:rPr>
        <w:t xml:space="preserve"> of MB, </w:t>
      </w:r>
      <w:r w:rsidR="00724F2A" w:rsidRPr="004E55B1">
        <w:rPr>
          <w:sz w:val="22"/>
          <w:szCs w:val="22"/>
          <w:lang w:val="en-CA"/>
        </w:rPr>
        <w:t xml:space="preserve">stored until a </w:t>
      </w:r>
      <w:r w:rsidRPr="004E55B1">
        <w:rPr>
          <w:sz w:val="22"/>
          <w:szCs w:val="22"/>
          <w:lang w:val="en-CA"/>
        </w:rPr>
        <w:t>suitable disposal facilit</w:t>
      </w:r>
      <w:r w:rsidR="00724F2A" w:rsidRPr="004E55B1">
        <w:rPr>
          <w:sz w:val="22"/>
          <w:szCs w:val="22"/>
          <w:lang w:val="en-CA"/>
        </w:rPr>
        <w:t>y is identified</w:t>
      </w:r>
      <w:r w:rsidRPr="004E55B1">
        <w:rPr>
          <w:sz w:val="22"/>
          <w:szCs w:val="22"/>
          <w:lang w:val="en-CA"/>
        </w:rPr>
        <w:t>.</w:t>
      </w:r>
    </w:p>
    <w:p w14:paraId="6A8DF45B" w14:textId="77777777" w:rsidR="006C049B" w:rsidRPr="004E55B1" w:rsidRDefault="006C049B" w:rsidP="00E41C29">
      <w:pPr>
        <w:pStyle w:val="Heading1"/>
        <w:numPr>
          <w:ilvl w:val="0"/>
          <w:numId w:val="0"/>
        </w:numPr>
        <w:jc w:val="both"/>
        <w:rPr>
          <w:i/>
          <w:color w:val="0D0D0D" w:themeColor="text1" w:themeTint="F2"/>
          <w:sz w:val="22"/>
          <w:szCs w:val="22"/>
          <w:lang w:val="en-CA"/>
        </w:rPr>
      </w:pPr>
      <w:r w:rsidRPr="004E55B1">
        <w:rPr>
          <w:i/>
          <w:color w:val="0D0D0D" w:themeColor="text1" w:themeTint="F2"/>
          <w:sz w:val="22"/>
          <w:szCs w:val="22"/>
          <w:lang w:val="en-CA"/>
        </w:rPr>
        <w:t>Refrigeration servicing sector</w:t>
      </w:r>
    </w:p>
    <w:p w14:paraId="62E42DEF" w14:textId="77777777" w:rsidR="006C049B" w:rsidRPr="004E55B1" w:rsidRDefault="006C049B" w:rsidP="00E41C29">
      <w:pPr>
        <w:pStyle w:val="Heading1"/>
        <w:tabs>
          <w:tab w:val="num" w:pos="-159"/>
        </w:tabs>
        <w:jc w:val="both"/>
        <w:rPr>
          <w:color w:val="0D0D0D" w:themeColor="text1" w:themeTint="F2"/>
          <w:sz w:val="22"/>
          <w:szCs w:val="22"/>
          <w:lang w:val="en-CA"/>
        </w:rPr>
      </w:pPr>
      <w:r w:rsidRPr="004E55B1">
        <w:rPr>
          <w:color w:val="0D0D0D" w:themeColor="text1" w:themeTint="F2"/>
          <w:sz w:val="22"/>
          <w:szCs w:val="22"/>
          <w:lang w:val="en-CA"/>
        </w:rPr>
        <w:t xml:space="preserve">The following activities were implemented: </w:t>
      </w:r>
    </w:p>
    <w:p w14:paraId="66C312B9" w14:textId="49A8F95B" w:rsidR="006C049B" w:rsidRPr="004E55B1" w:rsidRDefault="00640311" w:rsidP="00E41C29">
      <w:pPr>
        <w:pStyle w:val="Heading2"/>
        <w:numPr>
          <w:ilvl w:val="1"/>
          <w:numId w:val="1"/>
        </w:numPr>
        <w:jc w:val="both"/>
        <w:rPr>
          <w:color w:val="0D0D0D" w:themeColor="text1" w:themeTint="F2"/>
          <w:sz w:val="22"/>
          <w:szCs w:val="22"/>
          <w:lang w:val="en-CA"/>
        </w:rPr>
      </w:pPr>
      <w:r w:rsidRPr="004E55B1">
        <w:rPr>
          <w:rFonts w:eastAsia="SimSun"/>
          <w:color w:val="0D0D0D" w:themeColor="text1" w:themeTint="F2"/>
          <w:sz w:val="22"/>
          <w:szCs w:val="22"/>
          <w:lang w:val="en-CA" w:eastAsia="zh-CN"/>
        </w:rPr>
        <w:t xml:space="preserve">A total of </w:t>
      </w:r>
      <w:r w:rsidR="006C049B" w:rsidRPr="004E55B1">
        <w:rPr>
          <w:color w:val="0D0D0D" w:themeColor="text1" w:themeTint="F2"/>
          <w:sz w:val="22"/>
          <w:szCs w:val="22"/>
          <w:lang w:val="en-CA"/>
        </w:rPr>
        <w:t>49 customs officers were trained in the use of refrigerant identifiers for ODS import-export control; 41 environmental inspectors were trained on</w:t>
      </w:r>
      <w:r w:rsidR="00B45176" w:rsidRPr="004E55B1">
        <w:rPr>
          <w:color w:val="0D0D0D" w:themeColor="text1" w:themeTint="F2"/>
          <w:sz w:val="22"/>
          <w:szCs w:val="22"/>
          <w:lang w:val="en-CA"/>
        </w:rPr>
        <w:t xml:space="preserve"> the technical characteristics of</w:t>
      </w:r>
      <w:r w:rsidR="006C049B" w:rsidRPr="004E55B1">
        <w:rPr>
          <w:color w:val="0D0D0D" w:themeColor="text1" w:themeTint="F2"/>
          <w:sz w:val="22"/>
          <w:szCs w:val="22"/>
          <w:lang w:val="en-CA"/>
        </w:rPr>
        <w:t xml:space="preserve"> </w:t>
      </w:r>
      <w:r w:rsidR="00417F26" w:rsidRPr="004E55B1">
        <w:rPr>
          <w:color w:val="0D0D0D" w:themeColor="text1" w:themeTint="F2"/>
          <w:sz w:val="22"/>
          <w:szCs w:val="22"/>
          <w:lang w:val="en-CA"/>
        </w:rPr>
        <w:t xml:space="preserve">different types of </w:t>
      </w:r>
      <w:r w:rsidR="006C049B" w:rsidRPr="004E55B1">
        <w:rPr>
          <w:color w:val="0D0D0D" w:themeColor="text1" w:themeTint="F2"/>
          <w:sz w:val="22"/>
          <w:szCs w:val="22"/>
          <w:lang w:val="en-CA"/>
        </w:rPr>
        <w:t xml:space="preserve">HCFC-22-based </w:t>
      </w:r>
      <w:r w:rsidR="00417F26" w:rsidRPr="004E55B1">
        <w:rPr>
          <w:color w:val="0D0D0D" w:themeColor="text1" w:themeTint="F2"/>
          <w:sz w:val="22"/>
          <w:szCs w:val="22"/>
          <w:lang w:val="en-CA"/>
        </w:rPr>
        <w:t>RAC equipment</w:t>
      </w:r>
      <w:r w:rsidR="006C049B" w:rsidRPr="004E55B1">
        <w:rPr>
          <w:color w:val="0D0D0D" w:themeColor="text1" w:themeTint="F2"/>
          <w:sz w:val="22"/>
          <w:szCs w:val="22"/>
          <w:lang w:val="en-CA"/>
        </w:rPr>
        <w:t xml:space="preserve">, </w:t>
      </w:r>
      <w:r w:rsidR="00B45176" w:rsidRPr="004E55B1">
        <w:rPr>
          <w:color w:val="0D0D0D" w:themeColor="text1" w:themeTint="F2"/>
          <w:sz w:val="22"/>
          <w:szCs w:val="22"/>
          <w:lang w:val="en-CA"/>
        </w:rPr>
        <w:t xml:space="preserve">conducting proper </w:t>
      </w:r>
      <w:r w:rsidR="006C049B" w:rsidRPr="004E55B1">
        <w:rPr>
          <w:color w:val="0D0D0D" w:themeColor="text1" w:themeTint="F2"/>
          <w:sz w:val="22"/>
          <w:szCs w:val="22"/>
          <w:lang w:val="en-CA"/>
        </w:rPr>
        <w:t>inspections, and the use of refrigerant identifiers</w:t>
      </w:r>
      <w:r w:rsidR="006623CA" w:rsidRPr="004E55B1">
        <w:rPr>
          <w:color w:val="0D0D0D" w:themeColor="text1" w:themeTint="F2"/>
          <w:sz w:val="22"/>
          <w:szCs w:val="22"/>
          <w:lang w:val="en-CA"/>
        </w:rPr>
        <w:t>; and e</w:t>
      </w:r>
      <w:r w:rsidR="006C049B" w:rsidRPr="004E55B1">
        <w:rPr>
          <w:color w:val="0D0D0D" w:themeColor="text1" w:themeTint="F2"/>
          <w:sz w:val="22"/>
          <w:szCs w:val="22"/>
          <w:lang w:val="en-CA"/>
        </w:rPr>
        <w:t xml:space="preserve">ight sets of refrigerant identifiers were </w:t>
      </w:r>
      <w:r w:rsidR="006623CA" w:rsidRPr="004E55B1">
        <w:rPr>
          <w:color w:val="0D0D0D" w:themeColor="text1" w:themeTint="F2"/>
          <w:sz w:val="22"/>
          <w:szCs w:val="22"/>
          <w:lang w:val="en-CA"/>
        </w:rPr>
        <w:t xml:space="preserve">procured and </w:t>
      </w:r>
      <w:r w:rsidR="006C049B" w:rsidRPr="004E55B1">
        <w:rPr>
          <w:color w:val="0D0D0D" w:themeColor="text1" w:themeTint="F2"/>
          <w:sz w:val="22"/>
          <w:szCs w:val="22"/>
          <w:lang w:val="en-CA"/>
        </w:rPr>
        <w:t>delivered</w:t>
      </w:r>
      <w:r w:rsidR="006623CA" w:rsidRPr="004E55B1">
        <w:rPr>
          <w:color w:val="0D0D0D" w:themeColor="text1" w:themeTint="F2"/>
          <w:sz w:val="22"/>
          <w:szCs w:val="22"/>
          <w:lang w:val="en-CA"/>
        </w:rPr>
        <w:t xml:space="preserve"> to customs authorities</w:t>
      </w:r>
      <w:r w:rsidR="006C049B" w:rsidRPr="004E55B1">
        <w:rPr>
          <w:color w:val="0D0D0D" w:themeColor="text1" w:themeTint="F2"/>
          <w:sz w:val="22"/>
          <w:szCs w:val="22"/>
          <w:lang w:val="en-CA"/>
        </w:rPr>
        <w:t>;</w:t>
      </w:r>
    </w:p>
    <w:p w14:paraId="64B2286F" w14:textId="01BB8D8E" w:rsidR="006C049B" w:rsidRPr="004E55B1" w:rsidRDefault="006C049B" w:rsidP="00E41C29">
      <w:pPr>
        <w:pStyle w:val="Heading2"/>
        <w:numPr>
          <w:ilvl w:val="1"/>
          <w:numId w:val="1"/>
        </w:numPr>
        <w:spacing w:after="120"/>
        <w:jc w:val="both"/>
        <w:rPr>
          <w:color w:val="0D0D0D" w:themeColor="text1" w:themeTint="F2"/>
          <w:sz w:val="22"/>
          <w:szCs w:val="22"/>
          <w:lang w:val="en-CA"/>
        </w:rPr>
      </w:pPr>
      <w:r w:rsidRPr="004E55B1">
        <w:rPr>
          <w:rFonts w:eastAsia="SimSun"/>
          <w:color w:val="0D0D0D" w:themeColor="text1" w:themeTint="F2"/>
          <w:sz w:val="22"/>
          <w:szCs w:val="22"/>
          <w:lang w:val="en-CA" w:eastAsia="zh-CN"/>
        </w:rPr>
        <w:t>Eight sets of servicing equipment (</w:t>
      </w:r>
      <w:r w:rsidR="006623CA" w:rsidRPr="004E55B1">
        <w:rPr>
          <w:rFonts w:eastAsia="SimSun"/>
          <w:color w:val="0D0D0D" w:themeColor="text1" w:themeTint="F2"/>
          <w:sz w:val="22"/>
          <w:szCs w:val="22"/>
          <w:lang w:val="en-CA" w:eastAsia="zh-CN"/>
        </w:rPr>
        <w:t xml:space="preserve">e.g., </w:t>
      </w:r>
      <w:r w:rsidRPr="004E55B1">
        <w:rPr>
          <w:rFonts w:eastAsia="SimSun"/>
          <w:color w:val="0D0D0D" w:themeColor="text1" w:themeTint="F2"/>
          <w:sz w:val="22"/>
          <w:szCs w:val="22"/>
          <w:lang w:val="en-CA" w:eastAsia="zh-CN"/>
        </w:rPr>
        <w:t xml:space="preserve">refrigerant recovery machines, refillable refrigerant cylinders, vacuum pumps, manifold gauges, portable leak detectors, and digital multimeters) were provided to certified RAC service technicians following a training session in November 2019; </w:t>
      </w:r>
      <w:r w:rsidR="006623CA" w:rsidRPr="004E55B1">
        <w:rPr>
          <w:rFonts w:eastAsia="SimSun"/>
          <w:color w:val="0D0D0D" w:themeColor="text1" w:themeTint="F2"/>
          <w:sz w:val="22"/>
          <w:szCs w:val="22"/>
          <w:lang w:val="en-CA" w:eastAsia="zh-CN"/>
        </w:rPr>
        <w:t xml:space="preserve">additional </w:t>
      </w:r>
      <w:r w:rsidRPr="004E55B1">
        <w:rPr>
          <w:rFonts w:eastAsia="SimSun"/>
          <w:color w:val="0D0D0D" w:themeColor="text1" w:themeTint="F2"/>
          <w:sz w:val="22"/>
          <w:szCs w:val="22"/>
          <w:lang w:val="en-CA" w:eastAsia="zh-CN"/>
        </w:rPr>
        <w:t xml:space="preserve">tools will be distributed later in 2020 </w:t>
      </w:r>
      <w:r w:rsidR="006623CA" w:rsidRPr="004E55B1">
        <w:rPr>
          <w:rFonts w:eastAsia="SimSun"/>
          <w:color w:val="0D0D0D" w:themeColor="text1" w:themeTint="F2"/>
          <w:sz w:val="22"/>
          <w:szCs w:val="22"/>
          <w:lang w:val="en-CA" w:eastAsia="zh-CN"/>
        </w:rPr>
        <w:t xml:space="preserve">once </w:t>
      </w:r>
      <w:r w:rsidR="00011BBA" w:rsidRPr="004E55B1">
        <w:rPr>
          <w:rFonts w:eastAsia="SimSun"/>
          <w:color w:val="0D0D0D" w:themeColor="text1" w:themeTint="F2"/>
          <w:sz w:val="22"/>
          <w:szCs w:val="22"/>
          <w:lang w:val="en-CA" w:eastAsia="zh-CN"/>
        </w:rPr>
        <w:t>COVID</w:t>
      </w:r>
      <w:r w:rsidR="00011BBA" w:rsidRPr="004E55B1">
        <w:rPr>
          <w:rFonts w:eastAsia="SimSun"/>
          <w:color w:val="0D0D0D" w:themeColor="text1" w:themeTint="F2"/>
          <w:sz w:val="22"/>
          <w:szCs w:val="22"/>
          <w:lang w:val="en-CA" w:eastAsia="zh-CN"/>
        </w:rPr>
        <w:noBreakHyphen/>
      </w:r>
      <w:r w:rsidRPr="004E55B1">
        <w:rPr>
          <w:rFonts w:eastAsia="SimSun"/>
          <w:color w:val="0D0D0D" w:themeColor="text1" w:themeTint="F2"/>
          <w:sz w:val="22"/>
          <w:szCs w:val="22"/>
          <w:lang w:val="en-CA" w:eastAsia="zh-CN"/>
        </w:rPr>
        <w:t>19 restrictions</w:t>
      </w:r>
      <w:r w:rsidR="006623CA" w:rsidRPr="004E55B1">
        <w:rPr>
          <w:rFonts w:eastAsia="SimSun"/>
          <w:color w:val="0D0D0D" w:themeColor="text1" w:themeTint="F2"/>
          <w:sz w:val="22"/>
          <w:szCs w:val="22"/>
          <w:lang w:val="en-CA" w:eastAsia="zh-CN"/>
        </w:rPr>
        <w:t xml:space="preserve"> are removed</w:t>
      </w:r>
      <w:r w:rsidRPr="004E55B1">
        <w:rPr>
          <w:rFonts w:eastAsia="SimSun"/>
          <w:color w:val="0D0D0D" w:themeColor="text1" w:themeTint="F2"/>
          <w:sz w:val="22"/>
          <w:szCs w:val="22"/>
          <w:lang w:val="en-CA" w:eastAsia="zh-CN"/>
        </w:rPr>
        <w:t>; and</w:t>
      </w:r>
    </w:p>
    <w:p w14:paraId="21C61360" w14:textId="2888FF79" w:rsidR="006C049B" w:rsidRPr="004E55B1" w:rsidRDefault="006C049B" w:rsidP="00E41C29">
      <w:pPr>
        <w:pStyle w:val="Heading2"/>
        <w:numPr>
          <w:ilvl w:val="1"/>
          <w:numId w:val="1"/>
        </w:numPr>
        <w:jc w:val="both"/>
        <w:rPr>
          <w:rFonts w:ascii="Sylfaen" w:eastAsia="Calibri" w:hAnsi="Sylfaen"/>
          <w:iCs/>
          <w:color w:val="0D0D0D" w:themeColor="text1" w:themeTint="F2"/>
          <w:sz w:val="22"/>
          <w:szCs w:val="22"/>
          <w:lang w:val="en-CA"/>
        </w:rPr>
      </w:pPr>
      <w:bookmarkStart w:id="1" w:name="_Hlk38287203"/>
      <w:r w:rsidRPr="004E55B1">
        <w:rPr>
          <w:color w:val="0D0D0D" w:themeColor="text1" w:themeTint="F2"/>
          <w:sz w:val="22"/>
          <w:szCs w:val="22"/>
          <w:lang w:val="en-CA"/>
        </w:rPr>
        <w:t xml:space="preserve">A </w:t>
      </w:r>
      <w:r w:rsidRPr="004E55B1">
        <w:rPr>
          <w:rFonts w:eastAsia="Calibri"/>
          <w:color w:val="0D0D0D" w:themeColor="text1" w:themeTint="F2"/>
          <w:sz w:val="22"/>
          <w:szCs w:val="22"/>
          <w:lang w:val="en-CA"/>
        </w:rPr>
        <w:t>market assessment/survey of HCFC-22 end</w:t>
      </w:r>
      <w:r w:rsidRPr="004E55B1">
        <w:rPr>
          <w:rFonts w:eastAsia="Calibri"/>
          <w:color w:val="0D0D0D" w:themeColor="text1" w:themeTint="F2"/>
          <w:sz w:val="22"/>
          <w:szCs w:val="22"/>
          <w:lang w:val="en-CA"/>
        </w:rPr>
        <w:noBreakHyphen/>
        <w:t>user applications in various economic sector</w:t>
      </w:r>
      <w:r w:rsidR="00BD1808" w:rsidRPr="004E55B1">
        <w:rPr>
          <w:rFonts w:eastAsia="Calibri"/>
          <w:color w:val="0D0D0D" w:themeColor="text1" w:themeTint="F2"/>
          <w:sz w:val="22"/>
          <w:szCs w:val="22"/>
          <w:lang w:val="en-CA"/>
        </w:rPr>
        <w:t>s</w:t>
      </w:r>
      <w:r w:rsidRPr="004E55B1">
        <w:rPr>
          <w:rFonts w:eastAsia="Calibri"/>
          <w:color w:val="0D0D0D" w:themeColor="text1" w:themeTint="F2"/>
          <w:sz w:val="22"/>
          <w:szCs w:val="22"/>
          <w:lang w:val="en-CA"/>
        </w:rPr>
        <w:t xml:space="preserve"> was carried out </w:t>
      </w:r>
      <w:r w:rsidR="00BD1808" w:rsidRPr="004E55B1">
        <w:rPr>
          <w:rFonts w:eastAsia="Calibri"/>
          <w:color w:val="0D0D0D" w:themeColor="text1" w:themeTint="F2"/>
          <w:sz w:val="22"/>
          <w:szCs w:val="22"/>
          <w:lang w:val="en-CA"/>
        </w:rPr>
        <w:t>to</w:t>
      </w:r>
      <w:r w:rsidR="006623CA" w:rsidRPr="004E55B1">
        <w:rPr>
          <w:rFonts w:eastAsia="Calibri"/>
          <w:color w:val="0D0D0D" w:themeColor="text1" w:themeTint="F2"/>
          <w:sz w:val="22"/>
          <w:szCs w:val="22"/>
          <w:lang w:val="en-CA"/>
        </w:rPr>
        <w:t xml:space="preserve"> select a suitable end-user to demonstrate </w:t>
      </w:r>
      <w:r w:rsidR="006623CA" w:rsidRPr="004E55B1">
        <w:rPr>
          <w:color w:val="0D0D0D" w:themeColor="text1" w:themeTint="F2"/>
          <w:sz w:val="22"/>
          <w:szCs w:val="22"/>
          <w:lang w:val="en-CA"/>
        </w:rPr>
        <w:t>the replacement of HCFC</w:t>
      </w:r>
      <w:r w:rsidR="006623CA" w:rsidRPr="004E55B1">
        <w:rPr>
          <w:color w:val="0D0D0D" w:themeColor="text1" w:themeTint="F2"/>
          <w:sz w:val="22"/>
          <w:szCs w:val="22"/>
          <w:lang w:val="en-CA"/>
        </w:rPr>
        <w:noBreakHyphen/>
        <w:t xml:space="preserve">22 </w:t>
      </w:r>
      <w:r w:rsidR="006430B8" w:rsidRPr="004E55B1">
        <w:rPr>
          <w:color w:val="0D0D0D" w:themeColor="text1" w:themeTint="F2"/>
          <w:sz w:val="22"/>
          <w:szCs w:val="22"/>
          <w:lang w:val="en-CA"/>
        </w:rPr>
        <w:t xml:space="preserve">in </w:t>
      </w:r>
      <w:r w:rsidR="006623CA" w:rsidRPr="004E55B1">
        <w:rPr>
          <w:color w:val="0D0D0D" w:themeColor="text1" w:themeTint="F2"/>
          <w:sz w:val="22"/>
          <w:szCs w:val="22"/>
          <w:lang w:val="en-CA"/>
        </w:rPr>
        <w:t>RAC equipment with natural refrigerants</w:t>
      </w:r>
      <w:r w:rsidRPr="004E55B1">
        <w:rPr>
          <w:rFonts w:eastAsia="Calibri"/>
          <w:color w:val="0D0D0D" w:themeColor="text1" w:themeTint="F2"/>
          <w:sz w:val="22"/>
          <w:szCs w:val="22"/>
          <w:lang w:val="en-CA"/>
        </w:rPr>
        <w:t>.</w:t>
      </w:r>
      <w:r w:rsidR="006623CA" w:rsidRPr="004E55B1">
        <w:rPr>
          <w:rFonts w:eastAsia="Calibri"/>
          <w:color w:val="0D0D0D" w:themeColor="text1" w:themeTint="F2"/>
          <w:sz w:val="22"/>
          <w:szCs w:val="22"/>
          <w:lang w:val="en-CA"/>
        </w:rPr>
        <w:t xml:space="preserve"> </w:t>
      </w:r>
    </w:p>
    <w:bookmarkEnd w:id="1"/>
    <w:p w14:paraId="46E216AD" w14:textId="29343F4A" w:rsidR="006C049B" w:rsidRPr="004E55B1" w:rsidRDefault="006C049B" w:rsidP="00EA5E03">
      <w:pPr>
        <w:pStyle w:val="Heading2"/>
        <w:keepNext/>
        <w:keepLines/>
        <w:numPr>
          <w:ilvl w:val="0"/>
          <w:numId w:val="0"/>
        </w:numPr>
        <w:jc w:val="both"/>
        <w:rPr>
          <w:i/>
          <w:color w:val="0D0D0D" w:themeColor="text1" w:themeTint="F2"/>
          <w:sz w:val="22"/>
          <w:szCs w:val="22"/>
          <w:lang w:val="en-CA"/>
        </w:rPr>
      </w:pPr>
      <w:r w:rsidRPr="004E55B1">
        <w:rPr>
          <w:i/>
          <w:color w:val="0D0D0D" w:themeColor="text1" w:themeTint="F2"/>
          <w:sz w:val="22"/>
          <w:szCs w:val="22"/>
          <w:lang w:val="en-CA"/>
        </w:rPr>
        <w:lastRenderedPageBreak/>
        <w:t>Project implementation and monitoring</w:t>
      </w:r>
      <w:r w:rsidR="008701B5" w:rsidRPr="004E55B1">
        <w:rPr>
          <w:i/>
          <w:color w:val="0D0D0D" w:themeColor="text1" w:themeTint="F2"/>
          <w:sz w:val="22"/>
          <w:szCs w:val="22"/>
          <w:lang w:val="en-CA"/>
        </w:rPr>
        <w:t xml:space="preserve"> unit</w:t>
      </w:r>
    </w:p>
    <w:p w14:paraId="6A8CCBA7" w14:textId="22A034F7" w:rsidR="006C049B" w:rsidRPr="004E55B1" w:rsidRDefault="006C049B" w:rsidP="00EA5E03">
      <w:pPr>
        <w:pStyle w:val="Heading1"/>
        <w:keepNext/>
        <w:keepLines/>
        <w:jc w:val="both"/>
        <w:rPr>
          <w:color w:val="0D0D0D" w:themeColor="text1" w:themeTint="F2"/>
          <w:sz w:val="22"/>
          <w:szCs w:val="22"/>
          <w:u w:val="single"/>
          <w:lang w:val="en-CA"/>
        </w:rPr>
      </w:pPr>
      <w:r w:rsidRPr="004E55B1">
        <w:rPr>
          <w:color w:val="0D0D0D" w:themeColor="text1" w:themeTint="F2"/>
          <w:sz w:val="22"/>
          <w:szCs w:val="22"/>
          <w:lang w:val="en-CA"/>
        </w:rPr>
        <w:t>Project implementation and monitoring are coordinated</w:t>
      </w:r>
      <w:r w:rsidRPr="004E55B1">
        <w:rPr>
          <w:iCs/>
          <w:color w:val="0D0D0D" w:themeColor="text1" w:themeTint="F2"/>
          <w:sz w:val="22"/>
          <w:szCs w:val="22"/>
          <w:lang w:val="en-CA"/>
        </w:rPr>
        <w:t xml:space="preserve"> </w:t>
      </w:r>
      <w:r w:rsidRPr="004E55B1">
        <w:rPr>
          <w:color w:val="0D0D0D" w:themeColor="text1" w:themeTint="F2"/>
          <w:sz w:val="22"/>
          <w:szCs w:val="22"/>
          <w:lang w:val="en-CA"/>
        </w:rPr>
        <w:t xml:space="preserve">through a project implementation team under the Montreal Protocol </w:t>
      </w:r>
      <w:r w:rsidR="008701B5" w:rsidRPr="004E55B1">
        <w:rPr>
          <w:color w:val="0D0D0D" w:themeColor="text1" w:themeTint="F2"/>
          <w:sz w:val="22"/>
          <w:szCs w:val="22"/>
          <w:lang w:val="en-CA"/>
        </w:rPr>
        <w:t>e</w:t>
      </w:r>
      <w:r w:rsidRPr="004E55B1">
        <w:rPr>
          <w:color w:val="0D0D0D" w:themeColor="text1" w:themeTint="F2"/>
          <w:sz w:val="22"/>
          <w:szCs w:val="22"/>
          <w:lang w:val="en-CA"/>
        </w:rPr>
        <w:t xml:space="preserve">nabling </w:t>
      </w:r>
      <w:r w:rsidR="008701B5" w:rsidRPr="004E55B1">
        <w:rPr>
          <w:color w:val="0D0D0D" w:themeColor="text1" w:themeTint="F2"/>
          <w:sz w:val="22"/>
          <w:szCs w:val="22"/>
          <w:lang w:val="en-CA"/>
        </w:rPr>
        <w:t>a</w:t>
      </w:r>
      <w:r w:rsidRPr="004E55B1">
        <w:rPr>
          <w:color w:val="0D0D0D" w:themeColor="text1" w:themeTint="F2"/>
          <w:sz w:val="22"/>
          <w:szCs w:val="22"/>
          <w:lang w:val="en-CA"/>
        </w:rPr>
        <w:t xml:space="preserve">ctivities </w:t>
      </w:r>
      <w:r w:rsidR="008701B5" w:rsidRPr="004E55B1">
        <w:rPr>
          <w:color w:val="0D0D0D" w:themeColor="text1" w:themeTint="F2"/>
          <w:sz w:val="22"/>
          <w:szCs w:val="22"/>
          <w:lang w:val="en-CA"/>
        </w:rPr>
        <w:t>p</w:t>
      </w:r>
      <w:r w:rsidRPr="004E55B1">
        <w:rPr>
          <w:color w:val="0D0D0D" w:themeColor="text1" w:themeTint="F2"/>
          <w:sz w:val="22"/>
          <w:szCs w:val="22"/>
          <w:lang w:val="en-CA"/>
        </w:rPr>
        <w:t xml:space="preserve">rogramme in the MEPA; the team is composed of individual service contractors, including a part-time manager, project assistant, and national consultants. The expenditures related to project monitoring and implementation for the first three tranches of the HPMP totalled </w:t>
      </w:r>
      <w:r w:rsidR="00744A16" w:rsidRPr="004E55B1">
        <w:rPr>
          <w:color w:val="0D0D0D" w:themeColor="text1" w:themeTint="F2"/>
          <w:sz w:val="22"/>
          <w:szCs w:val="22"/>
          <w:lang w:val="en-CA"/>
        </w:rPr>
        <w:t>US $</w:t>
      </w:r>
      <w:r w:rsidRPr="004E55B1">
        <w:rPr>
          <w:color w:val="0D0D0D" w:themeColor="text1" w:themeTint="F2"/>
          <w:sz w:val="22"/>
          <w:szCs w:val="22"/>
          <w:lang w:val="en-CA"/>
        </w:rPr>
        <w:t>73,767, including staff and consultants (</w:t>
      </w:r>
      <w:r w:rsidR="00744A16" w:rsidRPr="004E55B1">
        <w:rPr>
          <w:color w:val="0D0D0D" w:themeColor="text1" w:themeTint="F2"/>
          <w:sz w:val="22"/>
          <w:szCs w:val="22"/>
          <w:lang w:val="en-CA"/>
        </w:rPr>
        <w:t>US $</w:t>
      </w:r>
      <w:r w:rsidRPr="004E55B1">
        <w:rPr>
          <w:color w:val="0D0D0D" w:themeColor="text1" w:themeTint="F2"/>
          <w:sz w:val="22"/>
          <w:szCs w:val="22"/>
          <w:lang w:val="en-CA"/>
        </w:rPr>
        <w:t>5</w:t>
      </w:r>
      <w:r w:rsidR="00196A45" w:rsidRPr="004E55B1">
        <w:rPr>
          <w:color w:val="0D0D0D" w:themeColor="text1" w:themeTint="F2"/>
          <w:sz w:val="22"/>
          <w:szCs w:val="22"/>
          <w:lang w:val="en-CA"/>
        </w:rPr>
        <w:t>9</w:t>
      </w:r>
      <w:r w:rsidRPr="004E55B1">
        <w:rPr>
          <w:color w:val="0D0D0D" w:themeColor="text1" w:themeTint="F2"/>
          <w:sz w:val="22"/>
          <w:szCs w:val="22"/>
          <w:lang w:val="en-CA"/>
        </w:rPr>
        <w:t>,247), rent (</w:t>
      </w:r>
      <w:r w:rsidR="00744A16" w:rsidRPr="004E55B1">
        <w:rPr>
          <w:color w:val="0D0D0D" w:themeColor="text1" w:themeTint="F2"/>
          <w:sz w:val="22"/>
          <w:szCs w:val="22"/>
          <w:lang w:val="en-CA"/>
        </w:rPr>
        <w:t>US $</w:t>
      </w:r>
      <w:r w:rsidRPr="004E55B1">
        <w:rPr>
          <w:color w:val="0D0D0D" w:themeColor="text1" w:themeTint="F2"/>
          <w:sz w:val="22"/>
          <w:szCs w:val="22"/>
          <w:lang w:val="en-CA"/>
        </w:rPr>
        <w:t>2,500)</w:t>
      </w:r>
      <w:r w:rsidR="00196A45" w:rsidRPr="004E55B1">
        <w:rPr>
          <w:color w:val="0D0D0D" w:themeColor="text1" w:themeTint="F2"/>
          <w:sz w:val="22"/>
          <w:szCs w:val="22"/>
          <w:lang w:val="en-CA"/>
        </w:rPr>
        <w:t>, travel (US</w:t>
      </w:r>
      <w:r w:rsidR="00DD5630" w:rsidRPr="004E55B1">
        <w:rPr>
          <w:color w:val="0D0D0D" w:themeColor="text1" w:themeTint="F2"/>
          <w:sz w:val="22"/>
          <w:szCs w:val="22"/>
          <w:lang w:val="en-CA"/>
        </w:rPr>
        <w:t> </w:t>
      </w:r>
      <w:r w:rsidR="00196A45" w:rsidRPr="004E55B1">
        <w:rPr>
          <w:color w:val="0D0D0D" w:themeColor="text1" w:themeTint="F2"/>
          <w:sz w:val="22"/>
          <w:szCs w:val="22"/>
          <w:lang w:val="en-CA"/>
        </w:rPr>
        <w:t>$2,809)</w:t>
      </w:r>
      <w:r w:rsidRPr="004E55B1">
        <w:rPr>
          <w:color w:val="0D0D0D" w:themeColor="text1" w:themeTint="F2"/>
          <w:sz w:val="22"/>
          <w:szCs w:val="22"/>
          <w:lang w:val="en-CA"/>
        </w:rPr>
        <w:t xml:space="preserve"> and communications/publications (</w:t>
      </w:r>
      <w:r w:rsidR="00744A16" w:rsidRPr="004E55B1">
        <w:rPr>
          <w:color w:val="0D0D0D" w:themeColor="text1" w:themeTint="F2"/>
          <w:sz w:val="22"/>
          <w:szCs w:val="22"/>
          <w:lang w:val="en-CA"/>
        </w:rPr>
        <w:t>US $</w:t>
      </w:r>
      <w:r w:rsidRPr="004E55B1">
        <w:rPr>
          <w:color w:val="0D0D0D" w:themeColor="text1" w:themeTint="F2"/>
          <w:sz w:val="22"/>
          <w:szCs w:val="22"/>
          <w:lang w:val="en-CA"/>
        </w:rPr>
        <w:t xml:space="preserve">9,211). </w:t>
      </w:r>
    </w:p>
    <w:p w14:paraId="366DB995" w14:textId="77777777" w:rsidR="006C049B" w:rsidRPr="004E55B1" w:rsidRDefault="006C049B" w:rsidP="00E41C29">
      <w:pPr>
        <w:pStyle w:val="Heading1"/>
        <w:keepNext/>
        <w:numPr>
          <w:ilvl w:val="0"/>
          <w:numId w:val="0"/>
        </w:numPr>
        <w:jc w:val="both"/>
        <w:rPr>
          <w:color w:val="0D0D0D" w:themeColor="text1" w:themeTint="F2"/>
          <w:sz w:val="22"/>
          <w:szCs w:val="22"/>
          <w:u w:val="single"/>
          <w:lang w:val="en-CA"/>
        </w:rPr>
      </w:pPr>
      <w:r w:rsidRPr="004E55B1">
        <w:rPr>
          <w:color w:val="0D0D0D" w:themeColor="text1" w:themeTint="F2"/>
          <w:sz w:val="22"/>
          <w:szCs w:val="22"/>
          <w:u w:val="single"/>
          <w:lang w:val="en-CA"/>
        </w:rPr>
        <w:t>Level of fund disbursement</w:t>
      </w:r>
    </w:p>
    <w:p w14:paraId="2A7562E5" w14:textId="30452CD3" w:rsidR="006C049B" w:rsidRPr="004E55B1" w:rsidRDefault="006C049B" w:rsidP="00E41C29">
      <w:pPr>
        <w:pStyle w:val="Heading1"/>
        <w:keepNext/>
        <w:jc w:val="both"/>
        <w:rPr>
          <w:color w:val="0D0D0D" w:themeColor="text1" w:themeTint="F2"/>
          <w:sz w:val="22"/>
          <w:szCs w:val="22"/>
          <w:lang w:val="en-CA"/>
        </w:rPr>
      </w:pPr>
      <w:r w:rsidRPr="004E55B1">
        <w:rPr>
          <w:color w:val="0D0D0D" w:themeColor="text1" w:themeTint="F2"/>
          <w:sz w:val="22"/>
          <w:szCs w:val="22"/>
          <w:lang w:val="en-CA"/>
        </w:rPr>
        <w:t xml:space="preserve">As of March 2020, of the </w:t>
      </w:r>
      <w:r w:rsidR="00744A16" w:rsidRPr="004E55B1">
        <w:rPr>
          <w:color w:val="0D0D0D" w:themeColor="text1" w:themeTint="F2"/>
          <w:sz w:val="22"/>
          <w:szCs w:val="22"/>
          <w:lang w:val="en-CA"/>
        </w:rPr>
        <w:t>US $</w:t>
      </w:r>
      <w:r w:rsidRPr="004E55B1">
        <w:rPr>
          <w:color w:val="0D0D0D" w:themeColor="text1" w:themeTint="F2"/>
          <w:sz w:val="22"/>
          <w:szCs w:val="22"/>
          <w:lang w:val="en-CA"/>
        </w:rPr>
        <w:t xml:space="preserve">469,400 approved so far, </w:t>
      </w:r>
      <w:r w:rsidR="00744A16" w:rsidRPr="004E55B1">
        <w:rPr>
          <w:color w:val="0D0D0D" w:themeColor="text1" w:themeTint="F2"/>
          <w:sz w:val="22"/>
          <w:szCs w:val="22"/>
          <w:lang w:val="en-CA"/>
        </w:rPr>
        <w:t>US $</w:t>
      </w:r>
      <w:r w:rsidRPr="004E55B1">
        <w:rPr>
          <w:color w:val="0D0D0D" w:themeColor="text1" w:themeTint="F2"/>
          <w:sz w:val="22"/>
          <w:szCs w:val="22"/>
          <w:lang w:val="en-CA"/>
        </w:rPr>
        <w:t xml:space="preserve">361,501 had been disbursed as shown in Table 2. The balance of </w:t>
      </w:r>
      <w:r w:rsidR="00744A16" w:rsidRPr="004E55B1">
        <w:rPr>
          <w:color w:val="0D0D0D" w:themeColor="text1" w:themeTint="F2"/>
          <w:sz w:val="22"/>
          <w:szCs w:val="22"/>
          <w:lang w:val="en-CA"/>
        </w:rPr>
        <w:t>US $</w:t>
      </w:r>
      <w:r w:rsidRPr="004E55B1">
        <w:rPr>
          <w:color w:val="0D0D0D" w:themeColor="text1" w:themeTint="F2"/>
          <w:sz w:val="22"/>
          <w:szCs w:val="22"/>
          <w:lang w:val="en-CA"/>
        </w:rPr>
        <w:t>107,899 will be disbursed in 2020 and 2021.</w:t>
      </w:r>
    </w:p>
    <w:p w14:paraId="745FB5E4" w14:textId="65685FD4" w:rsidR="006C049B" w:rsidRPr="004E55B1" w:rsidRDefault="006C049B" w:rsidP="00E41C29">
      <w:pPr>
        <w:keepNext/>
        <w:jc w:val="both"/>
        <w:rPr>
          <w:b/>
          <w:color w:val="0D0D0D" w:themeColor="text1" w:themeTint="F2"/>
          <w:sz w:val="22"/>
          <w:szCs w:val="22"/>
          <w:lang w:val="en-CA"/>
        </w:rPr>
      </w:pPr>
      <w:r w:rsidRPr="004E55B1">
        <w:rPr>
          <w:b/>
          <w:color w:val="0D0D0D" w:themeColor="text1" w:themeTint="F2"/>
          <w:sz w:val="22"/>
          <w:szCs w:val="22"/>
          <w:lang w:val="en-CA"/>
        </w:rPr>
        <w:t>Table 2. Financial report of stage I of the HPMP for Georgia (</w:t>
      </w:r>
      <w:r w:rsidR="00744A16" w:rsidRPr="004E55B1">
        <w:rPr>
          <w:b/>
          <w:color w:val="0D0D0D" w:themeColor="text1" w:themeTint="F2"/>
          <w:sz w:val="22"/>
          <w:szCs w:val="22"/>
          <w:lang w:val="en-CA"/>
        </w:rPr>
        <w:t>US $</w:t>
      </w:r>
      <w:r w:rsidRPr="004E55B1">
        <w:rPr>
          <w:b/>
          <w:color w:val="0D0D0D" w:themeColor="text1" w:themeTint="F2"/>
          <w:sz w:val="22"/>
          <w:szCs w:val="22"/>
          <w:lang w:val="en-CA"/>
        </w:rPr>
        <w:t>)</w:t>
      </w:r>
    </w:p>
    <w:tbl>
      <w:tblPr>
        <w:tblStyle w:val="TableGrid"/>
        <w:tblW w:w="0" w:type="auto"/>
        <w:tblLook w:val="04A0" w:firstRow="1" w:lastRow="0" w:firstColumn="1" w:lastColumn="0" w:noHBand="0" w:noVBand="1"/>
      </w:tblPr>
      <w:tblGrid>
        <w:gridCol w:w="2337"/>
        <w:gridCol w:w="2337"/>
        <w:gridCol w:w="2338"/>
        <w:gridCol w:w="2338"/>
      </w:tblGrid>
      <w:tr w:rsidR="00FF7DB5" w:rsidRPr="004E55B1" w14:paraId="3737A9AF" w14:textId="77777777" w:rsidTr="00FF7DB5">
        <w:tc>
          <w:tcPr>
            <w:tcW w:w="2337" w:type="dxa"/>
          </w:tcPr>
          <w:p w14:paraId="40414689" w14:textId="27BCED12" w:rsidR="00FF7DB5" w:rsidRPr="004E55B1" w:rsidRDefault="00FF7DB5" w:rsidP="00FF7DB5">
            <w:pPr>
              <w:jc w:val="center"/>
              <w:rPr>
                <w:b/>
                <w:color w:val="0D0D0D" w:themeColor="text1" w:themeTint="F2"/>
                <w:sz w:val="20"/>
                <w:szCs w:val="20"/>
                <w:lang w:val="en-CA"/>
              </w:rPr>
            </w:pPr>
            <w:r w:rsidRPr="004E55B1">
              <w:rPr>
                <w:b/>
                <w:color w:val="0D0D0D" w:themeColor="text1" w:themeTint="F2"/>
                <w:sz w:val="20"/>
                <w:szCs w:val="20"/>
                <w:lang w:val="en-CA"/>
              </w:rPr>
              <w:t>Tranche</w:t>
            </w:r>
          </w:p>
        </w:tc>
        <w:tc>
          <w:tcPr>
            <w:tcW w:w="2337" w:type="dxa"/>
          </w:tcPr>
          <w:p w14:paraId="233BDB73" w14:textId="071D70C5" w:rsidR="00FF7DB5" w:rsidRPr="004E55B1" w:rsidRDefault="00FF7DB5" w:rsidP="00FF7DB5">
            <w:pPr>
              <w:jc w:val="center"/>
              <w:rPr>
                <w:b/>
                <w:color w:val="0D0D0D" w:themeColor="text1" w:themeTint="F2"/>
                <w:sz w:val="20"/>
                <w:szCs w:val="20"/>
                <w:lang w:val="en-CA"/>
              </w:rPr>
            </w:pPr>
            <w:r w:rsidRPr="004E55B1">
              <w:rPr>
                <w:b/>
                <w:color w:val="0D0D0D" w:themeColor="text1" w:themeTint="F2"/>
                <w:sz w:val="20"/>
                <w:szCs w:val="20"/>
                <w:lang w:val="en-CA"/>
              </w:rPr>
              <w:t>Approved</w:t>
            </w:r>
          </w:p>
        </w:tc>
        <w:tc>
          <w:tcPr>
            <w:tcW w:w="2338" w:type="dxa"/>
          </w:tcPr>
          <w:p w14:paraId="4A5E90E9" w14:textId="29ED2BD5" w:rsidR="00FF7DB5" w:rsidRPr="004E55B1" w:rsidRDefault="00FF7DB5" w:rsidP="00FF7DB5">
            <w:pPr>
              <w:jc w:val="center"/>
              <w:rPr>
                <w:b/>
                <w:color w:val="0D0D0D" w:themeColor="text1" w:themeTint="F2"/>
                <w:sz w:val="20"/>
                <w:szCs w:val="20"/>
                <w:lang w:val="en-CA"/>
              </w:rPr>
            </w:pPr>
            <w:r w:rsidRPr="004E55B1">
              <w:rPr>
                <w:b/>
                <w:color w:val="0D0D0D" w:themeColor="text1" w:themeTint="F2"/>
                <w:sz w:val="20"/>
                <w:szCs w:val="20"/>
                <w:lang w:val="en-CA"/>
              </w:rPr>
              <w:t>Disbursed</w:t>
            </w:r>
          </w:p>
        </w:tc>
        <w:tc>
          <w:tcPr>
            <w:tcW w:w="2338" w:type="dxa"/>
          </w:tcPr>
          <w:p w14:paraId="28EA1516" w14:textId="4105D2FA" w:rsidR="00FF7DB5" w:rsidRPr="004E55B1" w:rsidRDefault="00FF7DB5" w:rsidP="00FF7DB5">
            <w:pPr>
              <w:jc w:val="center"/>
              <w:rPr>
                <w:b/>
                <w:color w:val="0D0D0D" w:themeColor="text1" w:themeTint="F2"/>
                <w:sz w:val="20"/>
                <w:szCs w:val="20"/>
                <w:lang w:val="en-CA"/>
              </w:rPr>
            </w:pPr>
            <w:r w:rsidRPr="004E55B1">
              <w:rPr>
                <w:b/>
                <w:color w:val="0D0D0D" w:themeColor="text1" w:themeTint="F2"/>
                <w:sz w:val="20"/>
                <w:szCs w:val="20"/>
                <w:lang w:val="en-CA"/>
              </w:rPr>
              <w:t>Disbursement rate (%)</w:t>
            </w:r>
          </w:p>
        </w:tc>
      </w:tr>
      <w:tr w:rsidR="00FF7DB5" w:rsidRPr="004E55B1" w14:paraId="2865C998" w14:textId="77777777" w:rsidTr="00FF7DB5">
        <w:tc>
          <w:tcPr>
            <w:tcW w:w="2337" w:type="dxa"/>
          </w:tcPr>
          <w:p w14:paraId="6D757D5B" w14:textId="35AE8409" w:rsidR="00FF7DB5" w:rsidRPr="004E55B1" w:rsidRDefault="00FF7DB5" w:rsidP="00FF7DB5">
            <w:pPr>
              <w:rPr>
                <w:color w:val="0D0D0D" w:themeColor="text1" w:themeTint="F2"/>
                <w:sz w:val="20"/>
                <w:szCs w:val="20"/>
                <w:lang w:val="en-CA"/>
              </w:rPr>
            </w:pPr>
            <w:r w:rsidRPr="004E55B1">
              <w:rPr>
                <w:color w:val="0D0D0D" w:themeColor="text1" w:themeTint="F2"/>
                <w:sz w:val="20"/>
                <w:szCs w:val="20"/>
                <w:lang w:val="en-CA"/>
              </w:rPr>
              <w:t>First</w:t>
            </w:r>
          </w:p>
        </w:tc>
        <w:tc>
          <w:tcPr>
            <w:tcW w:w="2337" w:type="dxa"/>
          </w:tcPr>
          <w:p w14:paraId="4F5703A5" w14:textId="5DEA4D41" w:rsidR="00FF7DB5" w:rsidRPr="004E55B1" w:rsidRDefault="00FF7DB5" w:rsidP="00FF7DB5">
            <w:pPr>
              <w:jc w:val="right"/>
              <w:rPr>
                <w:color w:val="0D0D0D" w:themeColor="text1" w:themeTint="F2"/>
                <w:sz w:val="20"/>
                <w:szCs w:val="20"/>
                <w:lang w:val="en-CA"/>
              </w:rPr>
            </w:pPr>
            <w:r w:rsidRPr="004E55B1">
              <w:rPr>
                <w:sz w:val="20"/>
                <w:szCs w:val="20"/>
                <w:lang w:val="en-CA"/>
              </w:rPr>
              <w:t>200,000</w:t>
            </w:r>
          </w:p>
        </w:tc>
        <w:tc>
          <w:tcPr>
            <w:tcW w:w="2338" w:type="dxa"/>
          </w:tcPr>
          <w:p w14:paraId="5833A6E2" w14:textId="00A2A6B6" w:rsidR="00FF7DB5" w:rsidRPr="004E55B1" w:rsidRDefault="00FF7DB5" w:rsidP="00FF7DB5">
            <w:pPr>
              <w:jc w:val="right"/>
              <w:rPr>
                <w:color w:val="0D0D0D" w:themeColor="text1" w:themeTint="F2"/>
                <w:sz w:val="20"/>
                <w:szCs w:val="20"/>
                <w:lang w:val="en-CA"/>
              </w:rPr>
            </w:pPr>
            <w:r w:rsidRPr="004E55B1">
              <w:rPr>
                <w:sz w:val="20"/>
                <w:szCs w:val="20"/>
                <w:lang w:val="en-CA"/>
              </w:rPr>
              <w:t>200,000</w:t>
            </w:r>
          </w:p>
        </w:tc>
        <w:tc>
          <w:tcPr>
            <w:tcW w:w="2338" w:type="dxa"/>
          </w:tcPr>
          <w:p w14:paraId="5096130D" w14:textId="7AE23D66" w:rsidR="00FF7DB5" w:rsidRPr="004E55B1" w:rsidRDefault="00FF7DB5" w:rsidP="00FF7DB5">
            <w:pPr>
              <w:jc w:val="right"/>
              <w:rPr>
                <w:color w:val="0D0D0D" w:themeColor="text1" w:themeTint="F2"/>
                <w:sz w:val="20"/>
                <w:szCs w:val="20"/>
                <w:lang w:val="en-CA"/>
              </w:rPr>
            </w:pPr>
            <w:r w:rsidRPr="004E55B1">
              <w:rPr>
                <w:sz w:val="20"/>
                <w:szCs w:val="20"/>
                <w:lang w:val="en-CA"/>
              </w:rPr>
              <w:t>100</w:t>
            </w:r>
          </w:p>
        </w:tc>
      </w:tr>
      <w:tr w:rsidR="00FF7DB5" w:rsidRPr="004E55B1" w14:paraId="34B1C7D0" w14:textId="77777777" w:rsidTr="00FF7DB5">
        <w:tc>
          <w:tcPr>
            <w:tcW w:w="2337" w:type="dxa"/>
          </w:tcPr>
          <w:p w14:paraId="63F386F6" w14:textId="253424CD" w:rsidR="00FF7DB5" w:rsidRPr="004E55B1" w:rsidRDefault="00FF7DB5" w:rsidP="00FF7DB5">
            <w:pPr>
              <w:rPr>
                <w:color w:val="0D0D0D" w:themeColor="text1" w:themeTint="F2"/>
                <w:sz w:val="20"/>
                <w:szCs w:val="20"/>
                <w:lang w:val="en-CA"/>
              </w:rPr>
            </w:pPr>
            <w:r w:rsidRPr="004E55B1">
              <w:rPr>
                <w:color w:val="0D0D0D" w:themeColor="text1" w:themeTint="F2"/>
                <w:sz w:val="20"/>
                <w:szCs w:val="20"/>
                <w:lang w:val="en-CA"/>
              </w:rPr>
              <w:t>Second</w:t>
            </w:r>
          </w:p>
        </w:tc>
        <w:tc>
          <w:tcPr>
            <w:tcW w:w="2337" w:type="dxa"/>
          </w:tcPr>
          <w:p w14:paraId="108D74CB" w14:textId="545A757B" w:rsidR="00FF7DB5" w:rsidRPr="004E55B1" w:rsidRDefault="00FF7DB5" w:rsidP="00FF7DB5">
            <w:pPr>
              <w:jc w:val="right"/>
              <w:rPr>
                <w:color w:val="0D0D0D" w:themeColor="text1" w:themeTint="F2"/>
                <w:sz w:val="20"/>
                <w:szCs w:val="20"/>
                <w:lang w:val="en-CA"/>
              </w:rPr>
            </w:pPr>
            <w:r w:rsidRPr="004E55B1">
              <w:rPr>
                <w:sz w:val="20"/>
                <w:szCs w:val="20"/>
                <w:lang w:val="en-CA"/>
              </w:rPr>
              <w:t>150,000</w:t>
            </w:r>
          </w:p>
        </w:tc>
        <w:tc>
          <w:tcPr>
            <w:tcW w:w="2338" w:type="dxa"/>
          </w:tcPr>
          <w:p w14:paraId="1DC65907" w14:textId="2D59C5A1" w:rsidR="00FF7DB5" w:rsidRPr="004E55B1" w:rsidRDefault="00FF7DB5" w:rsidP="00FF7DB5">
            <w:pPr>
              <w:jc w:val="right"/>
              <w:rPr>
                <w:color w:val="0D0D0D" w:themeColor="text1" w:themeTint="F2"/>
                <w:sz w:val="20"/>
                <w:szCs w:val="20"/>
                <w:lang w:val="en-CA"/>
              </w:rPr>
            </w:pPr>
            <w:r w:rsidRPr="004E55B1">
              <w:rPr>
                <w:sz w:val="20"/>
                <w:szCs w:val="20"/>
                <w:lang w:val="en-CA"/>
              </w:rPr>
              <w:t>108,247</w:t>
            </w:r>
          </w:p>
        </w:tc>
        <w:tc>
          <w:tcPr>
            <w:tcW w:w="2338" w:type="dxa"/>
          </w:tcPr>
          <w:p w14:paraId="5D522DBE" w14:textId="67FF7213" w:rsidR="00FF7DB5" w:rsidRPr="004E55B1" w:rsidRDefault="00FF7DB5" w:rsidP="00FF7DB5">
            <w:pPr>
              <w:jc w:val="right"/>
              <w:rPr>
                <w:color w:val="0D0D0D" w:themeColor="text1" w:themeTint="F2"/>
                <w:sz w:val="20"/>
                <w:szCs w:val="20"/>
                <w:lang w:val="en-CA"/>
              </w:rPr>
            </w:pPr>
            <w:r w:rsidRPr="004E55B1">
              <w:rPr>
                <w:sz w:val="20"/>
                <w:szCs w:val="20"/>
                <w:lang w:val="en-CA"/>
              </w:rPr>
              <w:t>72</w:t>
            </w:r>
          </w:p>
        </w:tc>
      </w:tr>
      <w:tr w:rsidR="00FF7DB5" w:rsidRPr="004E55B1" w14:paraId="0A43D8B5" w14:textId="77777777" w:rsidTr="00FF7DB5">
        <w:tc>
          <w:tcPr>
            <w:tcW w:w="2337" w:type="dxa"/>
          </w:tcPr>
          <w:p w14:paraId="234B3EB8" w14:textId="7FB94E5A" w:rsidR="00FF7DB5" w:rsidRPr="004E55B1" w:rsidRDefault="00FF7DB5" w:rsidP="00FF7DB5">
            <w:pPr>
              <w:rPr>
                <w:color w:val="0D0D0D" w:themeColor="text1" w:themeTint="F2"/>
                <w:sz w:val="20"/>
                <w:szCs w:val="20"/>
                <w:lang w:val="en-CA"/>
              </w:rPr>
            </w:pPr>
            <w:r w:rsidRPr="004E55B1">
              <w:rPr>
                <w:color w:val="0D0D0D" w:themeColor="text1" w:themeTint="F2"/>
                <w:sz w:val="20"/>
                <w:szCs w:val="20"/>
                <w:lang w:val="en-CA"/>
              </w:rPr>
              <w:t>Third</w:t>
            </w:r>
          </w:p>
        </w:tc>
        <w:tc>
          <w:tcPr>
            <w:tcW w:w="2337" w:type="dxa"/>
          </w:tcPr>
          <w:p w14:paraId="18B1EF9D" w14:textId="4DC832C5" w:rsidR="00FF7DB5" w:rsidRPr="004E55B1" w:rsidRDefault="00FF7DB5" w:rsidP="00FF7DB5">
            <w:pPr>
              <w:jc w:val="right"/>
              <w:rPr>
                <w:color w:val="0D0D0D" w:themeColor="text1" w:themeTint="F2"/>
                <w:sz w:val="20"/>
                <w:szCs w:val="20"/>
                <w:lang w:val="en-CA"/>
              </w:rPr>
            </w:pPr>
            <w:r w:rsidRPr="004E55B1">
              <w:rPr>
                <w:sz w:val="20"/>
                <w:szCs w:val="20"/>
                <w:lang w:val="en-CA"/>
              </w:rPr>
              <w:t>119,400</w:t>
            </w:r>
          </w:p>
        </w:tc>
        <w:tc>
          <w:tcPr>
            <w:tcW w:w="2338" w:type="dxa"/>
          </w:tcPr>
          <w:p w14:paraId="7D421A8C" w14:textId="145090AD" w:rsidR="00FF7DB5" w:rsidRPr="004E55B1" w:rsidRDefault="00FF7DB5" w:rsidP="00FF7DB5">
            <w:pPr>
              <w:jc w:val="right"/>
              <w:rPr>
                <w:color w:val="0D0D0D" w:themeColor="text1" w:themeTint="F2"/>
                <w:sz w:val="20"/>
                <w:szCs w:val="20"/>
                <w:lang w:val="en-CA"/>
              </w:rPr>
            </w:pPr>
            <w:r w:rsidRPr="004E55B1">
              <w:rPr>
                <w:sz w:val="20"/>
                <w:szCs w:val="20"/>
                <w:lang w:val="en-CA"/>
              </w:rPr>
              <w:t>53,256</w:t>
            </w:r>
          </w:p>
        </w:tc>
        <w:tc>
          <w:tcPr>
            <w:tcW w:w="2338" w:type="dxa"/>
          </w:tcPr>
          <w:p w14:paraId="6C0155C2" w14:textId="71CAFFE8" w:rsidR="00FF7DB5" w:rsidRPr="004E55B1" w:rsidRDefault="00FF7DB5" w:rsidP="00FF7DB5">
            <w:pPr>
              <w:jc w:val="right"/>
              <w:rPr>
                <w:color w:val="0D0D0D" w:themeColor="text1" w:themeTint="F2"/>
                <w:sz w:val="20"/>
                <w:szCs w:val="20"/>
                <w:lang w:val="en-CA"/>
              </w:rPr>
            </w:pPr>
            <w:r w:rsidRPr="004E55B1">
              <w:rPr>
                <w:sz w:val="20"/>
                <w:szCs w:val="20"/>
                <w:lang w:val="en-CA"/>
              </w:rPr>
              <w:t>45</w:t>
            </w:r>
          </w:p>
        </w:tc>
      </w:tr>
      <w:tr w:rsidR="00FF7DB5" w:rsidRPr="004E55B1" w14:paraId="4A4F1624" w14:textId="77777777" w:rsidTr="00FF7DB5">
        <w:tc>
          <w:tcPr>
            <w:tcW w:w="2337" w:type="dxa"/>
          </w:tcPr>
          <w:p w14:paraId="67DD5A83" w14:textId="03156E94" w:rsidR="00FF7DB5" w:rsidRPr="004E55B1" w:rsidRDefault="00FF7DB5" w:rsidP="00FF7DB5">
            <w:pPr>
              <w:rPr>
                <w:color w:val="0D0D0D" w:themeColor="text1" w:themeTint="F2"/>
                <w:sz w:val="20"/>
                <w:szCs w:val="20"/>
                <w:lang w:val="en-CA"/>
              </w:rPr>
            </w:pPr>
            <w:r w:rsidRPr="004E55B1">
              <w:rPr>
                <w:color w:val="0D0D0D" w:themeColor="text1" w:themeTint="F2"/>
                <w:sz w:val="20"/>
                <w:szCs w:val="20"/>
                <w:lang w:val="en-CA"/>
              </w:rPr>
              <w:t>Total</w:t>
            </w:r>
          </w:p>
        </w:tc>
        <w:tc>
          <w:tcPr>
            <w:tcW w:w="2337" w:type="dxa"/>
          </w:tcPr>
          <w:p w14:paraId="31E64DB9" w14:textId="13C856ED" w:rsidR="00FF7DB5" w:rsidRPr="004E55B1" w:rsidRDefault="00FF7DB5" w:rsidP="00FF7DB5">
            <w:pPr>
              <w:jc w:val="right"/>
              <w:rPr>
                <w:color w:val="0D0D0D" w:themeColor="text1" w:themeTint="F2"/>
                <w:sz w:val="20"/>
                <w:szCs w:val="20"/>
                <w:lang w:val="en-CA"/>
              </w:rPr>
            </w:pPr>
            <w:r w:rsidRPr="004E55B1">
              <w:rPr>
                <w:sz w:val="20"/>
                <w:szCs w:val="20"/>
                <w:lang w:val="en-CA"/>
              </w:rPr>
              <w:t>469,400</w:t>
            </w:r>
          </w:p>
        </w:tc>
        <w:tc>
          <w:tcPr>
            <w:tcW w:w="2338" w:type="dxa"/>
          </w:tcPr>
          <w:p w14:paraId="6B408EE4" w14:textId="07BB8E74" w:rsidR="00FF7DB5" w:rsidRPr="004E55B1" w:rsidRDefault="00FF7DB5" w:rsidP="00FF7DB5">
            <w:pPr>
              <w:jc w:val="right"/>
              <w:rPr>
                <w:color w:val="0D0D0D" w:themeColor="text1" w:themeTint="F2"/>
                <w:sz w:val="20"/>
                <w:szCs w:val="20"/>
                <w:lang w:val="en-CA"/>
              </w:rPr>
            </w:pPr>
            <w:r w:rsidRPr="004E55B1">
              <w:rPr>
                <w:sz w:val="20"/>
                <w:szCs w:val="20"/>
                <w:lang w:val="en-CA"/>
              </w:rPr>
              <w:t>361,501</w:t>
            </w:r>
          </w:p>
        </w:tc>
        <w:tc>
          <w:tcPr>
            <w:tcW w:w="2338" w:type="dxa"/>
          </w:tcPr>
          <w:p w14:paraId="26B6B51E" w14:textId="4154AF23" w:rsidR="00FF7DB5" w:rsidRPr="004E55B1" w:rsidRDefault="00FF7DB5" w:rsidP="00FF7DB5">
            <w:pPr>
              <w:jc w:val="right"/>
              <w:rPr>
                <w:color w:val="0D0D0D" w:themeColor="text1" w:themeTint="F2"/>
                <w:sz w:val="20"/>
                <w:szCs w:val="20"/>
                <w:lang w:val="en-CA"/>
              </w:rPr>
            </w:pPr>
            <w:r w:rsidRPr="004E55B1">
              <w:rPr>
                <w:sz w:val="20"/>
                <w:szCs w:val="20"/>
                <w:lang w:val="en-CA"/>
              </w:rPr>
              <w:t>77</w:t>
            </w:r>
          </w:p>
        </w:tc>
      </w:tr>
    </w:tbl>
    <w:p w14:paraId="71211EEB" w14:textId="0F497C3E" w:rsidR="00FF7DB5" w:rsidRPr="004E55B1" w:rsidRDefault="00FF7DB5" w:rsidP="00E41C29">
      <w:pPr>
        <w:jc w:val="both"/>
        <w:rPr>
          <w:color w:val="0D0D0D" w:themeColor="text1" w:themeTint="F2"/>
          <w:lang w:val="en-CA"/>
        </w:rPr>
      </w:pPr>
    </w:p>
    <w:p w14:paraId="36211597" w14:textId="77777777" w:rsidR="006C049B" w:rsidRPr="004E55B1" w:rsidRDefault="006C049B" w:rsidP="00E41C29">
      <w:pPr>
        <w:jc w:val="both"/>
        <w:rPr>
          <w:color w:val="0D0D0D" w:themeColor="text1" w:themeTint="F2"/>
          <w:sz w:val="22"/>
          <w:szCs w:val="22"/>
          <w:u w:val="single"/>
          <w:lang w:val="en-CA"/>
        </w:rPr>
      </w:pPr>
      <w:bookmarkStart w:id="2" w:name="_Hlk38230781"/>
      <w:r w:rsidRPr="004E55B1">
        <w:rPr>
          <w:color w:val="0D0D0D" w:themeColor="text1" w:themeTint="F2"/>
          <w:sz w:val="22"/>
          <w:szCs w:val="22"/>
          <w:u w:val="single"/>
          <w:lang w:val="en-CA"/>
        </w:rPr>
        <w:t>Implementation plan for the fourth and final tranche of the HPMP</w:t>
      </w:r>
    </w:p>
    <w:p w14:paraId="2E4614E1" w14:textId="77777777" w:rsidR="006C049B" w:rsidRPr="004E55B1" w:rsidRDefault="006C049B" w:rsidP="00E41C29">
      <w:pPr>
        <w:jc w:val="both"/>
        <w:rPr>
          <w:color w:val="0D0D0D" w:themeColor="text1" w:themeTint="F2"/>
          <w:sz w:val="22"/>
          <w:szCs w:val="22"/>
          <w:lang w:val="en-CA"/>
        </w:rPr>
      </w:pPr>
    </w:p>
    <w:p w14:paraId="519BB91B" w14:textId="77777777" w:rsidR="006C049B" w:rsidRPr="004E55B1" w:rsidRDefault="006C049B" w:rsidP="00E41C29">
      <w:pPr>
        <w:pStyle w:val="Heading1"/>
        <w:jc w:val="both"/>
        <w:rPr>
          <w:color w:val="0D0D0D" w:themeColor="text1" w:themeTint="F2"/>
          <w:sz w:val="22"/>
          <w:szCs w:val="22"/>
          <w:lang w:val="en-CA"/>
        </w:rPr>
      </w:pPr>
      <w:r w:rsidRPr="004E55B1">
        <w:rPr>
          <w:color w:val="0D0D0D" w:themeColor="text1" w:themeTint="F2"/>
          <w:sz w:val="22"/>
          <w:szCs w:val="22"/>
          <w:lang w:val="en-CA"/>
        </w:rPr>
        <w:t>The following activities will be implemented until December 2021:</w:t>
      </w:r>
    </w:p>
    <w:p w14:paraId="08EC5BAE" w14:textId="7913E1BD" w:rsidR="009236C2" w:rsidRPr="004E55B1" w:rsidRDefault="00364091" w:rsidP="00E41C29">
      <w:pPr>
        <w:pStyle w:val="Heading2"/>
        <w:numPr>
          <w:ilvl w:val="1"/>
          <w:numId w:val="1"/>
        </w:numPr>
        <w:jc w:val="both"/>
        <w:rPr>
          <w:color w:val="000000" w:themeColor="text1"/>
          <w:sz w:val="22"/>
          <w:szCs w:val="22"/>
          <w:lang w:val="en-CA"/>
        </w:rPr>
      </w:pPr>
      <w:r w:rsidRPr="004E55B1">
        <w:rPr>
          <w:color w:val="000000" w:themeColor="text1"/>
          <w:sz w:val="22"/>
          <w:szCs w:val="22"/>
          <w:lang w:val="en-CA"/>
        </w:rPr>
        <w:t>R</w:t>
      </w:r>
      <w:r w:rsidR="006C049B" w:rsidRPr="004E55B1">
        <w:rPr>
          <w:color w:val="000000" w:themeColor="text1"/>
          <w:sz w:val="22"/>
          <w:szCs w:val="22"/>
          <w:lang w:val="en-CA"/>
        </w:rPr>
        <w:t xml:space="preserve">efresher training </w:t>
      </w:r>
      <w:r w:rsidR="00AF78D0" w:rsidRPr="004E55B1">
        <w:rPr>
          <w:color w:val="000000" w:themeColor="text1"/>
          <w:sz w:val="22"/>
          <w:szCs w:val="22"/>
          <w:lang w:val="en-CA"/>
        </w:rPr>
        <w:t>for</w:t>
      </w:r>
      <w:r w:rsidR="006C049B" w:rsidRPr="004E55B1">
        <w:rPr>
          <w:color w:val="000000" w:themeColor="text1"/>
          <w:sz w:val="22"/>
          <w:szCs w:val="22"/>
          <w:lang w:val="en-CA"/>
        </w:rPr>
        <w:t xml:space="preserve"> 20 customs </w:t>
      </w:r>
      <w:r w:rsidR="001308F4" w:rsidRPr="004E55B1">
        <w:rPr>
          <w:color w:val="000000" w:themeColor="text1"/>
          <w:sz w:val="22"/>
          <w:szCs w:val="22"/>
          <w:lang w:val="en-CA"/>
        </w:rPr>
        <w:t xml:space="preserve">and environmental inspectors (one </w:t>
      </w:r>
      <w:r w:rsidR="006C049B" w:rsidRPr="004E55B1">
        <w:rPr>
          <w:color w:val="000000" w:themeColor="text1"/>
          <w:sz w:val="22"/>
          <w:szCs w:val="22"/>
          <w:lang w:val="en-CA"/>
        </w:rPr>
        <w:t>session)</w:t>
      </w:r>
      <w:r w:rsidRPr="004E55B1">
        <w:rPr>
          <w:color w:val="000000" w:themeColor="text1"/>
          <w:sz w:val="22"/>
          <w:szCs w:val="22"/>
          <w:lang w:val="en-CA"/>
        </w:rPr>
        <w:t xml:space="preserve"> on</w:t>
      </w:r>
      <w:r w:rsidR="00BA6AEC" w:rsidRPr="004E55B1">
        <w:rPr>
          <w:color w:val="000000" w:themeColor="text1"/>
          <w:sz w:val="22"/>
          <w:szCs w:val="22"/>
          <w:lang w:val="en-CA"/>
        </w:rPr>
        <w:t xml:space="preserve"> </w:t>
      </w:r>
      <w:r w:rsidR="00BA6AEC" w:rsidRPr="004E55B1">
        <w:rPr>
          <w:rFonts w:eastAsia="Calibri"/>
          <w:iCs/>
          <w:color w:val="000000" w:themeColor="text1"/>
          <w:sz w:val="22"/>
          <w:szCs w:val="22"/>
          <w:lang w:val="en-CA"/>
        </w:rPr>
        <w:t>national regulations and international obligations related to ODS, illegal ODS imports and use of refrigerant identifiers</w:t>
      </w:r>
      <w:r w:rsidR="00CC78EE">
        <w:rPr>
          <w:rFonts w:eastAsia="Calibri"/>
          <w:iCs/>
          <w:color w:val="000000" w:themeColor="text1"/>
          <w:sz w:val="22"/>
          <w:szCs w:val="22"/>
          <w:lang w:val="en-CA"/>
        </w:rPr>
        <w:t xml:space="preserve">; </w:t>
      </w:r>
      <w:r w:rsidR="00610464">
        <w:rPr>
          <w:rFonts w:eastAsia="Calibri"/>
          <w:iCs/>
          <w:color w:val="000000" w:themeColor="text1"/>
          <w:sz w:val="22"/>
          <w:szCs w:val="22"/>
          <w:lang w:val="en-CA"/>
        </w:rPr>
        <w:t xml:space="preserve">analytic study on </w:t>
      </w:r>
      <w:r w:rsidR="00CC78EE" w:rsidRPr="004E55B1">
        <w:rPr>
          <w:color w:val="0D0D0D" w:themeColor="text1" w:themeTint="F2"/>
          <w:sz w:val="22"/>
          <w:szCs w:val="22"/>
          <w:lang w:val="en-CA"/>
        </w:rPr>
        <w:t xml:space="preserve">gender </w:t>
      </w:r>
      <w:r w:rsidR="00610464">
        <w:rPr>
          <w:color w:val="0D0D0D" w:themeColor="text1" w:themeTint="F2"/>
          <w:sz w:val="22"/>
          <w:szCs w:val="22"/>
          <w:lang w:val="en-CA"/>
        </w:rPr>
        <w:t>i</w:t>
      </w:r>
      <w:r w:rsidR="00CC78EE" w:rsidRPr="004E55B1">
        <w:rPr>
          <w:color w:val="0D0D0D" w:themeColor="text1" w:themeTint="F2"/>
          <w:sz w:val="22"/>
          <w:szCs w:val="22"/>
          <w:lang w:val="en-CA"/>
        </w:rPr>
        <w:t>n the RAC and solvent sectors</w:t>
      </w:r>
      <w:r w:rsidR="009236C2" w:rsidRPr="004E55B1">
        <w:rPr>
          <w:color w:val="000000" w:themeColor="text1"/>
          <w:sz w:val="22"/>
          <w:szCs w:val="22"/>
          <w:lang w:val="en-CA"/>
        </w:rPr>
        <w:t xml:space="preserve"> (US</w:t>
      </w:r>
      <w:r w:rsidR="00EA5E03">
        <w:rPr>
          <w:color w:val="000000" w:themeColor="text1"/>
          <w:sz w:val="22"/>
          <w:szCs w:val="22"/>
          <w:lang w:val="en-CA"/>
        </w:rPr>
        <w:t> </w:t>
      </w:r>
      <w:bookmarkStart w:id="3" w:name="_GoBack"/>
      <w:bookmarkEnd w:id="3"/>
      <w:r w:rsidR="009236C2" w:rsidRPr="004E55B1">
        <w:rPr>
          <w:color w:val="000000" w:themeColor="text1"/>
          <w:sz w:val="22"/>
          <w:szCs w:val="22"/>
          <w:lang w:val="en-CA"/>
        </w:rPr>
        <w:t>$</w:t>
      </w:r>
      <w:r w:rsidR="00CC78EE">
        <w:rPr>
          <w:color w:val="000000" w:themeColor="text1"/>
          <w:sz w:val="22"/>
          <w:szCs w:val="22"/>
          <w:lang w:val="en-CA"/>
        </w:rPr>
        <w:t>2</w:t>
      </w:r>
      <w:r w:rsidR="009236C2" w:rsidRPr="004E55B1">
        <w:rPr>
          <w:color w:val="000000" w:themeColor="text1"/>
          <w:sz w:val="22"/>
          <w:szCs w:val="22"/>
          <w:lang w:val="en-CA"/>
        </w:rPr>
        <w:t>,500)</w:t>
      </w:r>
      <w:r w:rsidR="003713FA" w:rsidRPr="004E55B1">
        <w:rPr>
          <w:color w:val="000000" w:themeColor="text1"/>
          <w:sz w:val="22"/>
          <w:szCs w:val="22"/>
          <w:lang w:val="en-CA"/>
        </w:rPr>
        <w:t>;</w:t>
      </w:r>
    </w:p>
    <w:p w14:paraId="02C453A1" w14:textId="62F86880" w:rsidR="006C049B" w:rsidRPr="004E55B1" w:rsidRDefault="00364091" w:rsidP="00F400CE">
      <w:pPr>
        <w:pStyle w:val="Heading2"/>
        <w:numPr>
          <w:ilvl w:val="1"/>
          <w:numId w:val="1"/>
        </w:numPr>
        <w:jc w:val="both"/>
        <w:rPr>
          <w:color w:val="0D0D0D" w:themeColor="text1" w:themeTint="F2"/>
          <w:sz w:val="22"/>
          <w:szCs w:val="22"/>
          <w:lang w:val="en-CA"/>
        </w:rPr>
      </w:pPr>
      <w:r w:rsidRPr="004E55B1">
        <w:rPr>
          <w:color w:val="0D0D0D" w:themeColor="text1" w:themeTint="F2"/>
          <w:sz w:val="22"/>
          <w:szCs w:val="22"/>
          <w:lang w:val="en-CA"/>
        </w:rPr>
        <w:t>P</w:t>
      </w:r>
      <w:r w:rsidR="006C049B" w:rsidRPr="004E55B1">
        <w:rPr>
          <w:color w:val="0D0D0D" w:themeColor="text1" w:themeTint="F2"/>
          <w:sz w:val="22"/>
          <w:szCs w:val="22"/>
          <w:lang w:val="en-CA"/>
        </w:rPr>
        <w:t xml:space="preserve">urchase of additional equipment </w:t>
      </w:r>
      <w:r w:rsidR="00A27845" w:rsidRPr="004E55B1">
        <w:rPr>
          <w:color w:val="0D0D0D" w:themeColor="text1" w:themeTint="F2"/>
          <w:sz w:val="22"/>
          <w:szCs w:val="22"/>
          <w:lang w:val="en-CA"/>
        </w:rPr>
        <w:t xml:space="preserve">and tools </w:t>
      </w:r>
      <w:r w:rsidR="006C049B" w:rsidRPr="004E55B1">
        <w:rPr>
          <w:color w:val="0D0D0D" w:themeColor="text1" w:themeTint="F2"/>
          <w:sz w:val="22"/>
          <w:szCs w:val="22"/>
          <w:lang w:val="en-CA"/>
        </w:rPr>
        <w:t xml:space="preserve">for the </w:t>
      </w:r>
      <w:r w:rsidR="001308F4" w:rsidRPr="004E55B1">
        <w:rPr>
          <w:color w:val="0D0D0D" w:themeColor="text1" w:themeTint="F2"/>
          <w:sz w:val="22"/>
          <w:szCs w:val="22"/>
          <w:lang w:val="en-CA"/>
        </w:rPr>
        <w:t>r</w:t>
      </w:r>
      <w:r w:rsidR="006C049B" w:rsidRPr="004E55B1">
        <w:rPr>
          <w:rFonts w:eastAsia="SimSun"/>
          <w:color w:val="0D0D0D" w:themeColor="text1" w:themeTint="F2"/>
          <w:sz w:val="22"/>
          <w:szCs w:val="22"/>
          <w:lang w:val="en-CA" w:eastAsia="zh-CN"/>
        </w:rPr>
        <w:t xml:space="preserve">efrigerant </w:t>
      </w:r>
      <w:r w:rsidR="001308F4" w:rsidRPr="004E55B1">
        <w:rPr>
          <w:rFonts w:eastAsia="SimSun"/>
          <w:color w:val="0D0D0D" w:themeColor="text1" w:themeTint="F2"/>
          <w:sz w:val="22"/>
          <w:szCs w:val="22"/>
          <w:lang w:val="en-CA" w:eastAsia="zh-CN"/>
        </w:rPr>
        <w:t>r</w:t>
      </w:r>
      <w:r w:rsidR="006C049B" w:rsidRPr="004E55B1">
        <w:rPr>
          <w:rFonts w:eastAsia="SimSun"/>
          <w:color w:val="0D0D0D" w:themeColor="text1" w:themeTint="F2"/>
          <w:sz w:val="22"/>
          <w:szCs w:val="22"/>
          <w:lang w:val="en-CA" w:eastAsia="zh-CN"/>
        </w:rPr>
        <w:t xml:space="preserve">ecovery, </w:t>
      </w:r>
      <w:r w:rsidR="001308F4" w:rsidRPr="004E55B1">
        <w:rPr>
          <w:rFonts w:eastAsia="SimSun"/>
          <w:color w:val="0D0D0D" w:themeColor="text1" w:themeTint="F2"/>
          <w:sz w:val="22"/>
          <w:szCs w:val="22"/>
          <w:lang w:val="en-CA" w:eastAsia="zh-CN"/>
        </w:rPr>
        <w:t>r</w:t>
      </w:r>
      <w:r w:rsidR="006C049B" w:rsidRPr="004E55B1">
        <w:rPr>
          <w:rFonts w:eastAsia="SimSun"/>
          <w:color w:val="0D0D0D" w:themeColor="text1" w:themeTint="F2"/>
          <w:sz w:val="22"/>
          <w:szCs w:val="22"/>
          <w:lang w:val="en-CA" w:eastAsia="zh-CN"/>
        </w:rPr>
        <w:t xml:space="preserve">ecycling and </w:t>
      </w:r>
      <w:r w:rsidR="001308F4" w:rsidRPr="004E55B1">
        <w:rPr>
          <w:rFonts w:eastAsia="SimSun"/>
          <w:color w:val="0D0D0D" w:themeColor="text1" w:themeTint="F2"/>
          <w:sz w:val="22"/>
          <w:szCs w:val="22"/>
          <w:lang w:val="en-CA" w:eastAsia="zh-CN"/>
        </w:rPr>
        <w:t>r</w:t>
      </w:r>
      <w:r w:rsidR="006C049B" w:rsidRPr="004E55B1">
        <w:rPr>
          <w:rFonts w:eastAsia="SimSun"/>
          <w:color w:val="0D0D0D" w:themeColor="text1" w:themeTint="F2"/>
          <w:sz w:val="22"/>
          <w:szCs w:val="22"/>
          <w:lang w:val="en-CA" w:eastAsia="zh-CN"/>
        </w:rPr>
        <w:t>eclamation (RRR) centre</w:t>
      </w:r>
      <w:r w:rsidR="006C049B" w:rsidRPr="004E55B1">
        <w:rPr>
          <w:color w:val="0D0D0D" w:themeColor="text1" w:themeTint="F2"/>
          <w:sz w:val="22"/>
          <w:szCs w:val="22"/>
          <w:lang w:val="en-CA"/>
        </w:rPr>
        <w:t xml:space="preserve">; preparation of the environmental impact assessment required </w:t>
      </w:r>
      <w:r w:rsidR="003713FA" w:rsidRPr="004E55B1">
        <w:rPr>
          <w:color w:val="0D0D0D" w:themeColor="text1" w:themeTint="F2"/>
          <w:sz w:val="22"/>
          <w:szCs w:val="22"/>
          <w:lang w:val="en-CA"/>
        </w:rPr>
        <w:t xml:space="preserve">to obtain </w:t>
      </w:r>
      <w:r w:rsidR="006C049B" w:rsidRPr="004E55B1">
        <w:rPr>
          <w:color w:val="0D0D0D" w:themeColor="text1" w:themeTint="F2"/>
          <w:sz w:val="22"/>
          <w:szCs w:val="22"/>
          <w:lang w:val="en-CA"/>
        </w:rPr>
        <w:t>the environmental permit on alternative technologies (R-290, CO</w:t>
      </w:r>
      <w:r w:rsidR="006C049B" w:rsidRPr="004E55B1">
        <w:rPr>
          <w:color w:val="0D0D0D" w:themeColor="text1" w:themeTint="F2"/>
          <w:sz w:val="22"/>
          <w:szCs w:val="22"/>
          <w:vertAlign w:val="subscript"/>
          <w:lang w:val="en-CA"/>
        </w:rPr>
        <w:t>2</w:t>
      </w:r>
      <w:r w:rsidR="006C049B" w:rsidRPr="004E55B1">
        <w:rPr>
          <w:color w:val="0D0D0D" w:themeColor="text1" w:themeTint="F2"/>
          <w:sz w:val="22"/>
          <w:szCs w:val="22"/>
          <w:lang w:val="en-CA"/>
        </w:rPr>
        <w:t>, ammonia) for the RRR centre</w:t>
      </w:r>
      <w:r w:rsidR="00534E41" w:rsidRPr="004E55B1">
        <w:rPr>
          <w:color w:val="0D0D0D" w:themeColor="text1" w:themeTint="F2"/>
          <w:sz w:val="22"/>
          <w:szCs w:val="22"/>
          <w:lang w:val="en-CA"/>
        </w:rPr>
        <w:t xml:space="preserve"> to be able to carry out the </w:t>
      </w:r>
      <w:r w:rsidR="006C049B" w:rsidRPr="004E55B1">
        <w:rPr>
          <w:color w:val="0D0D0D" w:themeColor="text1" w:themeTint="F2"/>
          <w:sz w:val="22"/>
          <w:szCs w:val="22"/>
          <w:lang w:val="en-CA"/>
        </w:rPr>
        <w:t>management of waste refrigerants (</w:t>
      </w:r>
      <w:r w:rsidR="00744A16" w:rsidRPr="004E55B1">
        <w:rPr>
          <w:color w:val="0D0D0D" w:themeColor="text1" w:themeTint="F2"/>
          <w:sz w:val="22"/>
          <w:szCs w:val="22"/>
          <w:lang w:val="en-CA"/>
        </w:rPr>
        <w:t>US $</w:t>
      </w:r>
      <w:r w:rsidR="006C049B" w:rsidRPr="004E55B1">
        <w:rPr>
          <w:color w:val="0D0D0D" w:themeColor="text1" w:themeTint="F2"/>
          <w:sz w:val="22"/>
          <w:szCs w:val="22"/>
          <w:lang w:val="en-CA"/>
        </w:rPr>
        <w:t>26,500);</w:t>
      </w:r>
    </w:p>
    <w:p w14:paraId="40C8FA71" w14:textId="206477C4" w:rsidR="006C049B" w:rsidRPr="004E55B1" w:rsidRDefault="00A42C4C" w:rsidP="00F400CE">
      <w:pPr>
        <w:pStyle w:val="Heading2"/>
        <w:jc w:val="both"/>
        <w:rPr>
          <w:sz w:val="22"/>
          <w:szCs w:val="22"/>
          <w:lang w:val="en-CA"/>
        </w:rPr>
      </w:pPr>
      <w:r w:rsidRPr="004E55B1">
        <w:rPr>
          <w:sz w:val="22"/>
          <w:szCs w:val="22"/>
          <w:lang w:val="en-CA"/>
        </w:rPr>
        <w:t xml:space="preserve">National market survey on the sustainability of </w:t>
      </w:r>
      <w:r w:rsidR="00417F26" w:rsidRPr="004E55B1">
        <w:rPr>
          <w:sz w:val="22"/>
          <w:szCs w:val="22"/>
          <w:lang w:val="en-CA"/>
        </w:rPr>
        <w:t xml:space="preserve">the </w:t>
      </w:r>
      <w:r w:rsidRPr="004E55B1">
        <w:rPr>
          <w:sz w:val="22"/>
          <w:szCs w:val="22"/>
          <w:lang w:val="en-CA"/>
        </w:rPr>
        <w:t xml:space="preserve">phase-out </w:t>
      </w:r>
      <w:r w:rsidR="00417F26" w:rsidRPr="004E55B1">
        <w:rPr>
          <w:sz w:val="22"/>
          <w:szCs w:val="22"/>
          <w:lang w:val="en-CA"/>
        </w:rPr>
        <w:t xml:space="preserve">of HCFCs used </w:t>
      </w:r>
      <w:r w:rsidRPr="004E55B1">
        <w:rPr>
          <w:sz w:val="22"/>
          <w:szCs w:val="22"/>
          <w:lang w:val="en-CA"/>
        </w:rPr>
        <w:t xml:space="preserve">in the solvent sector and application of alternatives; organization of an awareness raising workshop to present the </w:t>
      </w:r>
      <w:r w:rsidR="00417F26" w:rsidRPr="004E55B1">
        <w:rPr>
          <w:sz w:val="22"/>
          <w:szCs w:val="22"/>
          <w:lang w:val="en-CA"/>
        </w:rPr>
        <w:t>results</w:t>
      </w:r>
      <w:r w:rsidRPr="004E55B1">
        <w:rPr>
          <w:sz w:val="22"/>
          <w:szCs w:val="22"/>
          <w:lang w:val="en-CA"/>
        </w:rPr>
        <w:t xml:space="preserve">, and discuss developments, regulations and safety measures related to new technologies; and </w:t>
      </w:r>
      <w:r w:rsidR="006C049B" w:rsidRPr="004E55B1">
        <w:rPr>
          <w:sz w:val="22"/>
          <w:szCs w:val="22"/>
          <w:lang w:val="en-CA"/>
        </w:rPr>
        <w:t>preparation and distribution of a brochure on ODS alternative technologies in the solvent sector</w:t>
      </w:r>
      <w:r w:rsidR="00744A16" w:rsidRPr="004E55B1">
        <w:rPr>
          <w:sz w:val="22"/>
          <w:szCs w:val="22"/>
          <w:lang w:val="en-CA"/>
        </w:rPr>
        <w:t xml:space="preserve"> </w:t>
      </w:r>
      <w:r w:rsidR="006C049B" w:rsidRPr="004E55B1">
        <w:rPr>
          <w:sz w:val="22"/>
          <w:szCs w:val="22"/>
          <w:lang w:val="en-CA"/>
        </w:rPr>
        <w:t>(</w:t>
      </w:r>
      <w:r w:rsidR="00744A16" w:rsidRPr="004E55B1">
        <w:rPr>
          <w:bCs/>
          <w:sz w:val="22"/>
          <w:szCs w:val="22"/>
          <w:lang w:val="en-CA"/>
        </w:rPr>
        <w:t>US $</w:t>
      </w:r>
      <w:r w:rsidR="006C049B" w:rsidRPr="004E55B1">
        <w:rPr>
          <w:bCs/>
          <w:sz w:val="22"/>
          <w:szCs w:val="22"/>
          <w:lang w:val="en-CA"/>
        </w:rPr>
        <w:t>31,638</w:t>
      </w:r>
      <w:r w:rsidR="006C049B" w:rsidRPr="004E55B1">
        <w:rPr>
          <w:b/>
          <w:bCs/>
          <w:sz w:val="22"/>
          <w:szCs w:val="22"/>
          <w:lang w:val="en-CA"/>
        </w:rPr>
        <w:t xml:space="preserve"> </w:t>
      </w:r>
      <w:r w:rsidR="006C049B" w:rsidRPr="004E55B1">
        <w:rPr>
          <w:sz w:val="22"/>
          <w:szCs w:val="22"/>
          <w:lang w:val="en-CA"/>
        </w:rPr>
        <w:t>from previous tranches);</w:t>
      </w:r>
      <w:r w:rsidR="00744A16" w:rsidRPr="004E55B1">
        <w:rPr>
          <w:sz w:val="22"/>
          <w:szCs w:val="22"/>
          <w:lang w:val="en-CA"/>
        </w:rPr>
        <w:t xml:space="preserve"> </w:t>
      </w:r>
    </w:p>
    <w:p w14:paraId="120FC304" w14:textId="77777777" w:rsidR="00CC78EE" w:rsidRPr="004E55B1" w:rsidRDefault="008B17EB" w:rsidP="00CC78EE">
      <w:pPr>
        <w:pStyle w:val="Heading2"/>
        <w:numPr>
          <w:ilvl w:val="1"/>
          <w:numId w:val="1"/>
        </w:numPr>
        <w:jc w:val="both"/>
        <w:rPr>
          <w:color w:val="0D0D0D" w:themeColor="text1" w:themeTint="F2"/>
          <w:sz w:val="22"/>
          <w:szCs w:val="22"/>
          <w:lang w:val="en-CA"/>
        </w:rPr>
      </w:pPr>
      <w:r w:rsidRPr="004E55B1">
        <w:rPr>
          <w:color w:val="0D0D0D" w:themeColor="text1" w:themeTint="F2"/>
          <w:sz w:val="22"/>
          <w:szCs w:val="22"/>
          <w:lang w:val="en-CA"/>
        </w:rPr>
        <w:t xml:space="preserve">Recruitment </w:t>
      </w:r>
      <w:r w:rsidR="00066902" w:rsidRPr="004E55B1">
        <w:rPr>
          <w:color w:val="0D0D0D" w:themeColor="text1" w:themeTint="F2"/>
          <w:sz w:val="22"/>
          <w:szCs w:val="22"/>
          <w:lang w:val="en-CA"/>
        </w:rPr>
        <w:t>of technical consultant to assess the infrastructure and define technical parameters for the equipment to purchase</w:t>
      </w:r>
      <w:r w:rsidRPr="004E55B1">
        <w:rPr>
          <w:color w:val="0D0D0D" w:themeColor="text1" w:themeTint="F2"/>
          <w:sz w:val="22"/>
          <w:szCs w:val="22"/>
          <w:lang w:val="en-CA"/>
        </w:rPr>
        <w:t xml:space="preserve"> for a demonstration project</w:t>
      </w:r>
      <w:r w:rsidR="00066902" w:rsidRPr="004E55B1">
        <w:rPr>
          <w:color w:val="0D0D0D" w:themeColor="text1" w:themeTint="F2"/>
          <w:sz w:val="22"/>
          <w:szCs w:val="22"/>
          <w:lang w:val="en-CA"/>
        </w:rPr>
        <w:t xml:space="preserve">; purchasing and installation of equipment at two selected healthcare clinics; </w:t>
      </w:r>
      <w:r w:rsidRPr="004E55B1">
        <w:rPr>
          <w:color w:val="0D0D0D" w:themeColor="text1" w:themeTint="F2"/>
          <w:sz w:val="22"/>
          <w:szCs w:val="22"/>
          <w:lang w:val="en-CA"/>
        </w:rPr>
        <w:t xml:space="preserve">and </w:t>
      </w:r>
      <w:r w:rsidR="00066902" w:rsidRPr="004E55B1">
        <w:rPr>
          <w:color w:val="0D0D0D" w:themeColor="text1" w:themeTint="F2"/>
          <w:sz w:val="22"/>
          <w:szCs w:val="22"/>
          <w:lang w:val="en-CA"/>
        </w:rPr>
        <w:t>RAC and business sector awareness workshop</w:t>
      </w:r>
      <w:r w:rsidR="00417F26" w:rsidRPr="004E55B1">
        <w:rPr>
          <w:color w:val="0D0D0D" w:themeColor="text1" w:themeTint="F2"/>
          <w:sz w:val="22"/>
          <w:szCs w:val="22"/>
          <w:lang w:val="en-CA"/>
        </w:rPr>
        <w:t xml:space="preserve"> </w:t>
      </w:r>
      <w:r w:rsidR="00066902" w:rsidRPr="004E55B1">
        <w:rPr>
          <w:color w:val="0D0D0D" w:themeColor="text1" w:themeTint="F2"/>
          <w:sz w:val="22"/>
          <w:szCs w:val="22"/>
          <w:lang w:val="en-CA"/>
        </w:rPr>
        <w:t>(US</w:t>
      </w:r>
      <w:r w:rsidR="002954B1" w:rsidRPr="004E55B1">
        <w:rPr>
          <w:color w:val="0D0D0D" w:themeColor="text1" w:themeTint="F2"/>
          <w:sz w:val="22"/>
          <w:szCs w:val="22"/>
          <w:lang w:val="en-CA"/>
        </w:rPr>
        <w:t> </w:t>
      </w:r>
      <w:r w:rsidR="00066902" w:rsidRPr="004E55B1">
        <w:rPr>
          <w:color w:val="0D0D0D" w:themeColor="text1" w:themeTint="F2"/>
          <w:sz w:val="22"/>
          <w:szCs w:val="22"/>
          <w:lang w:val="en-CA"/>
        </w:rPr>
        <w:t xml:space="preserve">$83,030 from previous tranches); </w:t>
      </w:r>
      <w:r w:rsidR="00CC78EE" w:rsidRPr="004E55B1">
        <w:rPr>
          <w:color w:val="0D0D0D" w:themeColor="text1" w:themeTint="F2"/>
          <w:sz w:val="22"/>
          <w:szCs w:val="22"/>
          <w:lang w:val="en-CA"/>
        </w:rPr>
        <w:t>and</w:t>
      </w:r>
    </w:p>
    <w:p w14:paraId="793C884F" w14:textId="0568AE14" w:rsidR="006C049B" w:rsidRPr="004E55B1" w:rsidRDefault="00AB6B49" w:rsidP="00E41C29">
      <w:pPr>
        <w:pStyle w:val="Heading2"/>
        <w:widowControl/>
        <w:numPr>
          <w:ilvl w:val="1"/>
          <w:numId w:val="1"/>
        </w:numPr>
        <w:jc w:val="both"/>
        <w:rPr>
          <w:color w:val="0D0D0D" w:themeColor="text1" w:themeTint="F2"/>
          <w:sz w:val="22"/>
          <w:szCs w:val="22"/>
          <w:lang w:val="en-CA"/>
        </w:rPr>
      </w:pPr>
      <w:r w:rsidRPr="004E55B1">
        <w:rPr>
          <w:color w:val="0D0D0D" w:themeColor="text1" w:themeTint="F2"/>
          <w:sz w:val="22"/>
          <w:szCs w:val="22"/>
          <w:lang w:val="en-CA"/>
        </w:rPr>
        <w:t xml:space="preserve">Project implementation and monitoring </w:t>
      </w:r>
      <w:r w:rsidR="006C049B" w:rsidRPr="004E55B1">
        <w:rPr>
          <w:color w:val="0D0D0D" w:themeColor="text1" w:themeTint="F2"/>
          <w:sz w:val="22"/>
          <w:szCs w:val="22"/>
          <w:lang w:val="en-CA"/>
        </w:rPr>
        <w:t>(</w:t>
      </w:r>
      <w:r w:rsidR="00744A16" w:rsidRPr="004E55B1">
        <w:rPr>
          <w:color w:val="0D0D0D" w:themeColor="text1" w:themeTint="F2"/>
          <w:sz w:val="22"/>
          <w:szCs w:val="22"/>
          <w:lang w:val="en-CA"/>
        </w:rPr>
        <w:t>US $</w:t>
      </w:r>
      <w:r w:rsidR="006C049B" w:rsidRPr="004E55B1">
        <w:rPr>
          <w:color w:val="0D0D0D" w:themeColor="text1" w:themeTint="F2"/>
          <w:sz w:val="22"/>
          <w:szCs w:val="22"/>
          <w:lang w:val="en-CA"/>
        </w:rPr>
        <w:t>2,500): recruitment of a part-time monitoring expert (</w:t>
      </w:r>
      <w:r w:rsidR="00744A16" w:rsidRPr="004E55B1">
        <w:rPr>
          <w:color w:val="0D0D0D" w:themeColor="text1" w:themeTint="F2"/>
          <w:sz w:val="22"/>
          <w:szCs w:val="22"/>
          <w:lang w:val="en-CA"/>
        </w:rPr>
        <w:t>US $</w:t>
      </w:r>
      <w:r w:rsidR="006C049B" w:rsidRPr="004E55B1">
        <w:rPr>
          <w:color w:val="0D0D0D" w:themeColor="text1" w:themeTint="F2"/>
          <w:sz w:val="22"/>
          <w:szCs w:val="22"/>
          <w:lang w:val="en-CA"/>
        </w:rPr>
        <w:t>2,000) and travel (</w:t>
      </w:r>
      <w:r w:rsidR="00744A16" w:rsidRPr="004E55B1">
        <w:rPr>
          <w:color w:val="0D0D0D" w:themeColor="text1" w:themeTint="F2"/>
          <w:sz w:val="22"/>
          <w:szCs w:val="22"/>
          <w:lang w:val="en-CA"/>
        </w:rPr>
        <w:t>US $</w:t>
      </w:r>
      <w:r w:rsidR="006C049B" w:rsidRPr="004E55B1">
        <w:rPr>
          <w:color w:val="0D0D0D" w:themeColor="text1" w:themeTint="F2"/>
          <w:sz w:val="22"/>
          <w:szCs w:val="22"/>
          <w:lang w:val="en-CA"/>
        </w:rPr>
        <w:t>500).</w:t>
      </w:r>
    </w:p>
    <w:bookmarkEnd w:id="2"/>
    <w:p w14:paraId="22462594" w14:textId="77777777" w:rsidR="006C049B" w:rsidRPr="004E55B1" w:rsidRDefault="006C049B" w:rsidP="00523ED5">
      <w:pPr>
        <w:keepNext/>
        <w:jc w:val="center"/>
        <w:rPr>
          <w:b/>
          <w:color w:val="0D0D0D" w:themeColor="text1" w:themeTint="F2"/>
          <w:sz w:val="22"/>
          <w:szCs w:val="22"/>
          <w:lang w:val="en-CA"/>
        </w:rPr>
      </w:pPr>
      <w:r w:rsidRPr="004E55B1">
        <w:rPr>
          <w:b/>
          <w:color w:val="0D0D0D" w:themeColor="text1" w:themeTint="F2"/>
          <w:sz w:val="22"/>
          <w:szCs w:val="22"/>
          <w:lang w:val="en-CA"/>
        </w:rPr>
        <w:lastRenderedPageBreak/>
        <w:t>SECRETARIAT’S COMMENTS AND RECOMMENDATION</w:t>
      </w:r>
    </w:p>
    <w:p w14:paraId="781C6160" w14:textId="77777777" w:rsidR="006C049B" w:rsidRPr="004E55B1" w:rsidRDefault="006C049B" w:rsidP="00523ED5">
      <w:pPr>
        <w:keepNext/>
        <w:jc w:val="both"/>
        <w:rPr>
          <w:color w:val="0D0D0D" w:themeColor="text1" w:themeTint="F2"/>
          <w:sz w:val="22"/>
          <w:szCs w:val="22"/>
          <w:lang w:val="en-CA"/>
        </w:rPr>
      </w:pPr>
    </w:p>
    <w:p w14:paraId="73D08C12" w14:textId="77777777" w:rsidR="006C049B" w:rsidRPr="004E55B1" w:rsidRDefault="006C049B" w:rsidP="00523ED5">
      <w:pPr>
        <w:keepNext/>
        <w:jc w:val="both"/>
        <w:rPr>
          <w:b/>
          <w:color w:val="0D0D0D" w:themeColor="text1" w:themeTint="F2"/>
          <w:sz w:val="22"/>
          <w:szCs w:val="22"/>
          <w:lang w:val="en-CA"/>
        </w:rPr>
      </w:pPr>
      <w:r w:rsidRPr="004E55B1">
        <w:rPr>
          <w:b/>
          <w:color w:val="0D0D0D" w:themeColor="text1" w:themeTint="F2"/>
          <w:sz w:val="22"/>
          <w:szCs w:val="22"/>
          <w:lang w:val="en-CA"/>
        </w:rPr>
        <w:t>COMMENTS</w:t>
      </w:r>
    </w:p>
    <w:p w14:paraId="229A7378" w14:textId="77777777" w:rsidR="006C049B" w:rsidRPr="004E55B1" w:rsidRDefault="006C049B" w:rsidP="00523ED5">
      <w:pPr>
        <w:keepNext/>
        <w:jc w:val="both"/>
        <w:rPr>
          <w:color w:val="0D0D0D" w:themeColor="text1" w:themeTint="F2"/>
          <w:sz w:val="22"/>
          <w:szCs w:val="22"/>
          <w:lang w:val="en-CA"/>
        </w:rPr>
      </w:pPr>
    </w:p>
    <w:p w14:paraId="1A4C8FD9" w14:textId="77777777" w:rsidR="006C049B" w:rsidRPr="004E55B1" w:rsidRDefault="006C049B" w:rsidP="00523ED5">
      <w:pPr>
        <w:keepNext/>
        <w:jc w:val="both"/>
        <w:rPr>
          <w:color w:val="0D0D0D" w:themeColor="text1" w:themeTint="F2"/>
          <w:sz w:val="22"/>
          <w:szCs w:val="22"/>
          <w:u w:val="single"/>
          <w:lang w:val="en-CA"/>
        </w:rPr>
      </w:pPr>
      <w:r w:rsidRPr="004E55B1">
        <w:rPr>
          <w:color w:val="0D0D0D" w:themeColor="text1" w:themeTint="F2"/>
          <w:sz w:val="22"/>
          <w:szCs w:val="22"/>
          <w:u w:val="single"/>
          <w:lang w:val="en-CA"/>
        </w:rPr>
        <w:t>Progress report on the implementation of the third tranche of the HPMP</w:t>
      </w:r>
    </w:p>
    <w:p w14:paraId="063735BA" w14:textId="77777777" w:rsidR="006C049B" w:rsidRPr="004E55B1" w:rsidRDefault="006C049B" w:rsidP="00523ED5">
      <w:pPr>
        <w:keepNext/>
        <w:jc w:val="both"/>
        <w:rPr>
          <w:color w:val="0D0D0D" w:themeColor="text1" w:themeTint="F2"/>
          <w:sz w:val="22"/>
          <w:szCs w:val="22"/>
          <w:lang w:val="en-CA"/>
        </w:rPr>
      </w:pPr>
    </w:p>
    <w:p w14:paraId="0F14D566" w14:textId="77777777" w:rsidR="006C049B" w:rsidRPr="004E55B1" w:rsidRDefault="006C049B" w:rsidP="00523ED5">
      <w:pPr>
        <w:keepNext/>
        <w:jc w:val="both"/>
        <w:rPr>
          <w:i/>
          <w:color w:val="0D0D0D" w:themeColor="text1" w:themeTint="F2"/>
          <w:sz w:val="22"/>
          <w:szCs w:val="22"/>
          <w:lang w:val="en-CA"/>
        </w:rPr>
      </w:pPr>
      <w:r w:rsidRPr="004E55B1">
        <w:rPr>
          <w:i/>
          <w:color w:val="0D0D0D" w:themeColor="text1" w:themeTint="F2"/>
          <w:sz w:val="22"/>
          <w:szCs w:val="22"/>
          <w:lang w:val="en-CA"/>
        </w:rPr>
        <w:t>Legal framework</w:t>
      </w:r>
    </w:p>
    <w:p w14:paraId="2D4B5FB4" w14:textId="77777777" w:rsidR="006C049B" w:rsidRPr="004E55B1" w:rsidRDefault="006C049B" w:rsidP="00523ED5">
      <w:pPr>
        <w:keepNext/>
        <w:jc w:val="both"/>
        <w:rPr>
          <w:color w:val="0D0D0D" w:themeColor="text1" w:themeTint="F2"/>
          <w:sz w:val="22"/>
          <w:szCs w:val="22"/>
          <w:lang w:val="en-CA"/>
        </w:rPr>
      </w:pPr>
    </w:p>
    <w:p w14:paraId="3FA35854" w14:textId="7C75EB57" w:rsidR="006C049B" w:rsidRPr="004E55B1" w:rsidRDefault="006C049B" w:rsidP="00523ED5">
      <w:pPr>
        <w:pStyle w:val="Heading1"/>
        <w:keepNext/>
        <w:jc w:val="both"/>
        <w:rPr>
          <w:color w:val="0D0D0D" w:themeColor="text1" w:themeTint="F2"/>
          <w:sz w:val="22"/>
          <w:szCs w:val="22"/>
          <w:lang w:val="en-CA"/>
        </w:rPr>
      </w:pPr>
      <w:r w:rsidRPr="004E55B1">
        <w:rPr>
          <w:color w:val="0D0D0D" w:themeColor="text1" w:themeTint="F2"/>
          <w:sz w:val="22"/>
          <w:szCs w:val="22"/>
          <w:lang w:val="en-CA"/>
        </w:rPr>
        <w:t>The Government of Georgia has issued an HCFC import quota for 2020 at 2.97 ODP tonnes</w:t>
      </w:r>
      <w:r w:rsidR="00640311" w:rsidRPr="004E55B1">
        <w:rPr>
          <w:color w:val="0D0D0D" w:themeColor="text1" w:themeTint="F2"/>
          <w:sz w:val="22"/>
          <w:szCs w:val="22"/>
          <w:lang w:val="en-CA"/>
        </w:rPr>
        <w:t xml:space="preserve"> (54</w:t>
      </w:r>
      <w:r w:rsidR="00F74573" w:rsidRPr="004E55B1">
        <w:rPr>
          <w:color w:val="0D0D0D" w:themeColor="text1" w:themeTint="F2"/>
          <w:sz w:val="22"/>
          <w:szCs w:val="22"/>
          <w:lang w:val="en-CA"/>
        </w:rPr>
        <w:t>.00</w:t>
      </w:r>
      <w:r w:rsidR="00640311" w:rsidRPr="004E55B1">
        <w:rPr>
          <w:color w:val="0D0D0D" w:themeColor="text1" w:themeTint="F2"/>
          <w:sz w:val="22"/>
          <w:szCs w:val="22"/>
          <w:lang w:val="en-CA"/>
        </w:rPr>
        <w:t> mt)</w:t>
      </w:r>
      <w:r w:rsidRPr="004E55B1">
        <w:rPr>
          <w:color w:val="0D0D0D" w:themeColor="text1" w:themeTint="F2"/>
          <w:sz w:val="22"/>
          <w:szCs w:val="22"/>
          <w:lang w:val="en-CA"/>
        </w:rPr>
        <w:t>, which is 15</w:t>
      </w:r>
      <w:r w:rsidR="008701B5" w:rsidRPr="004E55B1">
        <w:rPr>
          <w:color w:val="0D0D0D" w:themeColor="text1" w:themeTint="F2"/>
          <w:sz w:val="22"/>
          <w:szCs w:val="22"/>
          <w:lang w:val="en-CA"/>
        </w:rPr>
        <w:t> </w:t>
      </w:r>
      <w:r w:rsidRPr="004E55B1">
        <w:rPr>
          <w:color w:val="0D0D0D" w:themeColor="text1" w:themeTint="F2"/>
          <w:sz w:val="22"/>
          <w:szCs w:val="22"/>
          <w:lang w:val="en-CA"/>
        </w:rPr>
        <w:t>per cent below the compliance level of 3.5</w:t>
      </w:r>
      <w:r w:rsidR="008701B5" w:rsidRPr="004E55B1">
        <w:rPr>
          <w:color w:val="0D0D0D" w:themeColor="text1" w:themeTint="F2"/>
          <w:sz w:val="22"/>
          <w:szCs w:val="22"/>
          <w:lang w:val="en-CA"/>
        </w:rPr>
        <w:t>0 </w:t>
      </w:r>
      <w:r w:rsidRPr="004E55B1">
        <w:rPr>
          <w:color w:val="0D0D0D" w:themeColor="text1" w:themeTint="F2"/>
          <w:sz w:val="22"/>
          <w:szCs w:val="22"/>
          <w:lang w:val="en-CA"/>
        </w:rPr>
        <w:t>ODP tonnes under the Montreal Protocol</w:t>
      </w:r>
      <w:r w:rsidR="00364091" w:rsidRPr="004E55B1">
        <w:rPr>
          <w:color w:val="0D0D0D" w:themeColor="text1" w:themeTint="F2"/>
          <w:sz w:val="22"/>
          <w:szCs w:val="22"/>
          <w:lang w:val="en-CA"/>
        </w:rPr>
        <w:t xml:space="preserve"> and in accordance with the target set in its Agreement with the Executive Committee</w:t>
      </w:r>
      <w:r w:rsidRPr="004E55B1">
        <w:rPr>
          <w:color w:val="0D0D0D" w:themeColor="text1" w:themeTint="F2"/>
          <w:sz w:val="22"/>
          <w:szCs w:val="22"/>
          <w:lang w:val="en-CA"/>
        </w:rPr>
        <w:t>.</w:t>
      </w:r>
      <w:r w:rsidR="00A27845" w:rsidRPr="004E55B1">
        <w:rPr>
          <w:color w:val="0D0D0D" w:themeColor="text1" w:themeTint="F2"/>
          <w:sz w:val="22"/>
          <w:szCs w:val="22"/>
          <w:lang w:val="en-CA"/>
        </w:rPr>
        <w:t xml:space="preserve"> </w:t>
      </w:r>
    </w:p>
    <w:p w14:paraId="7880637B" w14:textId="77777777" w:rsidR="006C049B" w:rsidRPr="004E55B1" w:rsidRDefault="006C049B" w:rsidP="00A80CAC">
      <w:pPr>
        <w:jc w:val="both"/>
        <w:rPr>
          <w:i/>
          <w:color w:val="0D0D0D" w:themeColor="text1" w:themeTint="F2"/>
          <w:sz w:val="22"/>
          <w:szCs w:val="22"/>
          <w:lang w:val="en-CA"/>
        </w:rPr>
      </w:pPr>
      <w:r w:rsidRPr="004E55B1">
        <w:rPr>
          <w:i/>
          <w:color w:val="0D0D0D" w:themeColor="text1" w:themeTint="F2"/>
          <w:sz w:val="22"/>
          <w:szCs w:val="22"/>
          <w:lang w:val="en-CA"/>
        </w:rPr>
        <w:t>Refrigeration servicing sector</w:t>
      </w:r>
    </w:p>
    <w:p w14:paraId="70756522" w14:textId="77777777" w:rsidR="006C049B" w:rsidRPr="004E55B1" w:rsidRDefault="006C049B" w:rsidP="00A80CAC">
      <w:pPr>
        <w:jc w:val="both"/>
        <w:rPr>
          <w:color w:val="0D0D0D" w:themeColor="text1" w:themeTint="F2"/>
          <w:sz w:val="22"/>
          <w:szCs w:val="22"/>
          <w:lang w:val="en-CA"/>
        </w:rPr>
      </w:pPr>
    </w:p>
    <w:p w14:paraId="3BA4DD88" w14:textId="27E627F8" w:rsidR="00A80CAC" w:rsidRPr="004E55B1" w:rsidRDefault="006C049B" w:rsidP="00A80CAC">
      <w:pPr>
        <w:pStyle w:val="Heading1"/>
        <w:jc w:val="both"/>
        <w:rPr>
          <w:sz w:val="22"/>
          <w:szCs w:val="22"/>
          <w:u w:val="single"/>
          <w:lang w:val="en-CA"/>
        </w:rPr>
      </w:pPr>
      <w:r w:rsidRPr="004E55B1">
        <w:rPr>
          <w:sz w:val="22"/>
          <w:szCs w:val="22"/>
          <w:lang w:val="en-CA"/>
        </w:rPr>
        <w:t xml:space="preserve">One of the conditions for the approval of the third tranche was that </w:t>
      </w:r>
      <w:r w:rsidR="00916ABF" w:rsidRPr="004E55B1">
        <w:rPr>
          <w:sz w:val="22"/>
          <w:szCs w:val="22"/>
          <w:lang w:val="en-CA"/>
        </w:rPr>
        <w:t xml:space="preserve">the </w:t>
      </w:r>
      <w:r w:rsidRPr="004E55B1">
        <w:rPr>
          <w:sz w:val="22"/>
          <w:szCs w:val="22"/>
          <w:lang w:val="en-CA"/>
        </w:rPr>
        <w:t>financial incentive scheme would enhance the sustainability of the training of servicing technicians</w:t>
      </w:r>
      <w:r w:rsidR="00992027" w:rsidRPr="004E55B1">
        <w:rPr>
          <w:sz w:val="22"/>
          <w:szCs w:val="22"/>
          <w:lang w:val="en-CA"/>
        </w:rPr>
        <w:t xml:space="preserve"> (decision</w:t>
      </w:r>
      <w:r w:rsidR="00B7526D" w:rsidRPr="004E55B1">
        <w:rPr>
          <w:sz w:val="22"/>
          <w:szCs w:val="22"/>
          <w:lang w:val="en-CA"/>
        </w:rPr>
        <w:t> </w:t>
      </w:r>
      <w:r w:rsidR="00992027" w:rsidRPr="004E55B1">
        <w:rPr>
          <w:sz w:val="22"/>
          <w:szCs w:val="22"/>
          <w:lang w:val="en-CA"/>
        </w:rPr>
        <w:t>81/34(a))</w:t>
      </w:r>
      <w:r w:rsidRPr="004E55B1">
        <w:rPr>
          <w:sz w:val="22"/>
          <w:szCs w:val="22"/>
          <w:lang w:val="en-CA"/>
        </w:rPr>
        <w:t xml:space="preserve">. UNDP informed that the strengthened certification system </w:t>
      </w:r>
      <w:r w:rsidR="00F74573" w:rsidRPr="004E55B1">
        <w:rPr>
          <w:sz w:val="22"/>
          <w:szCs w:val="22"/>
          <w:lang w:val="en-CA"/>
        </w:rPr>
        <w:t xml:space="preserve">for refrigeration technicians </w:t>
      </w:r>
      <w:r w:rsidRPr="004E55B1">
        <w:rPr>
          <w:sz w:val="22"/>
          <w:szCs w:val="22"/>
          <w:lang w:val="en-CA"/>
        </w:rPr>
        <w:t xml:space="preserve">that would be fully in place later in 2020 included a requirement for a </w:t>
      </w:r>
      <w:r w:rsidR="00992027" w:rsidRPr="004E55B1">
        <w:rPr>
          <w:sz w:val="22"/>
          <w:szCs w:val="22"/>
          <w:lang w:val="en-CA"/>
        </w:rPr>
        <w:t>minimum</w:t>
      </w:r>
      <w:r w:rsidRPr="004E55B1">
        <w:rPr>
          <w:sz w:val="22"/>
          <w:szCs w:val="22"/>
          <w:lang w:val="en-CA"/>
        </w:rPr>
        <w:t xml:space="preserve"> set of tools/equipment for certain types of RAC services, which would require a financial input from the technicians</w:t>
      </w:r>
      <w:r w:rsidR="00A80CAC" w:rsidRPr="004E55B1">
        <w:rPr>
          <w:sz w:val="22"/>
          <w:szCs w:val="22"/>
          <w:lang w:val="en-CA"/>
        </w:rPr>
        <w:t>.</w:t>
      </w:r>
    </w:p>
    <w:p w14:paraId="72D9E024" w14:textId="5CE97870" w:rsidR="006C049B" w:rsidRPr="004E55B1" w:rsidRDefault="006C049B" w:rsidP="00A80CAC">
      <w:pPr>
        <w:pStyle w:val="Heading1"/>
        <w:numPr>
          <w:ilvl w:val="0"/>
          <w:numId w:val="0"/>
        </w:numPr>
        <w:jc w:val="both"/>
        <w:rPr>
          <w:i/>
          <w:sz w:val="22"/>
          <w:szCs w:val="22"/>
          <w:lang w:val="en-CA"/>
        </w:rPr>
      </w:pPr>
      <w:r w:rsidRPr="004E55B1">
        <w:rPr>
          <w:i/>
          <w:sz w:val="22"/>
          <w:szCs w:val="22"/>
          <w:lang w:val="en-CA"/>
        </w:rPr>
        <w:t>Demonstration project</w:t>
      </w:r>
    </w:p>
    <w:p w14:paraId="4A1686AA" w14:textId="5840896B" w:rsidR="006C049B" w:rsidRPr="004E55B1" w:rsidRDefault="000C71D1" w:rsidP="0065556F">
      <w:pPr>
        <w:pStyle w:val="Heading1"/>
        <w:jc w:val="both"/>
        <w:rPr>
          <w:rFonts w:eastAsia="Calibri"/>
          <w:iCs/>
          <w:sz w:val="22"/>
          <w:szCs w:val="22"/>
          <w:lang w:val="en-CA"/>
        </w:rPr>
      </w:pPr>
      <w:r w:rsidRPr="004E55B1">
        <w:rPr>
          <w:sz w:val="22"/>
          <w:szCs w:val="22"/>
          <w:lang w:val="en-CA"/>
        </w:rPr>
        <w:t xml:space="preserve">Regarding the demonstration project directed to end-users to transition to natural refrigerants that had been approved under the previous tranche, </w:t>
      </w:r>
      <w:r w:rsidR="008E68E8" w:rsidRPr="004E55B1">
        <w:rPr>
          <w:sz w:val="22"/>
          <w:szCs w:val="22"/>
          <w:lang w:val="en-CA"/>
        </w:rPr>
        <w:t>in</w:t>
      </w:r>
      <w:r w:rsidR="006C049B" w:rsidRPr="004E55B1">
        <w:rPr>
          <w:sz w:val="22"/>
          <w:szCs w:val="22"/>
          <w:lang w:val="en-CA"/>
        </w:rPr>
        <w:t xml:space="preserve"> line with decision</w:t>
      </w:r>
      <w:r w:rsidR="008701B5" w:rsidRPr="004E55B1">
        <w:rPr>
          <w:sz w:val="22"/>
          <w:szCs w:val="22"/>
          <w:lang w:val="en-CA"/>
        </w:rPr>
        <w:t> </w:t>
      </w:r>
      <w:r w:rsidR="006C049B" w:rsidRPr="004E55B1">
        <w:rPr>
          <w:sz w:val="22"/>
          <w:szCs w:val="22"/>
          <w:lang w:val="en-CA"/>
        </w:rPr>
        <w:t>84/84,</w:t>
      </w:r>
      <w:r w:rsidR="008E4C97" w:rsidRPr="004E55B1">
        <w:rPr>
          <w:rStyle w:val="FootnoteReference"/>
          <w:sz w:val="22"/>
          <w:szCs w:val="22"/>
          <w:lang w:val="en-CA"/>
        </w:rPr>
        <w:footnoteReference w:id="2"/>
      </w:r>
      <w:r w:rsidR="006C049B" w:rsidRPr="004E55B1">
        <w:rPr>
          <w:sz w:val="22"/>
          <w:szCs w:val="22"/>
          <w:lang w:val="en-CA"/>
        </w:rPr>
        <w:t xml:space="preserve"> UNDP indicated that </w:t>
      </w:r>
      <w:r w:rsidR="009A7B6E" w:rsidRPr="004E55B1">
        <w:rPr>
          <w:sz w:val="22"/>
          <w:szCs w:val="22"/>
          <w:lang w:val="en-CA"/>
        </w:rPr>
        <w:t>end</w:t>
      </w:r>
      <w:r w:rsidR="006F5B67" w:rsidRPr="004E55B1">
        <w:rPr>
          <w:sz w:val="22"/>
          <w:szCs w:val="22"/>
          <w:lang w:val="en-CA"/>
        </w:rPr>
        <w:noBreakHyphen/>
      </w:r>
      <w:r w:rsidR="009A7B6E" w:rsidRPr="004E55B1">
        <w:rPr>
          <w:sz w:val="22"/>
          <w:szCs w:val="22"/>
          <w:lang w:val="en-CA"/>
        </w:rPr>
        <w:t xml:space="preserve">users </w:t>
      </w:r>
      <w:r w:rsidR="006C049B" w:rsidRPr="004E55B1">
        <w:rPr>
          <w:sz w:val="22"/>
          <w:szCs w:val="22"/>
          <w:lang w:val="en-CA"/>
        </w:rPr>
        <w:t>w</w:t>
      </w:r>
      <w:r w:rsidR="00846B77" w:rsidRPr="004E55B1">
        <w:rPr>
          <w:sz w:val="22"/>
          <w:szCs w:val="22"/>
          <w:lang w:val="en-CA"/>
        </w:rPr>
        <w:t>ere</w:t>
      </w:r>
      <w:r w:rsidR="006C049B" w:rsidRPr="004E55B1">
        <w:rPr>
          <w:sz w:val="22"/>
          <w:szCs w:val="22"/>
          <w:lang w:val="en-CA"/>
        </w:rPr>
        <w:t xml:space="preserve"> reluctant to </w:t>
      </w:r>
      <w:r w:rsidR="008E4C97" w:rsidRPr="004E55B1">
        <w:rPr>
          <w:sz w:val="22"/>
          <w:szCs w:val="22"/>
          <w:lang w:val="en-CA"/>
        </w:rPr>
        <w:t xml:space="preserve">introduce </w:t>
      </w:r>
      <w:r w:rsidR="006C049B" w:rsidRPr="004E55B1">
        <w:rPr>
          <w:sz w:val="22"/>
          <w:szCs w:val="22"/>
          <w:lang w:val="en-CA"/>
        </w:rPr>
        <w:t>low-GWP</w:t>
      </w:r>
      <w:r w:rsidR="008E4C97" w:rsidRPr="004E55B1">
        <w:rPr>
          <w:sz w:val="22"/>
          <w:szCs w:val="22"/>
          <w:lang w:val="en-CA"/>
        </w:rPr>
        <w:t xml:space="preserve">-based </w:t>
      </w:r>
      <w:r w:rsidR="006C049B" w:rsidRPr="004E55B1">
        <w:rPr>
          <w:sz w:val="22"/>
          <w:szCs w:val="22"/>
          <w:lang w:val="en-CA"/>
        </w:rPr>
        <w:t>and energy</w:t>
      </w:r>
      <w:r w:rsidR="006C049B" w:rsidRPr="004E55B1">
        <w:rPr>
          <w:sz w:val="22"/>
          <w:szCs w:val="22"/>
          <w:lang w:val="en-CA"/>
        </w:rPr>
        <w:noBreakHyphen/>
        <w:t xml:space="preserve">efficient </w:t>
      </w:r>
      <w:r w:rsidR="00E5791F" w:rsidRPr="004E55B1">
        <w:rPr>
          <w:sz w:val="22"/>
          <w:szCs w:val="22"/>
          <w:lang w:val="en-CA"/>
        </w:rPr>
        <w:t xml:space="preserve">equipment </w:t>
      </w:r>
      <w:r w:rsidR="008E4C97" w:rsidRPr="004E55B1">
        <w:rPr>
          <w:sz w:val="22"/>
          <w:szCs w:val="22"/>
          <w:lang w:val="en-CA"/>
        </w:rPr>
        <w:t>in refrigeration applications</w:t>
      </w:r>
      <w:r w:rsidR="0065556F" w:rsidRPr="004E55B1">
        <w:rPr>
          <w:sz w:val="22"/>
          <w:szCs w:val="22"/>
          <w:lang w:val="en-CA"/>
        </w:rPr>
        <w:t xml:space="preserve"> </w:t>
      </w:r>
      <w:r w:rsidR="006C049B" w:rsidRPr="004E55B1">
        <w:rPr>
          <w:sz w:val="22"/>
          <w:szCs w:val="22"/>
          <w:lang w:val="en-CA"/>
        </w:rPr>
        <w:t>because of higher costs. Although several hundred</w:t>
      </w:r>
      <w:r w:rsidR="006C049B" w:rsidRPr="004E55B1">
        <w:rPr>
          <w:rFonts w:eastAsia="Calibri"/>
          <w:iCs/>
          <w:sz w:val="22"/>
          <w:szCs w:val="22"/>
          <w:lang w:val="en-CA"/>
        </w:rPr>
        <w:t xml:space="preserve"> </w:t>
      </w:r>
      <w:r w:rsidR="00E5791F" w:rsidRPr="004E55B1">
        <w:rPr>
          <w:rFonts w:eastAsia="Calibri"/>
          <w:iCs/>
          <w:sz w:val="22"/>
          <w:szCs w:val="22"/>
          <w:lang w:val="en-CA"/>
        </w:rPr>
        <w:t xml:space="preserve">end-users </w:t>
      </w:r>
      <w:r w:rsidR="006C049B" w:rsidRPr="004E55B1">
        <w:rPr>
          <w:rFonts w:eastAsia="Calibri"/>
          <w:iCs/>
          <w:sz w:val="22"/>
          <w:szCs w:val="22"/>
          <w:lang w:val="en-CA"/>
        </w:rPr>
        <w:t>in Georgia use HCFC</w:t>
      </w:r>
      <w:r w:rsidR="004C56EC" w:rsidRPr="004E55B1">
        <w:rPr>
          <w:rFonts w:eastAsia="Calibri"/>
          <w:iCs/>
          <w:sz w:val="22"/>
          <w:szCs w:val="22"/>
          <w:lang w:val="en-CA"/>
        </w:rPr>
        <w:noBreakHyphen/>
      </w:r>
      <w:r w:rsidR="006C049B" w:rsidRPr="004E55B1">
        <w:rPr>
          <w:rFonts w:eastAsia="Calibri"/>
          <w:iCs/>
          <w:sz w:val="22"/>
          <w:szCs w:val="22"/>
          <w:lang w:val="en-CA"/>
        </w:rPr>
        <w:t>22</w:t>
      </w:r>
      <w:r w:rsidR="008E4C97" w:rsidRPr="004E55B1">
        <w:rPr>
          <w:rFonts w:eastAsia="Calibri"/>
          <w:iCs/>
          <w:sz w:val="22"/>
          <w:szCs w:val="22"/>
          <w:lang w:val="en-CA"/>
        </w:rPr>
        <w:t>-based equipment</w:t>
      </w:r>
      <w:r w:rsidR="006C049B" w:rsidRPr="004E55B1">
        <w:rPr>
          <w:rFonts w:eastAsia="Calibri"/>
          <w:iCs/>
          <w:sz w:val="22"/>
          <w:szCs w:val="22"/>
          <w:lang w:val="en-CA"/>
        </w:rPr>
        <w:t xml:space="preserve">, only 14 </w:t>
      </w:r>
      <w:r w:rsidR="000B0B81" w:rsidRPr="004E55B1">
        <w:rPr>
          <w:rFonts w:eastAsia="Calibri"/>
          <w:iCs/>
          <w:sz w:val="22"/>
          <w:szCs w:val="22"/>
          <w:lang w:val="en-CA"/>
        </w:rPr>
        <w:t>end-users</w:t>
      </w:r>
      <w:r w:rsidR="004C56EC" w:rsidRPr="004E55B1">
        <w:rPr>
          <w:rFonts w:eastAsia="Calibri"/>
          <w:iCs/>
          <w:sz w:val="22"/>
          <w:szCs w:val="22"/>
          <w:lang w:val="en-CA"/>
        </w:rPr>
        <w:t xml:space="preserve"> </w:t>
      </w:r>
      <w:r w:rsidR="006C049B" w:rsidRPr="004E55B1">
        <w:rPr>
          <w:rFonts w:eastAsia="Calibri"/>
          <w:iCs/>
          <w:sz w:val="22"/>
          <w:szCs w:val="22"/>
          <w:lang w:val="en-CA"/>
        </w:rPr>
        <w:t xml:space="preserve">were interested in participating in the demonstration project, and </w:t>
      </w:r>
      <w:r w:rsidR="0065556F" w:rsidRPr="004E55B1">
        <w:rPr>
          <w:rFonts w:eastAsia="Calibri"/>
          <w:iCs/>
          <w:sz w:val="22"/>
          <w:szCs w:val="22"/>
          <w:lang w:val="en-CA"/>
        </w:rPr>
        <w:t xml:space="preserve">UNDP opined that </w:t>
      </w:r>
      <w:r w:rsidR="006C049B" w:rsidRPr="004E55B1">
        <w:rPr>
          <w:rFonts w:eastAsia="Calibri"/>
          <w:iCs/>
          <w:sz w:val="22"/>
          <w:szCs w:val="22"/>
          <w:lang w:val="en-CA"/>
        </w:rPr>
        <w:t>this number could decrease following the COVID-19 outbreak</w:t>
      </w:r>
      <w:r w:rsidR="006C049B" w:rsidRPr="004E55B1">
        <w:rPr>
          <w:sz w:val="22"/>
          <w:szCs w:val="22"/>
          <w:lang w:val="en-CA"/>
        </w:rPr>
        <w:t>. The approach proposed in light of local market conditions</w:t>
      </w:r>
      <w:r w:rsidR="008E4C97" w:rsidRPr="004E55B1">
        <w:rPr>
          <w:sz w:val="22"/>
          <w:szCs w:val="22"/>
          <w:lang w:val="en-CA"/>
        </w:rPr>
        <w:t>,</w:t>
      </w:r>
      <w:r w:rsidR="006C049B" w:rsidRPr="004E55B1">
        <w:rPr>
          <w:sz w:val="22"/>
          <w:szCs w:val="22"/>
          <w:lang w:val="en-CA"/>
        </w:rPr>
        <w:t xml:space="preserve"> </w:t>
      </w:r>
      <w:r w:rsidR="006C049B" w:rsidRPr="004E55B1">
        <w:rPr>
          <w:rFonts w:eastAsia="Calibri"/>
          <w:iCs/>
          <w:sz w:val="22"/>
          <w:szCs w:val="22"/>
          <w:lang w:val="en-CA"/>
        </w:rPr>
        <w:t>was not only the ODS conversion</w:t>
      </w:r>
      <w:r w:rsidR="009255E1" w:rsidRPr="004E55B1">
        <w:rPr>
          <w:rFonts w:eastAsia="Calibri"/>
          <w:iCs/>
          <w:sz w:val="22"/>
          <w:szCs w:val="22"/>
          <w:lang w:val="en-CA"/>
        </w:rPr>
        <w:t>,</w:t>
      </w:r>
      <w:r w:rsidR="006C049B" w:rsidRPr="004E55B1">
        <w:rPr>
          <w:rFonts w:eastAsia="Calibri"/>
          <w:iCs/>
          <w:sz w:val="22"/>
          <w:szCs w:val="22"/>
          <w:lang w:val="en-CA"/>
        </w:rPr>
        <w:t xml:space="preserve"> but more importantly to increase awareness of end-users to the benefits of alternatives, including energy-efficiency. T</w:t>
      </w:r>
      <w:r w:rsidR="006C049B" w:rsidRPr="004E55B1">
        <w:rPr>
          <w:sz w:val="22"/>
          <w:szCs w:val="22"/>
          <w:lang w:val="en-CA"/>
        </w:rPr>
        <w:t xml:space="preserve">he </w:t>
      </w:r>
      <w:r w:rsidR="00055A9D" w:rsidRPr="004E55B1">
        <w:rPr>
          <w:color w:val="0D0D0D" w:themeColor="text1" w:themeTint="F2"/>
          <w:sz w:val="22"/>
          <w:szCs w:val="22"/>
          <w:lang w:val="en-CA"/>
        </w:rPr>
        <w:t>Georgian Association for Refrigerating, Cryogenic and Air-Conditioning Engineers</w:t>
      </w:r>
      <w:r w:rsidR="006C049B" w:rsidRPr="004E55B1">
        <w:rPr>
          <w:rFonts w:eastAsia="Calibri"/>
          <w:iCs/>
          <w:sz w:val="22"/>
          <w:szCs w:val="22"/>
          <w:lang w:val="en-CA"/>
        </w:rPr>
        <w:t xml:space="preserve">, would be involved in disseminating </w:t>
      </w:r>
      <w:r w:rsidR="008E4C97" w:rsidRPr="004E55B1">
        <w:rPr>
          <w:rFonts w:eastAsia="Calibri"/>
          <w:iCs/>
          <w:sz w:val="22"/>
          <w:szCs w:val="22"/>
          <w:lang w:val="en-CA"/>
        </w:rPr>
        <w:t xml:space="preserve">technical </w:t>
      </w:r>
      <w:r w:rsidR="006C049B" w:rsidRPr="004E55B1">
        <w:rPr>
          <w:rFonts w:eastAsia="Calibri"/>
          <w:iCs/>
          <w:sz w:val="22"/>
          <w:szCs w:val="22"/>
          <w:lang w:val="en-CA"/>
        </w:rPr>
        <w:t xml:space="preserve">information to </w:t>
      </w:r>
      <w:r w:rsidR="008E4C97" w:rsidRPr="004E55B1">
        <w:rPr>
          <w:rFonts w:eastAsia="Calibri"/>
          <w:iCs/>
          <w:sz w:val="22"/>
          <w:szCs w:val="22"/>
          <w:lang w:val="en-CA"/>
        </w:rPr>
        <w:t>end</w:t>
      </w:r>
      <w:r w:rsidR="0065556F" w:rsidRPr="004E55B1">
        <w:rPr>
          <w:rFonts w:eastAsia="Calibri"/>
          <w:iCs/>
          <w:sz w:val="22"/>
          <w:szCs w:val="22"/>
          <w:lang w:val="en-CA"/>
        </w:rPr>
        <w:noBreakHyphen/>
      </w:r>
      <w:r w:rsidR="008E4C97" w:rsidRPr="004E55B1">
        <w:rPr>
          <w:rFonts w:eastAsia="Calibri"/>
          <w:iCs/>
          <w:sz w:val="22"/>
          <w:szCs w:val="22"/>
          <w:lang w:val="en-CA"/>
        </w:rPr>
        <w:t>users</w:t>
      </w:r>
      <w:r w:rsidR="00AD3468" w:rsidRPr="004E55B1">
        <w:rPr>
          <w:rFonts w:eastAsia="Calibri"/>
          <w:iCs/>
          <w:sz w:val="22"/>
          <w:szCs w:val="22"/>
          <w:lang w:val="en-CA"/>
        </w:rPr>
        <w:t>.</w:t>
      </w:r>
      <w:r w:rsidR="008E4C97" w:rsidRPr="004E55B1">
        <w:rPr>
          <w:rFonts w:eastAsia="Calibri"/>
          <w:iCs/>
          <w:sz w:val="22"/>
          <w:szCs w:val="22"/>
          <w:lang w:val="en-CA"/>
        </w:rPr>
        <w:t xml:space="preserve"> </w:t>
      </w:r>
      <w:r w:rsidR="006C049B" w:rsidRPr="004E55B1">
        <w:rPr>
          <w:rFonts w:eastAsia="Calibri"/>
          <w:iCs/>
          <w:sz w:val="22"/>
          <w:szCs w:val="22"/>
          <w:lang w:val="en-CA"/>
        </w:rPr>
        <w:t>Furthermore, stage</w:t>
      </w:r>
      <w:r w:rsidR="008701B5" w:rsidRPr="004E55B1">
        <w:rPr>
          <w:rFonts w:eastAsia="Calibri"/>
          <w:iCs/>
          <w:sz w:val="22"/>
          <w:szCs w:val="22"/>
          <w:lang w:val="en-CA"/>
        </w:rPr>
        <w:t> </w:t>
      </w:r>
      <w:r w:rsidR="006C049B" w:rsidRPr="004E55B1">
        <w:rPr>
          <w:rFonts w:eastAsia="Calibri"/>
          <w:iCs/>
          <w:sz w:val="22"/>
          <w:szCs w:val="22"/>
          <w:lang w:val="en-CA"/>
        </w:rPr>
        <w:t xml:space="preserve">II of the HPMP would include awareness-raising seminars. </w:t>
      </w:r>
    </w:p>
    <w:p w14:paraId="5D390425" w14:textId="70EB52EF" w:rsidR="006C049B" w:rsidRPr="004E55B1" w:rsidRDefault="008E4C97" w:rsidP="0065556F">
      <w:pPr>
        <w:pStyle w:val="Heading1"/>
        <w:jc w:val="both"/>
        <w:rPr>
          <w:rFonts w:eastAsia="Calibri"/>
          <w:iCs/>
          <w:color w:val="0D0D0D" w:themeColor="text1" w:themeTint="F2"/>
          <w:sz w:val="22"/>
          <w:szCs w:val="22"/>
          <w:lang w:val="en-CA"/>
        </w:rPr>
      </w:pPr>
      <w:bookmarkStart w:id="4" w:name="_Hlk37940451"/>
      <w:r w:rsidRPr="004E55B1">
        <w:rPr>
          <w:color w:val="0D0D0D" w:themeColor="text1" w:themeTint="F2"/>
          <w:sz w:val="22"/>
          <w:szCs w:val="22"/>
          <w:lang w:val="en-CA"/>
        </w:rPr>
        <w:t xml:space="preserve">With regard to </w:t>
      </w:r>
      <w:r w:rsidR="006C049B" w:rsidRPr="004E55B1">
        <w:rPr>
          <w:color w:val="0D0D0D" w:themeColor="text1" w:themeTint="F2"/>
          <w:sz w:val="22"/>
          <w:szCs w:val="22"/>
          <w:lang w:val="en-CA"/>
        </w:rPr>
        <w:t xml:space="preserve">co-financing </w:t>
      </w:r>
      <w:r w:rsidRPr="004E55B1">
        <w:rPr>
          <w:color w:val="0D0D0D" w:themeColor="text1" w:themeTint="F2"/>
          <w:sz w:val="22"/>
          <w:szCs w:val="22"/>
          <w:lang w:val="en-CA"/>
        </w:rPr>
        <w:t xml:space="preserve">from end-users, </w:t>
      </w:r>
      <w:r w:rsidR="006C049B" w:rsidRPr="004E55B1">
        <w:rPr>
          <w:color w:val="0D0D0D" w:themeColor="text1" w:themeTint="F2"/>
          <w:sz w:val="22"/>
          <w:szCs w:val="22"/>
          <w:lang w:val="en-CA"/>
        </w:rPr>
        <w:t>UNDP advised that no co-financing had been reported yet as the demonstration programme had been re</w:t>
      </w:r>
      <w:r w:rsidR="006C049B" w:rsidRPr="004E55B1">
        <w:rPr>
          <w:color w:val="0D0D0D" w:themeColor="text1" w:themeTint="F2"/>
          <w:sz w:val="22"/>
          <w:szCs w:val="22"/>
          <w:lang w:val="en-CA"/>
        </w:rPr>
        <w:noBreakHyphen/>
        <w:t>scheduled for late 2020 or early 2021</w:t>
      </w:r>
      <w:r w:rsidR="00525226" w:rsidRPr="004E55B1">
        <w:rPr>
          <w:color w:val="0D0D0D" w:themeColor="text1" w:themeTint="F2"/>
          <w:sz w:val="22"/>
          <w:szCs w:val="22"/>
          <w:lang w:val="en-CA"/>
        </w:rPr>
        <w:t>;</w:t>
      </w:r>
      <w:r w:rsidR="002954B1" w:rsidRPr="004E55B1">
        <w:rPr>
          <w:color w:val="0D0D0D" w:themeColor="text1" w:themeTint="F2"/>
          <w:sz w:val="22"/>
          <w:szCs w:val="22"/>
          <w:lang w:val="en-CA"/>
        </w:rPr>
        <w:t xml:space="preserve"> however, one end</w:t>
      </w:r>
      <w:r w:rsidR="002954B1" w:rsidRPr="004E55B1">
        <w:rPr>
          <w:color w:val="0D0D0D" w:themeColor="text1" w:themeTint="F2"/>
          <w:sz w:val="22"/>
          <w:szCs w:val="22"/>
          <w:lang w:val="en-CA"/>
        </w:rPr>
        <w:noBreakHyphen/>
      </w:r>
      <w:r w:rsidR="00525226" w:rsidRPr="004E55B1">
        <w:rPr>
          <w:color w:val="0D0D0D" w:themeColor="text1" w:themeTint="F2"/>
          <w:sz w:val="22"/>
          <w:szCs w:val="22"/>
          <w:lang w:val="en-CA"/>
        </w:rPr>
        <w:t>user (</w:t>
      </w:r>
      <w:r w:rsidR="006C049B" w:rsidRPr="004E55B1">
        <w:rPr>
          <w:color w:val="0D0D0D" w:themeColor="text1" w:themeTint="F2"/>
          <w:sz w:val="22"/>
          <w:szCs w:val="22"/>
          <w:lang w:val="en-CA"/>
        </w:rPr>
        <w:t>Med</w:t>
      </w:r>
      <w:r w:rsidR="008701B5" w:rsidRPr="004E55B1">
        <w:rPr>
          <w:color w:val="0D0D0D" w:themeColor="text1" w:themeTint="F2"/>
          <w:sz w:val="22"/>
          <w:szCs w:val="22"/>
          <w:lang w:val="en-CA"/>
        </w:rPr>
        <w:t> </w:t>
      </w:r>
      <w:r w:rsidR="006C049B" w:rsidRPr="004E55B1">
        <w:rPr>
          <w:color w:val="0D0D0D" w:themeColor="text1" w:themeTint="F2"/>
          <w:sz w:val="22"/>
          <w:szCs w:val="22"/>
          <w:lang w:val="en-CA"/>
        </w:rPr>
        <w:t xml:space="preserve">Alpha, </w:t>
      </w:r>
      <w:r w:rsidR="00525226" w:rsidRPr="004E55B1">
        <w:rPr>
          <w:color w:val="0D0D0D" w:themeColor="text1" w:themeTint="F2"/>
          <w:sz w:val="22"/>
          <w:szCs w:val="22"/>
          <w:lang w:val="en-CA"/>
        </w:rPr>
        <w:t xml:space="preserve">that </w:t>
      </w:r>
      <w:r w:rsidR="0065556F" w:rsidRPr="004E55B1">
        <w:rPr>
          <w:color w:val="0D0D0D" w:themeColor="text1" w:themeTint="F2"/>
          <w:sz w:val="22"/>
          <w:szCs w:val="22"/>
          <w:lang w:val="en-CA"/>
        </w:rPr>
        <w:t xml:space="preserve">was </w:t>
      </w:r>
      <w:r w:rsidR="006C049B" w:rsidRPr="004E55B1">
        <w:rPr>
          <w:color w:val="0D0D0D" w:themeColor="text1" w:themeTint="F2"/>
          <w:sz w:val="22"/>
          <w:szCs w:val="22"/>
          <w:lang w:val="en-CA"/>
        </w:rPr>
        <w:t>selected to take part in the demonstration project</w:t>
      </w:r>
      <w:r w:rsidR="00525226" w:rsidRPr="004E55B1">
        <w:rPr>
          <w:color w:val="0D0D0D" w:themeColor="text1" w:themeTint="F2"/>
          <w:sz w:val="22"/>
          <w:szCs w:val="22"/>
          <w:lang w:val="en-CA"/>
        </w:rPr>
        <w:t>)</w:t>
      </w:r>
      <w:r w:rsidR="006C049B" w:rsidRPr="004E55B1">
        <w:rPr>
          <w:color w:val="0D0D0D" w:themeColor="text1" w:themeTint="F2"/>
          <w:sz w:val="22"/>
          <w:szCs w:val="22"/>
          <w:lang w:val="en-CA"/>
        </w:rPr>
        <w:t xml:space="preserve"> had committed to co</w:t>
      </w:r>
      <w:r w:rsidR="006C049B" w:rsidRPr="004E55B1">
        <w:rPr>
          <w:color w:val="0D0D0D" w:themeColor="text1" w:themeTint="F2"/>
          <w:sz w:val="22"/>
          <w:szCs w:val="22"/>
          <w:lang w:val="en-CA"/>
        </w:rPr>
        <w:noBreakHyphen/>
        <w:t>financing for the projects to be implemented at two of its</w:t>
      </w:r>
      <w:r w:rsidR="00A867CC" w:rsidRPr="004E55B1">
        <w:rPr>
          <w:color w:val="0D0D0D" w:themeColor="text1" w:themeTint="F2"/>
          <w:sz w:val="22"/>
          <w:szCs w:val="22"/>
          <w:lang w:val="en-CA"/>
        </w:rPr>
        <w:t xml:space="preserve"> branches</w:t>
      </w:r>
      <w:r w:rsidR="006C049B" w:rsidRPr="004E55B1">
        <w:rPr>
          <w:color w:val="0D0D0D" w:themeColor="text1" w:themeTint="F2"/>
          <w:sz w:val="22"/>
          <w:szCs w:val="22"/>
          <w:lang w:val="en-CA"/>
        </w:rPr>
        <w:t xml:space="preserve">. </w:t>
      </w:r>
      <w:bookmarkEnd w:id="4"/>
      <w:r w:rsidR="006C049B" w:rsidRPr="004E55B1">
        <w:rPr>
          <w:rFonts w:eastAsia="Calibri"/>
          <w:iCs/>
          <w:color w:val="0D0D0D" w:themeColor="text1" w:themeTint="F2"/>
          <w:sz w:val="22"/>
          <w:szCs w:val="22"/>
          <w:lang w:val="en-CA"/>
        </w:rPr>
        <w:t xml:space="preserve">UNDP </w:t>
      </w:r>
      <w:r w:rsidR="00525226" w:rsidRPr="004E55B1">
        <w:rPr>
          <w:rFonts w:eastAsia="Calibri"/>
          <w:iCs/>
          <w:color w:val="0D0D0D" w:themeColor="text1" w:themeTint="F2"/>
          <w:sz w:val="22"/>
          <w:szCs w:val="22"/>
          <w:lang w:val="en-CA"/>
        </w:rPr>
        <w:t xml:space="preserve">also </w:t>
      </w:r>
      <w:r w:rsidR="006C049B" w:rsidRPr="004E55B1">
        <w:rPr>
          <w:rFonts w:eastAsia="Calibri"/>
          <w:iCs/>
          <w:color w:val="0D0D0D" w:themeColor="text1" w:themeTint="F2"/>
          <w:sz w:val="22"/>
          <w:szCs w:val="22"/>
          <w:lang w:val="en-CA"/>
        </w:rPr>
        <w:t>informed that the level of co-financing by end-users could be up to 40</w:t>
      </w:r>
      <w:r w:rsidR="008701B5" w:rsidRPr="004E55B1">
        <w:rPr>
          <w:rFonts w:eastAsia="Calibri"/>
          <w:iCs/>
          <w:color w:val="0D0D0D" w:themeColor="text1" w:themeTint="F2"/>
          <w:sz w:val="22"/>
          <w:szCs w:val="22"/>
          <w:lang w:val="en-CA"/>
        </w:rPr>
        <w:t> </w:t>
      </w:r>
      <w:r w:rsidR="006C049B" w:rsidRPr="004E55B1">
        <w:rPr>
          <w:rFonts w:eastAsia="Calibri"/>
          <w:iCs/>
          <w:color w:val="0D0D0D" w:themeColor="text1" w:themeTint="F2"/>
          <w:sz w:val="22"/>
          <w:szCs w:val="22"/>
          <w:lang w:val="en-CA"/>
        </w:rPr>
        <w:t xml:space="preserve">per cent </w:t>
      </w:r>
      <w:r w:rsidR="00525226" w:rsidRPr="004E55B1">
        <w:rPr>
          <w:rFonts w:eastAsia="Calibri"/>
          <w:iCs/>
          <w:color w:val="0D0D0D" w:themeColor="text1" w:themeTint="F2"/>
          <w:sz w:val="22"/>
          <w:szCs w:val="22"/>
          <w:lang w:val="en-CA"/>
        </w:rPr>
        <w:t xml:space="preserve">of the total cost </w:t>
      </w:r>
      <w:r w:rsidR="006C049B" w:rsidRPr="004E55B1">
        <w:rPr>
          <w:rFonts w:eastAsia="Calibri"/>
          <w:iCs/>
          <w:color w:val="0D0D0D" w:themeColor="text1" w:themeTint="F2"/>
          <w:sz w:val="22"/>
          <w:szCs w:val="22"/>
          <w:lang w:val="en-CA"/>
        </w:rPr>
        <w:t xml:space="preserve">if </w:t>
      </w:r>
      <w:r w:rsidR="00525226" w:rsidRPr="004E55B1">
        <w:rPr>
          <w:rFonts w:eastAsia="Calibri"/>
          <w:iCs/>
          <w:color w:val="0D0D0D" w:themeColor="text1" w:themeTint="F2"/>
          <w:sz w:val="22"/>
          <w:szCs w:val="22"/>
          <w:lang w:val="en-CA"/>
        </w:rPr>
        <w:t>t</w:t>
      </w:r>
      <w:r w:rsidR="009255E1" w:rsidRPr="004E55B1">
        <w:rPr>
          <w:rFonts w:eastAsia="Calibri"/>
          <w:iCs/>
          <w:color w:val="0D0D0D" w:themeColor="text1" w:themeTint="F2"/>
          <w:sz w:val="22"/>
          <w:szCs w:val="22"/>
          <w:lang w:val="en-CA"/>
        </w:rPr>
        <w:t xml:space="preserve">hey </w:t>
      </w:r>
      <w:r w:rsidR="006C049B" w:rsidRPr="004E55B1">
        <w:rPr>
          <w:rFonts w:eastAsia="Calibri"/>
          <w:iCs/>
          <w:color w:val="0D0D0D" w:themeColor="text1" w:themeTint="F2"/>
          <w:sz w:val="22"/>
          <w:szCs w:val="22"/>
          <w:lang w:val="en-CA"/>
        </w:rPr>
        <w:t xml:space="preserve">were convinced that the installation would work properly, operating costs are reasonable, and there is a </w:t>
      </w:r>
      <w:r w:rsidR="00144270" w:rsidRPr="004E55B1">
        <w:rPr>
          <w:rFonts w:eastAsia="Calibri"/>
          <w:iCs/>
          <w:color w:val="0D0D0D" w:themeColor="text1" w:themeTint="F2"/>
          <w:sz w:val="22"/>
          <w:szCs w:val="22"/>
          <w:lang w:val="en-CA"/>
        </w:rPr>
        <w:t>one-year</w:t>
      </w:r>
      <w:r w:rsidR="006C049B" w:rsidRPr="004E55B1">
        <w:rPr>
          <w:rFonts w:eastAsia="Calibri"/>
          <w:iCs/>
          <w:color w:val="0D0D0D" w:themeColor="text1" w:themeTint="F2"/>
          <w:sz w:val="22"/>
          <w:szCs w:val="22"/>
          <w:lang w:val="en-CA"/>
        </w:rPr>
        <w:t xml:space="preserve"> technical guarantee. </w:t>
      </w:r>
    </w:p>
    <w:p w14:paraId="6F60D7DB" w14:textId="19F0B9EE" w:rsidR="006C049B" w:rsidRPr="004E55B1" w:rsidRDefault="006C049B" w:rsidP="00E41C29">
      <w:pPr>
        <w:pStyle w:val="Heading1"/>
        <w:jc w:val="both"/>
        <w:rPr>
          <w:color w:val="0D0D0D" w:themeColor="text1" w:themeTint="F2"/>
          <w:sz w:val="22"/>
          <w:szCs w:val="22"/>
          <w:lang w:val="en-CA"/>
        </w:rPr>
      </w:pPr>
      <w:r w:rsidRPr="004E55B1">
        <w:rPr>
          <w:color w:val="0D0D0D" w:themeColor="text1" w:themeTint="F2"/>
          <w:sz w:val="22"/>
          <w:szCs w:val="22"/>
          <w:lang w:val="en-CA"/>
        </w:rPr>
        <w:t>UNDP agreed, in line with decision</w:t>
      </w:r>
      <w:r w:rsidR="008701B5" w:rsidRPr="004E55B1">
        <w:rPr>
          <w:color w:val="0D0D0D" w:themeColor="text1" w:themeTint="F2"/>
          <w:sz w:val="22"/>
          <w:szCs w:val="22"/>
          <w:lang w:val="en-CA"/>
        </w:rPr>
        <w:t> </w:t>
      </w:r>
      <w:r w:rsidRPr="004E55B1">
        <w:rPr>
          <w:color w:val="0D0D0D" w:themeColor="text1" w:themeTint="F2"/>
          <w:sz w:val="22"/>
          <w:szCs w:val="22"/>
          <w:lang w:val="en-CA"/>
        </w:rPr>
        <w:t>84/84(d), to submit detailed reports on the results of the end</w:t>
      </w:r>
      <w:r w:rsidRPr="004E55B1">
        <w:rPr>
          <w:color w:val="0D0D0D" w:themeColor="text1" w:themeTint="F2"/>
          <w:sz w:val="22"/>
          <w:szCs w:val="22"/>
          <w:lang w:val="en-CA"/>
        </w:rPr>
        <w:noBreakHyphen/>
        <w:t>user project undertaken in Georgia once it has been completed, to allow the Secretariat to develop fact sheets to inform future projects.</w:t>
      </w:r>
    </w:p>
    <w:p w14:paraId="7145D348" w14:textId="77777777" w:rsidR="006C049B" w:rsidRPr="004E55B1" w:rsidRDefault="006C049B" w:rsidP="002453FE">
      <w:pPr>
        <w:pStyle w:val="Heading1"/>
        <w:jc w:val="both"/>
        <w:rPr>
          <w:rFonts w:eastAsia="Calibri"/>
          <w:iCs/>
          <w:color w:val="0D0D0D" w:themeColor="text1" w:themeTint="F2"/>
          <w:sz w:val="22"/>
          <w:szCs w:val="22"/>
          <w:lang w:val="en-CA"/>
        </w:rPr>
      </w:pPr>
      <w:r w:rsidRPr="004E55B1">
        <w:rPr>
          <w:color w:val="0D0D0D" w:themeColor="text1" w:themeTint="F2"/>
          <w:sz w:val="22"/>
          <w:szCs w:val="22"/>
          <w:lang w:val="en-CA"/>
        </w:rPr>
        <w:t>UNDP</w:t>
      </w:r>
      <w:r w:rsidRPr="004E55B1">
        <w:rPr>
          <w:rFonts w:eastAsia="Calibri"/>
          <w:iCs/>
          <w:color w:val="0D0D0D" w:themeColor="text1" w:themeTint="F2"/>
          <w:sz w:val="22"/>
          <w:szCs w:val="22"/>
          <w:lang w:val="en-CA"/>
        </w:rPr>
        <w:t xml:space="preserve"> informed that the first step in order to </w:t>
      </w:r>
      <w:r w:rsidRPr="004E55B1">
        <w:rPr>
          <w:color w:val="0D0D0D" w:themeColor="text1" w:themeTint="F2"/>
          <w:sz w:val="22"/>
          <w:szCs w:val="22"/>
          <w:lang w:val="en-CA"/>
        </w:rPr>
        <w:t>build on activities in previous</w:t>
      </w:r>
      <w:r w:rsidRPr="004E55B1">
        <w:rPr>
          <w:rFonts w:eastAsia="Calibri"/>
          <w:iCs/>
          <w:color w:val="0D0D0D" w:themeColor="text1" w:themeTint="F2"/>
          <w:sz w:val="22"/>
          <w:szCs w:val="22"/>
          <w:lang w:val="en-CA"/>
        </w:rPr>
        <w:t xml:space="preserve"> tranches would be the introduction of the import ban on ODS-based equipment. In parallel, the introduction of new requirements in state or public procurement rules and tax incentives would be considered to support the scaling up of low- or zero</w:t>
      </w:r>
      <w:r w:rsidRPr="004E55B1">
        <w:rPr>
          <w:rFonts w:eastAsia="Calibri"/>
          <w:iCs/>
          <w:color w:val="0D0D0D" w:themeColor="text1" w:themeTint="F2"/>
          <w:sz w:val="22"/>
          <w:szCs w:val="22"/>
          <w:lang w:val="en-CA"/>
        </w:rPr>
        <w:noBreakHyphen/>
        <w:t>GWP alternative technologies. The planned ratification of the Kigali Amendment would be the next step to further encourage alternative technologies.</w:t>
      </w:r>
    </w:p>
    <w:p w14:paraId="2281BF89" w14:textId="0D8A9F1B" w:rsidR="006C049B" w:rsidRPr="004E55B1" w:rsidRDefault="006C049B" w:rsidP="00E41C29">
      <w:pPr>
        <w:pStyle w:val="Heading1"/>
        <w:numPr>
          <w:ilvl w:val="0"/>
          <w:numId w:val="0"/>
        </w:numPr>
        <w:jc w:val="both"/>
        <w:rPr>
          <w:i/>
          <w:iCs/>
          <w:sz w:val="22"/>
          <w:szCs w:val="22"/>
          <w:lang w:val="en-CA"/>
        </w:rPr>
      </w:pPr>
      <w:r w:rsidRPr="004E55B1">
        <w:rPr>
          <w:i/>
          <w:iCs/>
          <w:sz w:val="22"/>
          <w:szCs w:val="22"/>
          <w:lang w:val="en-CA"/>
        </w:rPr>
        <w:lastRenderedPageBreak/>
        <w:t>Solvent sector</w:t>
      </w:r>
      <w:r w:rsidR="005B4873" w:rsidRPr="004E55B1">
        <w:rPr>
          <w:i/>
          <w:iCs/>
          <w:sz w:val="22"/>
          <w:szCs w:val="22"/>
          <w:lang w:val="en-CA"/>
        </w:rPr>
        <w:t xml:space="preserve"> </w:t>
      </w:r>
    </w:p>
    <w:p w14:paraId="669DA4EA" w14:textId="70D547C9" w:rsidR="006C049B" w:rsidRPr="004E55B1" w:rsidRDefault="00AF31E2" w:rsidP="00E41C29">
      <w:pPr>
        <w:pStyle w:val="Heading1"/>
        <w:autoSpaceDE w:val="0"/>
        <w:autoSpaceDN w:val="0"/>
        <w:adjustRightInd w:val="0"/>
        <w:jc w:val="both"/>
        <w:rPr>
          <w:rFonts w:eastAsia="Calibri"/>
          <w:color w:val="0D0D0D" w:themeColor="text1" w:themeTint="F2"/>
          <w:sz w:val="22"/>
          <w:szCs w:val="22"/>
          <w:lang w:val="en-CA"/>
        </w:rPr>
      </w:pPr>
      <w:r w:rsidRPr="004E55B1">
        <w:rPr>
          <w:sz w:val="22"/>
          <w:szCs w:val="22"/>
          <w:lang w:val="en-CA"/>
        </w:rPr>
        <w:t xml:space="preserve">Since </w:t>
      </w:r>
      <w:r w:rsidR="009A7B6E" w:rsidRPr="004E55B1">
        <w:rPr>
          <w:sz w:val="22"/>
          <w:szCs w:val="22"/>
          <w:lang w:val="en-CA"/>
        </w:rPr>
        <w:t>2011</w:t>
      </w:r>
      <w:r w:rsidRPr="004E55B1">
        <w:rPr>
          <w:sz w:val="22"/>
          <w:szCs w:val="22"/>
          <w:lang w:val="en-CA"/>
        </w:rPr>
        <w:t>, the use of HCFC-142b</w:t>
      </w:r>
      <w:r w:rsidR="007659DA" w:rsidRPr="004E55B1">
        <w:rPr>
          <w:sz w:val="22"/>
          <w:szCs w:val="22"/>
          <w:lang w:val="en-CA"/>
        </w:rPr>
        <w:t xml:space="preserve"> in Georgia</w:t>
      </w:r>
      <w:r w:rsidRPr="004E55B1">
        <w:rPr>
          <w:sz w:val="22"/>
          <w:szCs w:val="22"/>
          <w:lang w:val="en-CA"/>
        </w:rPr>
        <w:t xml:space="preserve"> was discontinued due to the completion of the demonstration project to provide HCFC-free dry</w:t>
      </w:r>
      <w:r w:rsidR="002B6EBE" w:rsidRPr="004E55B1">
        <w:rPr>
          <w:sz w:val="22"/>
          <w:szCs w:val="22"/>
          <w:lang w:val="en-CA"/>
        </w:rPr>
        <w:t>-</w:t>
      </w:r>
      <w:r w:rsidRPr="004E55B1">
        <w:rPr>
          <w:sz w:val="22"/>
          <w:szCs w:val="22"/>
          <w:lang w:val="en-CA"/>
        </w:rPr>
        <w:t>cleaning machines to two enterprises</w:t>
      </w:r>
      <w:r w:rsidR="00417F26" w:rsidRPr="004E55B1">
        <w:rPr>
          <w:sz w:val="22"/>
          <w:szCs w:val="22"/>
          <w:lang w:val="en-CA"/>
        </w:rPr>
        <w:t xml:space="preserve">, resulting in the </w:t>
      </w:r>
      <w:r w:rsidRPr="004E55B1">
        <w:rPr>
          <w:sz w:val="22"/>
          <w:szCs w:val="22"/>
          <w:lang w:val="en-CA"/>
        </w:rPr>
        <w:t>phase</w:t>
      </w:r>
      <w:r w:rsidRPr="004E55B1">
        <w:rPr>
          <w:sz w:val="22"/>
          <w:szCs w:val="22"/>
          <w:lang w:val="en-CA"/>
        </w:rPr>
        <w:noBreakHyphen/>
        <w:t>out of 0.72</w:t>
      </w:r>
      <w:r w:rsidR="00011BBA" w:rsidRPr="004E55B1">
        <w:rPr>
          <w:sz w:val="22"/>
          <w:szCs w:val="22"/>
          <w:lang w:val="en-CA"/>
        </w:rPr>
        <w:t> </w:t>
      </w:r>
      <w:r w:rsidRPr="004E55B1">
        <w:rPr>
          <w:sz w:val="22"/>
          <w:szCs w:val="22"/>
          <w:lang w:val="en-CA"/>
        </w:rPr>
        <w:t xml:space="preserve">ODP tonnes. </w:t>
      </w:r>
      <w:r w:rsidR="00417F26" w:rsidRPr="004E55B1">
        <w:rPr>
          <w:sz w:val="22"/>
          <w:szCs w:val="22"/>
          <w:lang w:val="en-CA"/>
        </w:rPr>
        <w:t xml:space="preserve">Of the </w:t>
      </w:r>
      <w:r w:rsidR="00017233" w:rsidRPr="004E55B1">
        <w:rPr>
          <w:sz w:val="22"/>
          <w:szCs w:val="22"/>
          <w:lang w:val="en-CA"/>
        </w:rPr>
        <w:t xml:space="preserve">US $185,900 approved for the solvent sector, US $154,263 has been </w:t>
      </w:r>
      <w:r w:rsidR="007659DA" w:rsidRPr="004E55B1">
        <w:rPr>
          <w:sz w:val="22"/>
          <w:szCs w:val="22"/>
          <w:lang w:val="en-CA"/>
        </w:rPr>
        <w:t>disburse</w:t>
      </w:r>
      <w:r w:rsidR="00017233" w:rsidRPr="004E55B1">
        <w:rPr>
          <w:sz w:val="22"/>
          <w:szCs w:val="22"/>
          <w:lang w:val="en-CA"/>
        </w:rPr>
        <w:t xml:space="preserve">d ; with the </w:t>
      </w:r>
      <w:r w:rsidR="007659DA" w:rsidRPr="004E55B1">
        <w:rPr>
          <w:sz w:val="22"/>
          <w:szCs w:val="22"/>
          <w:lang w:val="en-CA"/>
        </w:rPr>
        <w:t xml:space="preserve">balance </w:t>
      </w:r>
      <w:r w:rsidR="00017233" w:rsidRPr="004E55B1">
        <w:rPr>
          <w:sz w:val="22"/>
          <w:szCs w:val="22"/>
          <w:lang w:val="en-CA"/>
        </w:rPr>
        <w:t>available (</w:t>
      </w:r>
      <w:r w:rsidR="007659DA" w:rsidRPr="004E55B1">
        <w:rPr>
          <w:sz w:val="22"/>
          <w:szCs w:val="22"/>
          <w:lang w:val="en-CA"/>
        </w:rPr>
        <w:t xml:space="preserve"> </w:t>
      </w:r>
      <w:r w:rsidR="001B2D24" w:rsidRPr="004E55B1">
        <w:rPr>
          <w:sz w:val="22"/>
          <w:szCs w:val="22"/>
          <w:lang w:val="en-CA"/>
        </w:rPr>
        <w:t>US $31,638</w:t>
      </w:r>
      <w:r w:rsidR="00017233" w:rsidRPr="004E55B1">
        <w:rPr>
          <w:sz w:val="22"/>
          <w:szCs w:val="22"/>
          <w:lang w:val="en-CA"/>
        </w:rPr>
        <w:t>)</w:t>
      </w:r>
      <w:r w:rsidR="001B2D24" w:rsidRPr="004E55B1">
        <w:rPr>
          <w:sz w:val="22"/>
          <w:szCs w:val="22"/>
          <w:lang w:val="en-CA"/>
        </w:rPr>
        <w:t xml:space="preserve"> </w:t>
      </w:r>
      <w:r w:rsidR="00017233" w:rsidRPr="004E55B1">
        <w:rPr>
          <w:color w:val="0D0D0D" w:themeColor="text1" w:themeTint="F2"/>
          <w:sz w:val="22"/>
          <w:szCs w:val="22"/>
          <w:lang w:val="en-CA"/>
        </w:rPr>
        <w:t xml:space="preserve">the Government will implement the awareness-raising workshop for the solvent sector that was originally scheduled for the second tranche </w:t>
      </w:r>
      <w:r w:rsidR="00017233" w:rsidRPr="004E55B1">
        <w:rPr>
          <w:sz w:val="22"/>
          <w:szCs w:val="22"/>
          <w:lang w:val="en-CA"/>
        </w:rPr>
        <w:t xml:space="preserve">in </w:t>
      </w:r>
      <w:r w:rsidR="006C049B" w:rsidRPr="004E55B1">
        <w:rPr>
          <w:color w:val="0D0D0D" w:themeColor="text1" w:themeTint="F2"/>
          <w:sz w:val="22"/>
          <w:szCs w:val="22"/>
          <w:lang w:val="en-CA"/>
        </w:rPr>
        <w:t xml:space="preserve">late 2020 or early 2021, </w:t>
      </w:r>
      <w:r w:rsidR="00360937" w:rsidRPr="004E55B1">
        <w:rPr>
          <w:color w:val="0D0D0D" w:themeColor="text1" w:themeTint="F2"/>
          <w:sz w:val="22"/>
          <w:szCs w:val="22"/>
          <w:lang w:val="en-CA"/>
        </w:rPr>
        <w:t xml:space="preserve">to allow </w:t>
      </w:r>
      <w:r w:rsidR="006C049B" w:rsidRPr="004E55B1">
        <w:rPr>
          <w:color w:val="0D0D0D" w:themeColor="text1" w:themeTint="F2"/>
          <w:sz w:val="22"/>
          <w:szCs w:val="22"/>
          <w:lang w:val="en-CA"/>
        </w:rPr>
        <w:t>the project to focus on the needs of the servicing sector</w:t>
      </w:r>
      <w:r w:rsidR="00017233" w:rsidRPr="004E55B1">
        <w:rPr>
          <w:color w:val="0D0D0D" w:themeColor="text1" w:themeTint="F2"/>
          <w:sz w:val="22"/>
          <w:szCs w:val="22"/>
          <w:lang w:val="en-CA"/>
        </w:rPr>
        <w:t>. F</w:t>
      </w:r>
      <w:r w:rsidR="006C049B" w:rsidRPr="004E55B1">
        <w:rPr>
          <w:color w:val="0D0D0D" w:themeColor="text1" w:themeTint="F2"/>
          <w:sz w:val="22"/>
          <w:szCs w:val="22"/>
          <w:lang w:val="en-CA"/>
        </w:rPr>
        <w:t>urthermore, it was decided to complete awareness activities closer to the end of stage</w:t>
      </w:r>
      <w:r w:rsidR="008701B5" w:rsidRPr="004E55B1">
        <w:rPr>
          <w:color w:val="0D0D0D" w:themeColor="text1" w:themeTint="F2"/>
          <w:sz w:val="22"/>
          <w:szCs w:val="22"/>
          <w:lang w:val="en-CA"/>
        </w:rPr>
        <w:t> </w:t>
      </w:r>
      <w:r w:rsidR="006C049B" w:rsidRPr="004E55B1">
        <w:rPr>
          <w:color w:val="0D0D0D" w:themeColor="text1" w:themeTint="F2"/>
          <w:sz w:val="22"/>
          <w:szCs w:val="22"/>
          <w:lang w:val="en-CA"/>
        </w:rPr>
        <w:t xml:space="preserve">I of the HPMP. </w:t>
      </w:r>
    </w:p>
    <w:p w14:paraId="637CE738" w14:textId="73085421" w:rsidR="006C049B" w:rsidRPr="004E55B1" w:rsidRDefault="006C049B" w:rsidP="00E41C29">
      <w:pPr>
        <w:pStyle w:val="Heading1"/>
        <w:numPr>
          <w:ilvl w:val="0"/>
          <w:numId w:val="0"/>
        </w:numPr>
        <w:jc w:val="both"/>
        <w:rPr>
          <w:sz w:val="22"/>
          <w:szCs w:val="22"/>
          <w:u w:val="single"/>
          <w:lang w:val="en-CA"/>
        </w:rPr>
      </w:pPr>
      <w:r w:rsidRPr="004E55B1">
        <w:rPr>
          <w:sz w:val="22"/>
          <w:szCs w:val="22"/>
          <w:u w:val="single"/>
          <w:lang w:val="en-CA"/>
        </w:rPr>
        <w:t>Gender policy implementation</w:t>
      </w:r>
      <w:r w:rsidRPr="004E55B1">
        <w:rPr>
          <w:rStyle w:val="FootnoteReference"/>
          <w:color w:val="0D0D0D" w:themeColor="text1" w:themeTint="F2"/>
          <w:sz w:val="22"/>
          <w:szCs w:val="22"/>
          <w:u w:val="single"/>
          <w:lang w:val="en-CA"/>
        </w:rPr>
        <w:footnoteReference w:id="3"/>
      </w:r>
    </w:p>
    <w:p w14:paraId="4699C00C" w14:textId="22A880BF" w:rsidR="000F3FBA" w:rsidRPr="004E55B1" w:rsidRDefault="006C049B" w:rsidP="00E41C29">
      <w:pPr>
        <w:pStyle w:val="Heading1"/>
        <w:jc w:val="both"/>
        <w:rPr>
          <w:color w:val="0D0D0D" w:themeColor="text1" w:themeTint="F2"/>
          <w:sz w:val="22"/>
          <w:szCs w:val="22"/>
          <w:u w:val="single"/>
          <w:lang w:val="en-CA" w:eastAsia="en-US"/>
        </w:rPr>
      </w:pPr>
      <w:r w:rsidRPr="004E55B1">
        <w:rPr>
          <w:color w:val="0D0D0D" w:themeColor="text1" w:themeTint="F2"/>
          <w:sz w:val="22"/>
          <w:szCs w:val="22"/>
          <w:lang w:val="en-CA"/>
        </w:rPr>
        <w:t xml:space="preserve">A gender analysis conducted </w:t>
      </w:r>
      <w:bookmarkStart w:id="5" w:name="_Hlk39499453"/>
      <w:r w:rsidRPr="004E55B1">
        <w:rPr>
          <w:color w:val="0D0D0D" w:themeColor="text1" w:themeTint="F2"/>
          <w:sz w:val="22"/>
          <w:szCs w:val="22"/>
          <w:lang w:val="en-CA"/>
        </w:rPr>
        <w:t>as part of the capacity building activities for RAC technicians</w:t>
      </w:r>
      <w:bookmarkEnd w:id="5"/>
      <w:r w:rsidRPr="004E55B1">
        <w:rPr>
          <w:color w:val="0D0D0D" w:themeColor="text1" w:themeTint="F2"/>
          <w:sz w:val="22"/>
          <w:szCs w:val="22"/>
          <w:lang w:val="en-CA"/>
        </w:rPr>
        <w:t>, customs officers, and environmental inspectors, revealed that RAC servicing trainees were mostly men, while the Customs and environmental inspection service trainees were 40</w:t>
      </w:r>
      <w:r w:rsidR="002658D0" w:rsidRPr="004E55B1">
        <w:rPr>
          <w:color w:val="0D0D0D" w:themeColor="text1" w:themeTint="F2"/>
          <w:sz w:val="22"/>
          <w:szCs w:val="22"/>
          <w:lang w:val="en-CA"/>
        </w:rPr>
        <w:t> </w:t>
      </w:r>
      <w:r w:rsidRPr="004E55B1">
        <w:rPr>
          <w:color w:val="0D0D0D" w:themeColor="text1" w:themeTint="F2"/>
          <w:sz w:val="22"/>
          <w:szCs w:val="22"/>
          <w:lang w:val="en-CA"/>
        </w:rPr>
        <w:t>per cent and 20</w:t>
      </w:r>
      <w:r w:rsidR="002658D0" w:rsidRPr="004E55B1">
        <w:rPr>
          <w:color w:val="0D0D0D" w:themeColor="text1" w:themeTint="F2"/>
          <w:sz w:val="22"/>
          <w:szCs w:val="22"/>
          <w:lang w:val="en-CA"/>
        </w:rPr>
        <w:t> </w:t>
      </w:r>
      <w:r w:rsidRPr="004E55B1">
        <w:rPr>
          <w:color w:val="0D0D0D" w:themeColor="text1" w:themeTint="F2"/>
          <w:sz w:val="22"/>
          <w:szCs w:val="22"/>
          <w:lang w:val="en-CA"/>
        </w:rPr>
        <w:t>per cent women, respectively. The fourth tranche of stage</w:t>
      </w:r>
      <w:r w:rsidR="002658D0" w:rsidRPr="004E55B1">
        <w:rPr>
          <w:color w:val="0D0D0D" w:themeColor="text1" w:themeTint="F2"/>
          <w:sz w:val="22"/>
          <w:szCs w:val="22"/>
          <w:lang w:val="en-CA"/>
        </w:rPr>
        <w:t> </w:t>
      </w:r>
      <w:r w:rsidRPr="004E55B1">
        <w:rPr>
          <w:color w:val="0D0D0D" w:themeColor="text1" w:themeTint="F2"/>
          <w:sz w:val="22"/>
          <w:szCs w:val="22"/>
          <w:lang w:val="en-CA"/>
        </w:rPr>
        <w:t xml:space="preserve">I </w:t>
      </w:r>
      <w:r w:rsidR="00981A40" w:rsidRPr="004E55B1">
        <w:rPr>
          <w:color w:val="0D0D0D" w:themeColor="text1" w:themeTint="F2"/>
          <w:sz w:val="22"/>
          <w:szCs w:val="22"/>
          <w:lang w:val="en-CA"/>
        </w:rPr>
        <w:t xml:space="preserve">of the HPMP </w:t>
      </w:r>
      <w:r w:rsidRPr="004E55B1">
        <w:rPr>
          <w:color w:val="0D0D0D" w:themeColor="text1" w:themeTint="F2"/>
          <w:sz w:val="22"/>
          <w:szCs w:val="22"/>
          <w:lang w:val="en-CA"/>
        </w:rPr>
        <w:t>include</w:t>
      </w:r>
      <w:r w:rsidR="005052CC" w:rsidRPr="004E55B1">
        <w:rPr>
          <w:color w:val="0D0D0D" w:themeColor="text1" w:themeTint="F2"/>
          <w:sz w:val="22"/>
          <w:szCs w:val="22"/>
          <w:lang w:val="en-CA"/>
        </w:rPr>
        <w:t>s</w:t>
      </w:r>
      <w:r w:rsidRPr="004E55B1">
        <w:rPr>
          <w:color w:val="0D0D0D" w:themeColor="text1" w:themeTint="F2"/>
          <w:sz w:val="22"/>
          <w:szCs w:val="22"/>
          <w:lang w:val="en-CA"/>
        </w:rPr>
        <w:t xml:space="preserve"> a</w:t>
      </w:r>
      <w:r w:rsidR="005052CC" w:rsidRPr="004E55B1">
        <w:rPr>
          <w:color w:val="0D0D0D" w:themeColor="text1" w:themeTint="F2"/>
          <w:sz w:val="22"/>
          <w:szCs w:val="22"/>
          <w:lang w:val="en-CA"/>
        </w:rPr>
        <w:t>n</w:t>
      </w:r>
      <w:r w:rsidRPr="004E55B1">
        <w:rPr>
          <w:color w:val="0D0D0D" w:themeColor="text1" w:themeTint="F2"/>
          <w:sz w:val="22"/>
          <w:szCs w:val="22"/>
          <w:lang w:val="en-CA"/>
        </w:rPr>
        <w:t xml:space="preserve"> analytical study on gender in the RAC servicing and solvent sector</w:t>
      </w:r>
      <w:r w:rsidR="00056942" w:rsidRPr="004E55B1">
        <w:rPr>
          <w:color w:val="0D0D0D" w:themeColor="text1" w:themeTint="F2"/>
          <w:sz w:val="22"/>
          <w:szCs w:val="22"/>
          <w:lang w:val="en-CA"/>
        </w:rPr>
        <w:t>s</w:t>
      </w:r>
      <w:r w:rsidR="00981A40" w:rsidRPr="004E55B1">
        <w:rPr>
          <w:color w:val="0D0D0D" w:themeColor="text1" w:themeTint="F2"/>
          <w:sz w:val="22"/>
          <w:szCs w:val="22"/>
          <w:lang w:val="en-CA"/>
        </w:rPr>
        <w:t xml:space="preserve"> </w:t>
      </w:r>
      <w:r w:rsidR="005052CC" w:rsidRPr="004E55B1">
        <w:rPr>
          <w:color w:val="0D0D0D" w:themeColor="text1" w:themeTint="F2"/>
          <w:sz w:val="22"/>
          <w:szCs w:val="22"/>
          <w:lang w:val="en-CA"/>
        </w:rPr>
        <w:t>and will</w:t>
      </w:r>
      <w:r w:rsidR="00C04C59" w:rsidRPr="004E55B1">
        <w:rPr>
          <w:rFonts w:eastAsia="SimSun"/>
          <w:sz w:val="22"/>
          <w:szCs w:val="22"/>
          <w:lang w:val="en-CA" w:eastAsia="zh-CN"/>
        </w:rPr>
        <w:t xml:space="preserve"> include recommendations for further action </w:t>
      </w:r>
      <w:r w:rsidR="00981A40" w:rsidRPr="004E55B1">
        <w:rPr>
          <w:rFonts w:eastAsia="SimSun"/>
          <w:sz w:val="22"/>
          <w:szCs w:val="22"/>
          <w:lang w:val="en-CA" w:eastAsia="zh-CN"/>
        </w:rPr>
        <w:t xml:space="preserve">in the context of </w:t>
      </w:r>
      <w:r w:rsidR="00C04C59" w:rsidRPr="004E55B1">
        <w:rPr>
          <w:rFonts w:eastAsia="SimSun"/>
          <w:sz w:val="22"/>
          <w:szCs w:val="22"/>
          <w:lang w:val="en-CA" w:eastAsia="zh-CN"/>
        </w:rPr>
        <w:t xml:space="preserve">the HPMP with regard to the RAC servicing </w:t>
      </w:r>
      <w:r w:rsidR="00981A40" w:rsidRPr="004E55B1">
        <w:rPr>
          <w:rFonts w:eastAsia="SimSun"/>
          <w:sz w:val="22"/>
          <w:szCs w:val="22"/>
          <w:lang w:val="en-CA" w:eastAsia="zh-CN"/>
        </w:rPr>
        <w:t xml:space="preserve">and </w:t>
      </w:r>
      <w:r w:rsidR="00C04C59" w:rsidRPr="004E55B1">
        <w:rPr>
          <w:rFonts w:eastAsia="SimSun"/>
          <w:sz w:val="22"/>
          <w:szCs w:val="22"/>
          <w:lang w:val="en-CA" w:eastAsia="zh-CN"/>
        </w:rPr>
        <w:t>solvent sector</w:t>
      </w:r>
      <w:r w:rsidR="00017233" w:rsidRPr="004E55B1">
        <w:rPr>
          <w:rFonts w:eastAsia="SimSun"/>
          <w:sz w:val="22"/>
          <w:szCs w:val="22"/>
          <w:lang w:val="en-CA" w:eastAsia="zh-CN"/>
        </w:rPr>
        <w:t>s</w:t>
      </w:r>
      <w:r w:rsidR="00C04C59" w:rsidRPr="004E55B1">
        <w:rPr>
          <w:rFonts w:eastAsia="SimSun"/>
          <w:sz w:val="22"/>
          <w:szCs w:val="22"/>
          <w:lang w:val="en-CA" w:eastAsia="zh-CN"/>
        </w:rPr>
        <w:t xml:space="preserve"> related </w:t>
      </w:r>
      <w:r w:rsidR="009C0C2A" w:rsidRPr="004E55B1">
        <w:rPr>
          <w:rFonts w:eastAsia="SimSun"/>
          <w:sz w:val="22"/>
          <w:szCs w:val="22"/>
          <w:lang w:val="en-CA" w:eastAsia="zh-CN"/>
        </w:rPr>
        <w:t>training</w:t>
      </w:r>
      <w:r w:rsidR="00C04C59" w:rsidRPr="004E55B1">
        <w:rPr>
          <w:rFonts w:eastAsia="SimSun"/>
          <w:sz w:val="22"/>
          <w:szCs w:val="22"/>
          <w:lang w:val="en-CA" w:eastAsia="zh-CN"/>
        </w:rPr>
        <w:t xml:space="preserve"> and </w:t>
      </w:r>
      <w:r w:rsidR="0049241E" w:rsidRPr="004E55B1">
        <w:rPr>
          <w:rFonts w:eastAsia="SimSun"/>
          <w:sz w:val="22"/>
          <w:szCs w:val="22"/>
          <w:lang w:val="en-CA" w:eastAsia="zh-CN"/>
        </w:rPr>
        <w:t xml:space="preserve">employment </w:t>
      </w:r>
      <w:r w:rsidR="00981A40" w:rsidRPr="004E55B1">
        <w:rPr>
          <w:rFonts w:eastAsia="SimSun"/>
          <w:sz w:val="22"/>
          <w:szCs w:val="22"/>
          <w:lang w:val="en-CA" w:eastAsia="zh-CN"/>
        </w:rPr>
        <w:t>matters</w:t>
      </w:r>
      <w:r w:rsidR="00C04C59" w:rsidRPr="004E55B1">
        <w:rPr>
          <w:rFonts w:eastAsia="SimSun"/>
          <w:sz w:val="22"/>
          <w:szCs w:val="22"/>
          <w:lang w:val="en-CA" w:eastAsia="zh-CN"/>
        </w:rPr>
        <w:t xml:space="preserve">. </w:t>
      </w:r>
    </w:p>
    <w:p w14:paraId="495EB66C" w14:textId="7B354B61" w:rsidR="006C049B" w:rsidRPr="004E55B1" w:rsidRDefault="006C049B" w:rsidP="00E41C29">
      <w:pPr>
        <w:pStyle w:val="Heading1"/>
        <w:numPr>
          <w:ilvl w:val="0"/>
          <w:numId w:val="0"/>
        </w:numPr>
        <w:jc w:val="both"/>
        <w:rPr>
          <w:color w:val="0D0D0D" w:themeColor="text1" w:themeTint="F2"/>
          <w:sz w:val="22"/>
          <w:szCs w:val="22"/>
          <w:u w:val="single"/>
          <w:lang w:val="en-CA"/>
        </w:rPr>
      </w:pPr>
      <w:r w:rsidRPr="004E55B1">
        <w:rPr>
          <w:color w:val="0D0D0D" w:themeColor="text1" w:themeTint="F2"/>
          <w:sz w:val="22"/>
          <w:szCs w:val="22"/>
          <w:u w:val="single"/>
          <w:lang w:val="en-CA"/>
        </w:rPr>
        <w:t xml:space="preserve">Sustainability of the HCFC phase-out </w:t>
      </w:r>
    </w:p>
    <w:p w14:paraId="3A2FB93D" w14:textId="7268B10C" w:rsidR="00744A16" w:rsidRPr="004E55B1" w:rsidRDefault="00D70D6E" w:rsidP="00E41C29">
      <w:pPr>
        <w:pStyle w:val="Heading1"/>
        <w:jc w:val="both"/>
        <w:rPr>
          <w:sz w:val="22"/>
          <w:szCs w:val="22"/>
          <w:lang w:val="en-CA"/>
        </w:rPr>
      </w:pPr>
      <w:r w:rsidRPr="004E55B1">
        <w:rPr>
          <w:sz w:val="22"/>
          <w:szCs w:val="22"/>
          <w:lang w:val="en-CA"/>
        </w:rPr>
        <w:t xml:space="preserve">The country has a licensing and quota system in place to </w:t>
      </w:r>
      <w:r w:rsidR="00F34CE9" w:rsidRPr="004E55B1">
        <w:rPr>
          <w:sz w:val="22"/>
          <w:szCs w:val="22"/>
          <w:lang w:val="en-CA"/>
        </w:rPr>
        <w:t xml:space="preserve">ensure the sustained </w:t>
      </w:r>
      <w:r w:rsidRPr="004E55B1">
        <w:rPr>
          <w:sz w:val="22"/>
          <w:szCs w:val="22"/>
          <w:lang w:val="en-CA"/>
        </w:rPr>
        <w:t xml:space="preserve">control </w:t>
      </w:r>
      <w:r w:rsidR="00660164" w:rsidRPr="004E55B1">
        <w:rPr>
          <w:sz w:val="22"/>
          <w:szCs w:val="22"/>
          <w:lang w:val="en-CA"/>
        </w:rPr>
        <w:t xml:space="preserve">of </w:t>
      </w:r>
      <w:r w:rsidRPr="004E55B1">
        <w:rPr>
          <w:sz w:val="22"/>
          <w:szCs w:val="22"/>
          <w:lang w:val="en-CA"/>
        </w:rPr>
        <w:t>HCFC imports</w:t>
      </w:r>
      <w:r w:rsidR="006D31B0" w:rsidRPr="004E55B1">
        <w:rPr>
          <w:sz w:val="22"/>
          <w:szCs w:val="22"/>
          <w:lang w:val="en-CA"/>
        </w:rPr>
        <w:t xml:space="preserve">, and the capacity of customs officers continues to be strengthened. Continued training of RAC technicians, as well as the </w:t>
      </w:r>
      <w:r w:rsidRPr="004E55B1">
        <w:rPr>
          <w:sz w:val="22"/>
          <w:szCs w:val="22"/>
          <w:lang w:val="en-CA"/>
        </w:rPr>
        <w:t>technical assistance and equipment provided to the</w:t>
      </w:r>
      <w:r w:rsidR="006D31B0" w:rsidRPr="004E55B1">
        <w:rPr>
          <w:sz w:val="22"/>
          <w:szCs w:val="22"/>
          <w:lang w:val="en-CA"/>
        </w:rPr>
        <w:t>m</w:t>
      </w:r>
      <w:r w:rsidRPr="004E55B1">
        <w:rPr>
          <w:sz w:val="22"/>
          <w:szCs w:val="22"/>
          <w:lang w:val="en-CA"/>
        </w:rPr>
        <w:t xml:space="preserve"> </w:t>
      </w:r>
      <w:r w:rsidR="006D31B0" w:rsidRPr="004E55B1">
        <w:rPr>
          <w:sz w:val="22"/>
          <w:szCs w:val="22"/>
          <w:lang w:val="en-CA"/>
        </w:rPr>
        <w:t xml:space="preserve">and the RRR centre, and the continued engagement of the refrigeration association, </w:t>
      </w:r>
      <w:r w:rsidRPr="004E55B1">
        <w:rPr>
          <w:sz w:val="22"/>
          <w:szCs w:val="22"/>
          <w:lang w:val="en-CA"/>
        </w:rPr>
        <w:t>will further strengthen the refrigeration servicing sector and ensure the long-term sustainability of the HCFC phase-out</w:t>
      </w:r>
      <w:r w:rsidR="00E40AC8" w:rsidRPr="004E55B1">
        <w:rPr>
          <w:sz w:val="22"/>
          <w:szCs w:val="22"/>
          <w:lang w:val="en-CA"/>
        </w:rPr>
        <w:t xml:space="preserve">; this will be complemented by the </w:t>
      </w:r>
      <w:r w:rsidR="00E40AC8" w:rsidRPr="004E55B1">
        <w:rPr>
          <w:rFonts w:eastAsia="SimSun"/>
          <w:color w:val="0D0D0D" w:themeColor="text1" w:themeTint="F2"/>
          <w:sz w:val="22"/>
          <w:szCs w:val="22"/>
          <w:lang w:val="en-CA" w:eastAsia="zh-CN"/>
        </w:rPr>
        <w:t>ban on the import of HCFC-22-based equipment</w:t>
      </w:r>
      <w:r w:rsidR="00916ABF" w:rsidRPr="004E55B1">
        <w:rPr>
          <w:rFonts w:eastAsia="SimSun"/>
          <w:color w:val="0D0D0D" w:themeColor="text1" w:themeTint="F2"/>
          <w:sz w:val="22"/>
          <w:szCs w:val="22"/>
          <w:lang w:val="en-CA" w:eastAsia="zh-CN"/>
        </w:rPr>
        <w:t xml:space="preserve"> and the </w:t>
      </w:r>
      <w:r w:rsidR="00916ABF" w:rsidRPr="004E55B1">
        <w:rPr>
          <w:sz w:val="22"/>
          <w:szCs w:val="22"/>
          <w:lang w:val="en-CA"/>
        </w:rPr>
        <w:t>certification system for refrigeration technicians</w:t>
      </w:r>
      <w:r w:rsidR="00E40AC8" w:rsidRPr="004E55B1">
        <w:rPr>
          <w:rFonts w:eastAsia="SimSun"/>
          <w:color w:val="0D0D0D" w:themeColor="text1" w:themeTint="F2"/>
          <w:sz w:val="22"/>
          <w:szCs w:val="22"/>
          <w:lang w:val="en-CA" w:eastAsia="zh-CN"/>
        </w:rPr>
        <w:t>, expected by the end of 2020</w:t>
      </w:r>
      <w:r w:rsidRPr="004E55B1">
        <w:rPr>
          <w:sz w:val="22"/>
          <w:szCs w:val="22"/>
          <w:lang w:val="en-CA"/>
        </w:rPr>
        <w:t>.</w:t>
      </w:r>
      <w:r w:rsidR="006D31B0" w:rsidRPr="004E55B1">
        <w:rPr>
          <w:sz w:val="22"/>
          <w:szCs w:val="22"/>
          <w:lang w:val="en-CA"/>
        </w:rPr>
        <w:t xml:space="preserve"> The planned market survey of the solvent sector and application of ODS alternatives, and awareness-raising activities for that sector, will help ensure the phase-out of HCFCs in the solvent sector. </w:t>
      </w:r>
    </w:p>
    <w:p w14:paraId="10D0ABB0" w14:textId="04241296" w:rsidR="006C049B" w:rsidRPr="004E55B1" w:rsidRDefault="006C049B" w:rsidP="00D70D6E">
      <w:pPr>
        <w:jc w:val="both"/>
        <w:rPr>
          <w:color w:val="0D0D0D" w:themeColor="text1" w:themeTint="F2"/>
          <w:sz w:val="22"/>
          <w:szCs w:val="22"/>
          <w:u w:val="single"/>
          <w:lang w:val="en-CA"/>
        </w:rPr>
      </w:pPr>
      <w:r w:rsidRPr="004E55B1">
        <w:rPr>
          <w:color w:val="0D0D0D" w:themeColor="text1" w:themeTint="F2"/>
          <w:sz w:val="22"/>
          <w:szCs w:val="22"/>
          <w:u w:val="single"/>
          <w:lang w:val="en-CA"/>
        </w:rPr>
        <w:t>Date of completion of stage</w:t>
      </w:r>
      <w:r w:rsidR="002658D0" w:rsidRPr="004E55B1">
        <w:rPr>
          <w:color w:val="0D0D0D" w:themeColor="text1" w:themeTint="F2"/>
          <w:sz w:val="22"/>
          <w:szCs w:val="22"/>
          <w:u w:val="single"/>
          <w:lang w:val="en-CA"/>
        </w:rPr>
        <w:t> </w:t>
      </w:r>
      <w:r w:rsidRPr="004E55B1">
        <w:rPr>
          <w:color w:val="0D0D0D" w:themeColor="text1" w:themeTint="F2"/>
          <w:sz w:val="22"/>
          <w:szCs w:val="22"/>
          <w:u w:val="single"/>
          <w:lang w:val="en-CA"/>
        </w:rPr>
        <w:t>I of the HPMP</w:t>
      </w:r>
    </w:p>
    <w:p w14:paraId="3057272D" w14:textId="77777777" w:rsidR="006C049B" w:rsidRPr="004E55B1" w:rsidRDefault="006C049B" w:rsidP="00D70D6E">
      <w:pPr>
        <w:jc w:val="both"/>
        <w:rPr>
          <w:color w:val="0D0D0D" w:themeColor="text1" w:themeTint="F2"/>
          <w:sz w:val="22"/>
          <w:szCs w:val="22"/>
          <w:u w:val="single"/>
          <w:lang w:val="en-CA"/>
        </w:rPr>
      </w:pPr>
    </w:p>
    <w:p w14:paraId="1A86B195" w14:textId="0521BAB5" w:rsidR="006C049B" w:rsidRPr="004E55B1" w:rsidRDefault="006C049B" w:rsidP="00D70D6E">
      <w:pPr>
        <w:pStyle w:val="Heading1"/>
        <w:jc w:val="both"/>
        <w:rPr>
          <w:color w:val="0D0D0D" w:themeColor="text1" w:themeTint="F2"/>
          <w:sz w:val="22"/>
          <w:szCs w:val="22"/>
          <w:lang w:val="en-CA"/>
        </w:rPr>
      </w:pPr>
      <w:r w:rsidRPr="004E55B1">
        <w:rPr>
          <w:color w:val="0D0D0D" w:themeColor="text1" w:themeTint="F2"/>
          <w:sz w:val="22"/>
          <w:szCs w:val="22"/>
          <w:lang w:val="en-CA"/>
        </w:rPr>
        <w:t>UNDP indicated that stage</w:t>
      </w:r>
      <w:r w:rsidR="002658D0" w:rsidRPr="004E55B1">
        <w:rPr>
          <w:color w:val="0D0D0D" w:themeColor="text1" w:themeTint="F2"/>
          <w:sz w:val="22"/>
          <w:szCs w:val="22"/>
          <w:lang w:val="en-CA"/>
        </w:rPr>
        <w:t> </w:t>
      </w:r>
      <w:r w:rsidRPr="004E55B1">
        <w:rPr>
          <w:color w:val="0D0D0D" w:themeColor="text1" w:themeTint="F2"/>
          <w:sz w:val="22"/>
          <w:szCs w:val="22"/>
          <w:lang w:val="en-CA"/>
        </w:rPr>
        <w:t xml:space="preserve">I of the HPMP for Georgia </w:t>
      </w:r>
      <w:r w:rsidR="00091F8F" w:rsidRPr="004E55B1">
        <w:rPr>
          <w:color w:val="0D0D0D" w:themeColor="text1" w:themeTint="F2"/>
          <w:sz w:val="22"/>
          <w:szCs w:val="22"/>
          <w:lang w:val="en-CA"/>
        </w:rPr>
        <w:t>w</w:t>
      </w:r>
      <w:r w:rsidR="005A50B4" w:rsidRPr="004E55B1">
        <w:rPr>
          <w:color w:val="0D0D0D" w:themeColor="text1" w:themeTint="F2"/>
          <w:sz w:val="22"/>
          <w:szCs w:val="22"/>
          <w:lang w:val="en-CA"/>
        </w:rPr>
        <w:t>ould</w:t>
      </w:r>
      <w:r w:rsidR="00746681" w:rsidRPr="004E55B1">
        <w:rPr>
          <w:color w:val="0D0D0D" w:themeColor="text1" w:themeTint="F2"/>
          <w:sz w:val="22"/>
          <w:szCs w:val="22"/>
          <w:lang w:val="en-CA"/>
        </w:rPr>
        <w:t xml:space="preserve"> </w:t>
      </w:r>
      <w:r w:rsidRPr="004E55B1">
        <w:rPr>
          <w:color w:val="0D0D0D" w:themeColor="text1" w:themeTint="F2"/>
          <w:sz w:val="22"/>
          <w:szCs w:val="22"/>
          <w:lang w:val="en-CA"/>
        </w:rPr>
        <w:t>be completed by December</w:t>
      </w:r>
      <w:r w:rsidR="00011BBA" w:rsidRPr="004E55B1">
        <w:rPr>
          <w:color w:val="0D0D0D" w:themeColor="text1" w:themeTint="F2"/>
          <w:sz w:val="22"/>
          <w:szCs w:val="22"/>
          <w:lang w:val="en-CA"/>
        </w:rPr>
        <w:t> </w:t>
      </w:r>
      <w:r w:rsidRPr="004E55B1">
        <w:rPr>
          <w:color w:val="0D0D0D" w:themeColor="text1" w:themeTint="F2"/>
          <w:sz w:val="22"/>
          <w:szCs w:val="22"/>
          <w:lang w:val="en-CA"/>
        </w:rPr>
        <w:t xml:space="preserve">2021 as established in the Agreement. </w:t>
      </w:r>
    </w:p>
    <w:p w14:paraId="3C575880" w14:textId="77777777" w:rsidR="006C049B" w:rsidRPr="004E55B1" w:rsidRDefault="006C049B" w:rsidP="00523ED5">
      <w:pPr>
        <w:keepNext/>
        <w:jc w:val="both"/>
        <w:rPr>
          <w:color w:val="0D0D0D" w:themeColor="text1" w:themeTint="F2"/>
          <w:sz w:val="22"/>
          <w:szCs w:val="22"/>
          <w:u w:val="single"/>
          <w:lang w:val="en-CA"/>
        </w:rPr>
      </w:pPr>
      <w:r w:rsidRPr="004E55B1">
        <w:rPr>
          <w:color w:val="0D0D0D" w:themeColor="text1" w:themeTint="F2"/>
          <w:sz w:val="22"/>
          <w:szCs w:val="22"/>
          <w:u w:val="single"/>
          <w:lang w:val="en-CA"/>
        </w:rPr>
        <w:t>Conclusion</w:t>
      </w:r>
    </w:p>
    <w:p w14:paraId="7DEB0941" w14:textId="77777777" w:rsidR="006C049B" w:rsidRPr="004E55B1" w:rsidRDefault="006C049B" w:rsidP="00523ED5">
      <w:pPr>
        <w:keepNext/>
        <w:jc w:val="both"/>
        <w:rPr>
          <w:color w:val="0D0D0D" w:themeColor="text1" w:themeTint="F2"/>
          <w:sz w:val="22"/>
          <w:szCs w:val="22"/>
          <w:lang w:val="en-CA"/>
        </w:rPr>
      </w:pPr>
    </w:p>
    <w:p w14:paraId="3CCEEBE3" w14:textId="75F772AC" w:rsidR="006C049B" w:rsidRPr="004E55B1" w:rsidRDefault="006C049B" w:rsidP="00523ED5">
      <w:pPr>
        <w:pStyle w:val="Heading1"/>
        <w:keepNext/>
        <w:jc w:val="both"/>
        <w:rPr>
          <w:color w:val="0D0D0D" w:themeColor="text1" w:themeTint="F2"/>
          <w:sz w:val="22"/>
          <w:szCs w:val="22"/>
          <w:lang w:val="en-CA"/>
        </w:rPr>
      </w:pPr>
      <w:r w:rsidRPr="004E55B1">
        <w:rPr>
          <w:color w:val="0D0D0D" w:themeColor="text1" w:themeTint="F2"/>
          <w:sz w:val="22"/>
          <w:szCs w:val="22"/>
          <w:lang w:val="en-CA"/>
        </w:rPr>
        <w:t>The Government of Georgia is making progress in implementing its stage</w:t>
      </w:r>
      <w:r w:rsidR="002658D0" w:rsidRPr="004E55B1">
        <w:rPr>
          <w:color w:val="0D0D0D" w:themeColor="text1" w:themeTint="F2"/>
          <w:sz w:val="22"/>
          <w:szCs w:val="22"/>
          <w:lang w:val="en-CA"/>
        </w:rPr>
        <w:t> </w:t>
      </w:r>
      <w:r w:rsidRPr="004E55B1">
        <w:rPr>
          <w:color w:val="0D0D0D" w:themeColor="text1" w:themeTint="F2"/>
          <w:sz w:val="22"/>
          <w:szCs w:val="22"/>
          <w:lang w:val="en-CA"/>
        </w:rPr>
        <w:t>I HPMP despite the rescheduling of the activities related to the demonstration project and solvent sector to the fourth tranche. The 2019 consumption of HCFCs was 42</w:t>
      </w:r>
      <w:r w:rsidR="002658D0" w:rsidRPr="004E55B1">
        <w:rPr>
          <w:color w:val="0D0D0D" w:themeColor="text1" w:themeTint="F2"/>
          <w:sz w:val="22"/>
          <w:szCs w:val="22"/>
          <w:lang w:val="en-CA"/>
        </w:rPr>
        <w:t> </w:t>
      </w:r>
      <w:r w:rsidRPr="004E55B1">
        <w:rPr>
          <w:color w:val="0D0D0D" w:themeColor="text1" w:themeTint="F2"/>
          <w:sz w:val="22"/>
          <w:szCs w:val="22"/>
          <w:lang w:val="en-CA"/>
        </w:rPr>
        <w:t>per cent lower than the maximum allowable consumption in the Agreement, and there has been zero reported consumption of HCFC</w:t>
      </w:r>
      <w:r w:rsidR="002B39DC" w:rsidRPr="004E55B1">
        <w:rPr>
          <w:color w:val="0D0D0D" w:themeColor="text1" w:themeTint="F2"/>
          <w:sz w:val="22"/>
          <w:szCs w:val="22"/>
          <w:lang w:val="en-CA"/>
        </w:rPr>
        <w:t>s in the solvent sector</w:t>
      </w:r>
      <w:r w:rsidRPr="004E55B1">
        <w:rPr>
          <w:color w:val="0D0D0D" w:themeColor="text1" w:themeTint="F2"/>
          <w:sz w:val="22"/>
          <w:szCs w:val="22"/>
          <w:lang w:val="en-CA"/>
        </w:rPr>
        <w:t xml:space="preserve"> since 2011. The country has an operational licensing and quota system and the legal framework is being further strengthened with stricter penalties for illegal imports</w:t>
      </w:r>
      <w:r w:rsidR="002B39DC" w:rsidRPr="004E55B1">
        <w:rPr>
          <w:color w:val="0D0D0D" w:themeColor="text1" w:themeTint="F2"/>
          <w:sz w:val="22"/>
          <w:szCs w:val="22"/>
          <w:lang w:val="en-CA"/>
        </w:rPr>
        <w:t>,</w:t>
      </w:r>
      <w:r w:rsidRPr="004E55B1">
        <w:rPr>
          <w:color w:val="0D0D0D" w:themeColor="text1" w:themeTint="F2"/>
          <w:sz w:val="22"/>
          <w:szCs w:val="22"/>
          <w:lang w:val="en-CA"/>
        </w:rPr>
        <w:t xml:space="preserve"> and further enhancements are being made to the RAC certification system to align it with EU regulations. The level of disbursement of the third tranche is 45</w:t>
      </w:r>
      <w:r w:rsidR="002658D0" w:rsidRPr="004E55B1">
        <w:rPr>
          <w:color w:val="0D0D0D" w:themeColor="text1" w:themeTint="F2"/>
          <w:sz w:val="22"/>
          <w:szCs w:val="22"/>
          <w:lang w:val="en-CA"/>
        </w:rPr>
        <w:t> </w:t>
      </w:r>
      <w:r w:rsidRPr="004E55B1">
        <w:rPr>
          <w:color w:val="0D0D0D" w:themeColor="text1" w:themeTint="F2"/>
          <w:sz w:val="22"/>
          <w:szCs w:val="22"/>
          <w:lang w:val="en-CA"/>
        </w:rPr>
        <w:t>per cent and the overall disbursement rate has reached 77</w:t>
      </w:r>
      <w:r w:rsidR="002658D0" w:rsidRPr="004E55B1">
        <w:rPr>
          <w:color w:val="0D0D0D" w:themeColor="text1" w:themeTint="F2"/>
          <w:sz w:val="22"/>
          <w:szCs w:val="22"/>
          <w:lang w:val="en-CA"/>
        </w:rPr>
        <w:t> </w:t>
      </w:r>
      <w:r w:rsidRPr="004E55B1">
        <w:rPr>
          <w:color w:val="0D0D0D" w:themeColor="text1" w:themeTint="F2"/>
          <w:sz w:val="22"/>
          <w:szCs w:val="22"/>
          <w:lang w:val="en-CA"/>
        </w:rPr>
        <w:t xml:space="preserve">per cent. The activities so far implemented and those planned </w:t>
      </w:r>
      <w:r w:rsidRPr="004E55B1">
        <w:rPr>
          <w:color w:val="0D0D0D" w:themeColor="text1" w:themeTint="F2"/>
          <w:sz w:val="22"/>
          <w:szCs w:val="22"/>
          <w:lang w:val="en-CA"/>
        </w:rPr>
        <w:lastRenderedPageBreak/>
        <w:t xml:space="preserve">under the fourth tranche will continue to support the country meet its compliance obligations under the Protocol. </w:t>
      </w:r>
    </w:p>
    <w:p w14:paraId="693C453E" w14:textId="77777777" w:rsidR="006C049B" w:rsidRPr="004E55B1" w:rsidRDefault="006C049B" w:rsidP="007C287E">
      <w:pPr>
        <w:keepNext/>
        <w:jc w:val="both"/>
        <w:rPr>
          <w:color w:val="0D0D0D" w:themeColor="text1" w:themeTint="F2"/>
          <w:sz w:val="22"/>
          <w:szCs w:val="22"/>
          <w:lang w:val="en-CA"/>
        </w:rPr>
      </w:pPr>
      <w:r w:rsidRPr="004E55B1">
        <w:rPr>
          <w:b/>
          <w:color w:val="0D0D0D" w:themeColor="text1" w:themeTint="F2"/>
          <w:sz w:val="22"/>
          <w:szCs w:val="22"/>
          <w:lang w:val="en-CA"/>
        </w:rPr>
        <w:t>RECOMMENDATION</w:t>
      </w:r>
    </w:p>
    <w:p w14:paraId="48395D4D" w14:textId="77777777" w:rsidR="006C049B" w:rsidRPr="004E55B1" w:rsidRDefault="006C049B" w:rsidP="007C287E">
      <w:pPr>
        <w:keepNext/>
        <w:jc w:val="both"/>
        <w:rPr>
          <w:color w:val="0D0D0D" w:themeColor="text1" w:themeTint="F2"/>
          <w:sz w:val="22"/>
          <w:szCs w:val="22"/>
          <w:lang w:val="en-CA"/>
        </w:rPr>
      </w:pPr>
    </w:p>
    <w:p w14:paraId="7A81B24C" w14:textId="2DB6CA8F" w:rsidR="006C049B" w:rsidRPr="004E55B1" w:rsidRDefault="006C049B" w:rsidP="00C1643E">
      <w:pPr>
        <w:pStyle w:val="Heading1"/>
        <w:jc w:val="both"/>
        <w:rPr>
          <w:sz w:val="22"/>
          <w:szCs w:val="22"/>
          <w:lang w:val="en-CA"/>
        </w:rPr>
      </w:pPr>
      <w:r w:rsidRPr="004E55B1">
        <w:rPr>
          <w:color w:val="0D0D0D" w:themeColor="text1" w:themeTint="F2"/>
          <w:sz w:val="22"/>
          <w:szCs w:val="22"/>
          <w:lang w:val="en-CA"/>
        </w:rPr>
        <w:t>The Fund Secretariat recommend</w:t>
      </w:r>
      <w:r w:rsidR="00011BBA" w:rsidRPr="004E55B1">
        <w:rPr>
          <w:color w:val="0D0D0D" w:themeColor="text1" w:themeTint="F2"/>
          <w:sz w:val="22"/>
          <w:szCs w:val="22"/>
          <w:lang w:val="en-CA"/>
        </w:rPr>
        <w:t>s that the Executive Committee t</w:t>
      </w:r>
      <w:r w:rsidRPr="004E55B1">
        <w:rPr>
          <w:sz w:val="22"/>
          <w:szCs w:val="22"/>
          <w:lang w:val="en-CA"/>
        </w:rPr>
        <w:t>akes note of the progress report on the implementation of the third tranche of stage I of the HCFC phase-out management plan of (HPMP) for Georgia; and</w:t>
      </w:r>
      <w:r w:rsidR="00011BBA" w:rsidRPr="004E55B1">
        <w:rPr>
          <w:sz w:val="22"/>
          <w:szCs w:val="22"/>
          <w:lang w:val="en-CA"/>
        </w:rPr>
        <w:t xml:space="preserve"> f</w:t>
      </w:r>
      <w:r w:rsidRPr="004E55B1">
        <w:rPr>
          <w:sz w:val="22"/>
          <w:szCs w:val="22"/>
          <w:lang w:val="en-CA"/>
        </w:rPr>
        <w:t>urther recommends blanket approval of the fourth and final tranche of stage I of the HPMP for Georgia, and the corresponding 2020</w:t>
      </w:r>
      <w:r w:rsidR="002658D0" w:rsidRPr="004E55B1">
        <w:rPr>
          <w:sz w:val="22"/>
          <w:szCs w:val="22"/>
          <w:lang w:val="en-CA"/>
        </w:rPr>
        <w:t>-2021</w:t>
      </w:r>
      <w:r w:rsidRPr="004E55B1">
        <w:rPr>
          <w:sz w:val="22"/>
          <w:szCs w:val="22"/>
          <w:lang w:val="en-CA"/>
        </w:rPr>
        <w:t xml:space="preserve"> tranche implementation plan, at the funding </w:t>
      </w:r>
      <w:r w:rsidR="008C3B45" w:rsidRPr="004E55B1">
        <w:rPr>
          <w:sz w:val="22"/>
          <w:szCs w:val="22"/>
          <w:lang w:val="en-CA"/>
        </w:rPr>
        <w:t>level shown in the table below</w:t>
      </w:r>
      <w:r w:rsidR="008C3B45" w:rsidRPr="004E55B1">
        <w:rPr>
          <w:color w:val="0D0D0D" w:themeColor="text1" w:themeTint="F2"/>
          <w:sz w:val="22"/>
          <w:szCs w:val="22"/>
          <w:lang w:val="en-CA"/>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6C049B" w:rsidRPr="004E55B1" w14:paraId="05242673" w14:textId="77777777" w:rsidTr="00744A16">
        <w:tc>
          <w:tcPr>
            <w:tcW w:w="540" w:type="dxa"/>
          </w:tcPr>
          <w:p w14:paraId="5CA200BC" w14:textId="77777777" w:rsidR="006C049B" w:rsidRPr="004E55B1" w:rsidRDefault="006C049B" w:rsidP="00011BBA">
            <w:pPr>
              <w:jc w:val="center"/>
              <w:rPr>
                <w:b/>
                <w:bCs/>
                <w:color w:val="0D0D0D" w:themeColor="text1" w:themeTint="F2"/>
                <w:sz w:val="20"/>
                <w:szCs w:val="20"/>
                <w:lang w:val="en-CA"/>
              </w:rPr>
            </w:pPr>
          </w:p>
        </w:tc>
        <w:tc>
          <w:tcPr>
            <w:tcW w:w="4320" w:type="dxa"/>
            <w:vAlign w:val="center"/>
          </w:tcPr>
          <w:p w14:paraId="4E031CEA" w14:textId="77777777" w:rsidR="006C049B" w:rsidRPr="004E55B1" w:rsidRDefault="006C049B" w:rsidP="00011BBA">
            <w:pPr>
              <w:jc w:val="center"/>
              <w:rPr>
                <w:b/>
                <w:bCs/>
                <w:color w:val="0D0D0D" w:themeColor="text1" w:themeTint="F2"/>
                <w:sz w:val="20"/>
                <w:szCs w:val="20"/>
                <w:lang w:val="en-CA"/>
              </w:rPr>
            </w:pPr>
            <w:r w:rsidRPr="004E55B1">
              <w:rPr>
                <w:b/>
                <w:bCs/>
                <w:color w:val="0D0D0D" w:themeColor="text1" w:themeTint="F2"/>
                <w:sz w:val="20"/>
                <w:szCs w:val="20"/>
                <w:lang w:val="en-CA"/>
              </w:rPr>
              <w:t>Project title</w:t>
            </w:r>
          </w:p>
        </w:tc>
        <w:tc>
          <w:tcPr>
            <w:tcW w:w="1461" w:type="dxa"/>
            <w:tcMar>
              <w:left w:w="29" w:type="dxa"/>
              <w:right w:w="29" w:type="dxa"/>
            </w:tcMar>
          </w:tcPr>
          <w:p w14:paraId="68791712" w14:textId="08E77A7C" w:rsidR="006C049B" w:rsidRPr="004E55B1" w:rsidRDefault="006C049B" w:rsidP="00011BBA">
            <w:pPr>
              <w:jc w:val="center"/>
              <w:rPr>
                <w:b/>
                <w:bCs/>
                <w:color w:val="0D0D0D" w:themeColor="text1" w:themeTint="F2"/>
                <w:sz w:val="20"/>
                <w:szCs w:val="20"/>
                <w:lang w:val="en-CA"/>
              </w:rPr>
            </w:pPr>
            <w:r w:rsidRPr="004E55B1">
              <w:rPr>
                <w:b/>
                <w:bCs/>
                <w:color w:val="0D0D0D" w:themeColor="text1" w:themeTint="F2"/>
                <w:sz w:val="20"/>
                <w:szCs w:val="20"/>
                <w:lang w:val="en-CA"/>
              </w:rPr>
              <w:t>Project funding (</w:t>
            </w:r>
            <w:r w:rsidR="00744A16" w:rsidRPr="004E55B1">
              <w:rPr>
                <w:b/>
                <w:bCs/>
                <w:color w:val="0D0D0D" w:themeColor="text1" w:themeTint="F2"/>
                <w:sz w:val="20"/>
                <w:szCs w:val="20"/>
                <w:lang w:val="en-CA"/>
              </w:rPr>
              <w:t>US $</w:t>
            </w:r>
            <w:r w:rsidRPr="004E55B1">
              <w:rPr>
                <w:b/>
                <w:bCs/>
                <w:color w:val="0D0D0D" w:themeColor="text1" w:themeTint="F2"/>
                <w:sz w:val="20"/>
                <w:szCs w:val="20"/>
                <w:lang w:val="en-CA"/>
              </w:rPr>
              <w:t>)</w:t>
            </w:r>
          </w:p>
        </w:tc>
        <w:tc>
          <w:tcPr>
            <w:tcW w:w="1461" w:type="dxa"/>
            <w:tcMar>
              <w:left w:w="29" w:type="dxa"/>
              <w:right w:w="29" w:type="dxa"/>
            </w:tcMar>
          </w:tcPr>
          <w:p w14:paraId="0876F41F" w14:textId="00C5BD77" w:rsidR="006C049B" w:rsidRPr="004E55B1" w:rsidRDefault="006C049B" w:rsidP="00011BBA">
            <w:pPr>
              <w:jc w:val="center"/>
              <w:rPr>
                <w:b/>
                <w:bCs/>
                <w:color w:val="0D0D0D" w:themeColor="text1" w:themeTint="F2"/>
                <w:sz w:val="20"/>
                <w:szCs w:val="20"/>
                <w:lang w:val="en-CA"/>
              </w:rPr>
            </w:pPr>
            <w:r w:rsidRPr="004E55B1">
              <w:rPr>
                <w:b/>
                <w:bCs/>
                <w:color w:val="0D0D0D" w:themeColor="text1" w:themeTint="F2"/>
                <w:sz w:val="20"/>
                <w:szCs w:val="20"/>
                <w:lang w:val="en-CA"/>
              </w:rPr>
              <w:t>Support cost (</w:t>
            </w:r>
            <w:r w:rsidR="00744A16" w:rsidRPr="004E55B1">
              <w:rPr>
                <w:b/>
                <w:bCs/>
                <w:color w:val="0D0D0D" w:themeColor="text1" w:themeTint="F2"/>
                <w:sz w:val="20"/>
                <w:szCs w:val="20"/>
                <w:lang w:val="en-CA"/>
              </w:rPr>
              <w:t>US $</w:t>
            </w:r>
            <w:r w:rsidRPr="004E55B1">
              <w:rPr>
                <w:b/>
                <w:bCs/>
                <w:color w:val="0D0D0D" w:themeColor="text1" w:themeTint="F2"/>
                <w:sz w:val="20"/>
                <w:szCs w:val="20"/>
                <w:lang w:val="en-CA"/>
              </w:rPr>
              <w:t>)</w:t>
            </w:r>
          </w:p>
        </w:tc>
        <w:tc>
          <w:tcPr>
            <w:tcW w:w="1461" w:type="dxa"/>
            <w:tcMar>
              <w:left w:w="29" w:type="dxa"/>
              <w:right w:w="29" w:type="dxa"/>
            </w:tcMar>
          </w:tcPr>
          <w:p w14:paraId="567FEFEC" w14:textId="77777777" w:rsidR="006C049B" w:rsidRPr="004E55B1" w:rsidRDefault="006C049B" w:rsidP="00011BBA">
            <w:pPr>
              <w:jc w:val="center"/>
              <w:rPr>
                <w:b/>
                <w:bCs/>
                <w:color w:val="0D0D0D" w:themeColor="text1" w:themeTint="F2"/>
                <w:sz w:val="20"/>
                <w:szCs w:val="20"/>
                <w:lang w:val="en-CA"/>
              </w:rPr>
            </w:pPr>
            <w:r w:rsidRPr="004E55B1">
              <w:rPr>
                <w:b/>
                <w:bCs/>
                <w:color w:val="0D0D0D" w:themeColor="text1" w:themeTint="F2"/>
                <w:sz w:val="20"/>
                <w:szCs w:val="20"/>
                <w:lang w:val="en-CA"/>
              </w:rPr>
              <w:t>Implementing agency</w:t>
            </w:r>
          </w:p>
        </w:tc>
      </w:tr>
      <w:tr w:rsidR="006C049B" w:rsidRPr="00FF7DB5" w14:paraId="717899ED" w14:textId="77777777" w:rsidTr="00744A16">
        <w:tc>
          <w:tcPr>
            <w:tcW w:w="540" w:type="dxa"/>
          </w:tcPr>
          <w:p w14:paraId="56E3CAF7" w14:textId="77777777" w:rsidR="006C049B" w:rsidRPr="004E55B1" w:rsidRDefault="006C049B" w:rsidP="00E41C29">
            <w:pPr>
              <w:jc w:val="both"/>
              <w:rPr>
                <w:color w:val="0D0D0D" w:themeColor="text1" w:themeTint="F2"/>
                <w:sz w:val="20"/>
                <w:szCs w:val="20"/>
                <w:lang w:val="en-CA"/>
              </w:rPr>
            </w:pPr>
            <w:r w:rsidRPr="004E55B1">
              <w:rPr>
                <w:color w:val="0D0D0D" w:themeColor="text1" w:themeTint="F2"/>
                <w:sz w:val="20"/>
                <w:szCs w:val="20"/>
                <w:lang w:val="en-CA"/>
              </w:rPr>
              <w:t>(a)</w:t>
            </w:r>
          </w:p>
        </w:tc>
        <w:tc>
          <w:tcPr>
            <w:tcW w:w="4320" w:type="dxa"/>
          </w:tcPr>
          <w:p w14:paraId="7BEE409D" w14:textId="77777777" w:rsidR="006C049B" w:rsidRPr="004E55B1" w:rsidRDefault="006C049B" w:rsidP="00E41C29">
            <w:pPr>
              <w:jc w:val="both"/>
              <w:rPr>
                <w:color w:val="0D0D0D" w:themeColor="text1" w:themeTint="F2"/>
                <w:sz w:val="20"/>
                <w:szCs w:val="20"/>
                <w:lang w:val="en-CA"/>
              </w:rPr>
            </w:pPr>
            <w:r w:rsidRPr="004E55B1">
              <w:rPr>
                <w:color w:val="0D0D0D" w:themeColor="text1" w:themeTint="F2"/>
                <w:sz w:val="20"/>
                <w:szCs w:val="20"/>
                <w:lang w:val="en-CA"/>
              </w:rPr>
              <w:t>HCFC phase-out management plan (stage I, fourth tranche)</w:t>
            </w:r>
          </w:p>
        </w:tc>
        <w:tc>
          <w:tcPr>
            <w:tcW w:w="1461" w:type="dxa"/>
          </w:tcPr>
          <w:p w14:paraId="7E31D3E6" w14:textId="77777777" w:rsidR="006C049B" w:rsidRPr="004E55B1" w:rsidRDefault="006C049B" w:rsidP="00011BBA">
            <w:pPr>
              <w:jc w:val="right"/>
              <w:rPr>
                <w:color w:val="0D0D0D" w:themeColor="text1" w:themeTint="F2"/>
                <w:sz w:val="20"/>
                <w:szCs w:val="20"/>
                <w:lang w:val="en-CA"/>
              </w:rPr>
            </w:pPr>
            <w:r w:rsidRPr="004E55B1">
              <w:rPr>
                <w:color w:val="0D0D0D" w:themeColor="text1" w:themeTint="F2"/>
                <w:sz w:val="20"/>
                <w:szCs w:val="20"/>
                <w:lang w:val="en-CA"/>
              </w:rPr>
              <w:t>31,500</w:t>
            </w:r>
          </w:p>
        </w:tc>
        <w:tc>
          <w:tcPr>
            <w:tcW w:w="1461" w:type="dxa"/>
          </w:tcPr>
          <w:p w14:paraId="589B0AFA" w14:textId="77777777" w:rsidR="006C049B" w:rsidRPr="004E55B1" w:rsidRDefault="006C049B" w:rsidP="00011BBA">
            <w:pPr>
              <w:jc w:val="right"/>
              <w:rPr>
                <w:color w:val="0D0D0D" w:themeColor="text1" w:themeTint="F2"/>
                <w:sz w:val="20"/>
                <w:szCs w:val="20"/>
                <w:lang w:val="en-CA"/>
              </w:rPr>
            </w:pPr>
            <w:r w:rsidRPr="004E55B1">
              <w:rPr>
                <w:color w:val="0D0D0D" w:themeColor="text1" w:themeTint="F2"/>
                <w:sz w:val="20"/>
                <w:szCs w:val="20"/>
                <w:lang w:val="en-CA"/>
              </w:rPr>
              <w:t>2,363</w:t>
            </w:r>
          </w:p>
        </w:tc>
        <w:tc>
          <w:tcPr>
            <w:tcW w:w="1461" w:type="dxa"/>
          </w:tcPr>
          <w:p w14:paraId="4F00EC5D" w14:textId="77777777" w:rsidR="006C049B" w:rsidRPr="00FF7DB5" w:rsidRDefault="006C049B" w:rsidP="00011BBA">
            <w:pPr>
              <w:jc w:val="right"/>
              <w:rPr>
                <w:color w:val="0D0D0D" w:themeColor="text1" w:themeTint="F2"/>
                <w:sz w:val="20"/>
                <w:szCs w:val="20"/>
                <w:lang w:val="en-CA"/>
              </w:rPr>
            </w:pPr>
            <w:r w:rsidRPr="004E55B1">
              <w:rPr>
                <w:color w:val="0D0D0D" w:themeColor="text1" w:themeTint="F2"/>
                <w:sz w:val="20"/>
                <w:szCs w:val="20"/>
                <w:lang w:val="en-CA"/>
              </w:rPr>
              <w:t>UNDP</w:t>
            </w:r>
          </w:p>
        </w:tc>
      </w:tr>
    </w:tbl>
    <w:p w14:paraId="3AB619C0" w14:textId="77777777" w:rsidR="006C049B" w:rsidRPr="00FF7DB5" w:rsidRDefault="006C049B" w:rsidP="00E41C29">
      <w:pPr>
        <w:jc w:val="both"/>
        <w:rPr>
          <w:color w:val="0D0D0D" w:themeColor="text1" w:themeTint="F2"/>
          <w:lang w:val="en-CA"/>
        </w:rPr>
      </w:pPr>
    </w:p>
    <w:p w14:paraId="7706AFF1" w14:textId="7194B040" w:rsidR="006C049B" w:rsidRPr="00FF7DB5" w:rsidRDefault="006C049B" w:rsidP="00E41C29">
      <w:pPr>
        <w:jc w:val="both"/>
        <w:rPr>
          <w:color w:val="0D0D0D" w:themeColor="text1" w:themeTint="F2"/>
          <w:lang w:val="en-CA"/>
        </w:rPr>
      </w:pPr>
    </w:p>
    <w:p w14:paraId="703A7504" w14:textId="77777777" w:rsidR="001A0FF7" w:rsidRPr="00FF7DB5" w:rsidRDefault="001A0FF7" w:rsidP="00E41C29">
      <w:pPr>
        <w:jc w:val="both"/>
        <w:rPr>
          <w:color w:val="0D0D0D" w:themeColor="text1" w:themeTint="F2"/>
          <w:lang w:val="en-CA"/>
        </w:rPr>
      </w:pPr>
    </w:p>
    <w:p w14:paraId="56989E8B" w14:textId="77777777" w:rsidR="006C049B" w:rsidRPr="00FF7DB5" w:rsidRDefault="006C049B" w:rsidP="00E41C29">
      <w:pPr>
        <w:jc w:val="both"/>
        <w:rPr>
          <w:color w:val="0D0D0D" w:themeColor="text1" w:themeTint="F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6C049B" w:rsidRPr="00FF7DB5" w14:paraId="7BEBB58F" w14:textId="77777777" w:rsidTr="00724F2A">
        <w:tc>
          <w:tcPr>
            <w:tcW w:w="1871" w:type="dxa"/>
          </w:tcPr>
          <w:p w14:paraId="38072D36" w14:textId="77777777" w:rsidR="006C049B" w:rsidRPr="00FF7DB5" w:rsidRDefault="006C049B" w:rsidP="00F400CE">
            <w:pPr>
              <w:rPr>
                <w:color w:val="0D0D0D" w:themeColor="text1" w:themeTint="F2"/>
                <w:lang w:val="en-CA"/>
              </w:rPr>
            </w:pPr>
          </w:p>
        </w:tc>
        <w:tc>
          <w:tcPr>
            <w:tcW w:w="1872" w:type="dxa"/>
          </w:tcPr>
          <w:p w14:paraId="065E4DFB" w14:textId="77777777" w:rsidR="006C049B" w:rsidRPr="00FF7DB5" w:rsidRDefault="006C049B" w:rsidP="00F400CE">
            <w:pPr>
              <w:rPr>
                <w:color w:val="0D0D0D" w:themeColor="text1" w:themeTint="F2"/>
                <w:lang w:val="en-CA"/>
              </w:rPr>
            </w:pPr>
          </w:p>
        </w:tc>
        <w:tc>
          <w:tcPr>
            <w:tcW w:w="1872" w:type="dxa"/>
            <w:tcBorders>
              <w:bottom w:val="single" w:sz="4" w:space="0" w:color="auto"/>
            </w:tcBorders>
          </w:tcPr>
          <w:p w14:paraId="6AE25618" w14:textId="77777777" w:rsidR="006C049B" w:rsidRPr="00FF7DB5" w:rsidRDefault="006C049B" w:rsidP="00F400CE">
            <w:pPr>
              <w:rPr>
                <w:color w:val="0D0D0D" w:themeColor="text1" w:themeTint="F2"/>
                <w:lang w:val="en-CA"/>
              </w:rPr>
            </w:pPr>
          </w:p>
        </w:tc>
        <w:tc>
          <w:tcPr>
            <w:tcW w:w="1872" w:type="dxa"/>
          </w:tcPr>
          <w:p w14:paraId="080DD49A" w14:textId="77777777" w:rsidR="006C049B" w:rsidRPr="00FF7DB5" w:rsidRDefault="006C049B" w:rsidP="00F400CE">
            <w:pPr>
              <w:rPr>
                <w:color w:val="0D0D0D" w:themeColor="text1" w:themeTint="F2"/>
                <w:lang w:val="en-CA"/>
              </w:rPr>
            </w:pPr>
          </w:p>
        </w:tc>
        <w:tc>
          <w:tcPr>
            <w:tcW w:w="1873" w:type="dxa"/>
          </w:tcPr>
          <w:p w14:paraId="15A1D16B" w14:textId="77777777" w:rsidR="006C049B" w:rsidRPr="00FF7DB5" w:rsidRDefault="006C049B" w:rsidP="00F400CE">
            <w:pPr>
              <w:rPr>
                <w:color w:val="0D0D0D" w:themeColor="text1" w:themeTint="F2"/>
                <w:lang w:val="en-CA"/>
              </w:rPr>
            </w:pPr>
          </w:p>
        </w:tc>
      </w:tr>
    </w:tbl>
    <w:p w14:paraId="1CA117ED" w14:textId="77777777" w:rsidR="006C049B" w:rsidRPr="00FF7DB5" w:rsidRDefault="006C049B" w:rsidP="00E41C29">
      <w:pPr>
        <w:jc w:val="both"/>
        <w:rPr>
          <w:color w:val="0D0D0D" w:themeColor="text1" w:themeTint="F2"/>
          <w:lang w:val="en-CA"/>
        </w:rPr>
      </w:pPr>
    </w:p>
    <w:p w14:paraId="02FE983C" w14:textId="23A4A2EB" w:rsidR="00087AFC" w:rsidRPr="00FF7DB5" w:rsidRDefault="00087AFC" w:rsidP="00E41C29">
      <w:pPr>
        <w:pStyle w:val="StyleHeader4Para4Left0Firstline0"/>
        <w:numPr>
          <w:ilvl w:val="0"/>
          <w:numId w:val="0"/>
        </w:numPr>
        <w:jc w:val="both"/>
        <w:rPr>
          <w:lang w:val="en-CA"/>
        </w:rPr>
      </w:pPr>
    </w:p>
    <w:sectPr w:rsidR="00087AFC" w:rsidRPr="00FF7DB5"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426F4" w14:textId="77777777" w:rsidR="00D045C1" w:rsidRDefault="00D045C1" w:rsidP="004A504B">
      <w:r>
        <w:separator/>
      </w:r>
    </w:p>
  </w:endnote>
  <w:endnote w:type="continuationSeparator" w:id="0">
    <w:p w14:paraId="3E8CDCC1" w14:textId="77777777" w:rsidR="00D045C1" w:rsidRDefault="00D045C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7D91" w14:textId="446C68C3" w:rsidR="00893214" w:rsidRPr="0033525D" w:rsidRDefault="00893214">
    <w:pPr>
      <w:jc w:val="center"/>
    </w:pPr>
    <w:r>
      <w:fldChar w:fldCharType="begin"/>
    </w:r>
    <w:r>
      <w:instrText xml:space="preserve"> PAGE </w:instrText>
    </w:r>
    <w:r>
      <w:fldChar w:fldCharType="separate"/>
    </w:r>
    <w:r w:rsidR="00EA5E03">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C4F5" w14:textId="25AEFF81" w:rsidR="00893214" w:rsidRPr="00660164" w:rsidRDefault="00893214">
    <w:pPr>
      <w:jc w:val="center"/>
      <w:rPr>
        <w:sz w:val="22"/>
        <w:szCs w:val="22"/>
      </w:rPr>
    </w:pPr>
    <w:r w:rsidRPr="00660164">
      <w:rPr>
        <w:sz w:val="22"/>
        <w:szCs w:val="22"/>
      </w:rPr>
      <w:fldChar w:fldCharType="begin"/>
    </w:r>
    <w:r w:rsidRPr="00660164">
      <w:rPr>
        <w:sz w:val="22"/>
        <w:szCs w:val="22"/>
      </w:rPr>
      <w:instrText xml:space="preserve"> PAGE </w:instrText>
    </w:r>
    <w:r w:rsidRPr="00660164">
      <w:rPr>
        <w:sz w:val="22"/>
        <w:szCs w:val="22"/>
      </w:rPr>
      <w:fldChar w:fldCharType="separate"/>
    </w:r>
    <w:r w:rsidR="00EA5E03">
      <w:rPr>
        <w:noProof/>
        <w:sz w:val="22"/>
        <w:szCs w:val="22"/>
      </w:rPr>
      <w:t>7</w:t>
    </w:r>
    <w:r w:rsidRPr="00660164">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AB88" w14:textId="77777777" w:rsidR="00893214" w:rsidRDefault="00893214"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67553ED2" w14:textId="77777777" w:rsidR="00893214" w:rsidRDefault="00893214"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D54F6" w14:textId="77777777" w:rsidR="00D045C1" w:rsidRDefault="00D045C1" w:rsidP="004A504B">
      <w:r>
        <w:separator/>
      </w:r>
    </w:p>
  </w:footnote>
  <w:footnote w:type="continuationSeparator" w:id="0">
    <w:p w14:paraId="52702056" w14:textId="77777777" w:rsidR="00D045C1" w:rsidRDefault="00D045C1" w:rsidP="004A504B">
      <w:r>
        <w:continuationSeparator/>
      </w:r>
    </w:p>
  </w:footnote>
  <w:footnote w:id="1">
    <w:p w14:paraId="241679A6" w14:textId="70AB3715" w:rsidR="00893214" w:rsidRPr="00D32B3E" w:rsidRDefault="00893214" w:rsidP="00011BBA">
      <w:pPr>
        <w:pStyle w:val="FootnoteText"/>
        <w:rPr>
          <w:lang w:val="en-CA"/>
        </w:rPr>
      </w:pPr>
      <w:r w:rsidRPr="00D32B3E">
        <w:rPr>
          <w:rStyle w:val="FootnoteReference"/>
        </w:rPr>
        <w:footnoteRef/>
      </w:r>
      <w:r w:rsidRPr="00D32B3E">
        <w:t xml:space="preserve"> </w:t>
      </w:r>
      <w:r w:rsidRPr="00D32B3E">
        <w:rPr>
          <w:lang w:val="en-CA"/>
        </w:rPr>
        <w:t>As per the letter of 12 March 2020 from the Ministry of Environmental Protection and Agriculture of Georgia to the Secretariat.</w:t>
      </w:r>
    </w:p>
  </w:footnote>
  <w:footnote w:id="2">
    <w:p w14:paraId="185F479B" w14:textId="3DAA9838" w:rsidR="00893214" w:rsidRPr="00D32B3E" w:rsidRDefault="00893214">
      <w:pPr>
        <w:pStyle w:val="FootnoteText"/>
      </w:pPr>
      <w:r w:rsidRPr="00D32B3E">
        <w:rPr>
          <w:rStyle w:val="FootnoteReference"/>
        </w:rPr>
        <w:footnoteRef/>
      </w:r>
      <w:r w:rsidRPr="00D32B3E">
        <w:t xml:space="preserve"> Information to be provided related </w:t>
      </w:r>
      <w:r>
        <w:t xml:space="preserve">to </w:t>
      </w:r>
      <w:r w:rsidRPr="00D32B3E">
        <w:t>demonstration and pilot projects directed to end users.</w:t>
      </w:r>
    </w:p>
  </w:footnote>
  <w:footnote w:id="3">
    <w:p w14:paraId="0D4591DA" w14:textId="234582C6" w:rsidR="00893214" w:rsidRPr="00D32B3E" w:rsidRDefault="00893214" w:rsidP="002954B1">
      <w:pPr>
        <w:pStyle w:val="FootnoteText"/>
        <w:jc w:val="both"/>
        <w:rPr>
          <w:lang w:val="en-CA"/>
        </w:rPr>
      </w:pPr>
      <w:r w:rsidRPr="00D32B3E">
        <w:rPr>
          <w:rStyle w:val="FootnoteReference"/>
        </w:rPr>
        <w:footnoteRef/>
      </w:r>
      <w:r w:rsidRPr="00D32B3E">
        <w:t xml:space="preserve"> </w:t>
      </w:r>
      <w:r w:rsidRPr="00D32B3E">
        <w:rPr>
          <w:lang w:val="en-CA"/>
        </w:rPr>
        <w:t>Decision</w:t>
      </w:r>
      <w:r w:rsidR="002954B1">
        <w:rPr>
          <w:lang w:val="en-CA"/>
        </w:rPr>
        <w:t> </w:t>
      </w:r>
      <w:r w:rsidRPr="00D32B3E">
        <w:rPr>
          <w:lang w:val="en-CA"/>
        </w:rPr>
        <w:t>84/92(d) requested bilateral and implementing agencies to apply the operational policy on gender mainstreaming throughout the project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7C69" w14:textId="01B20216" w:rsidR="00893214" w:rsidRPr="00660164" w:rsidRDefault="00893214">
    <w:pPr>
      <w:rPr>
        <w:sz w:val="22"/>
        <w:szCs w:val="22"/>
      </w:rPr>
    </w:pPr>
    <w:r w:rsidRPr="00660164">
      <w:rPr>
        <w:sz w:val="22"/>
        <w:szCs w:val="22"/>
      </w:rPr>
      <w:fldChar w:fldCharType="begin"/>
    </w:r>
    <w:r w:rsidRPr="00660164">
      <w:rPr>
        <w:sz w:val="22"/>
        <w:szCs w:val="22"/>
      </w:rPr>
      <w:instrText xml:space="preserve"> DOCPROPERTY "Document number"  \* MERGEFORMAT </w:instrText>
    </w:r>
    <w:r w:rsidRPr="00660164">
      <w:rPr>
        <w:sz w:val="22"/>
        <w:szCs w:val="22"/>
      </w:rPr>
      <w:fldChar w:fldCharType="separate"/>
    </w:r>
    <w:r w:rsidR="007C287E">
      <w:rPr>
        <w:sz w:val="22"/>
        <w:szCs w:val="22"/>
      </w:rPr>
      <w:t>UNEP/OzL.Pro/ExCom/85/27</w:t>
    </w:r>
    <w:r w:rsidRPr="00660164">
      <w:rPr>
        <w:sz w:val="22"/>
        <w:szCs w:val="22"/>
      </w:rPr>
      <w:fldChar w:fldCharType="end"/>
    </w:r>
  </w:p>
  <w:p w14:paraId="1DC2A761" w14:textId="77777777" w:rsidR="00893214" w:rsidRPr="0033525D" w:rsidRDefault="00893214"/>
  <w:p w14:paraId="4F9C08FB" w14:textId="77777777" w:rsidR="00893214" w:rsidRPr="0033525D" w:rsidRDefault="008932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3E03" w14:textId="0BE3DAD8" w:rsidR="00893214" w:rsidRPr="00660164" w:rsidRDefault="00893214">
    <w:pPr>
      <w:jc w:val="right"/>
      <w:rPr>
        <w:sz w:val="22"/>
        <w:szCs w:val="22"/>
      </w:rPr>
    </w:pPr>
    <w:r w:rsidRPr="00660164">
      <w:rPr>
        <w:sz w:val="22"/>
        <w:szCs w:val="22"/>
      </w:rPr>
      <w:fldChar w:fldCharType="begin"/>
    </w:r>
    <w:r w:rsidRPr="00660164">
      <w:rPr>
        <w:sz w:val="22"/>
        <w:szCs w:val="22"/>
      </w:rPr>
      <w:instrText xml:space="preserve"> DOCPROPERTY "Document number"  \* MERGEFORMAT </w:instrText>
    </w:r>
    <w:r w:rsidRPr="00660164">
      <w:rPr>
        <w:sz w:val="22"/>
        <w:szCs w:val="22"/>
      </w:rPr>
      <w:fldChar w:fldCharType="separate"/>
    </w:r>
    <w:r w:rsidR="007C287E">
      <w:rPr>
        <w:sz w:val="22"/>
        <w:szCs w:val="22"/>
      </w:rPr>
      <w:t>UNEP/OzL.Pro/ExCom/85/27</w:t>
    </w:r>
    <w:r w:rsidRPr="00660164">
      <w:rPr>
        <w:sz w:val="22"/>
        <w:szCs w:val="22"/>
      </w:rPr>
      <w:fldChar w:fldCharType="end"/>
    </w:r>
  </w:p>
  <w:p w14:paraId="796FD433" w14:textId="77777777" w:rsidR="00893214" w:rsidRPr="0033525D" w:rsidRDefault="00893214"/>
  <w:p w14:paraId="522CA3EF" w14:textId="77777777" w:rsidR="00893214" w:rsidRPr="0033525D" w:rsidRDefault="00893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Axt7A0MTFS0lEKTi0uzszPAykwrwUA/wcnRSwAAAA="/>
  </w:docVars>
  <w:rsids>
    <w:rsidRoot w:val="006C049B"/>
    <w:rsid w:val="00000FED"/>
    <w:rsid w:val="0000434E"/>
    <w:rsid w:val="00011BBA"/>
    <w:rsid w:val="00017233"/>
    <w:rsid w:val="0002213A"/>
    <w:rsid w:val="00027178"/>
    <w:rsid w:val="00031260"/>
    <w:rsid w:val="0003681A"/>
    <w:rsid w:val="000554FD"/>
    <w:rsid w:val="00055A9D"/>
    <w:rsid w:val="000565EB"/>
    <w:rsid w:val="00056942"/>
    <w:rsid w:val="00065D34"/>
    <w:rsid w:val="00066902"/>
    <w:rsid w:val="00072B13"/>
    <w:rsid w:val="00080DB1"/>
    <w:rsid w:val="00080ED0"/>
    <w:rsid w:val="00085B8F"/>
    <w:rsid w:val="00087AFC"/>
    <w:rsid w:val="00090481"/>
    <w:rsid w:val="00091A22"/>
    <w:rsid w:val="00091F8F"/>
    <w:rsid w:val="000A13B7"/>
    <w:rsid w:val="000A671A"/>
    <w:rsid w:val="000B0B81"/>
    <w:rsid w:val="000C71D1"/>
    <w:rsid w:val="000E07BC"/>
    <w:rsid w:val="000F0713"/>
    <w:rsid w:val="000F1CD4"/>
    <w:rsid w:val="000F3FBA"/>
    <w:rsid w:val="000F4103"/>
    <w:rsid w:val="000F6A1E"/>
    <w:rsid w:val="000F70A7"/>
    <w:rsid w:val="001049B8"/>
    <w:rsid w:val="00105ACD"/>
    <w:rsid w:val="00113635"/>
    <w:rsid w:val="001137AA"/>
    <w:rsid w:val="00123EA2"/>
    <w:rsid w:val="001308F4"/>
    <w:rsid w:val="001327AF"/>
    <w:rsid w:val="0013491F"/>
    <w:rsid w:val="00135980"/>
    <w:rsid w:val="00144270"/>
    <w:rsid w:val="00154357"/>
    <w:rsid w:val="001577B9"/>
    <w:rsid w:val="00164719"/>
    <w:rsid w:val="00166FC4"/>
    <w:rsid w:val="001677AC"/>
    <w:rsid w:val="00180CD1"/>
    <w:rsid w:val="001862A6"/>
    <w:rsid w:val="00190A61"/>
    <w:rsid w:val="00196A45"/>
    <w:rsid w:val="001A0FF7"/>
    <w:rsid w:val="001A113A"/>
    <w:rsid w:val="001A3342"/>
    <w:rsid w:val="001A3E3D"/>
    <w:rsid w:val="001B1E40"/>
    <w:rsid w:val="001B2D24"/>
    <w:rsid w:val="001C15C0"/>
    <w:rsid w:val="001C764E"/>
    <w:rsid w:val="001E1052"/>
    <w:rsid w:val="001E21B1"/>
    <w:rsid w:val="001E2CEB"/>
    <w:rsid w:val="001E2E08"/>
    <w:rsid w:val="001E2F93"/>
    <w:rsid w:val="001E61E5"/>
    <w:rsid w:val="001F2159"/>
    <w:rsid w:val="001F43E5"/>
    <w:rsid w:val="001F64DF"/>
    <w:rsid w:val="00210BFE"/>
    <w:rsid w:val="00227F4F"/>
    <w:rsid w:val="00231E7F"/>
    <w:rsid w:val="002339A4"/>
    <w:rsid w:val="002453FE"/>
    <w:rsid w:val="00253222"/>
    <w:rsid w:val="00254125"/>
    <w:rsid w:val="00262E06"/>
    <w:rsid w:val="002658D0"/>
    <w:rsid w:val="00291880"/>
    <w:rsid w:val="002954B1"/>
    <w:rsid w:val="002A5830"/>
    <w:rsid w:val="002A7978"/>
    <w:rsid w:val="002A7EB4"/>
    <w:rsid w:val="002B39DC"/>
    <w:rsid w:val="002B6EBE"/>
    <w:rsid w:val="002B72E9"/>
    <w:rsid w:val="002D673D"/>
    <w:rsid w:val="002E1D44"/>
    <w:rsid w:val="002F37E3"/>
    <w:rsid w:val="002F6E3D"/>
    <w:rsid w:val="0030065C"/>
    <w:rsid w:val="00311465"/>
    <w:rsid w:val="00326FCB"/>
    <w:rsid w:val="003306E1"/>
    <w:rsid w:val="003320E4"/>
    <w:rsid w:val="0033525D"/>
    <w:rsid w:val="003368BE"/>
    <w:rsid w:val="003414F3"/>
    <w:rsid w:val="0035613E"/>
    <w:rsid w:val="00360937"/>
    <w:rsid w:val="00363EE9"/>
    <w:rsid w:val="00364091"/>
    <w:rsid w:val="00370316"/>
    <w:rsid w:val="0037077B"/>
    <w:rsid w:val="003713FA"/>
    <w:rsid w:val="00376128"/>
    <w:rsid w:val="00376A7B"/>
    <w:rsid w:val="0037742E"/>
    <w:rsid w:val="0038245A"/>
    <w:rsid w:val="0039337A"/>
    <w:rsid w:val="00396605"/>
    <w:rsid w:val="003A2328"/>
    <w:rsid w:val="003A3189"/>
    <w:rsid w:val="003A50BA"/>
    <w:rsid w:val="003A75A9"/>
    <w:rsid w:val="003B3973"/>
    <w:rsid w:val="003B3AB8"/>
    <w:rsid w:val="003B569D"/>
    <w:rsid w:val="003C3C0E"/>
    <w:rsid w:val="003D4FAC"/>
    <w:rsid w:val="003D6F6F"/>
    <w:rsid w:val="003E1A24"/>
    <w:rsid w:val="003E7906"/>
    <w:rsid w:val="003F3C50"/>
    <w:rsid w:val="0040042A"/>
    <w:rsid w:val="00404C69"/>
    <w:rsid w:val="00406A6A"/>
    <w:rsid w:val="00406B22"/>
    <w:rsid w:val="004149B9"/>
    <w:rsid w:val="00417F26"/>
    <w:rsid w:val="00432279"/>
    <w:rsid w:val="004328A7"/>
    <w:rsid w:val="00432BBA"/>
    <w:rsid w:val="00434C74"/>
    <w:rsid w:val="004558CC"/>
    <w:rsid w:val="00456EB4"/>
    <w:rsid w:val="00470584"/>
    <w:rsid w:val="004718F3"/>
    <w:rsid w:val="00475040"/>
    <w:rsid w:val="00485464"/>
    <w:rsid w:val="0049241E"/>
    <w:rsid w:val="00493D40"/>
    <w:rsid w:val="004A504B"/>
    <w:rsid w:val="004A6911"/>
    <w:rsid w:val="004B29A9"/>
    <w:rsid w:val="004B54E0"/>
    <w:rsid w:val="004B7384"/>
    <w:rsid w:val="004C4269"/>
    <w:rsid w:val="004C56EC"/>
    <w:rsid w:val="004D6236"/>
    <w:rsid w:val="004D7C74"/>
    <w:rsid w:val="004E1E10"/>
    <w:rsid w:val="004E4C07"/>
    <w:rsid w:val="004E4DBB"/>
    <w:rsid w:val="004E55B1"/>
    <w:rsid w:val="004E6F27"/>
    <w:rsid w:val="004E7329"/>
    <w:rsid w:val="004E7F9C"/>
    <w:rsid w:val="004F3493"/>
    <w:rsid w:val="005052CC"/>
    <w:rsid w:val="00512B09"/>
    <w:rsid w:val="00513FD5"/>
    <w:rsid w:val="00515D24"/>
    <w:rsid w:val="00516283"/>
    <w:rsid w:val="00521D2C"/>
    <w:rsid w:val="00523ED5"/>
    <w:rsid w:val="00525226"/>
    <w:rsid w:val="00533C57"/>
    <w:rsid w:val="00534E41"/>
    <w:rsid w:val="00555D75"/>
    <w:rsid w:val="00560DF0"/>
    <w:rsid w:val="00576917"/>
    <w:rsid w:val="005815BC"/>
    <w:rsid w:val="005830D3"/>
    <w:rsid w:val="005A50B4"/>
    <w:rsid w:val="005A68C5"/>
    <w:rsid w:val="005B4873"/>
    <w:rsid w:val="005B48FF"/>
    <w:rsid w:val="005B5434"/>
    <w:rsid w:val="005C2781"/>
    <w:rsid w:val="005C7A40"/>
    <w:rsid w:val="005E05AA"/>
    <w:rsid w:val="005E72C0"/>
    <w:rsid w:val="005F4FDB"/>
    <w:rsid w:val="00600A67"/>
    <w:rsid w:val="006012A7"/>
    <w:rsid w:val="00610464"/>
    <w:rsid w:val="006127C9"/>
    <w:rsid w:val="006141C1"/>
    <w:rsid w:val="006158D5"/>
    <w:rsid w:val="00620D85"/>
    <w:rsid w:val="00625D83"/>
    <w:rsid w:val="0063686B"/>
    <w:rsid w:val="00640311"/>
    <w:rsid w:val="006430B8"/>
    <w:rsid w:val="0065556F"/>
    <w:rsid w:val="00660164"/>
    <w:rsid w:val="006623CA"/>
    <w:rsid w:val="006623E7"/>
    <w:rsid w:val="00662B80"/>
    <w:rsid w:val="006852C7"/>
    <w:rsid w:val="00687328"/>
    <w:rsid w:val="0069797E"/>
    <w:rsid w:val="006A7948"/>
    <w:rsid w:val="006C049B"/>
    <w:rsid w:val="006C1727"/>
    <w:rsid w:val="006C32FD"/>
    <w:rsid w:val="006D0FCC"/>
    <w:rsid w:val="006D31B0"/>
    <w:rsid w:val="006E0D57"/>
    <w:rsid w:val="006F3ACE"/>
    <w:rsid w:val="006F5B67"/>
    <w:rsid w:val="007032A1"/>
    <w:rsid w:val="00705F83"/>
    <w:rsid w:val="0070616B"/>
    <w:rsid w:val="00706FDA"/>
    <w:rsid w:val="00710B7E"/>
    <w:rsid w:val="00711F9A"/>
    <w:rsid w:val="00713810"/>
    <w:rsid w:val="00717CF4"/>
    <w:rsid w:val="00724F2A"/>
    <w:rsid w:val="007303A5"/>
    <w:rsid w:val="00730B3E"/>
    <w:rsid w:val="0073420B"/>
    <w:rsid w:val="007357BE"/>
    <w:rsid w:val="00744A16"/>
    <w:rsid w:val="00746681"/>
    <w:rsid w:val="0074760E"/>
    <w:rsid w:val="00754ABA"/>
    <w:rsid w:val="00760F9F"/>
    <w:rsid w:val="007659DA"/>
    <w:rsid w:val="007715DA"/>
    <w:rsid w:val="00772373"/>
    <w:rsid w:val="00786D5F"/>
    <w:rsid w:val="007A1546"/>
    <w:rsid w:val="007A228C"/>
    <w:rsid w:val="007A368E"/>
    <w:rsid w:val="007A5868"/>
    <w:rsid w:val="007A7E0E"/>
    <w:rsid w:val="007B04CE"/>
    <w:rsid w:val="007B1E28"/>
    <w:rsid w:val="007B3D87"/>
    <w:rsid w:val="007B598C"/>
    <w:rsid w:val="007B6871"/>
    <w:rsid w:val="007C1C13"/>
    <w:rsid w:val="007C287E"/>
    <w:rsid w:val="007C3D33"/>
    <w:rsid w:val="007C3E3C"/>
    <w:rsid w:val="007D294A"/>
    <w:rsid w:val="007D47D2"/>
    <w:rsid w:val="007D5F87"/>
    <w:rsid w:val="007D6A3D"/>
    <w:rsid w:val="007D6EC0"/>
    <w:rsid w:val="007D7E1D"/>
    <w:rsid w:val="007E300E"/>
    <w:rsid w:val="007F616E"/>
    <w:rsid w:val="007F7D88"/>
    <w:rsid w:val="0080164F"/>
    <w:rsid w:val="008063BA"/>
    <w:rsid w:val="0081133E"/>
    <w:rsid w:val="0081240F"/>
    <w:rsid w:val="00813B1D"/>
    <w:rsid w:val="00815E85"/>
    <w:rsid w:val="00846B77"/>
    <w:rsid w:val="00863230"/>
    <w:rsid w:val="008701B5"/>
    <w:rsid w:val="008717D8"/>
    <w:rsid w:val="0087215C"/>
    <w:rsid w:val="0088470B"/>
    <w:rsid w:val="0088740D"/>
    <w:rsid w:val="008875FE"/>
    <w:rsid w:val="00887F8E"/>
    <w:rsid w:val="00891BAB"/>
    <w:rsid w:val="00893214"/>
    <w:rsid w:val="00894808"/>
    <w:rsid w:val="00896234"/>
    <w:rsid w:val="00897E43"/>
    <w:rsid w:val="008B17EB"/>
    <w:rsid w:val="008C3B45"/>
    <w:rsid w:val="008C4731"/>
    <w:rsid w:val="008C5738"/>
    <w:rsid w:val="008C736A"/>
    <w:rsid w:val="008C7EAD"/>
    <w:rsid w:val="008D24D9"/>
    <w:rsid w:val="008D6152"/>
    <w:rsid w:val="008E4C97"/>
    <w:rsid w:val="008E68E8"/>
    <w:rsid w:val="008F0F81"/>
    <w:rsid w:val="008F41E6"/>
    <w:rsid w:val="0090186A"/>
    <w:rsid w:val="00906628"/>
    <w:rsid w:val="00916ABF"/>
    <w:rsid w:val="00923540"/>
    <w:rsid w:val="009236C2"/>
    <w:rsid w:val="00924C21"/>
    <w:rsid w:val="009255E1"/>
    <w:rsid w:val="00926767"/>
    <w:rsid w:val="00931D86"/>
    <w:rsid w:val="009361D5"/>
    <w:rsid w:val="00942841"/>
    <w:rsid w:val="00943014"/>
    <w:rsid w:val="009433E0"/>
    <w:rsid w:val="00943495"/>
    <w:rsid w:val="00952C15"/>
    <w:rsid w:val="00955106"/>
    <w:rsid w:val="009659F4"/>
    <w:rsid w:val="00970D60"/>
    <w:rsid w:val="00974580"/>
    <w:rsid w:val="00981A40"/>
    <w:rsid w:val="00983D1F"/>
    <w:rsid w:val="0098608C"/>
    <w:rsid w:val="00992027"/>
    <w:rsid w:val="0099367A"/>
    <w:rsid w:val="009A7ADC"/>
    <w:rsid w:val="009A7B6E"/>
    <w:rsid w:val="009B1CB9"/>
    <w:rsid w:val="009B2AF5"/>
    <w:rsid w:val="009C0C2A"/>
    <w:rsid w:val="009C19B7"/>
    <w:rsid w:val="009C6266"/>
    <w:rsid w:val="009D7C51"/>
    <w:rsid w:val="009F36BF"/>
    <w:rsid w:val="00A111B6"/>
    <w:rsid w:val="00A27845"/>
    <w:rsid w:val="00A42436"/>
    <w:rsid w:val="00A42A99"/>
    <w:rsid w:val="00A42C4C"/>
    <w:rsid w:val="00A47530"/>
    <w:rsid w:val="00A5151A"/>
    <w:rsid w:val="00A6309A"/>
    <w:rsid w:val="00A72D4F"/>
    <w:rsid w:val="00A76B94"/>
    <w:rsid w:val="00A80CAC"/>
    <w:rsid w:val="00A80DF0"/>
    <w:rsid w:val="00A823F6"/>
    <w:rsid w:val="00A852F9"/>
    <w:rsid w:val="00A867CC"/>
    <w:rsid w:val="00A924D8"/>
    <w:rsid w:val="00A92ED1"/>
    <w:rsid w:val="00A945CC"/>
    <w:rsid w:val="00AA0A89"/>
    <w:rsid w:val="00AA4961"/>
    <w:rsid w:val="00AB6237"/>
    <w:rsid w:val="00AB6B49"/>
    <w:rsid w:val="00AB7364"/>
    <w:rsid w:val="00AC01AA"/>
    <w:rsid w:val="00AC3935"/>
    <w:rsid w:val="00AC4F72"/>
    <w:rsid w:val="00AD3468"/>
    <w:rsid w:val="00AE6771"/>
    <w:rsid w:val="00AF31E2"/>
    <w:rsid w:val="00AF65F4"/>
    <w:rsid w:val="00AF741A"/>
    <w:rsid w:val="00AF78D0"/>
    <w:rsid w:val="00B04161"/>
    <w:rsid w:val="00B056F9"/>
    <w:rsid w:val="00B10BA2"/>
    <w:rsid w:val="00B11E3D"/>
    <w:rsid w:val="00B13355"/>
    <w:rsid w:val="00B17E82"/>
    <w:rsid w:val="00B40778"/>
    <w:rsid w:val="00B45176"/>
    <w:rsid w:val="00B55263"/>
    <w:rsid w:val="00B575BA"/>
    <w:rsid w:val="00B626D6"/>
    <w:rsid w:val="00B745BA"/>
    <w:rsid w:val="00B7526D"/>
    <w:rsid w:val="00B76429"/>
    <w:rsid w:val="00B84E8E"/>
    <w:rsid w:val="00B87FD8"/>
    <w:rsid w:val="00B956D4"/>
    <w:rsid w:val="00BA0D38"/>
    <w:rsid w:val="00BA6AEC"/>
    <w:rsid w:val="00BA7432"/>
    <w:rsid w:val="00BC1AA0"/>
    <w:rsid w:val="00BC7EB9"/>
    <w:rsid w:val="00BD1808"/>
    <w:rsid w:val="00BD2643"/>
    <w:rsid w:val="00BD42C2"/>
    <w:rsid w:val="00BD6558"/>
    <w:rsid w:val="00BE08BF"/>
    <w:rsid w:val="00BF3214"/>
    <w:rsid w:val="00C04C59"/>
    <w:rsid w:val="00C04ED4"/>
    <w:rsid w:val="00C15867"/>
    <w:rsid w:val="00C2296D"/>
    <w:rsid w:val="00C23155"/>
    <w:rsid w:val="00C35A52"/>
    <w:rsid w:val="00C37428"/>
    <w:rsid w:val="00C40C41"/>
    <w:rsid w:val="00C42515"/>
    <w:rsid w:val="00C43175"/>
    <w:rsid w:val="00C45885"/>
    <w:rsid w:val="00C50F22"/>
    <w:rsid w:val="00C57971"/>
    <w:rsid w:val="00C76BA4"/>
    <w:rsid w:val="00C83A48"/>
    <w:rsid w:val="00C85865"/>
    <w:rsid w:val="00C85E85"/>
    <w:rsid w:val="00C91400"/>
    <w:rsid w:val="00CA2EAE"/>
    <w:rsid w:val="00CA4AC1"/>
    <w:rsid w:val="00CA6280"/>
    <w:rsid w:val="00CA74DB"/>
    <w:rsid w:val="00CB0316"/>
    <w:rsid w:val="00CB0B11"/>
    <w:rsid w:val="00CB17F9"/>
    <w:rsid w:val="00CB5354"/>
    <w:rsid w:val="00CC1445"/>
    <w:rsid w:val="00CC5CA4"/>
    <w:rsid w:val="00CC6A14"/>
    <w:rsid w:val="00CC70A3"/>
    <w:rsid w:val="00CC78EE"/>
    <w:rsid w:val="00CC7960"/>
    <w:rsid w:val="00CD53C3"/>
    <w:rsid w:val="00CD574E"/>
    <w:rsid w:val="00CE4C22"/>
    <w:rsid w:val="00CF0544"/>
    <w:rsid w:val="00CF41EC"/>
    <w:rsid w:val="00CF5D04"/>
    <w:rsid w:val="00D027F0"/>
    <w:rsid w:val="00D045C1"/>
    <w:rsid w:val="00D04DC7"/>
    <w:rsid w:val="00D04DE4"/>
    <w:rsid w:val="00D063F1"/>
    <w:rsid w:val="00D14F22"/>
    <w:rsid w:val="00D22EC0"/>
    <w:rsid w:val="00D24723"/>
    <w:rsid w:val="00D26687"/>
    <w:rsid w:val="00D32B3E"/>
    <w:rsid w:val="00D42237"/>
    <w:rsid w:val="00D4718A"/>
    <w:rsid w:val="00D57918"/>
    <w:rsid w:val="00D620FF"/>
    <w:rsid w:val="00D70D6E"/>
    <w:rsid w:val="00D731B5"/>
    <w:rsid w:val="00D73DC6"/>
    <w:rsid w:val="00D74C1A"/>
    <w:rsid w:val="00D754C1"/>
    <w:rsid w:val="00D77A35"/>
    <w:rsid w:val="00D81B3E"/>
    <w:rsid w:val="00D8296B"/>
    <w:rsid w:val="00D90C70"/>
    <w:rsid w:val="00D90E49"/>
    <w:rsid w:val="00DA166F"/>
    <w:rsid w:val="00DA1E99"/>
    <w:rsid w:val="00DC3660"/>
    <w:rsid w:val="00DC6A10"/>
    <w:rsid w:val="00DD1C6C"/>
    <w:rsid w:val="00DD5630"/>
    <w:rsid w:val="00DE1D5E"/>
    <w:rsid w:val="00DE3F39"/>
    <w:rsid w:val="00DE4F84"/>
    <w:rsid w:val="00DE657E"/>
    <w:rsid w:val="00DF4704"/>
    <w:rsid w:val="00E024AA"/>
    <w:rsid w:val="00E16D12"/>
    <w:rsid w:val="00E2440B"/>
    <w:rsid w:val="00E250F1"/>
    <w:rsid w:val="00E3550D"/>
    <w:rsid w:val="00E40AC8"/>
    <w:rsid w:val="00E41C29"/>
    <w:rsid w:val="00E5791F"/>
    <w:rsid w:val="00E614E0"/>
    <w:rsid w:val="00E66ED8"/>
    <w:rsid w:val="00E73F7F"/>
    <w:rsid w:val="00E84DB2"/>
    <w:rsid w:val="00EA2887"/>
    <w:rsid w:val="00EA429F"/>
    <w:rsid w:val="00EA4F9E"/>
    <w:rsid w:val="00EA5E03"/>
    <w:rsid w:val="00EA6D3B"/>
    <w:rsid w:val="00EB00AD"/>
    <w:rsid w:val="00EB03E7"/>
    <w:rsid w:val="00EB136C"/>
    <w:rsid w:val="00EB4070"/>
    <w:rsid w:val="00EB480E"/>
    <w:rsid w:val="00EB5EC6"/>
    <w:rsid w:val="00EB7FC9"/>
    <w:rsid w:val="00EC3578"/>
    <w:rsid w:val="00EC5043"/>
    <w:rsid w:val="00ED7137"/>
    <w:rsid w:val="00EF65CE"/>
    <w:rsid w:val="00F036EB"/>
    <w:rsid w:val="00F04EEC"/>
    <w:rsid w:val="00F1248E"/>
    <w:rsid w:val="00F21088"/>
    <w:rsid w:val="00F2351E"/>
    <w:rsid w:val="00F327E7"/>
    <w:rsid w:val="00F32A5F"/>
    <w:rsid w:val="00F34CE9"/>
    <w:rsid w:val="00F35214"/>
    <w:rsid w:val="00F35746"/>
    <w:rsid w:val="00F36371"/>
    <w:rsid w:val="00F400CE"/>
    <w:rsid w:val="00F447C7"/>
    <w:rsid w:val="00F554A9"/>
    <w:rsid w:val="00F716FD"/>
    <w:rsid w:val="00F721B6"/>
    <w:rsid w:val="00F7222B"/>
    <w:rsid w:val="00F74573"/>
    <w:rsid w:val="00F80355"/>
    <w:rsid w:val="00FA31C1"/>
    <w:rsid w:val="00FA530C"/>
    <w:rsid w:val="00FB0C81"/>
    <w:rsid w:val="00FC0FD5"/>
    <w:rsid w:val="00FC1A2E"/>
    <w:rsid w:val="00FC2200"/>
    <w:rsid w:val="00FC2540"/>
    <w:rsid w:val="00FE3364"/>
    <w:rsid w:val="00FF0204"/>
    <w:rsid w:val="00FF0B73"/>
    <w:rsid w:val="00FF1B8E"/>
    <w:rsid w:val="00FF3AED"/>
    <w:rsid w:val="00FF7DB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E6C15"/>
  <w15:docId w15:val="{92BD97A4-9580-4C9A-95F9-55DE4772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B7"/>
    <w:rPr>
      <w:sz w:val="24"/>
      <w:szCs w:val="24"/>
      <w:lang w:val="en-GB" w:eastAsia="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标题 41,He=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aliases w:val="List Paragraph1,List Paragraph (numbered (a)),Lapis Bulleted List,WB Para,List Square,маркированный,Bullets,Akapit z listą BS,Абзац списка1,List 100s,References,WB List Paragraph,Dot pt,F5 List Paragraph,Indicator Text,L"/>
    <w:basedOn w:val="Normal"/>
    <w:link w:val="ListParagraphChar"/>
    <w:uiPriority w:val="34"/>
    <w:qFormat/>
    <w:rsid w:val="006C049B"/>
    <w:pPr>
      <w:ind w:left="720"/>
      <w:contextualSpacing/>
    </w:p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C049B"/>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C049B"/>
    <w:rPr>
      <w:lang w:val="en-GB"/>
    </w:rPr>
  </w:style>
  <w:style w:type="character" w:styleId="FootnoteReference">
    <w:name w:val="footnote reference"/>
    <w:aliases w:val="Footnote Text1,Footnote Text2,Footnote text"/>
    <w:basedOn w:val="DefaultParagraphFont"/>
    <w:uiPriority w:val="99"/>
    <w:unhideWhenUsed/>
    <w:rsid w:val="006C049B"/>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6C049B"/>
    <w:rPr>
      <w:sz w:val="22"/>
      <w:szCs w:val="22"/>
      <w:lang w:val="en-GB"/>
    </w:rPr>
  </w:style>
  <w:style w:type="character" w:customStyle="1" w:styleId="ListParagraphChar">
    <w:name w:val="List Paragraph Char"/>
    <w:aliases w:val="List Paragraph1 Char,List Paragraph (numbered (a)) Char,Lapis Bulleted List Char,WB Para Char,List Square Char,маркированный Char,Bullets Char,Akapit z listą BS Char,Абзац списка1 Char,List 100s Char,References Char,Dot pt Char"/>
    <w:link w:val="ListParagraph"/>
    <w:uiPriority w:val="34"/>
    <w:locked/>
    <w:rsid w:val="006C049B"/>
    <w:rPr>
      <w:sz w:val="22"/>
      <w:szCs w:val="22"/>
      <w:lang w:val="en-GB"/>
    </w:rPr>
  </w:style>
  <w:style w:type="paragraph" w:styleId="Revision">
    <w:name w:val="Revision"/>
    <w:hidden/>
    <w:uiPriority w:val="99"/>
    <w:semiHidden/>
    <w:rsid w:val="00710B7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4135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Eec85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UNEP/OzL.Pro/ExCom/85/27</Document_x0020_Number>
    <DocumentType xmlns="64e33b30-101d-41de-b951-961aab25ea29">Pre-session</DocumentType>
  </documentManagement>
</p:properties>
</file>

<file path=customXml/itemProps1.xml><?xml version="1.0" encoding="utf-8"?>
<ds:datastoreItem xmlns:ds="http://schemas.openxmlformats.org/officeDocument/2006/customXml" ds:itemID="{297D82F7-DE56-4851-96B3-BBDCD0DCB1CE}"/>
</file>

<file path=customXml/itemProps2.xml><?xml version="1.0" encoding="utf-8"?>
<ds:datastoreItem xmlns:ds="http://schemas.openxmlformats.org/officeDocument/2006/customXml" ds:itemID="{C534EF2C-E2B0-4C81-A840-F7D5913B6240}"/>
</file>

<file path=customXml/itemProps3.xml><?xml version="1.0" encoding="utf-8"?>
<ds:datastoreItem xmlns:ds="http://schemas.openxmlformats.org/officeDocument/2006/customXml" ds:itemID="{8633DCD9-51B4-48B6-BB51-5F9C4088E7CC}"/>
</file>

<file path=customXml/itemProps4.xml><?xml version="1.0" encoding="utf-8"?>
<ds:datastoreItem xmlns:ds="http://schemas.openxmlformats.org/officeDocument/2006/customXml" ds:itemID="{A691FE16-B9CE-473F-B7A6-456BC986B5A0}"/>
</file>

<file path=docProps/app.xml><?xml version="1.0" encoding="utf-8"?>
<Properties xmlns="http://schemas.openxmlformats.org/officeDocument/2006/extended-properties" xmlns:vt="http://schemas.openxmlformats.org/officeDocument/2006/docPropsVTypes">
  <Template>Eec85L</Template>
  <TotalTime>20</TotalTime>
  <Pages>8</Pages>
  <Words>2723</Words>
  <Characters>15314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Project proposal:  Georgia</vt:lpstr>
    </vt:vector>
  </TitlesOfParts>
  <Company>UNMFS</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Georgia</dc:title>
  <dc:subject>85th</dc:subject>
  <dc:creator>Gebruiker</dc:creator>
  <dc:description>FSM</dc:description>
  <cp:lastModifiedBy>Patricia Chau</cp:lastModifiedBy>
  <cp:revision>5</cp:revision>
  <cp:lastPrinted>2001-05-26T16:40:00Z</cp:lastPrinted>
  <dcterms:created xsi:type="dcterms:W3CDTF">2020-05-04T14:59:00Z</dcterms:created>
  <dcterms:modified xsi:type="dcterms:W3CDTF">2020-05-04T15:32:00Z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UNEP/OzL.Pro/ExCom/85/27</vt:lpwstr>
  </property>
  <property fmtid="{D5CDD505-2E9C-101B-9397-08002B2CF9AE}" pid="3" name="Revision date">
    <vt:lpwstr>05/4/2020</vt:lpwstr>
  </property>
  <property fmtid="{D5CDD505-2E9C-101B-9397-08002B2CF9AE}" pid="4" name="ContentTypeId">
    <vt:lpwstr>0x0101005EC4716D3F019F488CE3B89D33B3E908</vt:lpwstr>
  </property>
</Properties>
</file>