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4991"/>
        <w:gridCol w:w="3544"/>
      </w:tblGrid>
      <w:tr w:rsidR="00441083" w:rsidRPr="00C81624" w14:paraId="57BD9542" w14:textId="77777777">
        <w:trPr>
          <w:trHeight w:val="720"/>
        </w:trPr>
        <w:tc>
          <w:tcPr>
            <w:tcW w:w="7061" w:type="dxa"/>
            <w:gridSpan w:val="2"/>
            <w:tcBorders>
              <w:bottom w:val="single" w:sz="18" w:space="0" w:color="auto"/>
            </w:tcBorders>
          </w:tcPr>
          <w:p w14:paraId="01DA2E61" w14:textId="77777777" w:rsidR="00441083" w:rsidRPr="00C81624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  <w:b/>
                <w:sz w:val="28"/>
                <w:szCs w:val="28"/>
              </w:rPr>
            </w:pPr>
            <w:r w:rsidRPr="00C81624">
              <w:rPr>
                <w:rFonts w:ascii="Univers" w:hAnsi="Univers"/>
                <w:b/>
                <w:sz w:val="28"/>
                <w:szCs w:val="28"/>
              </w:rPr>
              <w:t>NATIONS</w:t>
            </w:r>
          </w:p>
          <w:p w14:paraId="2A31E5E7" w14:textId="77777777" w:rsidR="00441083" w:rsidRPr="00C81624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sz w:val="28"/>
                <w:szCs w:val="28"/>
              </w:rPr>
            </w:pPr>
            <w:r w:rsidRPr="00C81624">
              <w:rPr>
                <w:rFonts w:ascii="Univers" w:hAnsi="Univers"/>
                <w:b/>
                <w:sz w:val="28"/>
                <w:szCs w:val="28"/>
              </w:rPr>
              <w:t xml:space="preserve">UNIES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574D9E45" w14:textId="77777777" w:rsidR="00441083" w:rsidRPr="00C81624" w:rsidRDefault="00E60D9C">
            <w:pPr>
              <w:tabs>
                <w:tab w:val="left" w:pos="3010"/>
              </w:tabs>
              <w:jc w:val="center"/>
              <w:rPr>
                <w:sz w:val="52"/>
                <w:szCs w:val="52"/>
              </w:rPr>
            </w:pPr>
            <w:r w:rsidRPr="00C81624">
              <w:rPr>
                <w:rFonts w:ascii="Univers Bold" w:hAnsi="Univers Bold"/>
                <w:b/>
                <w:sz w:val="72"/>
              </w:rPr>
              <w:t xml:space="preserve">          EP</w:t>
            </w:r>
          </w:p>
        </w:tc>
      </w:tr>
      <w:tr w:rsidR="00441083" w:rsidRPr="00C81624" w14:paraId="5AA4C0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F13D6CD" w14:textId="77777777" w:rsidR="00441083" w:rsidRPr="00C81624" w:rsidRDefault="00C6443E">
            <w:pPr>
              <w:spacing w:before="120"/>
            </w:pPr>
            <w:r w:rsidRPr="00C81624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0FB5BEE" wp14:editId="06029002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920115</wp:posOffset>
                  </wp:positionV>
                  <wp:extent cx="800100" cy="705485"/>
                  <wp:effectExtent l="0" t="0" r="0" b="0"/>
                  <wp:wrapNone/>
                  <wp:docPr id="2" name="Picture 2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3D0C" w:rsidRPr="00C81624"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0" allowOverlap="1" wp14:anchorId="2B5B4856" wp14:editId="67F2DA2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112395</wp:posOffset>
                  </wp:positionV>
                  <wp:extent cx="760809" cy="676275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809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1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5724376F" w14:textId="77777777" w:rsidR="00441083" w:rsidRPr="00C81624" w:rsidRDefault="00441083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</w:rPr>
            </w:pPr>
          </w:p>
          <w:p w14:paraId="236F89AC" w14:textId="77777777" w:rsidR="00441083" w:rsidRPr="00C81624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</w:rPr>
            </w:pPr>
            <w:r w:rsidRPr="00C81624">
              <w:rPr>
                <w:rFonts w:ascii="Univers" w:hAnsi="Univers"/>
                <w:b/>
                <w:sz w:val="32"/>
              </w:rPr>
              <w:t>Programme des</w:t>
            </w:r>
          </w:p>
          <w:p w14:paraId="090157FD" w14:textId="77777777" w:rsidR="00441083" w:rsidRPr="00C81624" w:rsidRDefault="00E60D9C">
            <w:pPr>
              <w:rPr>
                <w:rFonts w:ascii="Univers" w:hAnsi="Univers"/>
                <w:b/>
                <w:sz w:val="32"/>
              </w:rPr>
            </w:pPr>
            <w:r w:rsidRPr="00C81624">
              <w:rPr>
                <w:rFonts w:ascii="Univers" w:hAnsi="Univers"/>
                <w:b/>
                <w:sz w:val="32"/>
              </w:rPr>
              <w:t>Nations Unies pour</w:t>
            </w:r>
          </w:p>
          <w:p w14:paraId="139949D9" w14:textId="77777777" w:rsidR="00441083" w:rsidRPr="00C81624" w:rsidRDefault="00E60D9C">
            <w:pPr>
              <w:rPr>
                <w:rFonts w:ascii="Univers" w:hAnsi="Univers"/>
                <w:b/>
                <w:sz w:val="32"/>
              </w:rPr>
            </w:pPr>
            <w:proofErr w:type="gramStart"/>
            <w:r w:rsidRPr="00C81624">
              <w:rPr>
                <w:rFonts w:ascii="Univers" w:hAnsi="Univers"/>
                <w:b/>
                <w:sz w:val="32"/>
              </w:rPr>
              <w:t>l’environnement</w:t>
            </w:r>
            <w:proofErr w:type="gramEnd"/>
          </w:p>
          <w:p w14:paraId="7AB2C180" w14:textId="77777777" w:rsidR="00441083" w:rsidRPr="00C81624" w:rsidRDefault="00E60D9C">
            <w:pPr>
              <w:spacing w:before="720"/>
              <w:ind w:left="158"/>
            </w:pPr>
            <w:r w:rsidRPr="00C81624"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36B64A21" w14:textId="77777777" w:rsidR="00441083" w:rsidRPr="00C81624" w:rsidRDefault="00441083"/>
          <w:p w14:paraId="0A46ACEF" w14:textId="77777777" w:rsidR="00441083" w:rsidRPr="00C81624" w:rsidRDefault="00E60D9C">
            <w:proofErr w:type="spellStart"/>
            <w:r w:rsidRPr="00C81624">
              <w:t>Distr</w:t>
            </w:r>
            <w:proofErr w:type="spellEnd"/>
            <w:r w:rsidRPr="00C81624">
              <w:t>.</w:t>
            </w:r>
          </w:p>
          <w:p w14:paraId="5464F13D" w14:textId="77777777" w:rsidR="00441083" w:rsidRPr="00C81624" w:rsidRDefault="00E60D9C" w:rsidP="00DD3433">
            <w:r w:rsidRPr="00C81624">
              <w:t>G</w:t>
            </w:r>
            <w:r w:rsidR="00DD3433" w:rsidRPr="00C81624">
              <w:t>É</w:t>
            </w:r>
            <w:r w:rsidRPr="00C81624">
              <w:t>N</w:t>
            </w:r>
            <w:r w:rsidR="00DD3433" w:rsidRPr="00C81624">
              <w:t>É</w:t>
            </w:r>
            <w:r w:rsidRPr="00C81624">
              <w:t>RAL</w:t>
            </w:r>
            <w:r w:rsidR="00FF3CF1" w:rsidRPr="00C81624">
              <w:t>E</w:t>
            </w:r>
          </w:p>
          <w:p w14:paraId="3F8795A4" w14:textId="77777777" w:rsidR="00441083" w:rsidRPr="00C81624" w:rsidRDefault="00441083"/>
          <w:p w14:paraId="4F847E4F" w14:textId="7942C0AB" w:rsidR="00441083" w:rsidRPr="000C72F3" w:rsidRDefault="00123A87">
            <w:r>
              <w:fldChar w:fldCharType="begin"/>
            </w:r>
            <w:r w:rsidRPr="000C72F3">
              <w:instrText xml:space="preserve"> DOCPROPERTY "Document number"  \* MERGEFORMAT </w:instrText>
            </w:r>
            <w:r>
              <w:fldChar w:fldCharType="separate"/>
            </w:r>
            <w:r w:rsidR="000C72F3" w:rsidRPr="000C72F3">
              <w:t>UNEP/OzL.Pro/ExCom/85/22</w:t>
            </w:r>
            <w:r>
              <w:fldChar w:fldCharType="end"/>
            </w:r>
          </w:p>
          <w:p w14:paraId="28EE6C5A" w14:textId="71046228" w:rsidR="002F0B57" w:rsidRPr="00123A87" w:rsidRDefault="002F0B57" w:rsidP="000F6C8E">
            <w:pPr>
              <w:rPr>
                <w:lang w:val="en-US"/>
              </w:rPr>
            </w:pPr>
            <w:r w:rsidRPr="00C81624">
              <w:fldChar w:fldCharType="begin"/>
            </w:r>
            <w:r w:rsidRPr="00123A87">
              <w:rPr>
                <w:lang w:val="en-US"/>
              </w:rPr>
              <w:instrText xml:space="preserve"> DOCPROPERTY "Revision date" \@ "d MMMM YYYY"  \* MERGEFORMAT </w:instrText>
            </w:r>
            <w:r w:rsidRPr="00C81624">
              <w:fldChar w:fldCharType="separate"/>
            </w:r>
            <w:r w:rsidR="000C72F3">
              <w:rPr>
                <w:lang w:val="en-US"/>
              </w:rPr>
              <w:t xml:space="preserve">5 </w:t>
            </w:r>
            <w:proofErr w:type="spellStart"/>
            <w:r w:rsidR="000C72F3">
              <w:rPr>
                <w:lang w:val="en-US"/>
              </w:rPr>
              <w:t>mai</w:t>
            </w:r>
            <w:proofErr w:type="spellEnd"/>
            <w:r w:rsidR="000C72F3">
              <w:rPr>
                <w:lang w:val="en-US"/>
              </w:rPr>
              <w:t xml:space="preserve"> 2020</w:t>
            </w:r>
            <w:r w:rsidRPr="00C81624">
              <w:fldChar w:fldCharType="end"/>
            </w:r>
          </w:p>
          <w:p w14:paraId="5DBF6F64" w14:textId="77777777" w:rsidR="00441083" w:rsidRPr="00C81624" w:rsidRDefault="00FC5578">
            <w:pPr>
              <w:rPr>
                <w:caps/>
              </w:rPr>
            </w:pPr>
            <w:r w:rsidRPr="00123A87">
              <w:rPr>
                <w:caps/>
                <w:lang w:val="en-US"/>
              </w:rPr>
              <w:br/>
            </w:r>
            <w:r w:rsidR="00E60D9C" w:rsidRPr="00C81624">
              <w:rPr>
                <w:caps/>
              </w:rPr>
              <w:t>FRANÇAIS</w:t>
            </w:r>
          </w:p>
          <w:p w14:paraId="14214019" w14:textId="77777777" w:rsidR="00441083" w:rsidRPr="00C81624" w:rsidRDefault="00E60D9C">
            <w:r w:rsidRPr="00C81624">
              <w:t xml:space="preserve">ORIGINAL: </w:t>
            </w:r>
            <w:r w:rsidR="0091161A" w:rsidRPr="00C81624">
              <w:t>ANGLAIS</w:t>
            </w:r>
          </w:p>
        </w:tc>
      </w:tr>
    </w:tbl>
    <w:p w14:paraId="7D82312D" w14:textId="77777777" w:rsidR="00441083" w:rsidRPr="00C81624" w:rsidRDefault="00E60D9C" w:rsidP="00DD3433">
      <w:pPr>
        <w:jc w:val="left"/>
      </w:pPr>
      <w:r w:rsidRPr="00C81624">
        <w:t>COMIT</w:t>
      </w:r>
      <w:r w:rsidR="00DD3433" w:rsidRPr="00C81624">
        <w:t>É</w:t>
      </w:r>
      <w:r w:rsidRPr="00C81624">
        <w:t xml:space="preserve"> EX</w:t>
      </w:r>
      <w:r w:rsidR="00DD3433" w:rsidRPr="00C81624">
        <w:t xml:space="preserve">ÉCUTIF </w:t>
      </w:r>
      <w:r w:rsidR="00DD3433" w:rsidRPr="00C81624">
        <w:br/>
        <w:t xml:space="preserve">  DU FONDS MULTILATÉ</w:t>
      </w:r>
      <w:r w:rsidRPr="00C81624">
        <w:t xml:space="preserve">RAL AUX FINS </w:t>
      </w:r>
      <w:r w:rsidRPr="00C81624">
        <w:br/>
        <w:t xml:space="preserve">  D’APPLICATION DU PROTOCOLE DE MONTR</w:t>
      </w:r>
      <w:r w:rsidR="00DD3433" w:rsidRPr="00C81624">
        <w:t>É</w:t>
      </w:r>
      <w:r w:rsidRPr="00C81624">
        <w:t>AL</w:t>
      </w:r>
      <w:r w:rsidRPr="00C81624">
        <w:br/>
      </w:r>
      <w:r w:rsidR="00E54871" w:rsidRPr="00C81624">
        <w:t>Quatre</w:t>
      </w:r>
      <w:r w:rsidRPr="00C81624">
        <w:t>-</w:t>
      </w:r>
      <w:r w:rsidR="00E54871" w:rsidRPr="00C81624">
        <w:t>vingt</w:t>
      </w:r>
      <w:r w:rsidR="009666A1" w:rsidRPr="00C81624">
        <w:t>-cin</w:t>
      </w:r>
      <w:r w:rsidR="00AC013C" w:rsidRPr="00C81624">
        <w:t>q</w:t>
      </w:r>
      <w:r w:rsidR="009666A1" w:rsidRPr="00C81624">
        <w:t>u</w:t>
      </w:r>
      <w:r w:rsidR="004C2C87" w:rsidRPr="00C81624">
        <w:t>i</w:t>
      </w:r>
      <w:r w:rsidR="00E54871" w:rsidRPr="00C81624">
        <w:t>ème</w:t>
      </w:r>
      <w:r w:rsidR="00FC5578" w:rsidRPr="00C81624">
        <w:t xml:space="preserve"> </w:t>
      </w:r>
      <w:r w:rsidRPr="00C81624">
        <w:t>réunion</w:t>
      </w:r>
    </w:p>
    <w:p w14:paraId="06A57F7E" w14:textId="77777777" w:rsidR="00C27322" w:rsidRPr="00C81624" w:rsidRDefault="00C27322" w:rsidP="00C27322">
      <w:pPr>
        <w:jc w:val="left"/>
      </w:pPr>
      <w:r w:rsidRPr="00C81624">
        <w:t>Montréal, 25 – 29 mai 2020</w:t>
      </w:r>
    </w:p>
    <w:p w14:paraId="1618A6DE" w14:textId="77777777" w:rsidR="00441083" w:rsidRPr="00C81624" w:rsidRDefault="00C27322" w:rsidP="00AC013C">
      <w:pPr>
        <w:jc w:val="left"/>
      </w:pPr>
      <w:r w:rsidRPr="00C81624">
        <w:t>Reportée:</w:t>
      </w:r>
      <w:r w:rsidR="00FC5578" w:rsidRPr="00C81624">
        <w:t xml:space="preserve"> </w:t>
      </w:r>
      <w:r w:rsidR="00AC013C" w:rsidRPr="00C81624">
        <w:t>1</w:t>
      </w:r>
      <w:r w:rsidR="009666A1" w:rsidRPr="00C81624">
        <w:t>9</w:t>
      </w:r>
      <w:r w:rsidR="00AC013C" w:rsidRPr="00C81624">
        <w:t xml:space="preserve"> </w:t>
      </w:r>
      <w:r w:rsidR="00E60D9C" w:rsidRPr="00C81624">
        <w:t xml:space="preserve">– </w:t>
      </w:r>
      <w:r w:rsidR="00AC013C" w:rsidRPr="00C81624">
        <w:t>2</w:t>
      </w:r>
      <w:r w:rsidR="009666A1" w:rsidRPr="00C81624">
        <w:t>2 juillet 2020</w:t>
      </w:r>
      <w:r w:rsidRPr="00C81624">
        <w:t>*</w:t>
      </w:r>
    </w:p>
    <w:p w14:paraId="4AC65EED" w14:textId="77777777" w:rsidR="002A55A2" w:rsidRPr="00C81624" w:rsidRDefault="002A55A2" w:rsidP="002A55A2">
      <w:pPr>
        <w:pStyle w:val="Title1"/>
        <w:jc w:val="left"/>
        <w:rPr>
          <w:lang w:val="fr-CA"/>
        </w:rPr>
      </w:pPr>
    </w:p>
    <w:p w14:paraId="3734807E" w14:textId="77777777" w:rsidR="002A55A2" w:rsidRPr="00C81624" w:rsidRDefault="002A55A2" w:rsidP="002A55A2">
      <w:pPr>
        <w:pStyle w:val="Title1"/>
        <w:jc w:val="left"/>
        <w:rPr>
          <w:lang w:val="fr-CA"/>
        </w:rPr>
      </w:pPr>
    </w:p>
    <w:p w14:paraId="743225CE" w14:textId="77777777" w:rsidR="002A55A2" w:rsidRPr="00C81624" w:rsidRDefault="002A55A2" w:rsidP="002A55A2">
      <w:pPr>
        <w:jc w:val="left"/>
        <w:rPr>
          <w:b/>
        </w:rPr>
      </w:pPr>
    </w:p>
    <w:p w14:paraId="42E14D57" w14:textId="77777777" w:rsidR="002A55A2" w:rsidRPr="00C81624" w:rsidRDefault="002A55A2" w:rsidP="002A55A2">
      <w:pPr>
        <w:jc w:val="center"/>
        <w:rPr>
          <w:b/>
        </w:rPr>
      </w:pPr>
      <w:r w:rsidRPr="00C81624">
        <w:rPr>
          <w:b/>
        </w:rPr>
        <w:t>PRO</w:t>
      </w:r>
      <w:r w:rsidR="00633E5A" w:rsidRPr="00C81624">
        <w:rPr>
          <w:b/>
        </w:rPr>
        <w:t>POSITION DE PROJET</w:t>
      </w:r>
      <w:r w:rsidRPr="00C81624">
        <w:rPr>
          <w:b/>
        </w:rPr>
        <w:t>: CHIL</w:t>
      </w:r>
      <w:r w:rsidR="00633E5A" w:rsidRPr="00C81624">
        <w:rPr>
          <w:b/>
        </w:rPr>
        <w:t>I</w:t>
      </w:r>
    </w:p>
    <w:p w14:paraId="5860E609" w14:textId="77777777" w:rsidR="002A55A2" w:rsidRPr="00C81624" w:rsidRDefault="002A55A2" w:rsidP="002A55A2"/>
    <w:p w14:paraId="1865C289" w14:textId="77777777" w:rsidR="002A55A2" w:rsidRPr="00C81624" w:rsidRDefault="002A55A2" w:rsidP="002A55A2"/>
    <w:p w14:paraId="12E4BE64" w14:textId="77777777" w:rsidR="002A55A2" w:rsidRPr="00C81624" w:rsidRDefault="00404331" w:rsidP="002A55A2">
      <w:pPr>
        <w:ind w:firstLine="720"/>
      </w:pPr>
      <w:r w:rsidRPr="00C81624">
        <w:t xml:space="preserve">Le présent </w:t>
      </w:r>
      <w:r w:rsidR="002A55A2" w:rsidRPr="00C81624">
        <w:t>document con</w:t>
      </w:r>
      <w:r w:rsidRPr="00C81624">
        <w:t xml:space="preserve">tient les observations et la </w:t>
      </w:r>
      <w:r w:rsidR="002A55A2" w:rsidRPr="00C81624">
        <w:t>recomm</w:t>
      </w:r>
      <w:r w:rsidR="00E57296" w:rsidRPr="00C81624">
        <w:t>a</w:t>
      </w:r>
      <w:r w:rsidR="002A55A2" w:rsidRPr="00C81624">
        <w:t xml:space="preserve">ndation </w:t>
      </w:r>
      <w:r w:rsidRPr="00C81624">
        <w:t xml:space="preserve">du </w:t>
      </w:r>
      <w:r w:rsidR="00633E5A" w:rsidRPr="00C81624">
        <w:t>Secrétariat</w:t>
      </w:r>
      <w:r w:rsidR="002A55A2" w:rsidRPr="00C81624">
        <w:t xml:space="preserve"> </w:t>
      </w:r>
      <w:r w:rsidRPr="00C81624">
        <w:t>sur la proposition de projet ci-après</w:t>
      </w:r>
      <w:r w:rsidR="002A55A2" w:rsidRPr="00C81624">
        <w:t xml:space="preserve">: </w:t>
      </w:r>
    </w:p>
    <w:p w14:paraId="6C68B3C7" w14:textId="77777777" w:rsidR="002A55A2" w:rsidRPr="00C81624" w:rsidRDefault="002A55A2" w:rsidP="002A55A2"/>
    <w:p w14:paraId="07C5D501" w14:textId="77777777" w:rsidR="002A55A2" w:rsidRPr="00C81624" w:rsidRDefault="00E57296" w:rsidP="002A55A2">
      <w:pPr>
        <w:rPr>
          <w:u w:val="single"/>
        </w:rPr>
      </w:pPr>
      <w:r w:rsidRPr="00C81624">
        <w:rPr>
          <w:u w:val="single"/>
        </w:rPr>
        <w:t>Élimination</w:t>
      </w:r>
    </w:p>
    <w:p w14:paraId="4B8936A5" w14:textId="77777777" w:rsidR="002A55A2" w:rsidRPr="00C81624" w:rsidRDefault="002A55A2" w:rsidP="002A55A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9"/>
      </w:tblGrid>
      <w:tr w:rsidR="002A55A2" w:rsidRPr="00C81624" w14:paraId="6056CE71" w14:textId="77777777" w:rsidTr="00633E5A">
        <w:tc>
          <w:tcPr>
            <w:tcW w:w="6941" w:type="dxa"/>
          </w:tcPr>
          <w:p w14:paraId="6A022304" w14:textId="77777777" w:rsidR="002A55A2" w:rsidRPr="00C81624" w:rsidRDefault="00633E5A" w:rsidP="002A55A2">
            <w:pPr>
              <w:pStyle w:val="ListParagraph"/>
              <w:numPr>
                <w:ilvl w:val="0"/>
                <w:numId w:val="24"/>
              </w:numPr>
              <w:ind w:hanging="830"/>
            </w:pPr>
            <w:r w:rsidRPr="00C81624">
              <w:t>Plan de gestion de l’élimination de HCFC</w:t>
            </w:r>
            <w:r w:rsidR="002A55A2" w:rsidRPr="00C81624">
              <w:t xml:space="preserve"> (</w:t>
            </w:r>
            <w:r w:rsidRPr="00C81624">
              <w:t>phase</w:t>
            </w:r>
            <w:r w:rsidR="002A55A2" w:rsidRPr="00C81624">
              <w:t xml:space="preserve"> II, </w:t>
            </w:r>
            <w:r w:rsidRPr="00C81624">
              <w:t>troisième</w:t>
            </w:r>
            <w:r w:rsidR="002A55A2" w:rsidRPr="00C81624">
              <w:t xml:space="preserve"> tranche)</w:t>
            </w:r>
          </w:p>
        </w:tc>
        <w:tc>
          <w:tcPr>
            <w:tcW w:w="2409" w:type="dxa"/>
          </w:tcPr>
          <w:p w14:paraId="6F0650CE" w14:textId="77777777" w:rsidR="002A55A2" w:rsidRPr="00C81624" w:rsidRDefault="00633E5A" w:rsidP="00C73C63">
            <w:pPr>
              <w:jc w:val="right"/>
            </w:pPr>
            <w:r w:rsidRPr="00C81624">
              <w:rPr>
                <w:snapToGrid w:val="0"/>
              </w:rPr>
              <w:t>PNUD</w:t>
            </w:r>
            <w:r w:rsidR="002A55A2" w:rsidRPr="00C81624">
              <w:rPr>
                <w:snapToGrid w:val="0"/>
              </w:rPr>
              <w:t xml:space="preserve">, </w:t>
            </w:r>
            <w:r w:rsidRPr="00C81624">
              <w:rPr>
                <w:snapToGrid w:val="0"/>
              </w:rPr>
              <w:t>PNUE</w:t>
            </w:r>
            <w:r w:rsidR="00C73C63">
              <w:rPr>
                <w:snapToGrid w:val="0"/>
              </w:rPr>
              <w:t xml:space="preserve"> </w:t>
            </w:r>
            <w:r w:rsidR="00E57296" w:rsidRPr="00C81624">
              <w:rPr>
                <w:snapToGrid w:val="0"/>
              </w:rPr>
              <w:t>et</w:t>
            </w:r>
            <w:r w:rsidR="002A55A2" w:rsidRPr="00C81624">
              <w:rPr>
                <w:snapToGrid w:val="0"/>
              </w:rPr>
              <w:t xml:space="preserve"> </w:t>
            </w:r>
            <w:r w:rsidRPr="00C81624">
              <w:rPr>
                <w:snapToGrid w:val="0"/>
              </w:rPr>
              <w:t>ONUDI</w:t>
            </w:r>
          </w:p>
        </w:tc>
      </w:tr>
    </w:tbl>
    <w:p w14:paraId="7D3ABC8F" w14:textId="77777777" w:rsidR="002A55A2" w:rsidRPr="00C81624" w:rsidRDefault="002A55A2" w:rsidP="00123A87"/>
    <w:p w14:paraId="5160AF49" w14:textId="77777777" w:rsidR="002A55A2" w:rsidRPr="00C81624" w:rsidRDefault="002A55A2" w:rsidP="00123A87"/>
    <w:p w14:paraId="05316EBF" w14:textId="77777777" w:rsidR="002A55A2" w:rsidRPr="00C81624" w:rsidRDefault="002A55A2" w:rsidP="00123A87"/>
    <w:p w14:paraId="54724617" w14:textId="77777777" w:rsidR="002A55A2" w:rsidRPr="00C81624" w:rsidRDefault="002A55A2" w:rsidP="00123A87"/>
    <w:p w14:paraId="3EF7BCBE" w14:textId="77777777" w:rsidR="002A55A2" w:rsidRDefault="002A55A2" w:rsidP="00123A87"/>
    <w:p w14:paraId="41109D70" w14:textId="77777777" w:rsidR="00123A87" w:rsidRDefault="00123A87" w:rsidP="00123A87"/>
    <w:p w14:paraId="3574B86A" w14:textId="77777777" w:rsidR="00123A87" w:rsidRDefault="00123A87" w:rsidP="00123A87"/>
    <w:p w14:paraId="59D39578" w14:textId="77777777" w:rsidR="00123A87" w:rsidRDefault="00123A87" w:rsidP="00123A87"/>
    <w:p w14:paraId="251A0A11" w14:textId="77777777" w:rsidR="00123A87" w:rsidRDefault="00123A87" w:rsidP="00123A87"/>
    <w:p w14:paraId="7300F01C" w14:textId="77777777" w:rsidR="00123A87" w:rsidRDefault="00123A87" w:rsidP="00123A87"/>
    <w:p w14:paraId="06085C62" w14:textId="77777777" w:rsidR="00123A87" w:rsidRDefault="00123A87" w:rsidP="00123A87"/>
    <w:p w14:paraId="09CCD8F9" w14:textId="77777777" w:rsidR="00123A87" w:rsidRDefault="00123A87" w:rsidP="00123A87"/>
    <w:p w14:paraId="12AC72DF" w14:textId="77777777" w:rsidR="00123A87" w:rsidRDefault="00123A87" w:rsidP="00123A87"/>
    <w:p w14:paraId="7CBF8124" w14:textId="77777777" w:rsidR="00123A87" w:rsidRDefault="00123A87" w:rsidP="00123A87"/>
    <w:p w14:paraId="59CA41C1" w14:textId="77777777" w:rsidR="00123A87" w:rsidRPr="00C81624" w:rsidRDefault="00123A87" w:rsidP="00123A87"/>
    <w:p w14:paraId="3F4976BC" w14:textId="77777777" w:rsidR="00123A87" w:rsidRDefault="00123A87" w:rsidP="00123A87">
      <w:pPr>
        <w:rPr>
          <w:sz w:val="20"/>
          <w:szCs w:val="20"/>
        </w:rPr>
      </w:pPr>
    </w:p>
    <w:p w14:paraId="005CDA2D" w14:textId="77777777" w:rsidR="00743AE2" w:rsidRDefault="00743AE2" w:rsidP="00123A87">
      <w:pPr>
        <w:rPr>
          <w:sz w:val="20"/>
          <w:szCs w:val="20"/>
        </w:rPr>
      </w:pPr>
    </w:p>
    <w:p w14:paraId="052A9597" w14:textId="77777777" w:rsidR="00743AE2" w:rsidRDefault="00743AE2" w:rsidP="00123A87">
      <w:pPr>
        <w:rPr>
          <w:sz w:val="20"/>
          <w:szCs w:val="20"/>
        </w:rPr>
      </w:pPr>
    </w:p>
    <w:p w14:paraId="4DB97FE6" w14:textId="77777777" w:rsidR="00743AE2" w:rsidRDefault="00743AE2" w:rsidP="00123A87">
      <w:pPr>
        <w:rPr>
          <w:sz w:val="20"/>
          <w:szCs w:val="20"/>
        </w:rPr>
      </w:pPr>
    </w:p>
    <w:p w14:paraId="606C6BB0" w14:textId="77777777" w:rsidR="00123A87" w:rsidRDefault="00123A87" w:rsidP="00123A87">
      <w:pPr>
        <w:rPr>
          <w:sz w:val="20"/>
          <w:szCs w:val="20"/>
        </w:rPr>
      </w:pPr>
    </w:p>
    <w:p w14:paraId="3A6C1D6C" w14:textId="77777777" w:rsidR="00123A87" w:rsidRDefault="002A55A2" w:rsidP="00123A87">
      <w:r w:rsidRPr="00123A87">
        <w:rPr>
          <w:sz w:val="20"/>
          <w:szCs w:val="20"/>
        </w:rPr>
        <w:t>* A cause du coronavirus (COVID-19)</w:t>
      </w:r>
      <w:r w:rsidR="00123A87">
        <w:br w:type="page"/>
      </w:r>
    </w:p>
    <w:p w14:paraId="60B193F2" w14:textId="77777777" w:rsidR="002A55A2" w:rsidRPr="00C81624" w:rsidRDefault="002931CE" w:rsidP="002A55A2">
      <w:pPr>
        <w:jc w:val="center"/>
        <w:rPr>
          <w:b/>
        </w:rPr>
      </w:pPr>
      <w:r w:rsidRPr="00C81624">
        <w:rPr>
          <w:b/>
        </w:rPr>
        <w:lastRenderedPageBreak/>
        <w:t xml:space="preserve">FICHE D’ÉVALUATION DU </w:t>
      </w:r>
      <w:r w:rsidR="002A55A2" w:rsidRPr="00C81624">
        <w:rPr>
          <w:b/>
        </w:rPr>
        <w:t>PROJET –</w:t>
      </w:r>
      <w:r w:rsidRPr="00C81624">
        <w:rPr>
          <w:b/>
        </w:rPr>
        <w:t xml:space="preserve"> </w:t>
      </w:r>
      <w:r w:rsidR="002A55A2" w:rsidRPr="00C81624">
        <w:rPr>
          <w:b/>
        </w:rPr>
        <w:t>PROJETS</w:t>
      </w:r>
      <w:r w:rsidRPr="00C81624">
        <w:rPr>
          <w:b/>
        </w:rPr>
        <w:t xml:space="preserve"> PLURIANNUELS</w:t>
      </w:r>
    </w:p>
    <w:p w14:paraId="17859158" w14:textId="77777777" w:rsidR="002A55A2" w:rsidRPr="00C81624" w:rsidRDefault="002A55A2" w:rsidP="002A55A2">
      <w:pPr>
        <w:jc w:val="center"/>
      </w:pPr>
    </w:p>
    <w:p w14:paraId="7A259C0E" w14:textId="77777777" w:rsidR="002A55A2" w:rsidRPr="00C81624" w:rsidRDefault="00633E5A" w:rsidP="002A55A2">
      <w:pPr>
        <w:jc w:val="center"/>
        <w:rPr>
          <w:b/>
        </w:rPr>
      </w:pPr>
      <w:r w:rsidRPr="00C81624">
        <w:rPr>
          <w:b/>
        </w:rPr>
        <w:t>Chili</w:t>
      </w:r>
    </w:p>
    <w:p w14:paraId="0FE0C30B" w14:textId="77777777" w:rsidR="002A55A2" w:rsidRPr="00C81624" w:rsidRDefault="002A55A2" w:rsidP="002A55A2">
      <w:pPr>
        <w:jc w:val="center"/>
        <w:rPr>
          <w:b/>
          <w:sz w:val="18"/>
          <w:szCs w:val="18"/>
        </w:rPr>
      </w:pPr>
    </w:p>
    <w:tbl>
      <w:tblPr>
        <w:tblStyle w:val="TableGrid"/>
        <w:tblW w:w="5290" w:type="pct"/>
        <w:tblInd w:w="-543" w:type="dxa"/>
        <w:tblLook w:val="04A0" w:firstRow="1" w:lastRow="0" w:firstColumn="1" w:lastColumn="0" w:noHBand="0" w:noVBand="1"/>
      </w:tblPr>
      <w:tblGrid>
        <w:gridCol w:w="2879"/>
        <w:gridCol w:w="2968"/>
        <w:gridCol w:w="1709"/>
        <w:gridCol w:w="2336"/>
      </w:tblGrid>
      <w:tr w:rsidR="002A55A2" w:rsidRPr="00C81624" w14:paraId="0E48D290" w14:textId="77777777" w:rsidTr="00C73C63">
        <w:trPr>
          <w:trHeight w:val="240"/>
        </w:trPr>
        <w:tc>
          <w:tcPr>
            <w:tcW w:w="1455" w:type="pct"/>
            <w:shd w:val="clear" w:color="auto" w:fill="auto"/>
          </w:tcPr>
          <w:p w14:paraId="3CA73D83" w14:textId="77777777" w:rsidR="002A55A2" w:rsidRPr="00C81624" w:rsidRDefault="002A55A2" w:rsidP="002A55A2">
            <w:pPr>
              <w:spacing w:after="80"/>
              <w:jc w:val="left"/>
              <w:rPr>
                <w:b/>
                <w:sz w:val="16"/>
                <w:szCs w:val="16"/>
              </w:rPr>
            </w:pPr>
            <w:r w:rsidRPr="00C81624">
              <w:rPr>
                <w:b/>
                <w:sz w:val="16"/>
                <w:szCs w:val="16"/>
              </w:rPr>
              <w:t xml:space="preserve">(I) </w:t>
            </w:r>
            <w:r w:rsidR="002931CE" w:rsidRPr="00C81624">
              <w:rPr>
                <w:b/>
                <w:sz w:val="16"/>
                <w:szCs w:val="16"/>
              </w:rPr>
              <w:t>TITRE DU P</w:t>
            </w:r>
            <w:r w:rsidRPr="00C81624">
              <w:rPr>
                <w:b/>
                <w:sz w:val="16"/>
                <w:szCs w:val="16"/>
              </w:rPr>
              <w:t xml:space="preserve">ROJET </w:t>
            </w:r>
          </w:p>
        </w:tc>
        <w:tc>
          <w:tcPr>
            <w:tcW w:w="1500" w:type="pct"/>
            <w:shd w:val="clear" w:color="auto" w:fill="auto"/>
          </w:tcPr>
          <w:p w14:paraId="76EF8D20" w14:textId="77777777" w:rsidR="002A55A2" w:rsidRPr="00C81624" w:rsidRDefault="002A55A2" w:rsidP="002A55A2">
            <w:pPr>
              <w:spacing w:after="80"/>
              <w:jc w:val="center"/>
              <w:rPr>
                <w:b/>
                <w:sz w:val="16"/>
                <w:szCs w:val="16"/>
              </w:rPr>
            </w:pPr>
            <w:r w:rsidRPr="00C81624">
              <w:rPr>
                <w:b/>
                <w:sz w:val="16"/>
                <w:szCs w:val="16"/>
              </w:rPr>
              <w:t>AGENC</w:t>
            </w:r>
            <w:r w:rsidR="002931CE" w:rsidRPr="00C81624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864" w:type="pct"/>
            <w:shd w:val="clear" w:color="auto" w:fill="auto"/>
          </w:tcPr>
          <w:p w14:paraId="5F05E9DA" w14:textId="77777777" w:rsidR="002A55A2" w:rsidRPr="00C81624" w:rsidRDefault="002931CE" w:rsidP="002A55A2">
            <w:pPr>
              <w:spacing w:after="80"/>
              <w:jc w:val="center"/>
              <w:rPr>
                <w:b/>
                <w:sz w:val="16"/>
                <w:szCs w:val="16"/>
              </w:rPr>
            </w:pPr>
            <w:r w:rsidRPr="00C81624">
              <w:rPr>
                <w:b/>
                <w:sz w:val="16"/>
                <w:szCs w:val="16"/>
              </w:rPr>
              <w:t>RÉUNION D’APPROBATION</w:t>
            </w:r>
          </w:p>
        </w:tc>
        <w:tc>
          <w:tcPr>
            <w:tcW w:w="1181" w:type="pct"/>
            <w:shd w:val="clear" w:color="auto" w:fill="auto"/>
          </w:tcPr>
          <w:p w14:paraId="00E93953" w14:textId="77777777" w:rsidR="002A55A2" w:rsidRPr="00C81624" w:rsidRDefault="00123A87" w:rsidP="002A55A2">
            <w:pPr>
              <w:spacing w:after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2931CE" w:rsidRPr="00C81624">
              <w:rPr>
                <w:b/>
                <w:sz w:val="16"/>
                <w:szCs w:val="16"/>
              </w:rPr>
              <w:t>ESURE DE CONTRÔLE</w:t>
            </w:r>
          </w:p>
        </w:tc>
      </w:tr>
      <w:tr w:rsidR="002A55A2" w:rsidRPr="00C81624" w14:paraId="063919B3" w14:textId="77777777" w:rsidTr="00C73C63">
        <w:trPr>
          <w:trHeight w:val="240"/>
        </w:trPr>
        <w:tc>
          <w:tcPr>
            <w:tcW w:w="1455" w:type="pct"/>
            <w:shd w:val="clear" w:color="auto" w:fill="auto"/>
          </w:tcPr>
          <w:p w14:paraId="1AC294A4" w14:textId="77777777" w:rsidR="002A55A2" w:rsidRPr="00C81624" w:rsidRDefault="002931CE" w:rsidP="002A55A2">
            <w:pPr>
              <w:spacing w:after="8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 xml:space="preserve">Plan d’élimination de </w:t>
            </w:r>
            <w:r w:rsidR="002A55A2" w:rsidRPr="00C81624">
              <w:rPr>
                <w:sz w:val="16"/>
                <w:szCs w:val="16"/>
              </w:rPr>
              <w:t>HCFC (</w:t>
            </w:r>
            <w:r w:rsidR="00633E5A" w:rsidRPr="00C81624">
              <w:rPr>
                <w:sz w:val="16"/>
                <w:szCs w:val="16"/>
              </w:rPr>
              <w:t>Phase</w:t>
            </w:r>
            <w:r w:rsidR="002A55A2" w:rsidRPr="00C81624">
              <w:rPr>
                <w:sz w:val="16"/>
                <w:szCs w:val="16"/>
              </w:rPr>
              <w:t xml:space="preserve"> II)</w:t>
            </w:r>
          </w:p>
        </w:tc>
        <w:tc>
          <w:tcPr>
            <w:tcW w:w="1500" w:type="pct"/>
            <w:shd w:val="clear" w:color="auto" w:fill="auto"/>
          </w:tcPr>
          <w:p w14:paraId="35CD0AA5" w14:textId="77777777" w:rsidR="002A55A2" w:rsidRPr="00C81624" w:rsidRDefault="00633E5A" w:rsidP="002A55A2">
            <w:pPr>
              <w:spacing w:after="8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PNUD</w:t>
            </w:r>
            <w:r w:rsidR="002A55A2" w:rsidRPr="00C81624">
              <w:rPr>
                <w:sz w:val="16"/>
                <w:szCs w:val="16"/>
              </w:rPr>
              <w:t xml:space="preserve"> (</w:t>
            </w:r>
            <w:r w:rsidR="002931CE" w:rsidRPr="00C81624">
              <w:rPr>
                <w:sz w:val="16"/>
                <w:szCs w:val="16"/>
              </w:rPr>
              <w:t>principale</w:t>
            </w:r>
            <w:r w:rsidR="002A55A2" w:rsidRPr="00C81624">
              <w:rPr>
                <w:sz w:val="16"/>
                <w:szCs w:val="16"/>
              </w:rPr>
              <w:t xml:space="preserve">), </w:t>
            </w:r>
            <w:r w:rsidRPr="00C81624">
              <w:rPr>
                <w:sz w:val="16"/>
                <w:szCs w:val="16"/>
              </w:rPr>
              <w:t>PNUE</w:t>
            </w:r>
            <w:r w:rsidR="002A55A2" w:rsidRPr="00C81624">
              <w:rPr>
                <w:sz w:val="16"/>
                <w:szCs w:val="16"/>
              </w:rPr>
              <w:t xml:space="preserve">, </w:t>
            </w:r>
            <w:r w:rsidRPr="00C81624">
              <w:rPr>
                <w:sz w:val="16"/>
                <w:szCs w:val="16"/>
              </w:rPr>
              <w:t>ONUDI</w:t>
            </w:r>
          </w:p>
        </w:tc>
        <w:tc>
          <w:tcPr>
            <w:tcW w:w="864" w:type="pct"/>
            <w:shd w:val="clear" w:color="auto" w:fill="auto"/>
          </w:tcPr>
          <w:p w14:paraId="161E1A79" w14:textId="77777777" w:rsidR="002A55A2" w:rsidRPr="00C81624" w:rsidRDefault="002A55A2" w:rsidP="002A55A2">
            <w:pPr>
              <w:spacing w:after="8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76</w:t>
            </w:r>
            <w:r w:rsidR="002931CE" w:rsidRPr="00C81624">
              <w:rPr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181" w:type="pct"/>
            <w:shd w:val="clear" w:color="auto" w:fill="auto"/>
          </w:tcPr>
          <w:p w14:paraId="1BEA4A82" w14:textId="77777777" w:rsidR="002A55A2" w:rsidRPr="00C81624" w:rsidRDefault="002A55A2" w:rsidP="002A55A2">
            <w:pPr>
              <w:spacing w:after="8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 xml:space="preserve"> 65% </w:t>
            </w:r>
            <w:r w:rsidR="002931CE" w:rsidRPr="00C81624">
              <w:rPr>
                <w:sz w:val="16"/>
                <w:szCs w:val="16"/>
              </w:rPr>
              <w:t>d’ici</w:t>
            </w:r>
            <w:r w:rsidRPr="00C81624">
              <w:rPr>
                <w:sz w:val="16"/>
                <w:szCs w:val="16"/>
              </w:rPr>
              <w:t xml:space="preserve"> 2021</w:t>
            </w:r>
          </w:p>
        </w:tc>
      </w:tr>
    </w:tbl>
    <w:p w14:paraId="579B8B8B" w14:textId="77777777" w:rsidR="002A55A2" w:rsidRPr="00C81624" w:rsidRDefault="002A55A2" w:rsidP="002A55A2">
      <w:pPr>
        <w:spacing w:after="60"/>
        <w:jc w:val="center"/>
        <w:rPr>
          <w:sz w:val="16"/>
          <w:szCs w:val="16"/>
        </w:rPr>
      </w:pPr>
    </w:p>
    <w:tbl>
      <w:tblPr>
        <w:tblStyle w:val="TableGrid"/>
        <w:tblW w:w="5290" w:type="pct"/>
        <w:tblInd w:w="-543" w:type="dxa"/>
        <w:tblLook w:val="04A0" w:firstRow="1" w:lastRow="0" w:firstColumn="1" w:lastColumn="0" w:noHBand="0" w:noVBand="1"/>
      </w:tblPr>
      <w:tblGrid>
        <w:gridCol w:w="7016"/>
        <w:gridCol w:w="1351"/>
        <w:gridCol w:w="1525"/>
      </w:tblGrid>
      <w:tr w:rsidR="002A55A2" w:rsidRPr="00C81624" w14:paraId="06BBF86C" w14:textId="77777777" w:rsidTr="00CB1E4E">
        <w:trPr>
          <w:trHeight w:val="240"/>
        </w:trPr>
        <w:tc>
          <w:tcPr>
            <w:tcW w:w="3546" w:type="pct"/>
            <w:shd w:val="clear" w:color="auto" w:fill="auto"/>
          </w:tcPr>
          <w:p w14:paraId="05453116" w14:textId="77777777" w:rsidR="002A55A2" w:rsidRPr="00C81624" w:rsidRDefault="002A55A2" w:rsidP="002A55A2">
            <w:pPr>
              <w:spacing w:after="60"/>
              <w:jc w:val="left"/>
              <w:rPr>
                <w:b/>
                <w:sz w:val="16"/>
                <w:szCs w:val="16"/>
              </w:rPr>
            </w:pPr>
            <w:r w:rsidRPr="00C81624">
              <w:rPr>
                <w:b/>
                <w:sz w:val="16"/>
                <w:szCs w:val="16"/>
              </w:rPr>
              <w:t xml:space="preserve">(II) </w:t>
            </w:r>
            <w:r w:rsidR="002931CE" w:rsidRPr="00C81624">
              <w:rPr>
                <w:b/>
                <w:sz w:val="16"/>
                <w:szCs w:val="16"/>
              </w:rPr>
              <w:t>DONNÉES LES PLUS RÉCENTES VISÉES À L’</w:t>
            </w:r>
            <w:r w:rsidRPr="00C81624">
              <w:rPr>
                <w:b/>
                <w:sz w:val="16"/>
                <w:szCs w:val="16"/>
              </w:rPr>
              <w:t>ARTICLE 7 (Annex</w:t>
            </w:r>
            <w:r w:rsidR="002931CE" w:rsidRPr="00C81624">
              <w:rPr>
                <w:b/>
                <w:sz w:val="16"/>
                <w:szCs w:val="16"/>
              </w:rPr>
              <w:t>e</w:t>
            </w:r>
            <w:r w:rsidRPr="00C81624">
              <w:rPr>
                <w:b/>
                <w:sz w:val="16"/>
                <w:szCs w:val="16"/>
              </w:rPr>
              <w:t xml:space="preserve"> C Group</w:t>
            </w:r>
            <w:r w:rsidR="002931CE" w:rsidRPr="00C81624">
              <w:rPr>
                <w:b/>
                <w:sz w:val="16"/>
                <w:szCs w:val="16"/>
              </w:rPr>
              <w:t>e</w:t>
            </w:r>
            <w:r w:rsidRPr="00C81624">
              <w:rPr>
                <w:b/>
                <w:sz w:val="16"/>
                <w:szCs w:val="16"/>
              </w:rPr>
              <w:t xml:space="preserve"> l)</w:t>
            </w:r>
          </w:p>
        </w:tc>
        <w:tc>
          <w:tcPr>
            <w:tcW w:w="683" w:type="pct"/>
            <w:shd w:val="clear" w:color="auto" w:fill="auto"/>
          </w:tcPr>
          <w:p w14:paraId="4A78C773" w14:textId="77777777" w:rsidR="002A55A2" w:rsidRPr="00C81624" w:rsidRDefault="002931CE" w:rsidP="002A55A2">
            <w:pPr>
              <w:spacing w:after="6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Année</w:t>
            </w:r>
            <w:r w:rsidR="002A55A2" w:rsidRPr="00C81624">
              <w:rPr>
                <w:sz w:val="16"/>
                <w:szCs w:val="16"/>
              </w:rPr>
              <w:t>: 2018</w:t>
            </w:r>
          </w:p>
        </w:tc>
        <w:tc>
          <w:tcPr>
            <w:tcW w:w="771" w:type="pct"/>
            <w:shd w:val="clear" w:color="auto" w:fill="auto"/>
          </w:tcPr>
          <w:p w14:paraId="168851EF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38</w:t>
            </w:r>
            <w:r w:rsidR="002931CE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18 (</w:t>
            </w:r>
            <w:r w:rsidR="002931CE" w:rsidRPr="00C81624">
              <w:rPr>
                <w:sz w:val="16"/>
                <w:szCs w:val="16"/>
              </w:rPr>
              <w:t>t</w:t>
            </w:r>
            <w:r w:rsidR="00633E5A" w:rsidRPr="00C81624">
              <w:rPr>
                <w:sz w:val="16"/>
                <w:szCs w:val="16"/>
              </w:rPr>
              <w:t>onnes PAO</w:t>
            </w:r>
            <w:r w:rsidRPr="00C81624">
              <w:rPr>
                <w:sz w:val="16"/>
                <w:szCs w:val="16"/>
              </w:rPr>
              <w:t>)</w:t>
            </w:r>
          </w:p>
        </w:tc>
      </w:tr>
    </w:tbl>
    <w:p w14:paraId="7435FC5B" w14:textId="77777777" w:rsidR="002A55A2" w:rsidRPr="00C81624" w:rsidRDefault="002A55A2" w:rsidP="002A55A2">
      <w:pPr>
        <w:spacing w:after="60"/>
        <w:jc w:val="center"/>
        <w:rPr>
          <w:sz w:val="16"/>
          <w:szCs w:val="16"/>
        </w:rPr>
      </w:pPr>
    </w:p>
    <w:tbl>
      <w:tblPr>
        <w:tblStyle w:val="TableGrid"/>
        <w:tblW w:w="5290" w:type="pct"/>
        <w:tblInd w:w="-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7"/>
        <w:gridCol w:w="785"/>
        <w:gridCol w:w="778"/>
        <w:gridCol w:w="856"/>
        <w:gridCol w:w="1011"/>
        <w:gridCol w:w="804"/>
        <w:gridCol w:w="768"/>
        <w:gridCol w:w="865"/>
        <w:gridCol w:w="893"/>
        <w:gridCol w:w="1570"/>
      </w:tblGrid>
      <w:tr w:rsidR="002A55A2" w:rsidRPr="00C81624" w14:paraId="3BAA359E" w14:textId="77777777" w:rsidTr="00123A87">
        <w:trPr>
          <w:trHeight w:val="240"/>
        </w:trPr>
        <w:tc>
          <w:tcPr>
            <w:tcW w:w="3755" w:type="pct"/>
            <w:gridSpan w:val="8"/>
            <w:shd w:val="clear" w:color="auto" w:fill="auto"/>
          </w:tcPr>
          <w:p w14:paraId="561F26F1" w14:textId="77777777" w:rsidR="002A55A2" w:rsidRPr="00C81624" w:rsidRDefault="002A55A2" w:rsidP="002A55A2">
            <w:pPr>
              <w:spacing w:after="60"/>
              <w:jc w:val="left"/>
              <w:rPr>
                <w:b/>
                <w:sz w:val="16"/>
                <w:szCs w:val="16"/>
              </w:rPr>
            </w:pPr>
            <w:r w:rsidRPr="00C81624">
              <w:rPr>
                <w:b/>
                <w:sz w:val="16"/>
                <w:szCs w:val="16"/>
              </w:rPr>
              <w:t xml:space="preserve">(III) </w:t>
            </w:r>
            <w:r w:rsidR="002931CE" w:rsidRPr="00C81624">
              <w:rPr>
                <w:b/>
                <w:sz w:val="16"/>
                <w:szCs w:val="16"/>
              </w:rPr>
              <w:t>DONNÉES SECTORIELLES LES PLUS RÉCENTES DU PROGRAMME DE PAYS</w:t>
            </w:r>
            <w:r w:rsidRPr="00C81624">
              <w:rPr>
                <w:b/>
                <w:sz w:val="16"/>
                <w:szCs w:val="16"/>
              </w:rPr>
              <w:t xml:space="preserve"> (</w:t>
            </w:r>
            <w:r w:rsidR="002931CE" w:rsidRPr="00C81624">
              <w:rPr>
                <w:b/>
                <w:sz w:val="16"/>
                <w:szCs w:val="16"/>
              </w:rPr>
              <w:t>t</w:t>
            </w:r>
            <w:r w:rsidR="00633E5A" w:rsidRPr="00C81624">
              <w:rPr>
                <w:b/>
                <w:sz w:val="16"/>
                <w:szCs w:val="16"/>
              </w:rPr>
              <w:t>onnes PAO</w:t>
            </w:r>
            <w:r w:rsidRPr="00C8162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45" w:type="pct"/>
            <w:gridSpan w:val="2"/>
            <w:shd w:val="clear" w:color="auto" w:fill="auto"/>
          </w:tcPr>
          <w:p w14:paraId="0425DD5F" w14:textId="77777777" w:rsidR="002A55A2" w:rsidRPr="00C81624" w:rsidRDefault="002931CE" w:rsidP="002A55A2">
            <w:pPr>
              <w:spacing w:after="60"/>
              <w:jc w:val="right"/>
              <w:rPr>
                <w:b/>
                <w:sz w:val="16"/>
                <w:szCs w:val="16"/>
              </w:rPr>
            </w:pPr>
            <w:r w:rsidRPr="00C81624">
              <w:rPr>
                <w:b/>
                <w:sz w:val="16"/>
                <w:szCs w:val="16"/>
              </w:rPr>
              <w:t>Année</w:t>
            </w:r>
            <w:r w:rsidR="002A55A2" w:rsidRPr="00C81624">
              <w:rPr>
                <w:b/>
                <w:sz w:val="16"/>
                <w:szCs w:val="16"/>
              </w:rPr>
              <w:t>: 2019</w:t>
            </w:r>
          </w:p>
        </w:tc>
      </w:tr>
      <w:tr w:rsidR="00CC1E44" w:rsidRPr="00C81624" w14:paraId="3F149B39" w14:textId="77777777" w:rsidTr="00123A87">
        <w:trPr>
          <w:trHeight w:val="240"/>
        </w:trPr>
        <w:tc>
          <w:tcPr>
            <w:tcW w:w="792" w:type="pct"/>
            <w:shd w:val="clear" w:color="auto" w:fill="auto"/>
          </w:tcPr>
          <w:p w14:paraId="0BD7B968" w14:textId="77777777" w:rsidR="002A55A2" w:rsidRPr="00C81624" w:rsidRDefault="00CC1E44" w:rsidP="002A55A2">
            <w:pPr>
              <w:spacing w:after="6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Produits chimiques</w:t>
            </w:r>
          </w:p>
        </w:tc>
        <w:tc>
          <w:tcPr>
            <w:tcW w:w="397" w:type="pct"/>
            <w:shd w:val="clear" w:color="auto" w:fill="auto"/>
          </w:tcPr>
          <w:p w14:paraId="6DF07770" w14:textId="77777777" w:rsidR="002A55A2" w:rsidRPr="00C81624" w:rsidRDefault="002A55A2" w:rsidP="002A55A2">
            <w:pPr>
              <w:spacing w:after="6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A</w:t>
            </w:r>
            <w:r w:rsidR="00CC1E44" w:rsidRPr="00C81624">
              <w:rPr>
                <w:sz w:val="16"/>
                <w:szCs w:val="16"/>
              </w:rPr>
              <w:t>é</w:t>
            </w:r>
            <w:r w:rsidRPr="00C81624">
              <w:rPr>
                <w:sz w:val="16"/>
                <w:szCs w:val="16"/>
              </w:rPr>
              <w:t>rosol</w:t>
            </w:r>
            <w:r w:rsidR="00CC1E44" w:rsidRPr="00C81624">
              <w:rPr>
                <w:sz w:val="16"/>
                <w:szCs w:val="16"/>
              </w:rPr>
              <w:t>s</w:t>
            </w:r>
          </w:p>
        </w:tc>
        <w:tc>
          <w:tcPr>
            <w:tcW w:w="393" w:type="pct"/>
            <w:shd w:val="clear" w:color="auto" w:fill="auto"/>
          </w:tcPr>
          <w:p w14:paraId="3D22E76B" w14:textId="77777777" w:rsidR="002A55A2" w:rsidRPr="00C81624" w:rsidRDefault="00CC1E44" w:rsidP="002A55A2">
            <w:pPr>
              <w:spacing w:after="6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Mousses</w:t>
            </w:r>
          </w:p>
        </w:tc>
        <w:tc>
          <w:tcPr>
            <w:tcW w:w="432" w:type="pct"/>
            <w:shd w:val="clear" w:color="auto" w:fill="auto"/>
          </w:tcPr>
          <w:p w14:paraId="7F14C4B7" w14:textId="77777777" w:rsidR="002A55A2" w:rsidRPr="00C81624" w:rsidRDefault="00CC1E44" w:rsidP="002A55A2">
            <w:pPr>
              <w:spacing w:after="6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Lutte contre l’incendie</w:t>
            </w:r>
          </w:p>
        </w:tc>
        <w:tc>
          <w:tcPr>
            <w:tcW w:w="916" w:type="pct"/>
            <w:gridSpan w:val="2"/>
            <w:shd w:val="clear" w:color="auto" w:fill="auto"/>
          </w:tcPr>
          <w:p w14:paraId="5ACBA04F" w14:textId="77777777" w:rsidR="002A55A2" w:rsidRPr="00C81624" w:rsidRDefault="00CC1E44" w:rsidP="002A55A2">
            <w:pPr>
              <w:spacing w:after="6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Réfrigération</w:t>
            </w:r>
          </w:p>
        </w:tc>
        <w:tc>
          <w:tcPr>
            <w:tcW w:w="388" w:type="pct"/>
            <w:shd w:val="clear" w:color="auto" w:fill="auto"/>
          </w:tcPr>
          <w:p w14:paraId="50D1CC0B" w14:textId="77777777" w:rsidR="002A55A2" w:rsidRPr="00C81624" w:rsidRDefault="002A55A2" w:rsidP="002A55A2">
            <w:pPr>
              <w:spacing w:after="6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Solv</w:t>
            </w:r>
            <w:r w:rsidR="00CC1E44" w:rsidRPr="00C81624">
              <w:rPr>
                <w:sz w:val="16"/>
                <w:szCs w:val="16"/>
              </w:rPr>
              <w:t>a</w:t>
            </w:r>
            <w:r w:rsidRPr="00C81624">
              <w:rPr>
                <w:sz w:val="16"/>
                <w:szCs w:val="16"/>
              </w:rPr>
              <w:t>nt</w:t>
            </w:r>
            <w:r w:rsidR="00CC1E44" w:rsidRPr="00C81624">
              <w:rPr>
                <w:sz w:val="16"/>
                <w:szCs w:val="16"/>
              </w:rPr>
              <w:t>s</w:t>
            </w:r>
          </w:p>
        </w:tc>
        <w:tc>
          <w:tcPr>
            <w:tcW w:w="437" w:type="pct"/>
            <w:shd w:val="clear" w:color="auto" w:fill="auto"/>
          </w:tcPr>
          <w:p w14:paraId="1B8D9791" w14:textId="77777777" w:rsidR="002A55A2" w:rsidRPr="00C81624" w:rsidRDefault="00CC1E44" w:rsidP="002A55A2">
            <w:pPr>
              <w:spacing w:after="6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Agent de traitement</w:t>
            </w:r>
          </w:p>
        </w:tc>
        <w:tc>
          <w:tcPr>
            <w:tcW w:w="451" w:type="pct"/>
            <w:shd w:val="clear" w:color="auto" w:fill="auto"/>
          </w:tcPr>
          <w:p w14:paraId="21FC59CA" w14:textId="77777777" w:rsidR="002A55A2" w:rsidRPr="00C81624" w:rsidRDefault="00CC1E44" w:rsidP="002A55A2">
            <w:pPr>
              <w:spacing w:after="6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Utilisation en labo</w:t>
            </w:r>
          </w:p>
        </w:tc>
        <w:tc>
          <w:tcPr>
            <w:tcW w:w="794" w:type="pct"/>
            <w:shd w:val="clear" w:color="auto" w:fill="auto"/>
          </w:tcPr>
          <w:p w14:paraId="690D5221" w14:textId="77777777" w:rsidR="002A55A2" w:rsidRPr="00C81624" w:rsidRDefault="00CC1E44" w:rsidP="002A55A2">
            <w:pPr>
              <w:spacing w:after="6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Consommation sectorielle totale</w:t>
            </w:r>
          </w:p>
        </w:tc>
      </w:tr>
      <w:tr w:rsidR="002A55A2" w:rsidRPr="00C81624" w14:paraId="684D3708" w14:textId="77777777" w:rsidTr="00123A87">
        <w:trPr>
          <w:trHeight w:val="240"/>
        </w:trPr>
        <w:tc>
          <w:tcPr>
            <w:tcW w:w="2014" w:type="pct"/>
            <w:gridSpan w:val="4"/>
            <w:shd w:val="clear" w:color="auto" w:fill="auto"/>
          </w:tcPr>
          <w:p w14:paraId="1493AE61" w14:textId="77777777" w:rsidR="002A55A2" w:rsidRPr="00C81624" w:rsidRDefault="002A55A2" w:rsidP="002A55A2">
            <w:pPr>
              <w:spacing w:after="6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1" w:type="pct"/>
            <w:shd w:val="clear" w:color="auto" w:fill="auto"/>
          </w:tcPr>
          <w:p w14:paraId="00957C75" w14:textId="77777777" w:rsidR="002A55A2" w:rsidRPr="00C81624" w:rsidRDefault="00CC1E44" w:rsidP="002A55A2">
            <w:pPr>
              <w:spacing w:after="6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Fabrication</w:t>
            </w:r>
          </w:p>
        </w:tc>
        <w:tc>
          <w:tcPr>
            <w:tcW w:w="406" w:type="pct"/>
            <w:shd w:val="clear" w:color="auto" w:fill="auto"/>
          </w:tcPr>
          <w:p w14:paraId="01D45758" w14:textId="77777777" w:rsidR="002A55A2" w:rsidRPr="00C81624" w:rsidRDefault="00CC1E44" w:rsidP="002A55A2">
            <w:pPr>
              <w:spacing w:after="6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Entretien</w:t>
            </w:r>
          </w:p>
        </w:tc>
        <w:tc>
          <w:tcPr>
            <w:tcW w:w="2070" w:type="pct"/>
            <w:gridSpan w:val="4"/>
            <w:shd w:val="clear" w:color="auto" w:fill="auto"/>
          </w:tcPr>
          <w:p w14:paraId="4A277F58" w14:textId="77777777" w:rsidR="002A55A2" w:rsidRPr="00C81624" w:rsidRDefault="002A55A2" w:rsidP="002A55A2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CC1E44" w:rsidRPr="00C81624" w14:paraId="54AD386A" w14:textId="77777777" w:rsidTr="00123A87">
        <w:trPr>
          <w:trHeight w:val="240"/>
        </w:trPr>
        <w:tc>
          <w:tcPr>
            <w:tcW w:w="792" w:type="pct"/>
            <w:shd w:val="clear" w:color="auto" w:fill="auto"/>
          </w:tcPr>
          <w:p w14:paraId="75451A40" w14:textId="77777777" w:rsidR="002A55A2" w:rsidRPr="00C81624" w:rsidRDefault="002A55A2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HCFC-22</w:t>
            </w:r>
          </w:p>
        </w:tc>
        <w:tc>
          <w:tcPr>
            <w:tcW w:w="397" w:type="pct"/>
            <w:shd w:val="clear" w:color="auto" w:fill="auto"/>
          </w:tcPr>
          <w:p w14:paraId="770CFC1D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4830CFE8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13A4DC5D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</w:tcPr>
          <w:p w14:paraId="36A69089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</w:tcPr>
          <w:p w14:paraId="2F03ACD1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24</w:t>
            </w:r>
            <w:r w:rsidR="00CC1E44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</w:tcPr>
          <w:p w14:paraId="3B09879F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</w:tcPr>
          <w:p w14:paraId="77A4B35A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14:paraId="048186AD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pct"/>
            <w:shd w:val="clear" w:color="auto" w:fill="auto"/>
          </w:tcPr>
          <w:p w14:paraId="78183B70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24</w:t>
            </w:r>
            <w:r w:rsidR="00CC1E44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01</w:t>
            </w:r>
          </w:p>
        </w:tc>
      </w:tr>
      <w:tr w:rsidR="00CC1E44" w:rsidRPr="00C81624" w14:paraId="198F8172" w14:textId="77777777" w:rsidTr="00123A87">
        <w:trPr>
          <w:trHeight w:val="240"/>
        </w:trPr>
        <w:tc>
          <w:tcPr>
            <w:tcW w:w="792" w:type="pct"/>
            <w:shd w:val="clear" w:color="auto" w:fill="auto"/>
          </w:tcPr>
          <w:p w14:paraId="145A16BF" w14:textId="77777777" w:rsidR="002A55A2" w:rsidRPr="00C81624" w:rsidRDefault="002A55A2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HCFC-123</w:t>
            </w:r>
          </w:p>
        </w:tc>
        <w:tc>
          <w:tcPr>
            <w:tcW w:w="397" w:type="pct"/>
            <w:shd w:val="clear" w:color="auto" w:fill="auto"/>
          </w:tcPr>
          <w:p w14:paraId="5F2767DD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05C87842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76BA2FD3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</w:tcPr>
          <w:p w14:paraId="5FC9A62A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</w:tcPr>
          <w:p w14:paraId="55F8847B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0</w:t>
            </w:r>
            <w:r w:rsidR="00CC1E44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05</w:t>
            </w:r>
          </w:p>
        </w:tc>
        <w:tc>
          <w:tcPr>
            <w:tcW w:w="388" w:type="pct"/>
            <w:shd w:val="clear" w:color="auto" w:fill="auto"/>
          </w:tcPr>
          <w:p w14:paraId="39FF39C0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</w:tcPr>
          <w:p w14:paraId="0F575724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14:paraId="24B6B222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pct"/>
            <w:shd w:val="clear" w:color="auto" w:fill="auto"/>
          </w:tcPr>
          <w:p w14:paraId="0FDC82B8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0</w:t>
            </w:r>
            <w:r w:rsidR="00CC1E44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05</w:t>
            </w:r>
          </w:p>
        </w:tc>
      </w:tr>
      <w:tr w:rsidR="00CC1E44" w:rsidRPr="00C81624" w14:paraId="1D7A298B" w14:textId="77777777" w:rsidTr="00123A87">
        <w:trPr>
          <w:trHeight w:val="240"/>
        </w:trPr>
        <w:tc>
          <w:tcPr>
            <w:tcW w:w="792" w:type="pct"/>
            <w:shd w:val="clear" w:color="auto" w:fill="auto"/>
          </w:tcPr>
          <w:p w14:paraId="3165B986" w14:textId="77777777" w:rsidR="002A55A2" w:rsidRPr="00C81624" w:rsidRDefault="002A55A2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HCFC-124</w:t>
            </w:r>
          </w:p>
        </w:tc>
        <w:tc>
          <w:tcPr>
            <w:tcW w:w="397" w:type="pct"/>
            <w:shd w:val="clear" w:color="auto" w:fill="auto"/>
          </w:tcPr>
          <w:p w14:paraId="268B0B9E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3F49803E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01C9AE2F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</w:tcPr>
          <w:p w14:paraId="312BE484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</w:tcPr>
          <w:p w14:paraId="7BEA7292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0</w:t>
            </w:r>
            <w:r w:rsidR="00CC1E44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</w:tcPr>
          <w:p w14:paraId="6C3A3AFB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</w:tcPr>
          <w:p w14:paraId="10F59769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14:paraId="38BE6419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pct"/>
            <w:shd w:val="clear" w:color="auto" w:fill="auto"/>
          </w:tcPr>
          <w:p w14:paraId="7B12DB76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0</w:t>
            </w:r>
            <w:r w:rsidR="00CC1E44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01</w:t>
            </w:r>
          </w:p>
        </w:tc>
      </w:tr>
      <w:tr w:rsidR="00CC1E44" w:rsidRPr="00C81624" w14:paraId="05E2CE77" w14:textId="77777777" w:rsidTr="00123A87">
        <w:trPr>
          <w:trHeight w:val="240"/>
        </w:trPr>
        <w:tc>
          <w:tcPr>
            <w:tcW w:w="792" w:type="pct"/>
            <w:shd w:val="clear" w:color="auto" w:fill="auto"/>
          </w:tcPr>
          <w:p w14:paraId="72986DB8" w14:textId="77777777" w:rsidR="002A55A2" w:rsidRPr="00C81624" w:rsidRDefault="002A55A2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HCFC-141b</w:t>
            </w:r>
          </w:p>
        </w:tc>
        <w:tc>
          <w:tcPr>
            <w:tcW w:w="397" w:type="pct"/>
            <w:shd w:val="clear" w:color="auto" w:fill="auto"/>
          </w:tcPr>
          <w:p w14:paraId="5CB61CD6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517D1449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7</w:t>
            </w:r>
            <w:r w:rsidR="00CC1E44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40</w:t>
            </w:r>
          </w:p>
        </w:tc>
        <w:tc>
          <w:tcPr>
            <w:tcW w:w="432" w:type="pct"/>
            <w:shd w:val="clear" w:color="auto" w:fill="auto"/>
          </w:tcPr>
          <w:p w14:paraId="4680067E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</w:tcPr>
          <w:p w14:paraId="3885DEAC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</w:tcPr>
          <w:p w14:paraId="02BC5098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0</w:t>
            </w:r>
            <w:r w:rsidR="00CC1E44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61</w:t>
            </w:r>
          </w:p>
        </w:tc>
        <w:tc>
          <w:tcPr>
            <w:tcW w:w="388" w:type="pct"/>
            <w:shd w:val="clear" w:color="auto" w:fill="auto"/>
          </w:tcPr>
          <w:p w14:paraId="0D6C7E1C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</w:tcPr>
          <w:p w14:paraId="162EB611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14:paraId="190B7602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pct"/>
            <w:shd w:val="clear" w:color="auto" w:fill="auto"/>
          </w:tcPr>
          <w:p w14:paraId="67BAD74F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8</w:t>
            </w:r>
            <w:r w:rsidR="00CC1E44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02</w:t>
            </w:r>
          </w:p>
        </w:tc>
      </w:tr>
      <w:tr w:rsidR="00CC1E44" w:rsidRPr="00C81624" w14:paraId="2CA64FE0" w14:textId="77777777" w:rsidTr="00123A87">
        <w:trPr>
          <w:trHeight w:val="240"/>
        </w:trPr>
        <w:tc>
          <w:tcPr>
            <w:tcW w:w="792" w:type="pct"/>
            <w:shd w:val="clear" w:color="auto" w:fill="auto"/>
          </w:tcPr>
          <w:p w14:paraId="691759C2" w14:textId="77777777" w:rsidR="002A55A2" w:rsidRPr="00C81624" w:rsidRDefault="002A55A2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HCFC-142b</w:t>
            </w:r>
          </w:p>
        </w:tc>
        <w:tc>
          <w:tcPr>
            <w:tcW w:w="397" w:type="pct"/>
            <w:shd w:val="clear" w:color="auto" w:fill="auto"/>
          </w:tcPr>
          <w:p w14:paraId="3FDB5FF6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5DFD3D34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5721CFC0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</w:tcPr>
          <w:p w14:paraId="472BED1D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</w:tcPr>
          <w:p w14:paraId="7B344EBE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0</w:t>
            </w:r>
            <w:r w:rsidR="00CC1E44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11</w:t>
            </w:r>
          </w:p>
        </w:tc>
        <w:tc>
          <w:tcPr>
            <w:tcW w:w="388" w:type="pct"/>
            <w:shd w:val="clear" w:color="auto" w:fill="auto"/>
          </w:tcPr>
          <w:p w14:paraId="20BDCDBB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</w:tcPr>
          <w:p w14:paraId="2C8A3868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14:paraId="4DA2AD78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pct"/>
            <w:shd w:val="clear" w:color="auto" w:fill="auto"/>
          </w:tcPr>
          <w:p w14:paraId="74E5BD91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0</w:t>
            </w:r>
            <w:r w:rsidR="00CC1E44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11</w:t>
            </w:r>
          </w:p>
        </w:tc>
      </w:tr>
      <w:tr w:rsidR="00CC1E44" w:rsidRPr="00C81624" w14:paraId="299281EB" w14:textId="77777777" w:rsidTr="00123A87">
        <w:trPr>
          <w:trHeight w:val="240"/>
        </w:trPr>
        <w:tc>
          <w:tcPr>
            <w:tcW w:w="792" w:type="pct"/>
            <w:shd w:val="clear" w:color="auto" w:fill="auto"/>
          </w:tcPr>
          <w:p w14:paraId="035302F2" w14:textId="77777777" w:rsidR="002A55A2" w:rsidRPr="00C81624" w:rsidRDefault="002A55A2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HCFC-225</w:t>
            </w:r>
          </w:p>
        </w:tc>
        <w:tc>
          <w:tcPr>
            <w:tcW w:w="397" w:type="pct"/>
            <w:shd w:val="clear" w:color="auto" w:fill="auto"/>
          </w:tcPr>
          <w:p w14:paraId="22A4A4BB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215050DC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213AD7DF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</w:tcPr>
          <w:p w14:paraId="69785895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</w:tcPr>
          <w:p w14:paraId="48EB2C69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113A1A6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</w:tcPr>
          <w:p w14:paraId="692D0730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14:paraId="7F79AAE1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pct"/>
            <w:shd w:val="clear" w:color="auto" w:fill="auto"/>
          </w:tcPr>
          <w:p w14:paraId="799D7B5C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</w:tr>
      <w:tr w:rsidR="00CC1E44" w:rsidRPr="00C81624" w14:paraId="2B8FAA6C" w14:textId="77777777" w:rsidTr="00123A87">
        <w:trPr>
          <w:trHeight w:val="240"/>
        </w:trPr>
        <w:tc>
          <w:tcPr>
            <w:tcW w:w="792" w:type="pct"/>
            <w:shd w:val="clear" w:color="auto" w:fill="auto"/>
          </w:tcPr>
          <w:p w14:paraId="748ED3D5" w14:textId="77777777" w:rsidR="002A55A2" w:rsidRPr="00C81624" w:rsidRDefault="002A55A2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 xml:space="preserve">HCFC-141b </w:t>
            </w:r>
            <w:r w:rsidR="00CC1E44" w:rsidRPr="00C81624">
              <w:rPr>
                <w:sz w:val="16"/>
                <w:szCs w:val="16"/>
              </w:rPr>
              <w:t xml:space="preserve">dans les polyols </w:t>
            </w:r>
            <w:proofErr w:type="spellStart"/>
            <w:r w:rsidR="00CC1E44" w:rsidRPr="00C81624">
              <w:rPr>
                <w:sz w:val="16"/>
                <w:szCs w:val="16"/>
              </w:rPr>
              <w:t>prémélangés</w:t>
            </w:r>
            <w:proofErr w:type="spellEnd"/>
            <w:r w:rsidR="00CC1E44" w:rsidRPr="00C81624">
              <w:rPr>
                <w:sz w:val="16"/>
                <w:szCs w:val="16"/>
              </w:rPr>
              <w:t xml:space="preserve"> importés</w:t>
            </w:r>
          </w:p>
        </w:tc>
        <w:tc>
          <w:tcPr>
            <w:tcW w:w="397" w:type="pct"/>
            <w:shd w:val="clear" w:color="auto" w:fill="auto"/>
          </w:tcPr>
          <w:p w14:paraId="26618CD0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0763D9EA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3</w:t>
            </w:r>
            <w:r w:rsidR="00CC1E44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03</w:t>
            </w:r>
          </w:p>
        </w:tc>
        <w:tc>
          <w:tcPr>
            <w:tcW w:w="432" w:type="pct"/>
            <w:shd w:val="clear" w:color="auto" w:fill="auto"/>
          </w:tcPr>
          <w:p w14:paraId="1CAB8B06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</w:tcPr>
          <w:p w14:paraId="7C0134AD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</w:tcPr>
          <w:p w14:paraId="554EC656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A1BA3E3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</w:tcPr>
          <w:p w14:paraId="216B22B8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14:paraId="261FABDC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pct"/>
            <w:shd w:val="clear" w:color="auto" w:fill="auto"/>
          </w:tcPr>
          <w:p w14:paraId="2810E78C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3</w:t>
            </w:r>
            <w:r w:rsidR="00CC1E44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03</w:t>
            </w:r>
          </w:p>
        </w:tc>
      </w:tr>
    </w:tbl>
    <w:p w14:paraId="4189AC6E" w14:textId="77777777" w:rsidR="002A55A2" w:rsidRPr="00C81624" w:rsidRDefault="002A55A2" w:rsidP="002A55A2">
      <w:pPr>
        <w:spacing w:after="60"/>
        <w:jc w:val="center"/>
        <w:rPr>
          <w:sz w:val="16"/>
          <w:szCs w:val="16"/>
        </w:rPr>
      </w:pPr>
    </w:p>
    <w:tbl>
      <w:tblPr>
        <w:tblStyle w:val="TableGrid"/>
        <w:tblW w:w="5290" w:type="pct"/>
        <w:tblInd w:w="-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37"/>
        <w:gridCol w:w="649"/>
        <w:gridCol w:w="4408"/>
        <w:gridCol w:w="2203"/>
      </w:tblGrid>
      <w:tr w:rsidR="002A55A2" w:rsidRPr="00C81624" w14:paraId="399FD883" w14:textId="77777777" w:rsidTr="00123A87">
        <w:trPr>
          <w:trHeight w:val="240"/>
        </w:trPr>
        <w:tc>
          <w:tcPr>
            <w:tcW w:w="5000" w:type="pct"/>
            <w:gridSpan w:val="4"/>
            <w:shd w:val="clear" w:color="auto" w:fill="auto"/>
          </w:tcPr>
          <w:p w14:paraId="59A8BE78" w14:textId="77777777" w:rsidR="002A55A2" w:rsidRPr="00C81624" w:rsidRDefault="002A55A2" w:rsidP="002A55A2">
            <w:pPr>
              <w:spacing w:after="60"/>
              <w:jc w:val="left"/>
              <w:rPr>
                <w:b/>
                <w:sz w:val="16"/>
                <w:szCs w:val="16"/>
              </w:rPr>
            </w:pPr>
            <w:r w:rsidRPr="00C81624">
              <w:rPr>
                <w:b/>
                <w:sz w:val="16"/>
                <w:szCs w:val="16"/>
              </w:rPr>
              <w:t xml:space="preserve">(IV) </w:t>
            </w:r>
            <w:r w:rsidR="00CC1E44" w:rsidRPr="00C81624">
              <w:rPr>
                <w:b/>
                <w:sz w:val="16"/>
                <w:szCs w:val="16"/>
              </w:rPr>
              <w:t xml:space="preserve">DONNÉES SUR LA </w:t>
            </w:r>
            <w:r w:rsidRPr="00C81624">
              <w:rPr>
                <w:b/>
                <w:sz w:val="16"/>
                <w:szCs w:val="16"/>
              </w:rPr>
              <w:t>CONS</w:t>
            </w:r>
            <w:r w:rsidR="00CC1E44" w:rsidRPr="00C81624">
              <w:rPr>
                <w:b/>
                <w:sz w:val="16"/>
                <w:szCs w:val="16"/>
              </w:rPr>
              <w:t>O</w:t>
            </w:r>
            <w:r w:rsidRPr="00C81624">
              <w:rPr>
                <w:b/>
                <w:sz w:val="16"/>
                <w:szCs w:val="16"/>
              </w:rPr>
              <w:t>M</w:t>
            </w:r>
            <w:r w:rsidR="00CC1E44" w:rsidRPr="00C81624">
              <w:rPr>
                <w:b/>
                <w:sz w:val="16"/>
                <w:szCs w:val="16"/>
              </w:rPr>
              <w:t>MA</w:t>
            </w:r>
            <w:r w:rsidRPr="00C81624">
              <w:rPr>
                <w:b/>
                <w:sz w:val="16"/>
                <w:szCs w:val="16"/>
              </w:rPr>
              <w:t>TION (</w:t>
            </w:r>
            <w:r w:rsidR="00CC1E44" w:rsidRPr="00C81624">
              <w:rPr>
                <w:b/>
                <w:sz w:val="16"/>
                <w:szCs w:val="16"/>
              </w:rPr>
              <w:t>t</w:t>
            </w:r>
            <w:r w:rsidR="00633E5A" w:rsidRPr="00C81624">
              <w:rPr>
                <w:b/>
                <w:sz w:val="16"/>
                <w:szCs w:val="16"/>
              </w:rPr>
              <w:t>onnes PAO</w:t>
            </w:r>
            <w:r w:rsidRPr="00C81624">
              <w:rPr>
                <w:b/>
                <w:sz w:val="16"/>
                <w:szCs w:val="16"/>
              </w:rPr>
              <w:t>)</w:t>
            </w:r>
          </w:p>
        </w:tc>
      </w:tr>
      <w:tr w:rsidR="002A55A2" w:rsidRPr="00C81624" w14:paraId="685D6D6A" w14:textId="77777777" w:rsidTr="00123A87">
        <w:trPr>
          <w:trHeight w:val="240"/>
        </w:trPr>
        <w:tc>
          <w:tcPr>
            <w:tcW w:w="1332" w:type="pct"/>
            <w:shd w:val="clear" w:color="auto" w:fill="auto"/>
          </w:tcPr>
          <w:p w14:paraId="4441E80A" w14:textId="77777777" w:rsidR="002A55A2" w:rsidRPr="00C81624" w:rsidRDefault="00CC1E44" w:rsidP="002A55A2">
            <w:pPr>
              <w:spacing w:after="6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 xml:space="preserve">Référence </w:t>
            </w:r>
            <w:r w:rsidR="002A55A2" w:rsidRPr="00C81624">
              <w:rPr>
                <w:sz w:val="16"/>
                <w:szCs w:val="16"/>
              </w:rPr>
              <w:t>2009 - 2010:</w:t>
            </w:r>
          </w:p>
        </w:tc>
        <w:tc>
          <w:tcPr>
            <w:tcW w:w="328" w:type="pct"/>
            <w:shd w:val="clear" w:color="auto" w:fill="auto"/>
          </w:tcPr>
          <w:p w14:paraId="2F6FA84B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87</w:t>
            </w:r>
            <w:r w:rsidR="00CC1E44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5</w:t>
            </w:r>
          </w:p>
        </w:tc>
        <w:tc>
          <w:tcPr>
            <w:tcW w:w="2227" w:type="pct"/>
            <w:shd w:val="clear" w:color="auto" w:fill="auto"/>
          </w:tcPr>
          <w:p w14:paraId="699804DC" w14:textId="77777777" w:rsidR="002A55A2" w:rsidRPr="00C81624" w:rsidRDefault="00CC1E44" w:rsidP="002A55A2">
            <w:pPr>
              <w:spacing w:after="6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Point de départ pour des réductions durables combinées</w:t>
            </w:r>
            <w:r w:rsidR="002A55A2" w:rsidRPr="00C81624">
              <w:rPr>
                <w:sz w:val="16"/>
                <w:szCs w:val="16"/>
              </w:rPr>
              <w:t>:</w:t>
            </w:r>
          </w:p>
        </w:tc>
        <w:tc>
          <w:tcPr>
            <w:tcW w:w="1113" w:type="pct"/>
            <w:shd w:val="clear" w:color="auto" w:fill="auto"/>
          </w:tcPr>
          <w:p w14:paraId="07FF4DEF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87</w:t>
            </w:r>
            <w:r w:rsidR="00CC1E44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5</w:t>
            </w:r>
          </w:p>
        </w:tc>
      </w:tr>
      <w:tr w:rsidR="002A55A2" w:rsidRPr="00C81624" w14:paraId="77E11682" w14:textId="77777777" w:rsidTr="00123A87">
        <w:trPr>
          <w:trHeight w:val="240"/>
        </w:trPr>
        <w:tc>
          <w:tcPr>
            <w:tcW w:w="5000" w:type="pct"/>
            <w:gridSpan w:val="4"/>
            <w:shd w:val="clear" w:color="auto" w:fill="auto"/>
          </w:tcPr>
          <w:p w14:paraId="633B600F" w14:textId="77777777" w:rsidR="002A55A2" w:rsidRPr="00C81624" w:rsidRDefault="002A55A2" w:rsidP="002A55A2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C81624">
              <w:rPr>
                <w:b/>
                <w:sz w:val="16"/>
                <w:szCs w:val="16"/>
              </w:rPr>
              <w:t>CONS</w:t>
            </w:r>
            <w:r w:rsidR="00CC1E44" w:rsidRPr="00C81624">
              <w:rPr>
                <w:b/>
                <w:sz w:val="16"/>
                <w:szCs w:val="16"/>
              </w:rPr>
              <w:t>OMA</w:t>
            </w:r>
            <w:r w:rsidRPr="00C81624">
              <w:rPr>
                <w:b/>
                <w:sz w:val="16"/>
                <w:szCs w:val="16"/>
              </w:rPr>
              <w:t xml:space="preserve">TION </w:t>
            </w:r>
            <w:r w:rsidR="00CC1E44" w:rsidRPr="00C81624">
              <w:rPr>
                <w:b/>
                <w:sz w:val="16"/>
                <w:szCs w:val="16"/>
              </w:rPr>
              <w:t>ADMISSIBLE AUX FINS DE FINANCEMENT</w:t>
            </w:r>
            <w:r w:rsidRPr="00C81624">
              <w:rPr>
                <w:b/>
                <w:sz w:val="16"/>
                <w:szCs w:val="16"/>
              </w:rPr>
              <w:t xml:space="preserve"> (</w:t>
            </w:r>
            <w:r w:rsidR="00CC1E44" w:rsidRPr="00C81624">
              <w:rPr>
                <w:b/>
                <w:sz w:val="16"/>
                <w:szCs w:val="16"/>
              </w:rPr>
              <w:t>t</w:t>
            </w:r>
            <w:r w:rsidR="00633E5A" w:rsidRPr="00C81624">
              <w:rPr>
                <w:b/>
                <w:sz w:val="16"/>
                <w:szCs w:val="16"/>
              </w:rPr>
              <w:t>onnes PAO</w:t>
            </w:r>
            <w:r w:rsidRPr="00C81624">
              <w:rPr>
                <w:b/>
                <w:sz w:val="16"/>
                <w:szCs w:val="16"/>
              </w:rPr>
              <w:t>)</w:t>
            </w:r>
          </w:p>
        </w:tc>
      </w:tr>
      <w:tr w:rsidR="002A55A2" w:rsidRPr="00C81624" w14:paraId="15D0C3C5" w14:textId="77777777" w:rsidTr="00123A87">
        <w:trPr>
          <w:trHeight w:val="240"/>
        </w:trPr>
        <w:tc>
          <w:tcPr>
            <w:tcW w:w="1332" w:type="pct"/>
            <w:shd w:val="clear" w:color="auto" w:fill="auto"/>
          </w:tcPr>
          <w:p w14:paraId="11296B1F" w14:textId="77777777" w:rsidR="002A55A2" w:rsidRPr="00C81624" w:rsidRDefault="00CC1E44" w:rsidP="002A55A2">
            <w:pPr>
              <w:spacing w:after="6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Déjà approuvée</w:t>
            </w:r>
            <w:r w:rsidR="002A55A2" w:rsidRPr="00C81624">
              <w:rPr>
                <w:sz w:val="16"/>
                <w:szCs w:val="16"/>
              </w:rPr>
              <w:t>:</w:t>
            </w:r>
          </w:p>
        </w:tc>
        <w:tc>
          <w:tcPr>
            <w:tcW w:w="328" w:type="pct"/>
            <w:shd w:val="clear" w:color="auto" w:fill="auto"/>
          </w:tcPr>
          <w:p w14:paraId="7CFF3B55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71</w:t>
            </w:r>
            <w:r w:rsidR="00CC1E44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52</w:t>
            </w:r>
          </w:p>
        </w:tc>
        <w:tc>
          <w:tcPr>
            <w:tcW w:w="2227" w:type="pct"/>
            <w:shd w:val="clear" w:color="auto" w:fill="auto"/>
          </w:tcPr>
          <w:p w14:paraId="6694191F" w14:textId="77777777" w:rsidR="002A55A2" w:rsidRPr="00C81624" w:rsidRDefault="00CC1E44" w:rsidP="002A55A2">
            <w:pPr>
              <w:spacing w:after="6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Solde</w:t>
            </w:r>
            <w:r w:rsidR="002A55A2" w:rsidRPr="00C81624">
              <w:rPr>
                <w:sz w:val="16"/>
                <w:szCs w:val="16"/>
              </w:rPr>
              <w:t>:</w:t>
            </w:r>
          </w:p>
        </w:tc>
        <w:tc>
          <w:tcPr>
            <w:tcW w:w="1113" w:type="pct"/>
            <w:shd w:val="clear" w:color="auto" w:fill="auto"/>
          </w:tcPr>
          <w:p w14:paraId="5A94B42B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15</w:t>
            </w:r>
            <w:r w:rsidR="00CC1E44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98</w:t>
            </w:r>
          </w:p>
        </w:tc>
      </w:tr>
    </w:tbl>
    <w:p w14:paraId="04F3107F" w14:textId="77777777" w:rsidR="002A55A2" w:rsidRPr="00C81624" w:rsidRDefault="002A55A2" w:rsidP="002A55A2">
      <w:pPr>
        <w:jc w:val="left"/>
        <w:rPr>
          <w:sz w:val="16"/>
          <w:szCs w:val="16"/>
        </w:rPr>
      </w:pPr>
    </w:p>
    <w:tbl>
      <w:tblPr>
        <w:tblStyle w:val="TableGrid"/>
        <w:tblW w:w="5290" w:type="pct"/>
        <w:tblInd w:w="-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7"/>
        <w:gridCol w:w="2755"/>
        <w:gridCol w:w="1682"/>
        <w:gridCol w:w="1682"/>
        <w:gridCol w:w="1681"/>
      </w:tblGrid>
      <w:tr w:rsidR="002A55A2" w:rsidRPr="00C81624" w14:paraId="4552BE63" w14:textId="77777777" w:rsidTr="00123A87">
        <w:trPr>
          <w:trHeight w:val="240"/>
        </w:trPr>
        <w:tc>
          <w:tcPr>
            <w:tcW w:w="2451" w:type="pct"/>
            <w:gridSpan w:val="2"/>
            <w:shd w:val="clear" w:color="auto" w:fill="auto"/>
          </w:tcPr>
          <w:p w14:paraId="7BCC86E3" w14:textId="77777777" w:rsidR="002A55A2" w:rsidRPr="00C81624" w:rsidRDefault="002A55A2" w:rsidP="002A55A2">
            <w:pPr>
              <w:spacing w:after="60"/>
              <w:jc w:val="left"/>
              <w:rPr>
                <w:b/>
                <w:sz w:val="16"/>
                <w:szCs w:val="16"/>
              </w:rPr>
            </w:pPr>
            <w:r w:rsidRPr="00C81624">
              <w:rPr>
                <w:b/>
                <w:sz w:val="16"/>
                <w:szCs w:val="16"/>
              </w:rPr>
              <w:t>(V) PLAN</w:t>
            </w:r>
            <w:r w:rsidR="00701665" w:rsidRPr="00C81624">
              <w:rPr>
                <w:b/>
                <w:sz w:val="16"/>
                <w:szCs w:val="16"/>
              </w:rPr>
              <w:t xml:space="preserve"> D’ACTIVITÉS</w:t>
            </w:r>
          </w:p>
        </w:tc>
        <w:tc>
          <w:tcPr>
            <w:tcW w:w="850" w:type="pct"/>
            <w:shd w:val="clear" w:color="auto" w:fill="auto"/>
          </w:tcPr>
          <w:p w14:paraId="705FBFDA" w14:textId="77777777" w:rsidR="002A55A2" w:rsidRPr="00C81624" w:rsidRDefault="002A55A2" w:rsidP="002A55A2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C81624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850" w:type="pct"/>
            <w:shd w:val="clear" w:color="auto" w:fill="auto"/>
          </w:tcPr>
          <w:p w14:paraId="2450051C" w14:textId="77777777" w:rsidR="002A55A2" w:rsidRPr="00C81624" w:rsidRDefault="002A55A2" w:rsidP="002A55A2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C81624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850" w:type="pct"/>
            <w:shd w:val="clear" w:color="auto" w:fill="auto"/>
          </w:tcPr>
          <w:p w14:paraId="2CE0C0D7" w14:textId="77777777" w:rsidR="002A55A2" w:rsidRPr="00C81624" w:rsidRDefault="002A55A2" w:rsidP="002A55A2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C81624">
              <w:rPr>
                <w:b/>
                <w:sz w:val="16"/>
                <w:szCs w:val="16"/>
              </w:rPr>
              <w:t>Total</w:t>
            </w:r>
          </w:p>
        </w:tc>
      </w:tr>
      <w:tr w:rsidR="002A55A2" w:rsidRPr="00C81624" w14:paraId="2A104091" w14:textId="77777777" w:rsidTr="00C73C63">
        <w:trPr>
          <w:trHeight w:val="76"/>
        </w:trPr>
        <w:tc>
          <w:tcPr>
            <w:tcW w:w="1059" w:type="pct"/>
            <w:vMerge w:val="restart"/>
            <w:shd w:val="clear" w:color="auto" w:fill="auto"/>
          </w:tcPr>
          <w:p w14:paraId="125EC458" w14:textId="77777777" w:rsidR="002A55A2" w:rsidRPr="00C81624" w:rsidRDefault="00633E5A" w:rsidP="002A55A2">
            <w:pPr>
              <w:spacing w:after="6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PNUD</w:t>
            </w:r>
          </w:p>
        </w:tc>
        <w:tc>
          <w:tcPr>
            <w:tcW w:w="1391" w:type="pct"/>
            <w:shd w:val="clear" w:color="auto" w:fill="auto"/>
          </w:tcPr>
          <w:p w14:paraId="589F186B" w14:textId="77777777" w:rsidR="002A55A2" w:rsidRPr="00C81624" w:rsidRDefault="00701665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Élimination de SA</w:t>
            </w:r>
            <w:r w:rsidR="002A55A2" w:rsidRPr="00C81624">
              <w:rPr>
                <w:sz w:val="16"/>
                <w:szCs w:val="16"/>
              </w:rPr>
              <w:t>O (</w:t>
            </w:r>
            <w:r w:rsidRPr="00C81624">
              <w:rPr>
                <w:sz w:val="16"/>
                <w:szCs w:val="16"/>
              </w:rPr>
              <w:t>t</w:t>
            </w:r>
            <w:r w:rsidR="00633E5A" w:rsidRPr="00C81624">
              <w:rPr>
                <w:sz w:val="16"/>
                <w:szCs w:val="16"/>
              </w:rPr>
              <w:t>onnes PAO</w:t>
            </w:r>
            <w:r w:rsidR="002A55A2" w:rsidRPr="00C81624">
              <w:rPr>
                <w:sz w:val="16"/>
                <w:szCs w:val="16"/>
              </w:rPr>
              <w:t>)</w:t>
            </w:r>
          </w:p>
        </w:tc>
        <w:tc>
          <w:tcPr>
            <w:tcW w:w="850" w:type="pct"/>
            <w:shd w:val="clear" w:color="auto" w:fill="auto"/>
          </w:tcPr>
          <w:p w14:paraId="6A78A067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0</w:t>
            </w:r>
            <w:r w:rsidR="00701665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6</w:t>
            </w:r>
          </w:p>
        </w:tc>
        <w:tc>
          <w:tcPr>
            <w:tcW w:w="850" w:type="pct"/>
            <w:shd w:val="clear" w:color="auto" w:fill="auto"/>
          </w:tcPr>
          <w:p w14:paraId="30AE7FF6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0</w:t>
            </w:r>
            <w:r w:rsidR="00701665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00</w:t>
            </w:r>
          </w:p>
        </w:tc>
        <w:tc>
          <w:tcPr>
            <w:tcW w:w="850" w:type="pct"/>
            <w:shd w:val="clear" w:color="auto" w:fill="auto"/>
          </w:tcPr>
          <w:p w14:paraId="316FD377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0</w:t>
            </w:r>
            <w:r w:rsidR="00701665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6</w:t>
            </w:r>
          </w:p>
        </w:tc>
      </w:tr>
      <w:tr w:rsidR="002A55A2" w:rsidRPr="00C81624" w14:paraId="2070BAAE" w14:textId="77777777" w:rsidTr="00123A87">
        <w:trPr>
          <w:trHeight w:val="240"/>
        </w:trPr>
        <w:tc>
          <w:tcPr>
            <w:tcW w:w="1059" w:type="pct"/>
            <w:vMerge/>
            <w:shd w:val="clear" w:color="auto" w:fill="auto"/>
          </w:tcPr>
          <w:p w14:paraId="4C89C754" w14:textId="77777777" w:rsidR="002A55A2" w:rsidRPr="00C81624" w:rsidRDefault="002A55A2" w:rsidP="002A55A2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</w:tcPr>
          <w:p w14:paraId="5CB0B463" w14:textId="77777777" w:rsidR="002A55A2" w:rsidRPr="00C81624" w:rsidRDefault="002A55A2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F</w:t>
            </w:r>
            <w:r w:rsidR="00701665" w:rsidRPr="00C81624">
              <w:rPr>
                <w:sz w:val="16"/>
                <w:szCs w:val="16"/>
              </w:rPr>
              <w:t>inancement</w:t>
            </w:r>
            <w:r w:rsidRPr="00C81624">
              <w:rPr>
                <w:sz w:val="16"/>
                <w:szCs w:val="16"/>
              </w:rPr>
              <w:t xml:space="preserve"> (</w:t>
            </w:r>
            <w:r w:rsidR="00701665" w:rsidRPr="00C81624">
              <w:rPr>
                <w:sz w:val="16"/>
                <w:szCs w:val="16"/>
              </w:rPr>
              <w:t>$US</w:t>
            </w:r>
            <w:r w:rsidRPr="00C81624">
              <w:rPr>
                <w:sz w:val="16"/>
                <w:szCs w:val="16"/>
              </w:rPr>
              <w:t>)</w:t>
            </w:r>
          </w:p>
        </w:tc>
        <w:tc>
          <w:tcPr>
            <w:tcW w:w="850" w:type="pct"/>
            <w:shd w:val="clear" w:color="auto" w:fill="auto"/>
          </w:tcPr>
          <w:p w14:paraId="02050FC3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45</w:t>
            </w:r>
            <w:r w:rsidR="00701665" w:rsidRPr="00C81624">
              <w:rPr>
                <w:sz w:val="16"/>
                <w:szCs w:val="16"/>
              </w:rPr>
              <w:t> </w:t>
            </w:r>
            <w:r w:rsidRPr="00C81624">
              <w:rPr>
                <w:sz w:val="16"/>
                <w:szCs w:val="16"/>
              </w:rPr>
              <w:t>133</w:t>
            </w:r>
          </w:p>
        </w:tc>
        <w:tc>
          <w:tcPr>
            <w:tcW w:w="850" w:type="pct"/>
            <w:shd w:val="clear" w:color="auto" w:fill="auto"/>
          </w:tcPr>
          <w:p w14:paraId="173A5E7F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0</w:t>
            </w:r>
            <w:r w:rsidR="00701665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00</w:t>
            </w:r>
          </w:p>
        </w:tc>
        <w:tc>
          <w:tcPr>
            <w:tcW w:w="850" w:type="pct"/>
            <w:shd w:val="clear" w:color="auto" w:fill="auto"/>
          </w:tcPr>
          <w:p w14:paraId="3547D986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45</w:t>
            </w:r>
            <w:r w:rsidR="00701665" w:rsidRPr="00C81624">
              <w:rPr>
                <w:sz w:val="16"/>
                <w:szCs w:val="16"/>
              </w:rPr>
              <w:t> </w:t>
            </w:r>
            <w:r w:rsidRPr="00C81624">
              <w:rPr>
                <w:sz w:val="16"/>
                <w:szCs w:val="16"/>
              </w:rPr>
              <w:t>133</w:t>
            </w:r>
          </w:p>
        </w:tc>
      </w:tr>
      <w:tr w:rsidR="002A55A2" w:rsidRPr="00C81624" w14:paraId="4A3D7DE1" w14:textId="77777777" w:rsidTr="00123A87">
        <w:trPr>
          <w:trHeight w:val="240"/>
        </w:trPr>
        <w:tc>
          <w:tcPr>
            <w:tcW w:w="1059" w:type="pct"/>
            <w:vMerge w:val="restart"/>
            <w:shd w:val="clear" w:color="auto" w:fill="auto"/>
          </w:tcPr>
          <w:p w14:paraId="1FB66640" w14:textId="77777777" w:rsidR="002A55A2" w:rsidRPr="00C81624" w:rsidRDefault="00633E5A" w:rsidP="002A55A2">
            <w:pPr>
              <w:spacing w:after="6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PNUE</w:t>
            </w:r>
          </w:p>
        </w:tc>
        <w:tc>
          <w:tcPr>
            <w:tcW w:w="1391" w:type="pct"/>
            <w:shd w:val="clear" w:color="auto" w:fill="auto"/>
          </w:tcPr>
          <w:p w14:paraId="337D7234" w14:textId="77777777" w:rsidR="002A55A2" w:rsidRPr="00C81624" w:rsidRDefault="00701665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Élimination de SAO (tonnes PAO)</w:t>
            </w:r>
          </w:p>
        </w:tc>
        <w:tc>
          <w:tcPr>
            <w:tcW w:w="850" w:type="pct"/>
            <w:shd w:val="clear" w:color="auto" w:fill="auto"/>
          </w:tcPr>
          <w:p w14:paraId="6E92FD45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0</w:t>
            </w:r>
            <w:r w:rsidR="00701665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14:paraId="180B2BBE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0</w:t>
            </w:r>
            <w:r w:rsidR="00701665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00</w:t>
            </w:r>
          </w:p>
        </w:tc>
        <w:tc>
          <w:tcPr>
            <w:tcW w:w="850" w:type="pct"/>
            <w:shd w:val="clear" w:color="auto" w:fill="auto"/>
          </w:tcPr>
          <w:p w14:paraId="7F99CC3F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0</w:t>
            </w:r>
            <w:r w:rsidR="00701665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3</w:t>
            </w:r>
          </w:p>
        </w:tc>
      </w:tr>
      <w:tr w:rsidR="002A55A2" w:rsidRPr="00C81624" w14:paraId="75F72022" w14:textId="77777777" w:rsidTr="00123A87">
        <w:trPr>
          <w:trHeight w:val="240"/>
        </w:trPr>
        <w:tc>
          <w:tcPr>
            <w:tcW w:w="1059" w:type="pct"/>
            <w:vMerge/>
            <w:shd w:val="clear" w:color="auto" w:fill="auto"/>
          </w:tcPr>
          <w:p w14:paraId="3412F748" w14:textId="77777777" w:rsidR="002A55A2" w:rsidRPr="00C81624" w:rsidRDefault="002A55A2" w:rsidP="002A55A2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</w:tcPr>
          <w:p w14:paraId="56A55720" w14:textId="77777777" w:rsidR="002A55A2" w:rsidRPr="00C81624" w:rsidRDefault="00701665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Financement ($US)</w:t>
            </w:r>
          </w:p>
        </w:tc>
        <w:tc>
          <w:tcPr>
            <w:tcW w:w="850" w:type="pct"/>
            <w:shd w:val="clear" w:color="auto" w:fill="auto"/>
          </w:tcPr>
          <w:p w14:paraId="200C5BE4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24</w:t>
            </w:r>
            <w:r w:rsidR="00701665" w:rsidRPr="00C81624">
              <w:rPr>
                <w:sz w:val="16"/>
                <w:szCs w:val="16"/>
              </w:rPr>
              <w:t> </w:t>
            </w:r>
            <w:r w:rsidRPr="00C81624">
              <w:rPr>
                <w:sz w:val="16"/>
                <w:szCs w:val="16"/>
              </w:rPr>
              <w:t>664</w:t>
            </w:r>
          </w:p>
        </w:tc>
        <w:tc>
          <w:tcPr>
            <w:tcW w:w="850" w:type="pct"/>
            <w:shd w:val="clear" w:color="auto" w:fill="auto"/>
          </w:tcPr>
          <w:p w14:paraId="152DF792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0</w:t>
            </w:r>
            <w:r w:rsidR="00701665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00</w:t>
            </w:r>
          </w:p>
        </w:tc>
        <w:tc>
          <w:tcPr>
            <w:tcW w:w="850" w:type="pct"/>
            <w:shd w:val="clear" w:color="auto" w:fill="auto"/>
          </w:tcPr>
          <w:p w14:paraId="1F7F694B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24</w:t>
            </w:r>
            <w:r w:rsidR="00701665" w:rsidRPr="00C81624">
              <w:rPr>
                <w:sz w:val="16"/>
                <w:szCs w:val="16"/>
              </w:rPr>
              <w:t> </w:t>
            </w:r>
            <w:r w:rsidRPr="00C81624">
              <w:rPr>
                <w:sz w:val="16"/>
                <w:szCs w:val="16"/>
              </w:rPr>
              <w:t>664</w:t>
            </w:r>
          </w:p>
        </w:tc>
      </w:tr>
      <w:tr w:rsidR="002A55A2" w:rsidRPr="00C81624" w14:paraId="029CA428" w14:textId="77777777" w:rsidTr="00123A87">
        <w:trPr>
          <w:trHeight w:val="240"/>
        </w:trPr>
        <w:tc>
          <w:tcPr>
            <w:tcW w:w="1059" w:type="pct"/>
            <w:vMerge w:val="restart"/>
            <w:shd w:val="clear" w:color="auto" w:fill="auto"/>
          </w:tcPr>
          <w:p w14:paraId="2498B9E8" w14:textId="77777777" w:rsidR="002A55A2" w:rsidRPr="00C81624" w:rsidRDefault="00633E5A" w:rsidP="002A55A2">
            <w:pPr>
              <w:spacing w:after="6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ONUDI</w:t>
            </w:r>
          </w:p>
        </w:tc>
        <w:tc>
          <w:tcPr>
            <w:tcW w:w="1391" w:type="pct"/>
            <w:shd w:val="clear" w:color="auto" w:fill="auto"/>
          </w:tcPr>
          <w:p w14:paraId="1220AF02" w14:textId="77777777" w:rsidR="002A55A2" w:rsidRPr="00C81624" w:rsidRDefault="00701665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Élimination de SAO (tonnes PAO)</w:t>
            </w:r>
          </w:p>
        </w:tc>
        <w:tc>
          <w:tcPr>
            <w:tcW w:w="850" w:type="pct"/>
            <w:shd w:val="clear" w:color="auto" w:fill="auto"/>
          </w:tcPr>
          <w:p w14:paraId="0AE69C46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1</w:t>
            </w:r>
            <w:r w:rsidR="00701665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5</w:t>
            </w:r>
          </w:p>
        </w:tc>
        <w:tc>
          <w:tcPr>
            <w:tcW w:w="850" w:type="pct"/>
            <w:shd w:val="clear" w:color="auto" w:fill="auto"/>
          </w:tcPr>
          <w:p w14:paraId="4C05D3EA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0</w:t>
            </w:r>
            <w:r w:rsidR="00701665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00</w:t>
            </w:r>
          </w:p>
        </w:tc>
        <w:tc>
          <w:tcPr>
            <w:tcW w:w="850" w:type="pct"/>
            <w:shd w:val="clear" w:color="auto" w:fill="auto"/>
          </w:tcPr>
          <w:p w14:paraId="169F917A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1</w:t>
            </w:r>
            <w:r w:rsidR="00701665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5</w:t>
            </w:r>
          </w:p>
        </w:tc>
      </w:tr>
      <w:tr w:rsidR="002A55A2" w:rsidRPr="00C81624" w14:paraId="1DBEE8D8" w14:textId="77777777" w:rsidTr="00123A87">
        <w:trPr>
          <w:trHeight w:val="240"/>
        </w:trPr>
        <w:tc>
          <w:tcPr>
            <w:tcW w:w="1059" w:type="pct"/>
            <w:vMerge/>
            <w:shd w:val="clear" w:color="auto" w:fill="auto"/>
          </w:tcPr>
          <w:p w14:paraId="4E5233CD" w14:textId="77777777" w:rsidR="002A55A2" w:rsidRPr="00C81624" w:rsidRDefault="002A55A2" w:rsidP="002A55A2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</w:tcPr>
          <w:p w14:paraId="429A0BD4" w14:textId="77777777" w:rsidR="002A55A2" w:rsidRPr="00C81624" w:rsidRDefault="00701665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Financement ($US)</w:t>
            </w:r>
          </w:p>
        </w:tc>
        <w:tc>
          <w:tcPr>
            <w:tcW w:w="850" w:type="pct"/>
            <w:shd w:val="clear" w:color="auto" w:fill="auto"/>
          </w:tcPr>
          <w:p w14:paraId="2AC49205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110</w:t>
            </w:r>
            <w:r w:rsidR="00701665" w:rsidRPr="00C81624">
              <w:rPr>
                <w:sz w:val="16"/>
                <w:szCs w:val="16"/>
              </w:rPr>
              <w:t> </w:t>
            </w:r>
            <w:r w:rsidRPr="00C81624">
              <w:rPr>
                <w:sz w:val="16"/>
                <w:szCs w:val="16"/>
              </w:rPr>
              <w:t>285</w:t>
            </w:r>
          </w:p>
        </w:tc>
        <w:tc>
          <w:tcPr>
            <w:tcW w:w="850" w:type="pct"/>
            <w:shd w:val="clear" w:color="auto" w:fill="auto"/>
          </w:tcPr>
          <w:p w14:paraId="522280AA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0</w:t>
            </w:r>
            <w:r w:rsidR="00701665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00</w:t>
            </w:r>
          </w:p>
        </w:tc>
        <w:tc>
          <w:tcPr>
            <w:tcW w:w="850" w:type="pct"/>
            <w:shd w:val="clear" w:color="auto" w:fill="auto"/>
          </w:tcPr>
          <w:p w14:paraId="10AED21A" w14:textId="77777777" w:rsidR="002A55A2" w:rsidRPr="00C81624" w:rsidRDefault="002A55A2" w:rsidP="002A55A2">
            <w:pPr>
              <w:spacing w:after="60"/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110</w:t>
            </w:r>
            <w:r w:rsidR="00701665" w:rsidRPr="00C81624">
              <w:rPr>
                <w:sz w:val="16"/>
                <w:szCs w:val="16"/>
              </w:rPr>
              <w:t> </w:t>
            </w:r>
            <w:r w:rsidRPr="00C81624">
              <w:rPr>
                <w:sz w:val="16"/>
                <w:szCs w:val="16"/>
              </w:rPr>
              <w:t>285</w:t>
            </w:r>
          </w:p>
        </w:tc>
      </w:tr>
    </w:tbl>
    <w:p w14:paraId="3FF75F31" w14:textId="77777777" w:rsidR="002A55A2" w:rsidRPr="00C81624" w:rsidRDefault="002A55A2" w:rsidP="002A55A2">
      <w:pPr>
        <w:jc w:val="left"/>
        <w:rPr>
          <w:sz w:val="16"/>
          <w:szCs w:val="16"/>
        </w:rPr>
      </w:pPr>
    </w:p>
    <w:tbl>
      <w:tblPr>
        <w:tblStyle w:val="TableGrid"/>
        <w:tblW w:w="5291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361"/>
        <w:gridCol w:w="885"/>
        <w:gridCol w:w="885"/>
        <w:gridCol w:w="885"/>
        <w:gridCol w:w="885"/>
        <w:gridCol w:w="885"/>
        <w:gridCol w:w="885"/>
        <w:gridCol w:w="883"/>
      </w:tblGrid>
      <w:tr w:rsidR="002A55A2" w:rsidRPr="00C81624" w14:paraId="4A4CD91E" w14:textId="77777777" w:rsidTr="00123A87">
        <w:tc>
          <w:tcPr>
            <w:tcW w:w="1871" w:type="pct"/>
            <w:gridSpan w:val="3"/>
            <w:hideMark/>
          </w:tcPr>
          <w:p w14:paraId="100BA189" w14:textId="77777777" w:rsidR="002A55A2" w:rsidRPr="00C81624" w:rsidRDefault="002A55A2" w:rsidP="002A55A2">
            <w:pPr>
              <w:spacing w:after="60"/>
              <w:jc w:val="left"/>
              <w:rPr>
                <w:b/>
                <w:sz w:val="16"/>
                <w:szCs w:val="16"/>
              </w:rPr>
            </w:pPr>
            <w:r w:rsidRPr="00C81624">
              <w:rPr>
                <w:b/>
                <w:sz w:val="16"/>
                <w:szCs w:val="16"/>
              </w:rPr>
              <w:t xml:space="preserve">(VI) </w:t>
            </w:r>
            <w:r w:rsidR="00701665" w:rsidRPr="00C81624">
              <w:rPr>
                <w:b/>
                <w:sz w:val="16"/>
                <w:szCs w:val="16"/>
              </w:rPr>
              <w:t xml:space="preserve">DONNÉES SUR LE </w:t>
            </w:r>
            <w:r w:rsidRPr="00C81624">
              <w:rPr>
                <w:b/>
                <w:sz w:val="16"/>
                <w:szCs w:val="16"/>
              </w:rPr>
              <w:t>PROJET</w:t>
            </w:r>
          </w:p>
        </w:tc>
        <w:tc>
          <w:tcPr>
            <w:tcW w:w="447" w:type="pct"/>
            <w:hideMark/>
          </w:tcPr>
          <w:p w14:paraId="2940CA3B" w14:textId="77777777" w:rsidR="002A55A2" w:rsidRPr="00C81624" w:rsidRDefault="002A55A2" w:rsidP="002A55A2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C81624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447" w:type="pct"/>
            <w:hideMark/>
          </w:tcPr>
          <w:p w14:paraId="359AFB85" w14:textId="77777777" w:rsidR="002A55A2" w:rsidRPr="00C81624" w:rsidRDefault="002A55A2" w:rsidP="002A55A2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C81624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447" w:type="pct"/>
            <w:hideMark/>
          </w:tcPr>
          <w:p w14:paraId="15AFFF1A" w14:textId="77777777" w:rsidR="002A55A2" w:rsidRPr="00C81624" w:rsidRDefault="002A55A2" w:rsidP="002A55A2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C81624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447" w:type="pct"/>
            <w:hideMark/>
          </w:tcPr>
          <w:p w14:paraId="1BDA3D7F" w14:textId="77777777" w:rsidR="002A55A2" w:rsidRPr="00C81624" w:rsidRDefault="002A55A2" w:rsidP="002A55A2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C81624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447" w:type="pct"/>
          </w:tcPr>
          <w:p w14:paraId="1E75FBB1" w14:textId="77777777" w:rsidR="002A55A2" w:rsidRPr="00C81624" w:rsidRDefault="002A55A2" w:rsidP="002A55A2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C81624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447" w:type="pct"/>
          </w:tcPr>
          <w:p w14:paraId="2F4584E0" w14:textId="77777777" w:rsidR="002A55A2" w:rsidRPr="00C81624" w:rsidRDefault="002A55A2" w:rsidP="002A55A2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C81624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446" w:type="pct"/>
            <w:hideMark/>
          </w:tcPr>
          <w:p w14:paraId="19075B78" w14:textId="77777777" w:rsidR="002A55A2" w:rsidRPr="00C81624" w:rsidRDefault="002A55A2" w:rsidP="002A55A2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C81624">
              <w:rPr>
                <w:b/>
                <w:sz w:val="16"/>
                <w:szCs w:val="16"/>
              </w:rPr>
              <w:t>Total</w:t>
            </w:r>
          </w:p>
        </w:tc>
      </w:tr>
      <w:tr w:rsidR="002A55A2" w:rsidRPr="00C81624" w14:paraId="2E2E4DFE" w14:textId="77777777" w:rsidTr="00123A87">
        <w:tc>
          <w:tcPr>
            <w:tcW w:w="1871" w:type="pct"/>
            <w:gridSpan w:val="3"/>
            <w:hideMark/>
          </w:tcPr>
          <w:p w14:paraId="01323B87" w14:textId="77777777" w:rsidR="002A55A2" w:rsidRPr="00C81624" w:rsidRDefault="00701665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Limites de consommation du Protocole de Montréal</w:t>
            </w:r>
          </w:p>
        </w:tc>
        <w:tc>
          <w:tcPr>
            <w:tcW w:w="447" w:type="pct"/>
            <w:shd w:val="clear" w:color="auto" w:fill="auto"/>
          </w:tcPr>
          <w:p w14:paraId="7F226588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78</w:t>
            </w:r>
            <w:r w:rsidR="00701665" w:rsidRPr="00C81624">
              <w:rPr>
                <w:rFonts w:eastAsiaTheme="minorHAnsi"/>
                <w:sz w:val="16"/>
                <w:szCs w:val="16"/>
              </w:rPr>
              <w:t>,</w:t>
            </w:r>
            <w:r w:rsidRPr="00C81624">
              <w:rPr>
                <w:rFonts w:eastAsiaTheme="minorHAnsi"/>
                <w:sz w:val="16"/>
                <w:szCs w:val="16"/>
              </w:rPr>
              <w:t>75</w:t>
            </w:r>
          </w:p>
        </w:tc>
        <w:tc>
          <w:tcPr>
            <w:tcW w:w="447" w:type="pct"/>
            <w:shd w:val="clear" w:color="auto" w:fill="auto"/>
          </w:tcPr>
          <w:p w14:paraId="659E1B26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78</w:t>
            </w:r>
            <w:r w:rsidR="00701665" w:rsidRPr="00C81624">
              <w:rPr>
                <w:rFonts w:eastAsiaTheme="minorHAnsi"/>
                <w:sz w:val="16"/>
                <w:szCs w:val="16"/>
              </w:rPr>
              <w:t>,</w:t>
            </w:r>
            <w:r w:rsidRPr="00C81624">
              <w:rPr>
                <w:rFonts w:eastAsiaTheme="minorHAnsi"/>
                <w:sz w:val="16"/>
                <w:szCs w:val="16"/>
              </w:rPr>
              <w:t>75</w:t>
            </w:r>
          </w:p>
        </w:tc>
        <w:tc>
          <w:tcPr>
            <w:tcW w:w="447" w:type="pct"/>
            <w:shd w:val="clear" w:color="auto" w:fill="auto"/>
          </w:tcPr>
          <w:p w14:paraId="7D847936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78</w:t>
            </w:r>
            <w:r w:rsidR="00701665" w:rsidRPr="00C81624">
              <w:rPr>
                <w:rFonts w:eastAsiaTheme="minorHAnsi"/>
                <w:sz w:val="16"/>
                <w:szCs w:val="16"/>
              </w:rPr>
              <w:t>,</w:t>
            </w:r>
            <w:r w:rsidRPr="00C81624">
              <w:rPr>
                <w:rFonts w:eastAsiaTheme="minorHAnsi"/>
                <w:sz w:val="16"/>
                <w:szCs w:val="16"/>
              </w:rPr>
              <w:t>75</w:t>
            </w:r>
          </w:p>
        </w:tc>
        <w:tc>
          <w:tcPr>
            <w:tcW w:w="447" w:type="pct"/>
            <w:shd w:val="clear" w:color="auto" w:fill="auto"/>
          </w:tcPr>
          <w:p w14:paraId="5E2B08D9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78</w:t>
            </w:r>
            <w:r w:rsidR="00701665" w:rsidRPr="00C81624">
              <w:rPr>
                <w:rFonts w:eastAsiaTheme="minorHAnsi"/>
                <w:sz w:val="16"/>
                <w:szCs w:val="16"/>
              </w:rPr>
              <w:t>,</w:t>
            </w:r>
            <w:r w:rsidRPr="00C81624">
              <w:rPr>
                <w:rFonts w:eastAsiaTheme="minorHAnsi"/>
                <w:sz w:val="16"/>
                <w:szCs w:val="16"/>
              </w:rPr>
              <w:t>75</w:t>
            </w:r>
          </w:p>
        </w:tc>
        <w:tc>
          <w:tcPr>
            <w:tcW w:w="447" w:type="pct"/>
            <w:shd w:val="clear" w:color="auto" w:fill="auto"/>
          </w:tcPr>
          <w:p w14:paraId="33FF4CF7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56</w:t>
            </w:r>
            <w:r w:rsidR="00701665" w:rsidRPr="00C81624">
              <w:rPr>
                <w:rFonts w:eastAsiaTheme="minorHAnsi"/>
                <w:sz w:val="16"/>
                <w:szCs w:val="16"/>
              </w:rPr>
              <w:t>,</w:t>
            </w:r>
            <w:r w:rsidRPr="00C81624">
              <w:rPr>
                <w:rFonts w:eastAsiaTheme="minorHAnsi"/>
                <w:sz w:val="16"/>
                <w:szCs w:val="16"/>
              </w:rPr>
              <w:t>88</w:t>
            </w:r>
          </w:p>
        </w:tc>
        <w:tc>
          <w:tcPr>
            <w:tcW w:w="447" w:type="pct"/>
            <w:shd w:val="clear" w:color="auto" w:fill="auto"/>
          </w:tcPr>
          <w:p w14:paraId="64387B4A" w14:textId="77777777" w:rsidR="002A55A2" w:rsidRPr="00C81624" w:rsidRDefault="002A55A2" w:rsidP="002A55A2">
            <w:pPr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56</w:t>
            </w:r>
            <w:r w:rsidR="00701665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88</w:t>
            </w:r>
          </w:p>
        </w:tc>
        <w:tc>
          <w:tcPr>
            <w:tcW w:w="446" w:type="pct"/>
            <w:shd w:val="clear" w:color="auto" w:fill="auto"/>
          </w:tcPr>
          <w:p w14:paraId="65DEC4BC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n/</w:t>
            </w:r>
            <w:r w:rsidR="00701665" w:rsidRPr="00C81624">
              <w:rPr>
                <w:rFonts w:eastAsiaTheme="minorHAnsi"/>
                <w:sz w:val="16"/>
                <w:szCs w:val="16"/>
              </w:rPr>
              <w:t>d</w:t>
            </w:r>
          </w:p>
        </w:tc>
      </w:tr>
      <w:tr w:rsidR="002A55A2" w:rsidRPr="00C81624" w14:paraId="78E36CA7" w14:textId="77777777" w:rsidTr="00123A87">
        <w:tc>
          <w:tcPr>
            <w:tcW w:w="1871" w:type="pct"/>
            <w:gridSpan w:val="3"/>
            <w:hideMark/>
          </w:tcPr>
          <w:p w14:paraId="4172E01E" w14:textId="77777777" w:rsidR="002A55A2" w:rsidRPr="00C81624" w:rsidRDefault="00701665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Consommation maximale autorisée (tonnes PAO)</w:t>
            </w:r>
          </w:p>
        </w:tc>
        <w:tc>
          <w:tcPr>
            <w:tcW w:w="447" w:type="pct"/>
            <w:shd w:val="clear" w:color="auto" w:fill="auto"/>
          </w:tcPr>
          <w:p w14:paraId="6F0CA661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78</w:t>
            </w:r>
            <w:r w:rsidR="00701665" w:rsidRPr="00C81624">
              <w:rPr>
                <w:rFonts w:eastAsiaTheme="minorHAnsi"/>
                <w:sz w:val="16"/>
                <w:szCs w:val="16"/>
              </w:rPr>
              <w:t>,</w:t>
            </w:r>
            <w:r w:rsidRPr="00C81624">
              <w:rPr>
                <w:rFonts w:eastAsiaTheme="minorHAnsi"/>
                <w:sz w:val="16"/>
                <w:szCs w:val="16"/>
              </w:rPr>
              <w:t>75</w:t>
            </w:r>
          </w:p>
        </w:tc>
        <w:tc>
          <w:tcPr>
            <w:tcW w:w="447" w:type="pct"/>
            <w:shd w:val="clear" w:color="auto" w:fill="auto"/>
          </w:tcPr>
          <w:p w14:paraId="5357BC04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78</w:t>
            </w:r>
            <w:r w:rsidR="00701665" w:rsidRPr="00C81624">
              <w:rPr>
                <w:rFonts w:eastAsiaTheme="minorHAnsi"/>
                <w:sz w:val="16"/>
                <w:szCs w:val="16"/>
              </w:rPr>
              <w:t>,</w:t>
            </w:r>
            <w:r w:rsidRPr="00C81624">
              <w:rPr>
                <w:rFonts w:eastAsiaTheme="minorHAnsi"/>
                <w:sz w:val="16"/>
                <w:szCs w:val="16"/>
              </w:rPr>
              <w:t>75</w:t>
            </w:r>
          </w:p>
        </w:tc>
        <w:tc>
          <w:tcPr>
            <w:tcW w:w="447" w:type="pct"/>
            <w:shd w:val="clear" w:color="auto" w:fill="auto"/>
          </w:tcPr>
          <w:p w14:paraId="67D4CB21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78</w:t>
            </w:r>
            <w:r w:rsidR="00701665" w:rsidRPr="00C81624">
              <w:rPr>
                <w:rFonts w:eastAsiaTheme="minorHAnsi"/>
                <w:sz w:val="16"/>
                <w:szCs w:val="16"/>
              </w:rPr>
              <w:t>,</w:t>
            </w:r>
            <w:r w:rsidRPr="00C81624">
              <w:rPr>
                <w:rFonts w:eastAsiaTheme="minorHAnsi"/>
                <w:sz w:val="16"/>
                <w:szCs w:val="16"/>
              </w:rPr>
              <w:t>75</w:t>
            </w:r>
          </w:p>
        </w:tc>
        <w:tc>
          <w:tcPr>
            <w:tcW w:w="447" w:type="pct"/>
            <w:shd w:val="clear" w:color="auto" w:fill="auto"/>
          </w:tcPr>
          <w:p w14:paraId="69819D7B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78</w:t>
            </w:r>
            <w:r w:rsidR="00701665" w:rsidRPr="00C81624">
              <w:rPr>
                <w:rFonts w:eastAsiaTheme="minorHAnsi"/>
                <w:sz w:val="16"/>
                <w:szCs w:val="16"/>
              </w:rPr>
              <w:t>,</w:t>
            </w:r>
            <w:r w:rsidRPr="00C81624">
              <w:rPr>
                <w:rFonts w:eastAsiaTheme="minorHAnsi"/>
                <w:sz w:val="16"/>
                <w:szCs w:val="16"/>
              </w:rPr>
              <w:t>75</w:t>
            </w:r>
          </w:p>
        </w:tc>
        <w:tc>
          <w:tcPr>
            <w:tcW w:w="447" w:type="pct"/>
            <w:shd w:val="clear" w:color="auto" w:fill="auto"/>
          </w:tcPr>
          <w:p w14:paraId="2C83787D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48</w:t>
            </w:r>
            <w:r w:rsidR="00701665" w:rsidRPr="00C81624">
              <w:rPr>
                <w:rFonts w:eastAsiaTheme="minorHAnsi"/>
                <w:sz w:val="16"/>
                <w:szCs w:val="16"/>
              </w:rPr>
              <w:t>,</w:t>
            </w:r>
            <w:r w:rsidRPr="00C81624">
              <w:rPr>
                <w:rFonts w:eastAsiaTheme="minorHAnsi"/>
                <w:sz w:val="16"/>
                <w:szCs w:val="16"/>
              </w:rPr>
              <w:t>12</w:t>
            </w:r>
          </w:p>
        </w:tc>
        <w:tc>
          <w:tcPr>
            <w:tcW w:w="447" w:type="pct"/>
            <w:shd w:val="clear" w:color="auto" w:fill="auto"/>
          </w:tcPr>
          <w:p w14:paraId="4AB2101A" w14:textId="77777777" w:rsidR="002A55A2" w:rsidRPr="00C81624" w:rsidRDefault="002A55A2" w:rsidP="002A55A2">
            <w:pPr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30</w:t>
            </w:r>
            <w:r w:rsidR="00701665" w:rsidRPr="00C81624">
              <w:rPr>
                <w:sz w:val="16"/>
                <w:szCs w:val="16"/>
              </w:rPr>
              <w:t>,</w:t>
            </w:r>
            <w:r w:rsidRPr="00C81624">
              <w:rPr>
                <w:sz w:val="16"/>
                <w:szCs w:val="16"/>
              </w:rPr>
              <w:t>62</w:t>
            </w:r>
          </w:p>
        </w:tc>
        <w:tc>
          <w:tcPr>
            <w:tcW w:w="446" w:type="pct"/>
            <w:shd w:val="clear" w:color="auto" w:fill="auto"/>
          </w:tcPr>
          <w:p w14:paraId="2C20943B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n/</w:t>
            </w:r>
            <w:r w:rsidR="00701665" w:rsidRPr="00C81624">
              <w:rPr>
                <w:rFonts w:eastAsiaTheme="minorHAnsi"/>
                <w:sz w:val="16"/>
                <w:szCs w:val="16"/>
              </w:rPr>
              <w:t>d</w:t>
            </w:r>
          </w:p>
        </w:tc>
      </w:tr>
      <w:tr w:rsidR="002A55A2" w:rsidRPr="00C81624" w14:paraId="0D20F518" w14:textId="77777777" w:rsidTr="00123A87">
        <w:tc>
          <w:tcPr>
            <w:tcW w:w="728" w:type="pct"/>
            <w:vMerge w:val="restart"/>
            <w:hideMark/>
          </w:tcPr>
          <w:p w14:paraId="47CC3EF9" w14:textId="77777777" w:rsidR="002A55A2" w:rsidRPr="00C81624" w:rsidRDefault="00701665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Financement convenu</w:t>
            </w:r>
            <w:r w:rsidR="002A55A2" w:rsidRPr="00C81624">
              <w:rPr>
                <w:sz w:val="16"/>
                <w:szCs w:val="16"/>
              </w:rPr>
              <w:t>*(</w:t>
            </w:r>
            <w:r w:rsidRPr="00C81624">
              <w:rPr>
                <w:sz w:val="16"/>
                <w:szCs w:val="16"/>
              </w:rPr>
              <w:t>$US</w:t>
            </w:r>
            <w:r w:rsidR="002A55A2" w:rsidRPr="00C81624">
              <w:rPr>
                <w:sz w:val="16"/>
                <w:szCs w:val="16"/>
              </w:rPr>
              <w:t>)</w:t>
            </w:r>
          </w:p>
        </w:tc>
        <w:tc>
          <w:tcPr>
            <w:tcW w:w="455" w:type="pct"/>
            <w:vMerge w:val="restart"/>
            <w:vAlign w:val="center"/>
            <w:hideMark/>
          </w:tcPr>
          <w:p w14:paraId="0198BD7D" w14:textId="77777777" w:rsidR="002A55A2" w:rsidRPr="00C81624" w:rsidRDefault="00633E5A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PNUD</w:t>
            </w:r>
          </w:p>
        </w:tc>
        <w:tc>
          <w:tcPr>
            <w:tcW w:w="688" w:type="pct"/>
            <w:hideMark/>
          </w:tcPr>
          <w:p w14:paraId="5BAA0E85" w14:textId="77777777" w:rsidR="002A55A2" w:rsidRPr="00C81624" w:rsidRDefault="00701665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Coûts du projet</w:t>
            </w:r>
          </w:p>
        </w:tc>
        <w:tc>
          <w:tcPr>
            <w:tcW w:w="447" w:type="pct"/>
            <w:shd w:val="clear" w:color="auto" w:fill="auto"/>
          </w:tcPr>
          <w:p w14:paraId="25FBE14E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700</w:t>
            </w:r>
            <w:r w:rsidR="00701665" w:rsidRPr="00C81624">
              <w:rPr>
                <w:rFonts w:eastAsiaTheme="minorHAnsi"/>
                <w:sz w:val="16"/>
                <w:szCs w:val="16"/>
              </w:rPr>
              <w:t> </w:t>
            </w:r>
            <w:r w:rsidRPr="00C81624">
              <w:rPr>
                <w:rFonts w:eastAsiaTheme="minorHAnsi"/>
                <w:sz w:val="16"/>
                <w:szCs w:val="16"/>
              </w:rPr>
              <w:t>955</w:t>
            </w:r>
          </w:p>
        </w:tc>
        <w:tc>
          <w:tcPr>
            <w:tcW w:w="447" w:type="pct"/>
            <w:shd w:val="clear" w:color="auto" w:fill="auto"/>
          </w:tcPr>
          <w:p w14:paraId="4AFF3C3C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447" w:type="pct"/>
            <w:shd w:val="clear" w:color="auto" w:fill="auto"/>
          </w:tcPr>
          <w:p w14:paraId="3CB6ADE7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1</w:t>
            </w:r>
            <w:r w:rsidR="00701665" w:rsidRPr="00C81624">
              <w:rPr>
                <w:rFonts w:eastAsiaTheme="minorHAnsi"/>
                <w:sz w:val="16"/>
                <w:szCs w:val="16"/>
              </w:rPr>
              <w:t> </w:t>
            </w:r>
            <w:r w:rsidRPr="00C81624">
              <w:rPr>
                <w:rFonts w:eastAsiaTheme="minorHAnsi"/>
                <w:sz w:val="16"/>
                <w:szCs w:val="16"/>
              </w:rPr>
              <w:t>401</w:t>
            </w:r>
            <w:r w:rsidR="00701665" w:rsidRPr="00C81624">
              <w:rPr>
                <w:rFonts w:eastAsiaTheme="minorHAnsi"/>
                <w:sz w:val="16"/>
                <w:szCs w:val="16"/>
              </w:rPr>
              <w:t> </w:t>
            </w:r>
            <w:r w:rsidRPr="00C81624">
              <w:rPr>
                <w:rFonts w:eastAsiaTheme="minorHAnsi"/>
                <w:sz w:val="16"/>
                <w:szCs w:val="16"/>
              </w:rPr>
              <w:t>911</w:t>
            </w:r>
          </w:p>
        </w:tc>
        <w:tc>
          <w:tcPr>
            <w:tcW w:w="447" w:type="pct"/>
            <w:shd w:val="clear" w:color="auto" w:fill="auto"/>
          </w:tcPr>
          <w:p w14:paraId="473A442B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447" w:type="pct"/>
            <w:shd w:val="clear" w:color="auto" w:fill="auto"/>
          </w:tcPr>
          <w:p w14:paraId="215609E1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42</w:t>
            </w:r>
            <w:r w:rsidR="00701665" w:rsidRPr="00C81624">
              <w:rPr>
                <w:rFonts w:eastAsiaTheme="minorHAnsi"/>
                <w:sz w:val="16"/>
                <w:szCs w:val="16"/>
              </w:rPr>
              <w:t> </w:t>
            </w:r>
            <w:r w:rsidRPr="00C81624">
              <w:rPr>
                <w:rFonts w:eastAsiaTheme="minorHAnsi"/>
                <w:sz w:val="16"/>
                <w:szCs w:val="16"/>
              </w:rPr>
              <w:t>181</w:t>
            </w:r>
          </w:p>
        </w:tc>
        <w:tc>
          <w:tcPr>
            <w:tcW w:w="447" w:type="pct"/>
            <w:shd w:val="clear" w:color="auto" w:fill="auto"/>
          </w:tcPr>
          <w:p w14:paraId="7CC5B18F" w14:textId="77777777" w:rsidR="002A55A2" w:rsidRPr="00C81624" w:rsidRDefault="002A55A2" w:rsidP="002A55A2">
            <w:pPr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0</w:t>
            </w:r>
          </w:p>
        </w:tc>
        <w:tc>
          <w:tcPr>
            <w:tcW w:w="446" w:type="pct"/>
            <w:shd w:val="clear" w:color="auto" w:fill="auto"/>
          </w:tcPr>
          <w:p w14:paraId="4739BD53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2</w:t>
            </w:r>
            <w:r w:rsidR="00701665" w:rsidRPr="00C81624">
              <w:rPr>
                <w:rFonts w:eastAsiaTheme="minorHAnsi"/>
                <w:sz w:val="16"/>
                <w:szCs w:val="16"/>
              </w:rPr>
              <w:t> </w:t>
            </w:r>
            <w:r w:rsidRPr="00C81624">
              <w:rPr>
                <w:rFonts w:eastAsiaTheme="minorHAnsi"/>
                <w:sz w:val="16"/>
                <w:szCs w:val="16"/>
              </w:rPr>
              <w:t>145</w:t>
            </w:r>
            <w:r w:rsidR="00701665" w:rsidRPr="00C81624">
              <w:rPr>
                <w:rFonts w:eastAsiaTheme="minorHAnsi"/>
                <w:sz w:val="16"/>
                <w:szCs w:val="16"/>
              </w:rPr>
              <w:t> </w:t>
            </w:r>
            <w:r w:rsidRPr="00C81624">
              <w:rPr>
                <w:rFonts w:eastAsiaTheme="minorHAnsi"/>
                <w:sz w:val="16"/>
                <w:szCs w:val="16"/>
              </w:rPr>
              <w:t>047</w:t>
            </w:r>
          </w:p>
        </w:tc>
      </w:tr>
      <w:tr w:rsidR="002A55A2" w:rsidRPr="00C81624" w14:paraId="685DEB02" w14:textId="77777777" w:rsidTr="00123A87">
        <w:tc>
          <w:tcPr>
            <w:tcW w:w="728" w:type="pct"/>
            <w:vMerge/>
            <w:vAlign w:val="center"/>
            <w:hideMark/>
          </w:tcPr>
          <w:p w14:paraId="44674853" w14:textId="77777777" w:rsidR="002A55A2" w:rsidRPr="00C81624" w:rsidRDefault="002A55A2" w:rsidP="002A55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494E713E" w14:textId="77777777" w:rsidR="002A55A2" w:rsidRPr="00C81624" w:rsidRDefault="002A55A2" w:rsidP="002A55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8" w:type="pct"/>
            <w:hideMark/>
          </w:tcPr>
          <w:p w14:paraId="615B303D" w14:textId="77777777" w:rsidR="002A55A2" w:rsidRPr="00C81624" w:rsidRDefault="00701665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Coûts d’appui</w:t>
            </w:r>
          </w:p>
        </w:tc>
        <w:tc>
          <w:tcPr>
            <w:tcW w:w="447" w:type="pct"/>
            <w:shd w:val="clear" w:color="auto" w:fill="auto"/>
          </w:tcPr>
          <w:p w14:paraId="02567067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49</w:t>
            </w:r>
            <w:r w:rsidR="00701665" w:rsidRPr="00C81624">
              <w:rPr>
                <w:rFonts w:eastAsiaTheme="minorHAnsi"/>
                <w:sz w:val="16"/>
                <w:szCs w:val="16"/>
              </w:rPr>
              <w:t> </w:t>
            </w:r>
            <w:r w:rsidRPr="00C81624">
              <w:rPr>
                <w:rFonts w:eastAsiaTheme="minorHAnsi"/>
                <w:sz w:val="16"/>
                <w:szCs w:val="16"/>
              </w:rPr>
              <w:t>067</w:t>
            </w:r>
          </w:p>
        </w:tc>
        <w:tc>
          <w:tcPr>
            <w:tcW w:w="447" w:type="pct"/>
            <w:shd w:val="clear" w:color="auto" w:fill="auto"/>
          </w:tcPr>
          <w:p w14:paraId="4922C388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447" w:type="pct"/>
            <w:shd w:val="clear" w:color="auto" w:fill="auto"/>
          </w:tcPr>
          <w:p w14:paraId="55B42760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98</w:t>
            </w:r>
            <w:r w:rsidR="00701665" w:rsidRPr="00C81624">
              <w:rPr>
                <w:rFonts w:eastAsiaTheme="minorHAnsi"/>
                <w:sz w:val="16"/>
                <w:szCs w:val="16"/>
              </w:rPr>
              <w:t> </w:t>
            </w:r>
            <w:r w:rsidRPr="00C81624">
              <w:rPr>
                <w:rFonts w:eastAsiaTheme="minorHAnsi"/>
                <w:sz w:val="16"/>
                <w:szCs w:val="16"/>
              </w:rPr>
              <w:t>134</w:t>
            </w:r>
          </w:p>
        </w:tc>
        <w:tc>
          <w:tcPr>
            <w:tcW w:w="447" w:type="pct"/>
            <w:shd w:val="clear" w:color="auto" w:fill="auto"/>
          </w:tcPr>
          <w:p w14:paraId="7B577F17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447" w:type="pct"/>
            <w:shd w:val="clear" w:color="auto" w:fill="auto"/>
          </w:tcPr>
          <w:p w14:paraId="66B380CD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2</w:t>
            </w:r>
            <w:r w:rsidR="00701665" w:rsidRPr="00C81624">
              <w:rPr>
                <w:rFonts w:eastAsiaTheme="minorHAnsi"/>
                <w:sz w:val="16"/>
                <w:szCs w:val="16"/>
              </w:rPr>
              <w:t> </w:t>
            </w:r>
            <w:r w:rsidRPr="00C81624">
              <w:rPr>
                <w:rFonts w:eastAsiaTheme="minorHAnsi"/>
                <w:sz w:val="16"/>
                <w:szCs w:val="16"/>
              </w:rPr>
              <w:t>952</w:t>
            </w:r>
          </w:p>
        </w:tc>
        <w:tc>
          <w:tcPr>
            <w:tcW w:w="447" w:type="pct"/>
            <w:shd w:val="clear" w:color="auto" w:fill="auto"/>
          </w:tcPr>
          <w:p w14:paraId="0F612499" w14:textId="77777777" w:rsidR="002A55A2" w:rsidRPr="00C81624" w:rsidRDefault="002A55A2" w:rsidP="002A55A2">
            <w:pPr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0</w:t>
            </w:r>
          </w:p>
        </w:tc>
        <w:tc>
          <w:tcPr>
            <w:tcW w:w="446" w:type="pct"/>
            <w:shd w:val="clear" w:color="auto" w:fill="auto"/>
          </w:tcPr>
          <w:p w14:paraId="1CC5B92E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150</w:t>
            </w:r>
            <w:r w:rsidR="00701665" w:rsidRPr="00C81624">
              <w:rPr>
                <w:rFonts w:eastAsiaTheme="minorHAnsi"/>
                <w:sz w:val="16"/>
                <w:szCs w:val="16"/>
              </w:rPr>
              <w:t> </w:t>
            </w:r>
            <w:r w:rsidRPr="00C81624">
              <w:rPr>
                <w:rFonts w:eastAsiaTheme="minorHAnsi"/>
                <w:sz w:val="16"/>
                <w:szCs w:val="16"/>
              </w:rPr>
              <w:t>153</w:t>
            </w:r>
          </w:p>
        </w:tc>
      </w:tr>
      <w:tr w:rsidR="002A55A2" w:rsidRPr="00C81624" w14:paraId="36BA2957" w14:textId="77777777" w:rsidTr="00123A87">
        <w:tc>
          <w:tcPr>
            <w:tcW w:w="728" w:type="pct"/>
            <w:vMerge/>
            <w:vAlign w:val="center"/>
            <w:hideMark/>
          </w:tcPr>
          <w:p w14:paraId="760D88A2" w14:textId="77777777" w:rsidR="002A55A2" w:rsidRPr="00C81624" w:rsidRDefault="002A55A2" w:rsidP="002A55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5" w:type="pct"/>
            <w:vMerge w:val="restart"/>
            <w:vAlign w:val="center"/>
            <w:hideMark/>
          </w:tcPr>
          <w:p w14:paraId="003FB80D" w14:textId="77777777" w:rsidR="002A55A2" w:rsidRPr="00C81624" w:rsidRDefault="00633E5A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PNUE</w:t>
            </w:r>
          </w:p>
        </w:tc>
        <w:tc>
          <w:tcPr>
            <w:tcW w:w="688" w:type="pct"/>
            <w:hideMark/>
          </w:tcPr>
          <w:p w14:paraId="27846E51" w14:textId="77777777" w:rsidR="002A55A2" w:rsidRPr="00C81624" w:rsidRDefault="00701665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Coûts du projet</w:t>
            </w:r>
          </w:p>
        </w:tc>
        <w:tc>
          <w:tcPr>
            <w:tcW w:w="447" w:type="pct"/>
            <w:shd w:val="clear" w:color="auto" w:fill="auto"/>
          </w:tcPr>
          <w:p w14:paraId="1E88D79F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65</w:t>
            </w:r>
            <w:r w:rsidR="00701665" w:rsidRPr="00C81624">
              <w:rPr>
                <w:rFonts w:eastAsiaTheme="minorHAnsi"/>
                <w:sz w:val="16"/>
                <w:szCs w:val="16"/>
              </w:rPr>
              <w:t> </w:t>
            </w:r>
            <w:r w:rsidRPr="00C81624">
              <w:rPr>
                <w:rFonts w:eastAsiaTheme="minorHAnsi"/>
                <w:sz w:val="16"/>
                <w:szCs w:val="16"/>
              </w:rPr>
              <w:t>481</w:t>
            </w:r>
          </w:p>
        </w:tc>
        <w:tc>
          <w:tcPr>
            <w:tcW w:w="447" w:type="pct"/>
            <w:shd w:val="clear" w:color="auto" w:fill="auto"/>
          </w:tcPr>
          <w:p w14:paraId="02C4A77D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447" w:type="pct"/>
            <w:shd w:val="clear" w:color="auto" w:fill="auto"/>
          </w:tcPr>
          <w:p w14:paraId="4D5A06C7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130</w:t>
            </w:r>
            <w:r w:rsidR="00701665" w:rsidRPr="00C81624">
              <w:rPr>
                <w:rFonts w:eastAsiaTheme="minorHAnsi"/>
                <w:sz w:val="16"/>
                <w:szCs w:val="16"/>
              </w:rPr>
              <w:t> </w:t>
            </w:r>
            <w:r w:rsidRPr="00C81624">
              <w:rPr>
                <w:rFonts w:eastAsiaTheme="minorHAnsi"/>
                <w:sz w:val="16"/>
                <w:szCs w:val="16"/>
              </w:rPr>
              <w:t>962</w:t>
            </w:r>
          </w:p>
        </w:tc>
        <w:tc>
          <w:tcPr>
            <w:tcW w:w="447" w:type="pct"/>
            <w:shd w:val="clear" w:color="auto" w:fill="auto"/>
          </w:tcPr>
          <w:p w14:paraId="11C2EC1F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447" w:type="pct"/>
            <w:shd w:val="clear" w:color="auto" w:fill="auto"/>
          </w:tcPr>
          <w:p w14:paraId="7DE913FC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21</w:t>
            </w:r>
            <w:r w:rsidR="00701665" w:rsidRPr="00C81624">
              <w:rPr>
                <w:rFonts w:eastAsiaTheme="minorHAnsi"/>
                <w:sz w:val="16"/>
                <w:szCs w:val="16"/>
              </w:rPr>
              <w:t> </w:t>
            </w:r>
            <w:r w:rsidRPr="00C81624">
              <w:rPr>
                <w:rFonts w:eastAsiaTheme="minorHAnsi"/>
                <w:sz w:val="16"/>
                <w:szCs w:val="16"/>
              </w:rPr>
              <w:t>827</w:t>
            </w:r>
          </w:p>
        </w:tc>
        <w:tc>
          <w:tcPr>
            <w:tcW w:w="447" w:type="pct"/>
            <w:shd w:val="clear" w:color="auto" w:fill="auto"/>
          </w:tcPr>
          <w:p w14:paraId="71B0A99F" w14:textId="77777777" w:rsidR="002A55A2" w:rsidRPr="00C81624" w:rsidRDefault="002A55A2" w:rsidP="002A55A2">
            <w:pPr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0</w:t>
            </w:r>
          </w:p>
        </w:tc>
        <w:tc>
          <w:tcPr>
            <w:tcW w:w="446" w:type="pct"/>
            <w:shd w:val="clear" w:color="auto" w:fill="auto"/>
          </w:tcPr>
          <w:p w14:paraId="21683B5D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218</w:t>
            </w:r>
            <w:r w:rsidR="00701665" w:rsidRPr="00C81624">
              <w:rPr>
                <w:rFonts w:eastAsiaTheme="minorHAnsi"/>
                <w:sz w:val="16"/>
                <w:szCs w:val="16"/>
              </w:rPr>
              <w:t> </w:t>
            </w:r>
            <w:r w:rsidRPr="00C81624">
              <w:rPr>
                <w:rFonts w:eastAsiaTheme="minorHAnsi"/>
                <w:sz w:val="16"/>
                <w:szCs w:val="16"/>
              </w:rPr>
              <w:t>270</w:t>
            </w:r>
          </w:p>
        </w:tc>
      </w:tr>
      <w:tr w:rsidR="002A55A2" w:rsidRPr="00C81624" w14:paraId="30D3D60F" w14:textId="77777777" w:rsidTr="00123A87">
        <w:tc>
          <w:tcPr>
            <w:tcW w:w="728" w:type="pct"/>
            <w:vMerge/>
            <w:vAlign w:val="center"/>
            <w:hideMark/>
          </w:tcPr>
          <w:p w14:paraId="1ED0BE2F" w14:textId="77777777" w:rsidR="002A55A2" w:rsidRPr="00C81624" w:rsidRDefault="002A55A2" w:rsidP="002A55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491CC0CE" w14:textId="77777777" w:rsidR="002A55A2" w:rsidRPr="00C81624" w:rsidRDefault="002A55A2" w:rsidP="002A55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8" w:type="pct"/>
            <w:hideMark/>
          </w:tcPr>
          <w:p w14:paraId="6F1D6D5C" w14:textId="77777777" w:rsidR="002A55A2" w:rsidRPr="00C81624" w:rsidRDefault="00701665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Coûts d’appui</w:t>
            </w:r>
          </w:p>
        </w:tc>
        <w:tc>
          <w:tcPr>
            <w:tcW w:w="447" w:type="pct"/>
            <w:shd w:val="clear" w:color="auto" w:fill="auto"/>
          </w:tcPr>
          <w:p w14:paraId="56F94A0C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8</w:t>
            </w:r>
            <w:r w:rsidR="00701665" w:rsidRPr="00C81624">
              <w:rPr>
                <w:rFonts w:eastAsiaTheme="minorHAnsi"/>
                <w:sz w:val="16"/>
                <w:szCs w:val="16"/>
              </w:rPr>
              <w:t> </w:t>
            </w:r>
            <w:r w:rsidRPr="00C81624">
              <w:rPr>
                <w:rFonts w:eastAsiaTheme="minorHAnsi"/>
                <w:sz w:val="16"/>
                <w:szCs w:val="16"/>
              </w:rPr>
              <w:t>513</w:t>
            </w:r>
          </w:p>
        </w:tc>
        <w:tc>
          <w:tcPr>
            <w:tcW w:w="447" w:type="pct"/>
            <w:shd w:val="clear" w:color="auto" w:fill="auto"/>
          </w:tcPr>
          <w:p w14:paraId="349A904B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447" w:type="pct"/>
            <w:shd w:val="clear" w:color="auto" w:fill="auto"/>
          </w:tcPr>
          <w:p w14:paraId="289E503C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17</w:t>
            </w:r>
            <w:r w:rsidR="00701665" w:rsidRPr="00C81624">
              <w:rPr>
                <w:rFonts w:eastAsiaTheme="minorHAnsi"/>
                <w:sz w:val="16"/>
                <w:szCs w:val="16"/>
              </w:rPr>
              <w:t> </w:t>
            </w:r>
            <w:r w:rsidRPr="00C81624">
              <w:rPr>
                <w:rFonts w:eastAsiaTheme="minorHAnsi"/>
                <w:sz w:val="16"/>
                <w:szCs w:val="16"/>
              </w:rPr>
              <w:t>025</w:t>
            </w:r>
          </w:p>
        </w:tc>
        <w:tc>
          <w:tcPr>
            <w:tcW w:w="447" w:type="pct"/>
            <w:shd w:val="clear" w:color="auto" w:fill="auto"/>
          </w:tcPr>
          <w:p w14:paraId="5C78D01B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447" w:type="pct"/>
            <w:shd w:val="clear" w:color="auto" w:fill="auto"/>
          </w:tcPr>
          <w:p w14:paraId="21D4927F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2</w:t>
            </w:r>
            <w:r w:rsidR="00701665" w:rsidRPr="00C81624">
              <w:rPr>
                <w:rFonts w:eastAsiaTheme="minorHAnsi"/>
                <w:sz w:val="16"/>
                <w:szCs w:val="16"/>
              </w:rPr>
              <w:t> </w:t>
            </w:r>
            <w:r w:rsidRPr="00C81624">
              <w:rPr>
                <w:rFonts w:eastAsiaTheme="minorHAnsi"/>
                <w:sz w:val="16"/>
                <w:szCs w:val="16"/>
              </w:rPr>
              <w:t>837</w:t>
            </w:r>
          </w:p>
        </w:tc>
        <w:tc>
          <w:tcPr>
            <w:tcW w:w="447" w:type="pct"/>
            <w:shd w:val="clear" w:color="auto" w:fill="auto"/>
          </w:tcPr>
          <w:p w14:paraId="7304E12F" w14:textId="77777777" w:rsidR="002A55A2" w:rsidRPr="00C81624" w:rsidRDefault="002A55A2" w:rsidP="002A55A2">
            <w:pPr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0</w:t>
            </w:r>
          </w:p>
        </w:tc>
        <w:tc>
          <w:tcPr>
            <w:tcW w:w="446" w:type="pct"/>
            <w:shd w:val="clear" w:color="auto" w:fill="auto"/>
          </w:tcPr>
          <w:p w14:paraId="1D3FBA1E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28</w:t>
            </w:r>
            <w:r w:rsidR="00701665" w:rsidRPr="00C81624">
              <w:rPr>
                <w:rFonts w:eastAsiaTheme="minorHAnsi"/>
                <w:sz w:val="16"/>
                <w:szCs w:val="16"/>
              </w:rPr>
              <w:t> </w:t>
            </w:r>
            <w:r w:rsidRPr="00C81624">
              <w:rPr>
                <w:rFonts w:eastAsiaTheme="minorHAnsi"/>
                <w:sz w:val="16"/>
                <w:szCs w:val="16"/>
              </w:rPr>
              <w:t>375</w:t>
            </w:r>
          </w:p>
        </w:tc>
      </w:tr>
      <w:tr w:rsidR="002A55A2" w:rsidRPr="00C81624" w14:paraId="5EABB5FD" w14:textId="77777777" w:rsidTr="00123A87">
        <w:tc>
          <w:tcPr>
            <w:tcW w:w="728" w:type="pct"/>
            <w:vMerge/>
            <w:vAlign w:val="center"/>
          </w:tcPr>
          <w:p w14:paraId="49C7CA07" w14:textId="77777777" w:rsidR="002A55A2" w:rsidRPr="00C81624" w:rsidRDefault="002A55A2" w:rsidP="002A55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5" w:type="pct"/>
            <w:vMerge w:val="restart"/>
            <w:vAlign w:val="center"/>
          </w:tcPr>
          <w:p w14:paraId="109E3A73" w14:textId="77777777" w:rsidR="002A55A2" w:rsidRPr="00C81624" w:rsidRDefault="00633E5A" w:rsidP="002A55A2">
            <w:pPr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ONUDI</w:t>
            </w:r>
          </w:p>
        </w:tc>
        <w:tc>
          <w:tcPr>
            <w:tcW w:w="688" w:type="pct"/>
          </w:tcPr>
          <w:p w14:paraId="21350155" w14:textId="77777777" w:rsidR="002A55A2" w:rsidRPr="00C81624" w:rsidRDefault="00701665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Coûts du projet</w:t>
            </w:r>
          </w:p>
        </w:tc>
        <w:tc>
          <w:tcPr>
            <w:tcW w:w="447" w:type="pct"/>
            <w:shd w:val="clear" w:color="auto" w:fill="auto"/>
          </w:tcPr>
          <w:p w14:paraId="0980CC29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309</w:t>
            </w:r>
            <w:r w:rsidR="00701665" w:rsidRPr="00C81624">
              <w:rPr>
                <w:rFonts w:eastAsiaTheme="minorHAnsi"/>
                <w:sz w:val="16"/>
                <w:szCs w:val="16"/>
              </w:rPr>
              <w:t> </w:t>
            </w:r>
            <w:r w:rsidRPr="00C81624">
              <w:rPr>
                <w:rFonts w:eastAsiaTheme="minorHAnsi"/>
                <w:sz w:val="16"/>
                <w:szCs w:val="16"/>
              </w:rPr>
              <w:t>210</w:t>
            </w:r>
          </w:p>
        </w:tc>
        <w:tc>
          <w:tcPr>
            <w:tcW w:w="447" w:type="pct"/>
            <w:shd w:val="clear" w:color="auto" w:fill="auto"/>
          </w:tcPr>
          <w:p w14:paraId="2D24EFCD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447" w:type="pct"/>
            <w:shd w:val="clear" w:color="auto" w:fill="auto"/>
          </w:tcPr>
          <w:p w14:paraId="7D105A12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618</w:t>
            </w:r>
            <w:r w:rsidR="00701665" w:rsidRPr="00C81624">
              <w:rPr>
                <w:rFonts w:eastAsiaTheme="minorHAnsi"/>
                <w:sz w:val="16"/>
                <w:szCs w:val="16"/>
              </w:rPr>
              <w:t> </w:t>
            </w:r>
            <w:r w:rsidRPr="00C81624">
              <w:rPr>
                <w:rFonts w:eastAsiaTheme="minorHAnsi"/>
                <w:sz w:val="16"/>
                <w:szCs w:val="16"/>
              </w:rPr>
              <w:t>420</w:t>
            </w:r>
          </w:p>
        </w:tc>
        <w:tc>
          <w:tcPr>
            <w:tcW w:w="447" w:type="pct"/>
            <w:shd w:val="clear" w:color="auto" w:fill="auto"/>
          </w:tcPr>
          <w:p w14:paraId="775C5321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447" w:type="pct"/>
            <w:shd w:val="clear" w:color="auto" w:fill="auto"/>
          </w:tcPr>
          <w:p w14:paraId="2BEE1D17" w14:textId="77777777" w:rsidR="002A55A2" w:rsidRPr="00C81624" w:rsidRDefault="002A55A2" w:rsidP="002A55A2">
            <w:pPr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103</w:t>
            </w:r>
            <w:r w:rsidR="00701665" w:rsidRPr="00C81624">
              <w:rPr>
                <w:sz w:val="16"/>
                <w:szCs w:val="16"/>
              </w:rPr>
              <w:t> </w:t>
            </w:r>
            <w:r w:rsidRPr="00C81624">
              <w:rPr>
                <w:sz w:val="16"/>
                <w:szCs w:val="16"/>
              </w:rPr>
              <w:t>070</w:t>
            </w:r>
          </w:p>
        </w:tc>
        <w:tc>
          <w:tcPr>
            <w:tcW w:w="447" w:type="pct"/>
            <w:shd w:val="clear" w:color="auto" w:fill="auto"/>
          </w:tcPr>
          <w:p w14:paraId="68DEB7D2" w14:textId="77777777" w:rsidR="002A55A2" w:rsidRPr="00C81624" w:rsidRDefault="002A55A2" w:rsidP="002A55A2">
            <w:pPr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0</w:t>
            </w:r>
          </w:p>
        </w:tc>
        <w:tc>
          <w:tcPr>
            <w:tcW w:w="446" w:type="pct"/>
            <w:shd w:val="clear" w:color="auto" w:fill="auto"/>
          </w:tcPr>
          <w:p w14:paraId="433EE388" w14:textId="77777777" w:rsidR="002A55A2" w:rsidRPr="00C81624" w:rsidRDefault="002A55A2" w:rsidP="002A55A2">
            <w:pPr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1</w:t>
            </w:r>
            <w:r w:rsidR="00701665" w:rsidRPr="00C81624">
              <w:rPr>
                <w:sz w:val="16"/>
                <w:szCs w:val="16"/>
              </w:rPr>
              <w:t> </w:t>
            </w:r>
            <w:r w:rsidRPr="00C81624">
              <w:rPr>
                <w:sz w:val="16"/>
                <w:szCs w:val="16"/>
              </w:rPr>
              <w:t>030</w:t>
            </w:r>
            <w:r w:rsidR="00701665" w:rsidRPr="00C81624">
              <w:rPr>
                <w:sz w:val="16"/>
                <w:szCs w:val="16"/>
              </w:rPr>
              <w:t> </w:t>
            </w:r>
            <w:r w:rsidRPr="00C81624">
              <w:rPr>
                <w:sz w:val="16"/>
                <w:szCs w:val="16"/>
              </w:rPr>
              <w:t>700</w:t>
            </w:r>
          </w:p>
        </w:tc>
      </w:tr>
      <w:tr w:rsidR="002A55A2" w:rsidRPr="00C81624" w14:paraId="78FE6228" w14:textId="77777777" w:rsidTr="00123A87">
        <w:tc>
          <w:tcPr>
            <w:tcW w:w="728" w:type="pct"/>
            <w:vMerge/>
            <w:vAlign w:val="center"/>
          </w:tcPr>
          <w:p w14:paraId="7C71A617" w14:textId="77777777" w:rsidR="002A55A2" w:rsidRPr="00C81624" w:rsidRDefault="002A55A2" w:rsidP="002A55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14:paraId="2EFDB1E0" w14:textId="77777777" w:rsidR="002A55A2" w:rsidRPr="00C81624" w:rsidRDefault="002A55A2" w:rsidP="002A55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8" w:type="pct"/>
          </w:tcPr>
          <w:p w14:paraId="559D990B" w14:textId="77777777" w:rsidR="002A55A2" w:rsidRPr="00C81624" w:rsidRDefault="00701665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Coûts d’appui</w:t>
            </w:r>
          </w:p>
        </w:tc>
        <w:tc>
          <w:tcPr>
            <w:tcW w:w="447" w:type="pct"/>
            <w:shd w:val="clear" w:color="auto" w:fill="auto"/>
          </w:tcPr>
          <w:p w14:paraId="1A051D74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21</w:t>
            </w:r>
            <w:r w:rsidR="00701665" w:rsidRPr="00C81624">
              <w:rPr>
                <w:rFonts w:eastAsiaTheme="minorHAnsi"/>
                <w:sz w:val="16"/>
                <w:szCs w:val="16"/>
              </w:rPr>
              <w:t> </w:t>
            </w:r>
            <w:r w:rsidRPr="00C81624">
              <w:rPr>
                <w:rFonts w:eastAsiaTheme="minorHAnsi"/>
                <w:sz w:val="16"/>
                <w:szCs w:val="16"/>
              </w:rPr>
              <w:t>645</w:t>
            </w:r>
          </w:p>
        </w:tc>
        <w:tc>
          <w:tcPr>
            <w:tcW w:w="447" w:type="pct"/>
            <w:shd w:val="clear" w:color="auto" w:fill="auto"/>
          </w:tcPr>
          <w:p w14:paraId="5147B88A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447" w:type="pct"/>
            <w:shd w:val="clear" w:color="auto" w:fill="auto"/>
          </w:tcPr>
          <w:p w14:paraId="477F7853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43</w:t>
            </w:r>
            <w:r w:rsidR="00701665" w:rsidRPr="00C81624">
              <w:rPr>
                <w:rFonts w:eastAsiaTheme="minorHAnsi"/>
                <w:sz w:val="16"/>
                <w:szCs w:val="16"/>
              </w:rPr>
              <w:t> </w:t>
            </w:r>
            <w:r w:rsidRPr="00C81624">
              <w:rPr>
                <w:rFonts w:eastAsiaTheme="minorHAnsi"/>
                <w:sz w:val="16"/>
                <w:szCs w:val="16"/>
              </w:rPr>
              <w:t>289</w:t>
            </w:r>
          </w:p>
        </w:tc>
        <w:tc>
          <w:tcPr>
            <w:tcW w:w="447" w:type="pct"/>
            <w:shd w:val="clear" w:color="auto" w:fill="auto"/>
          </w:tcPr>
          <w:p w14:paraId="0037DB1A" w14:textId="77777777" w:rsidR="002A55A2" w:rsidRPr="00C81624" w:rsidRDefault="002A55A2" w:rsidP="002A55A2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81624">
              <w:rPr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447" w:type="pct"/>
            <w:shd w:val="clear" w:color="auto" w:fill="auto"/>
          </w:tcPr>
          <w:p w14:paraId="79DD2AD7" w14:textId="77777777" w:rsidR="002A55A2" w:rsidRPr="00C81624" w:rsidRDefault="002A55A2" w:rsidP="002A55A2">
            <w:pPr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7</w:t>
            </w:r>
            <w:r w:rsidR="00701665" w:rsidRPr="00C81624">
              <w:rPr>
                <w:sz w:val="16"/>
                <w:szCs w:val="16"/>
              </w:rPr>
              <w:t> </w:t>
            </w:r>
            <w:r w:rsidRPr="00C81624">
              <w:rPr>
                <w:sz w:val="16"/>
                <w:szCs w:val="16"/>
              </w:rPr>
              <w:t>215</w:t>
            </w:r>
          </w:p>
        </w:tc>
        <w:tc>
          <w:tcPr>
            <w:tcW w:w="447" w:type="pct"/>
            <w:shd w:val="clear" w:color="auto" w:fill="auto"/>
          </w:tcPr>
          <w:p w14:paraId="34C1755D" w14:textId="77777777" w:rsidR="002A55A2" w:rsidRPr="00C81624" w:rsidRDefault="002A55A2" w:rsidP="002A55A2">
            <w:pPr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0</w:t>
            </w:r>
          </w:p>
        </w:tc>
        <w:tc>
          <w:tcPr>
            <w:tcW w:w="446" w:type="pct"/>
            <w:shd w:val="clear" w:color="auto" w:fill="auto"/>
          </w:tcPr>
          <w:p w14:paraId="7CC0515D" w14:textId="77777777" w:rsidR="002A55A2" w:rsidRPr="00C81624" w:rsidRDefault="002A55A2" w:rsidP="002A55A2">
            <w:pPr>
              <w:jc w:val="righ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72</w:t>
            </w:r>
            <w:r w:rsidR="00701665" w:rsidRPr="00C81624">
              <w:rPr>
                <w:sz w:val="16"/>
                <w:szCs w:val="16"/>
              </w:rPr>
              <w:t> </w:t>
            </w:r>
            <w:r w:rsidRPr="00C81624">
              <w:rPr>
                <w:sz w:val="16"/>
                <w:szCs w:val="16"/>
              </w:rPr>
              <w:t>149</w:t>
            </w:r>
          </w:p>
        </w:tc>
      </w:tr>
      <w:tr w:rsidR="002A55A2" w:rsidRPr="00C81624" w14:paraId="29A778D4" w14:textId="77777777" w:rsidTr="00123A87">
        <w:tc>
          <w:tcPr>
            <w:tcW w:w="1183" w:type="pct"/>
            <w:gridSpan w:val="2"/>
            <w:vMerge w:val="restart"/>
            <w:vAlign w:val="center"/>
          </w:tcPr>
          <w:p w14:paraId="52087EA8" w14:textId="77777777" w:rsidR="002A55A2" w:rsidRPr="00C81624" w:rsidRDefault="00701665" w:rsidP="002A55A2">
            <w:pPr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Fonds approuvés par l’</w:t>
            </w:r>
            <w:proofErr w:type="spellStart"/>
            <w:r w:rsidR="002A55A2" w:rsidRPr="00C81624">
              <w:rPr>
                <w:sz w:val="16"/>
                <w:szCs w:val="16"/>
              </w:rPr>
              <w:t>ExCom</w:t>
            </w:r>
            <w:proofErr w:type="spellEnd"/>
            <w:r w:rsidR="002A55A2" w:rsidRPr="00C81624">
              <w:rPr>
                <w:sz w:val="16"/>
                <w:szCs w:val="16"/>
              </w:rPr>
              <w:t xml:space="preserve"> (</w:t>
            </w:r>
            <w:r w:rsidRPr="00C81624">
              <w:rPr>
                <w:sz w:val="16"/>
                <w:szCs w:val="16"/>
              </w:rPr>
              <w:t>$US</w:t>
            </w:r>
            <w:r w:rsidR="002A55A2" w:rsidRPr="00C81624">
              <w:rPr>
                <w:sz w:val="16"/>
                <w:szCs w:val="16"/>
              </w:rPr>
              <w:t>)</w:t>
            </w:r>
          </w:p>
        </w:tc>
        <w:tc>
          <w:tcPr>
            <w:tcW w:w="688" w:type="pct"/>
          </w:tcPr>
          <w:p w14:paraId="2AEFE30D" w14:textId="77777777" w:rsidR="002A55A2" w:rsidRPr="00C81624" w:rsidRDefault="00701665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Coûts du projet</w:t>
            </w:r>
          </w:p>
        </w:tc>
        <w:tc>
          <w:tcPr>
            <w:tcW w:w="447" w:type="pct"/>
            <w:shd w:val="clear" w:color="auto" w:fill="auto"/>
          </w:tcPr>
          <w:p w14:paraId="4FE63267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  <w:r w:rsidRPr="00C81624">
              <w:rPr>
                <w:color w:val="000000"/>
                <w:sz w:val="16"/>
                <w:szCs w:val="16"/>
              </w:rPr>
              <w:t>1</w:t>
            </w:r>
            <w:r w:rsidR="00701665" w:rsidRPr="00C81624">
              <w:rPr>
                <w:color w:val="000000"/>
                <w:sz w:val="16"/>
                <w:szCs w:val="16"/>
              </w:rPr>
              <w:t> </w:t>
            </w:r>
            <w:r w:rsidRPr="00C81624">
              <w:rPr>
                <w:color w:val="000000"/>
                <w:sz w:val="16"/>
                <w:szCs w:val="16"/>
              </w:rPr>
              <w:t>075</w:t>
            </w:r>
            <w:r w:rsidR="00701665" w:rsidRPr="00C81624">
              <w:rPr>
                <w:color w:val="000000"/>
                <w:sz w:val="16"/>
                <w:szCs w:val="16"/>
              </w:rPr>
              <w:t> </w:t>
            </w:r>
            <w:r w:rsidRPr="00C81624">
              <w:rPr>
                <w:color w:val="000000"/>
                <w:sz w:val="16"/>
                <w:szCs w:val="16"/>
              </w:rPr>
              <w:t>646</w:t>
            </w:r>
          </w:p>
        </w:tc>
        <w:tc>
          <w:tcPr>
            <w:tcW w:w="447" w:type="pct"/>
            <w:shd w:val="clear" w:color="auto" w:fill="auto"/>
          </w:tcPr>
          <w:p w14:paraId="4D287A99" w14:textId="77777777" w:rsidR="002A55A2" w:rsidRPr="00C81624" w:rsidRDefault="002A55A2" w:rsidP="002A55A2">
            <w:pPr>
              <w:tabs>
                <w:tab w:val="left" w:pos="198"/>
              </w:tabs>
              <w:jc w:val="right"/>
              <w:rPr>
                <w:color w:val="000000"/>
                <w:sz w:val="16"/>
                <w:szCs w:val="16"/>
              </w:rPr>
            </w:pPr>
            <w:r w:rsidRPr="00C8162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shd w:val="clear" w:color="auto" w:fill="auto"/>
          </w:tcPr>
          <w:p w14:paraId="24F42FFA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  <w:r w:rsidRPr="00C81624">
              <w:rPr>
                <w:color w:val="000000"/>
                <w:sz w:val="16"/>
                <w:szCs w:val="16"/>
              </w:rPr>
              <w:t>2</w:t>
            </w:r>
            <w:r w:rsidR="00701665" w:rsidRPr="00C81624">
              <w:rPr>
                <w:color w:val="000000"/>
                <w:sz w:val="16"/>
                <w:szCs w:val="16"/>
              </w:rPr>
              <w:t> </w:t>
            </w:r>
            <w:r w:rsidRPr="00C81624">
              <w:rPr>
                <w:color w:val="000000"/>
                <w:sz w:val="16"/>
                <w:szCs w:val="16"/>
              </w:rPr>
              <w:t>151</w:t>
            </w:r>
            <w:r w:rsidR="00701665" w:rsidRPr="00C81624">
              <w:rPr>
                <w:color w:val="000000"/>
                <w:sz w:val="16"/>
                <w:szCs w:val="16"/>
              </w:rPr>
              <w:t> </w:t>
            </w:r>
            <w:r w:rsidRPr="00C81624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447" w:type="pct"/>
            <w:shd w:val="clear" w:color="auto" w:fill="auto"/>
          </w:tcPr>
          <w:p w14:paraId="46E14EFB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  <w:r w:rsidRPr="00C8162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shd w:val="clear" w:color="auto" w:fill="auto"/>
          </w:tcPr>
          <w:p w14:paraId="4C9FBFC3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  <w:r w:rsidRPr="00C8162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shd w:val="clear" w:color="auto" w:fill="auto"/>
          </w:tcPr>
          <w:p w14:paraId="278C67BE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  <w:r w:rsidRPr="00C8162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shd w:val="clear" w:color="auto" w:fill="auto"/>
          </w:tcPr>
          <w:p w14:paraId="5074BDF0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  <w:r w:rsidRPr="00C81624">
              <w:rPr>
                <w:color w:val="000000"/>
                <w:sz w:val="16"/>
                <w:szCs w:val="16"/>
              </w:rPr>
              <w:t>3</w:t>
            </w:r>
            <w:r w:rsidR="00701665" w:rsidRPr="00C81624">
              <w:rPr>
                <w:color w:val="000000"/>
                <w:sz w:val="16"/>
                <w:szCs w:val="16"/>
              </w:rPr>
              <w:t> </w:t>
            </w:r>
            <w:r w:rsidRPr="00C81624">
              <w:rPr>
                <w:color w:val="000000"/>
                <w:sz w:val="16"/>
                <w:szCs w:val="16"/>
              </w:rPr>
              <w:t>226</w:t>
            </w:r>
            <w:r w:rsidR="00701665" w:rsidRPr="00C81624">
              <w:rPr>
                <w:color w:val="000000"/>
                <w:sz w:val="16"/>
                <w:szCs w:val="16"/>
              </w:rPr>
              <w:t> </w:t>
            </w:r>
            <w:r w:rsidRPr="00C81624">
              <w:rPr>
                <w:color w:val="000000"/>
                <w:sz w:val="16"/>
                <w:szCs w:val="16"/>
              </w:rPr>
              <w:t>939</w:t>
            </w:r>
          </w:p>
        </w:tc>
      </w:tr>
      <w:tr w:rsidR="002A55A2" w:rsidRPr="00C81624" w14:paraId="6D1B6C9B" w14:textId="77777777" w:rsidTr="00123A87">
        <w:tc>
          <w:tcPr>
            <w:tcW w:w="1183" w:type="pct"/>
            <w:gridSpan w:val="2"/>
            <w:vMerge/>
            <w:vAlign w:val="center"/>
          </w:tcPr>
          <w:p w14:paraId="18D33249" w14:textId="77777777" w:rsidR="002A55A2" w:rsidRPr="00C81624" w:rsidRDefault="002A55A2" w:rsidP="002A55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8" w:type="pct"/>
          </w:tcPr>
          <w:p w14:paraId="793CE91E" w14:textId="77777777" w:rsidR="002A55A2" w:rsidRPr="00C81624" w:rsidRDefault="00701665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Coûts d’appui</w:t>
            </w:r>
          </w:p>
        </w:tc>
        <w:tc>
          <w:tcPr>
            <w:tcW w:w="447" w:type="pct"/>
            <w:shd w:val="clear" w:color="auto" w:fill="auto"/>
          </w:tcPr>
          <w:p w14:paraId="30C8127E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  <w:r w:rsidRPr="00C81624">
              <w:rPr>
                <w:color w:val="000000"/>
                <w:sz w:val="16"/>
                <w:szCs w:val="16"/>
              </w:rPr>
              <w:t>79</w:t>
            </w:r>
            <w:r w:rsidR="00701665" w:rsidRPr="00C81624">
              <w:rPr>
                <w:color w:val="000000"/>
                <w:sz w:val="16"/>
                <w:szCs w:val="16"/>
              </w:rPr>
              <w:t> </w:t>
            </w:r>
            <w:r w:rsidRPr="00C8162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47" w:type="pct"/>
            <w:shd w:val="clear" w:color="auto" w:fill="auto"/>
          </w:tcPr>
          <w:p w14:paraId="067A4983" w14:textId="77777777" w:rsidR="002A55A2" w:rsidRPr="00C81624" w:rsidRDefault="002A55A2" w:rsidP="002A55A2">
            <w:pPr>
              <w:tabs>
                <w:tab w:val="left" w:pos="198"/>
              </w:tabs>
              <w:jc w:val="right"/>
              <w:rPr>
                <w:color w:val="000000"/>
                <w:sz w:val="16"/>
                <w:szCs w:val="16"/>
              </w:rPr>
            </w:pPr>
            <w:r w:rsidRPr="00C8162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shd w:val="clear" w:color="auto" w:fill="auto"/>
          </w:tcPr>
          <w:p w14:paraId="1C62E2FC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  <w:r w:rsidRPr="00C81624">
              <w:rPr>
                <w:color w:val="000000"/>
                <w:sz w:val="16"/>
                <w:szCs w:val="16"/>
              </w:rPr>
              <w:t>158</w:t>
            </w:r>
            <w:r w:rsidR="00701665" w:rsidRPr="00C81624">
              <w:rPr>
                <w:color w:val="000000"/>
                <w:sz w:val="16"/>
                <w:szCs w:val="16"/>
              </w:rPr>
              <w:t> </w:t>
            </w:r>
            <w:r w:rsidRPr="00C81624"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447" w:type="pct"/>
            <w:shd w:val="clear" w:color="auto" w:fill="auto"/>
          </w:tcPr>
          <w:p w14:paraId="18AAA076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  <w:r w:rsidRPr="00C8162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shd w:val="clear" w:color="auto" w:fill="auto"/>
          </w:tcPr>
          <w:p w14:paraId="64DA8A35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  <w:r w:rsidRPr="00C8162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shd w:val="clear" w:color="auto" w:fill="auto"/>
          </w:tcPr>
          <w:p w14:paraId="2EF50E10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  <w:r w:rsidRPr="00C8162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pct"/>
            <w:shd w:val="clear" w:color="auto" w:fill="auto"/>
          </w:tcPr>
          <w:p w14:paraId="0A294A7E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  <w:r w:rsidRPr="00C81624">
              <w:rPr>
                <w:color w:val="000000"/>
                <w:sz w:val="16"/>
                <w:szCs w:val="16"/>
              </w:rPr>
              <w:t>237</w:t>
            </w:r>
            <w:r w:rsidR="00701665" w:rsidRPr="00C81624">
              <w:rPr>
                <w:color w:val="000000"/>
                <w:sz w:val="16"/>
                <w:szCs w:val="16"/>
              </w:rPr>
              <w:t> </w:t>
            </w:r>
            <w:r w:rsidRPr="00C81624">
              <w:rPr>
                <w:color w:val="000000"/>
                <w:sz w:val="16"/>
                <w:szCs w:val="16"/>
              </w:rPr>
              <w:t>673</w:t>
            </w:r>
          </w:p>
        </w:tc>
      </w:tr>
      <w:tr w:rsidR="002A55A2" w:rsidRPr="00C81624" w14:paraId="7E9D9536" w14:textId="77777777" w:rsidTr="00123A87">
        <w:tc>
          <w:tcPr>
            <w:tcW w:w="1183" w:type="pct"/>
            <w:gridSpan w:val="2"/>
            <w:vMerge w:val="restart"/>
          </w:tcPr>
          <w:p w14:paraId="50227649" w14:textId="77777777" w:rsidR="002A55A2" w:rsidRPr="00C81624" w:rsidRDefault="00701665" w:rsidP="002A55A2">
            <w:pPr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Total des fonds demandés aux fins d’approbation à la présente réunion ($US)</w:t>
            </w:r>
          </w:p>
        </w:tc>
        <w:tc>
          <w:tcPr>
            <w:tcW w:w="688" w:type="pct"/>
          </w:tcPr>
          <w:p w14:paraId="5520B1A6" w14:textId="77777777" w:rsidR="002A55A2" w:rsidRPr="00C81624" w:rsidRDefault="00701665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Coûts du projet</w:t>
            </w:r>
          </w:p>
        </w:tc>
        <w:tc>
          <w:tcPr>
            <w:tcW w:w="447" w:type="pct"/>
          </w:tcPr>
          <w:p w14:paraId="624C130E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</w:tcPr>
          <w:p w14:paraId="1B83F38E" w14:textId="77777777" w:rsidR="002A55A2" w:rsidRPr="00C81624" w:rsidRDefault="002A55A2" w:rsidP="002A55A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30233E8B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53231790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044BCA94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  <w:r w:rsidRPr="00C81624">
              <w:rPr>
                <w:color w:val="000000"/>
                <w:sz w:val="16"/>
                <w:szCs w:val="16"/>
              </w:rPr>
              <w:t>167</w:t>
            </w:r>
            <w:r w:rsidR="00701665" w:rsidRPr="00C81624">
              <w:rPr>
                <w:color w:val="000000"/>
                <w:sz w:val="16"/>
                <w:szCs w:val="16"/>
              </w:rPr>
              <w:t> </w:t>
            </w:r>
            <w:r w:rsidRPr="00C81624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447" w:type="pct"/>
            <w:shd w:val="clear" w:color="auto" w:fill="auto"/>
          </w:tcPr>
          <w:p w14:paraId="6AA74C61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14:paraId="2F2A236B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  <w:r w:rsidRPr="00C81624">
              <w:rPr>
                <w:color w:val="000000"/>
                <w:sz w:val="16"/>
                <w:szCs w:val="16"/>
              </w:rPr>
              <w:t>167</w:t>
            </w:r>
            <w:r w:rsidR="00701665" w:rsidRPr="00C81624">
              <w:rPr>
                <w:color w:val="000000"/>
                <w:sz w:val="16"/>
                <w:szCs w:val="16"/>
              </w:rPr>
              <w:t> </w:t>
            </w:r>
            <w:r w:rsidRPr="00C81624">
              <w:rPr>
                <w:color w:val="000000"/>
                <w:sz w:val="16"/>
                <w:szCs w:val="16"/>
              </w:rPr>
              <w:t>078</w:t>
            </w:r>
          </w:p>
        </w:tc>
      </w:tr>
      <w:tr w:rsidR="002A55A2" w:rsidRPr="00C81624" w14:paraId="0C60C4FF" w14:textId="77777777" w:rsidTr="00123A87">
        <w:tc>
          <w:tcPr>
            <w:tcW w:w="1183" w:type="pct"/>
            <w:gridSpan w:val="2"/>
            <w:vMerge/>
          </w:tcPr>
          <w:p w14:paraId="7E72348C" w14:textId="77777777" w:rsidR="002A55A2" w:rsidRPr="00C81624" w:rsidRDefault="002A55A2" w:rsidP="002A55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8" w:type="pct"/>
          </w:tcPr>
          <w:p w14:paraId="7E56C97B" w14:textId="77777777" w:rsidR="002A55A2" w:rsidRPr="00C81624" w:rsidRDefault="00701665" w:rsidP="002A55A2">
            <w:pPr>
              <w:spacing w:after="60"/>
              <w:jc w:val="left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Coûts d’appui</w:t>
            </w:r>
          </w:p>
        </w:tc>
        <w:tc>
          <w:tcPr>
            <w:tcW w:w="447" w:type="pct"/>
          </w:tcPr>
          <w:p w14:paraId="627C5FCE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</w:tcPr>
          <w:p w14:paraId="58743FDF" w14:textId="77777777" w:rsidR="002A55A2" w:rsidRPr="00C81624" w:rsidRDefault="002A55A2" w:rsidP="002A55A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7EC32646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1FA04A96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635A1968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  <w:r w:rsidRPr="00C81624">
              <w:rPr>
                <w:color w:val="000000"/>
                <w:sz w:val="16"/>
                <w:szCs w:val="16"/>
              </w:rPr>
              <w:t>13</w:t>
            </w:r>
            <w:r w:rsidR="00701665" w:rsidRPr="00C81624">
              <w:rPr>
                <w:color w:val="000000"/>
                <w:sz w:val="16"/>
                <w:szCs w:val="16"/>
              </w:rPr>
              <w:t> </w:t>
            </w:r>
            <w:r w:rsidRPr="00C81624">
              <w:rPr>
                <w:color w:val="000000"/>
                <w:sz w:val="16"/>
                <w:szCs w:val="16"/>
              </w:rPr>
              <w:t>004</w:t>
            </w:r>
          </w:p>
        </w:tc>
        <w:tc>
          <w:tcPr>
            <w:tcW w:w="447" w:type="pct"/>
            <w:shd w:val="clear" w:color="auto" w:fill="auto"/>
          </w:tcPr>
          <w:p w14:paraId="128D9E79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14:paraId="5E054CD1" w14:textId="77777777" w:rsidR="002A55A2" w:rsidRPr="00C81624" w:rsidRDefault="002A55A2" w:rsidP="002A55A2">
            <w:pPr>
              <w:jc w:val="right"/>
              <w:rPr>
                <w:color w:val="000000"/>
                <w:sz w:val="16"/>
                <w:szCs w:val="16"/>
              </w:rPr>
            </w:pPr>
            <w:r w:rsidRPr="00C81624">
              <w:rPr>
                <w:color w:val="000000"/>
                <w:sz w:val="16"/>
                <w:szCs w:val="16"/>
              </w:rPr>
              <w:t>13</w:t>
            </w:r>
            <w:r w:rsidR="00701665" w:rsidRPr="00C81624">
              <w:rPr>
                <w:color w:val="000000"/>
                <w:sz w:val="16"/>
                <w:szCs w:val="16"/>
              </w:rPr>
              <w:t> </w:t>
            </w:r>
            <w:r w:rsidRPr="00C81624">
              <w:rPr>
                <w:color w:val="000000"/>
                <w:sz w:val="16"/>
                <w:szCs w:val="16"/>
              </w:rPr>
              <w:t>004</w:t>
            </w:r>
          </w:p>
        </w:tc>
      </w:tr>
    </w:tbl>
    <w:p w14:paraId="777220A8" w14:textId="77777777" w:rsidR="002A55A2" w:rsidRPr="00C81624" w:rsidRDefault="002A55A2" w:rsidP="002A55A2">
      <w:pPr>
        <w:spacing w:after="120"/>
        <w:rPr>
          <w:sz w:val="16"/>
          <w:szCs w:val="16"/>
        </w:rPr>
      </w:pPr>
    </w:p>
    <w:tbl>
      <w:tblPr>
        <w:tblStyle w:val="TableGrid"/>
        <w:tblW w:w="5242" w:type="pct"/>
        <w:tblInd w:w="-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03"/>
        <w:gridCol w:w="6604"/>
      </w:tblGrid>
      <w:tr w:rsidR="002A55A2" w:rsidRPr="00C81624" w14:paraId="70F82122" w14:textId="77777777" w:rsidTr="00123A87">
        <w:trPr>
          <w:trHeight w:val="240"/>
        </w:trPr>
        <w:tc>
          <w:tcPr>
            <w:tcW w:w="1633" w:type="pct"/>
            <w:shd w:val="clear" w:color="auto" w:fill="auto"/>
          </w:tcPr>
          <w:p w14:paraId="705BCBCF" w14:textId="77777777" w:rsidR="002A55A2" w:rsidRPr="00C81624" w:rsidRDefault="00701665" w:rsidP="002A55A2">
            <w:pPr>
              <w:spacing w:after="60"/>
              <w:jc w:val="left"/>
              <w:rPr>
                <w:b/>
                <w:sz w:val="16"/>
                <w:szCs w:val="16"/>
              </w:rPr>
            </w:pPr>
            <w:r w:rsidRPr="00C81624">
              <w:rPr>
                <w:b/>
                <w:sz w:val="16"/>
                <w:szCs w:val="16"/>
              </w:rPr>
              <w:t>R</w:t>
            </w:r>
            <w:r w:rsidR="002A55A2" w:rsidRPr="00C81624">
              <w:rPr>
                <w:b/>
                <w:sz w:val="16"/>
                <w:szCs w:val="16"/>
              </w:rPr>
              <w:t>ecomm</w:t>
            </w:r>
            <w:r w:rsidRPr="00C81624">
              <w:rPr>
                <w:b/>
                <w:sz w:val="16"/>
                <w:szCs w:val="16"/>
              </w:rPr>
              <w:t>a</w:t>
            </w:r>
            <w:r w:rsidR="002A55A2" w:rsidRPr="00C81624">
              <w:rPr>
                <w:b/>
                <w:sz w:val="16"/>
                <w:szCs w:val="16"/>
              </w:rPr>
              <w:t>ndation</w:t>
            </w:r>
            <w:r w:rsidRPr="00C81624">
              <w:rPr>
                <w:b/>
                <w:sz w:val="16"/>
                <w:szCs w:val="16"/>
              </w:rPr>
              <w:t xml:space="preserve"> du Secrétariat</w:t>
            </w:r>
            <w:r w:rsidR="002A55A2" w:rsidRPr="00C8162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367" w:type="pct"/>
            <w:shd w:val="clear" w:color="auto" w:fill="auto"/>
          </w:tcPr>
          <w:p w14:paraId="0CA6AAEE" w14:textId="77777777" w:rsidR="002A55A2" w:rsidRPr="00C81624" w:rsidRDefault="00701665" w:rsidP="002A55A2">
            <w:pPr>
              <w:spacing w:after="60"/>
              <w:jc w:val="center"/>
              <w:rPr>
                <w:sz w:val="16"/>
                <w:szCs w:val="16"/>
              </w:rPr>
            </w:pPr>
            <w:r w:rsidRPr="00C81624">
              <w:rPr>
                <w:sz w:val="16"/>
                <w:szCs w:val="16"/>
              </w:rPr>
              <w:t>Approbation globale</w:t>
            </w:r>
          </w:p>
        </w:tc>
      </w:tr>
    </w:tbl>
    <w:p w14:paraId="7A1C09C9" w14:textId="77777777" w:rsidR="002A55A2" w:rsidRPr="00C81624" w:rsidRDefault="002A55A2" w:rsidP="002A55A2">
      <w:pPr>
        <w:widowControl w:val="0"/>
        <w:tabs>
          <w:tab w:val="left" w:pos="2880"/>
          <w:tab w:val="left" w:pos="5760"/>
        </w:tabs>
        <w:spacing w:after="240"/>
        <w:rPr>
          <w:sz w:val="20"/>
        </w:rPr>
      </w:pPr>
      <w:r w:rsidRPr="00C81624">
        <w:rPr>
          <w:sz w:val="20"/>
        </w:rPr>
        <w:br w:type="page"/>
      </w:r>
    </w:p>
    <w:p w14:paraId="20B06EB7" w14:textId="77777777" w:rsidR="002A55A2" w:rsidRPr="00C81624" w:rsidRDefault="002A55A2" w:rsidP="002A55A2"/>
    <w:p w14:paraId="2B941E5A" w14:textId="77777777" w:rsidR="002A55A2" w:rsidRPr="00C81624" w:rsidRDefault="002A55A2" w:rsidP="002A55A2">
      <w:pPr>
        <w:jc w:val="center"/>
        <w:rPr>
          <w:b/>
        </w:rPr>
      </w:pPr>
      <w:r w:rsidRPr="00C81624">
        <w:rPr>
          <w:b/>
        </w:rPr>
        <w:t>DESCRIPTION</w:t>
      </w:r>
      <w:r w:rsidR="00EB165C" w:rsidRPr="00C81624">
        <w:rPr>
          <w:b/>
        </w:rPr>
        <w:t xml:space="preserve"> DU PROJET</w:t>
      </w:r>
    </w:p>
    <w:p w14:paraId="6C5D1B30" w14:textId="77777777" w:rsidR="002A55A2" w:rsidRPr="00C81624" w:rsidRDefault="002A55A2" w:rsidP="002A55A2"/>
    <w:p w14:paraId="4AE8FEFE" w14:textId="77777777" w:rsidR="002A55A2" w:rsidRPr="00C81624" w:rsidRDefault="00EB165C" w:rsidP="00123A87">
      <w:pPr>
        <w:pStyle w:val="Heading1"/>
      </w:pPr>
      <w:r w:rsidRPr="00C81624">
        <w:t xml:space="preserve">En sa qualité d’agence d’exécution principale, le PNUD a soumis, au nom du </w:t>
      </w:r>
      <w:r w:rsidR="00633E5A" w:rsidRPr="00C81624">
        <w:t>Gouvernement du Chili</w:t>
      </w:r>
      <w:r w:rsidR="002A55A2" w:rsidRPr="00C81624">
        <w:t xml:space="preserve">, </w:t>
      </w:r>
      <w:r w:rsidRPr="00C81624">
        <w:t xml:space="preserve">une demande de financement de la </w:t>
      </w:r>
      <w:r w:rsidR="00633E5A" w:rsidRPr="00C81624">
        <w:t>troisième</w:t>
      </w:r>
      <w:r w:rsidR="002A55A2" w:rsidRPr="00C81624">
        <w:t xml:space="preserve"> </w:t>
      </w:r>
      <w:r w:rsidRPr="00C81624">
        <w:t>et dernière</w:t>
      </w:r>
      <w:r w:rsidR="002A55A2" w:rsidRPr="00C81624">
        <w:t xml:space="preserve"> tranche </w:t>
      </w:r>
      <w:r w:rsidRPr="00C81624">
        <w:t>de la</w:t>
      </w:r>
      <w:r w:rsidR="002A55A2" w:rsidRPr="00C81624">
        <w:t xml:space="preserve"> </w:t>
      </w:r>
      <w:r w:rsidR="00633E5A" w:rsidRPr="00C81624">
        <w:t>phase</w:t>
      </w:r>
      <w:r w:rsidR="002A55A2" w:rsidRPr="00C81624">
        <w:t xml:space="preserve"> II </w:t>
      </w:r>
      <w:r w:rsidRPr="00C81624">
        <w:t>du</w:t>
      </w:r>
      <w:r w:rsidR="002A55A2" w:rsidRPr="00C81624">
        <w:t xml:space="preserve"> </w:t>
      </w:r>
      <w:r w:rsidR="00633E5A" w:rsidRPr="00C81624">
        <w:t>Plan de gestion de l’élimination de HCFC</w:t>
      </w:r>
      <w:r w:rsidR="002A55A2" w:rsidRPr="00C81624">
        <w:t xml:space="preserve"> (</w:t>
      </w:r>
      <w:r w:rsidR="00633E5A" w:rsidRPr="00C81624">
        <w:t>PGEH</w:t>
      </w:r>
      <w:r w:rsidR="002A55A2" w:rsidRPr="00C81624">
        <w:t xml:space="preserve">), </w:t>
      </w:r>
      <w:r w:rsidRPr="00C81624">
        <w:t>pour un coût t</w:t>
      </w:r>
      <w:r w:rsidR="002A55A2" w:rsidRPr="00C81624">
        <w:t xml:space="preserve">otal </w:t>
      </w:r>
      <w:r w:rsidRPr="00C81624">
        <w:t xml:space="preserve">de </w:t>
      </w:r>
      <w:r w:rsidR="002A55A2" w:rsidRPr="00C81624">
        <w:t>180</w:t>
      </w:r>
      <w:r w:rsidRPr="00C81624">
        <w:t> </w:t>
      </w:r>
      <w:r w:rsidR="002A55A2" w:rsidRPr="00C81624">
        <w:t>082</w:t>
      </w:r>
      <w:r w:rsidRPr="00C81624">
        <w:t> $US</w:t>
      </w:r>
      <w:r w:rsidR="002A55A2" w:rsidRPr="00C81624">
        <w:t xml:space="preserve">, </w:t>
      </w:r>
      <w:r w:rsidRPr="00C81624">
        <w:t xml:space="preserve">soit </w:t>
      </w:r>
      <w:r w:rsidR="002A55A2" w:rsidRPr="00C81624">
        <w:rPr>
          <w:rFonts w:eastAsiaTheme="minorHAnsi"/>
          <w:szCs w:val="16"/>
        </w:rPr>
        <w:t>42</w:t>
      </w:r>
      <w:r w:rsidRPr="00C81624">
        <w:rPr>
          <w:rFonts w:eastAsiaTheme="minorHAnsi"/>
          <w:szCs w:val="16"/>
        </w:rPr>
        <w:t> </w:t>
      </w:r>
      <w:r w:rsidR="002A55A2" w:rsidRPr="00C81624">
        <w:rPr>
          <w:rFonts w:eastAsiaTheme="minorHAnsi"/>
          <w:szCs w:val="16"/>
        </w:rPr>
        <w:t>181</w:t>
      </w:r>
      <w:r w:rsidRPr="00C81624">
        <w:rPr>
          <w:rFonts w:eastAsiaTheme="minorHAnsi"/>
          <w:szCs w:val="16"/>
        </w:rPr>
        <w:t> $US</w:t>
      </w:r>
      <w:r w:rsidR="002A55A2" w:rsidRPr="00C81624">
        <w:rPr>
          <w:rFonts w:eastAsiaTheme="minorHAnsi"/>
          <w:szCs w:val="16"/>
        </w:rPr>
        <w:t xml:space="preserve">, </w:t>
      </w:r>
      <w:r w:rsidR="002A55A2" w:rsidRPr="00C81624">
        <w:t xml:space="preserve">plus </w:t>
      </w:r>
      <w:r w:rsidRPr="00C81624">
        <w:t xml:space="preserve">des coûts d’appui d’agence de </w:t>
      </w:r>
      <w:r w:rsidR="002A55A2" w:rsidRPr="00C81624">
        <w:t>2</w:t>
      </w:r>
      <w:r w:rsidRPr="00C81624">
        <w:t> </w:t>
      </w:r>
      <w:r w:rsidR="002A55A2" w:rsidRPr="00C81624">
        <w:t>952</w:t>
      </w:r>
      <w:r w:rsidRPr="00C81624">
        <w:t xml:space="preserve"> $US pour le </w:t>
      </w:r>
      <w:r w:rsidR="00633E5A" w:rsidRPr="00C81624">
        <w:t>PNUD</w:t>
      </w:r>
      <w:r w:rsidR="002A55A2" w:rsidRPr="00C81624">
        <w:t xml:space="preserve">, </w:t>
      </w:r>
      <w:r w:rsidR="002A55A2" w:rsidRPr="00C81624">
        <w:rPr>
          <w:rFonts w:eastAsiaTheme="minorHAnsi"/>
          <w:szCs w:val="16"/>
        </w:rPr>
        <w:t>21</w:t>
      </w:r>
      <w:r w:rsidRPr="00C81624">
        <w:rPr>
          <w:rFonts w:eastAsiaTheme="minorHAnsi"/>
          <w:szCs w:val="16"/>
        </w:rPr>
        <w:t> </w:t>
      </w:r>
      <w:r w:rsidR="002A55A2" w:rsidRPr="00C81624">
        <w:rPr>
          <w:rFonts w:eastAsiaTheme="minorHAnsi"/>
          <w:szCs w:val="16"/>
        </w:rPr>
        <w:t>827</w:t>
      </w:r>
      <w:r w:rsidRPr="00C81624">
        <w:rPr>
          <w:rFonts w:eastAsiaTheme="minorHAnsi"/>
          <w:szCs w:val="16"/>
        </w:rPr>
        <w:t> $US</w:t>
      </w:r>
      <w:r w:rsidR="002A55A2" w:rsidRPr="00C81624">
        <w:t xml:space="preserve">, plus </w:t>
      </w:r>
      <w:r w:rsidRPr="00C81624">
        <w:t xml:space="preserve">des coûts d’appui de </w:t>
      </w:r>
      <w:r w:rsidR="002A55A2" w:rsidRPr="00C81624">
        <w:t>2</w:t>
      </w:r>
      <w:r w:rsidRPr="00C81624">
        <w:t> </w:t>
      </w:r>
      <w:r w:rsidR="002A55A2" w:rsidRPr="00C81624">
        <w:t>837</w:t>
      </w:r>
      <w:r w:rsidRPr="00C81624">
        <w:t> $US pour le</w:t>
      </w:r>
      <w:r w:rsidR="002A55A2" w:rsidRPr="00C81624">
        <w:t xml:space="preserve"> </w:t>
      </w:r>
      <w:r w:rsidR="00633E5A" w:rsidRPr="00C81624">
        <w:t>PNUE</w:t>
      </w:r>
      <w:r w:rsidR="002A55A2" w:rsidRPr="00C81624">
        <w:t xml:space="preserve">, </w:t>
      </w:r>
      <w:r w:rsidRPr="00C81624">
        <w:t xml:space="preserve">et </w:t>
      </w:r>
      <w:r w:rsidR="002A55A2" w:rsidRPr="00C81624">
        <w:t>103</w:t>
      </w:r>
      <w:r w:rsidRPr="00C81624">
        <w:t> </w:t>
      </w:r>
      <w:r w:rsidR="002A55A2" w:rsidRPr="00C81624">
        <w:t>070</w:t>
      </w:r>
      <w:r w:rsidRPr="00C81624">
        <w:t> $US</w:t>
      </w:r>
      <w:r w:rsidR="002A55A2" w:rsidRPr="00C81624">
        <w:t xml:space="preserve">, plus </w:t>
      </w:r>
      <w:r w:rsidRPr="00C81624">
        <w:t xml:space="preserve">des coûts d’appui de </w:t>
      </w:r>
      <w:r w:rsidR="002A55A2" w:rsidRPr="00C81624">
        <w:t>7</w:t>
      </w:r>
      <w:r w:rsidRPr="00C81624">
        <w:t> </w:t>
      </w:r>
      <w:r w:rsidR="002A55A2" w:rsidRPr="00C81624">
        <w:t>215</w:t>
      </w:r>
      <w:r w:rsidRPr="00C81624">
        <w:t> $US</w:t>
      </w:r>
      <w:r w:rsidR="002A55A2" w:rsidRPr="00C81624">
        <w:t xml:space="preserve"> </w:t>
      </w:r>
      <w:r w:rsidRPr="00C81624">
        <w:t>pour l’</w:t>
      </w:r>
      <w:r w:rsidR="00633E5A" w:rsidRPr="00C81624">
        <w:t>ONUDI</w:t>
      </w:r>
      <w:r w:rsidR="002A55A2" w:rsidRPr="00C81624">
        <w:t>.</w:t>
      </w:r>
      <w:r w:rsidR="002A55A2" w:rsidRPr="00C81624">
        <w:rPr>
          <w:vertAlign w:val="superscript"/>
        </w:rPr>
        <w:footnoteReference w:id="1"/>
      </w:r>
      <w:r w:rsidR="002A55A2" w:rsidRPr="00C81624">
        <w:t xml:space="preserve"> </w:t>
      </w:r>
      <w:r w:rsidRPr="00C81624">
        <w:t>La soumission inclut aussi un rapport d’avancement sur la mise en œuvre de la deuxième t</w:t>
      </w:r>
      <w:r w:rsidR="002A55A2" w:rsidRPr="00C81624">
        <w:t xml:space="preserve">ranche, </w:t>
      </w:r>
      <w:r w:rsidRPr="00C81624">
        <w:t>le rapport de</w:t>
      </w:r>
      <w:r w:rsidR="002A55A2" w:rsidRPr="00C81624">
        <w:t xml:space="preserve"> v</w:t>
      </w:r>
      <w:r w:rsidRPr="00C81624">
        <w:t>é</w:t>
      </w:r>
      <w:r w:rsidR="002A55A2" w:rsidRPr="00C81624">
        <w:t xml:space="preserve">rification </w:t>
      </w:r>
      <w:r w:rsidRPr="00C81624">
        <w:t xml:space="preserve">de la consommation de </w:t>
      </w:r>
      <w:r w:rsidR="002A55A2" w:rsidRPr="00C81624">
        <w:t xml:space="preserve">HCFC </w:t>
      </w:r>
      <w:r w:rsidRPr="00C81624">
        <w:t xml:space="preserve">pour la période </w:t>
      </w:r>
      <w:r w:rsidR="002A55A2" w:rsidRPr="00C81624">
        <w:t>2017</w:t>
      </w:r>
      <w:r w:rsidRPr="00C81624">
        <w:t>-</w:t>
      </w:r>
      <w:r w:rsidR="002A55A2" w:rsidRPr="00C81624">
        <w:t>2019</w:t>
      </w:r>
      <w:r w:rsidRPr="00C81624">
        <w:t xml:space="preserve">, ainsi que le plan de mise en œuvre de la </w:t>
      </w:r>
      <w:r w:rsidR="002A55A2" w:rsidRPr="00C81624">
        <w:t xml:space="preserve">tranche </w:t>
      </w:r>
      <w:r w:rsidRPr="00C81624">
        <w:t xml:space="preserve">pour </w:t>
      </w:r>
      <w:r w:rsidR="002A55A2" w:rsidRPr="00C81624">
        <w:t xml:space="preserve">2020 </w:t>
      </w:r>
      <w:r w:rsidRPr="00C81624">
        <w:t>à</w:t>
      </w:r>
      <w:r w:rsidR="002A55A2" w:rsidRPr="00C81624">
        <w:t xml:space="preserve"> 2022.</w:t>
      </w:r>
    </w:p>
    <w:p w14:paraId="678B282B" w14:textId="77777777" w:rsidR="002A55A2" w:rsidRPr="00C81624" w:rsidRDefault="002A55A2" w:rsidP="002A55A2">
      <w:pPr>
        <w:rPr>
          <w:u w:val="single"/>
        </w:rPr>
      </w:pPr>
      <w:r w:rsidRPr="00C81624">
        <w:rPr>
          <w:u w:val="single"/>
        </w:rPr>
        <w:t>R</w:t>
      </w:r>
      <w:r w:rsidR="00EB165C" w:rsidRPr="00C81624">
        <w:rPr>
          <w:u w:val="single"/>
        </w:rPr>
        <w:t>ap</w:t>
      </w:r>
      <w:r w:rsidRPr="00C81624">
        <w:rPr>
          <w:u w:val="single"/>
        </w:rPr>
        <w:t xml:space="preserve">port </w:t>
      </w:r>
      <w:r w:rsidR="00EB165C" w:rsidRPr="00C81624">
        <w:rPr>
          <w:u w:val="single"/>
        </w:rPr>
        <w:t>sur la consommation de</w:t>
      </w:r>
      <w:r w:rsidRPr="00C81624">
        <w:rPr>
          <w:u w:val="single"/>
        </w:rPr>
        <w:t xml:space="preserve"> HCFC</w:t>
      </w:r>
    </w:p>
    <w:p w14:paraId="6090E7EA" w14:textId="77777777" w:rsidR="002A55A2" w:rsidRPr="00C81624" w:rsidRDefault="002A55A2" w:rsidP="002A55A2"/>
    <w:p w14:paraId="321DE43C" w14:textId="77777777" w:rsidR="002A55A2" w:rsidRPr="00C81624" w:rsidRDefault="00EB165C" w:rsidP="00123A87">
      <w:pPr>
        <w:pStyle w:val="Heading1"/>
      </w:pPr>
      <w:r w:rsidRPr="00C81624">
        <w:t>L</w:t>
      </w:r>
      <w:r w:rsidR="002A55A2" w:rsidRPr="00C81624">
        <w:t xml:space="preserve">e </w:t>
      </w:r>
      <w:r w:rsidR="00633E5A" w:rsidRPr="00C81624">
        <w:t>Gouvernement du Chili</w:t>
      </w:r>
      <w:r w:rsidR="002A55A2" w:rsidRPr="00C81624">
        <w:t xml:space="preserve"> </w:t>
      </w:r>
      <w:r w:rsidRPr="00C81624">
        <w:t>a indiqué</w:t>
      </w:r>
      <w:r w:rsidR="00ED1FCD" w:rsidRPr="00C81624">
        <w:t>,</w:t>
      </w:r>
      <w:r w:rsidRPr="00C81624">
        <w:t xml:space="preserve"> dans le rapport de mise en œuvre du programme de pa</w:t>
      </w:r>
      <w:r w:rsidR="00ED1FCD" w:rsidRPr="00C81624">
        <w:t xml:space="preserve">ys, une consommation de </w:t>
      </w:r>
      <w:r w:rsidR="002A55A2" w:rsidRPr="00C81624">
        <w:t>32</w:t>
      </w:r>
      <w:r w:rsidR="00ED1FCD" w:rsidRPr="00C81624">
        <w:t>,</w:t>
      </w:r>
      <w:r w:rsidR="002A55A2" w:rsidRPr="00C81624">
        <w:t>20 </w:t>
      </w:r>
      <w:r w:rsidR="00ED1FCD" w:rsidRPr="00C81624">
        <w:t>t</w:t>
      </w:r>
      <w:r w:rsidR="00633E5A" w:rsidRPr="00C81624">
        <w:t>onnes PAO</w:t>
      </w:r>
      <w:r w:rsidR="002A55A2" w:rsidRPr="00C81624">
        <w:t xml:space="preserve"> </w:t>
      </w:r>
      <w:r w:rsidR="00ED1FCD" w:rsidRPr="00C81624">
        <w:t>de</w:t>
      </w:r>
      <w:r w:rsidR="002A55A2" w:rsidRPr="00C81624">
        <w:t xml:space="preserve"> HCFC </w:t>
      </w:r>
      <w:r w:rsidR="00ED1FCD" w:rsidRPr="00C81624">
        <w:t>e</w:t>
      </w:r>
      <w:r w:rsidR="002A55A2" w:rsidRPr="00C81624">
        <w:t xml:space="preserve">n 2019, </w:t>
      </w:r>
      <w:r w:rsidR="00ED1FCD" w:rsidRPr="00C81624">
        <w:t xml:space="preserve">ce qui est inférieur de </w:t>
      </w:r>
      <w:r w:rsidR="002A55A2" w:rsidRPr="00C81624">
        <w:t>63</w:t>
      </w:r>
      <w:r w:rsidR="00ED1FCD" w:rsidRPr="00C81624">
        <w:t xml:space="preserve"> % à la valeur de référence pour les </w:t>
      </w:r>
      <w:r w:rsidR="002A55A2" w:rsidRPr="00C81624">
        <w:t xml:space="preserve">HCFC </w:t>
      </w:r>
      <w:r w:rsidR="00ED1FCD" w:rsidRPr="00C81624">
        <w:t>aux fins de conformité</w:t>
      </w:r>
      <w:r w:rsidR="002A55A2" w:rsidRPr="00C81624">
        <w:t xml:space="preserve">. </w:t>
      </w:r>
      <w:r w:rsidR="00ED1FCD" w:rsidRPr="00C81624">
        <w:t xml:space="preserve">Le Tableau 1 indique la consommation de HCFC pour </w:t>
      </w:r>
      <w:r w:rsidR="002A55A2" w:rsidRPr="00C81624">
        <w:t>2015</w:t>
      </w:r>
      <w:r w:rsidR="002A55A2" w:rsidRPr="00C81624">
        <w:noBreakHyphen/>
        <w:t>2019.</w:t>
      </w:r>
    </w:p>
    <w:p w14:paraId="3FC99EAC" w14:textId="77777777" w:rsidR="002A55A2" w:rsidRPr="00C81624" w:rsidRDefault="002A55A2" w:rsidP="002A55A2">
      <w:pPr>
        <w:rPr>
          <w:b/>
        </w:rPr>
      </w:pPr>
      <w:r w:rsidRPr="00C81624">
        <w:rPr>
          <w:b/>
        </w:rPr>
        <w:t>Table</w:t>
      </w:r>
      <w:r w:rsidR="00ED1FCD" w:rsidRPr="00C81624">
        <w:rPr>
          <w:b/>
        </w:rPr>
        <w:t>au</w:t>
      </w:r>
      <w:r w:rsidRPr="00C81624">
        <w:rPr>
          <w:b/>
        </w:rPr>
        <w:t xml:space="preserve"> 1. </w:t>
      </w:r>
      <w:r w:rsidR="00ED1FCD" w:rsidRPr="00C81624">
        <w:rPr>
          <w:b/>
        </w:rPr>
        <w:t xml:space="preserve">Consommation de </w:t>
      </w:r>
      <w:r w:rsidRPr="00C81624">
        <w:rPr>
          <w:b/>
        </w:rPr>
        <w:t xml:space="preserve">HCFC </w:t>
      </w:r>
      <w:r w:rsidR="00ED1FCD" w:rsidRPr="00C81624">
        <w:rPr>
          <w:b/>
        </w:rPr>
        <w:t>au</w:t>
      </w:r>
      <w:r w:rsidRPr="00C81624">
        <w:rPr>
          <w:b/>
        </w:rPr>
        <w:t xml:space="preserve"> </w:t>
      </w:r>
      <w:r w:rsidR="00633E5A" w:rsidRPr="00C81624">
        <w:rPr>
          <w:b/>
        </w:rPr>
        <w:t>Chili</w:t>
      </w:r>
      <w:r w:rsidRPr="00C81624">
        <w:rPr>
          <w:b/>
        </w:rPr>
        <w:t xml:space="preserve"> (</w:t>
      </w:r>
      <w:r w:rsidR="00ED1FCD" w:rsidRPr="00C81624">
        <w:rPr>
          <w:b/>
        </w:rPr>
        <w:t xml:space="preserve">données visées à l’article 7 pour </w:t>
      </w:r>
      <w:r w:rsidRPr="00C81624">
        <w:rPr>
          <w:b/>
        </w:rPr>
        <w:t>2015-2019)</w:t>
      </w:r>
    </w:p>
    <w:tbl>
      <w:tblPr>
        <w:tblW w:w="5076" w:type="pct"/>
        <w:tblLayout w:type="fixed"/>
        <w:tblLook w:val="04A0" w:firstRow="1" w:lastRow="0" w:firstColumn="1" w:lastColumn="0" w:noHBand="0" w:noVBand="1"/>
      </w:tblPr>
      <w:tblGrid>
        <w:gridCol w:w="3236"/>
        <w:gridCol w:w="1020"/>
        <w:gridCol w:w="1019"/>
        <w:gridCol w:w="1019"/>
        <w:gridCol w:w="1019"/>
        <w:gridCol w:w="1019"/>
        <w:gridCol w:w="1160"/>
      </w:tblGrid>
      <w:tr w:rsidR="002A55A2" w:rsidRPr="00C81624" w14:paraId="14DB5CCE" w14:textId="77777777" w:rsidTr="00ED1FCD">
        <w:trPr>
          <w:tblHeader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D91443" w14:textId="77777777" w:rsidR="002A55A2" w:rsidRPr="00C81624" w:rsidRDefault="002A55A2" w:rsidP="002A55A2">
            <w:pPr>
              <w:widowControl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81624">
              <w:rPr>
                <w:b/>
                <w:bCs/>
                <w:color w:val="000000"/>
                <w:sz w:val="20"/>
                <w:szCs w:val="20"/>
              </w:rPr>
              <w:t>HCFC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17C6" w14:textId="77777777" w:rsidR="002A55A2" w:rsidRPr="00C81624" w:rsidRDefault="002A55A2" w:rsidP="002A55A2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624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BAB6" w14:textId="77777777" w:rsidR="002A55A2" w:rsidRPr="00C81624" w:rsidRDefault="002A55A2" w:rsidP="002A55A2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624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78EF" w14:textId="77777777" w:rsidR="002A55A2" w:rsidRPr="00C81624" w:rsidRDefault="002A55A2" w:rsidP="002A55A2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624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A5818" w14:textId="77777777" w:rsidR="002A55A2" w:rsidRPr="00C81624" w:rsidRDefault="002A55A2" w:rsidP="002A55A2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624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6085" w14:textId="77777777" w:rsidR="002A55A2" w:rsidRPr="00C81624" w:rsidRDefault="002A55A2" w:rsidP="002A55A2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624">
              <w:rPr>
                <w:b/>
                <w:bCs/>
                <w:color w:val="000000"/>
                <w:sz w:val="20"/>
                <w:szCs w:val="20"/>
              </w:rPr>
              <w:t>2019*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92F4" w14:textId="77777777" w:rsidR="002A55A2" w:rsidRPr="00C81624" w:rsidRDefault="00ED1FCD" w:rsidP="002A55A2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624">
              <w:rPr>
                <w:b/>
                <w:bCs/>
                <w:color w:val="000000"/>
                <w:sz w:val="20"/>
                <w:szCs w:val="20"/>
              </w:rPr>
              <w:t>Référence</w:t>
            </w:r>
          </w:p>
        </w:tc>
      </w:tr>
      <w:tr w:rsidR="002A55A2" w:rsidRPr="00C81624" w14:paraId="076E25AB" w14:textId="77777777" w:rsidTr="00ED1FCD"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E840D39" w14:textId="77777777" w:rsidR="002A55A2" w:rsidRPr="00C81624" w:rsidRDefault="00ED1FCD" w:rsidP="002A55A2">
            <w:pPr>
              <w:widowControl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81624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="002A55A2" w:rsidRPr="00C81624">
              <w:rPr>
                <w:b/>
                <w:bCs/>
                <w:color w:val="000000"/>
                <w:sz w:val="20"/>
                <w:szCs w:val="20"/>
              </w:rPr>
              <w:t>onnes</w:t>
            </w:r>
            <w:r w:rsidRPr="00C81624">
              <w:rPr>
                <w:b/>
                <w:bCs/>
                <w:color w:val="000000"/>
                <w:sz w:val="20"/>
                <w:szCs w:val="20"/>
              </w:rPr>
              <w:t xml:space="preserve"> métriques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C1AFF" w14:textId="77777777" w:rsidR="002A55A2" w:rsidRPr="00C81624" w:rsidRDefault="002A55A2" w:rsidP="002A55A2">
            <w:pPr>
              <w:widowControl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99ED" w14:textId="77777777" w:rsidR="002A55A2" w:rsidRPr="00C81624" w:rsidRDefault="002A55A2" w:rsidP="002A55A2">
            <w:pPr>
              <w:widowControl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20B84" w14:textId="77777777" w:rsidR="002A55A2" w:rsidRPr="00C81624" w:rsidRDefault="002A55A2" w:rsidP="002A55A2">
            <w:pPr>
              <w:widowControl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08870" w14:textId="77777777" w:rsidR="002A55A2" w:rsidRPr="00C81624" w:rsidRDefault="002A55A2" w:rsidP="002A55A2">
            <w:pPr>
              <w:widowControl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2774" w14:textId="77777777" w:rsidR="002A55A2" w:rsidRPr="00C81624" w:rsidRDefault="002A55A2" w:rsidP="002A55A2">
            <w:pPr>
              <w:widowControl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3CCC" w14:textId="77777777" w:rsidR="002A55A2" w:rsidRPr="00C81624" w:rsidRDefault="002A55A2" w:rsidP="002A55A2">
            <w:pPr>
              <w:widowControl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55A2" w:rsidRPr="00C81624" w14:paraId="3313AFAC" w14:textId="77777777" w:rsidTr="00ED1FCD"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7A7D682" w14:textId="77777777" w:rsidR="002A55A2" w:rsidRPr="00C81624" w:rsidRDefault="002A55A2" w:rsidP="002A55A2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HCFC-22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6CDCF458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661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7396B9DE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915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78657B0C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710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682E6FDF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570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5886A93C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436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</w:tcPr>
          <w:p w14:paraId="411739DD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859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19</w:t>
            </w:r>
          </w:p>
        </w:tc>
      </w:tr>
      <w:tr w:rsidR="002A55A2" w:rsidRPr="00C81624" w14:paraId="73F441C0" w14:textId="77777777" w:rsidTr="00ED1FCD"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54731E7" w14:textId="77777777" w:rsidR="002A55A2" w:rsidRPr="00C81624" w:rsidRDefault="002A55A2" w:rsidP="002A55A2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HCFC-123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67522B48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2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5653441E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3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5369205E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0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030B9E74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10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6FCA759F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2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</w:tcPr>
          <w:p w14:paraId="450F386B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1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41</w:t>
            </w:r>
          </w:p>
        </w:tc>
      </w:tr>
      <w:tr w:rsidR="002A55A2" w:rsidRPr="00C81624" w14:paraId="19F5E4CA" w14:textId="77777777" w:rsidTr="00ED1FCD"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C8B5DA1" w14:textId="77777777" w:rsidR="002A55A2" w:rsidRPr="00C81624" w:rsidRDefault="002A55A2" w:rsidP="002A55A2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HCFC-124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0993E580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1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09D8044B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0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3F296BD7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331AF298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2BD982BE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0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</w:tcPr>
          <w:p w14:paraId="52797E7A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0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52</w:t>
            </w:r>
          </w:p>
        </w:tc>
      </w:tr>
      <w:tr w:rsidR="002A55A2" w:rsidRPr="00C81624" w14:paraId="2280F94F" w14:textId="77777777" w:rsidTr="00ED1FCD"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956E464" w14:textId="77777777" w:rsidR="002A55A2" w:rsidRPr="00C81624" w:rsidRDefault="002A55A2" w:rsidP="002A55A2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HCFC-141b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65847CFC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282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26BBB347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116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09D97B92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244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77663C2B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59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281F3D4D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72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</w:tcPr>
          <w:p w14:paraId="517F7A3B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357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14</w:t>
            </w:r>
          </w:p>
        </w:tc>
      </w:tr>
      <w:tr w:rsidR="002A55A2" w:rsidRPr="00C81624" w14:paraId="71038055" w14:textId="77777777" w:rsidTr="00ED1FCD"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8E9174D" w14:textId="77777777" w:rsidR="002A55A2" w:rsidRPr="00C81624" w:rsidRDefault="002A55A2" w:rsidP="002A55A2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HCFC-142b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312FC961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2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114D5101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0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5E2940C5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3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6FA6A240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0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66AB6589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1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</w:tcPr>
          <w:p w14:paraId="58633560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9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66</w:t>
            </w:r>
          </w:p>
        </w:tc>
      </w:tr>
      <w:tr w:rsidR="002A55A2" w:rsidRPr="00C81624" w14:paraId="20B66798" w14:textId="77777777" w:rsidTr="00ED1FCD"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5F42A1" w14:textId="77777777" w:rsidR="002A55A2" w:rsidRPr="00C81624" w:rsidRDefault="002A55A2" w:rsidP="002A55A2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HCFC-225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178BD6CF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0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6ABC7F24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0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5C666DE7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0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60933159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0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09D91BE5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0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</w:tcPr>
          <w:p w14:paraId="690FDDA1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4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2A55A2" w:rsidRPr="00C81624" w14:paraId="6D535245" w14:textId="77777777" w:rsidTr="00ED1FCD"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10B10099" w14:textId="77777777" w:rsidR="002A55A2" w:rsidRPr="00C81624" w:rsidRDefault="00ED1FCD" w:rsidP="002A55A2">
            <w:pPr>
              <w:jc w:val="left"/>
              <w:rPr>
                <w:rFonts w:eastAsiaTheme="minorHAnsi"/>
                <w:b/>
                <w:color w:val="000000"/>
                <w:sz w:val="20"/>
                <w:szCs w:val="20"/>
              </w:rPr>
            </w:pPr>
            <w:r w:rsidRPr="00C81624">
              <w:rPr>
                <w:b/>
                <w:color w:val="000000"/>
                <w:sz w:val="20"/>
                <w:szCs w:val="20"/>
              </w:rPr>
              <w:t>Total partiel</w:t>
            </w:r>
            <w:r w:rsidR="002A55A2" w:rsidRPr="00C81624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1624">
              <w:rPr>
                <w:b/>
                <w:color w:val="000000"/>
                <w:sz w:val="20"/>
                <w:szCs w:val="20"/>
              </w:rPr>
              <w:t>t</w:t>
            </w:r>
            <w:r w:rsidR="002A55A2" w:rsidRPr="00C81624">
              <w:rPr>
                <w:b/>
                <w:color w:val="000000"/>
                <w:sz w:val="20"/>
                <w:szCs w:val="20"/>
              </w:rPr>
              <w:t>m</w:t>
            </w:r>
            <w:proofErr w:type="spellEnd"/>
            <w:r w:rsidR="002A55A2" w:rsidRPr="00C81624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7170A0E8" w14:textId="77777777" w:rsidR="002A55A2" w:rsidRPr="00C81624" w:rsidRDefault="002A55A2" w:rsidP="002A55A2">
            <w:pPr>
              <w:widowControl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C81624">
              <w:rPr>
                <w:b/>
                <w:color w:val="000000"/>
                <w:sz w:val="20"/>
                <w:szCs w:val="20"/>
              </w:rPr>
              <w:t>949</w:t>
            </w:r>
            <w:r w:rsidR="00ED1FCD" w:rsidRPr="00C81624">
              <w:rPr>
                <w:b/>
                <w:color w:val="000000"/>
                <w:sz w:val="20"/>
                <w:szCs w:val="20"/>
              </w:rPr>
              <w:t>,</w:t>
            </w:r>
            <w:r w:rsidRPr="00C81624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08D9CE62" w14:textId="77777777" w:rsidR="002A55A2" w:rsidRPr="00C81624" w:rsidRDefault="002A55A2" w:rsidP="002A55A2">
            <w:pPr>
              <w:widowControl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C81624">
              <w:rPr>
                <w:b/>
                <w:color w:val="000000"/>
                <w:sz w:val="20"/>
                <w:szCs w:val="20"/>
              </w:rPr>
              <w:t>1</w:t>
            </w:r>
            <w:r w:rsidR="00ED1FCD" w:rsidRPr="00C81624">
              <w:rPr>
                <w:b/>
                <w:color w:val="000000"/>
                <w:sz w:val="20"/>
                <w:szCs w:val="20"/>
              </w:rPr>
              <w:t> </w:t>
            </w:r>
            <w:r w:rsidRPr="00C81624">
              <w:rPr>
                <w:b/>
                <w:color w:val="000000"/>
                <w:sz w:val="20"/>
                <w:szCs w:val="20"/>
              </w:rPr>
              <w:t>036</w:t>
            </w:r>
            <w:r w:rsidR="00ED1FCD" w:rsidRPr="00C81624">
              <w:rPr>
                <w:b/>
                <w:color w:val="000000"/>
                <w:sz w:val="20"/>
                <w:szCs w:val="20"/>
              </w:rPr>
              <w:t>,</w:t>
            </w:r>
            <w:r w:rsidRPr="00C81624"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26CF40DF" w14:textId="77777777" w:rsidR="002A55A2" w:rsidRPr="00C81624" w:rsidRDefault="002A55A2" w:rsidP="002A55A2">
            <w:pPr>
              <w:widowControl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C81624">
              <w:rPr>
                <w:b/>
                <w:color w:val="000000"/>
                <w:sz w:val="20"/>
                <w:szCs w:val="20"/>
              </w:rPr>
              <w:t>958</w:t>
            </w:r>
            <w:r w:rsidR="00ED1FCD" w:rsidRPr="00C81624">
              <w:rPr>
                <w:b/>
                <w:color w:val="000000"/>
                <w:sz w:val="20"/>
                <w:szCs w:val="20"/>
              </w:rPr>
              <w:t>,</w:t>
            </w:r>
            <w:r w:rsidRPr="00C81624"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77F8787C" w14:textId="77777777" w:rsidR="002A55A2" w:rsidRPr="00C81624" w:rsidRDefault="002A55A2" w:rsidP="002A55A2">
            <w:pPr>
              <w:widowControl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C81624">
              <w:rPr>
                <w:b/>
                <w:color w:val="000000"/>
                <w:sz w:val="20"/>
                <w:szCs w:val="20"/>
              </w:rPr>
              <w:t>641</w:t>
            </w:r>
            <w:r w:rsidR="00ED1FCD" w:rsidRPr="00C81624">
              <w:rPr>
                <w:b/>
                <w:color w:val="000000"/>
                <w:sz w:val="20"/>
                <w:szCs w:val="20"/>
              </w:rPr>
              <w:t>,</w:t>
            </w:r>
            <w:r w:rsidRPr="00C81624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12332636" w14:textId="77777777" w:rsidR="002A55A2" w:rsidRPr="00C81624" w:rsidRDefault="002A55A2" w:rsidP="002A55A2">
            <w:pPr>
              <w:widowControl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C81624">
              <w:rPr>
                <w:b/>
                <w:color w:val="000000"/>
                <w:sz w:val="20"/>
                <w:szCs w:val="20"/>
              </w:rPr>
              <w:t>514</w:t>
            </w:r>
            <w:r w:rsidR="00ED1FCD" w:rsidRPr="00C81624">
              <w:rPr>
                <w:b/>
                <w:color w:val="000000"/>
                <w:sz w:val="20"/>
                <w:szCs w:val="20"/>
              </w:rPr>
              <w:t>,</w:t>
            </w:r>
            <w:r w:rsidRPr="00C81624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</w:tcPr>
          <w:p w14:paraId="4F4D8E27" w14:textId="77777777" w:rsidR="002A55A2" w:rsidRPr="00C81624" w:rsidRDefault="002A55A2" w:rsidP="002A55A2">
            <w:pPr>
              <w:widowControl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C81624">
              <w:rPr>
                <w:b/>
                <w:color w:val="000000"/>
                <w:sz w:val="20"/>
                <w:szCs w:val="20"/>
              </w:rPr>
              <w:t>1</w:t>
            </w:r>
            <w:r w:rsidR="00ED1FCD" w:rsidRPr="00C81624">
              <w:rPr>
                <w:b/>
                <w:color w:val="000000"/>
                <w:sz w:val="20"/>
                <w:szCs w:val="20"/>
              </w:rPr>
              <w:t> </w:t>
            </w:r>
            <w:r w:rsidRPr="00C81624">
              <w:rPr>
                <w:b/>
                <w:color w:val="000000"/>
                <w:sz w:val="20"/>
                <w:szCs w:val="20"/>
              </w:rPr>
              <w:t>232</w:t>
            </w:r>
            <w:r w:rsidR="00ED1FCD" w:rsidRPr="00C81624">
              <w:rPr>
                <w:b/>
                <w:color w:val="000000"/>
                <w:sz w:val="20"/>
                <w:szCs w:val="20"/>
              </w:rPr>
              <w:t>,</w:t>
            </w:r>
            <w:r w:rsidRPr="00C81624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2A55A2" w:rsidRPr="00C81624" w14:paraId="4CEF06BF" w14:textId="77777777" w:rsidTr="00ED1FCD"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308814AF" w14:textId="77777777" w:rsidR="002A55A2" w:rsidRPr="00C81624" w:rsidRDefault="002A55A2" w:rsidP="002A55A2">
            <w:pPr>
              <w:jc w:val="left"/>
              <w:rPr>
                <w:b/>
                <w:bCs/>
                <w:color w:val="000000"/>
                <w:sz w:val="20"/>
                <w:szCs w:val="20"/>
                <w:highlight w:val="magenta"/>
              </w:rPr>
            </w:pPr>
            <w:r w:rsidRPr="00C81624">
              <w:rPr>
                <w:color w:val="000000"/>
                <w:sz w:val="20"/>
                <w:szCs w:val="20"/>
              </w:rPr>
              <w:t xml:space="preserve">HCFC-141b </w:t>
            </w:r>
            <w:r w:rsidR="00ED1FCD" w:rsidRPr="00C81624">
              <w:rPr>
                <w:color w:val="000000"/>
                <w:sz w:val="20"/>
                <w:szCs w:val="20"/>
              </w:rPr>
              <w:t xml:space="preserve">dans les polyols </w:t>
            </w:r>
            <w:proofErr w:type="spellStart"/>
            <w:r w:rsidR="00ED1FCD" w:rsidRPr="00C81624">
              <w:rPr>
                <w:color w:val="000000"/>
                <w:sz w:val="20"/>
                <w:szCs w:val="20"/>
              </w:rPr>
              <w:t>prémélangés</w:t>
            </w:r>
            <w:proofErr w:type="spellEnd"/>
            <w:r w:rsidR="00ED1FCD" w:rsidRPr="00C81624">
              <w:rPr>
                <w:color w:val="000000"/>
                <w:sz w:val="20"/>
                <w:szCs w:val="20"/>
              </w:rPr>
              <w:t xml:space="preserve"> importés </w:t>
            </w:r>
            <w:r w:rsidRPr="00C81624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6F8E3B8A" w14:textId="77777777" w:rsidR="002A55A2" w:rsidRPr="00C81624" w:rsidRDefault="002A55A2" w:rsidP="002A55A2">
            <w:pPr>
              <w:jc w:val="righ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3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18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3E8EFF4A" w14:textId="77777777" w:rsidR="002A55A2" w:rsidRPr="00C81624" w:rsidRDefault="002A55A2" w:rsidP="002A55A2">
            <w:pPr>
              <w:jc w:val="righ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59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55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0EE491ED" w14:textId="77777777" w:rsidR="002A55A2" w:rsidRPr="00C81624" w:rsidRDefault="002A55A2" w:rsidP="002A55A2">
            <w:pPr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28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86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71BEF4FB" w14:textId="77777777" w:rsidR="002A55A2" w:rsidRPr="00C81624" w:rsidRDefault="002A55A2" w:rsidP="002A55A2">
            <w:pPr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32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45C930C0" w14:textId="77777777" w:rsidR="002A55A2" w:rsidRPr="00C81624" w:rsidRDefault="002A55A2" w:rsidP="002A55A2">
            <w:pPr>
              <w:jc w:val="righ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27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58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</w:tcPr>
          <w:p w14:paraId="5260216C" w14:textId="77777777" w:rsidR="002A55A2" w:rsidRPr="00C81624" w:rsidRDefault="002A55A2" w:rsidP="002A55A2">
            <w:pPr>
              <w:jc w:val="righ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n/</w:t>
            </w:r>
            <w:r w:rsidR="00ED1FCD" w:rsidRPr="00C81624">
              <w:rPr>
                <w:sz w:val="20"/>
                <w:szCs w:val="20"/>
              </w:rPr>
              <w:t>d</w:t>
            </w:r>
          </w:p>
        </w:tc>
      </w:tr>
      <w:tr w:rsidR="002A55A2" w:rsidRPr="00C81624" w14:paraId="48FD8A13" w14:textId="77777777" w:rsidTr="00ED1FCD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E2B76A" w14:textId="77777777" w:rsidR="002A55A2" w:rsidRPr="00C81624" w:rsidRDefault="002A55A2" w:rsidP="002A55A2">
            <w:pPr>
              <w:widowControl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81624">
              <w:rPr>
                <w:b/>
                <w:bCs/>
                <w:color w:val="000000"/>
                <w:sz w:val="20"/>
                <w:szCs w:val="20"/>
              </w:rPr>
              <w:t>Total (</w:t>
            </w:r>
            <w:proofErr w:type="spellStart"/>
            <w:r w:rsidR="00ED1FCD" w:rsidRPr="00C81624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C81624">
              <w:rPr>
                <w:b/>
                <w:bCs/>
                <w:color w:val="000000"/>
                <w:sz w:val="20"/>
                <w:szCs w:val="20"/>
              </w:rPr>
              <w:t>m</w:t>
            </w:r>
            <w:proofErr w:type="spellEnd"/>
            <w:r w:rsidRPr="00C8162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7CA311CE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b/>
                <w:color w:val="000000"/>
                <w:sz w:val="20"/>
                <w:szCs w:val="20"/>
              </w:rPr>
              <w:t>952</w:t>
            </w:r>
            <w:r w:rsidR="00ED1FCD" w:rsidRPr="00C81624">
              <w:rPr>
                <w:b/>
                <w:color w:val="000000"/>
                <w:sz w:val="20"/>
                <w:szCs w:val="20"/>
              </w:rPr>
              <w:t>,</w:t>
            </w:r>
            <w:r w:rsidRPr="00C81624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16EF03CD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b/>
                <w:color w:val="000000"/>
                <w:sz w:val="20"/>
                <w:szCs w:val="20"/>
              </w:rPr>
              <w:t>1</w:t>
            </w:r>
            <w:r w:rsidR="00ED1FCD" w:rsidRPr="00C81624">
              <w:rPr>
                <w:b/>
                <w:color w:val="000000"/>
                <w:sz w:val="20"/>
                <w:szCs w:val="20"/>
              </w:rPr>
              <w:t> </w:t>
            </w:r>
            <w:r w:rsidRPr="00C81624">
              <w:rPr>
                <w:b/>
                <w:color w:val="000000"/>
                <w:sz w:val="20"/>
                <w:szCs w:val="20"/>
              </w:rPr>
              <w:t>096</w:t>
            </w:r>
            <w:r w:rsidR="00ED1FCD" w:rsidRPr="00C81624">
              <w:rPr>
                <w:b/>
                <w:color w:val="000000"/>
                <w:sz w:val="20"/>
                <w:szCs w:val="20"/>
              </w:rPr>
              <w:t>,</w:t>
            </w:r>
            <w:r w:rsidRPr="00C81624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6A717B9A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b/>
                <w:color w:val="000000"/>
                <w:sz w:val="20"/>
                <w:szCs w:val="20"/>
              </w:rPr>
              <w:t>987</w:t>
            </w:r>
            <w:r w:rsidR="00ED1FCD" w:rsidRPr="00C81624">
              <w:rPr>
                <w:b/>
                <w:color w:val="000000"/>
                <w:sz w:val="20"/>
                <w:szCs w:val="20"/>
              </w:rPr>
              <w:t>,</w:t>
            </w:r>
            <w:r w:rsidRPr="00C81624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1E9FC2A0" w14:textId="77777777" w:rsidR="002A55A2" w:rsidRPr="00C81624" w:rsidRDefault="002A55A2" w:rsidP="002A55A2">
            <w:pPr>
              <w:widowControl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C81624">
              <w:rPr>
                <w:b/>
                <w:color w:val="000000"/>
                <w:sz w:val="20"/>
                <w:szCs w:val="20"/>
              </w:rPr>
              <w:t>673</w:t>
            </w:r>
            <w:r w:rsidR="00ED1FCD" w:rsidRPr="00C81624">
              <w:rPr>
                <w:b/>
                <w:color w:val="000000"/>
                <w:sz w:val="20"/>
                <w:szCs w:val="20"/>
              </w:rPr>
              <w:t>,</w:t>
            </w:r>
            <w:r w:rsidRPr="00C81624"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71FA3B61" w14:textId="77777777" w:rsidR="002A55A2" w:rsidRPr="00C81624" w:rsidRDefault="002A55A2" w:rsidP="002A55A2">
            <w:pPr>
              <w:widowControl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1624">
              <w:rPr>
                <w:b/>
                <w:bCs/>
                <w:color w:val="000000"/>
                <w:sz w:val="20"/>
                <w:szCs w:val="20"/>
              </w:rPr>
              <w:t>542</w:t>
            </w:r>
            <w:r w:rsidR="00ED1FCD" w:rsidRPr="00C8162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C816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</w:tcPr>
          <w:p w14:paraId="27C4EE7A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b/>
                <w:color w:val="000000"/>
                <w:sz w:val="20"/>
                <w:szCs w:val="20"/>
              </w:rPr>
              <w:t>1</w:t>
            </w:r>
            <w:r w:rsidR="00ED1FCD" w:rsidRPr="00C81624">
              <w:rPr>
                <w:b/>
                <w:color w:val="000000"/>
                <w:sz w:val="20"/>
                <w:szCs w:val="20"/>
              </w:rPr>
              <w:t> </w:t>
            </w:r>
            <w:r w:rsidRPr="00C81624">
              <w:rPr>
                <w:b/>
                <w:color w:val="000000"/>
                <w:sz w:val="20"/>
                <w:szCs w:val="20"/>
              </w:rPr>
              <w:t>232</w:t>
            </w:r>
            <w:r w:rsidR="00ED1FCD" w:rsidRPr="00C81624">
              <w:rPr>
                <w:b/>
                <w:color w:val="000000"/>
                <w:sz w:val="20"/>
                <w:szCs w:val="20"/>
              </w:rPr>
              <w:t>,</w:t>
            </w:r>
            <w:r w:rsidRPr="00C81624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2A55A2" w:rsidRPr="00C81624" w14:paraId="46F24C38" w14:textId="77777777" w:rsidTr="00ED1FCD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A6C6E1" w14:textId="77777777" w:rsidR="002A55A2" w:rsidRPr="00C81624" w:rsidRDefault="00633E5A" w:rsidP="002A55A2">
            <w:pPr>
              <w:widowControl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81624">
              <w:rPr>
                <w:b/>
                <w:bCs/>
                <w:color w:val="000000"/>
                <w:sz w:val="20"/>
                <w:szCs w:val="20"/>
              </w:rPr>
              <w:t>Tonnes PAO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3628869F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4BC15648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5317DDCC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55A4CC8D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2E481737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  <w:hideMark/>
          </w:tcPr>
          <w:p w14:paraId="1EAF523A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A55A2" w:rsidRPr="00C81624" w14:paraId="27925C82" w14:textId="77777777" w:rsidTr="00ED1FCD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862CF51" w14:textId="77777777" w:rsidR="002A55A2" w:rsidRPr="00C81624" w:rsidRDefault="002A55A2" w:rsidP="002A55A2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HCFC-22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61B8417F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C81624">
              <w:rPr>
                <w:sz w:val="20"/>
                <w:szCs w:val="20"/>
              </w:rPr>
              <w:t>36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36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74B594A1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50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36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7513C91D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39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13175BA4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31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02237108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24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</w:tcPr>
          <w:p w14:paraId="24B3FA34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47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26</w:t>
            </w:r>
          </w:p>
        </w:tc>
      </w:tr>
      <w:tr w:rsidR="002A55A2" w:rsidRPr="00C81624" w14:paraId="7468D412" w14:textId="77777777" w:rsidTr="00ED1FCD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F3B9E0" w14:textId="77777777" w:rsidR="002A55A2" w:rsidRPr="00C81624" w:rsidRDefault="002A55A2" w:rsidP="002A55A2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HCFC-123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052E8744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C81624">
              <w:rPr>
                <w:sz w:val="20"/>
                <w:szCs w:val="20"/>
              </w:rPr>
              <w:t>0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6507FAB7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0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08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7E2A3577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0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02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34520127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0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490316CD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0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</w:tcPr>
          <w:p w14:paraId="168E83F4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0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03</w:t>
            </w:r>
          </w:p>
        </w:tc>
      </w:tr>
      <w:tr w:rsidR="002A55A2" w:rsidRPr="00C81624" w14:paraId="4295C434" w14:textId="77777777" w:rsidTr="00ED1FCD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49CABB9" w14:textId="77777777" w:rsidR="002A55A2" w:rsidRPr="00C81624" w:rsidRDefault="002A55A2" w:rsidP="002A55A2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HCFC-124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3974DBB5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C81624">
              <w:rPr>
                <w:sz w:val="20"/>
                <w:szCs w:val="20"/>
              </w:rPr>
              <w:t>0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02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531D8033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0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2DCC0F60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0876B078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4C5C8FDC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0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</w:tcPr>
          <w:p w14:paraId="1607C178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0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01</w:t>
            </w:r>
          </w:p>
        </w:tc>
      </w:tr>
      <w:tr w:rsidR="002A55A2" w:rsidRPr="00C81624" w14:paraId="54970AF9" w14:textId="77777777" w:rsidTr="00ED1FCD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694CDCB" w14:textId="77777777" w:rsidR="002A55A2" w:rsidRPr="00C81624" w:rsidRDefault="002A55A2" w:rsidP="002A55A2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HCFC-141b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15A7A27D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C81624">
              <w:rPr>
                <w:sz w:val="20"/>
                <w:szCs w:val="20"/>
              </w:rPr>
              <w:t>31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06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5B1162A9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12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87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4502D1A6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26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92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1831A87F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6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4419C5C9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8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</w:tcPr>
          <w:p w14:paraId="2BC58BF5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39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29</w:t>
            </w:r>
          </w:p>
        </w:tc>
      </w:tr>
      <w:tr w:rsidR="002A55A2" w:rsidRPr="00C81624" w14:paraId="7F320C4C" w14:textId="77777777" w:rsidTr="00ED1FCD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8CCB8C" w14:textId="77777777" w:rsidR="002A55A2" w:rsidRPr="00C81624" w:rsidRDefault="002A55A2" w:rsidP="002A55A2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HCFC-142b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51699293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C81624">
              <w:rPr>
                <w:sz w:val="20"/>
                <w:szCs w:val="20"/>
              </w:rPr>
              <w:t>0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14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5A28EDA3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0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02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6F31770E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0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57B1430E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0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46664A60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0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</w:tcPr>
          <w:p w14:paraId="5D4019FE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0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63</w:t>
            </w:r>
          </w:p>
        </w:tc>
      </w:tr>
      <w:tr w:rsidR="002A55A2" w:rsidRPr="00C81624" w14:paraId="05D92A65" w14:textId="77777777" w:rsidTr="00ED1FCD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0EB672" w14:textId="77777777" w:rsidR="002A55A2" w:rsidRPr="00C81624" w:rsidRDefault="002A55A2" w:rsidP="002A55A2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HCFC-225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557A108D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0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00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46D9C298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0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00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2B0B251A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0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659B0ECA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0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08934C01" w14:textId="77777777" w:rsidR="002A55A2" w:rsidRPr="00C81624" w:rsidRDefault="002A55A2" w:rsidP="002A55A2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0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</w:tcPr>
          <w:p w14:paraId="15D77611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0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29</w:t>
            </w:r>
          </w:p>
        </w:tc>
      </w:tr>
      <w:tr w:rsidR="002A55A2" w:rsidRPr="00C81624" w14:paraId="4AC12EFD" w14:textId="77777777" w:rsidTr="00ED1FCD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773C0B5A" w14:textId="77777777" w:rsidR="002A55A2" w:rsidRPr="00C81624" w:rsidRDefault="00ED1FCD" w:rsidP="002A55A2">
            <w:pPr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>Total partiel</w:t>
            </w:r>
            <w:r w:rsidR="002A55A2" w:rsidRPr="00C81624">
              <w:rPr>
                <w:b/>
                <w:sz w:val="20"/>
                <w:szCs w:val="20"/>
              </w:rPr>
              <w:t xml:space="preserve"> (</w:t>
            </w:r>
            <w:r w:rsidRPr="00C81624">
              <w:rPr>
                <w:b/>
                <w:sz w:val="20"/>
                <w:szCs w:val="20"/>
              </w:rPr>
              <w:t>t</w:t>
            </w:r>
            <w:r w:rsidR="00633E5A" w:rsidRPr="00C81624">
              <w:rPr>
                <w:b/>
                <w:sz w:val="20"/>
                <w:szCs w:val="20"/>
              </w:rPr>
              <w:t>onnes PAO</w:t>
            </w:r>
            <w:r w:rsidR="002A55A2" w:rsidRPr="00C8162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558C7168" w14:textId="77777777" w:rsidR="002A55A2" w:rsidRPr="00C81624" w:rsidRDefault="002A55A2" w:rsidP="002A55A2">
            <w:pPr>
              <w:widowControl w:val="0"/>
              <w:jc w:val="right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C81624">
              <w:rPr>
                <w:b/>
                <w:sz w:val="20"/>
                <w:szCs w:val="20"/>
              </w:rPr>
              <w:t>67</w:t>
            </w:r>
            <w:r w:rsidR="00ED1FCD" w:rsidRPr="00C81624">
              <w:rPr>
                <w:b/>
                <w:sz w:val="20"/>
                <w:szCs w:val="20"/>
              </w:rPr>
              <w:t>,</w:t>
            </w:r>
            <w:r w:rsidRPr="00C81624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07E78A69" w14:textId="77777777" w:rsidR="002A55A2" w:rsidRPr="00C81624" w:rsidRDefault="002A55A2" w:rsidP="002A55A2">
            <w:pPr>
              <w:widowControl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>63</w:t>
            </w:r>
            <w:r w:rsidR="00ED1FCD" w:rsidRPr="00C81624">
              <w:rPr>
                <w:b/>
                <w:sz w:val="20"/>
                <w:szCs w:val="20"/>
              </w:rPr>
              <w:t>,</w:t>
            </w:r>
            <w:r w:rsidRPr="00C8162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58B599A3" w14:textId="77777777" w:rsidR="002A55A2" w:rsidRPr="00C81624" w:rsidRDefault="002A55A2" w:rsidP="002A55A2">
            <w:pPr>
              <w:widowControl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>66</w:t>
            </w:r>
            <w:r w:rsidR="00ED1FCD" w:rsidRPr="00C81624">
              <w:rPr>
                <w:b/>
                <w:sz w:val="20"/>
                <w:szCs w:val="20"/>
              </w:rPr>
              <w:t>,</w:t>
            </w:r>
            <w:r w:rsidRPr="00C8162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49D3E498" w14:textId="77777777" w:rsidR="002A55A2" w:rsidRPr="00C81624" w:rsidRDefault="002A55A2" w:rsidP="002A55A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81624">
              <w:rPr>
                <w:b/>
                <w:color w:val="000000"/>
                <w:sz w:val="20"/>
                <w:szCs w:val="20"/>
              </w:rPr>
              <w:t>38</w:t>
            </w:r>
            <w:r w:rsidR="00ED1FCD" w:rsidRPr="00C81624">
              <w:rPr>
                <w:b/>
                <w:color w:val="000000"/>
                <w:sz w:val="20"/>
                <w:szCs w:val="20"/>
              </w:rPr>
              <w:t>,</w:t>
            </w:r>
            <w:r w:rsidRPr="00C81624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60F58803" w14:textId="77777777" w:rsidR="002A55A2" w:rsidRPr="00C81624" w:rsidRDefault="002A55A2" w:rsidP="002A55A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81624">
              <w:rPr>
                <w:b/>
                <w:color w:val="000000"/>
                <w:sz w:val="20"/>
                <w:szCs w:val="20"/>
              </w:rPr>
              <w:t>32</w:t>
            </w:r>
            <w:r w:rsidR="00ED1FCD" w:rsidRPr="00C81624">
              <w:rPr>
                <w:b/>
                <w:color w:val="000000"/>
                <w:sz w:val="20"/>
                <w:szCs w:val="20"/>
              </w:rPr>
              <w:t>,</w:t>
            </w:r>
            <w:r w:rsidRPr="00C81624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</w:tcPr>
          <w:p w14:paraId="466FD167" w14:textId="77777777" w:rsidR="002A55A2" w:rsidRPr="00C81624" w:rsidRDefault="002A55A2" w:rsidP="002A55A2">
            <w:pPr>
              <w:jc w:val="right"/>
              <w:rPr>
                <w:rFonts w:eastAsiaTheme="minorHAnsi"/>
                <w:b/>
                <w:color w:val="000000"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>87</w:t>
            </w:r>
            <w:r w:rsidR="00ED1FCD" w:rsidRPr="00C81624">
              <w:rPr>
                <w:b/>
                <w:sz w:val="20"/>
                <w:szCs w:val="20"/>
              </w:rPr>
              <w:t>,</w:t>
            </w:r>
            <w:r w:rsidRPr="00C81624">
              <w:rPr>
                <w:b/>
                <w:sz w:val="20"/>
                <w:szCs w:val="20"/>
              </w:rPr>
              <w:t>50</w:t>
            </w:r>
          </w:p>
        </w:tc>
      </w:tr>
      <w:tr w:rsidR="002A55A2" w:rsidRPr="00C81624" w14:paraId="055AEB70" w14:textId="77777777" w:rsidTr="00ED1FCD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70348031" w14:textId="77777777" w:rsidR="002A55A2" w:rsidRPr="00C81624" w:rsidRDefault="002A55A2" w:rsidP="002A55A2">
            <w:pPr>
              <w:jc w:val="left"/>
              <w:rPr>
                <w:color w:val="000000"/>
                <w:sz w:val="20"/>
                <w:szCs w:val="20"/>
                <w:highlight w:val="magenta"/>
              </w:rPr>
            </w:pPr>
            <w:r w:rsidRPr="00C81624">
              <w:rPr>
                <w:color w:val="000000"/>
                <w:sz w:val="20"/>
                <w:szCs w:val="20"/>
              </w:rPr>
              <w:t xml:space="preserve">HCFC-141b </w:t>
            </w:r>
            <w:r w:rsidR="00ED1FCD" w:rsidRPr="00C81624">
              <w:rPr>
                <w:color w:val="000000"/>
                <w:sz w:val="20"/>
                <w:szCs w:val="20"/>
              </w:rPr>
              <w:t xml:space="preserve">dans les polyols </w:t>
            </w:r>
            <w:proofErr w:type="spellStart"/>
            <w:r w:rsidR="00ED1FCD" w:rsidRPr="00C81624">
              <w:rPr>
                <w:color w:val="000000"/>
                <w:sz w:val="20"/>
                <w:szCs w:val="20"/>
              </w:rPr>
              <w:t>prémélangés</w:t>
            </w:r>
            <w:proofErr w:type="spellEnd"/>
            <w:r w:rsidR="00ED1FCD" w:rsidRPr="00C81624">
              <w:rPr>
                <w:color w:val="000000"/>
                <w:sz w:val="20"/>
                <w:szCs w:val="20"/>
              </w:rPr>
              <w:t xml:space="preserve"> importés </w:t>
            </w:r>
            <w:r w:rsidRPr="00C81624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2926C14D" w14:textId="77777777" w:rsidR="002A55A2" w:rsidRPr="00C81624" w:rsidRDefault="002A55A2" w:rsidP="002A55A2">
            <w:pPr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0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35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4ED27738" w14:textId="77777777" w:rsidR="002A55A2" w:rsidRPr="00C81624" w:rsidRDefault="002A55A2" w:rsidP="002A55A2">
            <w:pPr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6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55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7B348DC9" w14:textId="77777777" w:rsidR="002A55A2" w:rsidRPr="00C81624" w:rsidRDefault="002A55A2" w:rsidP="002A55A2">
            <w:pPr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3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17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2A304E2F" w14:textId="77777777" w:rsidR="002A55A2" w:rsidRPr="00C81624" w:rsidRDefault="002A55A2" w:rsidP="002A55A2">
            <w:pPr>
              <w:jc w:val="right"/>
              <w:rPr>
                <w:color w:val="000000"/>
                <w:sz w:val="20"/>
                <w:szCs w:val="20"/>
              </w:rPr>
            </w:pPr>
            <w:r w:rsidRPr="00C81624">
              <w:rPr>
                <w:color w:val="000000"/>
                <w:sz w:val="20"/>
                <w:szCs w:val="20"/>
              </w:rPr>
              <w:t>3</w:t>
            </w:r>
            <w:r w:rsidR="00ED1FCD" w:rsidRPr="00C81624">
              <w:rPr>
                <w:color w:val="000000"/>
                <w:sz w:val="20"/>
                <w:szCs w:val="20"/>
              </w:rPr>
              <w:t>,</w:t>
            </w:r>
            <w:r w:rsidRPr="00C8162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1A3425C9" w14:textId="77777777" w:rsidR="002A55A2" w:rsidRPr="00C81624" w:rsidRDefault="002A55A2" w:rsidP="002A55A2">
            <w:pPr>
              <w:jc w:val="righ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3</w:t>
            </w:r>
            <w:r w:rsidR="00ED1FCD" w:rsidRPr="00C81624">
              <w:rPr>
                <w:sz w:val="20"/>
                <w:szCs w:val="20"/>
              </w:rPr>
              <w:t>,</w:t>
            </w:r>
            <w:r w:rsidRPr="00C81624">
              <w:rPr>
                <w:sz w:val="20"/>
                <w:szCs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</w:tcPr>
          <w:p w14:paraId="5D9A5926" w14:textId="77777777" w:rsidR="002A55A2" w:rsidRPr="00C81624" w:rsidRDefault="002A55A2" w:rsidP="002A55A2">
            <w:pPr>
              <w:jc w:val="righ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n/</w:t>
            </w:r>
            <w:r w:rsidR="00ED1FCD" w:rsidRPr="00C81624">
              <w:rPr>
                <w:sz w:val="20"/>
                <w:szCs w:val="20"/>
              </w:rPr>
              <w:t>d</w:t>
            </w:r>
          </w:p>
        </w:tc>
      </w:tr>
      <w:tr w:rsidR="002A55A2" w:rsidRPr="00C81624" w14:paraId="425B8715" w14:textId="77777777" w:rsidTr="00ED1FCD">
        <w:trPr>
          <w:trHeight w:val="73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0C06D8FE" w14:textId="77777777" w:rsidR="002A55A2" w:rsidRPr="00C81624" w:rsidRDefault="002A55A2" w:rsidP="002A55A2">
            <w:pPr>
              <w:jc w:val="left"/>
              <w:rPr>
                <w:color w:val="000000"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>Total (</w:t>
            </w:r>
            <w:r w:rsidR="00ED1FCD" w:rsidRPr="00C81624">
              <w:rPr>
                <w:b/>
                <w:sz w:val="20"/>
                <w:szCs w:val="20"/>
              </w:rPr>
              <w:t>t</w:t>
            </w:r>
            <w:r w:rsidR="00633E5A" w:rsidRPr="00C81624">
              <w:rPr>
                <w:b/>
                <w:sz w:val="20"/>
                <w:szCs w:val="20"/>
              </w:rPr>
              <w:t>onnes PAO</w:t>
            </w:r>
            <w:r w:rsidRPr="00C8162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7DBF4FAD" w14:textId="77777777" w:rsidR="002A55A2" w:rsidRPr="00C81624" w:rsidRDefault="002A55A2" w:rsidP="002A55A2">
            <w:pPr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C81624">
              <w:rPr>
                <w:b/>
                <w:bCs/>
                <w:sz w:val="20"/>
                <w:szCs w:val="20"/>
              </w:rPr>
              <w:t>67</w:t>
            </w:r>
            <w:r w:rsidR="00ED1FCD" w:rsidRPr="00C81624">
              <w:rPr>
                <w:b/>
                <w:bCs/>
                <w:sz w:val="20"/>
                <w:szCs w:val="20"/>
              </w:rPr>
              <w:t>,</w:t>
            </w:r>
            <w:r w:rsidRPr="00C81624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2F60A406" w14:textId="77777777" w:rsidR="002A55A2" w:rsidRPr="00C81624" w:rsidRDefault="002A55A2" w:rsidP="002A55A2">
            <w:pPr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C81624">
              <w:rPr>
                <w:b/>
                <w:bCs/>
                <w:sz w:val="20"/>
                <w:szCs w:val="20"/>
              </w:rPr>
              <w:t>69</w:t>
            </w:r>
            <w:r w:rsidR="00ED1FCD" w:rsidRPr="00C81624">
              <w:rPr>
                <w:b/>
                <w:bCs/>
                <w:sz w:val="20"/>
                <w:szCs w:val="20"/>
              </w:rPr>
              <w:t>,</w:t>
            </w:r>
            <w:r w:rsidRPr="00C81624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202" w:type="dxa"/>
            </w:tcMar>
          </w:tcPr>
          <w:p w14:paraId="29813D8B" w14:textId="77777777" w:rsidR="002A55A2" w:rsidRPr="00C81624" w:rsidRDefault="002A55A2" w:rsidP="002A55A2">
            <w:pPr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C81624">
              <w:rPr>
                <w:b/>
                <w:bCs/>
                <w:sz w:val="20"/>
                <w:szCs w:val="20"/>
              </w:rPr>
              <w:t>69</w:t>
            </w:r>
            <w:r w:rsidR="00ED1FCD" w:rsidRPr="00C81624">
              <w:rPr>
                <w:b/>
                <w:bCs/>
                <w:sz w:val="20"/>
                <w:szCs w:val="20"/>
              </w:rPr>
              <w:t>,</w:t>
            </w:r>
            <w:r w:rsidRPr="00C81624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5E22BC49" w14:textId="77777777" w:rsidR="002A55A2" w:rsidRPr="00C81624" w:rsidRDefault="002A55A2" w:rsidP="002A55A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81624">
              <w:rPr>
                <w:b/>
                <w:color w:val="000000"/>
                <w:sz w:val="20"/>
                <w:szCs w:val="20"/>
              </w:rPr>
              <w:t>41</w:t>
            </w:r>
            <w:r w:rsidR="00ED1FCD" w:rsidRPr="00C81624">
              <w:rPr>
                <w:b/>
                <w:color w:val="000000"/>
                <w:sz w:val="20"/>
                <w:szCs w:val="20"/>
              </w:rPr>
              <w:t>,</w:t>
            </w:r>
            <w:r w:rsidRPr="00C81624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02" w:type="dxa"/>
            </w:tcMar>
          </w:tcPr>
          <w:p w14:paraId="759E1E99" w14:textId="77777777" w:rsidR="002A55A2" w:rsidRPr="00C81624" w:rsidRDefault="002A55A2" w:rsidP="002A55A2">
            <w:pPr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C81624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35</w:t>
            </w:r>
            <w:r w:rsidR="00ED1FCD" w:rsidRPr="00C81624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,</w:t>
            </w:r>
            <w:r w:rsidRPr="00C81624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02" w:type="dxa"/>
            </w:tcMar>
          </w:tcPr>
          <w:p w14:paraId="4E08CADE" w14:textId="77777777" w:rsidR="002A55A2" w:rsidRPr="00C81624" w:rsidRDefault="002A55A2" w:rsidP="002A55A2">
            <w:pPr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C81624">
              <w:rPr>
                <w:b/>
                <w:bCs/>
                <w:sz w:val="20"/>
                <w:szCs w:val="20"/>
              </w:rPr>
              <w:t>87</w:t>
            </w:r>
            <w:r w:rsidR="00ED1FCD" w:rsidRPr="00C81624">
              <w:rPr>
                <w:b/>
                <w:bCs/>
                <w:sz w:val="20"/>
                <w:szCs w:val="20"/>
              </w:rPr>
              <w:t>,</w:t>
            </w:r>
            <w:r w:rsidRPr="00C81624">
              <w:rPr>
                <w:b/>
                <w:bCs/>
                <w:sz w:val="20"/>
                <w:szCs w:val="20"/>
              </w:rPr>
              <w:t>50</w:t>
            </w:r>
          </w:p>
        </w:tc>
      </w:tr>
    </w:tbl>
    <w:p w14:paraId="4C5A01B3" w14:textId="77777777" w:rsidR="002A55A2" w:rsidRPr="00AE297D" w:rsidRDefault="002A55A2" w:rsidP="002A55A2">
      <w:pPr>
        <w:rPr>
          <w:strike/>
          <w:sz w:val="16"/>
          <w:szCs w:val="16"/>
        </w:rPr>
      </w:pPr>
      <w:r w:rsidRPr="00AE297D">
        <w:rPr>
          <w:sz w:val="16"/>
          <w:szCs w:val="16"/>
        </w:rPr>
        <w:t>*</w:t>
      </w:r>
      <w:bookmarkStart w:id="0" w:name="_Hlk40320008"/>
      <w:r w:rsidR="00ED1FCD" w:rsidRPr="00AE297D">
        <w:rPr>
          <w:sz w:val="16"/>
          <w:szCs w:val="16"/>
        </w:rPr>
        <w:t>Données du programme de pays</w:t>
      </w:r>
      <w:bookmarkEnd w:id="0"/>
      <w:r w:rsidRPr="00AE297D">
        <w:rPr>
          <w:sz w:val="16"/>
          <w:szCs w:val="16"/>
        </w:rPr>
        <w:t>.</w:t>
      </w:r>
    </w:p>
    <w:p w14:paraId="34001E66" w14:textId="77777777" w:rsidR="002A55A2" w:rsidRPr="00AE297D" w:rsidRDefault="002A55A2" w:rsidP="002A55A2">
      <w:pPr>
        <w:rPr>
          <w:sz w:val="16"/>
          <w:szCs w:val="16"/>
        </w:rPr>
      </w:pPr>
      <w:r w:rsidRPr="00AE297D">
        <w:rPr>
          <w:sz w:val="16"/>
          <w:szCs w:val="16"/>
        </w:rPr>
        <w:t>**</w:t>
      </w:r>
      <w:r w:rsidR="00ED1FCD" w:rsidRPr="00AE297D">
        <w:rPr>
          <w:sz w:val="16"/>
          <w:szCs w:val="16"/>
        </w:rPr>
        <w:t xml:space="preserve"> Données du programme de pays</w:t>
      </w:r>
      <w:r w:rsidRPr="00AE297D">
        <w:rPr>
          <w:sz w:val="16"/>
          <w:szCs w:val="16"/>
        </w:rPr>
        <w:t xml:space="preserve">. </w:t>
      </w:r>
      <w:r w:rsidR="00ED1FCD" w:rsidRPr="00AE297D">
        <w:rPr>
          <w:sz w:val="16"/>
          <w:szCs w:val="16"/>
        </w:rPr>
        <w:t xml:space="preserve">Cette consommation ne fait pas partie du point de départ pour la réduction combinée de la consommation de </w:t>
      </w:r>
      <w:r w:rsidRPr="00AE297D">
        <w:rPr>
          <w:sz w:val="16"/>
          <w:szCs w:val="16"/>
        </w:rPr>
        <w:t>HCFC.</w:t>
      </w:r>
    </w:p>
    <w:p w14:paraId="039AF7E4" w14:textId="77777777" w:rsidR="002A55A2" w:rsidRPr="00C81624" w:rsidRDefault="002A55A2" w:rsidP="002A55A2"/>
    <w:p w14:paraId="6B248838" w14:textId="77777777" w:rsidR="002A55A2" w:rsidRPr="00C81624" w:rsidRDefault="00ED1FCD" w:rsidP="00123A87">
      <w:pPr>
        <w:pStyle w:val="Heading1"/>
      </w:pPr>
      <w:r w:rsidRPr="00C81624">
        <w:t xml:space="preserve">Si la consommation moyenne de </w:t>
      </w:r>
      <w:r w:rsidR="002A55A2" w:rsidRPr="00C81624">
        <w:t>HCFC</w:t>
      </w:r>
      <w:r w:rsidRPr="00C81624">
        <w:t xml:space="preserve"> était de </w:t>
      </w:r>
      <w:r w:rsidR="002A55A2" w:rsidRPr="00C81624">
        <w:t>69</w:t>
      </w:r>
      <w:r w:rsidRPr="00C81624">
        <w:t>,</w:t>
      </w:r>
      <w:r w:rsidR="002A55A2" w:rsidRPr="00C81624">
        <w:t xml:space="preserve">08 </w:t>
      </w:r>
      <w:r w:rsidRPr="00C81624">
        <w:t>t</w:t>
      </w:r>
      <w:r w:rsidR="00633E5A" w:rsidRPr="00C81624">
        <w:t>onnes PAO</w:t>
      </w:r>
      <w:r w:rsidR="002A55A2" w:rsidRPr="00C81624">
        <w:t xml:space="preserve"> en</w:t>
      </w:r>
      <w:r w:rsidRPr="00C81624">
        <w:t>tre</w:t>
      </w:r>
      <w:r w:rsidR="002A55A2" w:rsidRPr="00C81624">
        <w:t xml:space="preserve"> 2015 </w:t>
      </w:r>
      <w:r w:rsidRPr="00C81624">
        <w:t>et</w:t>
      </w:r>
      <w:r w:rsidR="002A55A2" w:rsidRPr="00C81624">
        <w:t xml:space="preserve"> 2017, </w:t>
      </w:r>
      <w:r w:rsidR="005B2B79" w:rsidRPr="00C81624">
        <w:t xml:space="preserve">elle a baissé de 40 % en </w:t>
      </w:r>
      <w:r w:rsidR="002A55A2" w:rsidRPr="00C81624">
        <w:t>2018</w:t>
      </w:r>
      <w:r w:rsidR="005B2B79" w:rsidRPr="00C81624">
        <w:t xml:space="preserve"> et d’un autre 15 % entre </w:t>
      </w:r>
      <w:r w:rsidR="002A55A2" w:rsidRPr="00C81624">
        <w:t xml:space="preserve">2018 </w:t>
      </w:r>
      <w:r w:rsidR="005B2B79" w:rsidRPr="00C81624">
        <w:t>et</w:t>
      </w:r>
      <w:r w:rsidR="002A55A2" w:rsidRPr="00C81624">
        <w:t xml:space="preserve"> 2019 (</w:t>
      </w:r>
      <w:r w:rsidR="005B2B79" w:rsidRPr="00C81624">
        <w:t>mesurée en t</w:t>
      </w:r>
      <w:r w:rsidR="00633E5A" w:rsidRPr="00C81624">
        <w:t>onnes PAO</w:t>
      </w:r>
      <w:r w:rsidR="002A55A2" w:rsidRPr="00C81624">
        <w:t xml:space="preserve">). </w:t>
      </w:r>
      <w:r w:rsidR="005B2B79" w:rsidRPr="00C81624">
        <w:t xml:space="preserve">En 2019, la consommation de </w:t>
      </w:r>
      <w:r w:rsidR="002A55A2" w:rsidRPr="00C81624">
        <w:t>HCFC</w:t>
      </w:r>
      <w:r w:rsidR="005B2B79" w:rsidRPr="00C81624">
        <w:t xml:space="preserve"> s’élevait approximativement à </w:t>
      </w:r>
      <w:r w:rsidR="002A55A2" w:rsidRPr="00C81624">
        <w:t>59</w:t>
      </w:r>
      <w:r w:rsidR="005B2B79" w:rsidRPr="00C81624">
        <w:t> %</w:t>
      </w:r>
      <w:r w:rsidR="002A55A2" w:rsidRPr="00C81624">
        <w:t xml:space="preserve"> (me</w:t>
      </w:r>
      <w:r w:rsidR="005B2B79" w:rsidRPr="00C81624">
        <w:t>surée en t</w:t>
      </w:r>
      <w:r w:rsidR="00633E5A" w:rsidRPr="00C81624">
        <w:t>onnes PAO</w:t>
      </w:r>
      <w:r w:rsidR="002A55A2" w:rsidRPr="00C81624">
        <w:t xml:space="preserve">) </w:t>
      </w:r>
      <w:r w:rsidR="005B2B79" w:rsidRPr="00C81624">
        <w:t>en dessous de la consommation maximale autorisée en vertu de l’Accord signé entre le Gouvernement</w:t>
      </w:r>
      <w:r w:rsidR="002A55A2" w:rsidRPr="00C81624">
        <w:t xml:space="preserve"> </w:t>
      </w:r>
      <w:r w:rsidR="005B2B79" w:rsidRPr="00C81624">
        <w:t>et le</w:t>
      </w:r>
      <w:r w:rsidR="002A55A2" w:rsidRPr="00C81624">
        <w:t xml:space="preserve"> </w:t>
      </w:r>
      <w:r w:rsidR="00633E5A" w:rsidRPr="00C81624">
        <w:t>Comité exécutif</w:t>
      </w:r>
      <w:r w:rsidR="002A55A2" w:rsidRPr="00C81624">
        <w:t xml:space="preserve">. </w:t>
      </w:r>
    </w:p>
    <w:p w14:paraId="738AB47E" w14:textId="77777777" w:rsidR="002A55A2" w:rsidRPr="00C81624" w:rsidRDefault="00687702" w:rsidP="00123A87">
      <w:pPr>
        <w:pStyle w:val="Heading1"/>
      </w:pPr>
      <w:r w:rsidRPr="00C81624">
        <w:t>L’ampleur de la ré</w:t>
      </w:r>
      <w:r w:rsidR="002A55A2" w:rsidRPr="00C81624">
        <w:t xml:space="preserve">duction </w:t>
      </w:r>
      <w:r w:rsidRPr="00C81624">
        <w:t xml:space="preserve">de la consommation s’explique par les mesures suivantes : application du système de licences et réductions des quotas d’importation des </w:t>
      </w:r>
      <w:r w:rsidR="002A55A2" w:rsidRPr="00C81624">
        <w:t xml:space="preserve">HCFC; </w:t>
      </w:r>
      <w:r w:rsidRPr="00C81624">
        <w:t>achèvement de la re</w:t>
      </w:r>
      <w:r w:rsidR="002A55A2" w:rsidRPr="00C81624">
        <w:t xml:space="preserve">conversion </w:t>
      </w:r>
      <w:r w:rsidRPr="00C81624">
        <w:t>d’entreprises dans le secteur des mousses (</w:t>
      </w:r>
      <w:bookmarkStart w:id="1" w:name="_Hlk40399729"/>
      <w:r w:rsidR="00404331" w:rsidRPr="00C81624">
        <w:t>avec</w:t>
      </w:r>
      <w:r w:rsidRPr="00C81624">
        <w:t xml:space="preserve"> l’élimination permanente du </w:t>
      </w:r>
      <w:bookmarkEnd w:id="1"/>
      <w:r w:rsidR="002A55A2" w:rsidRPr="00C81624">
        <w:t xml:space="preserve">HCFC-141b) </w:t>
      </w:r>
      <w:r w:rsidR="00404331" w:rsidRPr="00C81624">
        <w:t xml:space="preserve">et dans les grands </w:t>
      </w:r>
      <w:r w:rsidR="00404331" w:rsidRPr="00C81624">
        <w:lastRenderedPageBreak/>
        <w:t xml:space="preserve">supermarchés </w:t>
      </w:r>
      <w:r w:rsidR="002A55A2" w:rsidRPr="00C81624">
        <w:t>(</w:t>
      </w:r>
      <w:r w:rsidR="00404331" w:rsidRPr="00C81624">
        <w:t xml:space="preserve">avec l’élimination permanente du </w:t>
      </w:r>
      <w:r w:rsidR="002A55A2" w:rsidRPr="00C81624">
        <w:t xml:space="preserve">HCFC-22); </w:t>
      </w:r>
      <w:r w:rsidR="00404331" w:rsidRPr="00C81624">
        <w:t>et exécution d’activités d’élimination liées au secteur de l’entretien en réfrigération</w:t>
      </w:r>
      <w:r w:rsidR="002A55A2" w:rsidRPr="00C81624">
        <w:t xml:space="preserve">. </w:t>
      </w:r>
      <w:r w:rsidR="00404331" w:rsidRPr="00C81624">
        <w:t>L’importation d’équipements de réfrigération</w:t>
      </w:r>
      <w:r w:rsidR="002A55A2" w:rsidRPr="00C81624">
        <w:t xml:space="preserve"> </w:t>
      </w:r>
      <w:r w:rsidR="00404331" w:rsidRPr="00C81624">
        <w:t xml:space="preserve">et de climatisation </w:t>
      </w:r>
      <w:r w:rsidR="002A55A2" w:rsidRPr="00C81624">
        <w:t>(</w:t>
      </w:r>
      <w:r w:rsidR="00633E5A" w:rsidRPr="00C81624">
        <w:t>R&amp;C</w:t>
      </w:r>
      <w:r w:rsidR="002A55A2" w:rsidRPr="00C81624">
        <w:t xml:space="preserve">) </w:t>
      </w:r>
      <w:r w:rsidR="00404331" w:rsidRPr="00C81624">
        <w:t xml:space="preserve">sans HCFC a aussi contribué à réduire la consommation de </w:t>
      </w:r>
      <w:r w:rsidR="002A55A2" w:rsidRPr="00C81624">
        <w:t xml:space="preserve">HCFC. </w:t>
      </w:r>
    </w:p>
    <w:p w14:paraId="2B3B3232" w14:textId="77777777" w:rsidR="002A55A2" w:rsidRPr="00C81624" w:rsidRDefault="00404331" w:rsidP="006A528C">
      <w:pPr>
        <w:pStyle w:val="Heading1"/>
      </w:pPr>
      <w:r w:rsidRPr="00C81624">
        <w:t xml:space="preserve">La hausse de la consommation de </w:t>
      </w:r>
      <w:r w:rsidR="002A55A2" w:rsidRPr="00C81624">
        <w:t xml:space="preserve">HCFC-141b </w:t>
      </w:r>
      <w:r w:rsidRPr="00C81624">
        <w:t xml:space="preserve">entre </w:t>
      </w:r>
      <w:r w:rsidR="002A55A2" w:rsidRPr="00C81624">
        <w:t xml:space="preserve">2018 </w:t>
      </w:r>
      <w:r w:rsidRPr="00C81624">
        <w:t>et</w:t>
      </w:r>
      <w:r w:rsidR="002A55A2" w:rsidRPr="00C81624">
        <w:t xml:space="preserve"> 2019 </w:t>
      </w:r>
      <w:r w:rsidRPr="00C81624">
        <w:t xml:space="preserve">résultait de la création de </w:t>
      </w:r>
      <w:proofErr w:type="gramStart"/>
      <w:r w:rsidRPr="00C81624">
        <w:t>réserves  qui</w:t>
      </w:r>
      <w:proofErr w:type="gramEnd"/>
      <w:r w:rsidRPr="00C81624">
        <w:t xml:space="preserve"> a suivi l’interdiction des importations et des exportations de cette substance en vrac et dans les polyols </w:t>
      </w:r>
      <w:proofErr w:type="spellStart"/>
      <w:r w:rsidRPr="00C81624">
        <w:t>prémélangés</w:t>
      </w:r>
      <w:proofErr w:type="spellEnd"/>
      <w:r w:rsidRPr="00C81624">
        <w:t xml:space="preserve"> qui est entré en vigueur le 1</w:t>
      </w:r>
      <w:r w:rsidRPr="00C81624">
        <w:rPr>
          <w:vertAlign w:val="superscript"/>
        </w:rPr>
        <w:t>er</w:t>
      </w:r>
      <w:r w:rsidRPr="00C81624">
        <w:t xml:space="preserve"> janvier </w:t>
      </w:r>
      <w:r w:rsidR="002A55A2" w:rsidRPr="00C81624">
        <w:t xml:space="preserve">2020. </w:t>
      </w:r>
    </w:p>
    <w:p w14:paraId="19017BB6" w14:textId="77777777" w:rsidR="002A55A2" w:rsidRPr="00C81624" w:rsidRDefault="00404331" w:rsidP="002A55A2">
      <w:pPr>
        <w:rPr>
          <w:i/>
        </w:rPr>
      </w:pPr>
      <w:r w:rsidRPr="00C81624">
        <w:rPr>
          <w:i/>
        </w:rPr>
        <w:t xml:space="preserve">Rapport de mise en œuvre du </w:t>
      </w:r>
      <w:r w:rsidR="002A55A2" w:rsidRPr="00C81624">
        <w:rPr>
          <w:i/>
        </w:rPr>
        <w:t xml:space="preserve">programme </w:t>
      </w:r>
      <w:r w:rsidRPr="00C81624">
        <w:rPr>
          <w:i/>
        </w:rPr>
        <w:t xml:space="preserve">de pays </w:t>
      </w:r>
      <w:r w:rsidR="002A55A2" w:rsidRPr="00C81624">
        <w:rPr>
          <w:i/>
        </w:rPr>
        <w:t>(</w:t>
      </w:r>
      <w:r w:rsidRPr="00C81624">
        <w:rPr>
          <w:i/>
        </w:rPr>
        <w:t>P</w:t>
      </w:r>
      <w:r w:rsidR="002A55A2" w:rsidRPr="00C81624">
        <w:rPr>
          <w:i/>
        </w:rPr>
        <w:t>P)</w:t>
      </w:r>
    </w:p>
    <w:p w14:paraId="68F3BCE5" w14:textId="77777777" w:rsidR="002A55A2" w:rsidRPr="00C81624" w:rsidRDefault="002A55A2" w:rsidP="002A55A2"/>
    <w:p w14:paraId="69A29DD7" w14:textId="77777777" w:rsidR="002A55A2" w:rsidRPr="00C81624" w:rsidRDefault="00404331" w:rsidP="006A528C">
      <w:pPr>
        <w:pStyle w:val="Heading1"/>
      </w:pPr>
      <w:r w:rsidRPr="00C81624">
        <w:t>Dans son rapport de mise en œuvre du PP pour 2018, l</w:t>
      </w:r>
      <w:r w:rsidR="002A55A2" w:rsidRPr="00C81624">
        <w:t xml:space="preserve">e </w:t>
      </w:r>
      <w:r w:rsidR="00633E5A" w:rsidRPr="00C81624">
        <w:t>Gouvernement du Chili</w:t>
      </w:r>
      <w:r w:rsidR="002A55A2" w:rsidRPr="00C81624">
        <w:t xml:space="preserve"> </w:t>
      </w:r>
      <w:r w:rsidRPr="00C81624">
        <w:t>a indiqué des données de consommation sectorielle de</w:t>
      </w:r>
      <w:r w:rsidR="002A55A2" w:rsidRPr="00C81624">
        <w:t xml:space="preserve"> HCFC</w:t>
      </w:r>
      <w:r w:rsidRPr="00C81624">
        <w:t xml:space="preserve"> qui correspondaient aux données communiquées au titre de l’a</w:t>
      </w:r>
      <w:r w:rsidR="002A55A2" w:rsidRPr="00C81624">
        <w:t xml:space="preserve">rticle 7 </w:t>
      </w:r>
      <w:r w:rsidRPr="00C81624">
        <w:t>du</w:t>
      </w:r>
      <w:r w:rsidR="002A55A2" w:rsidRPr="00C81624">
        <w:t xml:space="preserve"> </w:t>
      </w:r>
      <w:r w:rsidR="00701665" w:rsidRPr="00C81624">
        <w:t>Protocole de Montréal</w:t>
      </w:r>
      <w:r w:rsidR="002A55A2" w:rsidRPr="00C81624">
        <w:t xml:space="preserve">. </w:t>
      </w:r>
    </w:p>
    <w:p w14:paraId="1E8E3C97" w14:textId="77777777" w:rsidR="002A55A2" w:rsidRPr="00C81624" w:rsidRDefault="00404331" w:rsidP="002A55A2">
      <w:pPr>
        <w:rPr>
          <w:i/>
        </w:rPr>
      </w:pPr>
      <w:r w:rsidRPr="00C81624">
        <w:rPr>
          <w:i/>
        </w:rPr>
        <w:t>Rapport de vé</w:t>
      </w:r>
      <w:r w:rsidR="002A55A2" w:rsidRPr="00C81624">
        <w:rPr>
          <w:i/>
        </w:rPr>
        <w:t>rification</w:t>
      </w:r>
    </w:p>
    <w:p w14:paraId="51B72D85" w14:textId="77777777" w:rsidR="002A55A2" w:rsidRPr="00C81624" w:rsidRDefault="002A55A2" w:rsidP="002A55A2"/>
    <w:p w14:paraId="7B5A17C9" w14:textId="77777777" w:rsidR="002A55A2" w:rsidRPr="00C81624" w:rsidRDefault="00E57296" w:rsidP="006A528C">
      <w:pPr>
        <w:pStyle w:val="Heading1"/>
      </w:pPr>
      <w:r w:rsidRPr="00C81624">
        <w:t>L</w:t>
      </w:r>
      <w:r w:rsidR="002A55A2" w:rsidRPr="00C81624">
        <w:t xml:space="preserve">e </w:t>
      </w:r>
      <w:r w:rsidRPr="00C81624">
        <w:t xml:space="preserve">rapport de </w:t>
      </w:r>
      <w:r w:rsidR="002A55A2" w:rsidRPr="00C81624">
        <w:t>v</w:t>
      </w:r>
      <w:r w:rsidRPr="00C81624">
        <w:t>é</w:t>
      </w:r>
      <w:r w:rsidR="002A55A2" w:rsidRPr="00C81624">
        <w:t xml:space="preserve">rification </w:t>
      </w:r>
      <w:r w:rsidRPr="00C81624">
        <w:t>a confirmé que le g</w:t>
      </w:r>
      <w:r w:rsidR="005B2B79" w:rsidRPr="00C81624">
        <w:t>ouvernement</w:t>
      </w:r>
      <w:r w:rsidR="002A55A2" w:rsidRPr="00C81624">
        <w:t xml:space="preserve"> </w:t>
      </w:r>
      <w:r w:rsidRPr="00C81624">
        <w:t>applique un système de licence</w:t>
      </w:r>
      <w:r w:rsidR="002A55A2" w:rsidRPr="00C81624">
        <w:t>s</w:t>
      </w:r>
      <w:r w:rsidRPr="00C81624">
        <w:t xml:space="preserve"> et de quotas sur les importations et exportations de </w:t>
      </w:r>
      <w:r w:rsidR="002A55A2" w:rsidRPr="00C81624">
        <w:t xml:space="preserve">HCFC; </w:t>
      </w:r>
      <w:r w:rsidRPr="00C81624">
        <w:t xml:space="preserve">que la consommation de </w:t>
      </w:r>
      <w:r w:rsidR="002A55A2" w:rsidRPr="00C81624">
        <w:t xml:space="preserve">HCFC </w:t>
      </w:r>
      <w:r w:rsidRPr="00C81624">
        <w:t>indiquée au titre de l’a</w:t>
      </w:r>
      <w:r w:rsidR="002A55A2" w:rsidRPr="00C81624">
        <w:t xml:space="preserve">rticle 7 </w:t>
      </w:r>
      <w:r w:rsidRPr="00C81624">
        <w:t>du</w:t>
      </w:r>
      <w:r w:rsidR="002A55A2" w:rsidRPr="00C81624">
        <w:t xml:space="preserve"> </w:t>
      </w:r>
      <w:r w:rsidR="00701665" w:rsidRPr="00C81624">
        <w:t>Protocole de Montréal</w:t>
      </w:r>
      <w:r w:rsidR="002A55A2" w:rsidRPr="00C81624">
        <w:t xml:space="preserve"> </w:t>
      </w:r>
      <w:r w:rsidRPr="00C81624">
        <w:t xml:space="preserve">pour </w:t>
      </w:r>
      <w:r w:rsidR="002A55A2" w:rsidRPr="00C81624">
        <w:t xml:space="preserve">2017 </w:t>
      </w:r>
      <w:r w:rsidRPr="00C81624">
        <w:t>et</w:t>
      </w:r>
      <w:r w:rsidR="002A55A2" w:rsidRPr="00C81624">
        <w:t xml:space="preserve"> 2018 </w:t>
      </w:r>
      <w:r w:rsidRPr="00C81624">
        <w:t>était exacte</w:t>
      </w:r>
      <w:r w:rsidR="002A55A2" w:rsidRPr="00C81624">
        <w:t xml:space="preserve"> (</w:t>
      </w:r>
      <w:r w:rsidRPr="00C81624">
        <w:t xml:space="preserve">comme l’indique le </w:t>
      </w:r>
      <w:r w:rsidR="002A55A2" w:rsidRPr="00C81624">
        <w:t>Table</w:t>
      </w:r>
      <w:r w:rsidRPr="00C81624">
        <w:t>au</w:t>
      </w:r>
      <w:r w:rsidR="002A55A2" w:rsidRPr="00C81624">
        <w:t xml:space="preserve"> 1 </w:t>
      </w:r>
      <w:r w:rsidR="00AE297D">
        <w:t>ci</w:t>
      </w:r>
      <w:r w:rsidR="00AE297D">
        <w:noBreakHyphen/>
      </w:r>
      <w:r w:rsidRPr="00C81624">
        <w:t>dessus</w:t>
      </w:r>
      <w:r w:rsidR="002A55A2" w:rsidRPr="00C81624">
        <w:t xml:space="preserve">); </w:t>
      </w:r>
      <w:r w:rsidRPr="00C81624">
        <w:t xml:space="preserve">et que le pays est en conformité avec le calendrier de réduction du </w:t>
      </w:r>
      <w:r w:rsidR="00701665" w:rsidRPr="00C81624">
        <w:t>Protocole de Montréal</w:t>
      </w:r>
      <w:r w:rsidR="002A55A2" w:rsidRPr="00C81624">
        <w:t xml:space="preserve"> </w:t>
      </w:r>
      <w:r w:rsidRPr="00C81624">
        <w:t>aussi bien qu’avec la consommation maximale de HCFC autorisée en vertu de l’Accord conclu avec l</w:t>
      </w:r>
      <w:r w:rsidR="002A55A2" w:rsidRPr="00C81624">
        <w:t xml:space="preserve">e </w:t>
      </w:r>
      <w:r w:rsidR="00633E5A" w:rsidRPr="00C81624">
        <w:t>Comité exécutif</w:t>
      </w:r>
      <w:r w:rsidR="002A55A2" w:rsidRPr="00C81624">
        <w:t xml:space="preserve"> </w:t>
      </w:r>
      <w:r w:rsidRPr="00C81624">
        <w:t xml:space="preserve">pour la période </w:t>
      </w:r>
      <w:r w:rsidR="002A55A2" w:rsidRPr="00C81624">
        <w:t xml:space="preserve">2017 </w:t>
      </w:r>
      <w:r w:rsidRPr="00C81624">
        <w:t>à</w:t>
      </w:r>
      <w:r w:rsidR="002A55A2" w:rsidRPr="00C81624">
        <w:t xml:space="preserve"> 2019. </w:t>
      </w:r>
      <w:r w:rsidRPr="00C81624">
        <w:t>L</w:t>
      </w:r>
      <w:r w:rsidR="002A55A2" w:rsidRPr="00C81624">
        <w:t xml:space="preserve">e </w:t>
      </w:r>
      <w:r w:rsidRPr="00C81624">
        <w:t xml:space="preserve">rapport de </w:t>
      </w:r>
      <w:r w:rsidR="002A55A2" w:rsidRPr="00C81624">
        <w:t>v</w:t>
      </w:r>
      <w:r w:rsidRPr="00C81624">
        <w:t>é</w:t>
      </w:r>
      <w:r w:rsidR="002A55A2" w:rsidRPr="00C81624">
        <w:t xml:space="preserve">rification </w:t>
      </w:r>
      <w:r w:rsidRPr="00C81624">
        <w:t xml:space="preserve">a conclu que le </w:t>
      </w:r>
      <w:r w:rsidR="00633E5A" w:rsidRPr="00C81624">
        <w:t>Gouvernement du Chili</w:t>
      </w:r>
      <w:r w:rsidR="002A55A2" w:rsidRPr="00C81624">
        <w:t xml:space="preserve"> </w:t>
      </w:r>
      <w:r w:rsidRPr="00C81624">
        <w:t xml:space="preserve">dispose d’un règlement clair et solide pour contrôler les importations de </w:t>
      </w:r>
      <w:r w:rsidR="002A55A2" w:rsidRPr="00C81624">
        <w:t xml:space="preserve">HCFC </w:t>
      </w:r>
      <w:r w:rsidRPr="00C81624">
        <w:t>et d’autres SAO, ainsi que d’une procédure claire sur l’octroi de permis d’importation</w:t>
      </w:r>
      <w:r w:rsidR="002A55A2" w:rsidRPr="00C81624">
        <w:t>.</w:t>
      </w:r>
    </w:p>
    <w:p w14:paraId="4A4F7D5E" w14:textId="77777777" w:rsidR="002A55A2" w:rsidRPr="00C81624" w:rsidRDefault="00E57296" w:rsidP="002A55A2">
      <w:pPr>
        <w:keepNext/>
        <w:keepLines/>
        <w:rPr>
          <w:u w:val="single"/>
        </w:rPr>
      </w:pPr>
      <w:r w:rsidRPr="00C81624">
        <w:rPr>
          <w:u w:val="single"/>
        </w:rPr>
        <w:t xml:space="preserve">Rapport d’avancement sur la mise en œuvre de la deuxième </w:t>
      </w:r>
      <w:r w:rsidR="002A55A2" w:rsidRPr="00C81624">
        <w:rPr>
          <w:u w:val="single"/>
        </w:rPr>
        <w:t xml:space="preserve">tranche </w:t>
      </w:r>
      <w:r w:rsidRPr="00C81624">
        <w:rPr>
          <w:u w:val="single"/>
        </w:rPr>
        <w:t>du</w:t>
      </w:r>
      <w:r w:rsidR="002A55A2" w:rsidRPr="00C81624">
        <w:rPr>
          <w:u w:val="single"/>
        </w:rPr>
        <w:t xml:space="preserve"> </w:t>
      </w:r>
      <w:r w:rsidR="00633E5A" w:rsidRPr="00C81624">
        <w:rPr>
          <w:u w:val="single"/>
        </w:rPr>
        <w:t>PGEH</w:t>
      </w:r>
    </w:p>
    <w:p w14:paraId="66896905" w14:textId="77777777" w:rsidR="002A55A2" w:rsidRPr="00C81624" w:rsidRDefault="002A55A2" w:rsidP="002A55A2">
      <w:pPr>
        <w:keepNext/>
        <w:keepLines/>
      </w:pPr>
    </w:p>
    <w:p w14:paraId="408ED7E8" w14:textId="77777777" w:rsidR="002A55A2" w:rsidRPr="00C81624" w:rsidRDefault="00E57296" w:rsidP="002A55A2">
      <w:pPr>
        <w:rPr>
          <w:i/>
        </w:rPr>
      </w:pPr>
      <w:r w:rsidRPr="00C81624">
        <w:rPr>
          <w:i/>
        </w:rPr>
        <w:t>Cadre juridique</w:t>
      </w:r>
    </w:p>
    <w:p w14:paraId="42FDB91F" w14:textId="77777777" w:rsidR="002A55A2" w:rsidRPr="00C81624" w:rsidRDefault="002A55A2" w:rsidP="002A55A2"/>
    <w:p w14:paraId="1AB3ABF0" w14:textId="77777777" w:rsidR="002A55A2" w:rsidRPr="00C81624" w:rsidRDefault="005742B4" w:rsidP="006A528C">
      <w:pPr>
        <w:pStyle w:val="Heading1"/>
      </w:pPr>
      <w:r w:rsidRPr="00C81624">
        <w:t xml:space="preserve">Afin de respecter les dispositions de l’Accord qu’il a conclu avec le </w:t>
      </w:r>
      <w:r w:rsidR="00633E5A" w:rsidRPr="00C81624">
        <w:t>Comité exécutif</w:t>
      </w:r>
      <w:r w:rsidR="002A55A2" w:rsidRPr="00C81624">
        <w:t xml:space="preserve"> </w:t>
      </w:r>
      <w:r w:rsidRPr="00C81624">
        <w:t xml:space="preserve">et d’appliquer l’Amendement de </w:t>
      </w:r>
      <w:r w:rsidR="002A55A2" w:rsidRPr="00C81624">
        <w:t xml:space="preserve">Kigali, </w:t>
      </w:r>
      <w:r w:rsidRPr="00C81624">
        <w:t>l</w:t>
      </w:r>
      <w:r w:rsidR="002A55A2" w:rsidRPr="00C81624">
        <w:t xml:space="preserve">e </w:t>
      </w:r>
      <w:r w:rsidR="00633E5A" w:rsidRPr="00C81624">
        <w:t>Gouvernement du Chili</w:t>
      </w:r>
      <w:r w:rsidR="002A55A2" w:rsidRPr="00C81624">
        <w:t xml:space="preserve"> </w:t>
      </w:r>
      <w:r w:rsidRPr="00C81624">
        <w:t>a mis à jour le règlement régissant les quotas d’importation de SAO</w:t>
      </w:r>
      <w:r w:rsidR="002A55A2" w:rsidRPr="00C81624">
        <w:t xml:space="preserve"> a</w:t>
      </w:r>
      <w:r w:rsidRPr="00C81624">
        <w:t>insi que le répertoire des importateurs et exportateurs de SAO</w:t>
      </w:r>
      <w:r w:rsidR="002A55A2" w:rsidRPr="00C81624">
        <w:t xml:space="preserve">, </w:t>
      </w:r>
      <w:r w:rsidRPr="00C81624">
        <w:t>entrés en vigueur le 1</w:t>
      </w:r>
      <w:r w:rsidRPr="00C81624">
        <w:rPr>
          <w:vertAlign w:val="superscript"/>
        </w:rPr>
        <w:t>er</w:t>
      </w:r>
      <w:r w:rsidRPr="00C81624">
        <w:t xml:space="preserve"> janvier </w:t>
      </w:r>
      <w:r w:rsidR="002A55A2" w:rsidRPr="00C81624">
        <w:t xml:space="preserve">2020. </w:t>
      </w:r>
      <w:r w:rsidRPr="00C81624">
        <w:t>L</w:t>
      </w:r>
      <w:r w:rsidR="002A55A2" w:rsidRPr="00C81624">
        <w:t xml:space="preserve">e </w:t>
      </w:r>
      <w:r w:rsidRPr="00C81624">
        <w:t xml:space="preserve">règlement mis à jour réduit de 45 % et 65 % respectivement les quantités maximales d’importation de </w:t>
      </w:r>
      <w:r w:rsidR="002A55A2" w:rsidRPr="00C81624">
        <w:t xml:space="preserve">HCFC </w:t>
      </w:r>
      <w:r w:rsidRPr="00C81624">
        <w:t>e</w:t>
      </w:r>
      <w:r w:rsidR="002A55A2" w:rsidRPr="00C81624">
        <w:t xml:space="preserve">n 2020 </w:t>
      </w:r>
      <w:r w:rsidRPr="00C81624">
        <w:t>et</w:t>
      </w:r>
      <w:r w:rsidR="002A55A2" w:rsidRPr="00C81624">
        <w:t xml:space="preserve"> 2021</w:t>
      </w:r>
      <w:r w:rsidRPr="00C81624">
        <w:t xml:space="preserve">, interdit l’importation et l’exportation du </w:t>
      </w:r>
      <w:r w:rsidR="002A55A2" w:rsidRPr="00C81624">
        <w:t xml:space="preserve">HCFC-141b </w:t>
      </w:r>
      <w:r w:rsidRPr="00C81624">
        <w:t>comme substance pure et contenu dans les mélanges ainsi que dans les formules complètes de polyols</w:t>
      </w:r>
      <w:r w:rsidR="002A55A2" w:rsidRPr="00C81624">
        <w:t xml:space="preserve">; </w:t>
      </w:r>
      <w:r w:rsidRPr="00C81624">
        <w:t xml:space="preserve">il inclut les </w:t>
      </w:r>
      <w:r w:rsidR="002A55A2" w:rsidRPr="00C81624">
        <w:t xml:space="preserve">HFC </w:t>
      </w:r>
      <w:r w:rsidRPr="00C81624">
        <w:t xml:space="preserve">comme substances réglementées et autorise les Services nationaux de douane </w:t>
      </w:r>
      <w:r w:rsidR="006B73B5" w:rsidRPr="00C81624">
        <w:t>à établir leur propre système d’octroi de licences</w:t>
      </w:r>
      <w:r w:rsidR="002A55A2" w:rsidRPr="00C81624">
        <w:t>.</w:t>
      </w:r>
    </w:p>
    <w:p w14:paraId="79D7C936" w14:textId="77777777" w:rsidR="002A55A2" w:rsidRPr="00C81624" w:rsidRDefault="006B73B5" w:rsidP="006A528C">
      <w:pPr>
        <w:pStyle w:val="Heading1"/>
      </w:pPr>
      <w:r w:rsidRPr="00C81624">
        <w:t xml:space="preserve">Une formation sur les règlements liés aux </w:t>
      </w:r>
      <w:r w:rsidR="002A55A2" w:rsidRPr="00C81624">
        <w:t>HCFC</w:t>
      </w:r>
      <w:r w:rsidRPr="00C81624">
        <w:t xml:space="preserve"> a été dispensée à seulement </w:t>
      </w:r>
      <w:r w:rsidR="002A55A2" w:rsidRPr="00C81624">
        <w:t xml:space="preserve">15 </w:t>
      </w:r>
      <w:r w:rsidRPr="00C81624">
        <w:t>agents de douane sur la soixantaine proposée</w:t>
      </w:r>
      <w:r w:rsidR="002A55A2" w:rsidRPr="00C81624">
        <w:t xml:space="preserve">. </w:t>
      </w:r>
      <w:r w:rsidRPr="00C81624">
        <w:t>D’autres sessions de formation d’agents de douane ont été prévues pour mars 2020, après la résolution de problèmes administratifs internes et de l’agitation sociale et politique</w:t>
      </w:r>
      <w:r w:rsidR="002A55A2" w:rsidRPr="00C81624">
        <w:t xml:space="preserve">. </w:t>
      </w:r>
      <w:r w:rsidRPr="00C81624">
        <w:t xml:space="preserve">Malheureusement, la formation a dû être reportée, en raison de la pandémie du </w:t>
      </w:r>
      <w:r w:rsidR="002A55A2" w:rsidRPr="00C81624">
        <w:t xml:space="preserve">COVID-19. </w:t>
      </w:r>
    </w:p>
    <w:p w14:paraId="664F1134" w14:textId="77777777" w:rsidR="002A55A2" w:rsidRPr="00C81624" w:rsidRDefault="006B73B5" w:rsidP="002A55A2">
      <w:pPr>
        <w:keepNext/>
        <w:spacing w:after="240"/>
        <w:outlineLvl w:val="0"/>
      </w:pPr>
      <w:r w:rsidRPr="00C81624">
        <w:rPr>
          <w:i/>
        </w:rPr>
        <w:t>Secteur de la fabrication de mousse de p</w:t>
      </w:r>
      <w:r w:rsidR="002A55A2" w:rsidRPr="00C81624">
        <w:rPr>
          <w:i/>
        </w:rPr>
        <w:t>olyur</w:t>
      </w:r>
      <w:r w:rsidRPr="00C81624">
        <w:rPr>
          <w:i/>
        </w:rPr>
        <w:t>é</w:t>
      </w:r>
      <w:r w:rsidR="002A55A2" w:rsidRPr="00C81624">
        <w:rPr>
          <w:i/>
        </w:rPr>
        <w:t>thane (PU)</w:t>
      </w:r>
    </w:p>
    <w:p w14:paraId="0253EA03" w14:textId="77777777" w:rsidR="002A55A2" w:rsidRPr="00C81624" w:rsidRDefault="006B73B5" w:rsidP="006A528C">
      <w:pPr>
        <w:pStyle w:val="Heading1"/>
      </w:pPr>
      <w:r w:rsidRPr="00C81624">
        <w:t xml:space="preserve">La </w:t>
      </w:r>
      <w:r w:rsidR="00633E5A" w:rsidRPr="00C81624">
        <w:t>Phase</w:t>
      </w:r>
      <w:r w:rsidR="002A55A2" w:rsidRPr="00C81624">
        <w:t xml:space="preserve"> II </w:t>
      </w:r>
      <w:r w:rsidRPr="00C81624">
        <w:t>du</w:t>
      </w:r>
      <w:r w:rsidR="002A55A2" w:rsidRPr="00C81624">
        <w:t xml:space="preserve"> </w:t>
      </w:r>
      <w:r w:rsidR="00633E5A" w:rsidRPr="00C81624">
        <w:t>PGEH</w:t>
      </w:r>
      <w:r w:rsidR="002A55A2" w:rsidRPr="00C81624">
        <w:t xml:space="preserve"> inclu</w:t>
      </w:r>
      <w:r w:rsidRPr="00C81624">
        <w:t>ait un plan sectori</w:t>
      </w:r>
      <w:r w:rsidR="00932163" w:rsidRPr="00C81624">
        <w:t>e</w:t>
      </w:r>
      <w:r w:rsidRPr="00C81624">
        <w:t xml:space="preserve">l pour éliminer </w:t>
      </w:r>
      <w:r w:rsidR="002A55A2" w:rsidRPr="00C81624">
        <w:t>12</w:t>
      </w:r>
      <w:r w:rsidRPr="00C81624">
        <w:t>,</w:t>
      </w:r>
      <w:r w:rsidR="002A55A2" w:rsidRPr="00C81624">
        <w:t xml:space="preserve">43 </w:t>
      </w:r>
      <w:r w:rsidRPr="00C81624">
        <w:t>t</w:t>
      </w:r>
      <w:r w:rsidR="00633E5A" w:rsidRPr="00C81624">
        <w:t>onnes PAO</w:t>
      </w:r>
      <w:r w:rsidR="002A55A2" w:rsidRPr="00C81624">
        <w:t xml:space="preserve"> </w:t>
      </w:r>
      <w:r w:rsidRPr="00C81624">
        <w:t xml:space="preserve">de </w:t>
      </w:r>
      <w:r w:rsidR="002A55A2" w:rsidRPr="00C81624">
        <w:t>HCFC</w:t>
      </w:r>
      <w:r w:rsidR="002A55A2" w:rsidRPr="00C81624">
        <w:noBreakHyphen/>
        <w:t xml:space="preserve">141b </w:t>
      </w:r>
      <w:r w:rsidRPr="00C81624">
        <w:t>utilisé comme agent de gonflage dans cinq fabriques de panneaux discontinus de mousse PU</w:t>
      </w:r>
      <w:r w:rsidR="002A55A2" w:rsidRPr="00C81624">
        <w:t xml:space="preserve">, </w:t>
      </w:r>
      <w:r w:rsidRPr="00C81624">
        <w:t xml:space="preserve">et </w:t>
      </w:r>
      <w:r w:rsidR="002A55A2" w:rsidRPr="00C81624">
        <w:t>10</w:t>
      </w:r>
      <w:r w:rsidRPr="00C81624">
        <w:t>,</w:t>
      </w:r>
      <w:r w:rsidR="002A55A2" w:rsidRPr="00C81624">
        <w:t>49</w:t>
      </w:r>
      <w:r w:rsidRPr="00C81624">
        <w:t> t</w:t>
      </w:r>
      <w:r w:rsidR="00633E5A" w:rsidRPr="00C81624">
        <w:t>onnes PAO</w:t>
      </w:r>
      <w:r w:rsidR="002A55A2" w:rsidRPr="00C81624">
        <w:t xml:space="preserve"> </w:t>
      </w:r>
      <w:r w:rsidRPr="00C81624">
        <w:t>de</w:t>
      </w:r>
      <w:r w:rsidR="002A55A2" w:rsidRPr="00C81624">
        <w:t xml:space="preserve"> HCFC</w:t>
      </w:r>
      <w:r w:rsidR="002A55A2" w:rsidRPr="00C81624">
        <w:noBreakHyphen/>
        <w:t>141b u</w:t>
      </w:r>
      <w:r w:rsidRPr="00C81624">
        <w:t xml:space="preserve">tilisé par </w:t>
      </w:r>
      <w:r w:rsidR="002A55A2" w:rsidRPr="00C81624">
        <w:t xml:space="preserve">36 </w:t>
      </w:r>
      <w:r w:rsidR="00932163" w:rsidRPr="00C81624">
        <w:t>petites et moyennes entreprises (PME) qui sont des utilisateurs en aval d’une entreprise de traitement</w:t>
      </w:r>
      <w:r w:rsidR="002A55A2" w:rsidRPr="00C81624">
        <w:t xml:space="preserve"> (</w:t>
      </w:r>
      <w:proofErr w:type="spellStart"/>
      <w:r w:rsidR="002A55A2" w:rsidRPr="00C81624">
        <w:t>Ixom</w:t>
      </w:r>
      <w:proofErr w:type="spellEnd"/>
      <w:r w:rsidR="002A55A2" w:rsidRPr="00C81624">
        <w:t xml:space="preserve">, </w:t>
      </w:r>
      <w:r w:rsidR="00932163" w:rsidRPr="00C81624">
        <w:t>qui assiste huit PME</w:t>
      </w:r>
      <w:r w:rsidR="002A55A2" w:rsidRPr="00C81624">
        <w:t xml:space="preserve">) </w:t>
      </w:r>
      <w:r w:rsidR="00932163" w:rsidRPr="00C81624">
        <w:t>et d’un distributeur de produits chimiques</w:t>
      </w:r>
      <w:r w:rsidR="002A55A2" w:rsidRPr="00C81624">
        <w:t xml:space="preserve"> (Austral, </w:t>
      </w:r>
      <w:r w:rsidR="00932163" w:rsidRPr="00C81624">
        <w:t xml:space="preserve">qui assiste </w:t>
      </w:r>
      <w:r w:rsidR="002A55A2" w:rsidRPr="00C81624">
        <w:t xml:space="preserve">28 </w:t>
      </w:r>
      <w:r w:rsidR="00932163" w:rsidRPr="00C81624">
        <w:t>P</w:t>
      </w:r>
      <w:r w:rsidR="002A55A2" w:rsidRPr="00C81624">
        <w:t>ME),</w:t>
      </w:r>
      <w:r w:rsidR="00932163" w:rsidRPr="00C81624">
        <w:t xml:space="preserve"> pour un coût de financement de </w:t>
      </w:r>
      <w:r w:rsidR="002A55A2" w:rsidRPr="00C81624">
        <w:t>1</w:t>
      </w:r>
      <w:r w:rsidR="00932163" w:rsidRPr="00C81624">
        <w:t> </w:t>
      </w:r>
      <w:r w:rsidR="002A55A2" w:rsidRPr="00C81624">
        <w:t>938</w:t>
      </w:r>
      <w:r w:rsidR="00932163" w:rsidRPr="00C81624">
        <w:t> </w:t>
      </w:r>
      <w:r w:rsidR="002A55A2" w:rsidRPr="00C81624">
        <w:t>134</w:t>
      </w:r>
      <w:r w:rsidR="00932163" w:rsidRPr="00C81624">
        <w:t> $US</w:t>
      </w:r>
      <w:r w:rsidR="002A55A2" w:rsidRPr="00C81624">
        <w:t xml:space="preserve">. </w:t>
      </w:r>
      <w:r w:rsidR="00932163" w:rsidRPr="00C81624">
        <w:t xml:space="preserve">Bien que le </w:t>
      </w:r>
      <w:r w:rsidR="00633E5A" w:rsidRPr="00C81624">
        <w:t>Chili</w:t>
      </w:r>
      <w:r w:rsidR="002A55A2" w:rsidRPr="00C81624">
        <w:t xml:space="preserve"> a</w:t>
      </w:r>
      <w:r w:rsidR="00932163" w:rsidRPr="00C81624">
        <w:t xml:space="preserve"> aussi importé du </w:t>
      </w:r>
      <w:r w:rsidR="002A55A2" w:rsidRPr="00C81624">
        <w:t>HCFC-141b cont</w:t>
      </w:r>
      <w:r w:rsidR="00932163" w:rsidRPr="00C81624">
        <w:t xml:space="preserve">enu dans des systèmes de polyols </w:t>
      </w:r>
      <w:proofErr w:type="spellStart"/>
      <w:r w:rsidR="00932163" w:rsidRPr="00C81624">
        <w:t>prémélangés</w:t>
      </w:r>
      <w:proofErr w:type="spellEnd"/>
      <w:r w:rsidR="002A55A2" w:rsidRPr="00C81624">
        <w:t xml:space="preserve">, </w:t>
      </w:r>
      <w:r w:rsidR="00932163" w:rsidRPr="00C81624">
        <w:t xml:space="preserve">aucun financement n’a été fourni pour une telle consommation, qui n’était pas incluse dans le point de départ du pays aux fins de réduction combinée de la consommation de </w:t>
      </w:r>
      <w:r w:rsidR="002A55A2" w:rsidRPr="00C81624">
        <w:t xml:space="preserve">HCFC. </w:t>
      </w:r>
    </w:p>
    <w:p w14:paraId="68451AB4" w14:textId="77777777" w:rsidR="002A55A2" w:rsidRPr="00C81624" w:rsidRDefault="00066A96" w:rsidP="006A528C">
      <w:pPr>
        <w:pStyle w:val="Heading1"/>
      </w:pPr>
      <w:r w:rsidRPr="00C81624">
        <w:lastRenderedPageBreak/>
        <w:t xml:space="preserve">Afin de démarrer la mise en </w:t>
      </w:r>
      <w:r w:rsidR="00505FD2" w:rsidRPr="00C81624">
        <w:t>œuvre</w:t>
      </w:r>
      <w:r w:rsidRPr="00C81624">
        <w:t xml:space="preserve"> du plan pour le secteur des mousses, un atelier a été organisé en septembre 2018 à l’intention des entreprises de mousses, de l’entreprise de traitement et du distributeur de produits chimiques</w:t>
      </w:r>
      <w:r w:rsidR="002A55A2" w:rsidRPr="00C81624">
        <w:t xml:space="preserve">; </w:t>
      </w:r>
      <w:r w:rsidRPr="00C81624">
        <w:t xml:space="preserve">l’atelier a accueilli </w:t>
      </w:r>
      <w:r w:rsidR="002A55A2" w:rsidRPr="00C81624">
        <w:t>16</w:t>
      </w:r>
      <w:r w:rsidRPr="00C81624">
        <w:t xml:space="preserve"> entreprises de mousses et six fournisseurs de systèmes de mousses</w:t>
      </w:r>
      <w:r w:rsidR="002A55A2" w:rsidRPr="00C81624">
        <w:t xml:space="preserve">. </w:t>
      </w:r>
    </w:p>
    <w:p w14:paraId="3E1E4C47" w14:textId="77777777" w:rsidR="002A55A2" w:rsidRPr="00C81624" w:rsidRDefault="00066A96" w:rsidP="006A528C">
      <w:pPr>
        <w:pStyle w:val="Heading1"/>
      </w:pPr>
      <w:r w:rsidRPr="00C81624">
        <w:t xml:space="preserve">En date de novembre </w:t>
      </w:r>
      <w:r w:rsidR="002A55A2" w:rsidRPr="00C81624">
        <w:t xml:space="preserve">2019, </w:t>
      </w:r>
      <w:r w:rsidRPr="00C81624">
        <w:t xml:space="preserve">les entreprises ci-après ont été reconverties à des </w:t>
      </w:r>
      <w:r w:rsidR="002A55A2" w:rsidRPr="00C81624">
        <w:t>technologies</w:t>
      </w:r>
      <w:r w:rsidRPr="00C81624">
        <w:t xml:space="preserve"> de remplacement</w:t>
      </w:r>
      <w:r w:rsidR="002A55A2" w:rsidRPr="00C81624">
        <w:t>:</w:t>
      </w:r>
    </w:p>
    <w:p w14:paraId="2B6104F4" w14:textId="77777777" w:rsidR="002A55A2" w:rsidRPr="00C81624" w:rsidRDefault="0092432F" w:rsidP="006A528C">
      <w:pPr>
        <w:pStyle w:val="Heading2"/>
      </w:pPr>
      <w:r w:rsidRPr="00C81624">
        <w:t xml:space="preserve">Deux </w:t>
      </w:r>
      <w:r w:rsidR="002A55A2" w:rsidRPr="00C81624">
        <w:t>ent</w:t>
      </w:r>
      <w:r w:rsidRPr="00C81624">
        <w:t>r</w:t>
      </w:r>
      <w:r w:rsidR="002A55A2" w:rsidRPr="00C81624">
        <w:t>eprises</w:t>
      </w:r>
      <w:r w:rsidRPr="00C81624">
        <w:t xml:space="preserve"> se sont reconverties, l’une (</w:t>
      </w:r>
      <w:proofErr w:type="spellStart"/>
      <w:r w:rsidRPr="00C81624">
        <w:t>Inema</w:t>
      </w:r>
      <w:proofErr w:type="spellEnd"/>
      <w:r w:rsidRPr="00C81624">
        <w:t xml:space="preserve">) au </w:t>
      </w:r>
      <w:r w:rsidR="002A55A2" w:rsidRPr="00C81624">
        <w:t xml:space="preserve">cyclopentane/HFO </w:t>
      </w:r>
      <w:r w:rsidRPr="00C81624">
        <w:t xml:space="preserve">et l’autre </w:t>
      </w:r>
      <w:r w:rsidR="002A55A2" w:rsidRPr="00C81624">
        <w:t>(</w:t>
      </w:r>
      <w:proofErr w:type="spellStart"/>
      <w:r w:rsidR="002A55A2" w:rsidRPr="00C81624">
        <w:rPr>
          <w:rFonts w:eastAsia="SimSun"/>
          <w:lang w:eastAsia="zh-CN"/>
        </w:rPr>
        <w:t>Pol</w:t>
      </w:r>
      <w:r w:rsidR="00633E5A" w:rsidRPr="00C81624">
        <w:rPr>
          <w:rFonts w:eastAsia="SimSun"/>
          <w:lang w:eastAsia="zh-CN"/>
        </w:rPr>
        <w:t>Chili</w:t>
      </w:r>
      <w:proofErr w:type="spellEnd"/>
      <w:r w:rsidR="002A55A2" w:rsidRPr="00C81624">
        <w:rPr>
          <w:rFonts w:eastAsia="SimSun"/>
          <w:lang w:eastAsia="zh-CN"/>
        </w:rPr>
        <w:t xml:space="preserve"> </w:t>
      </w:r>
      <w:r w:rsidRPr="00C81624">
        <w:rPr>
          <w:rFonts w:eastAsia="SimSun"/>
          <w:lang w:eastAsia="zh-CN"/>
        </w:rPr>
        <w:t>et</w:t>
      </w:r>
      <w:r w:rsidR="002A55A2" w:rsidRPr="00C81624">
        <w:rPr>
          <w:rFonts w:eastAsia="SimSun"/>
          <w:lang w:eastAsia="zh-CN"/>
        </w:rPr>
        <w:t xml:space="preserve"> Claudia </w:t>
      </w:r>
      <w:proofErr w:type="spellStart"/>
      <w:r w:rsidR="002A55A2" w:rsidRPr="00C81624">
        <w:rPr>
          <w:rFonts w:eastAsia="SimSun"/>
          <w:lang w:eastAsia="zh-CN"/>
        </w:rPr>
        <w:t>Letelier</w:t>
      </w:r>
      <w:proofErr w:type="spellEnd"/>
      <w:r w:rsidR="002A55A2" w:rsidRPr="00C81624">
        <w:rPr>
          <w:rFonts w:eastAsia="SimSun"/>
          <w:lang w:eastAsia="zh-CN"/>
        </w:rPr>
        <w:t xml:space="preserve"> F&amp;C)</w:t>
      </w:r>
      <w:r w:rsidR="002A55A2" w:rsidRPr="00C81624">
        <w:t xml:space="preserve"> </w:t>
      </w:r>
      <w:r w:rsidRPr="00C81624">
        <w:t xml:space="preserve">à des technologies à base de </w:t>
      </w:r>
      <w:r w:rsidR="002A55A2" w:rsidRPr="00C81624">
        <w:t xml:space="preserve">HFO, </w:t>
      </w:r>
      <w:r w:rsidRPr="00C81624">
        <w:t xml:space="preserve">permettant d’éliminer </w:t>
      </w:r>
      <w:r w:rsidR="002A55A2" w:rsidRPr="00C81624">
        <w:t>7</w:t>
      </w:r>
      <w:r w:rsidRPr="00C81624">
        <w:t>,</w:t>
      </w:r>
      <w:r w:rsidR="002A55A2" w:rsidRPr="00C81624">
        <w:t xml:space="preserve">22 </w:t>
      </w:r>
      <w:r w:rsidRPr="00C81624">
        <w:t>t</w:t>
      </w:r>
      <w:r w:rsidR="00633E5A" w:rsidRPr="00C81624">
        <w:t>onnes PAO</w:t>
      </w:r>
      <w:r w:rsidR="002A55A2" w:rsidRPr="00C81624">
        <w:t xml:space="preserve"> (77</w:t>
      </w:r>
      <w:r w:rsidRPr="00C81624">
        <w:t>,</w:t>
      </w:r>
      <w:r w:rsidR="002A55A2" w:rsidRPr="00C81624">
        <w:t xml:space="preserve">36 </w:t>
      </w:r>
      <w:proofErr w:type="spellStart"/>
      <w:r w:rsidRPr="00C81624">
        <w:t>t</w:t>
      </w:r>
      <w:r w:rsidR="002A55A2" w:rsidRPr="00C81624">
        <w:t>m</w:t>
      </w:r>
      <w:proofErr w:type="spellEnd"/>
      <w:r w:rsidR="002A55A2" w:rsidRPr="00C81624">
        <w:t xml:space="preserve">) </w:t>
      </w:r>
      <w:r w:rsidRPr="00C81624">
        <w:t xml:space="preserve">de </w:t>
      </w:r>
      <w:r w:rsidR="002A55A2" w:rsidRPr="00C81624">
        <w:t>HCFC-141b;</w:t>
      </w:r>
    </w:p>
    <w:p w14:paraId="4407D138" w14:textId="77777777" w:rsidR="002A55A2" w:rsidRPr="00C81624" w:rsidRDefault="0092432F" w:rsidP="006A528C">
      <w:pPr>
        <w:pStyle w:val="Heading2"/>
      </w:pPr>
      <w:r w:rsidRPr="00C81624">
        <w:t>Deux</w:t>
      </w:r>
      <w:r w:rsidR="002A55A2" w:rsidRPr="00C81624">
        <w:t xml:space="preserve"> </w:t>
      </w:r>
      <w:r w:rsidRPr="00C81624">
        <w:t>P</w:t>
      </w:r>
      <w:r w:rsidR="002A55A2" w:rsidRPr="00C81624">
        <w:t>ME (</w:t>
      </w:r>
      <w:proofErr w:type="spellStart"/>
      <w:r w:rsidR="002A55A2" w:rsidRPr="00C81624">
        <w:t>Ingepur</w:t>
      </w:r>
      <w:proofErr w:type="spellEnd"/>
      <w:r w:rsidR="002A55A2" w:rsidRPr="00C81624">
        <w:t xml:space="preserve"> </w:t>
      </w:r>
      <w:r w:rsidRPr="00C81624">
        <w:t>et</w:t>
      </w:r>
      <w:r w:rsidR="002A55A2" w:rsidRPr="00C81624">
        <w:t xml:space="preserve"> Sociedad </w:t>
      </w:r>
      <w:proofErr w:type="spellStart"/>
      <w:r w:rsidR="002A55A2" w:rsidRPr="00C81624">
        <w:t>Aislaciones</w:t>
      </w:r>
      <w:proofErr w:type="spellEnd"/>
      <w:r w:rsidR="002A55A2" w:rsidRPr="00C81624">
        <w:t xml:space="preserve"> </w:t>
      </w:r>
      <w:proofErr w:type="spellStart"/>
      <w:r w:rsidR="002A55A2" w:rsidRPr="00C81624">
        <w:t>Térmicas</w:t>
      </w:r>
      <w:proofErr w:type="spellEnd"/>
      <w:r w:rsidR="002A55A2" w:rsidRPr="00C81624">
        <w:t xml:space="preserve">) </w:t>
      </w:r>
      <w:r w:rsidRPr="00C81624">
        <w:t xml:space="preserve">qui faisaient anciennement partie du groupe appuyé par </w:t>
      </w:r>
      <w:r w:rsidR="002A55A2" w:rsidRPr="00C81624">
        <w:t xml:space="preserve">Austral, </w:t>
      </w:r>
      <w:r w:rsidRPr="00C81624">
        <w:t xml:space="preserve">avec une consommation totale de </w:t>
      </w:r>
      <w:r w:rsidR="002A55A2" w:rsidRPr="00C81624">
        <w:t>1</w:t>
      </w:r>
      <w:r w:rsidRPr="00C81624">
        <w:t>,</w:t>
      </w:r>
      <w:r w:rsidR="002A55A2" w:rsidRPr="00C81624">
        <w:t xml:space="preserve">03 </w:t>
      </w:r>
      <w:r w:rsidRPr="00C81624">
        <w:t>t</w:t>
      </w:r>
      <w:r w:rsidR="00633E5A" w:rsidRPr="00C81624">
        <w:t>onnes PAO</w:t>
      </w:r>
      <w:r w:rsidR="002A55A2" w:rsidRPr="00C81624">
        <w:t xml:space="preserve"> (9</w:t>
      </w:r>
      <w:r w:rsidRPr="00C81624">
        <w:t>,</w:t>
      </w:r>
      <w:r w:rsidR="002A55A2" w:rsidRPr="00C81624">
        <w:t>36</w:t>
      </w:r>
      <w:r w:rsidR="00AE297D">
        <w:t> </w:t>
      </w:r>
      <w:proofErr w:type="spellStart"/>
      <w:r w:rsidRPr="00C81624">
        <w:t>t</w:t>
      </w:r>
      <w:r w:rsidR="002A55A2" w:rsidRPr="00C81624">
        <w:t>m</w:t>
      </w:r>
      <w:proofErr w:type="spellEnd"/>
      <w:r w:rsidR="002A55A2" w:rsidRPr="00C81624">
        <w:t xml:space="preserve">) </w:t>
      </w:r>
      <w:r w:rsidRPr="00C81624">
        <w:t>de</w:t>
      </w:r>
      <w:r w:rsidR="002A55A2" w:rsidRPr="00C81624">
        <w:t xml:space="preserve"> HCFC</w:t>
      </w:r>
      <w:r w:rsidR="002A55A2" w:rsidRPr="00C81624">
        <w:noBreakHyphen/>
        <w:t xml:space="preserve">141b, </w:t>
      </w:r>
      <w:r w:rsidRPr="00C81624">
        <w:t>et une</w:t>
      </w:r>
      <w:r w:rsidR="002A55A2" w:rsidRPr="00C81624">
        <w:t xml:space="preserve"> </w:t>
      </w:r>
      <w:r w:rsidRPr="00C81624">
        <w:t>PME</w:t>
      </w:r>
      <w:r w:rsidR="002A55A2" w:rsidRPr="00C81624">
        <w:t xml:space="preserve"> (Fidel Valenzuela) </w:t>
      </w:r>
      <w:r w:rsidRPr="00C81624">
        <w:t>faisant anciennement partie du</w:t>
      </w:r>
      <w:r w:rsidR="002A55A2" w:rsidRPr="00C81624">
        <w:t xml:space="preserve"> group</w:t>
      </w:r>
      <w:r w:rsidRPr="00C81624">
        <w:t xml:space="preserve">e appuyé par </w:t>
      </w:r>
      <w:proofErr w:type="spellStart"/>
      <w:r w:rsidR="002A55A2" w:rsidRPr="00C81624">
        <w:t>Ixom</w:t>
      </w:r>
      <w:proofErr w:type="spellEnd"/>
      <w:r w:rsidR="002A55A2" w:rsidRPr="00C81624">
        <w:t xml:space="preserve">, </w:t>
      </w:r>
      <w:r w:rsidRPr="00C81624">
        <w:t xml:space="preserve">avec une consommation </w:t>
      </w:r>
      <w:r w:rsidR="002A55A2" w:rsidRPr="00C81624">
        <w:t>total</w:t>
      </w:r>
      <w:r w:rsidRPr="00C81624">
        <w:t>e</w:t>
      </w:r>
      <w:r w:rsidR="002A55A2" w:rsidRPr="00C81624">
        <w:t xml:space="preserve"> </w:t>
      </w:r>
      <w:r w:rsidRPr="00C81624">
        <w:t>de</w:t>
      </w:r>
      <w:r w:rsidR="002A55A2" w:rsidRPr="00C81624">
        <w:t xml:space="preserve"> 0</w:t>
      </w:r>
      <w:r w:rsidRPr="00C81624">
        <w:t>,</w:t>
      </w:r>
      <w:r w:rsidR="002A55A2" w:rsidRPr="00C81624">
        <w:t xml:space="preserve">26 </w:t>
      </w:r>
      <w:r w:rsidRPr="00C81624">
        <w:t>t</w:t>
      </w:r>
      <w:r w:rsidR="00633E5A" w:rsidRPr="00C81624">
        <w:t>onnes PAO</w:t>
      </w:r>
      <w:r w:rsidR="002A55A2" w:rsidRPr="00C81624">
        <w:t xml:space="preserve"> (2</w:t>
      </w:r>
      <w:r w:rsidRPr="00C81624">
        <w:t>,</w:t>
      </w:r>
      <w:r w:rsidR="002A55A2" w:rsidRPr="00C81624">
        <w:t xml:space="preserve">36 </w:t>
      </w:r>
      <w:proofErr w:type="spellStart"/>
      <w:r w:rsidRPr="00C81624">
        <w:t>t</w:t>
      </w:r>
      <w:r w:rsidR="002A55A2" w:rsidRPr="00C81624">
        <w:t>m</w:t>
      </w:r>
      <w:proofErr w:type="spellEnd"/>
      <w:r w:rsidR="002A55A2" w:rsidRPr="00C81624">
        <w:t xml:space="preserve">) </w:t>
      </w:r>
      <w:r w:rsidRPr="00C81624">
        <w:t>de</w:t>
      </w:r>
      <w:r w:rsidR="002A55A2" w:rsidRPr="00C81624">
        <w:t xml:space="preserve"> HCFC</w:t>
      </w:r>
      <w:r w:rsidR="00AE297D">
        <w:noBreakHyphen/>
      </w:r>
      <w:r w:rsidR="002A55A2" w:rsidRPr="00C81624">
        <w:t xml:space="preserve">141b, </w:t>
      </w:r>
      <w:r w:rsidRPr="00C81624">
        <w:t>ont achevé leur re</w:t>
      </w:r>
      <w:r w:rsidR="002A55A2" w:rsidRPr="00C81624">
        <w:t xml:space="preserve">conversion </w:t>
      </w:r>
      <w:r w:rsidRPr="00C81624">
        <w:t xml:space="preserve">à des technologies à base de </w:t>
      </w:r>
      <w:r w:rsidR="002A55A2" w:rsidRPr="00C81624">
        <w:t>HFO</w:t>
      </w:r>
      <w:r w:rsidRPr="00C81624">
        <w:t xml:space="preserve"> </w:t>
      </w:r>
      <w:r w:rsidR="00F90934" w:rsidRPr="00C81624">
        <w:t>à titre</w:t>
      </w:r>
      <w:r w:rsidRPr="00C81624">
        <w:t xml:space="preserve"> d’ </w:t>
      </w:r>
      <w:r w:rsidR="00F90934" w:rsidRPr="00C81624">
        <w:t>« </w:t>
      </w:r>
      <w:r w:rsidRPr="00C81624">
        <w:t>entreprises</w:t>
      </w:r>
      <w:r w:rsidR="00F90934" w:rsidRPr="00C81624">
        <w:t xml:space="preserve"> individuelles », sans aucun autre financement du </w:t>
      </w:r>
      <w:r w:rsidR="00604D15" w:rsidRPr="00C81624">
        <w:t>Fonds multilatéral</w:t>
      </w:r>
      <w:r w:rsidR="002A55A2" w:rsidRPr="00C81624">
        <w:t xml:space="preserve">; </w:t>
      </w:r>
      <w:r w:rsidR="006A528C">
        <w:t>et</w:t>
      </w:r>
    </w:p>
    <w:p w14:paraId="7AF21D3E" w14:textId="77777777" w:rsidR="002A55A2" w:rsidRPr="00C81624" w:rsidRDefault="00F90934" w:rsidP="006A528C">
      <w:pPr>
        <w:pStyle w:val="Heading2"/>
      </w:pPr>
      <w:r w:rsidRPr="00C81624">
        <w:t xml:space="preserve">Vingt-sept </w:t>
      </w:r>
      <w:r w:rsidR="0092432F" w:rsidRPr="00C81624">
        <w:t>PME</w:t>
      </w:r>
      <w:r w:rsidR="002A55A2" w:rsidRPr="00C81624">
        <w:t xml:space="preserve"> </w:t>
      </w:r>
      <w:r w:rsidRPr="00C81624">
        <w:t xml:space="preserve">appuyées par </w:t>
      </w:r>
      <w:r w:rsidR="002A55A2" w:rsidRPr="00C81624">
        <w:t>Austral, (</w:t>
      </w:r>
      <w:r w:rsidRPr="00C81624">
        <w:t>une entreprise</w:t>
      </w:r>
      <w:r w:rsidR="002A55A2" w:rsidRPr="00C81624">
        <w:t xml:space="preserve"> (Victor </w:t>
      </w:r>
      <w:proofErr w:type="spellStart"/>
      <w:r w:rsidR="002A55A2" w:rsidRPr="00C81624">
        <w:t>Himmers</w:t>
      </w:r>
      <w:proofErr w:type="spellEnd"/>
      <w:r w:rsidR="002A55A2" w:rsidRPr="00C81624">
        <w:t xml:space="preserve">) </w:t>
      </w:r>
      <w:r w:rsidRPr="00C81624">
        <w:t>est passée d’</w:t>
      </w:r>
      <w:proofErr w:type="spellStart"/>
      <w:r w:rsidR="002A55A2" w:rsidRPr="00C81624">
        <w:t>Ixom</w:t>
      </w:r>
      <w:proofErr w:type="spellEnd"/>
      <w:r w:rsidR="002A55A2" w:rsidRPr="00C81624">
        <w:t xml:space="preserve"> </w:t>
      </w:r>
      <w:r w:rsidRPr="00C81624">
        <w:t>à</w:t>
      </w:r>
      <w:r w:rsidR="002A55A2" w:rsidRPr="00C81624">
        <w:t xml:space="preserve"> Austral dur</w:t>
      </w:r>
      <w:r w:rsidRPr="00C81624">
        <w:t xml:space="preserve">ant la mise en œuvre du </w:t>
      </w:r>
      <w:r w:rsidR="002A55A2" w:rsidRPr="00C81624">
        <w:t xml:space="preserve">projet), </w:t>
      </w:r>
      <w:r w:rsidRPr="00C81624">
        <w:t xml:space="preserve">se sont reconverties à des technologies à base de </w:t>
      </w:r>
      <w:r w:rsidR="002A55A2" w:rsidRPr="00C81624">
        <w:t>HFO</w:t>
      </w:r>
      <w:r w:rsidRPr="00C81624">
        <w:t xml:space="preserve">, permettant une élimination totale de </w:t>
      </w:r>
      <w:r w:rsidR="002A55A2" w:rsidRPr="00C81624">
        <w:t>6</w:t>
      </w:r>
      <w:r w:rsidRPr="00C81624">
        <w:t>,</w:t>
      </w:r>
      <w:r w:rsidR="002A55A2" w:rsidRPr="00C81624">
        <w:t xml:space="preserve">37 </w:t>
      </w:r>
      <w:r w:rsidRPr="00C81624">
        <w:t>t</w:t>
      </w:r>
      <w:r w:rsidR="00633E5A" w:rsidRPr="00C81624">
        <w:t>onnes PAO</w:t>
      </w:r>
      <w:r w:rsidR="002A55A2" w:rsidRPr="00C81624">
        <w:t xml:space="preserve"> (57</w:t>
      </w:r>
      <w:r w:rsidRPr="00C81624">
        <w:t>,</w:t>
      </w:r>
      <w:r w:rsidR="002A55A2" w:rsidRPr="00C81624">
        <w:t xml:space="preserve">91 </w:t>
      </w:r>
      <w:proofErr w:type="spellStart"/>
      <w:r w:rsidR="0092432F" w:rsidRPr="00C81624">
        <w:t>tm</w:t>
      </w:r>
      <w:proofErr w:type="spellEnd"/>
      <w:r w:rsidR="002A55A2" w:rsidRPr="00C81624">
        <w:t xml:space="preserve">) </w:t>
      </w:r>
      <w:r w:rsidRPr="00C81624">
        <w:t>de</w:t>
      </w:r>
      <w:r w:rsidR="002A55A2" w:rsidRPr="00C81624">
        <w:t xml:space="preserve"> HCFC-141b.</w:t>
      </w:r>
    </w:p>
    <w:p w14:paraId="3558D3CD" w14:textId="77777777" w:rsidR="002A55A2" w:rsidRPr="00C81624" w:rsidRDefault="00F90934" w:rsidP="006A528C">
      <w:pPr>
        <w:pStyle w:val="Heading1"/>
      </w:pPr>
      <w:r w:rsidRPr="00C81624">
        <w:t>La rec</w:t>
      </w:r>
      <w:r w:rsidR="002A55A2" w:rsidRPr="00C81624">
        <w:t>onversion</w:t>
      </w:r>
      <w:r w:rsidRPr="00C81624">
        <w:t xml:space="preserve"> de trois autres entreprises individuelles est en cours</w:t>
      </w:r>
      <w:r w:rsidR="002A55A2" w:rsidRPr="00C81624">
        <w:t xml:space="preserve">; </w:t>
      </w:r>
      <w:r w:rsidRPr="00C81624">
        <w:t>deux</w:t>
      </w:r>
      <w:r w:rsidR="002A55A2" w:rsidRPr="00C81624">
        <w:t xml:space="preserve"> </w:t>
      </w:r>
      <w:r w:rsidR="0092432F" w:rsidRPr="00C81624">
        <w:t>entreprise</w:t>
      </w:r>
      <w:r w:rsidR="002A55A2" w:rsidRPr="00C81624">
        <w:t>s (</w:t>
      </w:r>
      <w:proofErr w:type="spellStart"/>
      <w:r w:rsidR="002A55A2" w:rsidRPr="00C81624">
        <w:t>Danica</w:t>
      </w:r>
      <w:proofErr w:type="spellEnd"/>
      <w:r w:rsidR="002A55A2" w:rsidRPr="00C81624">
        <w:t xml:space="preserve"> </w:t>
      </w:r>
      <w:r w:rsidRPr="00C81624">
        <w:t>et</w:t>
      </w:r>
      <w:r w:rsidR="002A55A2" w:rsidRPr="00C81624">
        <w:t xml:space="preserve"> </w:t>
      </w:r>
      <w:proofErr w:type="spellStart"/>
      <w:r w:rsidR="002A55A2" w:rsidRPr="00C81624">
        <w:t>Refricentro</w:t>
      </w:r>
      <w:proofErr w:type="spellEnd"/>
      <w:r w:rsidR="002A55A2" w:rsidRPr="00C81624">
        <w:t xml:space="preserve">) </w:t>
      </w:r>
      <w:r w:rsidRPr="00C81624">
        <w:t>avec une consommation</w:t>
      </w:r>
      <w:r w:rsidR="002A55A2" w:rsidRPr="00C81624">
        <w:t xml:space="preserve"> </w:t>
      </w:r>
      <w:r w:rsidRPr="00C81624">
        <w:t>de</w:t>
      </w:r>
      <w:r w:rsidR="002A55A2" w:rsidRPr="00C81624">
        <w:t xml:space="preserve"> 4</w:t>
      </w:r>
      <w:r w:rsidRPr="00C81624">
        <w:t>,</w:t>
      </w:r>
      <w:r w:rsidR="002A55A2" w:rsidRPr="00C81624">
        <w:t xml:space="preserve">16 </w:t>
      </w:r>
      <w:r w:rsidRPr="00C81624">
        <w:t>t</w:t>
      </w:r>
      <w:r w:rsidR="00633E5A" w:rsidRPr="00C81624">
        <w:t>onnes PAO</w:t>
      </w:r>
      <w:r w:rsidR="002A55A2" w:rsidRPr="00C81624">
        <w:t xml:space="preserve"> (37</w:t>
      </w:r>
      <w:r w:rsidRPr="00C81624">
        <w:t>,</w:t>
      </w:r>
      <w:r w:rsidR="002A55A2" w:rsidRPr="00C81624">
        <w:t xml:space="preserve">82 </w:t>
      </w:r>
      <w:proofErr w:type="spellStart"/>
      <w:r w:rsidR="0092432F" w:rsidRPr="00C81624">
        <w:t>tm</w:t>
      </w:r>
      <w:proofErr w:type="spellEnd"/>
      <w:r w:rsidR="002A55A2" w:rsidRPr="00C81624">
        <w:t xml:space="preserve">) </w:t>
      </w:r>
      <w:r w:rsidRPr="00C81624">
        <w:t>de</w:t>
      </w:r>
      <w:r w:rsidR="002A55A2" w:rsidRPr="00C81624">
        <w:t xml:space="preserve"> HCFC-141b</w:t>
      </w:r>
      <w:r w:rsidRPr="00C81624">
        <w:t>,</w:t>
      </w:r>
      <w:r w:rsidR="002A55A2" w:rsidRPr="00C81624">
        <w:t xml:space="preserve"> </w:t>
      </w:r>
      <w:r w:rsidRPr="00C81624">
        <w:t xml:space="preserve">ont choisi des </w:t>
      </w:r>
      <w:r w:rsidR="002A55A2" w:rsidRPr="00C81624">
        <w:t>technologies</w:t>
      </w:r>
      <w:r w:rsidRPr="00C81624">
        <w:t xml:space="preserve"> à base de HFO et signé des accords avec le </w:t>
      </w:r>
      <w:r w:rsidR="005B2B79" w:rsidRPr="00C81624">
        <w:t>Gouvernement</w:t>
      </w:r>
      <w:r w:rsidR="002A55A2" w:rsidRPr="00C81624">
        <w:t xml:space="preserve">, </w:t>
      </w:r>
      <w:r w:rsidRPr="00C81624">
        <w:t>reçu des équipements et termineront leur recon</w:t>
      </w:r>
      <w:r w:rsidR="002A55A2" w:rsidRPr="00C81624">
        <w:t xml:space="preserve">version </w:t>
      </w:r>
      <w:r w:rsidRPr="00C81624">
        <w:t xml:space="preserve">d’ici juin </w:t>
      </w:r>
      <w:r w:rsidR="002A55A2" w:rsidRPr="00C81624">
        <w:t xml:space="preserve">2020; </w:t>
      </w:r>
      <w:r w:rsidRPr="00C81624">
        <w:t xml:space="preserve">une </w:t>
      </w:r>
      <w:r w:rsidR="0092432F" w:rsidRPr="00C81624">
        <w:t>entreprise</w:t>
      </w:r>
      <w:r w:rsidR="002A55A2" w:rsidRPr="00C81624">
        <w:t xml:space="preserve"> (</w:t>
      </w:r>
      <w:proofErr w:type="spellStart"/>
      <w:r w:rsidR="002A55A2" w:rsidRPr="00C81624">
        <w:t>Superfrigo</w:t>
      </w:r>
      <w:proofErr w:type="spellEnd"/>
      <w:r w:rsidR="002A55A2" w:rsidRPr="00C81624">
        <w:t xml:space="preserve">) </w:t>
      </w:r>
      <w:r w:rsidRPr="00C81624">
        <w:t>avec une consommation</w:t>
      </w:r>
      <w:r w:rsidR="002A55A2" w:rsidRPr="00C81624">
        <w:t xml:space="preserve"> </w:t>
      </w:r>
      <w:r w:rsidRPr="00C81624">
        <w:t>de</w:t>
      </w:r>
      <w:r w:rsidR="002A55A2" w:rsidRPr="00C81624">
        <w:t xml:space="preserve"> 1</w:t>
      </w:r>
      <w:r w:rsidRPr="00C81624">
        <w:t>,</w:t>
      </w:r>
      <w:r w:rsidR="002A55A2" w:rsidRPr="00C81624">
        <w:t>05</w:t>
      </w:r>
      <w:r w:rsidR="00AE297D">
        <w:t> </w:t>
      </w:r>
      <w:r w:rsidRPr="00C81624">
        <w:t>t</w:t>
      </w:r>
      <w:r w:rsidR="00633E5A" w:rsidRPr="00C81624">
        <w:t>onnes PAO</w:t>
      </w:r>
      <w:r w:rsidR="002A55A2" w:rsidRPr="00C81624">
        <w:t xml:space="preserve"> (9</w:t>
      </w:r>
      <w:r w:rsidRPr="00C81624">
        <w:t>,</w:t>
      </w:r>
      <w:r w:rsidR="002A55A2" w:rsidRPr="00C81624">
        <w:t>55 </w:t>
      </w:r>
      <w:proofErr w:type="spellStart"/>
      <w:r w:rsidR="0092432F" w:rsidRPr="00C81624">
        <w:t>tm</w:t>
      </w:r>
      <w:proofErr w:type="spellEnd"/>
      <w:r w:rsidR="002A55A2" w:rsidRPr="00C81624">
        <w:t xml:space="preserve">) </w:t>
      </w:r>
      <w:r w:rsidR="007B6A51" w:rsidRPr="00C81624">
        <w:t>de</w:t>
      </w:r>
      <w:r w:rsidR="002A55A2" w:rsidRPr="00C81624">
        <w:t xml:space="preserve"> HCFC-141b </w:t>
      </w:r>
      <w:r w:rsidR="007B6A51" w:rsidRPr="00C81624">
        <w:t xml:space="preserve">examine actuellement ses choix de technologies et devrait signer un accord avec le </w:t>
      </w:r>
      <w:r w:rsidR="005B2B79" w:rsidRPr="00C81624">
        <w:t>Gouvernement</w:t>
      </w:r>
      <w:r w:rsidR="002A55A2" w:rsidRPr="00C81624">
        <w:t xml:space="preserve"> </w:t>
      </w:r>
      <w:r w:rsidR="007B6A51" w:rsidRPr="00C81624">
        <w:t>dès qu’une décision serait prise, en vue de l’achèvement de sa re</w:t>
      </w:r>
      <w:r w:rsidR="002A55A2" w:rsidRPr="00C81624">
        <w:t xml:space="preserve">conversion </w:t>
      </w:r>
      <w:r w:rsidR="007B6A51" w:rsidRPr="00C81624">
        <w:t>d’ici juin</w:t>
      </w:r>
      <w:r w:rsidR="002A55A2" w:rsidRPr="00C81624">
        <w:t xml:space="preserve"> 2021. </w:t>
      </w:r>
    </w:p>
    <w:p w14:paraId="2BC2381D" w14:textId="77777777" w:rsidR="002A55A2" w:rsidRPr="00C81624" w:rsidRDefault="002A55A2" w:rsidP="006A528C">
      <w:pPr>
        <w:pStyle w:val="Heading1"/>
      </w:pPr>
      <w:r w:rsidRPr="00C81624">
        <w:t>De</w:t>
      </w:r>
      <w:r w:rsidR="007B6A51" w:rsidRPr="00C81624">
        <w:t xml:space="preserve">s retards de mise en œuvre ont été signalés pour le projet de groupe lié à l’entreprise de traitement </w:t>
      </w:r>
      <w:r w:rsidRPr="00C81624">
        <w:t>(</w:t>
      </w:r>
      <w:proofErr w:type="spellStart"/>
      <w:r w:rsidRPr="00C81624">
        <w:t>Ixom</w:t>
      </w:r>
      <w:proofErr w:type="spellEnd"/>
      <w:r w:rsidRPr="00C81624">
        <w:t xml:space="preserve">), </w:t>
      </w:r>
      <w:r w:rsidR="007B6A51" w:rsidRPr="00C81624">
        <w:t xml:space="preserve">qui incluait huit </w:t>
      </w:r>
      <w:r w:rsidR="0092432F" w:rsidRPr="00C81624">
        <w:t>PME</w:t>
      </w:r>
      <w:r w:rsidRPr="00C81624">
        <w:t xml:space="preserve">; </w:t>
      </w:r>
      <w:r w:rsidR="007B6A51" w:rsidRPr="00C81624">
        <w:t xml:space="preserve">le groupe examine actuellement l’accord et procèdera à des engagements formels avec les six </w:t>
      </w:r>
      <w:r w:rsidR="0092432F" w:rsidRPr="00C81624">
        <w:t>PME</w:t>
      </w:r>
      <w:r w:rsidR="007B6A51" w:rsidRPr="00C81624">
        <w:t xml:space="preserve"> re</w:t>
      </w:r>
      <w:r w:rsidRPr="00C81624">
        <w:t>s</w:t>
      </w:r>
      <w:r w:rsidR="007B6A51" w:rsidRPr="00C81624">
        <w:t>tantes</w:t>
      </w:r>
      <w:r w:rsidRPr="00C81624">
        <w:t xml:space="preserve">. </w:t>
      </w:r>
    </w:p>
    <w:p w14:paraId="54EF85CD" w14:textId="77777777" w:rsidR="002A55A2" w:rsidRPr="00C81624" w:rsidRDefault="007B6A51" w:rsidP="006A528C">
      <w:pPr>
        <w:pStyle w:val="Heading1"/>
      </w:pPr>
      <w:r w:rsidRPr="00C81624">
        <w:t xml:space="preserve">Le Tableau 2 ci-après indique l’avancement de la mise en œuvre </w:t>
      </w:r>
      <w:r w:rsidR="005B6266" w:rsidRPr="00C81624">
        <w:t xml:space="preserve">dans le secteur des mousses au </w:t>
      </w:r>
      <w:r w:rsidR="00633E5A" w:rsidRPr="00C81624">
        <w:t>Chili</w:t>
      </w:r>
      <w:r w:rsidR="002A55A2" w:rsidRPr="00C81624">
        <w:t>:</w:t>
      </w:r>
    </w:p>
    <w:p w14:paraId="03ECFE71" w14:textId="77777777" w:rsidR="002A55A2" w:rsidRPr="00C81624" w:rsidRDefault="002A55A2" w:rsidP="002A55A2">
      <w:pPr>
        <w:rPr>
          <w:b/>
        </w:rPr>
      </w:pPr>
      <w:r w:rsidRPr="00C81624">
        <w:rPr>
          <w:b/>
        </w:rPr>
        <w:t>Table</w:t>
      </w:r>
      <w:r w:rsidR="005B6266" w:rsidRPr="00C81624">
        <w:rPr>
          <w:b/>
        </w:rPr>
        <w:t>au</w:t>
      </w:r>
      <w:r w:rsidRPr="00C81624">
        <w:rPr>
          <w:b/>
        </w:rPr>
        <w:t xml:space="preserve"> 2: </w:t>
      </w:r>
      <w:r w:rsidR="005B6266" w:rsidRPr="00C81624">
        <w:rPr>
          <w:b/>
        </w:rPr>
        <w:t xml:space="preserve">Avancement de la mise en œuvre dans le secteur des mousses </w:t>
      </w:r>
      <w:r w:rsidRPr="00C81624">
        <w:rPr>
          <w:b/>
        </w:rPr>
        <w:t xml:space="preserve">PU </w:t>
      </w:r>
      <w:r w:rsidR="005B6266" w:rsidRPr="00C81624">
        <w:rPr>
          <w:b/>
        </w:rPr>
        <w:t xml:space="preserve">au </w:t>
      </w:r>
      <w:r w:rsidR="00633E5A" w:rsidRPr="00C81624">
        <w:rPr>
          <w:b/>
        </w:rPr>
        <w:t>Chili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1800"/>
        <w:gridCol w:w="1620"/>
        <w:gridCol w:w="2430"/>
      </w:tblGrid>
      <w:tr w:rsidR="002A55A2" w:rsidRPr="00C81624" w14:paraId="2793C233" w14:textId="77777777" w:rsidTr="00AE297D">
        <w:trPr>
          <w:tblHeader/>
        </w:trPr>
        <w:tc>
          <w:tcPr>
            <w:tcW w:w="3505" w:type="dxa"/>
            <w:tcMar>
              <w:left w:w="29" w:type="dxa"/>
              <w:right w:w="0" w:type="dxa"/>
            </w:tcMar>
            <w:vAlign w:val="center"/>
          </w:tcPr>
          <w:p w14:paraId="35E9D6EB" w14:textId="77777777" w:rsidR="002A55A2" w:rsidRPr="00C81624" w:rsidRDefault="0092432F" w:rsidP="002A55A2">
            <w:pPr>
              <w:jc w:val="left"/>
              <w:rPr>
                <w:b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>Entreprise</w:t>
            </w:r>
          </w:p>
        </w:tc>
        <w:tc>
          <w:tcPr>
            <w:tcW w:w="1800" w:type="dxa"/>
            <w:tcMar>
              <w:left w:w="29" w:type="dxa"/>
              <w:right w:w="0" w:type="dxa"/>
            </w:tcMar>
            <w:vAlign w:val="center"/>
          </w:tcPr>
          <w:p w14:paraId="66E6D31B" w14:textId="77777777" w:rsidR="002A55A2" w:rsidRPr="00C81624" w:rsidRDefault="002A55A2" w:rsidP="002A55A2">
            <w:pPr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>Technolog</w:t>
            </w:r>
            <w:r w:rsidR="005B6266" w:rsidRPr="00C81624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14:paraId="403D9590" w14:textId="77777777" w:rsidR="002A55A2" w:rsidRPr="00C81624" w:rsidRDefault="002A55A2" w:rsidP="002A55A2">
            <w:pPr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>HCFC-141b (</w:t>
            </w:r>
            <w:r w:rsidR="00633E5A" w:rsidRPr="00C81624">
              <w:rPr>
                <w:b/>
                <w:sz w:val="20"/>
                <w:szCs w:val="20"/>
              </w:rPr>
              <w:t>Tonnes PAO</w:t>
            </w:r>
            <w:r w:rsidRPr="00C81624">
              <w:rPr>
                <w:b/>
                <w:caps/>
                <w:sz w:val="20"/>
                <w:szCs w:val="20"/>
              </w:rPr>
              <w:t>)</w:t>
            </w:r>
          </w:p>
        </w:tc>
        <w:tc>
          <w:tcPr>
            <w:tcW w:w="2430" w:type="dxa"/>
            <w:tcMar>
              <w:left w:w="0" w:type="dxa"/>
              <w:right w:w="0" w:type="dxa"/>
            </w:tcMar>
            <w:vAlign w:val="center"/>
          </w:tcPr>
          <w:p w14:paraId="159F9E97" w14:textId="77777777" w:rsidR="002A55A2" w:rsidRPr="00C81624" w:rsidRDefault="005B6266" w:rsidP="002A55A2">
            <w:pPr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>Situation</w:t>
            </w:r>
          </w:p>
        </w:tc>
      </w:tr>
      <w:tr w:rsidR="002A55A2" w:rsidRPr="00C81624" w14:paraId="6AAD52DF" w14:textId="77777777" w:rsidTr="00AE297D">
        <w:tc>
          <w:tcPr>
            <w:tcW w:w="3505" w:type="dxa"/>
            <w:tcMar>
              <w:left w:w="29" w:type="dxa"/>
            </w:tcMar>
          </w:tcPr>
          <w:p w14:paraId="6A8DF2F8" w14:textId="77777777" w:rsidR="002A55A2" w:rsidRPr="00C81624" w:rsidRDefault="005B6266" w:rsidP="002A55A2">
            <w:pPr>
              <w:jc w:val="left"/>
              <w:rPr>
                <w:b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>E</w:t>
            </w:r>
            <w:r w:rsidR="0092432F" w:rsidRPr="00C81624">
              <w:rPr>
                <w:b/>
                <w:sz w:val="20"/>
                <w:szCs w:val="20"/>
              </w:rPr>
              <w:t>ntreprise</w:t>
            </w:r>
            <w:r w:rsidR="002A55A2" w:rsidRPr="00C81624">
              <w:rPr>
                <w:b/>
                <w:sz w:val="20"/>
                <w:szCs w:val="20"/>
              </w:rPr>
              <w:t>s</w:t>
            </w:r>
            <w:r w:rsidRPr="00C81624">
              <w:rPr>
                <w:b/>
                <w:sz w:val="20"/>
                <w:szCs w:val="20"/>
              </w:rPr>
              <w:t xml:space="preserve"> individuelles</w:t>
            </w:r>
          </w:p>
        </w:tc>
        <w:tc>
          <w:tcPr>
            <w:tcW w:w="1800" w:type="dxa"/>
            <w:tcMar>
              <w:left w:w="29" w:type="dxa"/>
            </w:tcMar>
          </w:tcPr>
          <w:p w14:paraId="62AF0921" w14:textId="77777777" w:rsidR="002A55A2" w:rsidRPr="00C81624" w:rsidRDefault="002A55A2" w:rsidP="002A55A2">
            <w:pPr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FE2C8C" w14:textId="77777777" w:rsidR="002A55A2" w:rsidRPr="00C81624" w:rsidRDefault="002A55A2" w:rsidP="002A55A2">
            <w:pPr>
              <w:jc w:val="center"/>
              <w:outlineLvl w:val="0"/>
              <w:rPr>
                <w:caps/>
                <w:sz w:val="20"/>
                <w:szCs w:val="20"/>
              </w:rPr>
            </w:pPr>
          </w:p>
        </w:tc>
        <w:tc>
          <w:tcPr>
            <w:tcW w:w="2430" w:type="dxa"/>
          </w:tcPr>
          <w:p w14:paraId="04FFF6D7" w14:textId="77777777" w:rsidR="002A55A2" w:rsidRPr="00C81624" w:rsidRDefault="002A55A2" w:rsidP="002A55A2">
            <w:pPr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2A55A2" w:rsidRPr="00C81624" w14:paraId="4BA0E858" w14:textId="77777777" w:rsidTr="00AE297D">
        <w:tc>
          <w:tcPr>
            <w:tcW w:w="3505" w:type="dxa"/>
            <w:tcMar>
              <w:left w:w="29" w:type="dxa"/>
              <w:right w:w="43" w:type="dxa"/>
            </w:tcMar>
          </w:tcPr>
          <w:p w14:paraId="16511AC4" w14:textId="77777777" w:rsidR="002A55A2" w:rsidRPr="00C81624" w:rsidRDefault="002A55A2" w:rsidP="002A55A2">
            <w:pPr>
              <w:jc w:val="left"/>
              <w:rPr>
                <w:sz w:val="20"/>
                <w:szCs w:val="20"/>
              </w:rPr>
            </w:pPr>
            <w:proofErr w:type="spellStart"/>
            <w:r w:rsidRPr="00C81624">
              <w:rPr>
                <w:sz w:val="20"/>
                <w:szCs w:val="20"/>
              </w:rPr>
              <w:t>Inema</w:t>
            </w:r>
            <w:proofErr w:type="spellEnd"/>
          </w:p>
        </w:tc>
        <w:tc>
          <w:tcPr>
            <w:tcW w:w="1800" w:type="dxa"/>
            <w:tcMar>
              <w:left w:w="29" w:type="dxa"/>
              <w:right w:w="43" w:type="dxa"/>
            </w:tcMar>
          </w:tcPr>
          <w:p w14:paraId="407C9E4E" w14:textId="77777777" w:rsidR="002A55A2" w:rsidRPr="00C81624" w:rsidRDefault="002A55A2" w:rsidP="002A55A2">
            <w:pPr>
              <w:jc w:val="left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Cyclopentane</w:t>
            </w:r>
            <w:r w:rsidRPr="00C81624">
              <w:rPr>
                <w:caps/>
                <w:sz w:val="20"/>
                <w:szCs w:val="20"/>
              </w:rPr>
              <w:t>/HFO</w:t>
            </w:r>
          </w:p>
        </w:tc>
        <w:tc>
          <w:tcPr>
            <w:tcW w:w="1620" w:type="dxa"/>
            <w:tcMar>
              <w:left w:w="115" w:type="dxa"/>
              <w:right w:w="43" w:type="dxa"/>
            </w:tcMar>
          </w:tcPr>
          <w:p w14:paraId="07D1ECA8" w14:textId="77777777" w:rsidR="002A55A2" w:rsidRPr="00C81624" w:rsidRDefault="002A55A2" w:rsidP="002A55A2">
            <w:pPr>
              <w:jc w:val="center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caps/>
                <w:sz w:val="20"/>
                <w:szCs w:val="20"/>
              </w:rPr>
              <w:t>4</w:t>
            </w:r>
            <w:r w:rsidR="005B6266" w:rsidRPr="00C81624">
              <w:rPr>
                <w:caps/>
                <w:sz w:val="20"/>
                <w:szCs w:val="20"/>
              </w:rPr>
              <w:t>,</w:t>
            </w:r>
            <w:r w:rsidRPr="00C81624">
              <w:rPr>
                <w:caps/>
                <w:sz w:val="20"/>
                <w:szCs w:val="20"/>
              </w:rPr>
              <w:t>97</w:t>
            </w:r>
          </w:p>
        </w:tc>
        <w:tc>
          <w:tcPr>
            <w:tcW w:w="2430" w:type="dxa"/>
            <w:tcMar>
              <w:left w:w="115" w:type="dxa"/>
              <w:right w:w="43" w:type="dxa"/>
            </w:tcMar>
          </w:tcPr>
          <w:p w14:paraId="1B70A61A" w14:textId="77777777" w:rsidR="002A55A2" w:rsidRPr="00C81624" w:rsidRDefault="005B6266" w:rsidP="002A55A2">
            <w:pPr>
              <w:jc w:val="left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Achevée</w:t>
            </w:r>
          </w:p>
        </w:tc>
      </w:tr>
      <w:tr w:rsidR="002A55A2" w:rsidRPr="00C81624" w14:paraId="4AE604B6" w14:textId="77777777" w:rsidTr="00AE297D">
        <w:tc>
          <w:tcPr>
            <w:tcW w:w="3505" w:type="dxa"/>
            <w:tcMar>
              <w:left w:w="29" w:type="dxa"/>
              <w:right w:w="43" w:type="dxa"/>
            </w:tcMar>
          </w:tcPr>
          <w:p w14:paraId="76FE5AF2" w14:textId="77777777" w:rsidR="002A55A2" w:rsidRPr="00C81624" w:rsidRDefault="002A55A2" w:rsidP="002A55A2">
            <w:pPr>
              <w:jc w:val="left"/>
              <w:rPr>
                <w:sz w:val="20"/>
                <w:szCs w:val="20"/>
              </w:rPr>
            </w:pPr>
            <w:proofErr w:type="spellStart"/>
            <w:r w:rsidRPr="00C81624">
              <w:rPr>
                <w:sz w:val="20"/>
                <w:szCs w:val="20"/>
              </w:rPr>
              <w:t>Poliuretanos</w:t>
            </w:r>
            <w:proofErr w:type="spellEnd"/>
            <w:r w:rsidRPr="00C81624">
              <w:rPr>
                <w:sz w:val="20"/>
                <w:szCs w:val="20"/>
              </w:rPr>
              <w:t xml:space="preserve"> </w:t>
            </w:r>
            <w:proofErr w:type="spellStart"/>
            <w:r w:rsidRPr="00C81624">
              <w:rPr>
                <w:sz w:val="20"/>
                <w:szCs w:val="20"/>
              </w:rPr>
              <w:t>Pol</w:t>
            </w:r>
            <w:r w:rsidR="00633E5A" w:rsidRPr="00C81624">
              <w:rPr>
                <w:sz w:val="20"/>
                <w:szCs w:val="20"/>
              </w:rPr>
              <w:t>Chili</w:t>
            </w:r>
            <w:proofErr w:type="spellEnd"/>
          </w:p>
        </w:tc>
        <w:tc>
          <w:tcPr>
            <w:tcW w:w="1800" w:type="dxa"/>
            <w:tcMar>
              <w:left w:w="29" w:type="dxa"/>
              <w:right w:w="43" w:type="dxa"/>
            </w:tcMar>
          </w:tcPr>
          <w:p w14:paraId="16F3F419" w14:textId="77777777" w:rsidR="002A55A2" w:rsidRPr="00C81624" w:rsidRDefault="002A55A2" w:rsidP="002A55A2">
            <w:pPr>
              <w:jc w:val="left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caps/>
                <w:sz w:val="20"/>
                <w:szCs w:val="20"/>
              </w:rPr>
              <w:t>HFO</w:t>
            </w:r>
          </w:p>
        </w:tc>
        <w:tc>
          <w:tcPr>
            <w:tcW w:w="1620" w:type="dxa"/>
            <w:tcMar>
              <w:left w:w="115" w:type="dxa"/>
              <w:right w:w="43" w:type="dxa"/>
            </w:tcMar>
          </w:tcPr>
          <w:p w14:paraId="27E81210" w14:textId="77777777" w:rsidR="002A55A2" w:rsidRPr="00C81624" w:rsidRDefault="002A55A2" w:rsidP="002A55A2">
            <w:pPr>
              <w:jc w:val="center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caps/>
                <w:sz w:val="20"/>
                <w:szCs w:val="20"/>
              </w:rPr>
              <w:t>2</w:t>
            </w:r>
            <w:r w:rsidR="005B6266" w:rsidRPr="00C81624">
              <w:rPr>
                <w:caps/>
                <w:sz w:val="20"/>
                <w:szCs w:val="20"/>
              </w:rPr>
              <w:t>,</w:t>
            </w:r>
            <w:r w:rsidRPr="00C81624">
              <w:rPr>
                <w:caps/>
                <w:sz w:val="20"/>
                <w:szCs w:val="20"/>
              </w:rPr>
              <w:t>25</w:t>
            </w:r>
          </w:p>
        </w:tc>
        <w:tc>
          <w:tcPr>
            <w:tcW w:w="2430" w:type="dxa"/>
            <w:tcMar>
              <w:left w:w="115" w:type="dxa"/>
              <w:right w:w="43" w:type="dxa"/>
            </w:tcMar>
          </w:tcPr>
          <w:p w14:paraId="0D09C562" w14:textId="77777777" w:rsidR="002A55A2" w:rsidRPr="00C81624" w:rsidRDefault="005B6266" w:rsidP="002A55A2">
            <w:pPr>
              <w:jc w:val="left"/>
            </w:pPr>
            <w:r w:rsidRPr="00C81624">
              <w:rPr>
                <w:sz w:val="20"/>
                <w:szCs w:val="20"/>
              </w:rPr>
              <w:t>Achevée</w:t>
            </w:r>
          </w:p>
        </w:tc>
      </w:tr>
      <w:tr w:rsidR="002A55A2" w:rsidRPr="00C81624" w14:paraId="440A0ACA" w14:textId="77777777" w:rsidTr="00AE297D">
        <w:tc>
          <w:tcPr>
            <w:tcW w:w="3505" w:type="dxa"/>
            <w:tcMar>
              <w:left w:w="29" w:type="dxa"/>
              <w:right w:w="43" w:type="dxa"/>
            </w:tcMar>
          </w:tcPr>
          <w:p w14:paraId="754F9839" w14:textId="77777777" w:rsidR="002A55A2" w:rsidRPr="00C81624" w:rsidRDefault="002A55A2" w:rsidP="002A55A2">
            <w:pPr>
              <w:jc w:val="left"/>
              <w:rPr>
                <w:sz w:val="20"/>
                <w:szCs w:val="20"/>
              </w:rPr>
            </w:pPr>
            <w:proofErr w:type="spellStart"/>
            <w:r w:rsidRPr="00C81624">
              <w:rPr>
                <w:sz w:val="20"/>
                <w:szCs w:val="20"/>
              </w:rPr>
              <w:t>Ingepur</w:t>
            </w:r>
            <w:proofErr w:type="spellEnd"/>
            <w:r w:rsidRPr="00C81624">
              <w:rPr>
                <w:sz w:val="20"/>
                <w:szCs w:val="20"/>
              </w:rPr>
              <w:t xml:space="preserve"> (</w:t>
            </w:r>
            <w:r w:rsidR="0092432F" w:rsidRPr="00C81624">
              <w:rPr>
                <w:sz w:val="20"/>
                <w:szCs w:val="20"/>
              </w:rPr>
              <w:t>PME</w:t>
            </w:r>
            <w:r w:rsidRPr="00C81624">
              <w:rPr>
                <w:sz w:val="20"/>
                <w:szCs w:val="20"/>
              </w:rPr>
              <w:t xml:space="preserve"> </w:t>
            </w:r>
            <w:r w:rsidR="005B6266" w:rsidRPr="00C81624">
              <w:rPr>
                <w:sz w:val="20"/>
                <w:szCs w:val="20"/>
              </w:rPr>
              <w:t>relevant initialement d’</w:t>
            </w:r>
            <w:r w:rsidRPr="00C81624">
              <w:rPr>
                <w:sz w:val="20"/>
                <w:szCs w:val="20"/>
              </w:rPr>
              <w:t>Austral)</w:t>
            </w:r>
          </w:p>
        </w:tc>
        <w:tc>
          <w:tcPr>
            <w:tcW w:w="1800" w:type="dxa"/>
            <w:tcMar>
              <w:left w:w="29" w:type="dxa"/>
              <w:right w:w="43" w:type="dxa"/>
            </w:tcMar>
          </w:tcPr>
          <w:p w14:paraId="098FC84F" w14:textId="77777777" w:rsidR="002A55A2" w:rsidRPr="00C81624" w:rsidRDefault="002A55A2" w:rsidP="002A55A2">
            <w:pPr>
              <w:jc w:val="lef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HFO</w:t>
            </w:r>
          </w:p>
        </w:tc>
        <w:tc>
          <w:tcPr>
            <w:tcW w:w="1620" w:type="dxa"/>
            <w:tcMar>
              <w:left w:w="115" w:type="dxa"/>
              <w:right w:w="43" w:type="dxa"/>
            </w:tcMar>
          </w:tcPr>
          <w:p w14:paraId="6C042D14" w14:textId="77777777" w:rsidR="002A55A2" w:rsidRPr="00C81624" w:rsidRDefault="002A55A2" w:rsidP="002A55A2">
            <w:pPr>
              <w:jc w:val="center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caps/>
                <w:sz w:val="20"/>
                <w:szCs w:val="20"/>
              </w:rPr>
              <w:t>0</w:t>
            </w:r>
            <w:r w:rsidR="005B6266" w:rsidRPr="00C81624">
              <w:rPr>
                <w:caps/>
                <w:sz w:val="20"/>
                <w:szCs w:val="20"/>
              </w:rPr>
              <w:t>,</w:t>
            </w:r>
            <w:r w:rsidRPr="00C81624">
              <w:rPr>
                <w:caps/>
                <w:sz w:val="20"/>
                <w:szCs w:val="20"/>
              </w:rPr>
              <w:t>87</w:t>
            </w:r>
          </w:p>
        </w:tc>
        <w:tc>
          <w:tcPr>
            <w:tcW w:w="2430" w:type="dxa"/>
            <w:tcMar>
              <w:left w:w="115" w:type="dxa"/>
              <w:right w:w="43" w:type="dxa"/>
            </w:tcMar>
          </w:tcPr>
          <w:p w14:paraId="774242D0" w14:textId="77777777" w:rsidR="002A55A2" w:rsidRPr="00C81624" w:rsidRDefault="005B6266" w:rsidP="002A55A2">
            <w:pPr>
              <w:jc w:val="left"/>
            </w:pPr>
            <w:r w:rsidRPr="00C81624">
              <w:rPr>
                <w:sz w:val="20"/>
                <w:szCs w:val="20"/>
              </w:rPr>
              <w:t>Achevée</w:t>
            </w:r>
          </w:p>
        </w:tc>
      </w:tr>
      <w:tr w:rsidR="002A55A2" w:rsidRPr="00C81624" w14:paraId="74879C81" w14:textId="77777777" w:rsidTr="00AE297D">
        <w:tc>
          <w:tcPr>
            <w:tcW w:w="3505" w:type="dxa"/>
            <w:tcMar>
              <w:left w:w="29" w:type="dxa"/>
              <w:right w:w="43" w:type="dxa"/>
            </w:tcMar>
          </w:tcPr>
          <w:p w14:paraId="504CD082" w14:textId="77777777" w:rsidR="002A55A2" w:rsidRPr="00C81624" w:rsidRDefault="002A55A2" w:rsidP="002A55A2">
            <w:pPr>
              <w:jc w:val="lef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 xml:space="preserve">Fidel Valenzuela </w:t>
            </w:r>
            <w:r w:rsidR="005B6266" w:rsidRPr="00C81624">
              <w:rPr>
                <w:sz w:val="20"/>
                <w:szCs w:val="20"/>
              </w:rPr>
              <w:t>et</w:t>
            </w:r>
            <w:r w:rsidRPr="00C81624">
              <w:rPr>
                <w:sz w:val="20"/>
                <w:szCs w:val="20"/>
              </w:rPr>
              <w:t xml:space="preserve"> Claudia </w:t>
            </w:r>
            <w:proofErr w:type="spellStart"/>
            <w:r w:rsidRPr="00C81624">
              <w:rPr>
                <w:sz w:val="20"/>
                <w:szCs w:val="20"/>
              </w:rPr>
              <w:t>Letelier</w:t>
            </w:r>
            <w:proofErr w:type="spellEnd"/>
            <w:r w:rsidRPr="00C81624">
              <w:rPr>
                <w:sz w:val="20"/>
                <w:szCs w:val="20"/>
              </w:rPr>
              <w:t xml:space="preserve"> F&amp;C (</w:t>
            </w:r>
            <w:r w:rsidR="0092432F" w:rsidRPr="00C81624">
              <w:rPr>
                <w:sz w:val="20"/>
                <w:szCs w:val="20"/>
              </w:rPr>
              <w:t>PME</w:t>
            </w:r>
            <w:r w:rsidRPr="00C81624">
              <w:rPr>
                <w:sz w:val="20"/>
                <w:szCs w:val="20"/>
              </w:rPr>
              <w:t xml:space="preserve"> </w:t>
            </w:r>
            <w:r w:rsidR="005B6266" w:rsidRPr="00C81624">
              <w:rPr>
                <w:sz w:val="20"/>
                <w:szCs w:val="20"/>
              </w:rPr>
              <w:t>relevant initialement d’</w:t>
            </w:r>
            <w:proofErr w:type="spellStart"/>
            <w:r w:rsidRPr="00C81624">
              <w:rPr>
                <w:sz w:val="20"/>
                <w:szCs w:val="20"/>
              </w:rPr>
              <w:t>Ixom</w:t>
            </w:r>
            <w:proofErr w:type="spellEnd"/>
            <w:r w:rsidRPr="00C81624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Mar>
              <w:left w:w="29" w:type="dxa"/>
              <w:right w:w="43" w:type="dxa"/>
            </w:tcMar>
          </w:tcPr>
          <w:p w14:paraId="2DE7DEFF" w14:textId="77777777" w:rsidR="002A55A2" w:rsidRPr="00C81624" w:rsidRDefault="002A55A2" w:rsidP="002A55A2">
            <w:pPr>
              <w:jc w:val="lef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HFO</w:t>
            </w:r>
          </w:p>
        </w:tc>
        <w:tc>
          <w:tcPr>
            <w:tcW w:w="1620" w:type="dxa"/>
            <w:tcMar>
              <w:left w:w="115" w:type="dxa"/>
              <w:right w:w="43" w:type="dxa"/>
            </w:tcMar>
          </w:tcPr>
          <w:p w14:paraId="3362B953" w14:textId="77777777" w:rsidR="002A55A2" w:rsidRPr="00C81624" w:rsidRDefault="002A55A2" w:rsidP="002A55A2">
            <w:pPr>
              <w:jc w:val="center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caps/>
                <w:sz w:val="20"/>
                <w:szCs w:val="20"/>
              </w:rPr>
              <w:t>0</w:t>
            </w:r>
            <w:r w:rsidR="005B6266" w:rsidRPr="00C81624">
              <w:rPr>
                <w:caps/>
                <w:sz w:val="20"/>
                <w:szCs w:val="20"/>
              </w:rPr>
              <w:t>,</w:t>
            </w:r>
            <w:r w:rsidRPr="00C81624">
              <w:rPr>
                <w:caps/>
                <w:sz w:val="20"/>
                <w:szCs w:val="20"/>
              </w:rPr>
              <w:t>26</w:t>
            </w:r>
          </w:p>
        </w:tc>
        <w:tc>
          <w:tcPr>
            <w:tcW w:w="2430" w:type="dxa"/>
            <w:tcMar>
              <w:left w:w="115" w:type="dxa"/>
              <w:right w:w="43" w:type="dxa"/>
            </w:tcMar>
          </w:tcPr>
          <w:p w14:paraId="6D6C7313" w14:textId="77777777" w:rsidR="002A55A2" w:rsidRPr="00C81624" w:rsidRDefault="005B6266" w:rsidP="002A55A2">
            <w:pPr>
              <w:jc w:val="left"/>
            </w:pPr>
            <w:r w:rsidRPr="00C81624">
              <w:rPr>
                <w:sz w:val="20"/>
                <w:szCs w:val="20"/>
              </w:rPr>
              <w:t>Achevée</w:t>
            </w:r>
          </w:p>
        </w:tc>
      </w:tr>
      <w:tr w:rsidR="002A55A2" w:rsidRPr="00C81624" w14:paraId="7C999E0F" w14:textId="77777777" w:rsidTr="00AE297D">
        <w:tc>
          <w:tcPr>
            <w:tcW w:w="3505" w:type="dxa"/>
            <w:tcMar>
              <w:left w:w="29" w:type="dxa"/>
              <w:right w:w="43" w:type="dxa"/>
            </w:tcMar>
          </w:tcPr>
          <w:p w14:paraId="118C03C4" w14:textId="77777777" w:rsidR="002A55A2" w:rsidRPr="00C81624" w:rsidRDefault="002A55A2" w:rsidP="002A55A2">
            <w:pPr>
              <w:jc w:val="lef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 xml:space="preserve">Sociedad </w:t>
            </w:r>
            <w:proofErr w:type="spellStart"/>
            <w:r w:rsidRPr="00C81624">
              <w:rPr>
                <w:sz w:val="20"/>
                <w:szCs w:val="20"/>
              </w:rPr>
              <w:t>Aislaciones</w:t>
            </w:r>
            <w:proofErr w:type="spellEnd"/>
            <w:r w:rsidRPr="00C81624">
              <w:rPr>
                <w:sz w:val="20"/>
                <w:szCs w:val="20"/>
              </w:rPr>
              <w:t xml:space="preserve"> </w:t>
            </w:r>
            <w:proofErr w:type="spellStart"/>
            <w:r w:rsidRPr="00C81624">
              <w:rPr>
                <w:sz w:val="20"/>
                <w:szCs w:val="20"/>
              </w:rPr>
              <w:t>Térmicas</w:t>
            </w:r>
            <w:proofErr w:type="spellEnd"/>
            <w:r w:rsidRPr="00C81624">
              <w:rPr>
                <w:sz w:val="20"/>
                <w:szCs w:val="20"/>
              </w:rPr>
              <w:t xml:space="preserve"> S.A. (</w:t>
            </w:r>
            <w:r w:rsidR="0092432F" w:rsidRPr="00C81624">
              <w:rPr>
                <w:sz w:val="20"/>
                <w:szCs w:val="20"/>
              </w:rPr>
              <w:t>PME</w:t>
            </w:r>
            <w:r w:rsidRPr="00C81624">
              <w:rPr>
                <w:sz w:val="20"/>
                <w:szCs w:val="20"/>
              </w:rPr>
              <w:t xml:space="preserve"> </w:t>
            </w:r>
            <w:r w:rsidR="005B6266" w:rsidRPr="00C81624">
              <w:rPr>
                <w:sz w:val="20"/>
                <w:szCs w:val="20"/>
              </w:rPr>
              <w:t>relevant initialement d’</w:t>
            </w:r>
            <w:r w:rsidRPr="00C81624">
              <w:rPr>
                <w:sz w:val="20"/>
                <w:szCs w:val="20"/>
              </w:rPr>
              <w:t>Austral)</w:t>
            </w:r>
          </w:p>
        </w:tc>
        <w:tc>
          <w:tcPr>
            <w:tcW w:w="1800" w:type="dxa"/>
            <w:tcMar>
              <w:left w:w="29" w:type="dxa"/>
              <w:right w:w="43" w:type="dxa"/>
            </w:tcMar>
          </w:tcPr>
          <w:p w14:paraId="43793644" w14:textId="77777777" w:rsidR="002A55A2" w:rsidRPr="00C81624" w:rsidRDefault="002A55A2" w:rsidP="002A55A2">
            <w:pPr>
              <w:jc w:val="lef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HFO</w:t>
            </w:r>
          </w:p>
        </w:tc>
        <w:tc>
          <w:tcPr>
            <w:tcW w:w="1620" w:type="dxa"/>
            <w:tcMar>
              <w:left w:w="115" w:type="dxa"/>
              <w:right w:w="43" w:type="dxa"/>
            </w:tcMar>
          </w:tcPr>
          <w:p w14:paraId="1C23B429" w14:textId="77777777" w:rsidR="002A55A2" w:rsidRPr="00C81624" w:rsidRDefault="002A55A2" w:rsidP="002A55A2">
            <w:pPr>
              <w:jc w:val="center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caps/>
                <w:sz w:val="20"/>
                <w:szCs w:val="20"/>
              </w:rPr>
              <w:t>0.16</w:t>
            </w:r>
          </w:p>
        </w:tc>
        <w:tc>
          <w:tcPr>
            <w:tcW w:w="2430" w:type="dxa"/>
            <w:tcMar>
              <w:left w:w="115" w:type="dxa"/>
              <w:right w:w="43" w:type="dxa"/>
            </w:tcMar>
          </w:tcPr>
          <w:p w14:paraId="20C33A20" w14:textId="77777777" w:rsidR="002A55A2" w:rsidRPr="00C81624" w:rsidRDefault="005B6266" w:rsidP="002A55A2">
            <w:pPr>
              <w:jc w:val="left"/>
            </w:pPr>
            <w:r w:rsidRPr="00C81624">
              <w:rPr>
                <w:sz w:val="20"/>
                <w:szCs w:val="20"/>
              </w:rPr>
              <w:t>Achevée</w:t>
            </w:r>
          </w:p>
        </w:tc>
      </w:tr>
      <w:tr w:rsidR="002A55A2" w:rsidRPr="00C81624" w14:paraId="2829E918" w14:textId="77777777" w:rsidTr="00AE297D">
        <w:tc>
          <w:tcPr>
            <w:tcW w:w="3505" w:type="dxa"/>
            <w:tcMar>
              <w:left w:w="29" w:type="dxa"/>
              <w:right w:w="43" w:type="dxa"/>
            </w:tcMar>
          </w:tcPr>
          <w:p w14:paraId="2C51ADBF" w14:textId="77777777" w:rsidR="002A55A2" w:rsidRPr="00C81624" w:rsidRDefault="002A55A2" w:rsidP="002A55A2">
            <w:pPr>
              <w:jc w:val="left"/>
              <w:rPr>
                <w:sz w:val="20"/>
                <w:szCs w:val="20"/>
              </w:rPr>
            </w:pPr>
            <w:proofErr w:type="spellStart"/>
            <w:r w:rsidRPr="00C81624">
              <w:rPr>
                <w:sz w:val="20"/>
                <w:szCs w:val="20"/>
              </w:rPr>
              <w:t>Termoindustrial</w:t>
            </w:r>
            <w:proofErr w:type="spellEnd"/>
            <w:r w:rsidRPr="00C81624">
              <w:rPr>
                <w:sz w:val="20"/>
                <w:szCs w:val="20"/>
              </w:rPr>
              <w:t xml:space="preserve"> </w:t>
            </w:r>
            <w:proofErr w:type="spellStart"/>
            <w:r w:rsidRPr="00C81624">
              <w:rPr>
                <w:sz w:val="20"/>
                <w:szCs w:val="20"/>
              </w:rPr>
              <w:t>Paneles</w:t>
            </w:r>
            <w:proofErr w:type="spellEnd"/>
            <w:r w:rsidRPr="00C81624">
              <w:rPr>
                <w:sz w:val="20"/>
                <w:szCs w:val="20"/>
              </w:rPr>
              <w:t xml:space="preserve"> (ex-</w:t>
            </w:r>
            <w:proofErr w:type="spellStart"/>
            <w:r w:rsidRPr="00C81624">
              <w:rPr>
                <w:sz w:val="20"/>
                <w:szCs w:val="20"/>
              </w:rPr>
              <w:t>Danica</w:t>
            </w:r>
            <w:proofErr w:type="spellEnd"/>
            <w:r w:rsidRPr="00C81624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Mar>
              <w:left w:w="29" w:type="dxa"/>
              <w:right w:w="43" w:type="dxa"/>
            </w:tcMar>
          </w:tcPr>
          <w:p w14:paraId="54833B72" w14:textId="77777777" w:rsidR="002A55A2" w:rsidRPr="00C81624" w:rsidRDefault="002A55A2" w:rsidP="002A55A2">
            <w:pPr>
              <w:jc w:val="left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caps/>
                <w:sz w:val="20"/>
                <w:szCs w:val="20"/>
              </w:rPr>
              <w:t>HFO</w:t>
            </w:r>
          </w:p>
        </w:tc>
        <w:tc>
          <w:tcPr>
            <w:tcW w:w="1620" w:type="dxa"/>
            <w:tcMar>
              <w:left w:w="115" w:type="dxa"/>
              <w:right w:w="43" w:type="dxa"/>
            </w:tcMar>
          </w:tcPr>
          <w:p w14:paraId="498C740F" w14:textId="77777777" w:rsidR="002A55A2" w:rsidRPr="00C81624" w:rsidRDefault="002A55A2" w:rsidP="002A55A2">
            <w:pPr>
              <w:jc w:val="center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caps/>
                <w:sz w:val="20"/>
                <w:szCs w:val="20"/>
              </w:rPr>
              <w:t>3.38</w:t>
            </w:r>
          </w:p>
        </w:tc>
        <w:tc>
          <w:tcPr>
            <w:tcW w:w="2430" w:type="dxa"/>
            <w:tcMar>
              <w:left w:w="115" w:type="dxa"/>
              <w:right w:w="43" w:type="dxa"/>
            </w:tcMar>
          </w:tcPr>
          <w:p w14:paraId="2C4D2FA7" w14:textId="77777777" w:rsidR="002A55A2" w:rsidRPr="00C81624" w:rsidRDefault="002A55A2" w:rsidP="00AE297D">
            <w:pPr>
              <w:jc w:val="left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A</w:t>
            </w:r>
            <w:r w:rsidR="005B6266" w:rsidRPr="00C81624">
              <w:rPr>
                <w:sz w:val="20"/>
                <w:szCs w:val="20"/>
              </w:rPr>
              <w:t>ccord signé, équipement livre, achèvement d’ici juin</w:t>
            </w:r>
            <w:r w:rsidR="00AE297D">
              <w:rPr>
                <w:sz w:val="20"/>
                <w:szCs w:val="20"/>
              </w:rPr>
              <w:t> </w:t>
            </w:r>
            <w:r w:rsidRPr="00C81624">
              <w:rPr>
                <w:sz w:val="20"/>
                <w:szCs w:val="20"/>
              </w:rPr>
              <w:t>2020</w:t>
            </w:r>
          </w:p>
        </w:tc>
      </w:tr>
      <w:tr w:rsidR="002A55A2" w:rsidRPr="00C81624" w14:paraId="6C685C24" w14:textId="77777777" w:rsidTr="00AE297D">
        <w:tc>
          <w:tcPr>
            <w:tcW w:w="3505" w:type="dxa"/>
            <w:tcMar>
              <w:left w:w="29" w:type="dxa"/>
              <w:right w:w="43" w:type="dxa"/>
            </w:tcMar>
          </w:tcPr>
          <w:p w14:paraId="6AE005DF" w14:textId="77777777" w:rsidR="002A55A2" w:rsidRPr="00C81624" w:rsidRDefault="002A55A2" w:rsidP="002A55A2">
            <w:pPr>
              <w:jc w:val="left"/>
              <w:outlineLvl w:val="0"/>
              <w:rPr>
                <w:caps/>
                <w:sz w:val="20"/>
                <w:szCs w:val="20"/>
              </w:rPr>
            </w:pPr>
            <w:proofErr w:type="spellStart"/>
            <w:r w:rsidRPr="00C81624">
              <w:rPr>
                <w:sz w:val="20"/>
                <w:szCs w:val="20"/>
              </w:rPr>
              <w:lastRenderedPageBreak/>
              <w:t>Refricentro</w:t>
            </w:r>
            <w:proofErr w:type="spellEnd"/>
          </w:p>
        </w:tc>
        <w:tc>
          <w:tcPr>
            <w:tcW w:w="1800" w:type="dxa"/>
            <w:tcMar>
              <w:left w:w="29" w:type="dxa"/>
              <w:right w:w="43" w:type="dxa"/>
            </w:tcMar>
          </w:tcPr>
          <w:p w14:paraId="2F4E3925" w14:textId="77777777" w:rsidR="002A55A2" w:rsidRPr="00C81624" w:rsidRDefault="002A55A2" w:rsidP="002A55A2">
            <w:pPr>
              <w:jc w:val="left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caps/>
                <w:sz w:val="20"/>
                <w:szCs w:val="20"/>
              </w:rPr>
              <w:t>HFO</w:t>
            </w:r>
          </w:p>
        </w:tc>
        <w:tc>
          <w:tcPr>
            <w:tcW w:w="1620" w:type="dxa"/>
            <w:tcMar>
              <w:left w:w="115" w:type="dxa"/>
              <w:right w:w="43" w:type="dxa"/>
            </w:tcMar>
          </w:tcPr>
          <w:p w14:paraId="66F3011A" w14:textId="77777777" w:rsidR="002A55A2" w:rsidRPr="00C81624" w:rsidRDefault="002A55A2" w:rsidP="002A55A2">
            <w:pPr>
              <w:jc w:val="center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caps/>
                <w:sz w:val="20"/>
                <w:szCs w:val="20"/>
              </w:rPr>
              <w:t>0.78</w:t>
            </w:r>
          </w:p>
        </w:tc>
        <w:tc>
          <w:tcPr>
            <w:tcW w:w="2430" w:type="dxa"/>
            <w:tcMar>
              <w:left w:w="115" w:type="dxa"/>
              <w:right w:w="43" w:type="dxa"/>
            </w:tcMar>
          </w:tcPr>
          <w:p w14:paraId="137E3949" w14:textId="77777777" w:rsidR="002A55A2" w:rsidRPr="00C81624" w:rsidRDefault="005B6266" w:rsidP="00AE297D">
            <w:pPr>
              <w:jc w:val="left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Accord signé, équipement livre, achèvement d’ici juin</w:t>
            </w:r>
            <w:r w:rsidR="00AE297D">
              <w:rPr>
                <w:sz w:val="20"/>
                <w:szCs w:val="20"/>
              </w:rPr>
              <w:t> </w:t>
            </w:r>
            <w:r w:rsidRPr="00C81624">
              <w:rPr>
                <w:sz w:val="20"/>
                <w:szCs w:val="20"/>
              </w:rPr>
              <w:t>2020</w:t>
            </w:r>
          </w:p>
        </w:tc>
      </w:tr>
      <w:tr w:rsidR="002A55A2" w:rsidRPr="00C81624" w14:paraId="66B3E0E9" w14:textId="77777777" w:rsidTr="00AE297D">
        <w:tc>
          <w:tcPr>
            <w:tcW w:w="3505" w:type="dxa"/>
            <w:tcMar>
              <w:left w:w="29" w:type="dxa"/>
              <w:right w:w="43" w:type="dxa"/>
            </w:tcMar>
          </w:tcPr>
          <w:p w14:paraId="7AA3BAE0" w14:textId="77777777" w:rsidR="002A55A2" w:rsidRPr="00C81624" w:rsidRDefault="002A55A2" w:rsidP="002A55A2">
            <w:pPr>
              <w:jc w:val="left"/>
              <w:rPr>
                <w:sz w:val="20"/>
                <w:szCs w:val="20"/>
              </w:rPr>
            </w:pPr>
            <w:proofErr w:type="spellStart"/>
            <w:r w:rsidRPr="00C81624">
              <w:rPr>
                <w:sz w:val="20"/>
                <w:szCs w:val="20"/>
              </w:rPr>
              <w:t>Superfrigo</w:t>
            </w:r>
            <w:proofErr w:type="spellEnd"/>
          </w:p>
        </w:tc>
        <w:tc>
          <w:tcPr>
            <w:tcW w:w="1800" w:type="dxa"/>
            <w:tcMar>
              <w:left w:w="29" w:type="dxa"/>
              <w:right w:w="43" w:type="dxa"/>
            </w:tcMar>
          </w:tcPr>
          <w:p w14:paraId="76450F7E" w14:textId="77777777" w:rsidR="002A55A2" w:rsidRPr="00C81624" w:rsidRDefault="002A55A2" w:rsidP="002A55A2">
            <w:pPr>
              <w:jc w:val="left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HFO o</w:t>
            </w:r>
            <w:r w:rsidR="005B6266" w:rsidRPr="00C81624">
              <w:rPr>
                <w:sz w:val="20"/>
                <w:szCs w:val="20"/>
              </w:rPr>
              <w:t>u</w:t>
            </w:r>
            <w:r w:rsidRPr="00C81624">
              <w:rPr>
                <w:sz w:val="20"/>
                <w:szCs w:val="20"/>
              </w:rPr>
              <w:t xml:space="preserve"> cyclopentane</w:t>
            </w:r>
          </w:p>
        </w:tc>
        <w:tc>
          <w:tcPr>
            <w:tcW w:w="1620" w:type="dxa"/>
            <w:tcMar>
              <w:left w:w="115" w:type="dxa"/>
              <w:right w:w="43" w:type="dxa"/>
            </w:tcMar>
          </w:tcPr>
          <w:p w14:paraId="5270592C" w14:textId="77777777" w:rsidR="002A55A2" w:rsidRPr="00C81624" w:rsidRDefault="002A55A2" w:rsidP="002A55A2">
            <w:pPr>
              <w:jc w:val="center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caps/>
                <w:sz w:val="20"/>
                <w:szCs w:val="20"/>
              </w:rPr>
              <w:t>1.05</w:t>
            </w:r>
          </w:p>
        </w:tc>
        <w:tc>
          <w:tcPr>
            <w:tcW w:w="2430" w:type="dxa"/>
            <w:tcMar>
              <w:left w:w="115" w:type="dxa"/>
              <w:right w:w="43" w:type="dxa"/>
            </w:tcMar>
          </w:tcPr>
          <w:p w14:paraId="3B19C553" w14:textId="77777777" w:rsidR="002A55A2" w:rsidRPr="00C81624" w:rsidRDefault="002A55A2" w:rsidP="002A55A2">
            <w:pPr>
              <w:jc w:val="left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A</w:t>
            </w:r>
            <w:r w:rsidR="005B6266" w:rsidRPr="00C81624">
              <w:rPr>
                <w:sz w:val="20"/>
                <w:szCs w:val="20"/>
              </w:rPr>
              <w:t>ccord à signer</w:t>
            </w:r>
          </w:p>
        </w:tc>
      </w:tr>
      <w:tr w:rsidR="002A55A2" w:rsidRPr="00C81624" w14:paraId="34E2DFC3" w14:textId="77777777" w:rsidTr="00AE297D">
        <w:tc>
          <w:tcPr>
            <w:tcW w:w="3505" w:type="dxa"/>
            <w:tcMar>
              <w:left w:w="29" w:type="dxa"/>
              <w:right w:w="43" w:type="dxa"/>
            </w:tcMar>
          </w:tcPr>
          <w:p w14:paraId="1DC829BB" w14:textId="77777777" w:rsidR="002A55A2" w:rsidRPr="00C81624" w:rsidRDefault="005B6266" w:rsidP="002A55A2">
            <w:pPr>
              <w:jc w:val="left"/>
              <w:outlineLvl w:val="0"/>
              <w:rPr>
                <w:b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 xml:space="preserve">Projets de groupe pour les </w:t>
            </w:r>
            <w:r w:rsidR="0092432F" w:rsidRPr="00C81624">
              <w:rPr>
                <w:b/>
                <w:sz w:val="20"/>
                <w:szCs w:val="20"/>
              </w:rPr>
              <w:t>PME</w:t>
            </w:r>
          </w:p>
        </w:tc>
        <w:tc>
          <w:tcPr>
            <w:tcW w:w="1800" w:type="dxa"/>
            <w:tcMar>
              <w:left w:w="29" w:type="dxa"/>
              <w:right w:w="43" w:type="dxa"/>
            </w:tcMar>
          </w:tcPr>
          <w:p w14:paraId="22F5B1AB" w14:textId="77777777" w:rsidR="002A55A2" w:rsidRPr="00C81624" w:rsidRDefault="002A55A2" w:rsidP="002A55A2">
            <w:pPr>
              <w:jc w:val="left"/>
              <w:outlineLvl w:val="0"/>
              <w:rPr>
                <w:caps/>
                <w:sz w:val="20"/>
                <w:szCs w:val="20"/>
              </w:rPr>
            </w:pPr>
          </w:p>
        </w:tc>
        <w:tc>
          <w:tcPr>
            <w:tcW w:w="1620" w:type="dxa"/>
            <w:tcMar>
              <w:left w:w="115" w:type="dxa"/>
              <w:right w:w="43" w:type="dxa"/>
            </w:tcMar>
          </w:tcPr>
          <w:p w14:paraId="46ADB294" w14:textId="77777777" w:rsidR="002A55A2" w:rsidRPr="00C81624" w:rsidRDefault="002A55A2" w:rsidP="002A55A2">
            <w:pPr>
              <w:jc w:val="center"/>
              <w:outlineLvl w:val="0"/>
              <w:rPr>
                <w:caps/>
                <w:sz w:val="20"/>
                <w:szCs w:val="20"/>
              </w:rPr>
            </w:pPr>
          </w:p>
        </w:tc>
        <w:tc>
          <w:tcPr>
            <w:tcW w:w="2430" w:type="dxa"/>
            <w:tcMar>
              <w:left w:w="115" w:type="dxa"/>
              <w:right w:w="43" w:type="dxa"/>
            </w:tcMar>
          </w:tcPr>
          <w:p w14:paraId="10A8C038" w14:textId="77777777" w:rsidR="002A55A2" w:rsidRPr="00C81624" w:rsidRDefault="002A55A2" w:rsidP="002A55A2">
            <w:pPr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2A55A2" w:rsidRPr="00C81624" w14:paraId="55361864" w14:textId="77777777" w:rsidTr="00AE297D">
        <w:tc>
          <w:tcPr>
            <w:tcW w:w="3505" w:type="dxa"/>
            <w:tcMar>
              <w:left w:w="29" w:type="dxa"/>
              <w:right w:w="43" w:type="dxa"/>
            </w:tcMar>
          </w:tcPr>
          <w:p w14:paraId="7EAF1740" w14:textId="77777777" w:rsidR="002A55A2" w:rsidRPr="00C81624" w:rsidRDefault="002A55A2" w:rsidP="002A55A2">
            <w:pPr>
              <w:jc w:val="left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Austral Chemical, S.A (26</w:t>
            </w:r>
            <w:r w:rsidR="005B6266" w:rsidRPr="00C81624">
              <w:rPr>
                <w:sz w:val="20"/>
                <w:szCs w:val="20"/>
              </w:rPr>
              <w:t> PME</w:t>
            </w:r>
            <w:r w:rsidRPr="00C81624">
              <w:rPr>
                <w:sz w:val="20"/>
                <w:szCs w:val="20"/>
              </w:rPr>
              <w:t xml:space="preserve"> </w:t>
            </w:r>
            <w:r w:rsidR="005B6266" w:rsidRPr="00C81624">
              <w:rPr>
                <w:sz w:val="20"/>
                <w:szCs w:val="20"/>
              </w:rPr>
              <w:t>sur</w:t>
            </w:r>
            <w:r w:rsidRPr="00C81624">
              <w:rPr>
                <w:sz w:val="20"/>
                <w:szCs w:val="20"/>
              </w:rPr>
              <w:t xml:space="preserve"> 28, plus </w:t>
            </w:r>
            <w:r w:rsidR="005B6266" w:rsidRPr="00C81624">
              <w:rPr>
                <w:sz w:val="20"/>
                <w:szCs w:val="20"/>
              </w:rPr>
              <w:t>une relevant d’</w:t>
            </w:r>
            <w:proofErr w:type="spellStart"/>
            <w:r w:rsidRPr="00C81624">
              <w:rPr>
                <w:sz w:val="20"/>
                <w:szCs w:val="20"/>
              </w:rPr>
              <w:t>Ixom</w:t>
            </w:r>
            <w:proofErr w:type="spellEnd"/>
            <w:r w:rsidRPr="00C81624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Mar>
              <w:left w:w="29" w:type="dxa"/>
              <w:right w:w="43" w:type="dxa"/>
            </w:tcMar>
          </w:tcPr>
          <w:p w14:paraId="1E1BE32B" w14:textId="77777777" w:rsidR="002A55A2" w:rsidRPr="00C81624" w:rsidRDefault="002A55A2" w:rsidP="002A55A2">
            <w:pPr>
              <w:jc w:val="left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caps/>
                <w:sz w:val="20"/>
                <w:szCs w:val="20"/>
              </w:rPr>
              <w:t>HFO</w:t>
            </w:r>
          </w:p>
        </w:tc>
        <w:tc>
          <w:tcPr>
            <w:tcW w:w="1620" w:type="dxa"/>
            <w:tcMar>
              <w:left w:w="115" w:type="dxa"/>
              <w:right w:w="43" w:type="dxa"/>
            </w:tcMar>
          </w:tcPr>
          <w:p w14:paraId="2EE6B845" w14:textId="77777777" w:rsidR="002A55A2" w:rsidRPr="00C81624" w:rsidRDefault="002A55A2" w:rsidP="002A55A2">
            <w:pPr>
              <w:jc w:val="center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caps/>
                <w:sz w:val="20"/>
                <w:szCs w:val="20"/>
              </w:rPr>
              <w:t>6.37</w:t>
            </w:r>
          </w:p>
        </w:tc>
        <w:tc>
          <w:tcPr>
            <w:tcW w:w="2430" w:type="dxa"/>
            <w:tcMar>
              <w:left w:w="115" w:type="dxa"/>
              <w:right w:w="43" w:type="dxa"/>
            </w:tcMar>
          </w:tcPr>
          <w:p w14:paraId="64380C20" w14:textId="77777777" w:rsidR="002A55A2" w:rsidRPr="00C81624" w:rsidRDefault="005B6266" w:rsidP="002A55A2">
            <w:pPr>
              <w:jc w:val="left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Achevée</w:t>
            </w:r>
          </w:p>
        </w:tc>
      </w:tr>
      <w:tr w:rsidR="002A55A2" w:rsidRPr="00C81624" w14:paraId="298CAD9F" w14:textId="77777777" w:rsidTr="00AE297D">
        <w:tc>
          <w:tcPr>
            <w:tcW w:w="3505" w:type="dxa"/>
            <w:tcMar>
              <w:left w:w="29" w:type="dxa"/>
              <w:right w:w="43" w:type="dxa"/>
            </w:tcMar>
          </w:tcPr>
          <w:p w14:paraId="17529C55" w14:textId="77777777" w:rsidR="002A55A2" w:rsidRPr="00C81624" w:rsidRDefault="002A55A2" w:rsidP="002A55A2">
            <w:pPr>
              <w:jc w:val="left"/>
              <w:outlineLvl w:val="0"/>
              <w:rPr>
                <w:caps/>
                <w:sz w:val="20"/>
                <w:szCs w:val="20"/>
              </w:rPr>
            </w:pPr>
            <w:proofErr w:type="spellStart"/>
            <w:r w:rsidRPr="00C81624">
              <w:rPr>
                <w:sz w:val="20"/>
                <w:szCs w:val="20"/>
              </w:rPr>
              <w:t>Ixom</w:t>
            </w:r>
            <w:proofErr w:type="spellEnd"/>
            <w:r w:rsidRPr="00C81624">
              <w:rPr>
                <w:sz w:val="20"/>
                <w:szCs w:val="20"/>
              </w:rPr>
              <w:t xml:space="preserve"> </w:t>
            </w:r>
            <w:r w:rsidR="00633E5A" w:rsidRPr="00C81624">
              <w:rPr>
                <w:sz w:val="20"/>
                <w:szCs w:val="20"/>
              </w:rPr>
              <w:t>Chili</w:t>
            </w:r>
            <w:r w:rsidRPr="00C81624">
              <w:rPr>
                <w:sz w:val="20"/>
                <w:szCs w:val="20"/>
              </w:rPr>
              <w:t xml:space="preserve">, S.A. (6 </w:t>
            </w:r>
            <w:r w:rsidR="005B6266" w:rsidRPr="00C81624">
              <w:rPr>
                <w:sz w:val="20"/>
                <w:szCs w:val="20"/>
              </w:rPr>
              <w:t xml:space="preserve">PME sur </w:t>
            </w:r>
            <w:r w:rsidRPr="00C81624">
              <w:rPr>
                <w:sz w:val="20"/>
                <w:szCs w:val="20"/>
              </w:rPr>
              <w:t>8)</w:t>
            </w:r>
          </w:p>
        </w:tc>
        <w:tc>
          <w:tcPr>
            <w:tcW w:w="1800" w:type="dxa"/>
            <w:tcMar>
              <w:left w:w="29" w:type="dxa"/>
              <w:right w:w="43" w:type="dxa"/>
            </w:tcMar>
          </w:tcPr>
          <w:p w14:paraId="574420D9" w14:textId="77777777" w:rsidR="002A55A2" w:rsidRPr="00C81624" w:rsidRDefault="002A55A2" w:rsidP="002A55A2">
            <w:pPr>
              <w:jc w:val="left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caps/>
                <w:sz w:val="20"/>
                <w:szCs w:val="20"/>
              </w:rPr>
              <w:t>HFO</w:t>
            </w:r>
          </w:p>
        </w:tc>
        <w:tc>
          <w:tcPr>
            <w:tcW w:w="1620" w:type="dxa"/>
            <w:tcMar>
              <w:left w:w="115" w:type="dxa"/>
              <w:right w:w="43" w:type="dxa"/>
            </w:tcMar>
          </w:tcPr>
          <w:p w14:paraId="6BAD18F8" w14:textId="77777777" w:rsidR="002A55A2" w:rsidRPr="00C81624" w:rsidRDefault="002A55A2" w:rsidP="002A55A2">
            <w:pPr>
              <w:jc w:val="center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caps/>
                <w:sz w:val="20"/>
                <w:szCs w:val="20"/>
              </w:rPr>
              <w:t>3.67</w:t>
            </w:r>
          </w:p>
        </w:tc>
        <w:tc>
          <w:tcPr>
            <w:tcW w:w="2430" w:type="dxa"/>
            <w:tcMar>
              <w:left w:w="115" w:type="dxa"/>
              <w:right w:w="43" w:type="dxa"/>
            </w:tcMar>
          </w:tcPr>
          <w:p w14:paraId="6AA3D0C3" w14:textId="77777777" w:rsidR="002A55A2" w:rsidRPr="00C81624" w:rsidRDefault="002A55A2" w:rsidP="002A55A2">
            <w:pPr>
              <w:jc w:val="left"/>
              <w:outlineLvl w:val="0"/>
              <w:rPr>
                <w:caps/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A</w:t>
            </w:r>
            <w:r w:rsidR="005B6266" w:rsidRPr="00C81624">
              <w:rPr>
                <w:sz w:val="20"/>
                <w:szCs w:val="20"/>
              </w:rPr>
              <w:t>ccord à l’étude</w:t>
            </w:r>
            <w:r w:rsidRPr="00C81624">
              <w:rPr>
                <w:sz w:val="20"/>
                <w:szCs w:val="20"/>
              </w:rPr>
              <w:t xml:space="preserve">; </w:t>
            </w:r>
            <w:r w:rsidR="005B6266" w:rsidRPr="00C81624">
              <w:rPr>
                <w:sz w:val="20"/>
                <w:szCs w:val="20"/>
              </w:rPr>
              <w:t xml:space="preserve">engagements formels en voie de conclusion avec les derniers six utilisateurs ultimes </w:t>
            </w:r>
          </w:p>
        </w:tc>
      </w:tr>
    </w:tbl>
    <w:p w14:paraId="14ED6C01" w14:textId="77777777" w:rsidR="002A55A2" w:rsidRPr="00C81624" w:rsidRDefault="002A55A2" w:rsidP="002A55A2">
      <w:pPr>
        <w:outlineLvl w:val="0"/>
      </w:pPr>
    </w:p>
    <w:p w14:paraId="73552186" w14:textId="77777777" w:rsidR="002A55A2" w:rsidRPr="00C81624" w:rsidRDefault="005B6266" w:rsidP="002A55A2">
      <w:pPr>
        <w:rPr>
          <w:i/>
        </w:rPr>
      </w:pPr>
      <w:r w:rsidRPr="00C81624">
        <w:rPr>
          <w:i/>
        </w:rPr>
        <w:t>Secteur de l’entretien en r</w:t>
      </w:r>
      <w:r w:rsidR="00404331" w:rsidRPr="00C81624">
        <w:rPr>
          <w:i/>
        </w:rPr>
        <w:t>éfrigération</w:t>
      </w:r>
    </w:p>
    <w:p w14:paraId="23F4169B" w14:textId="77777777" w:rsidR="002A55A2" w:rsidRPr="00C81624" w:rsidRDefault="002A55A2" w:rsidP="002A55A2">
      <w:pPr>
        <w:rPr>
          <w:i/>
        </w:rPr>
      </w:pPr>
    </w:p>
    <w:p w14:paraId="6613F4C6" w14:textId="77777777" w:rsidR="002A55A2" w:rsidRPr="00C81624" w:rsidRDefault="005B6266" w:rsidP="006A528C">
      <w:pPr>
        <w:pStyle w:val="Heading1"/>
      </w:pPr>
      <w:r w:rsidRPr="00C81624">
        <w:t>Les activités ci-après ont été entreprises</w:t>
      </w:r>
      <w:r w:rsidR="002A55A2" w:rsidRPr="00C81624">
        <w:t>:</w:t>
      </w:r>
    </w:p>
    <w:p w14:paraId="26A2402D" w14:textId="77777777" w:rsidR="002A55A2" w:rsidRPr="00C81624" w:rsidRDefault="00687C4D" w:rsidP="002A55A2">
      <w:pPr>
        <w:widowControl w:val="0"/>
        <w:numPr>
          <w:ilvl w:val="1"/>
          <w:numId w:val="1"/>
        </w:numPr>
        <w:spacing w:after="240"/>
        <w:outlineLvl w:val="1"/>
      </w:pPr>
      <w:r w:rsidRPr="00C81624">
        <w:t>Vingt-deux</w:t>
      </w:r>
      <w:r w:rsidR="005B6266" w:rsidRPr="00C81624">
        <w:t xml:space="preserve"> sessions de f</w:t>
      </w:r>
      <w:r w:rsidRPr="00C81624">
        <w:t>ormation sur les meilleures pratiques en réfrigération ont été organisées pour un</w:t>
      </w:r>
      <w:r w:rsidR="002A55A2" w:rsidRPr="00C81624">
        <w:t xml:space="preserve"> total </w:t>
      </w:r>
      <w:r w:rsidRPr="00C81624">
        <w:t>de</w:t>
      </w:r>
      <w:r w:rsidR="002A55A2" w:rsidRPr="00C81624">
        <w:t xml:space="preserve"> 566 technici</w:t>
      </w:r>
      <w:r w:rsidRPr="00C81624">
        <w:t>e</w:t>
      </w:r>
      <w:r w:rsidR="002A55A2" w:rsidRPr="00C81624">
        <w:t xml:space="preserve">ns, </w:t>
      </w:r>
      <w:r w:rsidRPr="00C81624">
        <w:t xml:space="preserve">dont </w:t>
      </w:r>
      <w:r w:rsidR="002A55A2" w:rsidRPr="00C81624">
        <w:t xml:space="preserve">492 </w:t>
      </w:r>
      <w:r w:rsidRPr="00C81624">
        <w:t>ont été certifiés</w:t>
      </w:r>
      <w:r w:rsidR="002A55A2" w:rsidRPr="00C81624">
        <w:t xml:space="preserve">; </w:t>
      </w:r>
      <w:r w:rsidRPr="00C81624">
        <w:t xml:space="preserve">une soixantaine de stagiaires en </w:t>
      </w:r>
      <w:r w:rsidR="00404331" w:rsidRPr="00C81624">
        <w:t>réfrigération</w:t>
      </w:r>
      <w:r w:rsidR="002A55A2" w:rsidRPr="00C81624">
        <w:t xml:space="preserve"> </w:t>
      </w:r>
      <w:r w:rsidRPr="00C81624">
        <w:t xml:space="preserve">et climatisation </w:t>
      </w:r>
      <w:r w:rsidR="002A55A2" w:rsidRPr="00C81624">
        <w:t>(</w:t>
      </w:r>
      <w:r w:rsidR="00633E5A" w:rsidRPr="00C81624">
        <w:t>R&amp;C</w:t>
      </w:r>
      <w:r w:rsidR="002A55A2" w:rsidRPr="00C81624">
        <w:t xml:space="preserve">) </w:t>
      </w:r>
      <w:r w:rsidRPr="00C81624">
        <w:t xml:space="preserve">d’une école technique ont reçu une formation de base sur les bonnes pratiques en </w:t>
      </w:r>
      <w:r w:rsidR="00404331" w:rsidRPr="00C81624">
        <w:t>réfrigération</w:t>
      </w:r>
      <w:r w:rsidR="002A55A2" w:rsidRPr="00C81624">
        <w:t xml:space="preserve">; 22 </w:t>
      </w:r>
      <w:r w:rsidRPr="00C81624">
        <w:t xml:space="preserve">instructeurs provenant de </w:t>
      </w:r>
      <w:r w:rsidR="002A55A2" w:rsidRPr="00C81624">
        <w:t>24</w:t>
      </w:r>
      <w:r w:rsidR="00AE297D">
        <w:t> </w:t>
      </w:r>
      <w:r w:rsidR="002A55A2" w:rsidRPr="00C81624">
        <w:t>institutions</w:t>
      </w:r>
      <w:r w:rsidR="002A55A2" w:rsidRPr="00C81624" w:rsidDel="006B7CC1">
        <w:t xml:space="preserve"> </w:t>
      </w:r>
      <w:r w:rsidRPr="00C81624">
        <w:t>d’enseignement ont été formés comme formateurs</w:t>
      </w:r>
      <w:r w:rsidR="002A55A2" w:rsidRPr="00C81624">
        <w:t xml:space="preserve">; </w:t>
      </w:r>
      <w:r w:rsidRPr="00C81624">
        <w:t>deux</w:t>
      </w:r>
      <w:r w:rsidR="002A55A2" w:rsidRPr="00C81624">
        <w:t xml:space="preserve"> technici</w:t>
      </w:r>
      <w:r w:rsidRPr="00C81624">
        <w:t>e</w:t>
      </w:r>
      <w:r w:rsidR="002A55A2" w:rsidRPr="00C81624">
        <w:t xml:space="preserve">ns </w:t>
      </w:r>
      <w:r w:rsidRPr="00C81624">
        <w:t xml:space="preserve">ont participé à des stages de formation sur les frigorigènes naturels en Allemagne et au </w:t>
      </w:r>
      <w:r w:rsidR="002A55A2" w:rsidRPr="00C81624">
        <w:t>Costa</w:t>
      </w:r>
      <w:r w:rsidR="00AE297D">
        <w:t> </w:t>
      </w:r>
      <w:r w:rsidR="002A55A2" w:rsidRPr="00C81624">
        <w:t xml:space="preserve">Rica, </w:t>
      </w:r>
      <w:r w:rsidRPr="00C81624">
        <w:t>et</w:t>
      </w:r>
      <w:r w:rsidR="002A55A2" w:rsidRPr="00C81624">
        <w:t xml:space="preserve"> 12 technici</w:t>
      </w:r>
      <w:r w:rsidRPr="00C81624">
        <w:t>e</w:t>
      </w:r>
      <w:r w:rsidR="002A55A2" w:rsidRPr="00C81624">
        <w:t xml:space="preserve">ns </w:t>
      </w:r>
      <w:r w:rsidRPr="00C81624">
        <w:t xml:space="preserve">ont suivi un cours sur les frigorigènes à faible PRP au </w:t>
      </w:r>
      <w:r w:rsidR="00AE297D">
        <w:t>Brésil</w:t>
      </w:r>
      <w:r w:rsidR="002A55A2" w:rsidRPr="00C81624">
        <w:t xml:space="preserve">; </w:t>
      </w:r>
    </w:p>
    <w:p w14:paraId="3984B592" w14:textId="77777777" w:rsidR="002A55A2" w:rsidRPr="006A528C" w:rsidRDefault="00687C4D" w:rsidP="002A55A2">
      <w:pPr>
        <w:widowControl w:val="0"/>
        <w:numPr>
          <w:ilvl w:val="1"/>
          <w:numId w:val="1"/>
        </w:numPr>
        <w:spacing w:after="240"/>
        <w:outlineLvl w:val="1"/>
        <w:rPr>
          <w:iCs/>
          <w:u w:val="single"/>
        </w:rPr>
      </w:pPr>
      <w:r w:rsidRPr="00C81624">
        <w:t xml:space="preserve">Deux sessions de formation spécialisée ont été menées sur la détection </w:t>
      </w:r>
      <w:r w:rsidR="008502A1" w:rsidRPr="00C81624">
        <w:t xml:space="preserve">et la prévention </w:t>
      </w:r>
      <w:r w:rsidRPr="00C81624">
        <w:t>de fuites</w:t>
      </w:r>
      <w:r w:rsidR="002A55A2" w:rsidRPr="00C81624">
        <w:t xml:space="preserve"> (</w:t>
      </w:r>
      <w:r w:rsidRPr="00C81624">
        <w:t xml:space="preserve">pour </w:t>
      </w:r>
      <w:r w:rsidR="002A55A2" w:rsidRPr="00C81624">
        <w:t>16</w:t>
      </w:r>
      <w:r w:rsidRPr="00C81624">
        <w:t> </w:t>
      </w:r>
      <w:r w:rsidR="002A55A2" w:rsidRPr="00C81624">
        <w:t>technici</w:t>
      </w:r>
      <w:r w:rsidRPr="00C81624">
        <w:t>e</w:t>
      </w:r>
      <w:r w:rsidR="002A55A2" w:rsidRPr="00C81624">
        <w:t xml:space="preserve">ns), </w:t>
      </w:r>
      <w:r w:rsidR="008502A1" w:rsidRPr="00C81624">
        <w:t>ainsi que sur les bonnes pratiques dans l’utilisation de frigorigènes inflammables</w:t>
      </w:r>
      <w:r w:rsidR="002A55A2" w:rsidRPr="00C81624">
        <w:t xml:space="preserve"> (</w:t>
      </w:r>
      <w:r w:rsidR="008502A1" w:rsidRPr="00C81624">
        <w:t>pou</w:t>
      </w:r>
      <w:r w:rsidR="002A55A2" w:rsidRPr="00C81624">
        <w:t>r 36 technici</w:t>
      </w:r>
      <w:r w:rsidR="008502A1" w:rsidRPr="00C81624">
        <w:t>e</w:t>
      </w:r>
      <w:r w:rsidR="002A55A2" w:rsidRPr="00C81624">
        <w:t xml:space="preserve">ns). </w:t>
      </w:r>
      <w:r w:rsidR="00360D75" w:rsidRPr="00C81624">
        <w:t>E</w:t>
      </w:r>
      <w:r w:rsidR="002A55A2" w:rsidRPr="00C81624">
        <w:t>n part</w:t>
      </w:r>
      <w:r w:rsidR="00360D75" w:rsidRPr="00C81624">
        <w:t>e</w:t>
      </w:r>
      <w:r w:rsidR="002A55A2" w:rsidRPr="00C81624">
        <w:t>n</w:t>
      </w:r>
      <w:r w:rsidR="00360D75" w:rsidRPr="00C81624">
        <w:t>ariat avec un fournisseur qui coopérait étroitement avec le projet pilote utilisant du CO</w:t>
      </w:r>
      <w:r w:rsidR="00360D75" w:rsidRPr="000B4BBD">
        <w:rPr>
          <w:vertAlign w:val="subscript"/>
        </w:rPr>
        <w:t>2</w:t>
      </w:r>
      <w:r w:rsidR="00360D75" w:rsidRPr="00C81624">
        <w:t xml:space="preserve"> </w:t>
      </w:r>
      <w:proofErr w:type="spellStart"/>
      <w:r w:rsidR="00360D75" w:rsidRPr="00C81624">
        <w:t>transcritique</w:t>
      </w:r>
      <w:proofErr w:type="spellEnd"/>
      <w:r w:rsidR="00360D75" w:rsidRPr="00C81624">
        <w:t xml:space="preserve"> pour des supermarchés, </w:t>
      </w:r>
      <w:r w:rsidR="002A55A2" w:rsidRPr="00C81624">
        <w:t xml:space="preserve">32 </w:t>
      </w:r>
      <w:r w:rsidR="00360D75" w:rsidRPr="00C81624">
        <w:t xml:space="preserve">instructeurs, </w:t>
      </w:r>
      <w:r w:rsidR="002A55A2" w:rsidRPr="00C81624">
        <w:t xml:space="preserve">142 </w:t>
      </w:r>
      <w:r w:rsidR="00360D75" w:rsidRPr="00C81624">
        <w:t xml:space="preserve">étudiants de diverses universités </w:t>
      </w:r>
      <w:r w:rsidR="00743D73" w:rsidRPr="00C81624">
        <w:t xml:space="preserve">et </w:t>
      </w:r>
      <w:r w:rsidR="002A55A2" w:rsidRPr="00C81624">
        <w:t>206 technici</w:t>
      </w:r>
      <w:r w:rsidR="00743D73" w:rsidRPr="00C81624">
        <w:t>e</w:t>
      </w:r>
      <w:r w:rsidR="002A55A2" w:rsidRPr="00C81624">
        <w:t xml:space="preserve">ns </w:t>
      </w:r>
      <w:r w:rsidR="00743D73" w:rsidRPr="00C81624">
        <w:t xml:space="preserve">ont reçu une formation sur des questions techniques liées à la technologie du </w:t>
      </w:r>
      <w:r w:rsidR="002A55A2" w:rsidRPr="00C81624">
        <w:t>CO</w:t>
      </w:r>
      <w:r w:rsidR="002A55A2" w:rsidRPr="00C81624">
        <w:rPr>
          <w:vertAlign w:val="subscript"/>
        </w:rPr>
        <w:t>2 </w:t>
      </w:r>
      <w:proofErr w:type="spellStart"/>
      <w:r w:rsidR="002A55A2" w:rsidRPr="00C81624">
        <w:t>t</w:t>
      </w:r>
      <w:r w:rsidR="00743D73" w:rsidRPr="00C81624">
        <w:t>ranscritique</w:t>
      </w:r>
      <w:proofErr w:type="spellEnd"/>
      <w:r w:rsidR="002A55A2" w:rsidRPr="00C81624">
        <w:t>;</w:t>
      </w:r>
    </w:p>
    <w:p w14:paraId="333676DC" w14:textId="77777777" w:rsidR="002A55A2" w:rsidRPr="00C81624" w:rsidRDefault="00743D73" w:rsidP="002A55A2">
      <w:pPr>
        <w:widowControl w:val="0"/>
        <w:numPr>
          <w:ilvl w:val="1"/>
          <w:numId w:val="1"/>
        </w:numPr>
        <w:spacing w:after="240"/>
        <w:outlineLvl w:val="1"/>
      </w:pPr>
      <w:r w:rsidRPr="00C81624">
        <w:t>Les sujets suivants ont été mis à jour: trois compétences professionnelles pour l’installation de systèmes de climatisation</w:t>
      </w:r>
      <w:r w:rsidR="002A55A2" w:rsidRPr="00C81624">
        <w:t xml:space="preserve"> (</w:t>
      </w:r>
      <w:r w:rsidRPr="00C81624">
        <w:t xml:space="preserve">niveau </w:t>
      </w:r>
      <w:r w:rsidR="002A55A2" w:rsidRPr="00C81624">
        <w:t>industri</w:t>
      </w:r>
      <w:r w:rsidRPr="00C81624">
        <w:t>e</w:t>
      </w:r>
      <w:r w:rsidR="002A55A2" w:rsidRPr="00C81624">
        <w:t xml:space="preserve">l), </w:t>
      </w:r>
      <w:r w:rsidRPr="00C81624">
        <w:t>l’</w:t>
      </w:r>
      <w:r w:rsidR="002A55A2" w:rsidRPr="00C81624">
        <w:t xml:space="preserve">installation </w:t>
      </w:r>
      <w:r w:rsidRPr="00C81624">
        <w:t xml:space="preserve">de systèmes de </w:t>
      </w:r>
      <w:r w:rsidR="00404331" w:rsidRPr="00C81624">
        <w:t>réfrigération</w:t>
      </w:r>
      <w:r w:rsidR="002A55A2" w:rsidRPr="00C81624">
        <w:t xml:space="preserve"> (</w:t>
      </w:r>
      <w:r w:rsidRPr="00C81624">
        <w:t xml:space="preserve">niveau </w:t>
      </w:r>
      <w:r w:rsidR="002A55A2" w:rsidRPr="00C81624">
        <w:t>industri</w:t>
      </w:r>
      <w:r w:rsidRPr="00C81624">
        <w:t>e</w:t>
      </w:r>
      <w:r w:rsidR="002A55A2" w:rsidRPr="00C81624">
        <w:t xml:space="preserve">l) </w:t>
      </w:r>
      <w:r w:rsidRPr="00C81624">
        <w:t xml:space="preserve">et l’installation et l’entretien d’équipements </w:t>
      </w:r>
      <w:r w:rsidR="00633E5A" w:rsidRPr="00C81624">
        <w:t>R&amp;C</w:t>
      </w:r>
      <w:r w:rsidR="002A55A2" w:rsidRPr="00C81624">
        <w:t xml:space="preserve"> (</w:t>
      </w:r>
      <w:r w:rsidRPr="00C81624">
        <w:t xml:space="preserve">niveau </w:t>
      </w:r>
      <w:r w:rsidR="002A55A2" w:rsidRPr="00C81624">
        <w:t>commercial);</w:t>
      </w:r>
    </w:p>
    <w:p w14:paraId="4B7AA113" w14:textId="77777777" w:rsidR="002A55A2" w:rsidRPr="00C81624" w:rsidRDefault="00743D73" w:rsidP="002A55A2">
      <w:pPr>
        <w:widowControl w:val="0"/>
        <w:numPr>
          <w:ilvl w:val="1"/>
          <w:numId w:val="1"/>
        </w:numPr>
        <w:spacing w:after="240"/>
        <w:outlineLvl w:val="1"/>
        <w:rPr>
          <w:rFonts w:eastAsia="SimSun"/>
          <w:lang w:eastAsia="zh-CN"/>
        </w:rPr>
      </w:pPr>
      <w:r w:rsidRPr="00C81624">
        <w:t>Plusieurs r</w:t>
      </w:r>
      <w:r w:rsidR="00ED267A" w:rsidRPr="00C81624">
        <w:t>é</w:t>
      </w:r>
      <w:r w:rsidRPr="00C81624">
        <w:t>unions ont été tenues afin d’encourager l’utilisation de produits de remplacement des</w:t>
      </w:r>
      <w:r w:rsidR="002A55A2" w:rsidRPr="00C81624">
        <w:t xml:space="preserve"> HCFC </w:t>
      </w:r>
      <w:bookmarkStart w:id="2" w:name="_Hlk40492015"/>
      <w:r w:rsidRPr="00C81624">
        <w:t xml:space="preserve">dans le secteur </w:t>
      </w:r>
      <w:r w:rsidR="002A55A2" w:rsidRPr="00C81624">
        <w:t>agro-industr</w:t>
      </w:r>
      <w:r w:rsidR="00ED267A" w:rsidRPr="00C81624">
        <w:t>iel</w:t>
      </w:r>
      <w:bookmarkEnd w:id="2"/>
      <w:r w:rsidR="002A55A2" w:rsidRPr="00C81624">
        <w:t xml:space="preserve">, </w:t>
      </w:r>
      <w:r w:rsidR="00ED267A" w:rsidRPr="00C81624">
        <w:t xml:space="preserve">ainsi que la formation et la </w:t>
      </w:r>
      <w:r w:rsidR="002A55A2" w:rsidRPr="00C81624">
        <w:t xml:space="preserve">certification </w:t>
      </w:r>
      <w:r w:rsidR="00ED267A" w:rsidRPr="00C81624">
        <w:t>des techniciens d’entretien</w:t>
      </w:r>
      <w:r w:rsidR="002A55A2" w:rsidRPr="00C81624">
        <w:t xml:space="preserve">; </w:t>
      </w:r>
      <w:r w:rsidR="00ED267A" w:rsidRPr="00C81624">
        <w:t xml:space="preserve">quatre ateliers ont été organisés pour </w:t>
      </w:r>
      <w:r w:rsidR="002A55A2" w:rsidRPr="00C81624">
        <w:rPr>
          <w:rFonts w:eastAsia="SimSun"/>
          <w:lang w:eastAsia="zh-CN"/>
        </w:rPr>
        <w:t>112</w:t>
      </w:r>
      <w:r w:rsidR="00ED267A" w:rsidRPr="00C81624">
        <w:rPr>
          <w:rFonts w:eastAsia="SimSun"/>
          <w:lang w:eastAsia="zh-CN"/>
        </w:rPr>
        <w:t> </w:t>
      </w:r>
      <w:r w:rsidR="002A55A2" w:rsidRPr="00C81624">
        <w:rPr>
          <w:rFonts w:eastAsia="SimSun"/>
          <w:lang w:eastAsia="zh-CN"/>
        </w:rPr>
        <w:t xml:space="preserve">participants </w:t>
      </w:r>
      <w:r w:rsidR="00ED267A" w:rsidRPr="00C81624">
        <w:rPr>
          <w:rFonts w:eastAsia="SimSun"/>
          <w:lang w:eastAsia="zh-CN"/>
        </w:rPr>
        <w:t>du secteur agro-industriel</w:t>
      </w:r>
      <w:r w:rsidR="002A55A2" w:rsidRPr="00C81624">
        <w:rPr>
          <w:rFonts w:eastAsia="SimSun"/>
          <w:lang w:eastAsia="zh-CN"/>
        </w:rPr>
        <w:t xml:space="preserve">, </w:t>
      </w:r>
      <w:r w:rsidR="00ED267A" w:rsidRPr="00C81624">
        <w:rPr>
          <w:rFonts w:eastAsia="SimSun"/>
          <w:lang w:eastAsia="zh-CN"/>
        </w:rPr>
        <w:t xml:space="preserve">portant sur les frigorigènes naturels et sur les économies grâce à l’efficacité énergétique résultant de la reconversion aux produits de remplacement des </w:t>
      </w:r>
      <w:r w:rsidR="002A55A2" w:rsidRPr="00C81624">
        <w:rPr>
          <w:rFonts w:eastAsia="SimSun"/>
          <w:lang w:eastAsia="zh-CN"/>
        </w:rPr>
        <w:t>HCFC (</w:t>
      </w:r>
      <w:r w:rsidR="00ED267A" w:rsidRPr="00C81624">
        <w:rPr>
          <w:rFonts w:eastAsia="SimSun"/>
          <w:lang w:eastAsia="zh-CN"/>
        </w:rPr>
        <w:t xml:space="preserve">par exemple, </w:t>
      </w:r>
      <w:r w:rsidR="002A55A2" w:rsidRPr="00C81624">
        <w:t>CO</w:t>
      </w:r>
      <w:r w:rsidR="002A55A2" w:rsidRPr="00C81624">
        <w:rPr>
          <w:vertAlign w:val="subscript"/>
        </w:rPr>
        <w:t>2</w:t>
      </w:r>
      <w:r w:rsidR="00ED267A" w:rsidRPr="00C81624">
        <w:rPr>
          <w:vertAlign w:val="subscript"/>
        </w:rPr>
        <w:t xml:space="preserve"> </w:t>
      </w:r>
      <w:proofErr w:type="spellStart"/>
      <w:r w:rsidR="00ED267A" w:rsidRPr="00C81624">
        <w:t>transcritique</w:t>
      </w:r>
      <w:proofErr w:type="spellEnd"/>
      <w:r w:rsidR="002A55A2" w:rsidRPr="00C81624">
        <w:rPr>
          <w:rFonts w:eastAsia="SimSun"/>
          <w:lang w:eastAsia="zh-CN"/>
        </w:rPr>
        <w:t xml:space="preserve">, </w:t>
      </w:r>
      <w:r w:rsidR="002A55A2" w:rsidRPr="00C81624">
        <w:t>CO</w:t>
      </w:r>
      <w:r w:rsidR="002A55A2" w:rsidRPr="00C81624">
        <w:rPr>
          <w:vertAlign w:val="subscript"/>
        </w:rPr>
        <w:t>2</w:t>
      </w:r>
      <w:r w:rsidR="000B4BBD">
        <w:rPr>
          <w:vertAlign w:val="subscript"/>
        </w:rPr>
        <w:t> </w:t>
      </w:r>
      <w:proofErr w:type="spellStart"/>
      <w:r w:rsidR="00ED267A" w:rsidRPr="00C81624">
        <w:rPr>
          <w:rFonts w:eastAsia="SimSun"/>
          <w:lang w:eastAsia="zh-CN"/>
        </w:rPr>
        <w:t>transcritique</w:t>
      </w:r>
      <w:proofErr w:type="spellEnd"/>
      <w:r w:rsidR="000B4BBD">
        <w:rPr>
          <w:rFonts w:eastAsia="SimSun"/>
          <w:lang w:eastAsia="zh-CN"/>
        </w:rPr>
        <w:t>/</w:t>
      </w:r>
      <w:r w:rsidR="000B4BBD" w:rsidRPr="00C81624">
        <w:rPr>
          <w:rFonts w:eastAsia="SimSun"/>
          <w:lang w:eastAsia="zh-CN"/>
        </w:rPr>
        <w:t>ammoniac</w:t>
      </w:r>
      <w:r w:rsidR="002A55A2" w:rsidRPr="00C81624">
        <w:rPr>
          <w:rFonts w:eastAsia="SimSun"/>
          <w:lang w:eastAsia="zh-CN"/>
        </w:rPr>
        <w:t xml:space="preserve"> </w:t>
      </w:r>
      <w:r w:rsidR="000B4BBD">
        <w:rPr>
          <w:rFonts w:eastAsia="SimSun"/>
          <w:lang w:eastAsia="zh-CN"/>
        </w:rPr>
        <w:t xml:space="preserve">et </w:t>
      </w:r>
      <w:r w:rsidR="002A55A2" w:rsidRPr="00C81624">
        <w:rPr>
          <w:rFonts w:eastAsia="SimSun"/>
          <w:lang w:eastAsia="zh-CN"/>
        </w:rPr>
        <w:t>ammonia</w:t>
      </w:r>
      <w:r w:rsidR="00ED267A" w:rsidRPr="00C81624">
        <w:rPr>
          <w:rFonts w:eastAsia="SimSun"/>
          <w:lang w:eastAsia="zh-CN"/>
        </w:rPr>
        <w:t>c</w:t>
      </w:r>
      <w:r w:rsidR="002A55A2" w:rsidRPr="00C81624">
        <w:rPr>
          <w:rFonts w:eastAsia="SimSun"/>
          <w:lang w:eastAsia="zh-CN"/>
        </w:rPr>
        <w:t>);</w:t>
      </w:r>
    </w:p>
    <w:p w14:paraId="3A8236DC" w14:textId="77777777" w:rsidR="002A55A2" w:rsidRPr="00C81624" w:rsidRDefault="00ED267A" w:rsidP="002A55A2">
      <w:pPr>
        <w:widowControl w:val="0"/>
        <w:numPr>
          <w:ilvl w:val="1"/>
          <w:numId w:val="1"/>
        </w:numPr>
        <w:spacing w:after="240"/>
        <w:outlineLvl w:val="1"/>
      </w:pPr>
      <w:r w:rsidRPr="00C81624">
        <w:rPr>
          <w:rFonts w:eastAsia="SimSun"/>
          <w:lang w:eastAsia="zh-CN"/>
        </w:rPr>
        <w:t xml:space="preserve">Une analyse technique et économique a été réalisée sur la possibilité pratique d’établir trois autres centres régionaux de récupération </w:t>
      </w:r>
      <w:r w:rsidR="002A55A2" w:rsidRPr="00C81624">
        <w:rPr>
          <w:rFonts w:eastAsia="SimSun"/>
          <w:lang w:eastAsia="zh-CN"/>
        </w:rPr>
        <w:t>(</w:t>
      </w:r>
      <w:r w:rsidRPr="00C81624">
        <w:rPr>
          <w:rFonts w:eastAsia="SimSun"/>
          <w:lang w:eastAsia="zh-CN"/>
        </w:rPr>
        <w:t xml:space="preserve">le premier a fait l’objet d’une étude pilote durant la </w:t>
      </w:r>
      <w:r w:rsidR="00633E5A" w:rsidRPr="00C81624">
        <w:rPr>
          <w:rFonts w:eastAsia="SimSun"/>
          <w:lang w:eastAsia="zh-CN"/>
        </w:rPr>
        <w:t>phase</w:t>
      </w:r>
      <w:r w:rsidR="002A55A2" w:rsidRPr="00C81624">
        <w:rPr>
          <w:rFonts w:eastAsia="SimSun"/>
          <w:lang w:eastAsia="zh-CN"/>
        </w:rPr>
        <w:t xml:space="preserve"> I); </w:t>
      </w:r>
      <w:r w:rsidRPr="00C81624">
        <w:rPr>
          <w:rFonts w:eastAsia="SimSun"/>
          <w:lang w:eastAsia="zh-CN"/>
        </w:rPr>
        <w:t xml:space="preserve">une fois le processus de sélection établi, des contrats seront signés avec les entreprises bénéficiaires </w:t>
      </w:r>
      <w:r w:rsidR="00520AC9" w:rsidRPr="00C81624">
        <w:rPr>
          <w:rFonts w:eastAsia="SimSun"/>
          <w:lang w:eastAsia="zh-CN"/>
        </w:rPr>
        <w:t>pour assurer leur engagement à la récupération des frigorigènes et à des comptes rendus réguliers sur les quantités de frigorigènes récupérées, recyclées et régénérées</w:t>
      </w:r>
      <w:r w:rsidR="002A55A2" w:rsidRPr="00C81624">
        <w:rPr>
          <w:rFonts w:eastAsia="SimSun"/>
          <w:lang w:eastAsia="zh-CN"/>
        </w:rPr>
        <w:t xml:space="preserve">; </w:t>
      </w:r>
      <w:r w:rsidR="00520AC9" w:rsidRPr="00C81624">
        <w:rPr>
          <w:rFonts w:eastAsia="SimSun"/>
          <w:lang w:eastAsia="zh-CN"/>
        </w:rPr>
        <w:t>et</w:t>
      </w:r>
    </w:p>
    <w:p w14:paraId="307F7169" w14:textId="77777777" w:rsidR="002A55A2" w:rsidRPr="00C81624" w:rsidRDefault="00520AC9" w:rsidP="002A55A2">
      <w:pPr>
        <w:widowControl w:val="0"/>
        <w:numPr>
          <w:ilvl w:val="1"/>
          <w:numId w:val="1"/>
        </w:numPr>
        <w:spacing w:after="240"/>
        <w:outlineLvl w:val="1"/>
        <w:rPr>
          <w:rFonts w:eastAsia="SimSun"/>
          <w:lang w:eastAsia="zh-CN"/>
        </w:rPr>
      </w:pPr>
      <w:r w:rsidRPr="00C81624">
        <w:rPr>
          <w:rFonts w:eastAsia="SimSun"/>
          <w:lang w:eastAsia="zh-CN"/>
        </w:rPr>
        <w:lastRenderedPageBreak/>
        <w:t xml:space="preserve">Une campagne de sensibilisation dans le secteur </w:t>
      </w:r>
      <w:r w:rsidR="00633E5A" w:rsidRPr="00C81624">
        <w:rPr>
          <w:rFonts w:eastAsia="SimSun"/>
          <w:lang w:eastAsia="zh-CN"/>
        </w:rPr>
        <w:t>R&amp;C</w:t>
      </w:r>
      <w:r w:rsidR="002A55A2" w:rsidRPr="00C81624">
        <w:rPr>
          <w:rFonts w:eastAsia="SimSun"/>
          <w:lang w:eastAsia="zh-CN"/>
        </w:rPr>
        <w:t xml:space="preserve"> </w:t>
      </w:r>
      <w:r w:rsidRPr="00C81624">
        <w:rPr>
          <w:rFonts w:eastAsia="SimSun"/>
          <w:lang w:eastAsia="zh-CN"/>
        </w:rPr>
        <w:t xml:space="preserve">a été lancée pour appuyer les activités de mise en œuvre du </w:t>
      </w:r>
      <w:r w:rsidR="00633E5A" w:rsidRPr="00C81624">
        <w:rPr>
          <w:rFonts w:eastAsia="SimSun"/>
          <w:lang w:eastAsia="zh-CN"/>
        </w:rPr>
        <w:t>PGEH</w:t>
      </w:r>
      <w:r w:rsidR="002A55A2" w:rsidRPr="00C81624">
        <w:rPr>
          <w:rFonts w:eastAsia="SimSun"/>
          <w:lang w:eastAsia="zh-CN"/>
        </w:rPr>
        <w:t xml:space="preserve">, </w:t>
      </w:r>
      <w:r w:rsidRPr="00C81624">
        <w:rPr>
          <w:rFonts w:eastAsia="SimSun"/>
          <w:lang w:eastAsia="zh-CN"/>
        </w:rPr>
        <w:t xml:space="preserve">incluant une courte vidéo sur les </w:t>
      </w:r>
      <w:r w:rsidR="002A55A2" w:rsidRPr="00C81624">
        <w:rPr>
          <w:rFonts w:eastAsia="SimSun"/>
          <w:lang w:eastAsia="zh-CN"/>
        </w:rPr>
        <w:t xml:space="preserve">HCFC </w:t>
      </w:r>
      <w:r w:rsidRPr="00C81624">
        <w:rPr>
          <w:rFonts w:eastAsia="SimSun"/>
          <w:lang w:eastAsia="zh-CN"/>
        </w:rPr>
        <w:t xml:space="preserve">et les </w:t>
      </w:r>
      <w:r w:rsidR="002A55A2" w:rsidRPr="00C81624">
        <w:rPr>
          <w:rFonts w:eastAsia="SimSun"/>
          <w:lang w:eastAsia="zh-CN"/>
        </w:rPr>
        <w:t xml:space="preserve">HFC </w:t>
      </w:r>
      <w:r w:rsidRPr="00C81624">
        <w:rPr>
          <w:rFonts w:eastAsia="SimSun"/>
          <w:lang w:eastAsia="zh-CN"/>
        </w:rPr>
        <w:t>en</w:t>
      </w:r>
      <w:r w:rsidR="002A55A2" w:rsidRPr="00C81624">
        <w:rPr>
          <w:rFonts w:eastAsia="SimSun"/>
          <w:lang w:eastAsia="zh-CN"/>
        </w:rPr>
        <w:t xml:space="preserve"> </w:t>
      </w:r>
      <w:r w:rsidR="00633E5A" w:rsidRPr="00C81624">
        <w:rPr>
          <w:rFonts w:eastAsia="SimSun"/>
          <w:lang w:eastAsia="zh-CN"/>
        </w:rPr>
        <w:t>R&amp;C</w:t>
      </w:r>
      <w:r w:rsidR="002A55A2" w:rsidRPr="00C81624">
        <w:rPr>
          <w:rFonts w:eastAsia="SimSun"/>
          <w:lang w:eastAsia="zh-CN"/>
        </w:rPr>
        <w:t xml:space="preserve">; </w:t>
      </w:r>
      <w:r w:rsidRPr="00C81624">
        <w:rPr>
          <w:rFonts w:eastAsia="SimSun"/>
          <w:lang w:eastAsia="zh-CN"/>
        </w:rPr>
        <w:t>pré</w:t>
      </w:r>
      <w:r w:rsidR="002A55A2" w:rsidRPr="00C81624">
        <w:rPr>
          <w:rFonts w:eastAsia="SimSun"/>
          <w:lang w:eastAsia="zh-CN"/>
        </w:rPr>
        <w:t>s</w:t>
      </w:r>
      <w:r w:rsidRPr="00C81624">
        <w:rPr>
          <w:rFonts w:eastAsia="SimSun"/>
          <w:lang w:eastAsia="zh-CN"/>
        </w:rPr>
        <w:t>entations</w:t>
      </w:r>
      <w:r w:rsidR="002A55A2" w:rsidRPr="00C81624">
        <w:rPr>
          <w:rFonts w:eastAsia="SimSun"/>
          <w:lang w:eastAsia="zh-CN"/>
        </w:rPr>
        <w:t>, s</w:t>
      </w:r>
      <w:r w:rsidRPr="00C81624">
        <w:rPr>
          <w:rFonts w:eastAsia="SimSun"/>
          <w:lang w:eastAsia="zh-CN"/>
        </w:rPr>
        <w:t>é</w:t>
      </w:r>
      <w:r w:rsidR="002A55A2" w:rsidRPr="00C81624">
        <w:rPr>
          <w:rFonts w:eastAsia="SimSun"/>
          <w:lang w:eastAsia="zh-CN"/>
        </w:rPr>
        <w:t>mina</w:t>
      </w:r>
      <w:r w:rsidRPr="00C81624">
        <w:rPr>
          <w:rFonts w:eastAsia="SimSun"/>
          <w:lang w:eastAsia="zh-CN"/>
        </w:rPr>
        <w:t>i</w:t>
      </w:r>
      <w:r w:rsidR="002A55A2" w:rsidRPr="00C81624">
        <w:rPr>
          <w:rFonts w:eastAsia="SimSun"/>
          <w:lang w:eastAsia="zh-CN"/>
        </w:rPr>
        <w:t>r</w:t>
      </w:r>
      <w:r w:rsidRPr="00C81624">
        <w:rPr>
          <w:rFonts w:eastAsia="SimSun"/>
          <w:lang w:eastAsia="zh-CN"/>
        </w:rPr>
        <w:t>e</w:t>
      </w:r>
      <w:r w:rsidR="002A55A2" w:rsidRPr="00C81624">
        <w:rPr>
          <w:rFonts w:eastAsia="SimSun"/>
          <w:lang w:eastAsia="zh-CN"/>
        </w:rPr>
        <w:t xml:space="preserve">s, </w:t>
      </w:r>
      <w:r w:rsidRPr="00C81624">
        <w:rPr>
          <w:rFonts w:eastAsia="SimSun"/>
          <w:lang w:eastAsia="zh-CN"/>
        </w:rPr>
        <w:t>atelier</w:t>
      </w:r>
      <w:r w:rsidR="002A55A2" w:rsidRPr="00C81624">
        <w:rPr>
          <w:rFonts w:eastAsia="SimSun"/>
          <w:lang w:eastAsia="zh-CN"/>
        </w:rPr>
        <w:t>s, conf</w:t>
      </w:r>
      <w:r w:rsidRPr="00C81624">
        <w:rPr>
          <w:rFonts w:eastAsia="SimSun"/>
          <w:lang w:eastAsia="zh-CN"/>
        </w:rPr>
        <w:t>é</w:t>
      </w:r>
      <w:r w:rsidR="002A55A2" w:rsidRPr="00C81624">
        <w:rPr>
          <w:rFonts w:eastAsia="SimSun"/>
          <w:lang w:eastAsia="zh-CN"/>
        </w:rPr>
        <w:t xml:space="preserve">rences </w:t>
      </w:r>
      <w:r w:rsidRPr="00C81624">
        <w:rPr>
          <w:rFonts w:eastAsia="SimSun"/>
          <w:lang w:eastAsia="zh-CN"/>
        </w:rPr>
        <w:t xml:space="preserve">et salons pour diffuser les bonnes pratiques en </w:t>
      </w:r>
      <w:r w:rsidR="00404331" w:rsidRPr="00C81624">
        <w:rPr>
          <w:rFonts w:eastAsia="SimSun"/>
          <w:lang w:eastAsia="zh-CN"/>
        </w:rPr>
        <w:t>réfrigération</w:t>
      </w:r>
      <w:r w:rsidR="002A55A2" w:rsidRPr="00C81624">
        <w:rPr>
          <w:rFonts w:eastAsia="SimSun"/>
          <w:lang w:eastAsia="zh-CN"/>
        </w:rPr>
        <w:t xml:space="preserve">, </w:t>
      </w:r>
      <w:r w:rsidRPr="00C81624">
        <w:rPr>
          <w:rFonts w:eastAsia="SimSun"/>
          <w:lang w:eastAsia="zh-CN"/>
        </w:rPr>
        <w:t xml:space="preserve">les produits de remplacement aux </w:t>
      </w:r>
      <w:r w:rsidR="002A55A2" w:rsidRPr="00C81624">
        <w:rPr>
          <w:rFonts w:eastAsia="SimSun"/>
          <w:lang w:eastAsia="zh-CN"/>
        </w:rPr>
        <w:t xml:space="preserve">HCFC, </w:t>
      </w:r>
      <w:r w:rsidRPr="00C81624">
        <w:rPr>
          <w:rFonts w:eastAsia="SimSun"/>
          <w:lang w:eastAsia="zh-CN"/>
        </w:rPr>
        <w:t>l’amélioration du rendement énergétique</w:t>
      </w:r>
      <w:r w:rsidR="002A55A2" w:rsidRPr="00C81624">
        <w:rPr>
          <w:rFonts w:eastAsia="SimSun"/>
          <w:lang w:eastAsia="zh-CN"/>
        </w:rPr>
        <w:t xml:space="preserve">, </w:t>
      </w:r>
      <w:r w:rsidRPr="00C81624">
        <w:rPr>
          <w:rFonts w:eastAsia="SimSun"/>
          <w:lang w:eastAsia="zh-CN"/>
        </w:rPr>
        <w:t xml:space="preserve">et les objectifs du </w:t>
      </w:r>
      <w:r w:rsidR="00701665" w:rsidRPr="00C81624">
        <w:rPr>
          <w:rFonts w:eastAsia="SimSun"/>
          <w:lang w:eastAsia="zh-CN"/>
        </w:rPr>
        <w:t>Protocole de Montréal</w:t>
      </w:r>
      <w:r w:rsidR="002A55A2" w:rsidRPr="00C81624">
        <w:rPr>
          <w:rFonts w:eastAsia="SimSun"/>
          <w:lang w:eastAsia="zh-CN"/>
        </w:rPr>
        <w:t xml:space="preserve"> </w:t>
      </w:r>
      <w:r w:rsidRPr="00C81624">
        <w:rPr>
          <w:rFonts w:eastAsia="SimSun"/>
          <w:lang w:eastAsia="zh-CN"/>
        </w:rPr>
        <w:t>pour les acteurs et les décideurs</w:t>
      </w:r>
      <w:r w:rsidR="002A55A2" w:rsidRPr="00C81624">
        <w:rPr>
          <w:rFonts w:eastAsia="SimSun"/>
          <w:lang w:eastAsia="zh-CN"/>
        </w:rPr>
        <w:t>; bulletins</w:t>
      </w:r>
      <w:r w:rsidRPr="00C81624">
        <w:rPr>
          <w:rFonts w:eastAsia="SimSun"/>
          <w:lang w:eastAsia="zh-CN"/>
        </w:rPr>
        <w:t xml:space="preserve"> mensuels</w:t>
      </w:r>
      <w:r w:rsidR="002A55A2" w:rsidRPr="00C81624">
        <w:rPr>
          <w:rFonts w:eastAsia="SimSun"/>
          <w:lang w:eastAsia="zh-CN"/>
        </w:rPr>
        <w:t>, a</w:t>
      </w:r>
      <w:r w:rsidRPr="00C81624">
        <w:rPr>
          <w:rFonts w:eastAsia="SimSun"/>
          <w:lang w:eastAsia="zh-CN"/>
        </w:rPr>
        <w:t>i</w:t>
      </w:r>
      <w:r w:rsidR="002A55A2" w:rsidRPr="00C81624">
        <w:rPr>
          <w:rFonts w:eastAsia="SimSun"/>
          <w:lang w:eastAsia="zh-CN"/>
        </w:rPr>
        <w:t>n</w:t>
      </w:r>
      <w:r w:rsidRPr="00C81624">
        <w:rPr>
          <w:rFonts w:eastAsia="SimSun"/>
          <w:lang w:eastAsia="zh-CN"/>
        </w:rPr>
        <w:t xml:space="preserve">si que les sites web et les </w:t>
      </w:r>
      <w:r w:rsidR="002A55A2" w:rsidRPr="00C81624">
        <w:rPr>
          <w:rFonts w:eastAsia="SimSun"/>
          <w:lang w:eastAsia="zh-CN"/>
        </w:rPr>
        <w:t xml:space="preserve">publications </w:t>
      </w:r>
      <w:r w:rsidRPr="00C81624">
        <w:rPr>
          <w:rFonts w:eastAsia="SimSun"/>
          <w:lang w:eastAsia="zh-CN"/>
        </w:rPr>
        <w:t xml:space="preserve">dans les médias sociaux sur les activités et les </w:t>
      </w:r>
      <w:r w:rsidR="002A55A2" w:rsidRPr="00C81624">
        <w:rPr>
          <w:rFonts w:eastAsia="SimSun"/>
          <w:lang w:eastAsia="zh-CN"/>
        </w:rPr>
        <w:t xml:space="preserve">technologies </w:t>
      </w:r>
      <w:r w:rsidRPr="00C81624">
        <w:rPr>
          <w:rFonts w:eastAsia="SimSun"/>
          <w:lang w:eastAsia="zh-CN"/>
        </w:rPr>
        <w:t xml:space="preserve">d’élimination des </w:t>
      </w:r>
      <w:r w:rsidR="002A55A2" w:rsidRPr="00C81624">
        <w:rPr>
          <w:rFonts w:eastAsia="SimSun"/>
          <w:lang w:eastAsia="zh-CN"/>
        </w:rPr>
        <w:t xml:space="preserve">HCFC; </w:t>
      </w:r>
      <w:r w:rsidR="00B92587" w:rsidRPr="00C81624">
        <w:rPr>
          <w:rFonts w:eastAsia="SimSun"/>
          <w:lang w:eastAsia="zh-CN"/>
        </w:rPr>
        <w:t>et une cérémonie</w:t>
      </w:r>
      <w:r w:rsidR="002A55A2" w:rsidRPr="00C81624">
        <w:rPr>
          <w:rFonts w:eastAsia="SimSun"/>
          <w:lang w:eastAsia="zh-CN"/>
        </w:rPr>
        <w:t xml:space="preserve"> </w:t>
      </w:r>
      <w:r w:rsidR="00B92587" w:rsidRPr="00C81624">
        <w:rPr>
          <w:rFonts w:eastAsia="SimSun"/>
          <w:lang w:eastAsia="zh-CN"/>
        </w:rPr>
        <w:t>pour les premières entreprises de mousses reconverties, afin de motiver les autres entreprises à se reconvertir</w:t>
      </w:r>
      <w:r w:rsidR="002A55A2" w:rsidRPr="00C81624">
        <w:rPr>
          <w:rFonts w:eastAsia="SimSun"/>
          <w:lang w:eastAsia="zh-CN"/>
        </w:rPr>
        <w:t xml:space="preserve">. </w:t>
      </w:r>
    </w:p>
    <w:p w14:paraId="242E9AAB" w14:textId="77777777" w:rsidR="002A55A2" w:rsidRPr="00C81624" w:rsidRDefault="00B92587" w:rsidP="002A55A2">
      <w:pPr>
        <w:keepNext/>
        <w:spacing w:after="240"/>
        <w:outlineLvl w:val="0"/>
      </w:pPr>
      <w:r w:rsidRPr="00C81624">
        <w:rPr>
          <w:i/>
        </w:rPr>
        <w:t xml:space="preserve">Groupe de mise en œuvre et de surveillance </w:t>
      </w:r>
      <w:r w:rsidR="002A55A2" w:rsidRPr="00C81624">
        <w:rPr>
          <w:i/>
        </w:rPr>
        <w:t>(PMU)</w:t>
      </w:r>
    </w:p>
    <w:p w14:paraId="2AF05D93" w14:textId="77777777" w:rsidR="002A55A2" w:rsidRPr="00C81624" w:rsidRDefault="00B92587" w:rsidP="006A528C">
      <w:pPr>
        <w:pStyle w:val="Heading1"/>
      </w:pPr>
      <w:r w:rsidRPr="00C81624">
        <w:t xml:space="preserve">Le soutien technique et la supervision ont été assurés par le Bureau national de l’ozone </w:t>
      </w:r>
      <w:r w:rsidR="002A55A2" w:rsidRPr="00C81624">
        <w:t>(</w:t>
      </w:r>
      <w:r w:rsidRPr="00C81624">
        <w:t>B</w:t>
      </w:r>
      <w:r w:rsidR="002A55A2" w:rsidRPr="00C81624">
        <w:t>NO).</w:t>
      </w:r>
      <w:r w:rsidR="002A55A2" w:rsidRPr="00C81624">
        <w:rPr>
          <w:i/>
        </w:rPr>
        <w:t xml:space="preserve"> </w:t>
      </w:r>
      <w:r w:rsidRPr="00C81624">
        <w:t>L</w:t>
      </w:r>
      <w:r w:rsidR="002A55A2" w:rsidRPr="00C81624">
        <w:t>e</w:t>
      </w:r>
      <w:r w:rsidRPr="00C81624">
        <w:t xml:space="preserve"> BNO a également établi des partenariats avec des parties intéressées, effectué la </w:t>
      </w:r>
      <w:r w:rsidR="002A55A2" w:rsidRPr="00C81624">
        <w:t>v</w:t>
      </w:r>
      <w:r w:rsidRPr="00C81624">
        <w:t>é</w:t>
      </w:r>
      <w:r w:rsidR="002A55A2" w:rsidRPr="00C81624">
        <w:t xml:space="preserve">rification </w:t>
      </w:r>
      <w:r w:rsidRPr="00C81624">
        <w:t xml:space="preserve">de la </w:t>
      </w:r>
      <w:r w:rsidR="00F90934" w:rsidRPr="00C81624">
        <w:t>consommation</w:t>
      </w:r>
      <w:r w:rsidRPr="00C81624">
        <w:t xml:space="preserve"> de HCFC</w:t>
      </w:r>
      <w:r w:rsidR="002A55A2" w:rsidRPr="00C81624">
        <w:t>, particip</w:t>
      </w:r>
      <w:r w:rsidRPr="00C81624">
        <w:t>é aux travaux de comités techniques</w:t>
      </w:r>
      <w:r w:rsidR="002A55A2" w:rsidRPr="00C81624">
        <w:t xml:space="preserve">, </w:t>
      </w:r>
      <w:r w:rsidRPr="00C81624">
        <w:t xml:space="preserve">exécuté et surveillé toutes les activités visées par le </w:t>
      </w:r>
      <w:r w:rsidR="00633E5A" w:rsidRPr="00C81624">
        <w:t>PGEH</w:t>
      </w:r>
      <w:r w:rsidR="002A55A2" w:rsidRPr="00C81624">
        <w:t xml:space="preserve">, </w:t>
      </w:r>
      <w:r w:rsidRPr="00C81624">
        <w:t xml:space="preserve">et publié et diffusé des </w:t>
      </w:r>
      <w:r w:rsidR="002A55A2" w:rsidRPr="00C81624">
        <w:t xml:space="preserve">bulletins </w:t>
      </w:r>
      <w:r w:rsidRPr="00C81624">
        <w:t xml:space="preserve">et autres </w:t>
      </w:r>
      <w:r w:rsidR="002A55A2" w:rsidRPr="00C81624">
        <w:t>information</w:t>
      </w:r>
      <w:r w:rsidRPr="00C81624">
        <w:t>s</w:t>
      </w:r>
      <w:r w:rsidR="002A55A2" w:rsidRPr="00C81624">
        <w:t xml:space="preserve">. </w:t>
      </w:r>
      <w:r w:rsidRPr="00C81624">
        <w:t xml:space="preserve">Sur le montant de </w:t>
      </w:r>
      <w:r w:rsidR="002A55A2" w:rsidRPr="00C81624">
        <w:t>157</w:t>
      </w:r>
      <w:r w:rsidRPr="00C81624">
        <w:t> </w:t>
      </w:r>
      <w:r w:rsidR="002A55A2" w:rsidRPr="00C81624">
        <w:t>229</w:t>
      </w:r>
      <w:r w:rsidRPr="00C81624">
        <w:t xml:space="preserve"> $US prévu dans le budget du </w:t>
      </w:r>
      <w:r w:rsidR="002A55A2" w:rsidRPr="00C81624">
        <w:t>PMU (101</w:t>
      </w:r>
      <w:r w:rsidRPr="00C81624">
        <w:t> </w:t>
      </w:r>
      <w:r w:rsidR="002A55A2" w:rsidRPr="00C81624">
        <w:t>009</w:t>
      </w:r>
      <w:r w:rsidRPr="00C81624">
        <w:t xml:space="preserve"> $US pour le </w:t>
      </w:r>
      <w:r w:rsidR="00633E5A" w:rsidRPr="00C81624">
        <w:t>PNUD</w:t>
      </w:r>
      <w:r w:rsidR="002A55A2" w:rsidRPr="00C81624">
        <w:t xml:space="preserve"> </w:t>
      </w:r>
      <w:r w:rsidRPr="00C81624">
        <w:t xml:space="preserve">et </w:t>
      </w:r>
      <w:r w:rsidR="002A55A2" w:rsidRPr="00C81624">
        <w:t>56</w:t>
      </w:r>
      <w:r w:rsidRPr="00C81624">
        <w:t> </w:t>
      </w:r>
      <w:r w:rsidR="002A55A2" w:rsidRPr="00C81624">
        <w:t>220</w:t>
      </w:r>
      <w:r w:rsidRPr="00C81624">
        <w:t> $US pour l’</w:t>
      </w:r>
      <w:r w:rsidR="00633E5A" w:rsidRPr="00C81624">
        <w:t>ONUDI</w:t>
      </w:r>
      <w:r w:rsidR="002A55A2" w:rsidRPr="00C81624">
        <w:t>), 50</w:t>
      </w:r>
      <w:r w:rsidRPr="00C81624">
        <w:t> </w:t>
      </w:r>
      <w:r w:rsidR="002A55A2" w:rsidRPr="00C81624">
        <w:t>019</w:t>
      </w:r>
      <w:r w:rsidRPr="00C81624">
        <w:t> $US ont été décaissés</w:t>
      </w:r>
      <w:r w:rsidR="002A55A2" w:rsidRPr="00C81624">
        <w:t xml:space="preserve"> (25</w:t>
      </w:r>
      <w:r w:rsidRPr="00C81624">
        <w:t> </w:t>
      </w:r>
      <w:r w:rsidR="002A55A2" w:rsidRPr="00C81624">
        <w:t>804</w:t>
      </w:r>
      <w:r w:rsidRPr="00C81624">
        <w:t> $US pour le</w:t>
      </w:r>
      <w:r w:rsidR="002A55A2" w:rsidRPr="00C81624">
        <w:t xml:space="preserve"> </w:t>
      </w:r>
      <w:r w:rsidR="00633E5A" w:rsidRPr="00C81624">
        <w:t>PNUD</w:t>
      </w:r>
      <w:r w:rsidR="002A55A2" w:rsidRPr="00C81624">
        <w:t xml:space="preserve"> </w:t>
      </w:r>
      <w:r w:rsidRPr="00C81624">
        <w:t xml:space="preserve">et </w:t>
      </w:r>
      <w:r w:rsidR="002A55A2" w:rsidRPr="00C81624">
        <w:t>24</w:t>
      </w:r>
      <w:r w:rsidRPr="00C81624">
        <w:t> </w:t>
      </w:r>
      <w:r w:rsidR="002A55A2" w:rsidRPr="00C81624">
        <w:t>215</w:t>
      </w:r>
      <w:r w:rsidRPr="00C81624">
        <w:t> $US pour l’</w:t>
      </w:r>
      <w:r w:rsidR="00633E5A" w:rsidRPr="00C81624">
        <w:t>ONUDI</w:t>
      </w:r>
      <w:r w:rsidR="002A55A2" w:rsidRPr="00C81624">
        <w:t>)</w:t>
      </w:r>
      <w:r w:rsidRPr="00C81624">
        <w:t xml:space="preserve">, dont </w:t>
      </w:r>
      <w:r w:rsidR="002A55A2" w:rsidRPr="00C81624">
        <w:t>39</w:t>
      </w:r>
      <w:r w:rsidRPr="00C81624">
        <w:t> </w:t>
      </w:r>
      <w:r w:rsidR="002A55A2" w:rsidRPr="00C81624">
        <w:t>215</w:t>
      </w:r>
      <w:r w:rsidRPr="00C81624">
        <w:t xml:space="preserve"> $US pour couvrir le personnel et les </w:t>
      </w:r>
      <w:r w:rsidR="002A55A2" w:rsidRPr="00C81624">
        <w:t xml:space="preserve">consultants </w:t>
      </w:r>
      <w:r w:rsidRPr="00C81624">
        <w:t xml:space="preserve">et </w:t>
      </w:r>
      <w:r w:rsidR="002A55A2" w:rsidRPr="00C81624">
        <w:t>10</w:t>
      </w:r>
      <w:r w:rsidRPr="00C81624">
        <w:t> </w:t>
      </w:r>
      <w:r w:rsidR="002A55A2" w:rsidRPr="00C81624">
        <w:t>804</w:t>
      </w:r>
      <w:r w:rsidRPr="00C81624">
        <w:t> $US pour les réunions de consultation et les déplacements</w:t>
      </w:r>
      <w:r w:rsidR="002A55A2" w:rsidRPr="00C81624">
        <w:t xml:space="preserve">. </w:t>
      </w:r>
      <w:r w:rsidRPr="00C81624">
        <w:t>L</w:t>
      </w:r>
      <w:r w:rsidR="002A55A2" w:rsidRPr="00C81624">
        <w:t xml:space="preserve">e </w:t>
      </w:r>
      <w:r w:rsidRPr="00C81624">
        <w:t xml:space="preserve">solde de </w:t>
      </w:r>
      <w:r w:rsidR="002A55A2" w:rsidRPr="00C81624">
        <w:t>107</w:t>
      </w:r>
      <w:r w:rsidRPr="00C81624">
        <w:t> </w:t>
      </w:r>
      <w:r w:rsidR="002A55A2" w:rsidRPr="00C81624">
        <w:t>210</w:t>
      </w:r>
      <w:r w:rsidRPr="00C81624">
        <w:t> $US</w:t>
      </w:r>
      <w:r w:rsidR="002A55A2" w:rsidRPr="00C81624">
        <w:t xml:space="preserve"> (</w:t>
      </w:r>
      <w:r w:rsidR="00633E5A" w:rsidRPr="00C81624">
        <w:t>PNUD</w:t>
      </w:r>
      <w:r w:rsidR="002A55A2" w:rsidRPr="00C81624">
        <w:t xml:space="preserve"> 75</w:t>
      </w:r>
      <w:r w:rsidR="000941EA" w:rsidRPr="00C81624">
        <w:t> </w:t>
      </w:r>
      <w:r w:rsidR="002A55A2" w:rsidRPr="00C81624">
        <w:t xml:space="preserve">205 </w:t>
      </w:r>
      <w:r w:rsidR="000941EA" w:rsidRPr="00C81624">
        <w:t xml:space="preserve">et </w:t>
      </w:r>
      <w:r w:rsidR="00633E5A" w:rsidRPr="00C81624">
        <w:t>ONUDI</w:t>
      </w:r>
      <w:r w:rsidR="002A55A2" w:rsidRPr="00C81624">
        <w:t xml:space="preserve"> 32</w:t>
      </w:r>
      <w:r w:rsidR="000941EA" w:rsidRPr="00C81624">
        <w:t> </w:t>
      </w:r>
      <w:r w:rsidR="002A55A2" w:rsidRPr="00C81624">
        <w:t>005</w:t>
      </w:r>
      <w:r w:rsidR="000941EA" w:rsidRPr="00C81624">
        <w:t> $US</w:t>
      </w:r>
      <w:r w:rsidR="002A55A2" w:rsidRPr="00C81624">
        <w:t xml:space="preserve">) </w:t>
      </w:r>
      <w:r w:rsidR="000941EA" w:rsidRPr="00C81624">
        <w:t xml:space="preserve">sera décaissé durant la mise en œuvre de la </w:t>
      </w:r>
      <w:r w:rsidR="00633E5A" w:rsidRPr="00C81624">
        <w:t>troisième</w:t>
      </w:r>
      <w:r w:rsidR="002A55A2" w:rsidRPr="00C81624">
        <w:t xml:space="preserve"> tranche. </w:t>
      </w:r>
    </w:p>
    <w:p w14:paraId="6242A6DE" w14:textId="77777777" w:rsidR="002A55A2" w:rsidRPr="00C81624" w:rsidRDefault="000941EA" w:rsidP="002A55A2">
      <w:pPr>
        <w:rPr>
          <w:u w:val="single"/>
        </w:rPr>
      </w:pPr>
      <w:r w:rsidRPr="00C81624">
        <w:rPr>
          <w:u w:val="single"/>
        </w:rPr>
        <w:t>Niveau de décaissement des fonds</w:t>
      </w:r>
    </w:p>
    <w:p w14:paraId="32088404" w14:textId="77777777" w:rsidR="002A55A2" w:rsidRPr="00C81624" w:rsidRDefault="002A55A2" w:rsidP="002A55A2"/>
    <w:p w14:paraId="0BBD607A" w14:textId="77777777" w:rsidR="002A55A2" w:rsidRPr="00C81624" w:rsidRDefault="000941EA" w:rsidP="006A528C">
      <w:pPr>
        <w:pStyle w:val="Heading1"/>
      </w:pPr>
      <w:r w:rsidRPr="00C81624">
        <w:t>En date de mars</w:t>
      </w:r>
      <w:r w:rsidR="002A55A2" w:rsidRPr="00C81624">
        <w:t xml:space="preserve"> 2020, </w:t>
      </w:r>
      <w:r w:rsidRPr="00C81624">
        <w:t xml:space="preserve">sur le montant de </w:t>
      </w:r>
      <w:r w:rsidR="002A55A2" w:rsidRPr="00C81624">
        <w:t>3</w:t>
      </w:r>
      <w:r w:rsidRPr="00C81624">
        <w:t> </w:t>
      </w:r>
      <w:r w:rsidR="002A55A2" w:rsidRPr="00C81624">
        <w:t>226</w:t>
      </w:r>
      <w:r w:rsidRPr="00C81624">
        <w:t> </w:t>
      </w:r>
      <w:r w:rsidR="002A55A2" w:rsidRPr="00C81624">
        <w:t>939</w:t>
      </w:r>
      <w:r w:rsidRPr="00C81624">
        <w:t> $US approuvé jusqu’ici</w:t>
      </w:r>
      <w:r w:rsidR="002A55A2" w:rsidRPr="00C81624">
        <w:t>, 1</w:t>
      </w:r>
      <w:r w:rsidRPr="00C81624">
        <w:t> </w:t>
      </w:r>
      <w:r w:rsidR="002A55A2" w:rsidRPr="00C81624">
        <w:t>816</w:t>
      </w:r>
      <w:r w:rsidRPr="00C81624">
        <w:t> </w:t>
      </w:r>
      <w:r w:rsidR="002A55A2" w:rsidRPr="00C81624">
        <w:t>751</w:t>
      </w:r>
      <w:r w:rsidRPr="00C81624">
        <w:t xml:space="preserve"> $US ont été décaissés </w:t>
      </w:r>
      <w:r w:rsidR="002A55A2" w:rsidRPr="00C81624">
        <w:t>(1</w:t>
      </w:r>
      <w:r w:rsidRPr="00C81624">
        <w:t> </w:t>
      </w:r>
      <w:r w:rsidR="002A55A2" w:rsidRPr="00C81624">
        <w:t>401</w:t>
      </w:r>
      <w:r w:rsidRPr="00C81624">
        <w:t> </w:t>
      </w:r>
      <w:r w:rsidR="002A55A2" w:rsidRPr="00C81624">
        <w:t>894</w:t>
      </w:r>
      <w:r w:rsidRPr="00C81624">
        <w:t> $US pour le</w:t>
      </w:r>
      <w:r w:rsidR="002A55A2" w:rsidRPr="00C81624">
        <w:t xml:space="preserve"> </w:t>
      </w:r>
      <w:r w:rsidR="00633E5A" w:rsidRPr="00C81624">
        <w:t>PNUD</w:t>
      </w:r>
      <w:r w:rsidR="002A55A2" w:rsidRPr="00C81624">
        <w:t>, 104</w:t>
      </w:r>
      <w:r w:rsidRPr="00C81624">
        <w:t> </w:t>
      </w:r>
      <w:r w:rsidR="002A55A2" w:rsidRPr="00C81624">
        <w:t>163</w:t>
      </w:r>
      <w:r w:rsidRPr="00C81624">
        <w:t> $US</w:t>
      </w:r>
      <w:r w:rsidR="002A55A2" w:rsidRPr="00C81624">
        <w:t xml:space="preserve"> </w:t>
      </w:r>
      <w:r w:rsidRPr="00C81624">
        <w:t xml:space="preserve">pour le </w:t>
      </w:r>
      <w:r w:rsidR="00633E5A" w:rsidRPr="00C81624">
        <w:t>PNUE</w:t>
      </w:r>
      <w:r w:rsidR="002A55A2" w:rsidRPr="00C81624">
        <w:t xml:space="preserve"> </w:t>
      </w:r>
      <w:r w:rsidRPr="00C81624">
        <w:t xml:space="preserve">et </w:t>
      </w:r>
      <w:r w:rsidR="002A55A2" w:rsidRPr="00C81624">
        <w:t>310</w:t>
      </w:r>
      <w:r w:rsidRPr="00C81624">
        <w:t> </w:t>
      </w:r>
      <w:r w:rsidR="002A55A2" w:rsidRPr="00C81624">
        <w:t>694</w:t>
      </w:r>
      <w:r w:rsidRPr="00C81624">
        <w:t> $US pour l’</w:t>
      </w:r>
      <w:r w:rsidR="00633E5A" w:rsidRPr="00C81624">
        <w:t>ONUDI</w:t>
      </w:r>
      <w:r w:rsidR="002A55A2" w:rsidRPr="00C81624">
        <w:t xml:space="preserve">), </w:t>
      </w:r>
      <w:r w:rsidRPr="00C81624">
        <w:t xml:space="preserve">comme l’indique le </w:t>
      </w:r>
      <w:r w:rsidR="002A55A2" w:rsidRPr="00C81624">
        <w:t>Table</w:t>
      </w:r>
      <w:r w:rsidRPr="00C81624">
        <w:t>au</w:t>
      </w:r>
      <w:r w:rsidR="002A55A2" w:rsidRPr="00C81624">
        <w:t xml:space="preserve"> 3. </w:t>
      </w:r>
      <w:r w:rsidRPr="00C81624">
        <w:t xml:space="preserve">Le solde de </w:t>
      </w:r>
      <w:r w:rsidR="002A55A2" w:rsidRPr="00C81624">
        <w:t>1</w:t>
      </w:r>
      <w:r w:rsidRPr="00C81624">
        <w:t> </w:t>
      </w:r>
      <w:r w:rsidR="002A55A2" w:rsidRPr="00C81624">
        <w:t>410</w:t>
      </w:r>
      <w:r w:rsidRPr="00C81624">
        <w:t> </w:t>
      </w:r>
      <w:r w:rsidR="002A55A2" w:rsidRPr="00C81624">
        <w:t>188</w:t>
      </w:r>
      <w:r w:rsidRPr="00C81624">
        <w:t xml:space="preserve"> $US sera décaissé en </w:t>
      </w:r>
      <w:r w:rsidR="002A55A2" w:rsidRPr="00C81624">
        <w:t>2020.</w:t>
      </w:r>
    </w:p>
    <w:p w14:paraId="7B2AE5AF" w14:textId="77777777" w:rsidR="002A55A2" w:rsidRPr="00C81624" w:rsidRDefault="002A55A2" w:rsidP="002A55A2">
      <w:pPr>
        <w:widowControl w:val="0"/>
        <w:rPr>
          <w:b/>
        </w:rPr>
      </w:pPr>
      <w:r w:rsidRPr="00C81624">
        <w:rPr>
          <w:b/>
        </w:rPr>
        <w:t>Table</w:t>
      </w:r>
      <w:r w:rsidR="000941EA" w:rsidRPr="00C81624">
        <w:rPr>
          <w:b/>
        </w:rPr>
        <w:t>au</w:t>
      </w:r>
      <w:r w:rsidRPr="00C81624">
        <w:rPr>
          <w:b/>
        </w:rPr>
        <w:t xml:space="preserve"> 3. </w:t>
      </w:r>
      <w:r w:rsidR="000941EA" w:rsidRPr="00C81624">
        <w:rPr>
          <w:b/>
        </w:rPr>
        <w:t xml:space="preserve">Rapport financier de la </w:t>
      </w:r>
      <w:r w:rsidR="00633E5A" w:rsidRPr="00C81624">
        <w:rPr>
          <w:b/>
        </w:rPr>
        <w:t>phase</w:t>
      </w:r>
      <w:r w:rsidRPr="00C81624">
        <w:rPr>
          <w:b/>
        </w:rPr>
        <w:t xml:space="preserve"> II </w:t>
      </w:r>
      <w:r w:rsidR="000941EA" w:rsidRPr="00C81624">
        <w:rPr>
          <w:b/>
        </w:rPr>
        <w:t>du</w:t>
      </w:r>
      <w:r w:rsidRPr="00C81624">
        <w:rPr>
          <w:b/>
        </w:rPr>
        <w:t xml:space="preserve"> </w:t>
      </w:r>
      <w:r w:rsidR="00633E5A" w:rsidRPr="00C81624">
        <w:rPr>
          <w:b/>
        </w:rPr>
        <w:t>PGEH</w:t>
      </w:r>
      <w:r w:rsidRPr="00C81624">
        <w:rPr>
          <w:b/>
        </w:rPr>
        <w:t xml:space="preserve"> </w:t>
      </w:r>
      <w:r w:rsidR="000941EA" w:rsidRPr="00C81624">
        <w:rPr>
          <w:b/>
        </w:rPr>
        <w:t>du</w:t>
      </w:r>
      <w:r w:rsidRPr="00C81624">
        <w:rPr>
          <w:b/>
        </w:rPr>
        <w:t xml:space="preserve"> </w:t>
      </w:r>
      <w:r w:rsidR="00633E5A" w:rsidRPr="00C81624">
        <w:rPr>
          <w:b/>
        </w:rPr>
        <w:t>Chili</w:t>
      </w:r>
      <w:r w:rsidRPr="00C81624">
        <w:rPr>
          <w:b/>
        </w:rPr>
        <w:t xml:space="preserve"> (</w:t>
      </w:r>
      <w:r w:rsidR="00701665" w:rsidRPr="00C81624">
        <w:rPr>
          <w:b/>
        </w:rPr>
        <w:t>$US</w:t>
      </w:r>
      <w:r w:rsidRPr="00C81624">
        <w:rPr>
          <w:b/>
        </w:rPr>
        <w:t>)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155"/>
        <w:gridCol w:w="1200"/>
        <w:gridCol w:w="1200"/>
        <w:gridCol w:w="1200"/>
        <w:gridCol w:w="1200"/>
        <w:gridCol w:w="1200"/>
        <w:gridCol w:w="1200"/>
      </w:tblGrid>
      <w:tr w:rsidR="002A55A2" w:rsidRPr="00C81624" w14:paraId="696E60EB" w14:textId="77777777" w:rsidTr="00633E5A">
        <w:tc>
          <w:tcPr>
            <w:tcW w:w="2155" w:type="dxa"/>
            <w:vMerge w:val="restart"/>
            <w:tcMar>
              <w:left w:w="29" w:type="dxa"/>
              <w:right w:w="0" w:type="dxa"/>
            </w:tcMar>
            <w:vAlign w:val="center"/>
          </w:tcPr>
          <w:p w14:paraId="37BA61B6" w14:textId="77777777" w:rsidR="002A55A2" w:rsidRPr="00C81624" w:rsidRDefault="002A55A2" w:rsidP="002A55A2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>Agenc</w:t>
            </w:r>
            <w:r w:rsidR="000941EA" w:rsidRPr="00C81624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400" w:type="dxa"/>
            <w:gridSpan w:val="2"/>
          </w:tcPr>
          <w:p w14:paraId="044355C4" w14:textId="77777777" w:rsidR="002A55A2" w:rsidRPr="00C81624" w:rsidRDefault="000941EA" w:rsidP="002A55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>Première</w:t>
            </w:r>
            <w:r w:rsidR="002A55A2" w:rsidRPr="00C81624">
              <w:rPr>
                <w:b/>
                <w:sz w:val="20"/>
                <w:szCs w:val="20"/>
              </w:rPr>
              <w:t xml:space="preserve"> tranche</w:t>
            </w:r>
          </w:p>
        </w:tc>
        <w:tc>
          <w:tcPr>
            <w:tcW w:w="2400" w:type="dxa"/>
            <w:gridSpan w:val="2"/>
          </w:tcPr>
          <w:p w14:paraId="263E0118" w14:textId="77777777" w:rsidR="002A55A2" w:rsidRPr="00C81624" w:rsidRDefault="000941EA" w:rsidP="002A55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>Deuxième</w:t>
            </w:r>
            <w:r w:rsidR="002A55A2" w:rsidRPr="00C81624">
              <w:rPr>
                <w:b/>
                <w:sz w:val="20"/>
                <w:szCs w:val="20"/>
              </w:rPr>
              <w:t xml:space="preserve"> tranche</w:t>
            </w:r>
          </w:p>
        </w:tc>
        <w:tc>
          <w:tcPr>
            <w:tcW w:w="2400" w:type="dxa"/>
            <w:gridSpan w:val="2"/>
          </w:tcPr>
          <w:p w14:paraId="33BCB4BC" w14:textId="77777777" w:rsidR="002A55A2" w:rsidRPr="00C81624" w:rsidRDefault="002A55A2" w:rsidP="002A55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>Total</w:t>
            </w:r>
          </w:p>
        </w:tc>
      </w:tr>
      <w:tr w:rsidR="002A55A2" w:rsidRPr="00C81624" w14:paraId="5491A34D" w14:textId="77777777" w:rsidTr="00633E5A">
        <w:tc>
          <w:tcPr>
            <w:tcW w:w="2155" w:type="dxa"/>
            <w:vMerge/>
            <w:tcMar>
              <w:left w:w="29" w:type="dxa"/>
              <w:right w:w="0" w:type="dxa"/>
            </w:tcMar>
          </w:tcPr>
          <w:p w14:paraId="4A89024B" w14:textId="77777777" w:rsidR="002A55A2" w:rsidRPr="00C81624" w:rsidRDefault="002A55A2" w:rsidP="002A55A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0529D8CF" w14:textId="77777777" w:rsidR="002A55A2" w:rsidRPr="00C81624" w:rsidRDefault="002A55A2" w:rsidP="002A55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>Appro</w:t>
            </w:r>
            <w:r w:rsidR="000941EA" w:rsidRPr="00C81624">
              <w:rPr>
                <w:b/>
                <w:sz w:val="20"/>
                <w:szCs w:val="20"/>
              </w:rPr>
              <w:t>uvé</w:t>
            </w:r>
          </w:p>
        </w:tc>
        <w:tc>
          <w:tcPr>
            <w:tcW w:w="1200" w:type="dxa"/>
          </w:tcPr>
          <w:p w14:paraId="316F1D58" w14:textId="77777777" w:rsidR="002A55A2" w:rsidRPr="00C81624" w:rsidRDefault="002A55A2" w:rsidP="002A55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>D</w:t>
            </w:r>
            <w:r w:rsidR="000941EA" w:rsidRPr="00C81624">
              <w:rPr>
                <w:b/>
                <w:sz w:val="20"/>
                <w:szCs w:val="20"/>
              </w:rPr>
              <w:t>écaissé</w:t>
            </w:r>
          </w:p>
        </w:tc>
        <w:tc>
          <w:tcPr>
            <w:tcW w:w="1200" w:type="dxa"/>
          </w:tcPr>
          <w:p w14:paraId="0EC58FE4" w14:textId="77777777" w:rsidR="002A55A2" w:rsidRPr="00C81624" w:rsidRDefault="000941EA" w:rsidP="002A55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>Approuvé</w:t>
            </w:r>
          </w:p>
        </w:tc>
        <w:tc>
          <w:tcPr>
            <w:tcW w:w="1200" w:type="dxa"/>
          </w:tcPr>
          <w:p w14:paraId="4C2DC5EA" w14:textId="77777777" w:rsidR="002A55A2" w:rsidRPr="00C81624" w:rsidRDefault="000941EA" w:rsidP="002A55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>Décaissé</w:t>
            </w:r>
          </w:p>
        </w:tc>
        <w:tc>
          <w:tcPr>
            <w:tcW w:w="1200" w:type="dxa"/>
          </w:tcPr>
          <w:p w14:paraId="130E82AB" w14:textId="77777777" w:rsidR="002A55A2" w:rsidRPr="00C81624" w:rsidRDefault="000941EA" w:rsidP="002A55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>Approuvé</w:t>
            </w:r>
          </w:p>
        </w:tc>
        <w:tc>
          <w:tcPr>
            <w:tcW w:w="1200" w:type="dxa"/>
          </w:tcPr>
          <w:p w14:paraId="2EB799BD" w14:textId="77777777" w:rsidR="002A55A2" w:rsidRPr="00C81624" w:rsidRDefault="000941EA" w:rsidP="002A55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>Décaissé</w:t>
            </w:r>
          </w:p>
        </w:tc>
      </w:tr>
      <w:tr w:rsidR="002A55A2" w:rsidRPr="00C81624" w14:paraId="15083B37" w14:textId="77777777" w:rsidTr="00633E5A">
        <w:tc>
          <w:tcPr>
            <w:tcW w:w="2155" w:type="dxa"/>
            <w:shd w:val="clear" w:color="auto" w:fill="auto"/>
            <w:tcMar>
              <w:left w:w="29" w:type="dxa"/>
              <w:right w:w="0" w:type="dxa"/>
            </w:tcMar>
          </w:tcPr>
          <w:p w14:paraId="7232B14A" w14:textId="77777777" w:rsidR="002A55A2" w:rsidRPr="00C81624" w:rsidRDefault="00633E5A" w:rsidP="002A55A2">
            <w:pPr>
              <w:widowControl w:val="0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PNUD</w:t>
            </w:r>
          </w:p>
        </w:tc>
        <w:tc>
          <w:tcPr>
            <w:tcW w:w="1200" w:type="dxa"/>
          </w:tcPr>
          <w:p w14:paraId="1DC84870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rFonts w:eastAsiaTheme="minorHAnsi"/>
                <w:sz w:val="20"/>
                <w:szCs w:val="20"/>
              </w:rPr>
              <w:t>700</w:t>
            </w:r>
            <w:r w:rsidR="000941EA" w:rsidRPr="00C81624">
              <w:rPr>
                <w:rFonts w:eastAsiaTheme="minorHAnsi"/>
                <w:sz w:val="20"/>
                <w:szCs w:val="20"/>
              </w:rPr>
              <w:t> </w:t>
            </w:r>
            <w:r w:rsidRPr="00C81624">
              <w:rPr>
                <w:rFonts w:eastAsiaTheme="minorHAnsi"/>
                <w:sz w:val="20"/>
                <w:szCs w:val="20"/>
              </w:rPr>
              <w:t>955</w:t>
            </w:r>
          </w:p>
        </w:tc>
        <w:tc>
          <w:tcPr>
            <w:tcW w:w="1200" w:type="dxa"/>
          </w:tcPr>
          <w:p w14:paraId="278FC189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700</w:t>
            </w:r>
            <w:r w:rsidR="000941EA" w:rsidRPr="00C81624">
              <w:rPr>
                <w:sz w:val="20"/>
                <w:szCs w:val="20"/>
              </w:rPr>
              <w:t> </w:t>
            </w:r>
            <w:r w:rsidRPr="00C81624">
              <w:rPr>
                <w:sz w:val="20"/>
                <w:szCs w:val="20"/>
              </w:rPr>
              <w:t>955</w:t>
            </w:r>
          </w:p>
        </w:tc>
        <w:tc>
          <w:tcPr>
            <w:tcW w:w="1200" w:type="dxa"/>
          </w:tcPr>
          <w:p w14:paraId="51007E3C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rFonts w:eastAsiaTheme="minorHAnsi"/>
                <w:sz w:val="20"/>
                <w:szCs w:val="20"/>
              </w:rPr>
              <w:t>1</w:t>
            </w:r>
            <w:r w:rsidR="000941EA" w:rsidRPr="00C81624">
              <w:rPr>
                <w:rFonts w:eastAsiaTheme="minorHAnsi"/>
                <w:sz w:val="20"/>
                <w:szCs w:val="20"/>
              </w:rPr>
              <w:t> </w:t>
            </w:r>
            <w:r w:rsidRPr="00C81624">
              <w:rPr>
                <w:rFonts w:eastAsiaTheme="minorHAnsi"/>
                <w:sz w:val="20"/>
                <w:szCs w:val="20"/>
              </w:rPr>
              <w:t>401</w:t>
            </w:r>
            <w:r w:rsidR="000941EA" w:rsidRPr="00C81624">
              <w:rPr>
                <w:rFonts w:eastAsiaTheme="minorHAnsi"/>
                <w:sz w:val="20"/>
                <w:szCs w:val="20"/>
              </w:rPr>
              <w:t> </w:t>
            </w:r>
            <w:r w:rsidRPr="00C81624">
              <w:rPr>
                <w:rFonts w:eastAsiaTheme="minorHAnsi"/>
                <w:sz w:val="20"/>
                <w:szCs w:val="20"/>
              </w:rPr>
              <w:t>911</w:t>
            </w:r>
          </w:p>
        </w:tc>
        <w:tc>
          <w:tcPr>
            <w:tcW w:w="1200" w:type="dxa"/>
          </w:tcPr>
          <w:p w14:paraId="1AF798FE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700</w:t>
            </w:r>
            <w:r w:rsidR="000941EA" w:rsidRPr="00C81624">
              <w:rPr>
                <w:sz w:val="20"/>
                <w:szCs w:val="20"/>
              </w:rPr>
              <w:t> </w:t>
            </w:r>
            <w:r w:rsidRPr="00C81624">
              <w:rPr>
                <w:sz w:val="20"/>
                <w:szCs w:val="20"/>
              </w:rPr>
              <w:t>939</w:t>
            </w:r>
          </w:p>
        </w:tc>
        <w:tc>
          <w:tcPr>
            <w:tcW w:w="1200" w:type="dxa"/>
          </w:tcPr>
          <w:p w14:paraId="27B50FE8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2</w:t>
            </w:r>
            <w:r w:rsidR="000941EA" w:rsidRPr="00C81624">
              <w:rPr>
                <w:sz w:val="20"/>
                <w:szCs w:val="20"/>
              </w:rPr>
              <w:t> </w:t>
            </w:r>
            <w:r w:rsidRPr="00C81624">
              <w:rPr>
                <w:sz w:val="20"/>
                <w:szCs w:val="20"/>
              </w:rPr>
              <w:t>102</w:t>
            </w:r>
            <w:r w:rsidR="000941EA" w:rsidRPr="00C81624">
              <w:rPr>
                <w:sz w:val="20"/>
                <w:szCs w:val="20"/>
              </w:rPr>
              <w:t> </w:t>
            </w:r>
            <w:r w:rsidRPr="00C81624">
              <w:rPr>
                <w:sz w:val="20"/>
                <w:szCs w:val="20"/>
              </w:rPr>
              <w:t>866</w:t>
            </w:r>
          </w:p>
        </w:tc>
        <w:tc>
          <w:tcPr>
            <w:tcW w:w="1200" w:type="dxa"/>
            <w:vAlign w:val="center"/>
          </w:tcPr>
          <w:p w14:paraId="683003A2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1</w:t>
            </w:r>
            <w:r w:rsidR="000941EA" w:rsidRPr="00C81624">
              <w:rPr>
                <w:sz w:val="20"/>
                <w:szCs w:val="20"/>
              </w:rPr>
              <w:t> </w:t>
            </w:r>
            <w:r w:rsidRPr="00C81624">
              <w:rPr>
                <w:sz w:val="20"/>
                <w:szCs w:val="20"/>
              </w:rPr>
              <w:t>401</w:t>
            </w:r>
            <w:r w:rsidR="000941EA" w:rsidRPr="00C81624">
              <w:rPr>
                <w:sz w:val="20"/>
                <w:szCs w:val="20"/>
              </w:rPr>
              <w:t> </w:t>
            </w:r>
            <w:r w:rsidRPr="00C81624">
              <w:rPr>
                <w:sz w:val="20"/>
                <w:szCs w:val="20"/>
              </w:rPr>
              <w:t>894</w:t>
            </w:r>
          </w:p>
        </w:tc>
      </w:tr>
      <w:tr w:rsidR="002A55A2" w:rsidRPr="00C81624" w14:paraId="6268B375" w14:textId="77777777" w:rsidTr="00633E5A">
        <w:trPr>
          <w:trHeight w:val="206"/>
        </w:trPr>
        <w:tc>
          <w:tcPr>
            <w:tcW w:w="2155" w:type="dxa"/>
            <w:shd w:val="clear" w:color="auto" w:fill="auto"/>
            <w:tcMar>
              <w:left w:w="29" w:type="dxa"/>
              <w:right w:w="0" w:type="dxa"/>
            </w:tcMar>
          </w:tcPr>
          <w:p w14:paraId="77D46CE4" w14:textId="77777777" w:rsidR="002A55A2" w:rsidRPr="00C81624" w:rsidRDefault="00633E5A" w:rsidP="002A55A2">
            <w:pPr>
              <w:widowControl w:val="0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PNUE</w:t>
            </w:r>
          </w:p>
        </w:tc>
        <w:tc>
          <w:tcPr>
            <w:tcW w:w="1200" w:type="dxa"/>
          </w:tcPr>
          <w:p w14:paraId="2B6264B6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rFonts w:eastAsiaTheme="minorHAnsi"/>
                <w:sz w:val="20"/>
                <w:szCs w:val="20"/>
              </w:rPr>
              <w:t>65</w:t>
            </w:r>
            <w:r w:rsidR="000941EA" w:rsidRPr="00C81624">
              <w:rPr>
                <w:rFonts w:eastAsiaTheme="minorHAnsi"/>
                <w:sz w:val="20"/>
                <w:szCs w:val="20"/>
              </w:rPr>
              <w:t> </w:t>
            </w:r>
            <w:r w:rsidRPr="00C81624">
              <w:rPr>
                <w:rFonts w:eastAsiaTheme="minorHAnsi"/>
                <w:sz w:val="20"/>
                <w:szCs w:val="20"/>
              </w:rPr>
              <w:t>481</w:t>
            </w:r>
          </w:p>
        </w:tc>
        <w:tc>
          <w:tcPr>
            <w:tcW w:w="1200" w:type="dxa"/>
          </w:tcPr>
          <w:p w14:paraId="78BE5396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11</w:t>
            </w:r>
            <w:r w:rsidR="000941EA" w:rsidRPr="00C81624">
              <w:rPr>
                <w:sz w:val="20"/>
                <w:szCs w:val="20"/>
              </w:rPr>
              <w:t> </w:t>
            </w:r>
            <w:r w:rsidRPr="00C81624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</w:tcPr>
          <w:p w14:paraId="3899878C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rFonts w:eastAsiaTheme="minorHAnsi"/>
                <w:sz w:val="20"/>
                <w:szCs w:val="20"/>
              </w:rPr>
              <w:t>130</w:t>
            </w:r>
            <w:r w:rsidR="000941EA" w:rsidRPr="00C81624">
              <w:rPr>
                <w:rFonts w:eastAsiaTheme="minorHAnsi"/>
                <w:sz w:val="20"/>
                <w:szCs w:val="20"/>
              </w:rPr>
              <w:t> </w:t>
            </w:r>
            <w:r w:rsidRPr="00C81624">
              <w:rPr>
                <w:rFonts w:eastAsiaTheme="minorHAnsi"/>
                <w:sz w:val="20"/>
                <w:szCs w:val="20"/>
              </w:rPr>
              <w:t>962</w:t>
            </w:r>
          </w:p>
        </w:tc>
        <w:tc>
          <w:tcPr>
            <w:tcW w:w="1200" w:type="dxa"/>
          </w:tcPr>
          <w:p w14:paraId="74F1C89E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93</w:t>
            </w:r>
            <w:r w:rsidR="000941EA" w:rsidRPr="00C81624">
              <w:rPr>
                <w:sz w:val="20"/>
                <w:szCs w:val="20"/>
              </w:rPr>
              <w:t> </w:t>
            </w:r>
            <w:r w:rsidRPr="00C81624">
              <w:rPr>
                <w:sz w:val="20"/>
                <w:szCs w:val="20"/>
              </w:rPr>
              <w:t>012</w:t>
            </w:r>
          </w:p>
        </w:tc>
        <w:tc>
          <w:tcPr>
            <w:tcW w:w="1200" w:type="dxa"/>
          </w:tcPr>
          <w:p w14:paraId="7AAA4F87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196</w:t>
            </w:r>
            <w:r w:rsidR="000941EA" w:rsidRPr="00C81624">
              <w:rPr>
                <w:sz w:val="20"/>
                <w:szCs w:val="20"/>
              </w:rPr>
              <w:t> </w:t>
            </w:r>
            <w:r w:rsidRPr="00C81624">
              <w:rPr>
                <w:sz w:val="20"/>
                <w:szCs w:val="20"/>
              </w:rPr>
              <w:t>443</w:t>
            </w:r>
          </w:p>
        </w:tc>
        <w:tc>
          <w:tcPr>
            <w:tcW w:w="1200" w:type="dxa"/>
          </w:tcPr>
          <w:p w14:paraId="72B9F13D" w14:textId="77777777" w:rsidR="002A55A2" w:rsidRPr="00C81624" w:rsidRDefault="002A55A2" w:rsidP="002A55A2">
            <w:pPr>
              <w:widowControl w:val="0"/>
              <w:jc w:val="right"/>
              <w:rPr>
                <w:rFonts w:eastAsiaTheme="minorHAnsi"/>
                <w:sz w:val="20"/>
                <w:szCs w:val="20"/>
              </w:rPr>
            </w:pPr>
            <w:r w:rsidRPr="00C81624">
              <w:rPr>
                <w:rFonts w:eastAsiaTheme="minorHAnsi"/>
                <w:sz w:val="20"/>
                <w:szCs w:val="20"/>
              </w:rPr>
              <w:t>104</w:t>
            </w:r>
            <w:r w:rsidR="000941EA" w:rsidRPr="00C81624">
              <w:rPr>
                <w:rFonts w:eastAsiaTheme="minorHAnsi"/>
                <w:sz w:val="20"/>
                <w:szCs w:val="20"/>
              </w:rPr>
              <w:t> </w:t>
            </w:r>
            <w:r w:rsidRPr="00C81624">
              <w:rPr>
                <w:rFonts w:eastAsiaTheme="minorHAnsi"/>
                <w:sz w:val="20"/>
                <w:szCs w:val="20"/>
              </w:rPr>
              <w:t>163</w:t>
            </w:r>
          </w:p>
        </w:tc>
      </w:tr>
      <w:tr w:rsidR="002A55A2" w:rsidRPr="00C81624" w14:paraId="091C56EB" w14:textId="77777777" w:rsidTr="00633E5A">
        <w:tc>
          <w:tcPr>
            <w:tcW w:w="2155" w:type="dxa"/>
            <w:shd w:val="clear" w:color="auto" w:fill="auto"/>
            <w:tcMar>
              <w:left w:w="29" w:type="dxa"/>
              <w:right w:w="0" w:type="dxa"/>
            </w:tcMar>
          </w:tcPr>
          <w:p w14:paraId="65B98AE9" w14:textId="77777777" w:rsidR="002A55A2" w:rsidRPr="00C81624" w:rsidRDefault="00633E5A" w:rsidP="002A55A2">
            <w:pPr>
              <w:widowControl w:val="0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ONUDI</w:t>
            </w:r>
          </w:p>
        </w:tc>
        <w:tc>
          <w:tcPr>
            <w:tcW w:w="1200" w:type="dxa"/>
          </w:tcPr>
          <w:p w14:paraId="1A12ECB5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rFonts w:eastAsiaTheme="minorHAnsi"/>
                <w:sz w:val="20"/>
                <w:szCs w:val="20"/>
              </w:rPr>
              <w:t>309</w:t>
            </w:r>
            <w:r w:rsidR="000941EA" w:rsidRPr="00C81624">
              <w:rPr>
                <w:rFonts w:eastAsiaTheme="minorHAnsi"/>
                <w:sz w:val="20"/>
                <w:szCs w:val="20"/>
              </w:rPr>
              <w:t> </w:t>
            </w:r>
            <w:r w:rsidRPr="00C81624">
              <w:rPr>
                <w:rFonts w:eastAsiaTheme="minorHAnsi"/>
                <w:sz w:val="20"/>
                <w:szCs w:val="20"/>
              </w:rPr>
              <w:t>210</w:t>
            </w:r>
          </w:p>
        </w:tc>
        <w:tc>
          <w:tcPr>
            <w:tcW w:w="1200" w:type="dxa"/>
          </w:tcPr>
          <w:p w14:paraId="630F89FC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309</w:t>
            </w:r>
            <w:r w:rsidR="000941EA" w:rsidRPr="00C81624">
              <w:rPr>
                <w:sz w:val="20"/>
                <w:szCs w:val="20"/>
              </w:rPr>
              <w:t> </w:t>
            </w:r>
            <w:r w:rsidRPr="00C81624">
              <w:rPr>
                <w:sz w:val="20"/>
                <w:szCs w:val="20"/>
              </w:rPr>
              <w:t>210</w:t>
            </w:r>
          </w:p>
        </w:tc>
        <w:tc>
          <w:tcPr>
            <w:tcW w:w="1200" w:type="dxa"/>
          </w:tcPr>
          <w:p w14:paraId="662D6528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rFonts w:eastAsiaTheme="minorHAnsi"/>
                <w:sz w:val="20"/>
                <w:szCs w:val="20"/>
              </w:rPr>
              <w:t>618</w:t>
            </w:r>
            <w:r w:rsidR="000941EA" w:rsidRPr="00C81624">
              <w:rPr>
                <w:rFonts w:eastAsiaTheme="minorHAnsi"/>
                <w:sz w:val="20"/>
                <w:szCs w:val="20"/>
              </w:rPr>
              <w:t> </w:t>
            </w:r>
            <w:r w:rsidRPr="00C81624">
              <w:rPr>
                <w:rFonts w:eastAsiaTheme="minorHAnsi"/>
                <w:sz w:val="20"/>
                <w:szCs w:val="20"/>
              </w:rPr>
              <w:t>420</w:t>
            </w:r>
          </w:p>
        </w:tc>
        <w:tc>
          <w:tcPr>
            <w:tcW w:w="1200" w:type="dxa"/>
          </w:tcPr>
          <w:p w14:paraId="768E9CD9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1</w:t>
            </w:r>
            <w:r w:rsidR="000941EA" w:rsidRPr="00C81624">
              <w:rPr>
                <w:sz w:val="20"/>
                <w:szCs w:val="20"/>
              </w:rPr>
              <w:t> </w:t>
            </w:r>
            <w:r w:rsidRPr="00C81624">
              <w:rPr>
                <w:sz w:val="20"/>
                <w:szCs w:val="20"/>
              </w:rPr>
              <w:t>484</w:t>
            </w:r>
          </w:p>
        </w:tc>
        <w:tc>
          <w:tcPr>
            <w:tcW w:w="1200" w:type="dxa"/>
          </w:tcPr>
          <w:p w14:paraId="5824318F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927</w:t>
            </w:r>
            <w:r w:rsidR="000941EA" w:rsidRPr="00C81624">
              <w:rPr>
                <w:sz w:val="20"/>
                <w:szCs w:val="20"/>
              </w:rPr>
              <w:t> </w:t>
            </w:r>
            <w:r w:rsidRPr="00C81624">
              <w:rPr>
                <w:sz w:val="20"/>
                <w:szCs w:val="20"/>
              </w:rPr>
              <w:t>630</w:t>
            </w:r>
          </w:p>
        </w:tc>
        <w:tc>
          <w:tcPr>
            <w:tcW w:w="1200" w:type="dxa"/>
            <w:vAlign w:val="center"/>
          </w:tcPr>
          <w:p w14:paraId="7F8E172F" w14:textId="77777777" w:rsidR="002A55A2" w:rsidRPr="00C81624" w:rsidRDefault="002A55A2" w:rsidP="002A55A2">
            <w:pPr>
              <w:widowControl w:val="0"/>
              <w:jc w:val="righ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310</w:t>
            </w:r>
            <w:r w:rsidR="000941EA" w:rsidRPr="00C81624">
              <w:rPr>
                <w:sz w:val="20"/>
                <w:szCs w:val="20"/>
              </w:rPr>
              <w:t> </w:t>
            </w:r>
            <w:r w:rsidRPr="00C81624">
              <w:rPr>
                <w:sz w:val="20"/>
                <w:szCs w:val="20"/>
              </w:rPr>
              <w:t>694</w:t>
            </w:r>
          </w:p>
        </w:tc>
      </w:tr>
      <w:tr w:rsidR="002A55A2" w:rsidRPr="00C81624" w14:paraId="5A9D545E" w14:textId="77777777" w:rsidTr="00633E5A">
        <w:tc>
          <w:tcPr>
            <w:tcW w:w="2155" w:type="dxa"/>
            <w:tcMar>
              <w:left w:w="29" w:type="dxa"/>
              <w:right w:w="0" w:type="dxa"/>
            </w:tcMar>
          </w:tcPr>
          <w:p w14:paraId="1F3F3E21" w14:textId="77777777" w:rsidR="002A55A2" w:rsidRPr="00C81624" w:rsidRDefault="002A55A2" w:rsidP="002A55A2">
            <w:pPr>
              <w:widowControl w:val="0"/>
              <w:rPr>
                <w:b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00" w:type="dxa"/>
          </w:tcPr>
          <w:p w14:paraId="583F39C6" w14:textId="77777777" w:rsidR="002A55A2" w:rsidRPr="00C81624" w:rsidRDefault="002A55A2" w:rsidP="002A55A2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>1</w:t>
            </w:r>
            <w:r w:rsidR="000941EA" w:rsidRPr="00C81624">
              <w:rPr>
                <w:b/>
                <w:sz w:val="20"/>
                <w:szCs w:val="20"/>
              </w:rPr>
              <w:t> </w:t>
            </w:r>
            <w:r w:rsidRPr="00C81624">
              <w:rPr>
                <w:b/>
                <w:sz w:val="20"/>
                <w:szCs w:val="20"/>
              </w:rPr>
              <w:t>075</w:t>
            </w:r>
            <w:r w:rsidR="000941EA" w:rsidRPr="00C81624">
              <w:rPr>
                <w:b/>
                <w:sz w:val="20"/>
                <w:szCs w:val="20"/>
              </w:rPr>
              <w:t> </w:t>
            </w:r>
            <w:r w:rsidRPr="00C81624">
              <w:rPr>
                <w:b/>
                <w:sz w:val="20"/>
                <w:szCs w:val="20"/>
              </w:rPr>
              <w:t>646</w:t>
            </w:r>
          </w:p>
        </w:tc>
        <w:tc>
          <w:tcPr>
            <w:tcW w:w="1200" w:type="dxa"/>
          </w:tcPr>
          <w:p w14:paraId="0C984D34" w14:textId="77777777" w:rsidR="002A55A2" w:rsidRPr="00C81624" w:rsidRDefault="002A55A2" w:rsidP="002A55A2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C81624">
              <w:rPr>
                <w:b/>
                <w:bCs/>
                <w:sz w:val="20"/>
                <w:szCs w:val="20"/>
              </w:rPr>
              <w:t>1</w:t>
            </w:r>
            <w:r w:rsidR="000941EA" w:rsidRPr="00C81624">
              <w:rPr>
                <w:b/>
                <w:bCs/>
                <w:sz w:val="20"/>
                <w:szCs w:val="20"/>
              </w:rPr>
              <w:t> </w:t>
            </w:r>
            <w:r w:rsidRPr="00C81624">
              <w:rPr>
                <w:b/>
                <w:bCs/>
                <w:sz w:val="20"/>
                <w:szCs w:val="20"/>
              </w:rPr>
              <w:t>021</w:t>
            </w:r>
            <w:r w:rsidR="000941EA" w:rsidRPr="00C81624">
              <w:rPr>
                <w:b/>
                <w:bCs/>
                <w:sz w:val="20"/>
                <w:szCs w:val="20"/>
              </w:rPr>
              <w:t> </w:t>
            </w:r>
            <w:r w:rsidRPr="00C81624">
              <w:rPr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1200" w:type="dxa"/>
          </w:tcPr>
          <w:p w14:paraId="49D6896C" w14:textId="77777777" w:rsidR="002A55A2" w:rsidRPr="00C81624" w:rsidRDefault="002A55A2" w:rsidP="002A55A2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C81624">
              <w:rPr>
                <w:b/>
                <w:bCs/>
                <w:sz w:val="20"/>
                <w:szCs w:val="20"/>
              </w:rPr>
              <w:t>2</w:t>
            </w:r>
            <w:r w:rsidR="000941EA" w:rsidRPr="00C81624">
              <w:rPr>
                <w:b/>
                <w:bCs/>
                <w:sz w:val="20"/>
                <w:szCs w:val="20"/>
              </w:rPr>
              <w:t> </w:t>
            </w:r>
            <w:r w:rsidRPr="00C81624">
              <w:rPr>
                <w:b/>
                <w:bCs/>
                <w:sz w:val="20"/>
                <w:szCs w:val="20"/>
              </w:rPr>
              <w:t>151</w:t>
            </w:r>
            <w:r w:rsidR="000941EA" w:rsidRPr="00C81624">
              <w:rPr>
                <w:b/>
                <w:bCs/>
                <w:sz w:val="20"/>
                <w:szCs w:val="20"/>
              </w:rPr>
              <w:t> </w:t>
            </w:r>
            <w:r w:rsidRPr="00C81624">
              <w:rPr>
                <w:b/>
                <w:bCs/>
                <w:sz w:val="20"/>
                <w:szCs w:val="20"/>
              </w:rPr>
              <w:t>293</w:t>
            </w:r>
          </w:p>
        </w:tc>
        <w:tc>
          <w:tcPr>
            <w:tcW w:w="1200" w:type="dxa"/>
          </w:tcPr>
          <w:p w14:paraId="4662E3A7" w14:textId="77777777" w:rsidR="002A55A2" w:rsidRPr="00C81624" w:rsidRDefault="002A55A2" w:rsidP="002A55A2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C81624">
              <w:rPr>
                <w:b/>
                <w:bCs/>
                <w:sz w:val="20"/>
                <w:szCs w:val="20"/>
              </w:rPr>
              <w:t>795</w:t>
            </w:r>
            <w:r w:rsidR="000941EA" w:rsidRPr="00C81624">
              <w:rPr>
                <w:b/>
                <w:bCs/>
                <w:sz w:val="20"/>
                <w:szCs w:val="20"/>
              </w:rPr>
              <w:t> </w:t>
            </w:r>
            <w:r w:rsidRPr="00C81624">
              <w:rPr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1200" w:type="dxa"/>
          </w:tcPr>
          <w:p w14:paraId="5AC45B54" w14:textId="77777777" w:rsidR="002A55A2" w:rsidRPr="00C81624" w:rsidRDefault="002A55A2" w:rsidP="002A55A2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C81624">
              <w:rPr>
                <w:b/>
                <w:bCs/>
                <w:sz w:val="20"/>
                <w:szCs w:val="20"/>
              </w:rPr>
              <w:t>3</w:t>
            </w:r>
            <w:r w:rsidR="000941EA" w:rsidRPr="00C81624">
              <w:rPr>
                <w:b/>
                <w:bCs/>
                <w:sz w:val="20"/>
                <w:szCs w:val="20"/>
              </w:rPr>
              <w:t> </w:t>
            </w:r>
            <w:r w:rsidRPr="00C81624">
              <w:rPr>
                <w:b/>
                <w:bCs/>
                <w:sz w:val="20"/>
                <w:szCs w:val="20"/>
              </w:rPr>
              <w:t>226</w:t>
            </w:r>
            <w:r w:rsidR="000941EA" w:rsidRPr="00C81624">
              <w:rPr>
                <w:b/>
                <w:bCs/>
                <w:sz w:val="20"/>
                <w:szCs w:val="20"/>
              </w:rPr>
              <w:t> </w:t>
            </w:r>
            <w:r w:rsidRPr="00C81624">
              <w:rPr>
                <w:b/>
                <w:bCs/>
                <w:sz w:val="20"/>
                <w:szCs w:val="20"/>
              </w:rPr>
              <w:t>939</w:t>
            </w:r>
          </w:p>
        </w:tc>
        <w:tc>
          <w:tcPr>
            <w:tcW w:w="1200" w:type="dxa"/>
            <w:vAlign w:val="bottom"/>
          </w:tcPr>
          <w:p w14:paraId="39F0814E" w14:textId="77777777" w:rsidR="002A55A2" w:rsidRPr="00C81624" w:rsidRDefault="002A55A2" w:rsidP="002A55A2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C81624">
              <w:rPr>
                <w:b/>
                <w:bCs/>
                <w:sz w:val="20"/>
                <w:szCs w:val="20"/>
              </w:rPr>
              <w:t>1</w:t>
            </w:r>
            <w:r w:rsidR="000941EA" w:rsidRPr="00C81624">
              <w:rPr>
                <w:b/>
                <w:bCs/>
                <w:sz w:val="20"/>
                <w:szCs w:val="20"/>
              </w:rPr>
              <w:t> </w:t>
            </w:r>
            <w:r w:rsidRPr="00C81624">
              <w:rPr>
                <w:b/>
                <w:bCs/>
                <w:sz w:val="20"/>
                <w:szCs w:val="20"/>
              </w:rPr>
              <w:t>816</w:t>
            </w:r>
            <w:r w:rsidR="000941EA" w:rsidRPr="00C81624">
              <w:rPr>
                <w:b/>
                <w:bCs/>
                <w:sz w:val="20"/>
                <w:szCs w:val="20"/>
              </w:rPr>
              <w:t> </w:t>
            </w:r>
            <w:r w:rsidRPr="00C81624">
              <w:rPr>
                <w:b/>
                <w:bCs/>
                <w:sz w:val="20"/>
                <w:szCs w:val="20"/>
              </w:rPr>
              <w:t>751</w:t>
            </w:r>
          </w:p>
        </w:tc>
      </w:tr>
      <w:tr w:rsidR="002A55A2" w:rsidRPr="00C81624" w14:paraId="6A2ECC17" w14:textId="77777777" w:rsidTr="00633E5A">
        <w:tc>
          <w:tcPr>
            <w:tcW w:w="2155" w:type="dxa"/>
            <w:tcMar>
              <w:left w:w="29" w:type="dxa"/>
              <w:right w:w="0" w:type="dxa"/>
            </w:tcMar>
          </w:tcPr>
          <w:p w14:paraId="60BA7B7B" w14:textId="77777777" w:rsidR="002A55A2" w:rsidRPr="00C81624" w:rsidRDefault="000941EA" w:rsidP="002A55A2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C81624">
              <w:rPr>
                <w:b/>
                <w:sz w:val="20"/>
                <w:szCs w:val="20"/>
              </w:rPr>
              <w:t>Taux de décaissement</w:t>
            </w:r>
            <w:r w:rsidR="002A55A2" w:rsidRPr="00C81624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400" w:type="dxa"/>
            <w:gridSpan w:val="2"/>
          </w:tcPr>
          <w:p w14:paraId="6D1FF5A6" w14:textId="77777777" w:rsidR="002A55A2" w:rsidRPr="00C81624" w:rsidRDefault="002A55A2" w:rsidP="002A55A2">
            <w:pPr>
              <w:widowControl w:val="0"/>
              <w:jc w:val="center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95</w:t>
            </w:r>
          </w:p>
        </w:tc>
        <w:tc>
          <w:tcPr>
            <w:tcW w:w="2400" w:type="dxa"/>
            <w:gridSpan w:val="2"/>
          </w:tcPr>
          <w:p w14:paraId="7E1FC495" w14:textId="77777777" w:rsidR="002A55A2" w:rsidRPr="00C81624" w:rsidRDefault="002A55A2" w:rsidP="002A55A2">
            <w:pPr>
              <w:widowControl w:val="0"/>
              <w:jc w:val="center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37</w:t>
            </w:r>
          </w:p>
        </w:tc>
        <w:tc>
          <w:tcPr>
            <w:tcW w:w="2400" w:type="dxa"/>
            <w:gridSpan w:val="2"/>
          </w:tcPr>
          <w:p w14:paraId="23C57BE5" w14:textId="77777777" w:rsidR="002A55A2" w:rsidRPr="00C81624" w:rsidRDefault="002A55A2" w:rsidP="002A55A2">
            <w:pPr>
              <w:widowControl w:val="0"/>
              <w:jc w:val="center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56</w:t>
            </w:r>
          </w:p>
        </w:tc>
      </w:tr>
    </w:tbl>
    <w:p w14:paraId="20588EA3" w14:textId="77777777" w:rsidR="002A55A2" w:rsidRPr="00C81624" w:rsidRDefault="002A55A2" w:rsidP="002A55A2"/>
    <w:p w14:paraId="0064B57F" w14:textId="77777777" w:rsidR="002A55A2" w:rsidRPr="00C81624" w:rsidRDefault="000941EA" w:rsidP="002A55A2">
      <w:pPr>
        <w:rPr>
          <w:u w:val="single"/>
        </w:rPr>
      </w:pPr>
      <w:r w:rsidRPr="00C81624">
        <w:rPr>
          <w:u w:val="single"/>
        </w:rPr>
        <w:t xml:space="preserve">Plan de </w:t>
      </w:r>
      <w:r w:rsidR="002A55A2" w:rsidRPr="00C81624">
        <w:rPr>
          <w:u w:val="single"/>
        </w:rPr>
        <w:t>m</w:t>
      </w:r>
      <w:r w:rsidRPr="00C81624">
        <w:rPr>
          <w:u w:val="single"/>
        </w:rPr>
        <w:t xml:space="preserve">ise en œuvre de la </w:t>
      </w:r>
      <w:r w:rsidR="00633E5A" w:rsidRPr="00C81624">
        <w:rPr>
          <w:u w:val="single"/>
        </w:rPr>
        <w:t>troisième</w:t>
      </w:r>
      <w:r w:rsidR="002A55A2" w:rsidRPr="00C81624">
        <w:rPr>
          <w:u w:val="single"/>
        </w:rPr>
        <w:t xml:space="preserve"> </w:t>
      </w:r>
      <w:r w:rsidRPr="00C81624">
        <w:rPr>
          <w:u w:val="single"/>
        </w:rPr>
        <w:t>et dernière</w:t>
      </w:r>
      <w:r w:rsidR="002A55A2" w:rsidRPr="00C81624">
        <w:rPr>
          <w:u w:val="single"/>
        </w:rPr>
        <w:t xml:space="preserve"> tranche </w:t>
      </w:r>
      <w:r w:rsidRPr="00C81624">
        <w:rPr>
          <w:u w:val="single"/>
        </w:rPr>
        <w:t>du</w:t>
      </w:r>
      <w:r w:rsidR="002A55A2" w:rsidRPr="00C81624">
        <w:rPr>
          <w:u w:val="single"/>
        </w:rPr>
        <w:t xml:space="preserve"> </w:t>
      </w:r>
      <w:r w:rsidR="00633E5A" w:rsidRPr="00C81624">
        <w:rPr>
          <w:u w:val="single"/>
        </w:rPr>
        <w:t>PGEH</w:t>
      </w:r>
    </w:p>
    <w:p w14:paraId="3293780B" w14:textId="77777777" w:rsidR="002A55A2" w:rsidRPr="00C81624" w:rsidRDefault="002A55A2" w:rsidP="002A55A2"/>
    <w:p w14:paraId="5E710C99" w14:textId="77777777" w:rsidR="002A55A2" w:rsidRPr="00C81624" w:rsidRDefault="000941EA" w:rsidP="006A528C">
      <w:pPr>
        <w:pStyle w:val="Heading1"/>
      </w:pPr>
      <w:r w:rsidRPr="00C81624">
        <w:t>Les activités ci-après seront exécutées d’ici à dé</w:t>
      </w:r>
      <w:r w:rsidR="002A55A2" w:rsidRPr="00C81624">
        <w:t>cemb</w:t>
      </w:r>
      <w:r w:rsidRPr="00C81624">
        <w:t>r</w:t>
      </w:r>
      <w:r w:rsidR="002A55A2" w:rsidRPr="00C81624">
        <w:t>e 2021:</w:t>
      </w:r>
    </w:p>
    <w:p w14:paraId="31FD2033" w14:textId="77777777" w:rsidR="002A55A2" w:rsidRPr="00C81624" w:rsidRDefault="000941EA" w:rsidP="002A55A2">
      <w:pPr>
        <w:widowControl w:val="0"/>
        <w:numPr>
          <w:ilvl w:val="1"/>
          <w:numId w:val="1"/>
        </w:numPr>
        <w:spacing w:after="240"/>
        <w:outlineLvl w:val="1"/>
      </w:pPr>
      <w:r w:rsidRPr="00C81624">
        <w:t xml:space="preserve">Quatre sessions de formation pour </w:t>
      </w:r>
      <w:r w:rsidR="002A55A2" w:rsidRPr="00C81624">
        <w:rPr>
          <w:rFonts w:eastAsia="SimSun"/>
          <w:lang w:eastAsia="zh-CN"/>
        </w:rPr>
        <w:t xml:space="preserve">40 </w:t>
      </w:r>
      <w:r w:rsidRPr="00C81624">
        <w:rPr>
          <w:rFonts w:eastAsia="SimSun"/>
          <w:lang w:eastAsia="zh-CN"/>
        </w:rPr>
        <w:t>agents de douane afin de continuer à renforcer les capacités des Services nationaux des douanes d’identifier les SAO illégales</w:t>
      </w:r>
      <w:r w:rsidR="002A55A2" w:rsidRPr="00C81624">
        <w:rPr>
          <w:rFonts w:eastAsia="SimSun"/>
          <w:lang w:eastAsia="zh-CN"/>
        </w:rPr>
        <w:t xml:space="preserve">; </w:t>
      </w:r>
      <w:r w:rsidRPr="00C81624">
        <w:rPr>
          <w:rFonts w:eastAsia="SimSun"/>
          <w:lang w:eastAsia="zh-CN"/>
        </w:rPr>
        <w:t xml:space="preserve">et de surveiller l’application de l’interdiction du </w:t>
      </w:r>
      <w:r w:rsidR="002A55A2" w:rsidRPr="00C81624">
        <w:rPr>
          <w:rFonts w:eastAsia="SimSun"/>
          <w:lang w:eastAsia="zh-CN"/>
        </w:rPr>
        <w:t xml:space="preserve">HCFC-141b </w:t>
      </w:r>
      <w:r w:rsidRPr="00C81624">
        <w:rPr>
          <w:rFonts w:eastAsia="SimSun"/>
          <w:lang w:eastAsia="zh-CN"/>
        </w:rPr>
        <w:t>e</w:t>
      </w:r>
      <w:r w:rsidR="002A55A2" w:rsidRPr="00C81624">
        <w:rPr>
          <w:rFonts w:eastAsia="SimSun"/>
          <w:lang w:eastAsia="zh-CN"/>
        </w:rPr>
        <w:t xml:space="preserve">n </w:t>
      </w:r>
      <w:r w:rsidRPr="00C81624">
        <w:rPr>
          <w:rFonts w:eastAsia="SimSun"/>
          <w:lang w:eastAsia="zh-CN"/>
        </w:rPr>
        <w:t xml:space="preserve">vrac et dans les polyols </w:t>
      </w:r>
      <w:proofErr w:type="spellStart"/>
      <w:r w:rsidRPr="00C81624">
        <w:rPr>
          <w:rFonts w:eastAsia="SimSun"/>
          <w:lang w:eastAsia="zh-CN"/>
        </w:rPr>
        <w:t>prémélangés</w:t>
      </w:r>
      <w:proofErr w:type="spellEnd"/>
      <w:r w:rsidRPr="00C81624">
        <w:rPr>
          <w:rFonts w:eastAsia="SimSun"/>
          <w:lang w:eastAsia="zh-CN"/>
        </w:rPr>
        <w:t xml:space="preserve"> importés</w:t>
      </w:r>
      <w:r w:rsidR="002A55A2" w:rsidRPr="00C81624">
        <w:rPr>
          <w:rFonts w:eastAsia="SimSun"/>
          <w:lang w:eastAsia="zh-CN"/>
        </w:rPr>
        <w:t xml:space="preserve"> (</w:t>
      </w:r>
      <w:r w:rsidR="00633E5A" w:rsidRPr="00C81624">
        <w:t>PNUE</w:t>
      </w:r>
      <w:r w:rsidR="002A55A2" w:rsidRPr="00C81624">
        <w:t>) (13</w:t>
      </w:r>
      <w:r w:rsidR="00A06532" w:rsidRPr="00C81624">
        <w:t> </w:t>
      </w:r>
      <w:r w:rsidRPr="00C81624">
        <w:t>1</w:t>
      </w:r>
      <w:r w:rsidR="002A55A2" w:rsidRPr="00C81624">
        <w:t>00</w:t>
      </w:r>
      <w:r w:rsidRPr="00C81624">
        <w:t> $US</w:t>
      </w:r>
      <w:r w:rsidR="002A55A2" w:rsidRPr="00C81624">
        <w:t xml:space="preserve">); </w:t>
      </w:r>
    </w:p>
    <w:p w14:paraId="56C91D77" w14:textId="77777777" w:rsidR="002A55A2" w:rsidRPr="00C81624" w:rsidRDefault="00A06532" w:rsidP="002A55A2">
      <w:pPr>
        <w:widowControl w:val="0"/>
        <w:numPr>
          <w:ilvl w:val="1"/>
          <w:numId w:val="1"/>
        </w:numPr>
        <w:spacing w:after="240"/>
        <w:outlineLvl w:val="1"/>
      </w:pPr>
      <w:r w:rsidRPr="00C81624">
        <w:t>Achever la rec</w:t>
      </w:r>
      <w:r w:rsidR="002A55A2" w:rsidRPr="00C81624">
        <w:t xml:space="preserve">onversion </w:t>
      </w:r>
      <w:r w:rsidRPr="00C81624">
        <w:t xml:space="preserve">des </w:t>
      </w:r>
      <w:r w:rsidR="0092432F" w:rsidRPr="00C81624">
        <w:t>entreprise</w:t>
      </w:r>
      <w:r w:rsidR="002A55A2" w:rsidRPr="00C81624">
        <w:t xml:space="preserve">s </w:t>
      </w:r>
      <w:r w:rsidRPr="00C81624">
        <w:t xml:space="preserve">incluses dans le plan pour le secteur des mousses </w:t>
      </w:r>
      <w:r w:rsidR="002A55A2" w:rsidRPr="00C81624">
        <w:t>(</w:t>
      </w:r>
      <w:r w:rsidR="00633E5A" w:rsidRPr="00C81624">
        <w:t>PNUD</w:t>
      </w:r>
      <w:r w:rsidR="002A55A2" w:rsidRPr="00C81624">
        <w:t>) (37</w:t>
      </w:r>
      <w:r w:rsidRPr="00C81624">
        <w:t> </w:t>
      </w:r>
      <w:r w:rsidR="002A55A2" w:rsidRPr="00C81624">
        <w:t>351</w:t>
      </w:r>
      <w:r w:rsidRPr="00C81624">
        <w:t> $US</w:t>
      </w:r>
      <w:r w:rsidR="002A55A2" w:rsidRPr="00C81624">
        <w:t xml:space="preserve">); </w:t>
      </w:r>
    </w:p>
    <w:p w14:paraId="7C7C4F5E" w14:textId="77777777" w:rsidR="002A55A2" w:rsidRPr="00C81624" w:rsidRDefault="00A06532" w:rsidP="002A55A2">
      <w:pPr>
        <w:widowControl w:val="0"/>
        <w:numPr>
          <w:ilvl w:val="1"/>
          <w:numId w:val="1"/>
        </w:numPr>
        <w:spacing w:after="240"/>
        <w:outlineLvl w:val="1"/>
      </w:pPr>
      <w:r w:rsidRPr="00C81624">
        <w:t xml:space="preserve">Un cours de formation=des-formateurs sur les bonnes pratiques en </w:t>
      </w:r>
      <w:r w:rsidR="00404331" w:rsidRPr="00C81624">
        <w:t>réfrigération</w:t>
      </w:r>
      <w:r w:rsidR="002A55A2" w:rsidRPr="00C81624">
        <w:t xml:space="preserve"> </w:t>
      </w:r>
      <w:r w:rsidRPr="00C81624">
        <w:t xml:space="preserve">et les produits de remplacement des </w:t>
      </w:r>
      <w:r w:rsidR="002A55A2" w:rsidRPr="00C81624">
        <w:t>HCFC; t</w:t>
      </w:r>
      <w:r w:rsidRPr="00C81624">
        <w:t xml:space="preserve">rois cours de formation sur les bonnes pratiques d’entretien en </w:t>
      </w:r>
      <w:r w:rsidR="00404331" w:rsidRPr="00C81624">
        <w:t>réfrigération</w:t>
      </w:r>
      <w:r w:rsidR="002A55A2" w:rsidRPr="00C81624">
        <w:t xml:space="preserve"> </w:t>
      </w:r>
      <w:r w:rsidRPr="00C81624">
        <w:t>pour</w:t>
      </w:r>
      <w:r w:rsidR="002A55A2" w:rsidRPr="00C81624">
        <w:t xml:space="preserve"> 60 technici</w:t>
      </w:r>
      <w:r w:rsidRPr="00C81624">
        <w:t>e</w:t>
      </w:r>
      <w:r w:rsidR="002A55A2" w:rsidRPr="00C81624">
        <w:t xml:space="preserve">ns; </w:t>
      </w:r>
      <w:r w:rsidRPr="00C81624">
        <w:t xml:space="preserve">deux cours de formation, respectivement sur la manutention des frigorigènes de remplacement et sur la prévention des fuites pour </w:t>
      </w:r>
      <w:r w:rsidR="002A55A2" w:rsidRPr="00C81624">
        <w:lastRenderedPageBreak/>
        <w:t>40</w:t>
      </w:r>
      <w:r w:rsidR="00AE297D">
        <w:t> </w:t>
      </w:r>
      <w:r w:rsidR="002A55A2" w:rsidRPr="00C81624">
        <w:t>technici</w:t>
      </w:r>
      <w:r w:rsidRPr="00C81624">
        <w:t>e</w:t>
      </w:r>
      <w:r w:rsidR="002A55A2" w:rsidRPr="00C81624">
        <w:t xml:space="preserve">ns; </w:t>
      </w:r>
      <w:r w:rsidRPr="00C81624">
        <w:t>et révision du manuel sur les bonnes pratiques et préparation d’un manuel sur la gestion des frigorigènes inflammables</w:t>
      </w:r>
      <w:r w:rsidR="002A55A2" w:rsidRPr="00C81624">
        <w:t xml:space="preserve">; </w:t>
      </w:r>
      <w:r w:rsidRPr="00C81624">
        <w:t>établissement de deux centres régionaux de récupération, de recyclage et de régénération avec les équipements et outils appropriés</w:t>
      </w:r>
      <w:r w:rsidR="002A55A2" w:rsidRPr="00C81624">
        <w:t xml:space="preserve"> (</w:t>
      </w:r>
      <w:r w:rsidRPr="00C81624">
        <w:t>par exemple, machines de récupération,</w:t>
      </w:r>
      <w:r w:rsidR="002A55A2" w:rsidRPr="00C81624">
        <w:t xml:space="preserve"> </w:t>
      </w:r>
      <w:r w:rsidRPr="00C81624">
        <w:t>citernes d’entreposage</w:t>
      </w:r>
      <w:r w:rsidR="002A55A2" w:rsidRPr="00C81624">
        <w:t xml:space="preserve">, </w:t>
      </w:r>
      <w:r w:rsidRPr="00C81624">
        <w:t>pompes à vide</w:t>
      </w:r>
      <w:r w:rsidR="002A55A2" w:rsidRPr="00C81624">
        <w:t xml:space="preserve">, </w:t>
      </w:r>
      <w:r w:rsidRPr="00C81624">
        <w:t>détecteurs de fuites</w:t>
      </w:r>
      <w:r w:rsidR="002A55A2" w:rsidRPr="00C81624">
        <w:t xml:space="preserve">, </w:t>
      </w:r>
      <w:r w:rsidRPr="00C81624">
        <w:t>stations de chargement de frigorigène</w:t>
      </w:r>
      <w:r w:rsidR="002A55A2" w:rsidRPr="00C81624">
        <w:t xml:space="preserve">); </w:t>
      </w:r>
      <w:r w:rsidRPr="00C81624">
        <w:t>activités de sensibilisation</w:t>
      </w:r>
      <w:r w:rsidR="002A55A2" w:rsidRPr="00C81624">
        <w:t xml:space="preserve">; </w:t>
      </w:r>
      <w:r w:rsidRPr="00C81624">
        <w:t xml:space="preserve">et deux ateliers de formation pour apporter une assistance technique aux assembleurs et aux </w:t>
      </w:r>
      <w:r w:rsidR="00C81624" w:rsidRPr="00C81624">
        <w:t>opér</w:t>
      </w:r>
      <w:r w:rsidRPr="00C81624">
        <w:t xml:space="preserve">ateurs </w:t>
      </w:r>
      <w:r w:rsidR="00C81624" w:rsidRPr="00C81624">
        <w:t xml:space="preserve">de chambres frigorifiques et aux secteurs de la climatisation pour </w:t>
      </w:r>
      <w:r w:rsidR="002A55A2" w:rsidRPr="00C81624">
        <w:t>40 participants (</w:t>
      </w:r>
      <w:r w:rsidR="00633E5A" w:rsidRPr="00C81624">
        <w:t>ONUDI</w:t>
      </w:r>
      <w:r w:rsidR="002A55A2" w:rsidRPr="00C81624">
        <w:t>) (93</w:t>
      </w:r>
      <w:r w:rsidR="00C81624" w:rsidRPr="00C81624">
        <w:t> </w:t>
      </w:r>
      <w:r w:rsidR="002A55A2" w:rsidRPr="00C81624">
        <w:t>700</w:t>
      </w:r>
      <w:r w:rsidR="00C81624" w:rsidRPr="00C81624">
        <w:t> $US</w:t>
      </w:r>
      <w:r w:rsidR="002A55A2" w:rsidRPr="00C81624">
        <w:t>);</w:t>
      </w:r>
    </w:p>
    <w:p w14:paraId="47FDD3FE" w14:textId="77777777" w:rsidR="002A55A2" w:rsidRPr="00C81624" w:rsidRDefault="00C81624" w:rsidP="002A55A2">
      <w:pPr>
        <w:keepLines/>
        <w:numPr>
          <w:ilvl w:val="1"/>
          <w:numId w:val="1"/>
        </w:numPr>
        <w:spacing w:after="240"/>
        <w:outlineLvl w:val="1"/>
      </w:pPr>
      <w:r w:rsidRPr="00C81624">
        <w:t>Programmes de sensibilisation et de vulgarisation destines aux grands utilisateurs et aux techniciens de réfrigération, afin de promouvoir l’i</w:t>
      </w:r>
      <w:r w:rsidR="002A55A2" w:rsidRPr="00C81624">
        <w:t xml:space="preserve">ntroduction </w:t>
      </w:r>
      <w:r w:rsidRPr="00C81624">
        <w:t xml:space="preserve">d’équipements </w:t>
      </w:r>
      <w:r w:rsidR="00633E5A" w:rsidRPr="00C81624">
        <w:t>R&amp;C</w:t>
      </w:r>
      <w:r w:rsidR="002A55A2" w:rsidRPr="00C81624">
        <w:t xml:space="preserve"> </w:t>
      </w:r>
      <w:r w:rsidRPr="00C81624">
        <w:t>à base de frigorigènes à faible PRP</w:t>
      </w:r>
      <w:r w:rsidR="002A55A2" w:rsidRPr="00C81624">
        <w:t xml:space="preserve">, </w:t>
      </w:r>
      <w:r w:rsidRPr="00C81624">
        <w:t xml:space="preserve">et un atelier pour informer des stagiaires de diverses universités des questions liées au </w:t>
      </w:r>
      <w:r w:rsidR="00701665" w:rsidRPr="00C81624">
        <w:t>Protocole de Montréal</w:t>
      </w:r>
      <w:r w:rsidR="002A55A2" w:rsidRPr="00C81624">
        <w:t xml:space="preserve"> </w:t>
      </w:r>
      <w:r w:rsidRPr="00C81624">
        <w:t>et à la protection de la couche d’ozone</w:t>
      </w:r>
      <w:r w:rsidR="002A55A2" w:rsidRPr="00C81624">
        <w:t xml:space="preserve">, </w:t>
      </w:r>
      <w:r w:rsidRPr="00C81624">
        <w:t>et autres activités de sensibilisation</w:t>
      </w:r>
      <w:r w:rsidR="002A55A2" w:rsidRPr="00C81624">
        <w:t xml:space="preserve"> (</w:t>
      </w:r>
      <w:r w:rsidR="00633E5A" w:rsidRPr="00C81624">
        <w:t>PNUE</w:t>
      </w:r>
      <w:r w:rsidR="002A55A2" w:rsidRPr="00C81624">
        <w:t>) (8</w:t>
      </w:r>
      <w:r w:rsidRPr="00C81624">
        <w:t> </w:t>
      </w:r>
      <w:r w:rsidR="002A55A2" w:rsidRPr="00C81624">
        <w:t>727</w:t>
      </w:r>
      <w:r w:rsidRPr="00C81624">
        <w:t> $US</w:t>
      </w:r>
      <w:r w:rsidR="002A55A2" w:rsidRPr="00C81624">
        <w:t xml:space="preserve">); </w:t>
      </w:r>
      <w:r w:rsidRPr="00C81624">
        <w:t>et</w:t>
      </w:r>
    </w:p>
    <w:p w14:paraId="6FBA8113" w14:textId="77777777" w:rsidR="002A55A2" w:rsidRPr="00C81624" w:rsidRDefault="002A55A2" w:rsidP="002A55A2">
      <w:pPr>
        <w:keepNext/>
        <w:numPr>
          <w:ilvl w:val="1"/>
          <w:numId w:val="1"/>
        </w:numPr>
        <w:spacing w:after="240"/>
        <w:outlineLvl w:val="1"/>
      </w:pPr>
      <w:r w:rsidRPr="00C81624">
        <w:t xml:space="preserve">PMU </w:t>
      </w:r>
      <w:r w:rsidR="00C81624" w:rsidRPr="00C81624">
        <w:t>pour surveiller la mise en œuvre du</w:t>
      </w:r>
      <w:r w:rsidRPr="00C81624">
        <w:t xml:space="preserve"> </w:t>
      </w:r>
      <w:r w:rsidR="00633E5A" w:rsidRPr="00C81624">
        <w:t>PGEH</w:t>
      </w:r>
      <w:r w:rsidR="00C81624" w:rsidRPr="00C81624">
        <w:t xml:space="preserve">, incluant le recrutement de </w:t>
      </w:r>
      <w:r w:rsidRPr="00C81624">
        <w:t>consultants/experts, pr</w:t>
      </w:r>
      <w:r w:rsidR="00C81624" w:rsidRPr="00C81624">
        <w:t>é</w:t>
      </w:r>
      <w:r w:rsidRPr="00C81624">
        <w:t xml:space="preserve">paration </w:t>
      </w:r>
      <w:r w:rsidR="00C81624" w:rsidRPr="00C81624">
        <w:t>de la vé</w:t>
      </w:r>
      <w:r w:rsidRPr="00C81624">
        <w:t xml:space="preserve">rification </w:t>
      </w:r>
      <w:r w:rsidR="00C81624" w:rsidRPr="00C81624">
        <w:t xml:space="preserve">de la </w:t>
      </w:r>
      <w:r w:rsidR="00F90934" w:rsidRPr="00C81624">
        <w:t>consommation</w:t>
      </w:r>
      <w:r w:rsidR="00C81624" w:rsidRPr="00C81624">
        <w:t xml:space="preserve"> de HCFC</w:t>
      </w:r>
      <w:r w:rsidRPr="00C81624">
        <w:t xml:space="preserve"> (</w:t>
      </w:r>
      <w:r w:rsidR="00633E5A" w:rsidRPr="00C81624">
        <w:t>PNUD</w:t>
      </w:r>
      <w:r w:rsidRPr="00C81624">
        <w:t>) (4</w:t>
      </w:r>
      <w:r w:rsidR="00C81624" w:rsidRPr="00C81624">
        <w:t> </w:t>
      </w:r>
      <w:r w:rsidRPr="00C81624">
        <w:t>830</w:t>
      </w:r>
      <w:r w:rsidR="00C81624" w:rsidRPr="00C81624">
        <w:t> $US</w:t>
      </w:r>
      <w:r w:rsidRPr="00C81624">
        <w:t>); (</w:t>
      </w:r>
      <w:r w:rsidR="00633E5A" w:rsidRPr="00C81624">
        <w:t>ONUDI</w:t>
      </w:r>
      <w:r w:rsidRPr="00C81624">
        <w:t>) (9</w:t>
      </w:r>
      <w:r w:rsidR="00C81624" w:rsidRPr="00C81624">
        <w:t> </w:t>
      </w:r>
      <w:r w:rsidRPr="00C81624">
        <w:t>370</w:t>
      </w:r>
      <w:r w:rsidR="00C81624" w:rsidRPr="00C81624">
        <w:t> $US</w:t>
      </w:r>
      <w:r w:rsidRPr="00C81624">
        <w:t>).</w:t>
      </w:r>
    </w:p>
    <w:p w14:paraId="60F6B2E2" w14:textId="77777777" w:rsidR="009F253D" w:rsidRDefault="009F253D" w:rsidP="002A55A2">
      <w:pPr>
        <w:jc w:val="center"/>
        <w:rPr>
          <w:b/>
        </w:rPr>
      </w:pPr>
    </w:p>
    <w:p w14:paraId="7339610A" w14:textId="77777777" w:rsidR="002A55A2" w:rsidRPr="00C81624" w:rsidRDefault="005B2B79" w:rsidP="002A55A2">
      <w:pPr>
        <w:jc w:val="center"/>
        <w:rPr>
          <w:b/>
        </w:rPr>
      </w:pPr>
      <w:r w:rsidRPr="00C81624">
        <w:rPr>
          <w:b/>
        </w:rPr>
        <w:t xml:space="preserve">OBSERVATIONS ET </w:t>
      </w:r>
      <w:r w:rsidR="002A55A2" w:rsidRPr="00C81624">
        <w:rPr>
          <w:b/>
        </w:rPr>
        <w:t>RECOMM</w:t>
      </w:r>
      <w:r w:rsidRPr="00C81624">
        <w:rPr>
          <w:b/>
        </w:rPr>
        <w:t>A</w:t>
      </w:r>
      <w:r w:rsidR="002A55A2" w:rsidRPr="00C81624">
        <w:rPr>
          <w:b/>
        </w:rPr>
        <w:t>NDATION</w:t>
      </w:r>
      <w:r w:rsidRPr="00C81624">
        <w:rPr>
          <w:b/>
        </w:rPr>
        <w:t xml:space="preserve"> DU SECRÉTARIAT</w:t>
      </w:r>
    </w:p>
    <w:p w14:paraId="7B4CADC5" w14:textId="77777777" w:rsidR="002A55A2" w:rsidRPr="00C81624" w:rsidRDefault="002A55A2" w:rsidP="002A55A2"/>
    <w:p w14:paraId="47B3698F" w14:textId="77777777" w:rsidR="002A55A2" w:rsidRPr="00C81624" w:rsidRDefault="005B2B79" w:rsidP="002A55A2">
      <w:pPr>
        <w:rPr>
          <w:b/>
        </w:rPr>
      </w:pPr>
      <w:r w:rsidRPr="00C81624">
        <w:rPr>
          <w:b/>
        </w:rPr>
        <w:t>OBSERVATION</w:t>
      </w:r>
      <w:r w:rsidR="002A55A2" w:rsidRPr="00C81624">
        <w:rPr>
          <w:b/>
        </w:rPr>
        <w:t>S</w:t>
      </w:r>
    </w:p>
    <w:p w14:paraId="48E56AB1" w14:textId="77777777" w:rsidR="002A55A2" w:rsidRPr="00C81624" w:rsidRDefault="002A55A2" w:rsidP="002A55A2"/>
    <w:p w14:paraId="243AD6AE" w14:textId="77777777" w:rsidR="002A55A2" w:rsidRPr="00C81624" w:rsidRDefault="005B2B79" w:rsidP="002A55A2">
      <w:pPr>
        <w:rPr>
          <w:u w:val="single"/>
        </w:rPr>
      </w:pPr>
      <w:r w:rsidRPr="00C81624">
        <w:rPr>
          <w:u w:val="single"/>
        </w:rPr>
        <w:t xml:space="preserve">Rapport d’avancement sur la mise en œuvre de la deuxième </w:t>
      </w:r>
      <w:r w:rsidR="002A55A2" w:rsidRPr="00C81624">
        <w:rPr>
          <w:u w:val="single"/>
        </w:rPr>
        <w:t xml:space="preserve">tranche </w:t>
      </w:r>
      <w:r w:rsidRPr="00C81624">
        <w:rPr>
          <w:u w:val="single"/>
        </w:rPr>
        <w:t>du</w:t>
      </w:r>
      <w:r w:rsidR="002A55A2" w:rsidRPr="00C81624">
        <w:rPr>
          <w:u w:val="single"/>
        </w:rPr>
        <w:t xml:space="preserve"> </w:t>
      </w:r>
      <w:r w:rsidR="00633E5A" w:rsidRPr="00C81624">
        <w:rPr>
          <w:u w:val="single"/>
        </w:rPr>
        <w:t>PGEH</w:t>
      </w:r>
    </w:p>
    <w:p w14:paraId="004A848B" w14:textId="77777777" w:rsidR="002A55A2" w:rsidRPr="00C81624" w:rsidRDefault="002A55A2" w:rsidP="002A55A2"/>
    <w:p w14:paraId="45CB65DE" w14:textId="77777777" w:rsidR="002A55A2" w:rsidRPr="00C81624" w:rsidRDefault="005B2B79" w:rsidP="002A55A2">
      <w:pPr>
        <w:rPr>
          <w:i/>
        </w:rPr>
      </w:pPr>
      <w:r w:rsidRPr="00C81624">
        <w:rPr>
          <w:i/>
        </w:rPr>
        <w:t>Cadre juridique</w:t>
      </w:r>
    </w:p>
    <w:p w14:paraId="270FD749" w14:textId="77777777" w:rsidR="002A55A2" w:rsidRPr="00C81624" w:rsidRDefault="002A55A2" w:rsidP="002A55A2"/>
    <w:p w14:paraId="25C2C105" w14:textId="77777777" w:rsidR="002A55A2" w:rsidRPr="00C81624" w:rsidRDefault="005B2B79" w:rsidP="009F253D">
      <w:pPr>
        <w:pStyle w:val="Heading1"/>
      </w:pPr>
      <w:r w:rsidRPr="00C81624">
        <w:t>L</w:t>
      </w:r>
      <w:r w:rsidR="002A55A2" w:rsidRPr="00C81624">
        <w:t xml:space="preserve">e </w:t>
      </w:r>
      <w:r w:rsidR="00633E5A" w:rsidRPr="00C81624">
        <w:t>Gouvernement du Chili</w:t>
      </w:r>
      <w:r w:rsidR="002A55A2" w:rsidRPr="00C81624">
        <w:t xml:space="preserve"> </w:t>
      </w:r>
      <w:r w:rsidRPr="00C81624">
        <w:t>a établi à 46,5 tonnes PAO les quotas d’importation de</w:t>
      </w:r>
      <w:r w:rsidR="002A55A2" w:rsidRPr="00C81624">
        <w:t xml:space="preserve"> HCFC </w:t>
      </w:r>
      <w:r w:rsidRPr="00C81624">
        <w:t xml:space="preserve">pour </w:t>
      </w:r>
      <w:r w:rsidR="002A55A2" w:rsidRPr="00C81624">
        <w:t xml:space="preserve">2020, </w:t>
      </w:r>
      <w:r w:rsidRPr="00C81624">
        <w:t xml:space="preserve">ce qui est inférieur aux objectifs de contrôle du </w:t>
      </w:r>
      <w:r w:rsidR="00701665" w:rsidRPr="00C81624">
        <w:t>Protocole de Montréal</w:t>
      </w:r>
      <w:r w:rsidR="002A55A2" w:rsidRPr="00C81624">
        <w:t xml:space="preserve"> </w:t>
      </w:r>
      <w:r w:rsidRPr="00C81624">
        <w:t>(</w:t>
      </w:r>
      <w:r w:rsidR="002A55A2" w:rsidRPr="00C81624">
        <w:t>56</w:t>
      </w:r>
      <w:r w:rsidRPr="00C81624">
        <w:t>,</w:t>
      </w:r>
      <w:r w:rsidR="002A55A2" w:rsidRPr="00C81624">
        <w:t xml:space="preserve">88 </w:t>
      </w:r>
      <w:r w:rsidRPr="00C81624">
        <w:t>t</w:t>
      </w:r>
      <w:r w:rsidR="00633E5A" w:rsidRPr="00C81624">
        <w:t>onnes PAO</w:t>
      </w:r>
      <w:r w:rsidRPr="00C81624">
        <w:t>) et à la consommation maximale autorisée (</w:t>
      </w:r>
      <w:r w:rsidR="002A55A2" w:rsidRPr="00C81624">
        <w:t>48</w:t>
      </w:r>
      <w:r w:rsidRPr="00C81624">
        <w:t>,</w:t>
      </w:r>
      <w:r w:rsidR="002A55A2" w:rsidRPr="00C81624">
        <w:t xml:space="preserve">12 </w:t>
      </w:r>
      <w:r w:rsidRPr="00C81624">
        <w:t>t</w:t>
      </w:r>
      <w:r w:rsidR="00633E5A" w:rsidRPr="00C81624">
        <w:t>onnes PAO</w:t>
      </w:r>
      <w:r w:rsidRPr="00C81624">
        <w:t>)</w:t>
      </w:r>
      <w:r w:rsidR="002A55A2" w:rsidRPr="00C81624">
        <w:t xml:space="preserve"> </w:t>
      </w:r>
      <w:r w:rsidRPr="00C81624">
        <w:t xml:space="preserve">indiquée dans l’Accord conclu avec </w:t>
      </w:r>
      <w:r w:rsidR="00633E5A" w:rsidRPr="00C81624">
        <w:t>Comité exécutif</w:t>
      </w:r>
      <w:r w:rsidR="002A55A2" w:rsidRPr="00C81624">
        <w:t>.</w:t>
      </w:r>
    </w:p>
    <w:p w14:paraId="3B73AAD1" w14:textId="77777777" w:rsidR="002A55A2" w:rsidRPr="00C81624" w:rsidRDefault="005B2B79" w:rsidP="002A55A2">
      <w:pPr>
        <w:keepNext/>
        <w:rPr>
          <w:i/>
        </w:rPr>
      </w:pPr>
      <w:r w:rsidRPr="00C81624">
        <w:rPr>
          <w:i/>
        </w:rPr>
        <w:t xml:space="preserve">Secteur de fabrication de mousse de </w:t>
      </w:r>
      <w:r w:rsidR="002A55A2" w:rsidRPr="00C81624">
        <w:rPr>
          <w:i/>
        </w:rPr>
        <w:t>PU</w:t>
      </w:r>
    </w:p>
    <w:p w14:paraId="5F6CF123" w14:textId="77777777" w:rsidR="002A55A2" w:rsidRPr="00C81624" w:rsidRDefault="002A55A2" w:rsidP="002A55A2"/>
    <w:p w14:paraId="716BA40D" w14:textId="77777777" w:rsidR="002A55A2" w:rsidRPr="00C81624" w:rsidRDefault="00AA2170" w:rsidP="009F253D">
      <w:pPr>
        <w:pStyle w:val="Heading1"/>
      </w:pPr>
      <w:r w:rsidRPr="00C81624">
        <w:t xml:space="preserve">En réponse à une question, le </w:t>
      </w:r>
      <w:r w:rsidR="00633E5A" w:rsidRPr="00C81624">
        <w:t>PNUD</w:t>
      </w:r>
      <w:r w:rsidR="002A55A2" w:rsidRPr="00C81624">
        <w:t xml:space="preserve"> </w:t>
      </w:r>
      <w:r w:rsidRPr="00C81624">
        <w:t>a expliqué que le retard dans la reconversion de plusieurs entreprises de mousses était dû à des troubles sociaux en o</w:t>
      </w:r>
      <w:r w:rsidR="002A55A2" w:rsidRPr="00C81624">
        <w:t>ctob</w:t>
      </w:r>
      <w:r w:rsidRPr="00C81624">
        <w:t>re</w:t>
      </w:r>
      <w:r w:rsidR="002A55A2" w:rsidRPr="00C81624">
        <w:t xml:space="preserve"> 2019 </w:t>
      </w:r>
      <w:r w:rsidRPr="00C81624">
        <w:t xml:space="preserve">et, plus récemment, à la pandémie du </w:t>
      </w:r>
      <w:r w:rsidR="002A55A2" w:rsidRPr="00C81624">
        <w:t xml:space="preserve">COVID-19. </w:t>
      </w:r>
      <w:r w:rsidRPr="00C81624">
        <w:t xml:space="preserve">Le </w:t>
      </w:r>
      <w:r w:rsidR="00633E5A" w:rsidRPr="00C81624">
        <w:t>PNUD</w:t>
      </w:r>
      <w:r w:rsidR="002A55A2" w:rsidRPr="00C81624">
        <w:t xml:space="preserve"> a</w:t>
      </w:r>
      <w:r w:rsidRPr="00C81624">
        <w:t xml:space="preserve"> confirmé également que l’interdiction des importations de </w:t>
      </w:r>
      <w:r w:rsidR="002A55A2" w:rsidRPr="00C81624">
        <w:t xml:space="preserve">HCFC-141b </w:t>
      </w:r>
      <w:r w:rsidRPr="00C81624">
        <w:t xml:space="preserve">en vrac et contenus dans les polyols </w:t>
      </w:r>
      <w:proofErr w:type="spellStart"/>
      <w:r w:rsidRPr="00C81624">
        <w:t>prémélangés</w:t>
      </w:r>
      <w:proofErr w:type="spellEnd"/>
      <w:r w:rsidRPr="00C81624">
        <w:t xml:space="preserve"> a pris effet au 1</w:t>
      </w:r>
      <w:r w:rsidRPr="00C81624">
        <w:rPr>
          <w:vertAlign w:val="superscript"/>
        </w:rPr>
        <w:t>er</w:t>
      </w:r>
      <w:r w:rsidRPr="00C81624">
        <w:t xml:space="preserve"> janvier </w:t>
      </w:r>
      <w:r w:rsidR="002A55A2" w:rsidRPr="00C81624">
        <w:t xml:space="preserve">2020; </w:t>
      </w:r>
      <w:r w:rsidRPr="00C81624">
        <w:t xml:space="preserve">qu’aucun quota n’a été établi pour les importations de </w:t>
      </w:r>
      <w:r w:rsidR="002A55A2" w:rsidRPr="00C81624">
        <w:t xml:space="preserve">HCFC-141b </w:t>
      </w:r>
      <w:r w:rsidRPr="00C81624">
        <w:t>et que les entreprises de mousse qui n’ont pas encore été reconverties utilisent les réserves accumulées des années précédentes</w:t>
      </w:r>
      <w:r w:rsidR="002A55A2" w:rsidRPr="00C81624">
        <w:t xml:space="preserve">. </w:t>
      </w:r>
    </w:p>
    <w:p w14:paraId="49818CD8" w14:textId="77777777" w:rsidR="002A55A2" w:rsidRPr="00C81624" w:rsidRDefault="00AA2170" w:rsidP="002A55A2">
      <w:pPr>
        <w:rPr>
          <w:i/>
        </w:rPr>
      </w:pPr>
      <w:r w:rsidRPr="00C81624">
        <w:rPr>
          <w:i/>
        </w:rPr>
        <w:t>Secteur de l’entretien en réfrigération</w:t>
      </w:r>
    </w:p>
    <w:p w14:paraId="0A0519B5" w14:textId="77777777" w:rsidR="002A55A2" w:rsidRPr="00C81624" w:rsidRDefault="002A55A2" w:rsidP="002A55A2"/>
    <w:p w14:paraId="00B7E310" w14:textId="77777777" w:rsidR="002A55A2" w:rsidRPr="00C81624" w:rsidRDefault="00AA2170" w:rsidP="009F253D">
      <w:pPr>
        <w:pStyle w:val="Heading1"/>
      </w:pPr>
      <w:r w:rsidRPr="00C81624">
        <w:t xml:space="preserve">Le </w:t>
      </w:r>
      <w:r w:rsidR="00633E5A" w:rsidRPr="00C81624">
        <w:t>PNUD</w:t>
      </w:r>
      <w:r w:rsidR="002A55A2" w:rsidRPr="00C81624">
        <w:t xml:space="preserve"> a</w:t>
      </w:r>
      <w:r w:rsidRPr="00C81624">
        <w:t xml:space="preserve"> indiqué en outre que la </w:t>
      </w:r>
      <w:r w:rsidR="002A55A2" w:rsidRPr="00C81624">
        <w:t xml:space="preserve">certification </w:t>
      </w:r>
      <w:r w:rsidRPr="00C81624">
        <w:t>des techniciens n’est pas encore obligatoire</w:t>
      </w:r>
      <w:r w:rsidR="002A55A2" w:rsidRPr="00C81624">
        <w:t xml:space="preserve">; </w:t>
      </w:r>
      <w:r w:rsidRPr="00C81624">
        <w:t xml:space="preserve">la procédure de </w:t>
      </w:r>
      <w:r w:rsidR="002A55A2" w:rsidRPr="00C81624">
        <w:t xml:space="preserve">certification </w:t>
      </w:r>
      <w:r w:rsidRPr="00C81624">
        <w:t>est validée et certifiée par l’institution gouvernementale « </w:t>
      </w:r>
      <w:proofErr w:type="spellStart"/>
      <w:r w:rsidR="00633E5A" w:rsidRPr="00C81624">
        <w:t>Chili</w:t>
      </w:r>
      <w:r w:rsidR="002A55A2" w:rsidRPr="00C81624">
        <w:t>Valora</w:t>
      </w:r>
      <w:proofErr w:type="spellEnd"/>
      <w:r w:rsidRPr="00C81624">
        <w:t> »</w:t>
      </w:r>
      <w:r w:rsidR="002A55A2" w:rsidRPr="00C81624">
        <w:t xml:space="preserve">, </w:t>
      </w:r>
      <w:r w:rsidRPr="00C81624">
        <w:t>qui relève d</w:t>
      </w:r>
      <w:r w:rsidR="00FC70C7" w:rsidRPr="00C81624">
        <w:t>es ministères du Travail, de l’Économie et de l’Éducation</w:t>
      </w:r>
      <w:r w:rsidR="002A55A2" w:rsidRPr="00C81624">
        <w:t xml:space="preserve">. </w:t>
      </w:r>
      <w:r w:rsidR="00FC70C7" w:rsidRPr="00C81624">
        <w:t xml:space="preserve">Les techniciens sont </w:t>
      </w:r>
      <w:proofErr w:type="gramStart"/>
      <w:r w:rsidR="00FC70C7" w:rsidRPr="00C81624">
        <w:t>certifies</w:t>
      </w:r>
      <w:proofErr w:type="gramEnd"/>
      <w:r w:rsidR="00FC70C7" w:rsidRPr="00C81624">
        <w:t xml:space="preserve"> actuellement dans une ou deux des catégories suivantes</w:t>
      </w:r>
      <w:r w:rsidR="002A55A2" w:rsidRPr="00C81624">
        <w:t>: install</w:t>
      </w:r>
      <w:r w:rsidR="00FC70C7" w:rsidRPr="00C81624">
        <w:t>ateur de systèmes de climatisation, installateur de systèmes de réfrigération</w:t>
      </w:r>
      <w:r w:rsidR="002A55A2" w:rsidRPr="00C81624">
        <w:t xml:space="preserve">, </w:t>
      </w:r>
      <w:r w:rsidR="00FC70C7" w:rsidRPr="00C81624">
        <w:t>et/ou technicien d’installation/d’entretien d’équipements de climatisation et de ré</w:t>
      </w:r>
      <w:r w:rsidR="002A55A2" w:rsidRPr="00C81624">
        <w:t>frig</w:t>
      </w:r>
      <w:r w:rsidR="00FC70C7" w:rsidRPr="00C81624">
        <w:t>é</w:t>
      </w:r>
      <w:r w:rsidR="002A55A2" w:rsidRPr="00C81624">
        <w:t>ration.</w:t>
      </w:r>
    </w:p>
    <w:p w14:paraId="298E9A08" w14:textId="77777777" w:rsidR="002A55A2" w:rsidRPr="00C81624" w:rsidRDefault="00604D15" w:rsidP="002A55A2">
      <w:pPr>
        <w:keepNext/>
        <w:keepLines/>
        <w:rPr>
          <w:u w:val="single"/>
        </w:rPr>
      </w:pPr>
      <w:r w:rsidRPr="00C81624">
        <w:rPr>
          <w:u w:val="single"/>
        </w:rPr>
        <w:lastRenderedPageBreak/>
        <w:t>Application de la politique de l’égalité des sexes</w:t>
      </w:r>
      <w:r w:rsidR="002A55A2" w:rsidRPr="00C81624">
        <w:rPr>
          <w:vertAlign w:val="superscript"/>
        </w:rPr>
        <w:footnoteReference w:id="2"/>
      </w:r>
    </w:p>
    <w:p w14:paraId="5EB7E7BE" w14:textId="77777777" w:rsidR="002A55A2" w:rsidRPr="00C81624" w:rsidRDefault="002A55A2" w:rsidP="002A55A2">
      <w:pPr>
        <w:keepNext/>
        <w:keepLines/>
        <w:rPr>
          <w:u w:val="single"/>
        </w:rPr>
      </w:pPr>
    </w:p>
    <w:p w14:paraId="50424A43" w14:textId="77777777" w:rsidR="002A55A2" w:rsidRPr="00C81624" w:rsidRDefault="002A55A2" w:rsidP="009F253D">
      <w:pPr>
        <w:pStyle w:val="Heading1"/>
      </w:pPr>
      <w:r w:rsidRPr="00C81624">
        <w:t>Dur</w:t>
      </w:r>
      <w:r w:rsidR="00604D15" w:rsidRPr="00C81624">
        <w:t xml:space="preserve">ant la mise en œuvre de la </w:t>
      </w:r>
      <w:r w:rsidR="00633E5A" w:rsidRPr="00C81624">
        <w:t>troisième</w:t>
      </w:r>
      <w:r w:rsidRPr="00C81624">
        <w:t xml:space="preserve"> tranche, </w:t>
      </w:r>
      <w:r w:rsidR="00604D15" w:rsidRPr="00C81624">
        <w:t xml:space="preserve">le </w:t>
      </w:r>
      <w:r w:rsidR="00633E5A" w:rsidRPr="00C81624">
        <w:t>PNUD</w:t>
      </w:r>
      <w:r w:rsidRPr="00C81624">
        <w:t xml:space="preserve"> collabore</w:t>
      </w:r>
      <w:r w:rsidR="00604D15" w:rsidRPr="00C81624">
        <w:t xml:space="preserve">ra avec le </w:t>
      </w:r>
      <w:r w:rsidR="00633E5A" w:rsidRPr="00C81624">
        <w:t>Gouvernement du Chili</w:t>
      </w:r>
      <w:r w:rsidRPr="00C81624">
        <w:t xml:space="preserve"> </w:t>
      </w:r>
      <w:r w:rsidR="00604D15" w:rsidRPr="00C81624">
        <w:t>pour appuyer la politique du Fonds multilatéral sur l’égalité des sexes</w:t>
      </w:r>
      <w:r w:rsidRPr="00C81624">
        <w:t xml:space="preserve">. </w:t>
      </w:r>
      <w:r w:rsidR="00604D15" w:rsidRPr="00C81624">
        <w:t xml:space="preserve">Le BNO surveillera et fera rapport sur la participation des femmes et déterminera les données de référence sur le nombre de techniciens féminins dans le secteur </w:t>
      </w:r>
      <w:r w:rsidR="00633E5A" w:rsidRPr="00C81624">
        <w:t>R&amp;C</w:t>
      </w:r>
      <w:r w:rsidR="00604D15" w:rsidRPr="00C81624">
        <w:t xml:space="preserve">, aux fins de comparaison avec la participation des femmes aux activités du </w:t>
      </w:r>
      <w:r w:rsidR="00633E5A" w:rsidRPr="00C81624">
        <w:t>PGEH</w:t>
      </w:r>
      <w:r w:rsidRPr="00C81624">
        <w:t xml:space="preserve"> </w:t>
      </w:r>
      <w:r w:rsidR="00604D15" w:rsidRPr="00C81624">
        <w:t xml:space="preserve">dans les </w:t>
      </w:r>
      <w:r w:rsidRPr="00C81624">
        <w:t>tranches</w:t>
      </w:r>
      <w:r w:rsidR="00604D15" w:rsidRPr="00C81624">
        <w:t xml:space="preserve"> précédentes</w:t>
      </w:r>
      <w:r w:rsidRPr="00C81624">
        <w:t xml:space="preserve">. </w:t>
      </w:r>
      <w:r w:rsidR="00604D15" w:rsidRPr="00C81624">
        <w:t>L</w:t>
      </w:r>
      <w:r w:rsidRPr="00C81624">
        <w:t xml:space="preserve">e </w:t>
      </w:r>
      <w:r w:rsidR="00604D15" w:rsidRPr="00C81624">
        <w:t>B</w:t>
      </w:r>
      <w:r w:rsidRPr="00C81624">
        <w:t>NO</w:t>
      </w:r>
      <w:r w:rsidR="00604D15" w:rsidRPr="00C81624">
        <w:t xml:space="preserve"> s’est également engagé à sensibiliser</w:t>
      </w:r>
      <w:r w:rsidRPr="00C81624">
        <w:t xml:space="preserve"> </w:t>
      </w:r>
      <w:r w:rsidR="00604D15" w:rsidRPr="00C81624">
        <w:t>davantage le public afin d’encourager la participation des femmes durant l’exécution des activités financées au titre du Fonds multilatéral</w:t>
      </w:r>
      <w:r w:rsidRPr="00C81624">
        <w:t xml:space="preserve">. </w:t>
      </w:r>
    </w:p>
    <w:p w14:paraId="1A27D398" w14:textId="77777777" w:rsidR="002A55A2" w:rsidRPr="00C81624" w:rsidRDefault="00604D15" w:rsidP="002A55A2">
      <w:pPr>
        <w:spacing w:after="240"/>
        <w:outlineLvl w:val="0"/>
      </w:pPr>
      <w:r w:rsidRPr="00C81624">
        <w:rPr>
          <w:u w:val="single"/>
        </w:rPr>
        <w:t xml:space="preserve">Pérennité de l’élimination des </w:t>
      </w:r>
      <w:r w:rsidR="002A55A2" w:rsidRPr="00C81624">
        <w:rPr>
          <w:u w:val="single"/>
        </w:rPr>
        <w:t xml:space="preserve">HCFC </w:t>
      </w:r>
    </w:p>
    <w:p w14:paraId="04ED2D3D" w14:textId="77777777" w:rsidR="002A55A2" w:rsidRPr="00C81624" w:rsidRDefault="00604D15" w:rsidP="009F253D">
      <w:pPr>
        <w:pStyle w:val="Heading1"/>
      </w:pPr>
      <w:r w:rsidRPr="00C81624">
        <w:t>L</w:t>
      </w:r>
      <w:r w:rsidR="002A55A2" w:rsidRPr="00C81624">
        <w:t xml:space="preserve">e </w:t>
      </w:r>
      <w:r w:rsidR="00633E5A" w:rsidRPr="00C81624">
        <w:t>Gouvernement du Chili</w:t>
      </w:r>
      <w:r w:rsidR="002A55A2" w:rsidRPr="00C81624">
        <w:t xml:space="preserve"> </w:t>
      </w:r>
      <w:r w:rsidRPr="00C81624">
        <w:t>dispose d’un système applicable de licences et de quotas et a appliqué depuis le 1</w:t>
      </w:r>
      <w:r w:rsidRPr="00C81624">
        <w:rPr>
          <w:vertAlign w:val="superscript"/>
        </w:rPr>
        <w:t>er</w:t>
      </w:r>
      <w:r w:rsidRPr="00C81624">
        <w:t xml:space="preserve"> janvier 2020 l’interdiction d’importation</w:t>
      </w:r>
      <w:r w:rsidR="00687702" w:rsidRPr="00C81624">
        <w:t>s</w:t>
      </w:r>
      <w:r w:rsidRPr="00C81624">
        <w:t xml:space="preserve"> de </w:t>
      </w:r>
      <w:r w:rsidR="002A55A2" w:rsidRPr="00C81624">
        <w:t xml:space="preserve">HCFC-141b </w:t>
      </w:r>
      <w:r w:rsidRPr="00C81624">
        <w:t xml:space="preserve">en vrac et contenus dans les polyols </w:t>
      </w:r>
      <w:proofErr w:type="spellStart"/>
      <w:r w:rsidRPr="00C81624">
        <w:t>prém</w:t>
      </w:r>
      <w:r w:rsidR="00687702" w:rsidRPr="00C81624">
        <w:t>élangés</w:t>
      </w:r>
      <w:proofErr w:type="spellEnd"/>
      <w:r w:rsidR="002A55A2" w:rsidRPr="00C81624">
        <w:t xml:space="preserve">. </w:t>
      </w:r>
      <w:r w:rsidR="00687702" w:rsidRPr="00C81624">
        <w:t>Le contrôle strict et la surveillance des importations</w:t>
      </w:r>
      <w:r w:rsidR="002A55A2" w:rsidRPr="00C81624">
        <w:t xml:space="preserve">, </w:t>
      </w:r>
      <w:r w:rsidR="00687702" w:rsidRPr="00C81624">
        <w:t xml:space="preserve">le renforcement des capacités des services de douane et du secteur de l’entretien en </w:t>
      </w:r>
      <w:r w:rsidR="00633E5A" w:rsidRPr="00C81624">
        <w:t>R&amp;C</w:t>
      </w:r>
      <w:r w:rsidR="00687702" w:rsidRPr="00C81624">
        <w:t xml:space="preserve">, ainsi que l’institutionnalisation du processus de </w:t>
      </w:r>
      <w:r w:rsidR="002A55A2" w:rsidRPr="00C81624">
        <w:t>certification</w:t>
      </w:r>
      <w:r w:rsidR="00687702" w:rsidRPr="00C81624">
        <w:t xml:space="preserve">, contribueront à assurer la pérennité de l’élimination des </w:t>
      </w:r>
      <w:r w:rsidR="002A55A2" w:rsidRPr="00C81624">
        <w:t xml:space="preserve">HCFC. </w:t>
      </w:r>
      <w:r w:rsidR="00687702" w:rsidRPr="00C81624">
        <w:t>La re</w:t>
      </w:r>
      <w:r w:rsidR="002A55A2" w:rsidRPr="00C81624">
        <w:t xml:space="preserve">conversion </w:t>
      </w:r>
      <w:r w:rsidR="00687702" w:rsidRPr="00C81624">
        <w:t xml:space="preserve">d’un certain nombre d’entreprises de mousses du </w:t>
      </w:r>
      <w:r w:rsidR="00B172DB">
        <w:t>H</w:t>
      </w:r>
      <w:r w:rsidR="002A55A2" w:rsidRPr="00C81624">
        <w:t xml:space="preserve">CFC-141b </w:t>
      </w:r>
      <w:r w:rsidR="00687702" w:rsidRPr="00C81624">
        <w:t xml:space="preserve">aux </w:t>
      </w:r>
      <w:r w:rsidR="002A55A2" w:rsidRPr="00C81624">
        <w:t>HFO</w:t>
      </w:r>
      <w:r w:rsidR="00687702" w:rsidRPr="00C81624">
        <w:t xml:space="preserve"> et aux formules de </w:t>
      </w:r>
      <w:r w:rsidR="002A55A2" w:rsidRPr="00C81624">
        <w:t>cyclopentane</w:t>
      </w:r>
      <w:r w:rsidR="00687702" w:rsidRPr="00C81624">
        <w:t xml:space="preserve"> appuiera également l’élimination permanente de la consommation de </w:t>
      </w:r>
      <w:r w:rsidR="002A55A2" w:rsidRPr="00C81624">
        <w:t xml:space="preserve">HCFC </w:t>
      </w:r>
      <w:r w:rsidR="00687702" w:rsidRPr="00C81624">
        <w:t>dans le pays</w:t>
      </w:r>
      <w:r w:rsidR="002A55A2" w:rsidRPr="00C81624">
        <w:t xml:space="preserve">. </w:t>
      </w:r>
    </w:p>
    <w:p w14:paraId="19ED276C" w14:textId="77777777" w:rsidR="002A55A2" w:rsidRPr="00C81624" w:rsidRDefault="002A55A2" w:rsidP="002A55A2">
      <w:pPr>
        <w:rPr>
          <w:u w:val="single"/>
        </w:rPr>
      </w:pPr>
      <w:r w:rsidRPr="00C81624">
        <w:rPr>
          <w:u w:val="single"/>
        </w:rPr>
        <w:t xml:space="preserve">Conclusion </w:t>
      </w:r>
    </w:p>
    <w:p w14:paraId="3A0E1ECB" w14:textId="77777777" w:rsidR="002A55A2" w:rsidRPr="00C81624" w:rsidRDefault="002A55A2" w:rsidP="002A55A2"/>
    <w:p w14:paraId="4AC0334D" w14:textId="77777777" w:rsidR="002A55A2" w:rsidRPr="00C81624" w:rsidRDefault="00360D75" w:rsidP="009F253D">
      <w:pPr>
        <w:pStyle w:val="Heading1"/>
      </w:pPr>
      <w:r w:rsidRPr="00C81624">
        <w:t xml:space="preserve">Le </w:t>
      </w:r>
      <w:r w:rsidR="00633E5A" w:rsidRPr="00C81624">
        <w:t>Chili</w:t>
      </w:r>
      <w:r w:rsidR="002A55A2" w:rsidRPr="00C81624">
        <w:t xml:space="preserve"> continue</w:t>
      </w:r>
      <w:r w:rsidRPr="00C81624">
        <w:t xml:space="preserve"> d’être en conformité avec le </w:t>
      </w:r>
      <w:r w:rsidR="00701665" w:rsidRPr="00C81624">
        <w:t>Protocole de Montréal</w:t>
      </w:r>
      <w:r w:rsidR="002A55A2" w:rsidRPr="00C81624">
        <w:t xml:space="preserve"> </w:t>
      </w:r>
      <w:r w:rsidRPr="00C81624">
        <w:t xml:space="preserve">et avec l’Accord qu’il a signé avec le </w:t>
      </w:r>
      <w:r w:rsidR="00633E5A" w:rsidRPr="00C81624">
        <w:t>Comité exécutif</w:t>
      </w:r>
      <w:r w:rsidR="002A55A2" w:rsidRPr="00C81624">
        <w:t xml:space="preserve">. </w:t>
      </w:r>
      <w:r w:rsidRPr="00C81624">
        <w:t xml:space="preserve">La consommation de HCFC du pays en </w:t>
      </w:r>
      <w:r w:rsidR="002A55A2" w:rsidRPr="00C81624">
        <w:t xml:space="preserve">2019 </w:t>
      </w:r>
      <w:r w:rsidRPr="00C81624">
        <w:t xml:space="preserve">est inférieure de </w:t>
      </w:r>
      <w:r w:rsidR="002A55A2" w:rsidRPr="00C81624">
        <w:t>63</w:t>
      </w:r>
      <w:r w:rsidRPr="00C81624">
        <w:t xml:space="preserve"> % au niveau de référence pour le </w:t>
      </w:r>
      <w:r w:rsidR="002A55A2" w:rsidRPr="00C81624">
        <w:t xml:space="preserve">HCFC </w:t>
      </w:r>
      <w:r w:rsidRPr="00C81624">
        <w:t xml:space="preserve">aux fins de conformité et de </w:t>
      </w:r>
      <w:r w:rsidR="002A55A2" w:rsidRPr="00C81624">
        <w:t>59</w:t>
      </w:r>
      <w:r w:rsidRPr="00C81624">
        <w:t> % à la limite établie dans l’Accord</w:t>
      </w:r>
      <w:r w:rsidR="002A55A2" w:rsidRPr="00C81624">
        <w:t xml:space="preserve">. </w:t>
      </w:r>
      <w:r w:rsidRPr="00C81624">
        <w:t>Les activités se poursuivent dans le secteur des mousses</w:t>
      </w:r>
      <w:r w:rsidR="002A55A2" w:rsidRPr="00C81624">
        <w:t xml:space="preserve">, </w:t>
      </w:r>
      <w:r w:rsidRPr="00C81624">
        <w:t>et la re</w:t>
      </w:r>
      <w:r w:rsidR="002A55A2" w:rsidRPr="00C81624">
        <w:t xml:space="preserve">conversion </w:t>
      </w:r>
      <w:r w:rsidRPr="00C81624">
        <w:t xml:space="preserve">de </w:t>
      </w:r>
      <w:r w:rsidR="002A55A2" w:rsidRPr="00C81624">
        <w:t xml:space="preserve">27 </w:t>
      </w:r>
      <w:r w:rsidR="0092432F" w:rsidRPr="00C81624">
        <w:t>PME</w:t>
      </w:r>
      <w:r w:rsidR="002A55A2" w:rsidRPr="00C81624">
        <w:t xml:space="preserve"> </w:t>
      </w:r>
      <w:r w:rsidRPr="00C81624">
        <w:t xml:space="preserve">au </w:t>
      </w:r>
      <w:r w:rsidR="002A55A2" w:rsidRPr="00C81624">
        <w:t>HFO</w:t>
      </w:r>
      <w:r w:rsidRPr="00C81624">
        <w:t xml:space="preserve"> et de cinq en</w:t>
      </w:r>
      <w:r w:rsidR="0092432F" w:rsidRPr="00C81624">
        <w:t>treprise</w:t>
      </w:r>
      <w:r w:rsidR="002A55A2" w:rsidRPr="00C81624">
        <w:t xml:space="preserve">s </w:t>
      </w:r>
      <w:r w:rsidRPr="00C81624">
        <w:t xml:space="preserve">individuelles au </w:t>
      </w:r>
      <w:r w:rsidR="002A55A2" w:rsidRPr="00C81624">
        <w:t xml:space="preserve">cyclopentane/HFO </w:t>
      </w:r>
      <w:r w:rsidRPr="00C81624">
        <w:t>et au</w:t>
      </w:r>
      <w:r w:rsidR="002A55A2" w:rsidRPr="00C81624">
        <w:t xml:space="preserve"> HFO </w:t>
      </w:r>
      <w:r w:rsidRPr="00C81624">
        <w:t xml:space="preserve">a été achevée, avec l’élimination de </w:t>
      </w:r>
      <w:r w:rsidR="002A55A2" w:rsidRPr="00C81624">
        <w:t>14</w:t>
      </w:r>
      <w:r w:rsidRPr="00C81624">
        <w:t>,</w:t>
      </w:r>
      <w:r w:rsidR="002A55A2" w:rsidRPr="00C81624">
        <w:t>88</w:t>
      </w:r>
      <w:r w:rsidRPr="00C81624">
        <w:t> t</w:t>
      </w:r>
      <w:r w:rsidR="00633E5A" w:rsidRPr="00C81624">
        <w:t>onnes PAO</w:t>
      </w:r>
      <w:r w:rsidR="002A55A2" w:rsidRPr="00C81624">
        <w:t xml:space="preserve"> </w:t>
      </w:r>
      <w:r w:rsidRPr="00C81624">
        <w:t xml:space="preserve">de </w:t>
      </w:r>
      <w:r w:rsidR="002A55A2" w:rsidRPr="00C81624">
        <w:t xml:space="preserve">HCFC-141b, </w:t>
      </w:r>
      <w:r w:rsidRPr="00C81624">
        <w:t xml:space="preserve">les </w:t>
      </w:r>
      <w:r w:rsidR="0092432F" w:rsidRPr="00C81624">
        <w:t>entreprise</w:t>
      </w:r>
      <w:r w:rsidR="002A55A2" w:rsidRPr="00C81624">
        <w:t xml:space="preserve">s </w:t>
      </w:r>
      <w:r w:rsidRPr="00C81624">
        <w:t>restantes devant achever leur re</w:t>
      </w:r>
      <w:r w:rsidR="002A55A2" w:rsidRPr="00C81624">
        <w:t>conversion</w:t>
      </w:r>
      <w:r w:rsidRPr="00C81624">
        <w:t xml:space="preserve"> d’ici juin</w:t>
      </w:r>
      <w:r w:rsidR="002A55A2" w:rsidRPr="00C81624">
        <w:t xml:space="preserve"> 2021. </w:t>
      </w:r>
      <w:r w:rsidRPr="00C81624">
        <w:t xml:space="preserve">L’interdiction de l’importation du </w:t>
      </w:r>
      <w:r w:rsidR="002A55A2" w:rsidRPr="00C81624">
        <w:t>HCFC</w:t>
      </w:r>
      <w:r w:rsidR="002A55A2" w:rsidRPr="00C81624">
        <w:noBreakHyphen/>
        <w:t xml:space="preserve">141b </w:t>
      </w:r>
      <w:r w:rsidRPr="00C81624">
        <w:t xml:space="preserve">en vrac et contenu dans les polyols </w:t>
      </w:r>
      <w:proofErr w:type="spellStart"/>
      <w:r w:rsidRPr="00C81624">
        <w:t>prémélangés</w:t>
      </w:r>
      <w:proofErr w:type="spellEnd"/>
      <w:r w:rsidRPr="00C81624">
        <w:t xml:space="preserve"> importés est entrée en vigueur </w:t>
      </w:r>
      <w:r w:rsidR="00B0773C" w:rsidRPr="00C81624">
        <w:t>au 1</w:t>
      </w:r>
      <w:r w:rsidR="00B0773C" w:rsidRPr="00C81624">
        <w:rPr>
          <w:vertAlign w:val="superscript"/>
        </w:rPr>
        <w:t>er</w:t>
      </w:r>
      <w:r w:rsidR="00B0773C" w:rsidRPr="00C81624">
        <w:t xml:space="preserve"> janvier</w:t>
      </w:r>
      <w:r w:rsidR="002A55A2" w:rsidRPr="00C81624">
        <w:t xml:space="preserve"> 2020. </w:t>
      </w:r>
      <w:r w:rsidR="00B0773C" w:rsidRPr="00C81624">
        <w:t>Les a</w:t>
      </w:r>
      <w:r w:rsidR="002A55A2" w:rsidRPr="00C81624">
        <w:t>ctivit</w:t>
      </w:r>
      <w:r w:rsidR="00B0773C" w:rsidRPr="00C81624">
        <w:t xml:space="preserve">és se poursuivent également dans le secteur de l’entretien en </w:t>
      </w:r>
      <w:r w:rsidR="00404331" w:rsidRPr="00C81624">
        <w:t>réfrigération</w:t>
      </w:r>
      <w:r w:rsidR="002A55A2" w:rsidRPr="00C81624">
        <w:t xml:space="preserve">. </w:t>
      </w:r>
      <w:r w:rsidR="00B0773C" w:rsidRPr="00C81624">
        <w:t xml:space="preserve">Le décaissement de fonds pour la deuxième </w:t>
      </w:r>
      <w:r w:rsidR="002A55A2" w:rsidRPr="00C81624">
        <w:t xml:space="preserve">tranche </w:t>
      </w:r>
      <w:r w:rsidR="00B0773C" w:rsidRPr="00C81624">
        <w:t xml:space="preserve">a atteint </w:t>
      </w:r>
      <w:r w:rsidR="002A55A2" w:rsidRPr="00C81624">
        <w:t>37</w:t>
      </w:r>
      <w:r w:rsidR="00B0773C" w:rsidRPr="00C81624">
        <w:t xml:space="preserve"> %, le décaissement global se situant à </w:t>
      </w:r>
      <w:r w:rsidR="002A55A2" w:rsidRPr="00C81624">
        <w:t>56</w:t>
      </w:r>
      <w:r w:rsidR="00B0773C" w:rsidRPr="00C81624">
        <w:t> %</w:t>
      </w:r>
      <w:r w:rsidR="002A55A2" w:rsidRPr="00C81624">
        <w:t xml:space="preserve">. </w:t>
      </w:r>
      <w:r w:rsidR="00B0773C" w:rsidRPr="00C81624">
        <w:t>La p</w:t>
      </w:r>
      <w:r w:rsidR="00633E5A" w:rsidRPr="00C81624">
        <w:t>hase</w:t>
      </w:r>
      <w:r w:rsidR="002A55A2" w:rsidRPr="00C81624">
        <w:t xml:space="preserve"> II </w:t>
      </w:r>
      <w:r w:rsidR="00B0773C" w:rsidRPr="00C81624">
        <w:t>du</w:t>
      </w:r>
      <w:r w:rsidR="002A55A2" w:rsidRPr="00C81624">
        <w:t xml:space="preserve"> </w:t>
      </w:r>
      <w:r w:rsidR="00633E5A" w:rsidRPr="00C81624">
        <w:t>PGEH</w:t>
      </w:r>
      <w:r w:rsidR="002A55A2" w:rsidRPr="00C81624">
        <w:t xml:space="preserve"> </w:t>
      </w:r>
      <w:r w:rsidR="00B0773C" w:rsidRPr="00C81624">
        <w:t>sera achevée en dé</w:t>
      </w:r>
      <w:r w:rsidR="002A55A2" w:rsidRPr="00C81624">
        <w:t>cemb</w:t>
      </w:r>
      <w:r w:rsidR="00B0773C" w:rsidRPr="00C81624">
        <w:t>r</w:t>
      </w:r>
      <w:r w:rsidR="002A55A2" w:rsidRPr="00C81624">
        <w:t xml:space="preserve">e 2022 </w:t>
      </w:r>
      <w:r w:rsidR="00B0773C" w:rsidRPr="00C81624">
        <w:t xml:space="preserve">conformément au </w:t>
      </w:r>
      <w:r w:rsidR="002A55A2" w:rsidRPr="00C81624">
        <w:t>paragraph</w:t>
      </w:r>
      <w:r w:rsidR="00B0773C" w:rsidRPr="00C81624">
        <w:t>e</w:t>
      </w:r>
      <w:r w:rsidR="002A55A2" w:rsidRPr="00C81624">
        <w:t xml:space="preserve"> 14 </w:t>
      </w:r>
      <w:r w:rsidR="00B0773C" w:rsidRPr="00C81624">
        <w:t xml:space="preserve">de l’Accord conclu entre le </w:t>
      </w:r>
      <w:r w:rsidR="005B2B79" w:rsidRPr="00C81624">
        <w:t>Gouvernement</w:t>
      </w:r>
      <w:r w:rsidR="002A55A2" w:rsidRPr="00C81624">
        <w:t xml:space="preserve"> </w:t>
      </w:r>
      <w:r w:rsidR="00B0773C" w:rsidRPr="00C81624">
        <w:t xml:space="preserve">et le </w:t>
      </w:r>
      <w:r w:rsidR="00633E5A" w:rsidRPr="00C81624">
        <w:t>Comité exécutif</w:t>
      </w:r>
      <w:r w:rsidR="002A55A2" w:rsidRPr="00C81624">
        <w:t xml:space="preserve">. </w:t>
      </w:r>
    </w:p>
    <w:p w14:paraId="4A7CFDD8" w14:textId="77777777" w:rsidR="002A55A2" w:rsidRPr="00C81624" w:rsidRDefault="002A55A2" w:rsidP="002A55A2">
      <w:r w:rsidRPr="00C81624">
        <w:rPr>
          <w:b/>
        </w:rPr>
        <w:t>RECOMM</w:t>
      </w:r>
      <w:r w:rsidR="00B0773C" w:rsidRPr="00C81624">
        <w:rPr>
          <w:b/>
        </w:rPr>
        <w:t>A</w:t>
      </w:r>
      <w:r w:rsidRPr="00C81624">
        <w:rPr>
          <w:b/>
        </w:rPr>
        <w:t xml:space="preserve">NDATION </w:t>
      </w:r>
    </w:p>
    <w:p w14:paraId="38231E63" w14:textId="77777777" w:rsidR="002A55A2" w:rsidRPr="00C81624" w:rsidRDefault="002A55A2" w:rsidP="002A55A2"/>
    <w:p w14:paraId="36518A6A" w14:textId="77777777" w:rsidR="002A55A2" w:rsidRPr="00C81624" w:rsidRDefault="00B0773C" w:rsidP="009F253D">
      <w:pPr>
        <w:pStyle w:val="Heading1"/>
      </w:pPr>
      <w:bookmarkStart w:id="3" w:name="_Hlk40491192"/>
      <w:r w:rsidRPr="00C81624">
        <w:t>L</w:t>
      </w:r>
      <w:r w:rsidR="002A55A2" w:rsidRPr="00C81624">
        <w:t xml:space="preserve">e </w:t>
      </w:r>
      <w:r w:rsidR="00633E5A" w:rsidRPr="00C81624">
        <w:t>Secrétariat</w:t>
      </w:r>
      <w:r w:rsidR="002A55A2" w:rsidRPr="00C81624">
        <w:t xml:space="preserve"> </w:t>
      </w:r>
      <w:r w:rsidRPr="00C81624">
        <w:t xml:space="preserve">du Fonds </w:t>
      </w:r>
      <w:bookmarkEnd w:id="3"/>
      <w:r w:rsidRPr="00C81624">
        <w:t xml:space="preserve">recommande que le </w:t>
      </w:r>
      <w:r w:rsidR="00633E5A" w:rsidRPr="00C81624">
        <w:t>Comité exécutif</w:t>
      </w:r>
      <w:r w:rsidR="002A55A2" w:rsidRPr="00C81624">
        <w:t xml:space="preserve">: </w:t>
      </w:r>
    </w:p>
    <w:p w14:paraId="7137E52A" w14:textId="77777777" w:rsidR="002A55A2" w:rsidRPr="00C81624" w:rsidRDefault="00B0773C" w:rsidP="009F253D">
      <w:pPr>
        <w:pStyle w:val="Heading2"/>
      </w:pPr>
      <w:r w:rsidRPr="00C81624">
        <w:t>Prenne note du rapport d’avancement sur la mise en œuvre de la deuxième</w:t>
      </w:r>
      <w:r w:rsidR="002A55A2" w:rsidRPr="00C81624">
        <w:t xml:space="preserve"> tranche </w:t>
      </w:r>
      <w:r w:rsidRPr="00C81624">
        <w:t>de la</w:t>
      </w:r>
      <w:r w:rsidR="002A55A2" w:rsidRPr="00C81624">
        <w:t xml:space="preserve"> </w:t>
      </w:r>
      <w:r w:rsidR="00633E5A" w:rsidRPr="00C81624">
        <w:t>phase</w:t>
      </w:r>
      <w:r w:rsidR="002A55A2" w:rsidRPr="00C81624">
        <w:t xml:space="preserve"> II </w:t>
      </w:r>
      <w:r w:rsidRPr="00C81624">
        <w:t xml:space="preserve">du </w:t>
      </w:r>
      <w:r w:rsidR="00633E5A" w:rsidRPr="00C81624">
        <w:t>Plan de gestion de l’élimination de HCFC</w:t>
      </w:r>
      <w:r w:rsidR="002A55A2" w:rsidRPr="00C81624">
        <w:t xml:space="preserve"> (</w:t>
      </w:r>
      <w:r w:rsidR="00633E5A" w:rsidRPr="00C81624">
        <w:t>PGEH</w:t>
      </w:r>
      <w:r w:rsidR="002A55A2" w:rsidRPr="00C81624">
        <w:t xml:space="preserve">) </w:t>
      </w:r>
      <w:r w:rsidRPr="00C81624">
        <w:t xml:space="preserve">du </w:t>
      </w:r>
      <w:r w:rsidR="00633E5A" w:rsidRPr="00C81624">
        <w:t>Chili</w:t>
      </w:r>
      <w:r w:rsidR="002A55A2" w:rsidRPr="00C81624">
        <w:t xml:space="preserve">; </w:t>
      </w:r>
      <w:r w:rsidRPr="00C81624">
        <w:t>et</w:t>
      </w:r>
    </w:p>
    <w:p w14:paraId="085F623D" w14:textId="77777777" w:rsidR="002A55A2" w:rsidRPr="00C81624" w:rsidRDefault="00B0773C" w:rsidP="009F253D">
      <w:pPr>
        <w:pStyle w:val="Heading2"/>
      </w:pPr>
      <w:r w:rsidRPr="00C81624">
        <w:t xml:space="preserve">Demande au </w:t>
      </w:r>
      <w:r w:rsidR="00633E5A" w:rsidRPr="00C81624">
        <w:t>Gouvernement du Chili</w:t>
      </w:r>
      <w:r w:rsidR="002A55A2" w:rsidRPr="00C81624">
        <w:t xml:space="preserve">, </w:t>
      </w:r>
      <w:r w:rsidRPr="00C81624">
        <w:t xml:space="preserve">par l’intermédiaire du </w:t>
      </w:r>
      <w:r w:rsidR="00633E5A" w:rsidRPr="00C81624">
        <w:t>PNUD</w:t>
      </w:r>
      <w:r w:rsidR="002A55A2" w:rsidRPr="00C81624">
        <w:t xml:space="preserve"> </w:t>
      </w:r>
      <w:r w:rsidRPr="00C81624">
        <w:t xml:space="preserve">en sa qualité d’agence d’exécution principale, de soumettre chaque année des rapports d’avancement sur la mise en œuvre du programme de travail lié à la dernière </w:t>
      </w:r>
      <w:r w:rsidR="002A55A2" w:rsidRPr="00C81624">
        <w:t xml:space="preserve">tranche </w:t>
      </w:r>
      <w:r w:rsidRPr="00C81624">
        <w:t xml:space="preserve">jusqu’à l’achèvement du </w:t>
      </w:r>
      <w:r w:rsidR="002A55A2" w:rsidRPr="00C81624">
        <w:t xml:space="preserve">projet, </w:t>
      </w:r>
      <w:r w:rsidRPr="00C81624">
        <w:t>des rapports de vérification</w:t>
      </w:r>
      <w:r w:rsidR="002A55A2" w:rsidRPr="00C81624">
        <w:t xml:space="preserve"> </w:t>
      </w:r>
      <w:r w:rsidRPr="00C81624">
        <w:t>jusqu’à l’approbation de la</w:t>
      </w:r>
      <w:r w:rsidR="00C73C63">
        <w:t xml:space="preserve"> phase </w:t>
      </w:r>
      <w:r w:rsidR="002A55A2" w:rsidRPr="00C81624">
        <w:t xml:space="preserve">III, </w:t>
      </w:r>
      <w:r w:rsidRPr="00C81624">
        <w:t xml:space="preserve">et le rapport d’achèvement du projet à la première réunion de </w:t>
      </w:r>
      <w:r w:rsidR="002A55A2" w:rsidRPr="00C81624">
        <w:t xml:space="preserve">2023. </w:t>
      </w:r>
    </w:p>
    <w:p w14:paraId="4E4879E1" w14:textId="77777777" w:rsidR="002A55A2" w:rsidRPr="00C81624" w:rsidRDefault="00B0773C" w:rsidP="00B172DB">
      <w:pPr>
        <w:pStyle w:val="Heading2"/>
        <w:keepNext/>
        <w:keepLines/>
      </w:pPr>
      <w:r w:rsidRPr="00C81624">
        <w:lastRenderedPageBreak/>
        <w:t xml:space="preserve">Le Secrétariat du Fonds recommande par ailleurs l’approbation globale de la </w:t>
      </w:r>
      <w:r w:rsidR="00633E5A" w:rsidRPr="00C81624">
        <w:t>troisième</w:t>
      </w:r>
      <w:r w:rsidR="002A55A2" w:rsidRPr="00C81624">
        <w:t xml:space="preserve"> </w:t>
      </w:r>
      <w:r w:rsidRPr="00C81624">
        <w:t xml:space="preserve">et dernière </w:t>
      </w:r>
      <w:r w:rsidR="002A55A2" w:rsidRPr="00C81624">
        <w:t xml:space="preserve">tranche </w:t>
      </w:r>
      <w:r w:rsidRPr="00C81624">
        <w:t xml:space="preserve">de la </w:t>
      </w:r>
      <w:r w:rsidR="00633E5A" w:rsidRPr="00C81624">
        <w:t>phase</w:t>
      </w:r>
      <w:r w:rsidR="002A55A2" w:rsidRPr="00C81624">
        <w:t xml:space="preserve"> II </w:t>
      </w:r>
      <w:r w:rsidRPr="00C81624">
        <w:t>du</w:t>
      </w:r>
      <w:r w:rsidR="002A55A2" w:rsidRPr="00C81624">
        <w:t xml:space="preserve"> </w:t>
      </w:r>
      <w:r w:rsidR="00633E5A" w:rsidRPr="00C81624">
        <w:t>PGEH</w:t>
      </w:r>
      <w:r w:rsidR="002A55A2" w:rsidRPr="00C81624">
        <w:t xml:space="preserve"> </w:t>
      </w:r>
      <w:r w:rsidRPr="00C81624">
        <w:t>du</w:t>
      </w:r>
      <w:r w:rsidR="002A55A2" w:rsidRPr="00C81624">
        <w:t xml:space="preserve"> </w:t>
      </w:r>
      <w:r w:rsidR="00633E5A" w:rsidRPr="00C81624">
        <w:t>Chili</w:t>
      </w:r>
      <w:r w:rsidR="002A55A2" w:rsidRPr="00C81624">
        <w:t xml:space="preserve">, </w:t>
      </w:r>
      <w:r w:rsidRPr="00C81624">
        <w:t xml:space="preserve">ainsi que le plan </w:t>
      </w:r>
      <w:r w:rsidR="00743D73" w:rsidRPr="00C81624">
        <w:t xml:space="preserve">correspondant de mise en œuvre de la tranche pour </w:t>
      </w:r>
      <w:r w:rsidR="002A55A2" w:rsidRPr="00C81624">
        <w:t>2020-2021</w:t>
      </w:r>
      <w:r w:rsidR="00743D73" w:rsidRPr="00C81624">
        <w:t>, aux niveaux de financement indiqués dans le tableau ci-après</w:t>
      </w:r>
      <w:r w:rsidR="002A55A2" w:rsidRPr="00C81624">
        <w:t xml:space="preserve">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747"/>
        <w:gridCol w:w="1530"/>
        <w:gridCol w:w="1260"/>
        <w:gridCol w:w="1166"/>
      </w:tblGrid>
      <w:tr w:rsidR="002A55A2" w:rsidRPr="00C81624" w14:paraId="7DD42226" w14:textId="77777777" w:rsidTr="00C73C63">
        <w:tc>
          <w:tcPr>
            <w:tcW w:w="540" w:type="dxa"/>
          </w:tcPr>
          <w:p w14:paraId="4D787DA9" w14:textId="77777777" w:rsidR="002A55A2" w:rsidRPr="00C81624" w:rsidRDefault="002A55A2" w:rsidP="002A55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7" w:type="dxa"/>
          </w:tcPr>
          <w:p w14:paraId="22799CD4" w14:textId="77777777" w:rsidR="002A55A2" w:rsidRPr="00C81624" w:rsidRDefault="00743D73" w:rsidP="002A55A2">
            <w:pPr>
              <w:jc w:val="left"/>
              <w:rPr>
                <w:b/>
                <w:bCs/>
                <w:sz w:val="20"/>
                <w:szCs w:val="20"/>
              </w:rPr>
            </w:pPr>
            <w:r w:rsidRPr="00C81624">
              <w:rPr>
                <w:b/>
                <w:bCs/>
                <w:sz w:val="20"/>
                <w:szCs w:val="20"/>
              </w:rPr>
              <w:t>Titre du projet</w:t>
            </w:r>
          </w:p>
        </w:tc>
        <w:tc>
          <w:tcPr>
            <w:tcW w:w="1530" w:type="dxa"/>
            <w:tcMar>
              <w:left w:w="29" w:type="dxa"/>
              <w:right w:w="29" w:type="dxa"/>
            </w:tcMar>
          </w:tcPr>
          <w:p w14:paraId="2E824217" w14:textId="77777777" w:rsidR="002A55A2" w:rsidRPr="00C81624" w:rsidRDefault="00743D73" w:rsidP="002A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C81624">
              <w:rPr>
                <w:b/>
                <w:bCs/>
                <w:sz w:val="20"/>
                <w:szCs w:val="20"/>
              </w:rPr>
              <w:t>Financement du projet</w:t>
            </w:r>
            <w:r w:rsidR="002A55A2" w:rsidRPr="00C81624">
              <w:rPr>
                <w:b/>
                <w:bCs/>
                <w:sz w:val="20"/>
                <w:szCs w:val="20"/>
              </w:rPr>
              <w:t xml:space="preserve"> (</w:t>
            </w:r>
            <w:r w:rsidR="00701665" w:rsidRPr="00C81624">
              <w:rPr>
                <w:b/>
                <w:bCs/>
                <w:sz w:val="20"/>
                <w:szCs w:val="20"/>
              </w:rPr>
              <w:t>$US</w:t>
            </w:r>
            <w:r w:rsidR="002A55A2" w:rsidRPr="00C8162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14:paraId="562E345C" w14:textId="77777777" w:rsidR="002A55A2" w:rsidRPr="00C81624" w:rsidRDefault="00743D73" w:rsidP="002A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C81624">
              <w:rPr>
                <w:b/>
                <w:bCs/>
                <w:sz w:val="20"/>
                <w:szCs w:val="20"/>
              </w:rPr>
              <w:t xml:space="preserve">Coût d’appui </w:t>
            </w:r>
            <w:r w:rsidR="002A55A2" w:rsidRPr="00C81624">
              <w:rPr>
                <w:b/>
                <w:bCs/>
                <w:sz w:val="20"/>
                <w:szCs w:val="20"/>
              </w:rPr>
              <w:t xml:space="preserve"> (</w:t>
            </w:r>
            <w:r w:rsidR="00701665" w:rsidRPr="00C81624">
              <w:rPr>
                <w:b/>
                <w:bCs/>
                <w:sz w:val="20"/>
                <w:szCs w:val="20"/>
              </w:rPr>
              <w:t>$US</w:t>
            </w:r>
            <w:r w:rsidR="002A55A2" w:rsidRPr="00C8162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6" w:type="dxa"/>
            <w:tcMar>
              <w:left w:w="29" w:type="dxa"/>
              <w:right w:w="29" w:type="dxa"/>
            </w:tcMar>
          </w:tcPr>
          <w:p w14:paraId="459B9C9E" w14:textId="77777777" w:rsidR="002A55A2" w:rsidRPr="00C81624" w:rsidRDefault="00743D73" w:rsidP="002A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C81624">
              <w:rPr>
                <w:b/>
                <w:bCs/>
                <w:sz w:val="20"/>
                <w:szCs w:val="20"/>
              </w:rPr>
              <w:t>Agence d’exécution</w:t>
            </w:r>
          </w:p>
        </w:tc>
      </w:tr>
      <w:tr w:rsidR="002A55A2" w:rsidRPr="00C81624" w14:paraId="0AB04D57" w14:textId="77777777" w:rsidTr="00C73C63">
        <w:tc>
          <w:tcPr>
            <w:tcW w:w="540" w:type="dxa"/>
          </w:tcPr>
          <w:p w14:paraId="4E2F1A51" w14:textId="77777777" w:rsidR="002A55A2" w:rsidRPr="00C81624" w:rsidRDefault="002A55A2" w:rsidP="002A55A2">
            <w:pPr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(a)</w:t>
            </w:r>
          </w:p>
        </w:tc>
        <w:tc>
          <w:tcPr>
            <w:tcW w:w="4747" w:type="dxa"/>
          </w:tcPr>
          <w:p w14:paraId="001181DA" w14:textId="77777777" w:rsidR="002A55A2" w:rsidRPr="00C81624" w:rsidRDefault="00633E5A" w:rsidP="002A55A2">
            <w:pPr>
              <w:jc w:val="lef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Plan de gestion de l’élimination de HCFC</w:t>
            </w:r>
            <w:r w:rsidR="002A55A2" w:rsidRPr="00C81624">
              <w:rPr>
                <w:sz w:val="20"/>
                <w:szCs w:val="20"/>
              </w:rPr>
              <w:t xml:space="preserve"> (</w:t>
            </w:r>
            <w:r w:rsidRPr="00C81624">
              <w:rPr>
                <w:sz w:val="20"/>
                <w:szCs w:val="20"/>
              </w:rPr>
              <w:t>phase</w:t>
            </w:r>
            <w:r w:rsidR="002A55A2" w:rsidRPr="00C81624">
              <w:rPr>
                <w:sz w:val="20"/>
                <w:szCs w:val="20"/>
              </w:rPr>
              <w:t xml:space="preserve"> II, </w:t>
            </w:r>
            <w:r w:rsidRPr="00C81624">
              <w:rPr>
                <w:sz w:val="20"/>
                <w:szCs w:val="20"/>
              </w:rPr>
              <w:t>troisième</w:t>
            </w:r>
            <w:r w:rsidR="002A55A2" w:rsidRPr="00C81624">
              <w:rPr>
                <w:sz w:val="20"/>
                <w:szCs w:val="20"/>
              </w:rPr>
              <w:t xml:space="preserve"> tranche)</w:t>
            </w:r>
          </w:p>
        </w:tc>
        <w:tc>
          <w:tcPr>
            <w:tcW w:w="1530" w:type="dxa"/>
          </w:tcPr>
          <w:p w14:paraId="3AAF354E" w14:textId="77777777" w:rsidR="002A55A2" w:rsidRPr="00C81624" w:rsidRDefault="002A55A2" w:rsidP="002A55A2">
            <w:pPr>
              <w:jc w:val="right"/>
              <w:rPr>
                <w:sz w:val="20"/>
                <w:szCs w:val="20"/>
                <w:highlight w:val="cyan"/>
              </w:rPr>
            </w:pPr>
            <w:r w:rsidRPr="00C81624">
              <w:rPr>
                <w:rFonts w:eastAsiaTheme="minorHAnsi"/>
                <w:sz w:val="20"/>
                <w:szCs w:val="20"/>
              </w:rPr>
              <w:t>42</w:t>
            </w:r>
            <w:r w:rsidR="00743D73" w:rsidRPr="00C81624">
              <w:rPr>
                <w:rFonts w:eastAsiaTheme="minorHAnsi"/>
                <w:sz w:val="20"/>
                <w:szCs w:val="20"/>
              </w:rPr>
              <w:t> </w:t>
            </w:r>
            <w:r w:rsidRPr="00C81624">
              <w:rPr>
                <w:rFonts w:eastAsiaTheme="minorHAnsi"/>
                <w:sz w:val="20"/>
                <w:szCs w:val="20"/>
              </w:rPr>
              <w:t>181</w:t>
            </w:r>
          </w:p>
        </w:tc>
        <w:tc>
          <w:tcPr>
            <w:tcW w:w="1260" w:type="dxa"/>
          </w:tcPr>
          <w:p w14:paraId="6E9CB226" w14:textId="77777777" w:rsidR="002A55A2" w:rsidRPr="00C81624" w:rsidRDefault="002A55A2" w:rsidP="002A55A2">
            <w:pPr>
              <w:jc w:val="right"/>
              <w:rPr>
                <w:sz w:val="20"/>
                <w:szCs w:val="20"/>
              </w:rPr>
            </w:pPr>
            <w:r w:rsidRPr="00C81624">
              <w:rPr>
                <w:rFonts w:eastAsiaTheme="minorHAnsi"/>
                <w:sz w:val="20"/>
                <w:szCs w:val="20"/>
              </w:rPr>
              <w:t>2</w:t>
            </w:r>
            <w:r w:rsidR="00743D73" w:rsidRPr="00C81624">
              <w:rPr>
                <w:rFonts w:eastAsiaTheme="minorHAnsi"/>
                <w:sz w:val="20"/>
                <w:szCs w:val="20"/>
              </w:rPr>
              <w:t> </w:t>
            </w:r>
            <w:r w:rsidRPr="00C81624">
              <w:rPr>
                <w:rFonts w:eastAsiaTheme="minorHAnsi"/>
                <w:sz w:val="20"/>
                <w:szCs w:val="20"/>
              </w:rPr>
              <w:t>952</w:t>
            </w:r>
          </w:p>
        </w:tc>
        <w:tc>
          <w:tcPr>
            <w:tcW w:w="1166" w:type="dxa"/>
          </w:tcPr>
          <w:p w14:paraId="0C6B47DB" w14:textId="77777777" w:rsidR="002A55A2" w:rsidRPr="00C81624" w:rsidRDefault="00633E5A" w:rsidP="002A55A2">
            <w:pPr>
              <w:jc w:val="center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PNUD</w:t>
            </w:r>
          </w:p>
        </w:tc>
      </w:tr>
      <w:tr w:rsidR="002A55A2" w:rsidRPr="00C81624" w14:paraId="69D42390" w14:textId="77777777" w:rsidTr="00C73C63">
        <w:tc>
          <w:tcPr>
            <w:tcW w:w="540" w:type="dxa"/>
          </w:tcPr>
          <w:p w14:paraId="2893BF99" w14:textId="77777777" w:rsidR="002A55A2" w:rsidRPr="00C81624" w:rsidRDefault="002A55A2" w:rsidP="002A55A2">
            <w:pPr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(b)</w:t>
            </w:r>
          </w:p>
        </w:tc>
        <w:tc>
          <w:tcPr>
            <w:tcW w:w="4747" w:type="dxa"/>
          </w:tcPr>
          <w:p w14:paraId="472A24E0" w14:textId="77777777" w:rsidR="002A55A2" w:rsidRPr="00C81624" w:rsidRDefault="00633E5A" w:rsidP="002A55A2">
            <w:pPr>
              <w:jc w:val="lef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Plan de gestion de l’élimination de HCFC</w:t>
            </w:r>
            <w:r w:rsidR="002A55A2" w:rsidRPr="00C81624">
              <w:rPr>
                <w:sz w:val="20"/>
                <w:szCs w:val="20"/>
              </w:rPr>
              <w:t xml:space="preserve"> (</w:t>
            </w:r>
            <w:r w:rsidRPr="00C81624">
              <w:rPr>
                <w:sz w:val="20"/>
                <w:szCs w:val="20"/>
              </w:rPr>
              <w:t>phase</w:t>
            </w:r>
            <w:r w:rsidR="002A55A2" w:rsidRPr="00C81624">
              <w:rPr>
                <w:sz w:val="20"/>
                <w:szCs w:val="20"/>
              </w:rPr>
              <w:t xml:space="preserve"> II, </w:t>
            </w:r>
            <w:r w:rsidRPr="00C81624">
              <w:rPr>
                <w:sz w:val="20"/>
                <w:szCs w:val="20"/>
              </w:rPr>
              <w:t>troisième</w:t>
            </w:r>
            <w:r w:rsidR="002A55A2" w:rsidRPr="00C81624">
              <w:rPr>
                <w:sz w:val="20"/>
                <w:szCs w:val="20"/>
              </w:rPr>
              <w:t xml:space="preserve"> tranche)</w:t>
            </w:r>
          </w:p>
        </w:tc>
        <w:tc>
          <w:tcPr>
            <w:tcW w:w="1530" w:type="dxa"/>
          </w:tcPr>
          <w:p w14:paraId="36D58C7A" w14:textId="77777777" w:rsidR="002A55A2" w:rsidRPr="00C81624" w:rsidRDefault="002A55A2" w:rsidP="002A55A2">
            <w:pPr>
              <w:jc w:val="right"/>
              <w:rPr>
                <w:sz w:val="20"/>
                <w:szCs w:val="20"/>
                <w:highlight w:val="cyan"/>
              </w:rPr>
            </w:pPr>
            <w:r w:rsidRPr="00C81624">
              <w:rPr>
                <w:rFonts w:eastAsiaTheme="minorHAnsi"/>
                <w:sz w:val="20"/>
                <w:szCs w:val="20"/>
              </w:rPr>
              <w:t>21</w:t>
            </w:r>
            <w:r w:rsidR="00743D73" w:rsidRPr="00C81624">
              <w:rPr>
                <w:rFonts w:eastAsiaTheme="minorHAnsi"/>
                <w:sz w:val="20"/>
                <w:szCs w:val="20"/>
              </w:rPr>
              <w:t> </w:t>
            </w:r>
            <w:r w:rsidRPr="00C81624">
              <w:rPr>
                <w:rFonts w:eastAsiaTheme="minorHAnsi"/>
                <w:sz w:val="20"/>
                <w:szCs w:val="20"/>
              </w:rPr>
              <w:t>827</w:t>
            </w:r>
          </w:p>
        </w:tc>
        <w:tc>
          <w:tcPr>
            <w:tcW w:w="1260" w:type="dxa"/>
          </w:tcPr>
          <w:p w14:paraId="397AFBC3" w14:textId="77777777" w:rsidR="002A55A2" w:rsidRPr="00C81624" w:rsidRDefault="002A55A2" w:rsidP="002A55A2">
            <w:pPr>
              <w:jc w:val="right"/>
              <w:rPr>
                <w:sz w:val="20"/>
                <w:szCs w:val="20"/>
              </w:rPr>
            </w:pPr>
            <w:r w:rsidRPr="00C81624">
              <w:rPr>
                <w:rFonts w:eastAsiaTheme="minorHAnsi"/>
                <w:sz w:val="20"/>
                <w:szCs w:val="20"/>
              </w:rPr>
              <w:t>2</w:t>
            </w:r>
            <w:r w:rsidR="00743D73" w:rsidRPr="00C81624">
              <w:rPr>
                <w:rFonts w:eastAsiaTheme="minorHAnsi"/>
                <w:sz w:val="20"/>
                <w:szCs w:val="20"/>
              </w:rPr>
              <w:t> </w:t>
            </w:r>
            <w:r w:rsidRPr="00C81624">
              <w:rPr>
                <w:rFonts w:eastAsiaTheme="minorHAnsi"/>
                <w:sz w:val="20"/>
                <w:szCs w:val="20"/>
              </w:rPr>
              <w:t>837</w:t>
            </w:r>
          </w:p>
        </w:tc>
        <w:tc>
          <w:tcPr>
            <w:tcW w:w="1166" w:type="dxa"/>
          </w:tcPr>
          <w:p w14:paraId="3E1940B5" w14:textId="77777777" w:rsidR="002A55A2" w:rsidRPr="00C81624" w:rsidRDefault="00633E5A" w:rsidP="002A55A2">
            <w:pPr>
              <w:jc w:val="center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PNUE</w:t>
            </w:r>
          </w:p>
        </w:tc>
      </w:tr>
      <w:tr w:rsidR="002A55A2" w:rsidRPr="00C81624" w14:paraId="227B91AD" w14:textId="77777777" w:rsidTr="00C73C63">
        <w:tc>
          <w:tcPr>
            <w:tcW w:w="540" w:type="dxa"/>
          </w:tcPr>
          <w:p w14:paraId="0A6533EA" w14:textId="77777777" w:rsidR="002A55A2" w:rsidRPr="00C81624" w:rsidRDefault="002A55A2" w:rsidP="002A55A2">
            <w:pPr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(c)</w:t>
            </w:r>
          </w:p>
        </w:tc>
        <w:tc>
          <w:tcPr>
            <w:tcW w:w="4747" w:type="dxa"/>
          </w:tcPr>
          <w:p w14:paraId="6785615C" w14:textId="77777777" w:rsidR="002A55A2" w:rsidRPr="00C81624" w:rsidRDefault="00633E5A" w:rsidP="002A55A2">
            <w:pPr>
              <w:jc w:val="left"/>
              <w:rPr>
                <w:sz w:val="20"/>
                <w:szCs w:val="20"/>
              </w:rPr>
            </w:pPr>
            <w:r w:rsidRPr="00C81624">
              <w:rPr>
                <w:sz w:val="20"/>
                <w:szCs w:val="20"/>
              </w:rPr>
              <w:t>Plan de gestion de l’élimination de HCFC</w:t>
            </w:r>
            <w:r w:rsidR="002A55A2" w:rsidRPr="00C81624">
              <w:rPr>
                <w:sz w:val="20"/>
                <w:szCs w:val="20"/>
              </w:rPr>
              <w:t xml:space="preserve"> (</w:t>
            </w:r>
            <w:r w:rsidRPr="00C81624">
              <w:rPr>
                <w:sz w:val="20"/>
                <w:szCs w:val="20"/>
              </w:rPr>
              <w:t>phase</w:t>
            </w:r>
            <w:r w:rsidR="002A55A2" w:rsidRPr="00C81624">
              <w:rPr>
                <w:sz w:val="20"/>
                <w:szCs w:val="20"/>
              </w:rPr>
              <w:t xml:space="preserve"> II, </w:t>
            </w:r>
            <w:r w:rsidRPr="00C81624">
              <w:rPr>
                <w:sz w:val="20"/>
                <w:szCs w:val="20"/>
              </w:rPr>
              <w:t>troisième</w:t>
            </w:r>
            <w:r w:rsidR="002A55A2" w:rsidRPr="00C81624">
              <w:rPr>
                <w:sz w:val="20"/>
                <w:szCs w:val="20"/>
              </w:rPr>
              <w:t xml:space="preserve"> tranche)</w:t>
            </w:r>
          </w:p>
        </w:tc>
        <w:tc>
          <w:tcPr>
            <w:tcW w:w="1530" w:type="dxa"/>
          </w:tcPr>
          <w:p w14:paraId="02F4FFF6" w14:textId="77777777" w:rsidR="002A55A2" w:rsidRPr="00C81624" w:rsidRDefault="002A55A2" w:rsidP="002A55A2">
            <w:pPr>
              <w:jc w:val="right"/>
              <w:rPr>
                <w:sz w:val="20"/>
                <w:szCs w:val="20"/>
                <w:highlight w:val="cyan"/>
              </w:rPr>
            </w:pPr>
            <w:r w:rsidRPr="00C81624">
              <w:rPr>
                <w:sz w:val="20"/>
                <w:szCs w:val="20"/>
              </w:rPr>
              <w:t>103</w:t>
            </w:r>
            <w:r w:rsidR="00743D73" w:rsidRPr="00C81624">
              <w:rPr>
                <w:sz w:val="20"/>
                <w:szCs w:val="20"/>
              </w:rPr>
              <w:t> </w:t>
            </w:r>
            <w:r w:rsidRPr="00C81624">
              <w:rPr>
                <w:sz w:val="20"/>
                <w:szCs w:val="20"/>
              </w:rPr>
              <w:t>070</w:t>
            </w:r>
          </w:p>
        </w:tc>
        <w:tc>
          <w:tcPr>
            <w:tcW w:w="1260" w:type="dxa"/>
          </w:tcPr>
          <w:p w14:paraId="0C0C254F" w14:textId="77777777" w:rsidR="002A55A2" w:rsidRPr="00C81624" w:rsidRDefault="002A55A2" w:rsidP="002A55A2">
            <w:pPr>
              <w:jc w:val="right"/>
              <w:rPr>
                <w:sz w:val="20"/>
                <w:szCs w:val="20"/>
                <w:highlight w:val="cyan"/>
              </w:rPr>
            </w:pPr>
            <w:r w:rsidRPr="00C81624">
              <w:rPr>
                <w:sz w:val="20"/>
                <w:szCs w:val="20"/>
              </w:rPr>
              <w:t>7</w:t>
            </w:r>
            <w:r w:rsidR="00743D73" w:rsidRPr="00C81624">
              <w:rPr>
                <w:sz w:val="20"/>
                <w:szCs w:val="20"/>
              </w:rPr>
              <w:t> </w:t>
            </w:r>
            <w:r w:rsidRPr="00C81624">
              <w:rPr>
                <w:sz w:val="20"/>
                <w:szCs w:val="20"/>
              </w:rPr>
              <w:t>215</w:t>
            </w:r>
          </w:p>
        </w:tc>
        <w:tc>
          <w:tcPr>
            <w:tcW w:w="1166" w:type="dxa"/>
          </w:tcPr>
          <w:p w14:paraId="4900103B" w14:textId="77777777" w:rsidR="002A55A2" w:rsidRPr="00C81624" w:rsidRDefault="00633E5A" w:rsidP="002A55A2">
            <w:pPr>
              <w:jc w:val="center"/>
              <w:rPr>
                <w:sz w:val="20"/>
                <w:szCs w:val="20"/>
                <w:highlight w:val="cyan"/>
              </w:rPr>
            </w:pPr>
            <w:r w:rsidRPr="00C81624">
              <w:rPr>
                <w:sz w:val="20"/>
                <w:szCs w:val="20"/>
              </w:rPr>
              <w:t>ONUDI</w:t>
            </w:r>
          </w:p>
        </w:tc>
      </w:tr>
    </w:tbl>
    <w:p w14:paraId="799053C4" w14:textId="77777777" w:rsidR="002A55A2" w:rsidRDefault="002A55A2" w:rsidP="002A55A2"/>
    <w:p w14:paraId="30EA6FB4" w14:textId="77777777" w:rsidR="00C73C63" w:rsidRDefault="00C73C63" w:rsidP="002A55A2"/>
    <w:p w14:paraId="2CCC1CA4" w14:textId="77777777" w:rsidR="00C73C63" w:rsidRPr="00C81624" w:rsidRDefault="00C73C63" w:rsidP="002A55A2"/>
    <w:p w14:paraId="2D7387A9" w14:textId="77777777" w:rsidR="002A55A2" w:rsidRPr="00C81624" w:rsidRDefault="002A55A2" w:rsidP="002A55A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2A55A2" w:rsidRPr="00C81624" w14:paraId="0F2ACED5" w14:textId="77777777" w:rsidTr="00633E5A">
        <w:tc>
          <w:tcPr>
            <w:tcW w:w="1915" w:type="dxa"/>
          </w:tcPr>
          <w:p w14:paraId="44282E31" w14:textId="77777777" w:rsidR="002A55A2" w:rsidRPr="00C81624" w:rsidRDefault="002A55A2" w:rsidP="002A55A2"/>
        </w:tc>
        <w:tc>
          <w:tcPr>
            <w:tcW w:w="1915" w:type="dxa"/>
          </w:tcPr>
          <w:p w14:paraId="5480F8CC" w14:textId="77777777" w:rsidR="002A55A2" w:rsidRPr="00C81624" w:rsidRDefault="002A55A2" w:rsidP="002A55A2"/>
        </w:tc>
        <w:tc>
          <w:tcPr>
            <w:tcW w:w="1915" w:type="dxa"/>
            <w:tcBorders>
              <w:bottom w:val="single" w:sz="4" w:space="0" w:color="auto"/>
            </w:tcBorders>
          </w:tcPr>
          <w:p w14:paraId="72D592A2" w14:textId="77777777" w:rsidR="002A55A2" w:rsidRPr="00C81624" w:rsidRDefault="002A55A2" w:rsidP="002A55A2"/>
        </w:tc>
        <w:tc>
          <w:tcPr>
            <w:tcW w:w="1915" w:type="dxa"/>
          </w:tcPr>
          <w:p w14:paraId="0667399B" w14:textId="77777777" w:rsidR="002A55A2" w:rsidRPr="00C81624" w:rsidRDefault="002A55A2" w:rsidP="002A55A2"/>
        </w:tc>
        <w:tc>
          <w:tcPr>
            <w:tcW w:w="1916" w:type="dxa"/>
          </w:tcPr>
          <w:p w14:paraId="4119A063" w14:textId="77777777" w:rsidR="002A55A2" w:rsidRPr="00C81624" w:rsidRDefault="002A55A2" w:rsidP="002A55A2"/>
        </w:tc>
      </w:tr>
    </w:tbl>
    <w:p w14:paraId="784D8530" w14:textId="77777777" w:rsidR="002A55A2" w:rsidRPr="00C81624" w:rsidRDefault="002A55A2" w:rsidP="002A55A2"/>
    <w:p w14:paraId="50FB6B09" w14:textId="77777777" w:rsidR="00C27322" w:rsidRPr="00C81624" w:rsidRDefault="00C27322" w:rsidP="00C27322">
      <w:pPr>
        <w:pStyle w:val="StyleHeading1Para1Heading1CharHeading1Char3CharHeadin"/>
      </w:pPr>
    </w:p>
    <w:p w14:paraId="584627FD" w14:textId="77777777" w:rsidR="00441083" w:rsidRPr="00C81624" w:rsidRDefault="00441083">
      <w:pPr>
        <w:sectPr w:rsidR="00441083" w:rsidRPr="00C81624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 w:code="1"/>
          <w:pgMar w:top="720" w:right="1440" w:bottom="864" w:left="1440" w:header="720" w:footer="475" w:gutter="0"/>
          <w:cols w:space="720"/>
          <w:titlePg/>
        </w:sectPr>
      </w:pPr>
    </w:p>
    <w:p w14:paraId="1678E815" w14:textId="77777777" w:rsidR="00441083" w:rsidRPr="00C81624" w:rsidRDefault="00E60D9C">
      <w:pPr>
        <w:jc w:val="center"/>
        <w:rPr>
          <w:b/>
        </w:rPr>
      </w:pPr>
      <w:r w:rsidRPr="00C81624">
        <w:rPr>
          <w:b/>
        </w:rPr>
        <w:lastRenderedPageBreak/>
        <w:t>Annexe I</w:t>
      </w:r>
    </w:p>
    <w:p w14:paraId="376C38EF" w14:textId="77777777" w:rsidR="00441083" w:rsidRPr="00C81624" w:rsidRDefault="00441083"/>
    <w:p w14:paraId="4DD0F15B" w14:textId="77777777" w:rsidR="00441083" w:rsidRPr="00C81624" w:rsidRDefault="00441083"/>
    <w:p w14:paraId="63C8034D" w14:textId="77777777" w:rsidR="00441083" w:rsidRPr="00C81624" w:rsidRDefault="00441083"/>
    <w:p w14:paraId="0B33999C" w14:textId="77777777" w:rsidR="00441083" w:rsidRPr="00C81624" w:rsidRDefault="00441083"/>
    <w:p w14:paraId="5598BA15" w14:textId="77777777" w:rsidR="00441083" w:rsidRPr="00C81624" w:rsidRDefault="00441083"/>
    <w:p w14:paraId="5F278B3F" w14:textId="77777777" w:rsidR="00441083" w:rsidRPr="00C81624" w:rsidRDefault="00441083"/>
    <w:p w14:paraId="0B15E501" w14:textId="77777777" w:rsidR="00441083" w:rsidRPr="00C81624" w:rsidRDefault="00441083"/>
    <w:p w14:paraId="61FF072A" w14:textId="77777777" w:rsidR="00441083" w:rsidRPr="00C81624" w:rsidRDefault="00441083"/>
    <w:p w14:paraId="0FC2D21E" w14:textId="77777777" w:rsidR="00441083" w:rsidRPr="00C81624" w:rsidRDefault="00441083"/>
    <w:p w14:paraId="4003860A" w14:textId="77777777" w:rsidR="00441083" w:rsidRPr="00C81624" w:rsidRDefault="00441083"/>
    <w:p w14:paraId="623A0FDD" w14:textId="77777777" w:rsidR="00441083" w:rsidRPr="00C81624" w:rsidRDefault="00441083"/>
    <w:p w14:paraId="687F7024" w14:textId="77777777" w:rsidR="00441083" w:rsidRPr="00C81624" w:rsidRDefault="00441083"/>
    <w:p w14:paraId="7BFE13A1" w14:textId="77777777" w:rsidR="00441083" w:rsidRPr="00C81624" w:rsidRDefault="00441083"/>
    <w:p w14:paraId="5D43FFAC" w14:textId="77777777" w:rsidR="00441083" w:rsidRPr="00C81624" w:rsidRDefault="00441083"/>
    <w:p w14:paraId="14B450D0" w14:textId="77777777" w:rsidR="00441083" w:rsidRPr="00C81624" w:rsidRDefault="00441083"/>
    <w:p w14:paraId="648D018B" w14:textId="77777777" w:rsidR="00441083" w:rsidRPr="00C81624" w:rsidRDefault="00441083"/>
    <w:p w14:paraId="1081245D" w14:textId="77777777" w:rsidR="00441083" w:rsidRPr="00C81624" w:rsidRDefault="00441083"/>
    <w:p w14:paraId="455CC8B8" w14:textId="77777777" w:rsidR="00441083" w:rsidRPr="00C81624" w:rsidRDefault="00441083"/>
    <w:p w14:paraId="138D18E2" w14:textId="77777777" w:rsidR="00441083" w:rsidRPr="00C81624" w:rsidRDefault="00441083"/>
    <w:p w14:paraId="27004801" w14:textId="77777777" w:rsidR="00441083" w:rsidRPr="00C81624" w:rsidRDefault="00441083"/>
    <w:p w14:paraId="50D72727" w14:textId="77777777" w:rsidR="00441083" w:rsidRPr="00C81624" w:rsidRDefault="00441083"/>
    <w:p w14:paraId="6905E65F" w14:textId="77777777" w:rsidR="00441083" w:rsidRPr="00C81624" w:rsidRDefault="00441083"/>
    <w:p w14:paraId="2263B73C" w14:textId="77777777" w:rsidR="00441083" w:rsidRPr="00C81624" w:rsidRDefault="00441083"/>
    <w:p w14:paraId="667941C6" w14:textId="77777777" w:rsidR="00441083" w:rsidRPr="00C81624" w:rsidRDefault="00441083"/>
    <w:p w14:paraId="54DD45FC" w14:textId="77777777" w:rsidR="00441083" w:rsidRPr="00C81624" w:rsidRDefault="00441083"/>
    <w:p w14:paraId="47D2B474" w14:textId="77777777" w:rsidR="00441083" w:rsidRPr="00C81624" w:rsidRDefault="00441083"/>
    <w:p w14:paraId="7961B328" w14:textId="77777777" w:rsidR="00441083" w:rsidRPr="00C81624" w:rsidRDefault="00441083"/>
    <w:p w14:paraId="342310C0" w14:textId="77777777" w:rsidR="00441083" w:rsidRPr="00C81624" w:rsidRDefault="00441083"/>
    <w:p w14:paraId="40465C1C" w14:textId="77777777" w:rsidR="00441083" w:rsidRPr="00C81624" w:rsidRDefault="00441083"/>
    <w:p w14:paraId="66486726" w14:textId="77777777" w:rsidR="00441083" w:rsidRPr="00C81624" w:rsidRDefault="00441083"/>
    <w:p w14:paraId="02AA19DD" w14:textId="77777777" w:rsidR="00441083" w:rsidRPr="00C81624" w:rsidRDefault="00441083"/>
    <w:p w14:paraId="52AEECD4" w14:textId="77777777" w:rsidR="00441083" w:rsidRPr="00C81624" w:rsidRDefault="00441083"/>
    <w:p w14:paraId="1BC06E0B" w14:textId="77777777" w:rsidR="00441083" w:rsidRPr="00C81624" w:rsidRDefault="00441083"/>
    <w:p w14:paraId="404A4B20" w14:textId="77777777" w:rsidR="00441083" w:rsidRPr="00C81624" w:rsidRDefault="00441083"/>
    <w:p w14:paraId="7D30EE20" w14:textId="77777777" w:rsidR="00441083" w:rsidRPr="00C81624" w:rsidRDefault="00441083"/>
    <w:p w14:paraId="592C4A38" w14:textId="77777777" w:rsidR="00441083" w:rsidRPr="00C81624" w:rsidRDefault="00441083"/>
    <w:p w14:paraId="13282548" w14:textId="77777777" w:rsidR="00441083" w:rsidRPr="00C81624" w:rsidRDefault="00441083"/>
    <w:p w14:paraId="062AF3F5" w14:textId="77777777" w:rsidR="00441083" w:rsidRPr="00C81624" w:rsidRDefault="00441083"/>
    <w:p w14:paraId="38DDA558" w14:textId="77777777" w:rsidR="00441083" w:rsidRPr="00C81624" w:rsidRDefault="00441083"/>
    <w:p w14:paraId="2A1CE24F" w14:textId="77777777" w:rsidR="00441083" w:rsidRPr="00C81624" w:rsidRDefault="00441083"/>
    <w:p w14:paraId="3122B329" w14:textId="77777777" w:rsidR="00441083" w:rsidRPr="00C81624" w:rsidRDefault="00441083"/>
    <w:p w14:paraId="1B400A28" w14:textId="77777777" w:rsidR="00441083" w:rsidRPr="00C81624" w:rsidRDefault="00441083"/>
    <w:p w14:paraId="02D26758" w14:textId="77777777" w:rsidR="00441083" w:rsidRPr="00C81624" w:rsidRDefault="004410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441083" w:rsidRPr="00C81624" w14:paraId="1316B29E" w14:textId="77777777">
        <w:tc>
          <w:tcPr>
            <w:tcW w:w="1915" w:type="dxa"/>
          </w:tcPr>
          <w:p w14:paraId="5CD34108" w14:textId="77777777" w:rsidR="00441083" w:rsidRPr="00C81624" w:rsidRDefault="00441083"/>
        </w:tc>
        <w:tc>
          <w:tcPr>
            <w:tcW w:w="1915" w:type="dxa"/>
          </w:tcPr>
          <w:p w14:paraId="2F72B43D" w14:textId="77777777" w:rsidR="00441083" w:rsidRPr="00C81624" w:rsidRDefault="00441083"/>
        </w:tc>
        <w:tc>
          <w:tcPr>
            <w:tcW w:w="1915" w:type="dxa"/>
            <w:tcBorders>
              <w:bottom w:val="single" w:sz="4" w:space="0" w:color="auto"/>
            </w:tcBorders>
          </w:tcPr>
          <w:p w14:paraId="5E795AF4" w14:textId="77777777" w:rsidR="00441083" w:rsidRPr="00C81624" w:rsidRDefault="00441083">
            <w:pPr>
              <w:rPr>
                <w:b/>
                <w:bCs/>
              </w:rPr>
            </w:pPr>
          </w:p>
        </w:tc>
        <w:tc>
          <w:tcPr>
            <w:tcW w:w="1915" w:type="dxa"/>
          </w:tcPr>
          <w:p w14:paraId="70A337D3" w14:textId="77777777" w:rsidR="00441083" w:rsidRPr="00C81624" w:rsidRDefault="00441083"/>
        </w:tc>
        <w:tc>
          <w:tcPr>
            <w:tcW w:w="1916" w:type="dxa"/>
          </w:tcPr>
          <w:p w14:paraId="40A19D27" w14:textId="77777777" w:rsidR="00441083" w:rsidRPr="00C81624" w:rsidRDefault="00441083"/>
        </w:tc>
      </w:tr>
    </w:tbl>
    <w:p w14:paraId="68CF1BE1" w14:textId="77777777" w:rsidR="00441083" w:rsidRPr="00C81624" w:rsidRDefault="00441083"/>
    <w:p w14:paraId="6C6D87B0" w14:textId="77777777" w:rsidR="00ED1FCD" w:rsidRPr="00C81624" w:rsidRDefault="00ED1FCD"/>
    <w:sectPr w:rsidR="00ED1FCD" w:rsidRPr="00C81624">
      <w:headerReference w:type="first" r:id="rId15"/>
      <w:footerReference w:type="first" r:id="rId16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80D42" w14:textId="77777777" w:rsidR="00F12E04" w:rsidRDefault="00F12E04">
      <w:r>
        <w:separator/>
      </w:r>
    </w:p>
  </w:endnote>
  <w:endnote w:type="continuationSeparator" w:id="0">
    <w:p w14:paraId="16E5B2EA" w14:textId="77777777" w:rsidR="00F12E04" w:rsidRDefault="00F1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86CC2" w14:textId="77777777" w:rsidR="00123A87" w:rsidRDefault="00123A87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743AE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952E2" w14:textId="77777777" w:rsidR="00123A87" w:rsidRDefault="00123A87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743AE2">
      <w:rPr>
        <w:noProof/>
      </w:rPr>
      <w:t>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A458E" w14:textId="77777777" w:rsidR="00123A87" w:rsidRDefault="00123A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 xml:space="preserve">Les documents de présession du Comité exécutif du Fonds multilatéral aux fins d’application du Protocole de </w:t>
    </w:r>
  </w:p>
  <w:p w14:paraId="740B2D67" w14:textId="77777777" w:rsidR="00123A87" w:rsidRDefault="00123A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>Montréal sont présentés sous réserve des décisions pouvant être prises par le Comité exécutif après leur publication.</w:t>
    </w:r>
  </w:p>
  <w:p w14:paraId="6BD9B9EF" w14:textId="77777777" w:rsidR="00123A87" w:rsidRDefault="00123A87">
    <w:pPr>
      <w:pStyle w:val="Footer"/>
      <w:rPr>
        <w:lang w:val="fr-F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5708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7CBC7" w14:textId="77777777" w:rsidR="00123A87" w:rsidRDefault="00123A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B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B151A7" w14:textId="77777777" w:rsidR="00123A87" w:rsidRDefault="00123A87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441F5" w14:textId="77777777" w:rsidR="00F12E04" w:rsidRDefault="00F12E04">
      <w:r>
        <w:separator/>
      </w:r>
    </w:p>
  </w:footnote>
  <w:footnote w:type="continuationSeparator" w:id="0">
    <w:p w14:paraId="57BF28A3" w14:textId="77777777" w:rsidR="00F12E04" w:rsidRDefault="00F12E04">
      <w:r>
        <w:continuationSeparator/>
      </w:r>
    </w:p>
  </w:footnote>
  <w:footnote w:id="1">
    <w:p w14:paraId="56081E10" w14:textId="77777777" w:rsidR="00123A87" w:rsidRPr="00EB165C" w:rsidRDefault="00123A87" w:rsidP="002A55A2">
      <w:pPr>
        <w:pStyle w:val="FootnoteText"/>
      </w:pPr>
      <w:r w:rsidRPr="00FE3307">
        <w:rPr>
          <w:rStyle w:val="FootnoteReference"/>
        </w:rPr>
        <w:footnoteRef/>
      </w:r>
      <w:r w:rsidRPr="00EB165C">
        <w:t xml:space="preserve"> D’après la lettre du 11 mars 2020 du ministère de </w:t>
      </w:r>
      <w:r>
        <w:t>l’</w:t>
      </w:r>
      <w:r w:rsidRPr="00EB165C">
        <w:t>Environ</w:t>
      </w:r>
      <w:r>
        <w:t>ne</w:t>
      </w:r>
      <w:r w:rsidRPr="00EB165C">
        <w:t xml:space="preserve">ment </w:t>
      </w:r>
      <w:r>
        <w:t>du</w:t>
      </w:r>
      <w:r w:rsidRPr="00EB165C">
        <w:t xml:space="preserve"> Chili </w:t>
      </w:r>
      <w:r>
        <w:t>adressée au</w:t>
      </w:r>
      <w:r w:rsidRPr="00EB165C">
        <w:t xml:space="preserve"> PNUD.</w:t>
      </w:r>
    </w:p>
  </w:footnote>
  <w:footnote w:id="2">
    <w:p w14:paraId="10763DC8" w14:textId="77777777" w:rsidR="00123A87" w:rsidRPr="00FC70C7" w:rsidRDefault="00123A87" w:rsidP="002A55A2">
      <w:pPr>
        <w:pStyle w:val="FootnoteText"/>
      </w:pPr>
      <w:r>
        <w:rPr>
          <w:rStyle w:val="FootnoteReference"/>
        </w:rPr>
        <w:footnoteRef/>
      </w:r>
      <w:r w:rsidRPr="00FC70C7">
        <w:t xml:space="preserve"> La décision 84/92(d) demande aux agences bilatérales et d’exécution </w:t>
      </w:r>
      <w:r>
        <w:t>d</w:t>
      </w:r>
      <w:r w:rsidRPr="00FC70C7">
        <w:t>’appliquer la politique opérationnelle sur l’intégration de l’égalité des sexes tout au long du cycle des projets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0A99" w14:textId="77777777" w:rsidR="00123A87" w:rsidRDefault="00123A87">
    <w:r>
      <w:fldChar w:fldCharType="begin"/>
    </w:r>
    <w:r>
      <w:instrText xml:space="preserve"> DOCPROPERTY "Document number"  \* MERGEFORMAT </w:instrText>
    </w:r>
    <w:r>
      <w:fldChar w:fldCharType="separate"/>
    </w:r>
    <w:r w:rsidR="00CB1E4E">
      <w:t>UNEP/</w:t>
    </w:r>
    <w:proofErr w:type="spellStart"/>
    <w:r w:rsidR="00CB1E4E">
      <w:t>OzL.Pro</w:t>
    </w:r>
    <w:proofErr w:type="spellEnd"/>
    <w:r w:rsidR="00CB1E4E">
      <w:t>/</w:t>
    </w:r>
    <w:proofErr w:type="spellStart"/>
    <w:r w:rsidR="00CB1E4E">
      <w:t>ExCom</w:t>
    </w:r>
    <w:proofErr w:type="spellEnd"/>
    <w:r w:rsidR="00CB1E4E">
      <w:t>/85/22</w:t>
    </w:r>
    <w:r>
      <w:fldChar w:fldCharType="end"/>
    </w:r>
  </w:p>
  <w:p w14:paraId="3AE84C6D" w14:textId="77777777" w:rsidR="00123A87" w:rsidRDefault="00123A87"/>
  <w:p w14:paraId="7CC8B7F4" w14:textId="77777777" w:rsidR="00123A87" w:rsidRDefault="00123A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A6C65" w14:textId="77777777" w:rsidR="00123A87" w:rsidRDefault="00123A87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CB1E4E">
      <w:t>UNEP/</w:t>
    </w:r>
    <w:proofErr w:type="spellStart"/>
    <w:r w:rsidR="00CB1E4E">
      <w:t>OzL.Pro</w:t>
    </w:r>
    <w:proofErr w:type="spellEnd"/>
    <w:r w:rsidR="00CB1E4E">
      <w:t>/</w:t>
    </w:r>
    <w:proofErr w:type="spellStart"/>
    <w:r w:rsidR="00CB1E4E">
      <w:t>ExCom</w:t>
    </w:r>
    <w:proofErr w:type="spellEnd"/>
    <w:r w:rsidR="00CB1E4E">
      <w:t>/85/22</w:t>
    </w:r>
    <w:r>
      <w:fldChar w:fldCharType="end"/>
    </w:r>
  </w:p>
  <w:p w14:paraId="38DCFFCF" w14:textId="77777777" w:rsidR="00123A87" w:rsidRDefault="00123A87"/>
  <w:p w14:paraId="114E8CFB" w14:textId="77777777" w:rsidR="00123A87" w:rsidRDefault="00123A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B4217" w14:textId="77777777" w:rsidR="00123A87" w:rsidRDefault="00123A87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/85/1</w:t>
    </w:r>
    <w:r>
      <w:fldChar w:fldCharType="end"/>
    </w:r>
  </w:p>
  <w:p w14:paraId="4D1340B9" w14:textId="77777777" w:rsidR="00123A87" w:rsidRDefault="00123A87">
    <w:pPr>
      <w:jc w:val="right"/>
    </w:pPr>
  </w:p>
  <w:p w14:paraId="76A6E746" w14:textId="77777777" w:rsidR="00123A87" w:rsidRDefault="00123A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15C0DA0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5E00F85"/>
    <w:multiLevelType w:val="hybridMultilevel"/>
    <w:tmpl w:val="0262C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837CD"/>
    <w:multiLevelType w:val="hybridMultilevel"/>
    <w:tmpl w:val="EA7412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5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FD4054B"/>
    <w:multiLevelType w:val="hybridMultilevel"/>
    <w:tmpl w:val="6A888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E79AE"/>
    <w:multiLevelType w:val="hybridMultilevel"/>
    <w:tmpl w:val="6ADE4D38"/>
    <w:lvl w:ilvl="0" w:tplc="E4AC52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6"/>
  </w:num>
  <w:num w:numId="19">
    <w:abstractNumId w:val="19"/>
  </w:num>
  <w:num w:numId="20">
    <w:abstractNumId w:val="14"/>
  </w:num>
  <w:num w:numId="21">
    <w:abstractNumId w:val="11"/>
  </w:num>
  <w:num w:numId="22">
    <w:abstractNumId w:val="12"/>
  </w:num>
  <w:num w:numId="23">
    <w:abstractNumId w:val="18"/>
  </w:num>
  <w:num w:numId="2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embedSystemFonts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3A"/>
    <w:rsid w:val="00066A96"/>
    <w:rsid w:val="000820A3"/>
    <w:rsid w:val="000941EA"/>
    <w:rsid w:val="000B4BBD"/>
    <w:rsid w:val="000C72F3"/>
    <w:rsid w:val="000F6C8E"/>
    <w:rsid w:val="00123A87"/>
    <w:rsid w:val="00125F83"/>
    <w:rsid w:val="001C3D0C"/>
    <w:rsid w:val="001D4CE7"/>
    <w:rsid w:val="00265AF0"/>
    <w:rsid w:val="002931CE"/>
    <w:rsid w:val="002A55A2"/>
    <w:rsid w:val="002F0B57"/>
    <w:rsid w:val="00360D75"/>
    <w:rsid w:val="003A0CA4"/>
    <w:rsid w:val="00404331"/>
    <w:rsid w:val="00441083"/>
    <w:rsid w:val="004C2C87"/>
    <w:rsid w:val="004E3A36"/>
    <w:rsid w:val="00505FD2"/>
    <w:rsid w:val="00520AC9"/>
    <w:rsid w:val="005742B4"/>
    <w:rsid w:val="005B2B79"/>
    <w:rsid w:val="005B3CAD"/>
    <w:rsid w:val="005B6266"/>
    <w:rsid w:val="005C278F"/>
    <w:rsid w:val="00604D15"/>
    <w:rsid w:val="00605093"/>
    <w:rsid w:val="00633E5A"/>
    <w:rsid w:val="00634F4A"/>
    <w:rsid w:val="00687702"/>
    <w:rsid w:val="00687C4D"/>
    <w:rsid w:val="006A528C"/>
    <w:rsid w:val="006B73B5"/>
    <w:rsid w:val="00701665"/>
    <w:rsid w:val="007034FA"/>
    <w:rsid w:val="00743AE2"/>
    <w:rsid w:val="00743D73"/>
    <w:rsid w:val="0075750B"/>
    <w:rsid w:val="007B6A51"/>
    <w:rsid w:val="008502A1"/>
    <w:rsid w:val="0088523A"/>
    <w:rsid w:val="008A31BD"/>
    <w:rsid w:val="008E3A0C"/>
    <w:rsid w:val="0091161A"/>
    <w:rsid w:val="0092432F"/>
    <w:rsid w:val="00932163"/>
    <w:rsid w:val="009666A1"/>
    <w:rsid w:val="00972E99"/>
    <w:rsid w:val="009A5180"/>
    <w:rsid w:val="009F253D"/>
    <w:rsid w:val="00A06532"/>
    <w:rsid w:val="00A52568"/>
    <w:rsid w:val="00AA2170"/>
    <w:rsid w:val="00AC013C"/>
    <w:rsid w:val="00AE297D"/>
    <w:rsid w:val="00AE63D8"/>
    <w:rsid w:val="00B0773C"/>
    <w:rsid w:val="00B172DB"/>
    <w:rsid w:val="00B811F2"/>
    <w:rsid w:val="00B92587"/>
    <w:rsid w:val="00BC3C7D"/>
    <w:rsid w:val="00C27322"/>
    <w:rsid w:val="00C6443E"/>
    <w:rsid w:val="00C73C63"/>
    <w:rsid w:val="00C74C97"/>
    <w:rsid w:val="00C81624"/>
    <w:rsid w:val="00CB1E4E"/>
    <w:rsid w:val="00CC1E44"/>
    <w:rsid w:val="00D7654A"/>
    <w:rsid w:val="00DB407F"/>
    <w:rsid w:val="00DB4E64"/>
    <w:rsid w:val="00DD3433"/>
    <w:rsid w:val="00E348C6"/>
    <w:rsid w:val="00E54871"/>
    <w:rsid w:val="00E57296"/>
    <w:rsid w:val="00E60D9C"/>
    <w:rsid w:val="00EB165C"/>
    <w:rsid w:val="00EB2067"/>
    <w:rsid w:val="00ED1FCD"/>
    <w:rsid w:val="00ED267A"/>
    <w:rsid w:val="00F12E04"/>
    <w:rsid w:val="00F21458"/>
    <w:rsid w:val="00F37A42"/>
    <w:rsid w:val="00F557F5"/>
    <w:rsid w:val="00F90934"/>
    <w:rsid w:val="00FC0D87"/>
    <w:rsid w:val="00FC5578"/>
    <w:rsid w:val="00FC70C7"/>
    <w:rsid w:val="00FD22FE"/>
    <w:rsid w:val="00FE431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D9A6C"/>
  <w15:docId w15:val="{14EB8EEA-8701-484A-A568-64795C83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val="fr-CA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Título 11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link w:val="Heading2Char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,Heading 3 Char,Char Char,Heading 3 Char1,Heading 3 Char Char,Char Char Char,Char Char1,Heading 3 Char1 Char,Heading 3 Char Char Char,Char Char Char Char,Char Char1 Char,Heading 3 Char2,Char Char2,Char Char Char1,Heading 3 Char Char1 Char"/>
    <w:basedOn w:val="Normal"/>
    <w:next w:val="Normal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,para 4,Título 41,heading 4,Heading 41,标题 41"/>
    <w:basedOn w:val="Normal"/>
    <w:next w:val="Heading9"/>
    <w:link w:val="Heading4Char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rPr>
      <w:sz w:val="22"/>
      <w:szCs w:val="22"/>
      <w:lang w:val="en-GB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link w:val="SubtitleChar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link w:val="DateChar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customStyle="1" w:styleId="StyleHeading1Para1Heading1CharHeading1Char3CharHeadin">
    <w:name w:val="Style Heading 1Para (1)Heading 1 CharHeading 1 Char3 CharHeadin..."/>
    <w:basedOn w:val="Heading1"/>
    <w:pPr>
      <w:numPr>
        <w:numId w:val="0"/>
      </w:numPr>
      <w:tabs>
        <w:tab w:val="left" w:pos="72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A55A2"/>
    <w:pPr>
      <w:ind w:left="720"/>
      <w:contextualSpacing/>
    </w:p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2 Char"/>
    <w:basedOn w:val="DefaultParagraphFont"/>
    <w:link w:val="Heading2"/>
    <w:rsid w:val="002A55A2"/>
    <w:rPr>
      <w:sz w:val="22"/>
      <w:szCs w:val="22"/>
      <w:lang w:val="en-GB"/>
    </w:rPr>
  </w:style>
  <w:style w:type="character" w:customStyle="1" w:styleId="Heading4Char">
    <w:name w:val="Heading 4 Char"/>
    <w:aliases w:val="Heading 11 Char,para 4 Char,Título 41 Char,heading 4 Char,Heading 41 Char,标题 41 Char"/>
    <w:basedOn w:val="DefaultParagraphFont"/>
    <w:link w:val="Heading4"/>
    <w:rsid w:val="002A55A2"/>
    <w:rPr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rsid w:val="002A55A2"/>
    <w:rPr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2A55A2"/>
    <w:rPr>
      <w:rFonts w:ascii="Arial" w:hAnsi="Arial"/>
      <w:i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2A55A2"/>
    <w:rPr>
      <w:rFonts w:ascii="Arial" w:hAnsi="Arial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rsid w:val="002A55A2"/>
    <w:rPr>
      <w:b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rsid w:val="002A55A2"/>
    <w:rPr>
      <w:rFonts w:ascii="Arial" w:hAnsi="Arial"/>
      <w:i/>
      <w:sz w:val="18"/>
      <w:szCs w:val="22"/>
      <w:lang w:val="en-GB"/>
    </w:rPr>
  </w:style>
  <w:style w:type="numbering" w:customStyle="1" w:styleId="1111111">
    <w:name w:val="1 / 1.1 / 1.1.11"/>
    <w:basedOn w:val="NoList"/>
    <w:next w:val="111111"/>
    <w:semiHidden/>
    <w:rsid w:val="002A55A2"/>
  </w:style>
  <w:style w:type="character" w:customStyle="1" w:styleId="HeaderChar">
    <w:name w:val="Header Char"/>
    <w:basedOn w:val="DefaultParagraphFont"/>
    <w:link w:val="Header"/>
    <w:rsid w:val="002A55A2"/>
    <w:rPr>
      <w:sz w:val="22"/>
      <w:szCs w:val="22"/>
      <w:lang w:val="en-GB"/>
    </w:rPr>
  </w:style>
  <w:style w:type="numbering" w:customStyle="1" w:styleId="1ai1">
    <w:name w:val="1 / a / i1"/>
    <w:basedOn w:val="NoList"/>
    <w:next w:val="1ai"/>
    <w:semiHidden/>
    <w:rsid w:val="002A55A2"/>
  </w:style>
  <w:style w:type="numbering" w:customStyle="1" w:styleId="ArticleSection1">
    <w:name w:val="Article / Section1"/>
    <w:basedOn w:val="NoList"/>
    <w:next w:val="ArticleSection"/>
    <w:semiHidden/>
    <w:rsid w:val="002A55A2"/>
  </w:style>
  <w:style w:type="character" w:customStyle="1" w:styleId="BodyText3Char">
    <w:name w:val="Body Text 3 Char"/>
    <w:basedOn w:val="DefaultParagraphFont"/>
    <w:link w:val="BodyText3"/>
    <w:semiHidden/>
    <w:rsid w:val="002A55A2"/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A55A2"/>
    <w:rPr>
      <w:sz w:val="16"/>
      <w:szCs w:val="16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2A55A2"/>
    <w:rPr>
      <w:rFonts w:ascii="Courier New" w:hAnsi="Courier New" w:cs="Courier New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rsid w:val="002A55A2"/>
    <w:rPr>
      <w:rFonts w:ascii="Arial" w:hAnsi="Arial" w:cs="Arial"/>
      <w:sz w:val="22"/>
      <w:szCs w:val="22"/>
      <w:lang w:val="en-GB"/>
    </w:rPr>
  </w:style>
  <w:style w:type="character" w:customStyle="1" w:styleId="TitleChar">
    <w:name w:val="Title Char"/>
    <w:basedOn w:val="DefaultParagraphFont"/>
    <w:link w:val="Title"/>
    <w:rsid w:val="002A55A2"/>
    <w:rPr>
      <w:rFonts w:ascii="Arial" w:hAnsi="Arial" w:cs="Arial"/>
      <w:b/>
      <w:bCs/>
      <w:kern w:val="28"/>
      <w:sz w:val="22"/>
      <w:szCs w:val="22"/>
      <w:lang w:val="en-GB"/>
    </w:rPr>
  </w:style>
  <w:style w:type="character" w:customStyle="1" w:styleId="DateChar">
    <w:name w:val="Date Char"/>
    <w:basedOn w:val="DefaultParagraphFont"/>
    <w:link w:val="Date"/>
    <w:rsid w:val="002A55A2"/>
    <w:rPr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55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5A2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A55A2"/>
    <w:rPr>
      <w:vertAlign w:val="superscript"/>
    </w:rPr>
  </w:style>
  <w:style w:type="paragraph" w:styleId="Revision">
    <w:name w:val="Revision"/>
    <w:hidden/>
    <w:uiPriority w:val="99"/>
    <w:semiHidden/>
    <w:rsid w:val="002A55A2"/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A55A2"/>
    <w:pPr>
      <w:spacing w:before="100" w:beforeAutospacing="1" w:after="100" w:afterAutospacing="1"/>
      <w:jc w:val="left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B81A444E34248BBC988D4638CFC23" ma:contentTypeVersion="2" ma:contentTypeDescription="Create a new document." ma:contentTypeScope="" ma:versionID="e05846c08eb9788948ca12760dc24ca9">
  <xsd:schema xmlns:xsd="http://www.w3.org/2001/XMLSchema" xmlns:p="http://schemas.microsoft.com/office/2006/metadata/properties" xmlns:ns2="8662b4aa-cf42-4f00-a3f0-9d3b4acad230" xmlns:ns3="310e179b-1379-4e79-9b74-d5a32b1812d3" targetNamespace="http://schemas.microsoft.com/office/2006/metadata/properties" ma:root="true" ma:fieldsID="51b3e81c0f520dee15c313ac37b76417" ns2:_="" ns3:_="">
    <xsd:import namespace="8662b4aa-cf42-4f00-a3f0-9d3b4acad230"/>
    <xsd:import namespace="310e179b-1379-4e79-9b74-d5a32b1812d3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62b4aa-cf42-4f00-a3f0-9d3b4acad230" elementFormDefault="qualified">
    <xsd:import namespace="http://schemas.microsoft.com/office/2006/documentManagement/types"/>
    <xsd:element name="Document_x0020_Number" ma:index="8" nillable="true" ma:displayName="Document Number" ma:default="UNEP/OzL.Pro/ExCom/85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10e179b-1379-4e79-9b74-d5a32b1812d3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Type xmlns="310e179b-1379-4e79-9b74-d5a32b1812d3">Pre-session</DocumentType>
    <Document_x0020_Number xmlns="8662b4aa-cf42-4f00-a3f0-9d3b4acad230">UNEP/OzL.Pro/ExCom/85/22</Document_x0020_Number>
  </documentManagement>
</p:properties>
</file>

<file path=customXml/itemProps1.xml><?xml version="1.0" encoding="utf-8"?>
<ds:datastoreItem xmlns:ds="http://schemas.openxmlformats.org/officeDocument/2006/customXml" ds:itemID="{E1C761B6-342E-4C76-860B-3AAE31CF13B0}"/>
</file>

<file path=customXml/itemProps2.xml><?xml version="1.0" encoding="utf-8"?>
<ds:datastoreItem xmlns:ds="http://schemas.openxmlformats.org/officeDocument/2006/customXml" ds:itemID="{9A9191C6-0DD4-4321-8BCF-7CA99873B973}"/>
</file>

<file path=customXml/itemProps3.xml><?xml version="1.0" encoding="utf-8"?>
<ds:datastoreItem xmlns:ds="http://schemas.openxmlformats.org/officeDocument/2006/customXml" ds:itemID="{2DF14861-6298-45F1-AC93-67317279FD3D}"/>
</file>

<file path=customXml/itemProps4.xml><?xml version="1.0" encoding="utf-8"?>
<ds:datastoreItem xmlns:ds="http://schemas.openxmlformats.org/officeDocument/2006/customXml" ds:itemID="{CBF88633-6167-4A17-94EF-A5A2113BB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Proposition de projet:  Chili</vt:lpstr>
    </vt:vector>
  </TitlesOfParts>
  <Company>UNMFS</Company>
  <LinksUpToDate>false</LinksUpToDate>
  <CharactersWithSpaces>25659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projet:  Chili</dc:title>
  <dc:subject>85e</dc:subject>
  <dc:creator>Patricia Chau</dc:creator>
  <cp:lastModifiedBy>Lynda</cp:lastModifiedBy>
  <cp:revision>6</cp:revision>
  <cp:lastPrinted>2001-05-26T16:40:00Z</cp:lastPrinted>
  <dcterms:created xsi:type="dcterms:W3CDTF">2020-05-29T18:34:00Z</dcterms:created>
  <dcterms:modified xsi:type="dcterms:W3CDTF">2020-05-30T03:29:00Z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UNEP/OzL.Pro/ExCom/85/22</vt:lpwstr>
  </property>
  <property fmtid="{D5CDD505-2E9C-101B-9397-08002B2CF9AE}" pid="3" name="Revision date">
    <vt:lpwstr>5 mai 2020</vt:lpwstr>
  </property>
  <property fmtid="{D5CDD505-2E9C-101B-9397-08002B2CF9AE}" pid="4" name="ContentTypeId">
    <vt:lpwstr>0x010100291B81A444E34248BBC988D4638CFC23</vt:lpwstr>
  </property>
</Properties>
</file>