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C80327" w:rsidTr="006C23A7">
        <w:trPr>
          <w:trHeight w:val="720"/>
        </w:trPr>
        <w:tc>
          <w:tcPr>
            <w:tcW w:w="4410" w:type="dxa"/>
            <w:gridSpan w:val="2"/>
            <w:tcBorders>
              <w:bottom w:val="single" w:sz="18" w:space="0" w:color="auto"/>
            </w:tcBorders>
          </w:tcPr>
          <w:p w:rsidR="00C80327" w:rsidRDefault="00C80327" w:rsidP="006C23A7">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C80327" w:rsidRDefault="00C80327" w:rsidP="006C23A7">
            <w:pPr>
              <w:pStyle w:val="Heading3"/>
              <w:numPr>
                <w:ilvl w:val="0"/>
                <w:numId w:val="0"/>
              </w:numPr>
              <w:bidi/>
              <w:ind w:left="270" w:right="1384"/>
              <w:rPr>
                <w:b/>
                <w:bCs/>
                <w:sz w:val="48"/>
                <w:szCs w:val="48"/>
              </w:rPr>
            </w:pPr>
            <w:r>
              <w:rPr>
                <w:b/>
                <w:bCs/>
                <w:sz w:val="48"/>
                <w:szCs w:val="48"/>
                <w:rtl/>
              </w:rPr>
              <w:t>الأمم المتحدة</w:t>
            </w:r>
          </w:p>
        </w:tc>
      </w:tr>
      <w:tr w:rsidR="00C80327" w:rsidTr="006C2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C80327" w:rsidRDefault="00C80327" w:rsidP="006C23A7">
            <w:pPr>
              <w:spacing w:before="120"/>
              <w:jc w:val="left"/>
              <w:rPr>
                <w:lang w:val="en-US"/>
              </w:rPr>
            </w:pPr>
            <w:r>
              <w:rPr>
                <w:noProof/>
                <w:lang w:val="en-US"/>
              </w:rPr>
              <w:drawing>
                <wp:anchor distT="0" distB="0" distL="114300" distR="114300" simplePos="0" relativeHeight="251663360"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rPr>
              <w:drawing>
                <wp:anchor distT="0" distB="0" distL="114300" distR="114300" simplePos="0" relativeHeight="251662336"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C80327" w:rsidRDefault="00C80327" w:rsidP="006C23A7">
            <w:pPr>
              <w:spacing w:before="120"/>
              <w:jc w:val="left"/>
              <w:rPr>
                <w:lang w:val="en-US"/>
              </w:rPr>
            </w:pPr>
            <w:r>
              <w:rPr>
                <w:lang w:val="en-US"/>
              </w:rPr>
              <w:t>GENERAL</w:t>
            </w:r>
          </w:p>
          <w:p w:rsidR="00C80327" w:rsidRPr="004B41C8" w:rsidRDefault="00C80327" w:rsidP="00C80327"/>
          <w:p w:rsidR="00C80327" w:rsidRPr="004B41C8" w:rsidRDefault="00517293" w:rsidP="00C80327">
            <w:r>
              <w:fldChar w:fldCharType="begin"/>
            </w:r>
            <w:r w:rsidR="0087572D">
              <w:instrText xml:space="preserve"> DOCPROPERTY "Document number"  \* MERGEFORMAT </w:instrText>
            </w:r>
            <w:r>
              <w:fldChar w:fldCharType="separate"/>
            </w:r>
            <w:r w:rsidR="00D86866">
              <w:t>UNEP/OzL.Pro/ExCom/86/69</w:t>
            </w:r>
            <w:r>
              <w:fldChar w:fldCharType="end"/>
            </w:r>
          </w:p>
          <w:p w:rsidR="00C80327" w:rsidRPr="004B41C8" w:rsidRDefault="00517293" w:rsidP="00C80327">
            <w:r w:rsidRPr="004B41C8">
              <w:fldChar w:fldCharType="begin"/>
            </w:r>
            <w:r w:rsidR="00C80327" w:rsidRPr="004B41C8">
              <w:instrText xml:space="preserve"> DOCPROPERTY "Revision date" \@ "d MMMM YYYY"  \* MERGEFORMAT </w:instrText>
            </w:r>
            <w:r w:rsidRPr="004B41C8">
              <w:fldChar w:fldCharType="separate"/>
            </w:r>
            <w:r w:rsidR="00D86866">
              <w:t>19 October 2020</w:t>
            </w:r>
            <w:r w:rsidRPr="004B41C8">
              <w:fldChar w:fldCharType="end"/>
            </w:r>
          </w:p>
          <w:p w:rsidR="00C80327" w:rsidRDefault="00C80327" w:rsidP="00C80327">
            <w:pPr>
              <w:rPr>
                <w:rtl/>
                <w:lang w:val="en-US" w:bidi="ar-AE"/>
              </w:rPr>
            </w:pPr>
          </w:p>
          <w:p w:rsidR="00C80327" w:rsidRDefault="00C80327" w:rsidP="006C23A7">
            <w:pPr>
              <w:spacing w:before="120"/>
              <w:jc w:val="left"/>
              <w:rPr>
                <w:lang w:val="en-US"/>
              </w:rPr>
            </w:pPr>
            <w:r>
              <w:rPr>
                <w:lang w:val="en-US"/>
              </w:rPr>
              <w:t>ARABIC</w:t>
            </w:r>
          </w:p>
          <w:p w:rsidR="00C80327" w:rsidRDefault="00C80327" w:rsidP="006C23A7">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C80327" w:rsidRDefault="00C80327" w:rsidP="006C23A7">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C80327" w:rsidRDefault="00C80327" w:rsidP="006C23A7">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C80327" w:rsidRDefault="00C80327" w:rsidP="006C23A7">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C80327" w:rsidRDefault="00C80327" w:rsidP="006C23A7">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C80327" w:rsidRDefault="00C80327" w:rsidP="006C23A7">
            <w:pPr>
              <w:rPr>
                <w:caps/>
                <w:lang w:val="en-US"/>
              </w:rPr>
            </w:pPr>
          </w:p>
          <w:p w:rsidR="00C80327" w:rsidRDefault="00C80327" w:rsidP="006C23A7">
            <w:pPr>
              <w:rPr>
                <w:lang w:val="en-US"/>
              </w:rPr>
            </w:pPr>
          </w:p>
        </w:tc>
      </w:tr>
    </w:tbl>
    <w:p w:rsidR="00C80327" w:rsidRDefault="00C80327" w:rsidP="00C80327">
      <w:pPr>
        <w:pStyle w:val="Caption"/>
        <w:spacing w:line="200" w:lineRule="exact"/>
        <w:ind w:left="187" w:right="187" w:hanging="187"/>
        <w:jc w:val="both"/>
        <w:rPr>
          <w:rFonts w:cs="Akhbar MT"/>
          <w:b/>
          <w:bCs/>
          <w:sz w:val="28"/>
          <w:szCs w:val="28"/>
          <w:rtl/>
        </w:rPr>
      </w:pPr>
    </w:p>
    <w:p w:rsidR="00C80327" w:rsidRDefault="00C80327" w:rsidP="00C80327">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C80327" w:rsidRDefault="00C80327" w:rsidP="00C80327">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C80327" w:rsidRDefault="00C80327" w:rsidP="00C80327">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السادس والثمانون</w:t>
      </w:r>
    </w:p>
    <w:p w:rsidR="00C80327" w:rsidRDefault="00C80327" w:rsidP="00C80327">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2 إلى 6 نوفمبر</w:t>
      </w:r>
      <w:r w:rsidRPr="00532BD7">
        <w:rPr>
          <w:rFonts w:hint="cs"/>
          <w:sz w:val="28"/>
          <w:szCs w:val="28"/>
          <w:rtl/>
        </w:rPr>
        <w:t>/</w:t>
      </w:r>
      <w:r>
        <w:rPr>
          <w:rFonts w:hint="cs"/>
          <w:sz w:val="28"/>
          <w:szCs w:val="28"/>
          <w:rtl/>
        </w:rPr>
        <w:t>تشرين الثاني</w:t>
      </w:r>
      <w:r w:rsidRPr="00532BD7">
        <w:rPr>
          <w:rFonts w:hint="cs"/>
          <w:sz w:val="28"/>
          <w:szCs w:val="28"/>
          <w:rtl/>
        </w:rPr>
        <w:t xml:space="preserve"> 2020</w:t>
      </w:r>
    </w:p>
    <w:p w:rsidR="00C80327" w:rsidRPr="00C80327" w:rsidRDefault="00C80327" w:rsidP="00C80327">
      <w:pPr>
        <w:pStyle w:val="0Heading0"/>
        <w:bidi/>
        <w:ind w:left="4"/>
        <w:rPr>
          <w:sz w:val="28"/>
          <w:szCs w:val="28"/>
          <w:rtl/>
          <w:lang w:val="en-CA" w:bidi="ar-EG"/>
        </w:rPr>
      </w:pPr>
      <w:r>
        <w:rPr>
          <w:rFonts w:hint="cs"/>
          <w:sz w:val="28"/>
          <w:szCs w:val="28"/>
          <w:rtl/>
        </w:rPr>
        <w:t>مؤجل: من 8 إلى 12</w:t>
      </w:r>
      <w:r>
        <w:rPr>
          <w:sz w:val="28"/>
          <w:szCs w:val="28"/>
        </w:rPr>
        <w:t xml:space="preserve"> </w:t>
      </w:r>
      <w:r>
        <w:rPr>
          <w:rFonts w:hint="cs"/>
          <w:sz w:val="28"/>
          <w:szCs w:val="28"/>
          <w:rtl/>
        </w:rPr>
        <w:t>مارس</w:t>
      </w:r>
      <w:r w:rsidRPr="00532BD7">
        <w:rPr>
          <w:rFonts w:hint="cs"/>
          <w:sz w:val="28"/>
          <w:szCs w:val="28"/>
          <w:rtl/>
        </w:rPr>
        <w:t xml:space="preserve">/ </w:t>
      </w:r>
      <w:r>
        <w:rPr>
          <w:rFonts w:hint="cs"/>
          <w:sz w:val="28"/>
          <w:szCs w:val="28"/>
          <w:rtl/>
        </w:rPr>
        <w:t>آذار</w:t>
      </w:r>
      <w:r w:rsidRPr="00DB2568">
        <w:rPr>
          <w:rFonts w:hint="cs"/>
          <w:sz w:val="28"/>
          <w:szCs w:val="28"/>
          <w:rtl/>
        </w:rPr>
        <w:t xml:space="preserve"> </w:t>
      </w:r>
      <w:r>
        <w:rPr>
          <w:rFonts w:hint="cs"/>
          <w:sz w:val="28"/>
          <w:szCs w:val="28"/>
          <w:rtl/>
        </w:rPr>
        <w:t>2021</w:t>
      </w:r>
      <w:r w:rsidRPr="004B41C8">
        <w:rPr>
          <w:rStyle w:val="FootnoteReference"/>
          <w:lang w:val="en-CA"/>
        </w:rPr>
        <w:footnoteReference w:id="1"/>
      </w:r>
    </w:p>
    <w:p w:rsidR="005220ED" w:rsidRPr="005A6016" w:rsidRDefault="005220ED" w:rsidP="00C80327">
      <w:pPr>
        <w:bidi/>
        <w:jc w:val="left"/>
        <w:rPr>
          <w:sz w:val="32"/>
          <w:szCs w:val="32"/>
          <w:lang w:val="en-US"/>
        </w:rPr>
      </w:pPr>
    </w:p>
    <w:p w:rsidR="00857077" w:rsidRPr="005A6016" w:rsidRDefault="00857077" w:rsidP="00C80327">
      <w:pPr>
        <w:bidi/>
        <w:jc w:val="left"/>
        <w:rPr>
          <w:sz w:val="32"/>
          <w:szCs w:val="32"/>
          <w:lang w:val="en-CA"/>
        </w:rPr>
      </w:pPr>
    </w:p>
    <w:p w:rsidR="00C15867" w:rsidRPr="005A6016" w:rsidRDefault="00C15867" w:rsidP="00C80327">
      <w:pPr>
        <w:bidi/>
        <w:jc w:val="left"/>
        <w:rPr>
          <w:sz w:val="32"/>
          <w:szCs w:val="32"/>
          <w:lang w:val="en-US"/>
        </w:rPr>
      </w:pPr>
    </w:p>
    <w:p w:rsidR="0059064F" w:rsidRPr="005A6016" w:rsidRDefault="0059064F" w:rsidP="0059064F">
      <w:pPr>
        <w:bidi/>
        <w:jc w:val="center"/>
        <w:rPr>
          <w:b/>
          <w:sz w:val="32"/>
          <w:szCs w:val="32"/>
          <w:rtl/>
          <w:lang w:val="en-CA" w:bidi="ar-EG"/>
        </w:rPr>
      </w:pPr>
      <w:r w:rsidRPr="005A6016">
        <w:rPr>
          <w:rFonts w:hint="cs"/>
          <w:bCs/>
          <w:sz w:val="32"/>
          <w:szCs w:val="32"/>
          <w:rtl/>
          <w:lang w:val="en-CA"/>
        </w:rPr>
        <w:t xml:space="preserve">مقترح مشروع: </w:t>
      </w:r>
      <w:r w:rsidRPr="005A6016">
        <w:rPr>
          <w:rFonts w:hint="cs"/>
          <w:bCs/>
          <w:sz w:val="32"/>
          <w:szCs w:val="32"/>
          <w:rtl/>
          <w:lang w:val="en-CA" w:bidi="ar-EG"/>
        </w:rPr>
        <w:t>بارا</w:t>
      </w:r>
      <w:bookmarkStart w:id="0" w:name="_GoBack"/>
      <w:bookmarkEnd w:id="0"/>
      <w:r w:rsidRPr="005A6016">
        <w:rPr>
          <w:rFonts w:hint="cs"/>
          <w:bCs/>
          <w:sz w:val="32"/>
          <w:szCs w:val="32"/>
          <w:rtl/>
          <w:lang w:val="en-CA" w:bidi="ar-EG"/>
        </w:rPr>
        <w:t>غواي</w:t>
      </w:r>
    </w:p>
    <w:p w:rsidR="00530166" w:rsidRPr="005A6016" w:rsidRDefault="00530166" w:rsidP="00C80327">
      <w:pPr>
        <w:bidi/>
        <w:rPr>
          <w:sz w:val="26"/>
          <w:szCs w:val="26"/>
          <w:rtl/>
          <w:lang w:val="en-CA" w:bidi="ar-EG"/>
        </w:rPr>
      </w:pPr>
    </w:p>
    <w:p w:rsidR="00530166" w:rsidRPr="005A6016" w:rsidRDefault="00530166" w:rsidP="00C80327">
      <w:pPr>
        <w:bidi/>
        <w:rPr>
          <w:sz w:val="26"/>
          <w:szCs w:val="26"/>
          <w:lang w:val="en-CA"/>
        </w:rPr>
      </w:pPr>
    </w:p>
    <w:p w:rsidR="0059064F" w:rsidRPr="005A6016" w:rsidRDefault="0059064F" w:rsidP="00E469EC">
      <w:pPr>
        <w:bidi/>
        <w:ind w:firstLine="720"/>
        <w:rPr>
          <w:sz w:val="26"/>
          <w:szCs w:val="26"/>
          <w:rtl/>
          <w:lang w:val="en-CA"/>
        </w:rPr>
      </w:pPr>
      <w:r w:rsidRPr="005A6016">
        <w:rPr>
          <w:rFonts w:hint="cs"/>
          <w:sz w:val="26"/>
          <w:szCs w:val="26"/>
          <w:rtl/>
          <w:lang w:val="en-CA"/>
        </w:rPr>
        <w:t>تتألف</w:t>
      </w:r>
      <w:r w:rsidRPr="005A6016">
        <w:rPr>
          <w:sz w:val="26"/>
          <w:szCs w:val="26"/>
          <w:rtl/>
          <w:lang w:val="en-CA"/>
        </w:rPr>
        <w:t xml:space="preserve"> هذه الوثيقة </w:t>
      </w:r>
      <w:r w:rsidRPr="005A6016">
        <w:rPr>
          <w:rFonts w:hint="cs"/>
          <w:sz w:val="26"/>
          <w:szCs w:val="26"/>
          <w:rtl/>
          <w:lang w:val="en-CA"/>
        </w:rPr>
        <w:t xml:space="preserve">من </w:t>
      </w:r>
      <w:r w:rsidRPr="005A6016">
        <w:rPr>
          <w:sz w:val="26"/>
          <w:szCs w:val="26"/>
          <w:rtl/>
          <w:lang w:val="en-CA"/>
        </w:rPr>
        <w:t>تعليقات وتوصي</w:t>
      </w:r>
      <w:r w:rsidR="00E469EC" w:rsidRPr="005A6016">
        <w:rPr>
          <w:rFonts w:hint="cs"/>
          <w:sz w:val="26"/>
          <w:szCs w:val="26"/>
          <w:rtl/>
          <w:lang w:val="en-CA" w:bidi="ar-EG"/>
        </w:rPr>
        <w:t>ات</w:t>
      </w:r>
      <w:r w:rsidRPr="005A6016">
        <w:rPr>
          <w:sz w:val="26"/>
          <w:szCs w:val="26"/>
          <w:rtl/>
          <w:lang w:val="en-CA"/>
        </w:rPr>
        <w:t xml:space="preserve"> </w:t>
      </w:r>
      <w:r w:rsidRPr="005A6016">
        <w:rPr>
          <w:rFonts w:hint="cs"/>
          <w:sz w:val="26"/>
          <w:szCs w:val="26"/>
          <w:rtl/>
          <w:lang w:val="en-CA"/>
        </w:rPr>
        <w:t>ال</w:t>
      </w:r>
      <w:r w:rsidRPr="005A6016">
        <w:rPr>
          <w:sz w:val="26"/>
          <w:szCs w:val="26"/>
          <w:rtl/>
          <w:lang w:val="en-CA"/>
        </w:rPr>
        <w:t xml:space="preserve">أمانة </w:t>
      </w:r>
      <w:r w:rsidRPr="005A6016">
        <w:rPr>
          <w:rFonts w:hint="cs"/>
          <w:sz w:val="26"/>
          <w:szCs w:val="26"/>
          <w:rtl/>
          <w:lang w:val="en-CA"/>
        </w:rPr>
        <w:t>بشأن</w:t>
      </w:r>
      <w:r w:rsidRPr="005A6016">
        <w:rPr>
          <w:sz w:val="26"/>
          <w:szCs w:val="26"/>
          <w:rtl/>
          <w:lang w:val="en-CA"/>
        </w:rPr>
        <w:t xml:space="preserve"> مقترح المشروع التالي:</w:t>
      </w:r>
    </w:p>
    <w:p w:rsidR="00530166" w:rsidRPr="005A6016" w:rsidRDefault="00530166" w:rsidP="00C80327">
      <w:pPr>
        <w:bidi/>
        <w:rPr>
          <w:sz w:val="26"/>
          <w:szCs w:val="26"/>
          <w:rtl/>
          <w:lang w:val="en-CA" w:bidi="ar-EG"/>
        </w:rPr>
      </w:pPr>
    </w:p>
    <w:p w:rsidR="0059064F" w:rsidRPr="005A6016" w:rsidRDefault="0059064F" w:rsidP="00C80327">
      <w:pPr>
        <w:bidi/>
        <w:rPr>
          <w:sz w:val="26"/>
          <w:szCs w:val="26"/>
          <w:u w:val="single"/>
          <w:rtl/>
          <w:lang w:val="en-CA" w:bidi="ar-EG"/>
        </w:rPr>
      </w:pPr>
      <w:r w:rsidRPr="005A6016">
        <w:rPr>
          <w:sz w:val="26"/>
          <w:szCs w:val="26"/>
          <w:u w:val="single"/>
          <w:rtl/>
          <w:lang w:val="en-US"/>
        </w:rPr>
        <w:t>الإزالة</w:t>
      </w:r>
    </w:p>
    <w:p w:rsidR="00530166" w:rsidRPr="005A6016" w:rsidRDefault="00530166" w:rsidP="00C80327">
      <w:pPr>
        <w:bidi/>
        <w:rPr>
          <w:sz w:val="26"/>
          <w:szCs w:val="26"/>
          <w:rtl/>
          <w:lang w:val="en-CA"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30166" w:rsidRPr="005A6016" w:rsidTr="00C80327">
        <w:tc>
          <w:tcPr>
            <w:tcW w:w="6941" w:type="dxa"/>
            <w:hideMark/>
          </w:tcPr>
          <w:p w:rsidR="0059064F" w:rsidRPr="005A6016" w:rsidRDefault="0059064F" w:rsidP="0059064F">
            <w:pPr>
              <w:pStyle w:val="ListParagraph"/>
              <w:numPr>
                <w:ilvl w:val="0"/>
                <w:numId w:val="22"/>
              </w:numPr>
              <w:bidi/>
              <w:ind w:hanging="830"/>
              <w:rPr>
                <w:sz w:val="26"/>
                <w:szCs w:val="26"/>
                <w:lang w:val="en-CA"/>
              </w:rPr>
            </w:pPr>
            <w:r w:rsidRPr="005A6016">
              <w:rPr>
                <w:sz w:val="26"/>
                <w:szCs w:val="26"/>
                <w:rtl/>
                <w:lang w:val="en-US"/>
              </w:rPr>
              <w:t>خطة إدارة إزالة المواد الهيدروكلوروفلوروكربونية</w:t>
            </w:r>
            <w:r w:rsidRPr="005A6016">
              <w:rPr>
                <w:rFonts w:hint="cs"/>
                <w:sz w:val="26"/>
                <w:szCs w:val="26"/>
                <w:rtl/>
                <w:lang w:val="en-US"/>
              </w:rPr>
              <w:t xml:space="preserve"> </w:t>
            </w:r>
            <w:r w:rsidRPr="005A6016">
              <w:rPr>
                <w:sz w:val="26"/>
                <w:szCs w:val="26"/>
                <w:rtl/>
                <w:lang w:val="en-US"/>
              </w:rPr>
              <w:t>(المرحلة الأولى، الشريح</w:t>
            </w:r>
            <w:r w:rsidRPr="005A6016">
              <w:rPr>
                <w:rFonts w:hint="cs"/>
                <w:sz w:val="26"/>
                <w:szCs w:val="26"/>
                <w:rtl/>
                <w:lang w:val="en-US"/>
              </w:rPr>
              <w:t>ة</w:t>
            </w:r>
            <w:r w:rsidRPr="005A6016">
              <w:rPr>
                <w:sz w:val="26"/>
                <w:szCs w:val="26"/>
                <w:rtl/>
                <w:lang w:val="en-US"/>
              </w:rPr>
              <w:t xml:space="preserve"> </w:t>
            </w:r>
            <w:r w:rsidRPr="005A6016">
              <w:rPr>
                <w:rFonts w:hint="cs"/>
                <w:sz w:val="26"/>
                <w:szCs w:val="26"/>
                <w:rtl/>
                <w:lang w:val="en-US"/>
              </w:rPr>
              <w:t>الثالثة</w:t>
            </w:r>
            <w:r w:rsidRPr="005A6016">
              <w:rPr>
                <w:sz w:val="26"/>
                <w:szCs w:val="26"/>
                <w:rtl/>
                <w:lang w:val="en-US"/>
              </w:rPr>
              <w:t>)</w:t>
            </w:r>
          </w:p>
        </w:tc>
        <w:tc>
          <w:tcPr>
            <w:tcW w:w="2409" w:type="dxa"/>
            <w:hideMark/>
          </w:tcPr>
          <w:p w:rsidR="00530166" w:rsidRPr="005A6016" w:rsidRDefault="0059064F" w:rsidP="0059064F">
            <w:pPr>
              <w:bidi/>
              <w:jc w:val="center"/>
              <w:rPr>
                <w:sz w:val="26"/>
                <w:szCs w:val="26"/>
                <w:rtl/>
                <w:lang w:val="en-CA" w:bidi="ar-EG"/>
              </w:rPr>
            </w:pPr>
            <w:r w:rsidRPr="005A6016">
              <w:rPr>
                <w:rFonts w:hint="cs"/>
                <w:sz w:val="26"/>
                <w:szCs w:val="26"/>
                <w:rtl/>
                <w:lang w:val="en-CA" w:bidi="ar-EG"/>
              </w:rPr>
              <w:t>اليوئنديبي واليونيب</w:t>
            </w:r>
          </w:p>
        </w:tc>
      </w:tr>
    </w:tbl>
    <w:p w:rsidR="00530166" w:rsidRPr="005A6016" w:rsidRDefault="00530166" w:rsidP="00C80327">
      <w:pPr>
        <w:bidi/>
        <w:rPr>
          <w:sz w:val="26"/>
          <w:szCs w:val="26"/>
          <w:lang w:val="en-CA"/>
        </w:rPr>
      </w:pPr>
    </w:p>
    <w:p w:rsidR="00530166" w:rsidRPr="005A6016" w:rsidRDefault="00530166" w:rsidP="00C80327">
      <w:pPr>
        <w:bidi/>
        <w:rPr>
          <w:sz w:val="26"/>
          <w:szCs w:val="26"/>
          <w:lang w:val="en-CA"/>
        </w:rPr>
      </w:pPr>
    </w:p>
    <w:p w:rsidR="00530166" w:rsidRPr="005A6016" w:rsidRDefault="00530166" w:rsidP="00C80327">
      <w:pPr>
        <w:bidi/>
        <w:rPr>
          <w:sz w:val="26"/>
          <w:szCs w:val="26"/>
          <w:lang w:val="en-CA"/>
        </w:rPr>
      </w:pPr>
    </w:p>
    <w:p w:rsidR="00530166" w:rsidRPr="004B41C8" w:rsidRDefault="00530166" w:rsidP="00C80327">
      <w:pPr>
        <w:bidi/>
        <w:rPr>
          <w:rtl/>
          <w:lang w:val="en-CA" w:bidi="ar-EG"/>
        </w:rPr>
      </w:pPr>
      <w:r w:rsidRPr="004B41C8">
        <w:rPr>
          <w:lang w:val="en-CA"/>
        </w:rPr>
        <w:br w:type="page"/>
      </w:r>
    </w:p>
    <w:p w:rsidR="0059064F" w:rsidRDefault="0059064F" w:rsidP="00C80327">
      <w:pPr>
        <w:bidi/>
        <w:jc w:val="center"/>
        <w:rPr>
          <w:b/>
          <w:rtl/>
          <w:lang w:val="en-CA" w:bidi="ar-AE"/>
        </w:rPr>
      </w:pPr>
      <w:r w:rsidRPr="00057486">
        <w:rPr>
          <w:bCs/>
          <w:szCs w:val="24"/>
          <w:rtl/>
          <w:lang w:bidi="ar-AE"/>
        </w:rPr>
        <w:lastRenderedPageBreak/>
        <w:t xml:space="preserve">ورقة تقييم المشروع – </w:t>
      </w:r>
      <w:r>
        <w:rPr>
          <w:rFonts w:hint="cs"/>
          <w:bCs/>
          <w:szCs w:val="24"/>
          <w:rtl/>
          <w:lang w:bidi="ar-AE"/>
        </w:rPr>
        <w:t>ال</w:t>
      </w:r>
      <w:r w:rsidRPr="00057486">
        <w:rPr>
          <w:bCs/>
          <w:szCs w:val="24"/>
          <w:rtl/>
          <w:lang w:bidi="ar-AE"/>
        </w:rPr>
        <w:t xml:space="preserve">مشروعات </w:t>
      </w:r>
      <w:r>
        <w:rPr>
          <w:rFonts w:hint="cs"/>
          <w:bCs/>
          <w:szCs w:val="24"/>
          <w:rtl/>
          <w:lang w:bidi="ar-AE"/>
        </w:rPr>
        <w:t>ال</w:t>
      </w:r>
      <w:r w:rsidRPr="00057486">
        <w:rPr>
          <w:bCs/>
          <w:szCs w:val="24"/>
          <w:rtl/>
          <w:lang w:bidi="ar-AE"/>
        </w:rPr>
        <w:t>متعددة السنوات</w:t>
      </w:r>
    </w:p>
    <w:p w:rsidR="00530166" w:rsidRPr="004B41C8" w:rsidRDefault="00530166" w:rsidP="00C80327">
      <w:pPr>
        <w:bidi/>
        <w:jc w:val="center"/>
        <w:rPr>
          <w:rtl/>
          <w:lang w:val="en-CA" w:bidi="ar-EG"/>
        </w:rPr>
      </w:pPr>
    </w:p>
    <w:p w:rsidR="0059064F" w:rsidRPr="005A6016" w:rsidRDefault="0059064F" w:rsidP="00C80327">
      <w:pPr>
        <w:bidi/>
        <w:jc w:val="center"/>
        <w:rPr>
          <w:bCs/>
          <w:rtl/>
          <w:lang w:val="en-CA" w:bidi="ar-EG"/>
        </w:rPr>
      </w:pPr>
      <w:r w:rsidRPr="005A6016">
        <w:rPr>
          <w:bCs/>
          <w:rtl/>
          <w:lang w:val="en-CA" w:bidi="ar-EG"/>
        </w:rPr>
        <w:t>باراغواي</w:t>
      </w:r>
    </w:p>
    <w:p w:rsidR="00530166" w:rsidRPr="005A6016" w:rsidRDefault="00530166" w:rsidP="00C80327">
      <w:pPr>
        <w:bidi/>
        <w:jc w:val="center"/>
        <w:rPr>
          <w:bCs/>
          <w:rtl/>
          <w:lang w:val="en-CA" w:bidi="ar-EG"/>
        </w:rPr>
      </w:pPr>
    </w:p>
    <w:tbl>
      <w:tblPr>
        <w:tblStyle w:val="TableGrid"/>
        <w:bidiVisual/>
        <w:tblW w:w="940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98"/>
        <w:gridCol w:w="1842"/>
        <w:gridCol w:w="1555"/>
        <w:gridCol w:w="2212"/>
      </w:tblGrid>
      <w:tr w:rsidR="00EB22CC" w:rsidRPr="004B41C8" w:rsidTr="00EB22CC">
        <w:trPr>
          <w:trHeight w:val="301"/>
        </w:trPr>
        <w:tc>
          <w:tcPr>
            <w:tcW w:w="3798" w:type="dxa"/>
            <w:tcBorders>
              <w:top w:val="single" w:sz="4" w:space="0" w:color="666699"/>
              <w:left w:val="single" w:sz="4" w:space="0" w:color="666699"/>
              <w:bottom w:val="single" w:sz="4" w:space="0" w:color="666699"/>
              <w:right w:val="single" w:sz="4" w:space="0" w:color="666699"/>
            </w:tcBorders>
            <w:hideMark/>
          </w:tcPr>
          <w:p w:rsidR="00EB22CC" w:rsidRPr="004B41C8" w:rsidRDefault="00EB22CC" w:rsidP="00C80327">
            <w:pPr>
              <w:bidi/>
              <w:spacing w:after="80"/>
              <w:jc w:val="left"/>
              <w:rPr>
                <w:b/>
                <w:sz w:val="18"/>
                <w:lang w:val="en-CA"/>
              </w:rPr>
            </w:pPr>
            <w:r w:rsidRPr="00057486">
              <w:rPr>
                <w:bCs/>
                <w:sz w:val="16"/>
                <w:szCs w:val="16"/>
                <w:rtl/>
                <w:lang w:bidi="ar-AE"/>
              </w:rPr>
              <w:t>(أولا) عنوان المشروع</w:t>
            </w:r>
          </w:p>
        </w:tc>
        <w:tc>
          <w:tcPr>
            <w:tcW w:w="1842" w:type="dxa"/>
            <w:tcBorders>
              <w:top w:val="single" w:sz="4" w:space="0" w:color="666699"/>
              <w:left w:val="single" w:sz="4" w:space="0" w:color="666699"/>
              <w:bottom w:val="single" w:sz="4" w:space="0" w:color="666699"/>
              <w:right w:val="single" w:sz="4" w:space="0" w:color="666699"/>
            </w:tcBorders>
            <w:hideMark/>
          </w:tcPr>
          <w:p w:rsidR="00EB22CC" w:rsidRPr="004B41C8" w:rsidRDefault="00EB22CC" w:rsidP="00C80327">
            <w:pPr>
              <w:bidi/>
              <w:spacing w:after="80"/>
              <w:jc w:val="center"/>
              <w:rPr>
                <w:b/>
                <w:sz w:val="18"/>
                <w:lang w:val="en-CA"/>
              </w:rPr>
            </w:pPr>
            <w:r w:rsidRPr="00057486">
              <w:rPr>
                <w:bCs/>
                <w:sz w:val="16"/>
                <w:szCs w:val="16"/>
                <w:rtl/>
                <w:lang w:bidi="ar-AE"/>
              </w:rPr>
              <w:t>الوكالة</w:t>
            </w:r>
          </w:p>
        </w:tc>
        <w:tc>
          <w:tcPr>
            <w:tcW w:w="1555" w:type="dxa"/>
            <w:tcBorders>
              <w:top w:val="single" w:sz="4" w:space="0" w:color="666699"/>
              <w:left w:val="single" w:sz="4" w:space="0" w:color="666699"/>
              <w:bottom w:val="single" w:sz="4" w:space="0" w:color="666699"/>
              <w:right w:val="single" w:sz="4" w:space="0" w:color="666699"/>
            </w:tcBorders>
            <w:hideMark/>
          </w:tcPr>
          <w:p w:rsidR="00EB22CC" w:rsidRPr="004B41C8" w:rsidRDefault="00EB22CC" w:rsidP="00C80327">
            <w:pPr>
              <w:bidi/>
              <w:spacing w:after="80"/>
              <w:jc w:val="center"/>
              <w:rPr>
                <w:b/>
                <w:sz w:val="18"/>
                <w:lang w:val="en-CA"/>
              </w:rPr>
            </w:pPr>
            <w:r w:rsidRPr="001F7F7F">
              <w:rPr>
                <w:rFonts w:hint="cs"/>
                <w:b/>
                <w:bCs/>
                <w:sz w:val="16"/>
                <w:szCs w:val="16"/>
                <w:rtl/>
              </w:rPr>
              <w:t>الاجتماع الذي ووفق عليه</w:t>
            </w:r>
          </w:p>
        </w:tc>
        <w:tc>
          <w:tcPr>
            <w:tcW w:w="2212" w:type="dxa"/>
            <w:tcBorders>
              <w:top w:val="single" w:sz="4" w:space="0" w:color="666699"/>
              <w:left w:val="single" w:sz="4" w:space="0" w:color="666699"/>
              <w:bottom w:val="single" w:sz="4" w:space="0" w:color="666699"/>
              <w:right w:val="single" w:sz="4" w:space="0" w:color="666699"/>
            </w:tcBorders>
            <w:hideMark/>
          </w:tcPr>
          <w:p w:rsidR="00EB22CC" w:rsidRPr="004B41C8" w:rsidRDefault="00EB22CC" w:rsidP="00C80327">
            <w:pPr>
              <w:bidi/>
              <w:spacing w:after="80"/>
              <w:jc w:val="center"/>
              <w:rPr>
                <w:b/>
                <w:sz w:val="18"/>
                <w:lang w:val="en-CA"/>
              </w:rPr>
            </w:pPr>
            <w:r w:rsidRPr="001F7F7F">
              <w:rPr>
                <w:rFonts w:hint="cs"/>
                <w:b/>
                <w:bCs/>
                <w:sz w:val="16"/>
                <w:szCs w:val="16"/>
                <w:rtl/>
              </w:rPr>
              <w:t>تدابير الرقابة</w:t>
            </w:r>
          </w:p>
        </w:tc>
      </w:tr>
      <w:tr w:rsidR="00530166" w:rsidRPr="004B41C8" w:rsidTr="00EB22CC">
        <w:trPr>
          <w:trHeight w:val="301"/>
        </w:trPr>
        <w:tc>
          <w:tcPr>
            <w:tcW w:w="3798" w:type="dxa"/>
            <w:tcBorders>
              <w:top w:val="single" w:sz="4" w:space="0" w:color="666699"/>
              <w:left w:val="single" w:sz="4" w:space="0" w:color="666699"/>
              <w:bottom w:val="single" w:sz="4" w:space="0" w:color="666699"/>
              <w:right w:val="single" w:sz="4" w:space="0" w:color="666699"/>
            </w:tcBorders>
            <w:hideMark/>
          </w:tcPr>
          <w:p w:rsidR="00530166" w:rsidRPr="004B41C8" w:rsidRDefault="00EB22CC" w:rsidP="00EB22CC">
            <w:pPr>
              <w:bidi/>
              <w:spacing w:after="80"/>
              <w:jc w:val="left"/>
              <w:rPr>
                <w:sz w:val="18"/>
                <w:lang w:val="en-CA" w:bidi="ar-EG"/>
              </w:rPr>
            </w:pPr>
            <w:r w:rsidRPr="00057486">
              <w:rPr>
                <w:sz w:val="16"/>
                <w:szCs w:val="16"/>
                <w:rtl/>
                <w:lang w:bidi="ar-AE"/>
              </w:rPr>
              <w:t xml:space="preserve">خطة إدارة إزالة المواد الهيدروكلوروفلوروكربونية </w:t>
            </w:r>
            <w:r>
              <w:rPr>
                <w:rFonts w:hint="cs"/>
                <w:sz w:val="16"/>
                <w:szCs w:val="16"/>
                <w:rtl/>
                <w:lang w:val="en-US" w:bidi="ar-EG"/>
              </w:rPr>
              <w:t xml:space="preserve"> (المرحلة الأولى)</w:t>
            </w:r>
          </w:p>
        </w:tc>
        <w:tc>
          <w:tcPr>
            <w:tcW w:w="1842" w:type="dxa"/>
            <w:tcBorders>
              <w:top w:val="single" w:sz="4" w:space="0" w:color="666699"/>
              <w:left w:val="single" w:sz="4" w:space="0" w:color="666699"/>
              <w:bottom w:val="single" w:sz="4" w:space="0" w:color="666699"/>
              <w:right w:val="single" w:sz="4" w:space="0" w:color="666699"/>
            </w:tcBorders>
            <w:hideMark/>
          </w:tcPr>
          <w:p w:rsidR="00530166" w:rsidRPr="00A44011" w:rsidRDefault="00EB22CC" w:rsidP="00EB22CC">
            <w:pPr>
              <w:bidi/>
              <w:spacing w:after="80"/>
              <w:jc w:val="center"/>
              <w:rPr>
                <w:sz w:val="18"/>
                <w:szCs w:val="18"/>
                <w:lang w:val="en-CA"/>
              </w:rPr>
            </w:pPr>
            <w:r w:rsidRPr="00A44011">
              <w:rPr>
                <w:rFonts w:hint="cs"/>
                <w:sz w:val="18"/>
                <w:szCs w:val="18"/>
                <w:rtl/>
              </w:rPr>
              <w:t>اليوئنديبي، اليونيب (رئيسية)</w:t>
            </w:r>
          </w:p>
        </w:tc>
        <w:tc>
          <w:tcPr>
            <w:tcW w:w="1555" w:type="dxa"/>
            <w:tcBorders>
              <w:top w:val="single" w:sz="4" w:space="0" w:color="666699"/>
              <w:left w:val="single" w:sz="4" w:space="0" w:color="666699"/>
              <w:bottom w:val="single" w:sz="4" w:space="0" w:color="666699"/>
              <w:right w:val="single" w:sz="4" w:space="0" w:color="666699"/>
            </w:tcBorders>
            <w:hideMark/>
          </w:tcPr>
          <w:p w:rsidR="00530166" w:rsidRPr="00A44011" w:rsidRDefault="00530166" w:rsidP="00C80327">
            <w:pPr>
              <w:bidi/>
              <w:spacing w:after="80"/>
              <w:jc w:val="center"/>
              <w:rPr>
                <w:sz w:val="18"/>
                <w:szCs w:val="18"/>
                <w:lang w:val="en-CA"/>
              </w:rPr>
            </w:pPr>
            <w:r w:rsidRPr="00A44011">
              <w:rPr>
                <w:sz w:val="18"/>
                <w:szCs w:val="18"/>
                <w:lang w:val="en-CA"/>
              </w:rPr>
              <w:t>63</w:t>
            </w:r>
            <w:r w:rsidRPr="00A44011">
              <w:rPr>
                <w:sz w:val="18"/>
                <w:szCs w:val="18"/>
                <w:vertAlign w:val="superscript"/>
                <w:lang w:val="en-CA"/>
              </w:rPr>
              <w:t>rd</w:t>
            </w:r>
          </w:p>
        </w:tc>
        <w:tc>
          <w:tcPr>
            <w:tcW w:w="2212" w:type="dxa"/>
            <w:tcBorders>
              <w:top w:val="single" w:sz="4" w:space="0" w:color="666699"/>
              <w:left w:val="single" w:sz="4" w:space="0" w:color="666699"/>
              <w:bottom w:val="single" w:sz="4" w:space="0" w:color="666699"/>
              <w:right w:val="single" w:sz="4" w:space="0" w:color="666699"/>
            </w:tcBorders>
            <w:hideMark/>
          </w:tcPr>
          <w:p w:rsidR="00530166" w:rsidRPr="00A44011" w:rsidRDefault="00EB22CC" w:rsidP="00C80327">
            <w:pPr>
              <w:bidi/>
              <w:spacing w:after="80"/>
              <w:jc w:val="center"/>
              <w:rPr>
                <w:sz w:val="18"/>
                <w:szCs w:val="18"/>
                <w:lang w:val="en-CA"/>
              </w:rPr>
            </w:pPr>
            <w:r w:rsidRPr="00A44011">
              <w:rPr>
                <w:sz w:val="18"/>
                <w:szCs w:val="18"/>
              </w:rPr>
              <w:t>35</w:t>
            </w:r>
            <w:r w:rsidRPr="00A44011">
              <w:rPr>
                <w:rFonts w:hint="cs"/>
                <w:sz w:val="18"/>
                <w:szCs w:val="18"/>
                <w:rtl/>
              </w:rPr>
              <w:t xml:space="preserve"> في المائة بحلول عام 2020</w:t>
            </w:r>
          </w:p>
        </w:tc>
      </w:tr>
    </w:tbl>
    <w:p w:rsidR="00530166" w:rsidRPr="004B41C8" w:rsidRDefault="00530166" w:rsidP="00C80327">
      <w:pPr>
        <w:bidi/>
        <w:spacing w:after="60"/>
        <w:jc w:val="center"/>
        <w:rPr>
          <w:lang w:val="en-CA"/>
        </w:rPr>
      </w:pPr>
    </w:p>
    <w:tbl>
      <w:tblPr>
        <w:tblStyle w:val="TableGrid"/>
        <w:bidiVisual/>
        <w:tblW w:w="93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81"/>
        <w:gridCol w:w="2035"/>
        <w:gridCol w:w="2469"/>
      </w:tblGrid>
      <w:tr w:rsidR="00A44011" w:rsidRPr="004B41C8" w:rsidTr="00A44011">
        <w:trPr>
          <w:trHeight w:val="269"/>
        </w:trPr>
        <w:tc>
          <w:tcPr>
            <w:tcW w:w="4881" w:type="dxa"/>
            <w:tcBorders>
              <w:top w:val="single" w:sz="4" w:space="0" w:color="666699"/>
              <w:left w:val="single" w:sz="4" w:space="0" w:color="666699"/>
              <w:bottom w:val="single" w:sz="4" w:space="0" w:color="666699"/>
              <w:right w:val="single" w:sz="4" w:space="0" w:color="666699"/>
            </w:tcBorders>
            <w:hideMark/>
          </w:tcPr>
          <w:p w:rsidR="00A44011" w:rsidRPr="004B41C8" w:rsidRDefault="00A44011" w:rsidP="00C80327">
            <w:pPr>
              <w:bidi/>
              <w:spacing w:after="60"/>
              <w:jc w:val="left"/>
              <w:rPr>
                <w:b/>
                <w:sz w:val="18"/>
                <w:lang w:val="en-CA"/>
              </w:rPr>
            </w:pPr>
            <w:r>
              <w:rPr>
                <w:rFonts w:hint="cs"/>
                <w:bCs/>
                <w:sz w:val="16"/>
                <w:szCs w:val="16"/>
                <w:rtl/>
                <w:lang w:bidi="ar-AE"/>
              </w:rPr>
              <w:t>(</w:t>
            </w:r>
            <w:r w:rsidRPr="005759DF">
              <w:rPr>
                <w:bCs/>
                <w:sz w:val="16"/>
                <w:szCs w:val="16"/>
                <w:rtl/>
                <w:lang w:bidi="ar-AE"/>
              </w:rPr>
              <w:t>ثانيا) أحدث بيانات المادة 7</w:t>
            </w:r>
            <w:r>
              <w:rPr>
                <w:rFonts w:hint="cs"/>
                <w:bCs/>
                <w:sz w:val="16"/>
                <w:szCs w:val="16"/>
                <w:rtl/>
                <w:lang w:bidi="ar-AE"/>
              </w:rPr>
              <w:t xml:space="preserve"> (المرفق جيم المجموعة الأولى)</w:t>
            </w:r>
          </w:p>
        </w:tc>
        <w:tc>
          <w:tcPr>
            <w:tcW w:w="2035" w:type="dxa"/>
            <w:tcBorders>
              <w:top w:val="single" w:sz="4" w:space="0" w:color="666699"/>
              <w:left w:val="single" w:sz="4" w:space="0" w:color="666699"/>
              <w:bottom w:val="single" w:sz="4" w:space="0" w:color="666699"/>
              <w:right w:val="single" w:sz="4" w:space="0" w:color="666699"/>
            </w:tcBorders>
            <w:hideMark/>
          </w:tcPr>
          <w:p w:rsidR="00A44011" w:rsidRPr="004B41C8" w:rsidRDefault="00A44011" w:rsidP="00C80327">
            <w:pPr>
              <w:bidi/>
              <w:spacing w:after="60"/>
              <w:jc w:val="center"/>
              <w:rPr>
                <w:sz w:val="18"/>
                <w:lang w:val="en-CA"/>
              </w:rPr>
            </w:pPr>
            <w:r w:rsidRPr="005759DF">
              <w:rPr>
                <w:sz w:val="16"/>
                <w:szCs w:val="16"/>
                <w:rtl/>
                <w:lang w:bidi="ar-AE"/>
              </w:rPr>
              <w:t>السنة:</w:t>
            </w:r>
            <w:r>
              <w:rPr>
                <w:rFonts w:hint="cs"/>
                <w:sz w:val="16"/>
                <w:szCs w:val="16"/>
                <w:rtl/>
                <w:lang w:bidi="ar-AE"/>
              </w:rPr>
              <w:t xml:space="preserve"> </w:t>
            </w:r>
            <w:r w:rsidRPr="00AB25A2">
              <w:rPr>
                <w:sz w:val="18"/>
              </w:rPr>
              <w:t xml:space="preserve"> </w:t>
            </w:r>
            <w:r w:rsidRPr="00D30B9D">
              <w:rPr>
                <w:sz w:val="18"/>
                <w:lang w:val="en-CA"/>
              </w:rPr>
              <w:t xml:space="preserve"> 2019</w:t>
            </w:r>
          </w:p>
        </w:tc>
        <w:tc>
          <w:tcPr>
            <w:tcW w:w="2469" w:type="dxa"/>
            <w:tcBorders>
              <w:top w:val="single" w:sz="4" w:space="0" w:color="666699"/>
              <w:left w:val="single" w:sz="4" w:space="0" w:color="666699"/>
              <w:bottom w:val="single" w:sz="4" w:space="0" w:color="666699"/>
              <w:right w:val="single" w:sz="4" w:space="0" w:color="666699"/>
            </w:tcBorders>
            <w:hideMark/>
          </w:tcPr>
          <w:p w:rsidR="00A44011" w:rsidRPr="004B41C8" w:rsidRDefault="00A44011" w:rsidP="00A44011">
            <w:pPr>
              <w:bidi/>
              <w:spacing w:after="60"/>
              <w:jc w:val="left"/>
              <w:rPr>
                <w:sz w:val="18"/>
                <w:rtl/>
                <w:lang w:val="en-CA" w:bidi="ar-AE"/>
              </w:rPr>
            </w:pPr>
            <w:r w:rsidRPr="004B41C8">
              <w:rPr>
                <w:sz w:val="18"/>
                <w:lang w:val="en-CA"/>
              </w:rPr>
              <w:t xml:space="preserve">14.59 </w:t>
            </w:r>
            <w:r>
              <w:rPr>
                <w:rFonts w:hint="cs"/>
                <w:sz w:val="16"/>
                <w:szCs w:val="16"/>
                <w:rtl/>
                <w:lang w:bidi="ar-AE"/>
              </w:rPr>
              <w:t xml:space="preserve"> </w:t>
            </w:r>
            <w:r w:rsidRPr="005759DF">
              <w:rPr>
                <w:sz w:val="16"/>
                <w:szCs w:val="16"/>
                <w:rtl/>
                <w:lang w:bidi="ar-AE"/>
              </w:rPr>
              <w:t>(طن من قدرات استنفاد الأوزون)</w:t>
            </w:r>
          </w:p>
        </w:tc>
      </w:tr>
    </w:tbl>
    <w:p w:rsidR="00530166" w:rsidRPr="004B41C8" w:rsidRDefault="00530166" w:rsidP="00C80327">
      <w:pPr>
        <w:bidi/>
        <w:spacing w:after="60"/>
        <w:jc w:val="center"/>
        <w:rPr>
          <w:lang w:val="en-CA"/>
        </w:rPr>
      </w:pPr>
    </w:p>
    <w:tbl>
      <w:tblPr>
        <w:tblStyle w:val="TableGrid"/>
        <w:bidiVisual/>
        <w:tblW w:w="938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955"/>
        <w:gridCol w:w="992"/>
        <w:gridCol w:w="709"/>
        <w:gridCol w:w="992"/>
        <w:gridCol w:w="709"/>
        <w:gridCol w:w="656"/>
        <w:gridCol w:w="727"/>
        <w:gridCol w:w="601"/>
        <w:gridCol w:w="851"/>
        <w:gridCol w:w="1195"/>
      </w:tblGrid>
      <w:tr w:rsidR="00A44011" w:rsidRPr="004B41C8" w:rsidTr="006E63D2">
        <w:trPr>
          <w:trHeight w:val="245"/>
        </w:trPr>
        <w:tc>
          <w:tcPr>
            <w:tcW w:w="7341" w:type="dxa"/>
            <w:gridSpan w:val="8"/>
            <w:tcBorders>
              <w:top w:val="single" w:sz="4" w:space="0" w:color="666699"/>
              <w:left w:val="single" w:sz="4" w:space="0" w:color="666699"/>
              <w:bottom w:val="single" w:sz="4" w:space="0" w:color="666699"/>
              <w:right w:val="single" w:sz="4" w:space="0" w:color="666699"/>
            </w:tcBorders>
            <w:hideMark/>
          </w:tcPr>
          <w:p w:rsidR="00A44011" w:rsidRPr="004B41C8" w:rsidRDefault="00A44011" w:rsidP="00C80327">
            <w:pPr>
              <w:bidi/>
              <w:spacing w:after="60"/>
              <w:jc w:val="left"/>
              <w:rPr>
                <w:b/>
                <w:sz w:val="18"/>
                <w:lang w:val="en-CA"/>
              </w:rPr>
            </w:pPr>
            <w:r>
              <w:rPr>
                <w:rFonts w:hint="cs"/>
                <w:bCs/>
                <w:sz w:val="16"/>
                <w:szCs w:val="16"/>
                <w:rtl/>
                <w:lang w:bidi="ar-AE"/>
              </w:rPr>
              <w:t>(</w:t>
            </w:r>
            <w:r w:rsidRPr="00057486">
              <w:rPr>
                <w:bCs/>
                <w:sz w:val="16"/>
                <w:szCs w:val="16"/>
                <w:rtl/>
                <w:lang w:bidi="ar-AE"/>
              </w:rPr>
              <w:t>ثالثا) أحدث البيانات القطاعية للبرنامج القطري (طن من قدرات استنفاذ الأوزون)</w:t>
            </w:r>
          </w:p>
        </w:tc>
        <w:tc>
          <w:tcPr>
            <w:tcW w:w="2046" w:type="dxa"/>
            <w:gridSpan w:val="2"/>
            <w:tcBorders>
              <w:top w:val="single" w:sz="4" w:space="0" w:color="666699"/>
              <w:left w:val="single" w:sz="4" w:space="0" w:color="666699"/>
              <w:bottom w:val="single" w:sz="4" w:space="0" w:color="666699"/>
              <w:right w:val="single" w:sz="4" w:space="0" w:color="666699"/>
            </w:tcBorders>
            <w:hideMark/>
          </w:tcPr>
          <w:p w:rsidR="00A44011" w:rsidRPr="004B41C8" w:rsidRDefault="00A44011" w:rsidP="00A44011">
            <w:pPr>
              <w:bidi/>
              <w:spacing w:after="60"/>
              <w:jc w:val="center"/>
              <w:rPr>
                <w:b/>
                <w:sz w:val="18"/>
                <w:lang w:val="en-CA"/>
              </w:rPr>
            </w:pPr>
            <w:r w:rsidRPr="004A7AB0">
              <w:rPr>
                <w:bCs/>
                <w:sz w:val="16"/>
                <w:szCs w:val="16"/>
                <w:rtl/>
                <w:lang w:bidi="ar-AE"/>
              </w:rPr>
              <w:t>السنة:</w:t>
            </w:r>
            <w:r w:rsidRPr="00D30B9D">
              <w:rPr>
                <w:b/>
                <w:sz w:val="18"/>
                <w:lang w:val="en-CA"/>
              </w:rPr>
              <w:t xml:space="preserve"> 2019</w:t>
            </w:r>
          </w:p>
        </w:tc>
      </w:tr>
      <w:tr w:rsidR="00717E12" w:rsidRPr="004B41C8" w:rsidTr="006E63D2">
        <w:trPr>
          <w:trHeight w:val="245"/>
        </w:trPr>
        <w:tc>
          <w:tcPr>
            <w:tcW w:w="1955"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كيميائي</w:t>
            </w:r>
          </w:p>
        </w:tc>
        <w:tc>
          <w:tcPr>
            <w:tcW w:w="992"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الأيروصولات</w:t>
            </w:r>
          </w:p>
        </w:tc>
        <w:tc>
          <w:tcPr>
            <w:tcW w:w="709"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الرغاوي</w:t>
            </w:r>
          </w:p>
        </w:tc>
        <w:tc>
          <w:tcPr>
            <w:tcW w:w="992"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مكافحة الحريق</w:t>
            </w:r>
          </w:p>
        </w:tc>
        <w:tc>
          <w:tcPr>
            <w:tcW w:w="1365" w:type="dxa"/>
            <w:gridSpan w:val="2"/>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التبريد</w:t>
            </w:r>
          </w:p>
        </w:tc>
        <w:tc>
          <w:tcPr>
            <w:tcW w:w="727"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المذيبات</w:t>
            </w:r>
          </w:p>
        </w:tc>
        <w:tc>
          <w:tcPr>
            <w:tcW w:w="601"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عامل تصنيع</w:t>
            </w:r>
          </w:p>
        </w:tc>
        <w:tc>
          <w:tcPr>
            <w:tcW w:w="851"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الاستخدامات المعملية</w:t>
            </w:r>
          </w:p>
        </w:tc>
        <w:tc>
          <w:tcPr>
            <w:tcW w:w="1195" w:type="dxa"/>
            <w:tcBorders>
              <w:top w:val="single" w:sz="4" w:space="0" w:color="666699"/>
              <w:left w:val="single" w:sz="4" w:space="0" w:color="666699"/>
              <w:bottom w:val="single" w:sz="4" w:space="0" w:color="666699"/>
              <w:right w:val="single" w:sz="4" w:space="0" w:color="666699"/>
            </w:tcBorders>
            <w:hideMark/>
          </w:tcPr>
          <w:p w:rsidR="00717E12" w:rsidRPr="00057486" w:rsidRDefault="00717E12" w:rsidP="006C23A7">
            <w:pPr>
              <w:bidi/>
              <w:jc w:val="center"/>
              <w:rPr>
                <w:sz w:val="16"/>
                <w:szCs w:val="16"/>
                <w:rtl/>
                <w:lang w:bidi="ar-AE"/>
              </w:rPr>
            </w:pPr>
            <w:r w:rsidRPr="00057486">
              <w:rPr>
                <w:sz w:val="16"/>
                <w:szCs w:val="16"/>
                <w:rtl/>
                <w:lang w:bidi="ar-AE"/>
              </w:rPr>
              <w:t xml:space="preserve">إجمالي </w:t>
            </w:r>
          </w:p>
          <w:p w:rsidR="00717E12" w:rsidRPr="004B41C8" w:rsidRDefault="00717E12" w:rsidP="00C80327">
            <w:pPr>
              <w:bidi/>
              <w:spacing w:after="60"/>
              <w:jc w:val="center"/>
              <w:rPr>
                <w:sz w:val="18"/>
                <w:lang w:val="en-CA"/>
              </w:rPr>
            </w:pPr>
            <w:r w:rsidRPr="00057486">
              <w:rPr>
                <w:sz w:val="16"/>
                <w:szCs w:val="16"/>
                <w:rtl/>
                <w:lang w:bidi="ar-AE"/>
              </w:rPr>
              <w:t>الاستهلاك القطاعي</w:t>
            </w:r>
          </w:p>
        </w:tc>
      </w:tr>
      <w:tr w:rsidR="00717E12" w:rsidRPr="004B41C8" w:rsidTr="00717E12">
        <w:trPr>
          <w:trHeight w:val="245"/>
        </w:trPr>
        <w:tc>
          <w:tcPr>
            <w:tcW w:w="4648" w:type="dxa"/>
            <w:gridSpan w:val="4"/>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4B41C8">
              <w:rPr>
                <w:sz w:val="18"/>
                <w:lang w:val="en-CA"/>
              </w:rPr>
              <w:t xml:space="preserve"> </w:t>
            </w:r>
          </w:p>
        </w:tc>
        <w:tc>
          <w:tcPr>
            <w:tcW w:w="709"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التصنيع</w:t>
            </w:r>
          </w:p>
        </w:tc>
        <w:tc>
          <w:tcPr>
            <w:tcW w:w="656"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center"/>
              <w:rPr>
                <w:sz w:val="18"/>
                <w:lang w:val="en-CA"/>
              </w:rPr>
            </w:pPr>
            <w:r w:rsidRPr="00057486">
              <w:rPr>
                <w:sz w:val="16"/>
                <w:szCs w:val="16"/>
                <w:rtl/>
                <w:lang w:bidi="ar-AE"/>
              </w:rPr>
              <w:t>الخدمة</w:t>
            </w:r>
          </w:p>
        </w:tc>
        <w:tc>
          <w:tcPr>
            <w:tcW w:w="3374" w:type="dxa"/>
            <w:gridSpan w:val="4"/>
            <w:tcBorders>
              <w:top w:val="single" w:sz="4" w:space="0" w:color="666699"/>
              <w:left w:val="single" w:sz="4" w:space="0" w:color="666699"/>
              <w:bottom w:val="single" w:sz="4" w:space="0" w:color="666699"/>
              <w:right w:val="single" w:sz="4" w:space="0" w:color="666699"/>
            </w:tcBorders>
          </w:tcPr>
          <w:p w:rsidR="00717E12" w:rsidRPr="004B41C8" w:rsidRDefault="00717E12" w:rsidP="00C80327">
            <w:pPr>
              <w:bidi/>
              <w:spacing w:after="60"/>
              <w:jc w:val="center"/>
              <w:rPr>
                <w:sz w:val="18"/>
                <w:lang w:val="en-CA"/>
              </w:rPr>
            </w:pPr>
          </w:p>
        </w:tc>
      </w:tr>
      <w:tr w:rsidR="004B41C8" w:rsidRPr="004B41C8" w:rsidTr="006E63D2">
        <w:trPr>
          <w:trHeight w:val="245"/>
        </w:trPr>
        <w:tc>
          <w:tcPr>
            <w:tcW w:w="1955" w:type="dxa"/>
            <w:tcBorders>
              <w:top w:val="single" w:sz="4" w:space="0" w:color="666699"/>
              <w:left w:val="single" w:sz="4" w:space="0" w:color="666699"/>
              <w:bottom w:val="single" w:sz="4" w:space="0" w:color="666699"/>
              <w:right w:val="single" w:sz="4" w:space="0" w:color="666699"/>
            </w:tcBorders>
            <w:hideMark/>
          </w:tcPr>
          <w:p w:rsidR="00530166" w:rsidRPr="004B41C8" w:rsidRDefault="00717E12" w:rsidP="00C80327">
            <w:pPr>
              <w:bidi/>
              <w:spacing w:after="60"/>
              <w:jc w:val="left"/>
              <w:rPr>
                <w:sz w:val="18"/>
                <w:lang w:val="en-CA"/>
              </w:rPr>
            </w:pPr>
            <w:r w:rsidRPr="00057486">
              <w:rPr>
                <w:sz w:val="16"/>
                <w:szCs w:val="16"/>
                <w:rtl/>
                <w:lang w:bidi="ar-AE"/>
              </w:rPr>
              <w:t>الهيدروكلوروفلوروكربون</w:t>
            </w:r>
            <w:r>
              <w:rPr>
                <w:rFonts w:hint="cs"/>
                <w:sz w:val="16"/>
                <w:szCs w:val="16"/>
                <w:rtl/>
                <w:lang w:bidi="ar-AE"/>
              </w:rPr>
              <w:t>-</w:t>
            </w:r>
            <w:r w:rsidR="00530166" w:rsidRPr="004B41C8">
              <w:rPr>
                <w:sz w:val="18"/>
                <w:lang w:val="en-CA"/>
              </w:rPr>
              <w:t>123</w:t>
            </w:r>
          </w:p>
        </w:tc>
        <w:tc>
          <w:tcPr>
            <w:tcW w:w="992"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709"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992"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717E12">
            <w:pPr>
              <w:bidi/>
              <w:spacing w:after="60"/>
              <w:jc w:val="left"/>
              <w:rPr>
                <w:sz w:val="18"/>
                <w:lang w:val="en-CA"/>
              </w:rPr>
            </w:pPr>
            <w:r w:rsidRPr="004B41C8">
              <w:rPr>
                <w:sz w:val="18"/>
                <w:lang w:val="en-CA"/>
              </w:rPr>
              <w:t>0.13</w:t>
            </w:r>
          </w:p>
        </w:tc>
        <w:tc>
          <w:tcPr>
            <w:tcW w:w="709"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656"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727"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601"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851"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1195"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717E12">
            <w:pPr>
              <w:bidi/>
              <w:spacing w:after="60"/>
              <w:jc w:val="left"/>
              <w:rPr>
                <w:sz w:val="18"/>
                <w:lang w:val="en-CA"/>
              </w:rPr>
            </w:pPr>
            <w:r w:rsidRPr="004B41C8">
              <w:rPr>
                <w:sz w:val="18"/>
                <w:lang w:val="en-CA"/>
              </w:rPr>
              <w:t>0.13</w:t>
            </w:r>
          </w:p>
        </w:tc>
      </w:tr>
      <w:tr w:rsidR="004B41C8" w:rsidRPr="004B41C8" w:rsidTr="006E63D2">
        <w:trPr>
          <w:trHeight w:val="422"/>
        </w:trPr>
        <w:tc>
          <w:tcPr>
            <w:tcW w:w="1955" w:type="dxa"/>
            <w:tcBorders>
              <w:top w:val="single" w:sz="4" w:space="0" w:color="666699"/>
              <w:left w:val="single" w:sz="4" w:space="0" w:color="666699"/>
              <w:bottom w:val="single" w:sz="4" w:space="0" w:color="666699"/>
              <w:right w:val="single" w:sz="4" w:space="0" w:color="666699"/>
            </w:tcBorders>
            <w:hideMark/>
          </w:tcPr>
          <w:p w:rsidR="00530166" w:rsidRPr="003B373C" w:rsidRDefault="003B373C" w:rsidP="003B373C">
            <w:pPr>
              <w:bidi/>
              <w:spacing w:after="60"/>
              <w:jc w:val="left"/>
              <w:rPr>
                <w:sz w:val="16"/>
                <w:szCs w:val="16"/>
                <w:rtl/>
                <w:lang w:val="en-CA" w:bidi="ar-EG"/>
              </w:rPr>
            </w:pPr>
            <w:r w:rsidRPr="003B373C">
              <w:rPr>
                <w:sz w:val="16"/>
                <w:szCs w:val="16"/>
                <w:rtl/>
                <w:lang w:bidi="ar-AE"/>
              </w:rPr>
              <w:t>الهيدروكلوروفلوروكربون</w:t>
            </w:r>
            <w:r w:rsidRPr="003B373C">
              <w:rPr>
                <w:rFonts w:hint="cs"/>
                <w:sz w:val="16"/>
                <w:szCs w:val="16"/>
                <w:rtl/>
                <w:lang w:bidi="ar-AE"/>
              </w:rPr>
              <w:t>-</w:t>
            </w:r>
            <w:r w:rsidR="00530166" w:rsidRPr="003B373C">
              <w:rPr>
                <w:sz w:val="16"/>
                <w:szCs w:val="16"/>
                <w:lang w:val="en-CA"/>
              </w:rPr>
              <w:t>141b</w:t>
            </w:r>
            <w:r w:rsidRPr="003B373C">
              <w:rPr>
                <w:rFonts w:hint="cs"/>
                <w:sz w:val="16"/>
                <w:szCs w:val="16"/>
                <w:rtl/>
                <w:lang w:val="en-CA"/>
              </w:rPr>
              <w:t xml:space="preserve"> في البوليولات المستوردة سابقة الخلط</w:t>
            </w:r>
          </w:p>
        </w:tc>
        <w:tc>
          <w:tcPr>
            <w:tcW w:w="992"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709"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717E12">
            <w:pPr>
              <w:bidi/>
              <w:spacing w:after="60"/>
              <w:jc w:val="left"/>
              <w:rPr>
                <w:sz w:val="18"/>
                <w:lang w:val="en-CA"/>
              </w:rPr>
            </w:pPr>
            <w:r w:rsidRPr="004B41C8">
              <w:rPr>
                <w:sz w:val="18"/>
                <w:lang w:val="en-CA"/>
              </w:rPr>
              <w:t>3.66</w:t>
            </w:r>
          </w:p>
        </w:tc>
        <w:tc>
          <w:tcPr>
            <w:tcW w:w="992"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709"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656"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727"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601"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851" w:type="dxa"/>
            <w:tcBorders>
              <w:top w:val="single" w:sz="4" w:space="0" w:color="666699"/>
              <w:left w:val="single" w:sz="4" w:space="0" w:color="666699"/>
              <w:bottom w:val="single" w:sz="4" w:space="0" w:color="666699"/>
              <w:right w:val="single" w:sz="4" w:space="0" w:color="666699"/>
            </w:tcBorders>
          </w:tcPr>
          <w:p w:rsidR="00530166" w:rsidRPr="004B41C8" w:rsidRDefault="00530166" w:rsidP="00717E12">
            <w:pPr>
              <w:bidi/>
              <w:spacing w:after="60"/>
              <w:jc w:val="left"/>
              <w:rPr>
                <w:sz w:val="18"/>
                <w:lang w:val="en-CA"/>
              </w:rPr>
            </w:pPr>
          </w:p>
        </w:tc>
        <w:tc>
          <w:tcPr>
            <w:tcW w:w="1195"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717E12">
            <w:pPr>
              <w:bidi/>
              <w:spacing w:after="60"/>
              <w:jc w:val="left"/>
              <w:rPr>
                <w:sz w:val="18"/>
                <w:lang w:val="en-CA"/>
              </w:rPr>
            </w:pPr>
            <w:r w:rsidRPr="004B41C8">
              <w:rPr>
                <w:sz w:val="18"/>
                <w:lang w:val="en-CA"/>
              </w:rPr>
              <w:t>3.66</w:t>
            </w:r>
          </w:p>
        </w:tc>
      </w:tr>
      <w:tr w:rsidR="00717E12" w:rsidRPr="004B41C8" w:rsidTr="006E63D2">
        <w:trPr>
          <w:trHeight w:val="245"/>
        </w:trPr>
        <w:tc>
          <w:tcPr>
            <w:tcW w:w="1955"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C80327">
            <w:pPr>
              <w:bidi/>
              <w:spacing w:after="60"/>
              <w:jc w:val="left"/>
              <w:rPr>
                <w:sz w:val="18"/>
                <w:lang w:val="en-CA"/>
              </w:rPr>
            </w:pPr>
            <w:r w:rsidRPr="00057486">
              <w:rPr>
                <w:sz w:val="16"/>
                <w:szCs w:val="16"/>
                <w:rtl/>
                <w:lang w:bidi="ar-AE"/>
              </w:rPr>
              <w:t>الهيدروكلوروفلوروكربون</w:t>
            </w:r>
            <w:r>
              <w:rPr>
                <w:rFonts w:hint="cs"/>
                <w:sz w:val="16"/>
                <w:szCs w:val="16"/>
                <w:rtl/>
                <w:lang w:bidi="ar-AE"/>
              </w:rPr>
              <w:t>-</w:t>
            </w:r>
            <w:r w:rsidRPr="00B03E5D">
              <w:rPr>
                <w:sz w:val="18"/>
              </w:rPr>
              <w:t>22</w:t>
            </w:r>
          </w:p>
        </w:tc>
        <w:tc>
          <w:tcPr>
            <w:tcW w:w="992" w:type="dxa"/>
            <w:tcBorders>
              <w:top w:val="single" w:sz="4" w:space="0" w:color="666699"/>
              <w:left w:val="single" w:sz="4" w:space="0" w:color="666699"/>
              <w:bottom w:val="single" w:sz="4" w:space="0" w:color="666699"/>
              <w:right w:val="single" w:sz="4" w:space="0" w:color="666699"/>
            </w:tcBorders>
          </w:tcPr>
          <w:p w:rsidR="00717E12" w:rsidRPr="004B41C8" w:rsidRDefault="00717E12" w:rsidP="00717E12">
            <w:pPr>
              <w:bidi/>
              <w:spacing w:after="60"/>
              <w:jc w:val="left"/>
              <w:rPr>
                <w:sz w:val="18"/>
                <w:lang w:val="en-CA"/>
              </w:rPr>
            </w:pPr>
          </w:p>
        </w:tc>
        <w:tc>
          <w:tcPr>
            <w:tcW w:w="709" w:type="dxa"/>
            <w:tcBorders>
              <w:top w:val="single" w:sz="4" w:space="0" w:color="666699"/>
              <w:left w:val="single" w:sz="4" w:space="0" w:color="666699"/>
              <w:bottom w:val="single" w:sz="4" w:space="0" w:color="666699"/>
              <w:right w:val="single" w:sz="4" w:space="0" w:color="666699"/>
            </w:tcBorders>
          </w:tcPr>
          <w:p w:rsidR="00717E12" w:rsidRPr="004B41C8" w:rsidRDefault="00717E12" w:rsidP="00717E12">
            <w:pPr>
              <w:bidi/>
              <w:spacing w:after="60"/>
              <w:jc w:val="left"/>
              <w:rPr>
                <w:sz w:val="18"/>
                <w:lang w:val="en-CA"/>
              </w:rPr>
            </w:pPr>
          </w:p>
        </w:tc>
        <w:tc>
          <w:tcPr>
            <w:tcW w:w="992" w:type="dxa"/>
            <w:tcBorders>
              <w:top w:val="single" w:sz="4" w:space="0" w:color="666699"/>
              <w:left w:val="single" w:sz="4" w:space="0" w:color="666699"/>
              <w:bottom w:val="single" w:sz="4" w:space="0" w:color="666699"/>
              <w:right w:val="single" w:sz="4" w:space="0" w:color="666699"/>
            </w:tcBorders>
          </w:tcPr>
          <w:p w:rsidR="00717E12" w:rsidRPr="004B41C8" w:rsidRDefault="00717E12" w:rsidP="00717E12">
            <w:pPr>
              <w:bidi/>
              <w:spacing w:after="60"/>
              <w:jc w:val="left"/>
              <w:rPr>
                <w:sz w:val="18"/>
                <w:lang w:val="en-CA"/>
              </w:rPr>
            </w:pPr>
          </w:p>
        </w:tc>
        <w:tc>
          <w:tcPr>
            <w:tcW w:w="709" w:type="dxa"/>
            <w:tcBorders>
              <w:top w:val="single" w:sz="4" w:space="0" w:color="666699"/>
              <w:left w:val="single" w:sz="4" w:space="0" w:color="666699"/>
              <w:bottom w:val="single" w:sz="4" w:space="0" w:color="666699"/>
              <w:right w:val="single" w:sz="4" w:space="0" w:color="666699"/>
            </w:tcBorders>
          </w:tcPr>
          <w:p w:rsidR="00717E12" w:rsidRPr="004B41C8" w:rsidRDefault="00717E12" w:rsidP="00717E12">
            <w:pPr>
              <w:bidi/>
              <w:spacing w:after="60"/>
              <w:jc w:val="left"/>
              <w:rPr>
                <w:sz w:val="18"/>
                <w:lang w:val="en-CA"/>
              </w:rPr>
            </w:pPr>
          </w:p>
        </w:tc>
        <w:tc>
          <w:tcPr>
            <w:tcW w:w="656"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717E12">
            <w:pPr>
              <w:bidi/>
              <w:spacing w:after="60"/>
              <w:jc w:val="left"/>
              <w:rPr>
                <w:sz w:val="18"/>
                <w:lang w:val="en-CA"/>
              </w:rPr>
            </w:pPr>
            <w:r w:rsidRPr="004B41C8">
              <w:rPr>
                <w:sz w:val="18"/>
                <w:lang w:val="en-CA"/>
              </w:rPr>
              <w:t>14.46</w:t>
            </w:r>
          </w:p>
        </w:tc>
        <w:tc>
          <w:tcPr>
            <w:tcW w:w="727" w:type="dxa"/>
            <w:tcBorders>
              <w:top w:val="single" w:sz="4" w:space="0" w:color="666699"/>
              <w:left w:val="single" w:sz="4" w:space="0" w:color="666699"/>
              <w:bottom w:val="single" w:sz="4" w:space="0" w:color="666699"/>
              <w:right w:val="single" w:sz="4" w:space="0" w:color="666699"/>
            </w:tcBorders>
          </w:tcPr>
          <w:p w:rsidR="00717E12" w:rsidRPr="004B41C8" w:rsidRDefault="00717E12" w:rsidP="00717E12">
            <w:pPr>
              <w:bidi/>
              <w:spacing w:after="60"/>
              <w:jc w:val="left"/>
              <w:rPr>
                <w:sz w:val="18"/>
                <w:lang w:val="en-CA"/>
              </w:rPr>
            </w:pPr>
          </w:p>
        </w:tc>
        <w:tc>
          <w:tcPr>
            <w:tcW w:w="601" w:type="dxa"/>
            <w:tcBorders>
              <w:top w:val="single" w:sz="4" w:space="0" w:color="666699"/>
              <w:left w:val="single" w:sz="4" w:space="0" w:color="666699"/>
              <w:bottom w:val="single" w:sz="4" w:space="0" w:color="666699"/>
              <w:right w:val="single" w:sz="4" w:space="0" w:color="666699"/>
            </w:tcBorders>
          </w:tcPr>
          <w:p w:rsidR="00717E12" w:rsidRPr="004B41C8" w:rsidRDefault="00717E12" w:rsidP="00717E12">
            <w:pPr>
              <w:bidi/>
              <w:spacing w:after="60"/>
              <w:jc w:val="left"/>
              <w:rPr>
                <w:sz w:val="18"/>
                <w:lang w:val="en-CA"/>
              </w:rPr>
            </w:pPr>
          </w:p>
        </w:tc>
        <w:tc>
          <w:tcPr>
            <w:tcW w:w="851" w:type="dxa"/>
            <w:tcBorders>
              <w:top w:val="single" w:sz="4" w:space="0" w:color="666699"/>
              <w:left w:val="single" w:sz="4" w:space="0" w:color="666699"/>
              <w:bottom w:val="single" w:sz="4" w:space="0" w:color="666699"/>
              <w:right w:val="single" w:sz="4" w:space="0" w:color="666699"/>
            </w:tcBorders>
          </w:tcPr>
          <w:p w:rsidR="00717E12" w:rsidRPr="004B41C8" w:rsidRDefault="00717E12" w:rsidP="00717E12">
            <w:pPr>
              <w:bidi/>
              <w:spacing w:after="60"/>
              <w:jc w:val="left"/>
              <w:rPr>
                <w:sz w:val="18"/>
                <w:lang w:val="en-CA"/>
              </w:rPr>
            </w:pPr>
          </w:p>
        </w:tc>
        <w:tc>
          <w:tcPr>
            <w:tcW w:w="1195" w:type="dxa"/>
            <w:tcBorders>
              <w:top w:val="single" w:sz="4" w:space="0" w:color="666699"/>
              <w:left w:val="single" w:sz="4" w:space="0" w:color="666699"/>
              <w:bottom w:val="single" w:sz="4" w:space="0" w:color="666699"/>
              <w:right w:val="single" w:sz="4" w:space="0" w:color="666699"/>
            </w:tcBorders>
            <w:hideMark/>
          </w:tcPr>
          <w:p w:rsidR="00717E12" w:rsidRPr="004B41C8" w:rsidRDefault="00717E12" w:rsidP="00717E12">
            <w:pPr>
              <w:bidi/>
              <w:spacing w:after="60"/>
              <w:jc w:val="left"/>
              <w:rPr>
                <w:sz w:val="18"/>
                <w:lang w:val="en-CA"/>
              </w:rPr>
            </w:pPr>
            <w:r w:rsidRPr="004B41C8">
              <w:rPr>
                <w:sz w:val="18"/>
                <w:lang w:val="en-CA"/>
              </w:rPr>
              <w:t>14.46</w:t>
            </w:r>
          </w:p>
        </w:tc>
      </w:tr>
    </w:tbl>
    <w:p w:rsidR="00530166" w:rsidRPr="004B41C8" w:rsidRDefault="00530166" w:rsidP="00C80327">
      <w:pPr>
        <w:bidi/>
        <w:spacing w:after="60"/>
        <w:jc w:val="center"/>
        <w:rPr>
          <w:lang w:val="en-CA"/>
        </w:rPr>
      </w:pPr>
    </w:p>
    <w:tbl>
      <w:tblPr>
        <w:tblStyle w:val="TableGrid"/>
        <w:bidiVisual/>
        <w:tblW w:w="937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78"/>
        <w:gridCol w:w="932"/>
        <w:gridCol w:w="4077"/>
        <w:gridCol w:w="1090"/>
      </w:tblGrid>
      <w:tr w:rsidR="004B41C8" w:rsidRPr="004B41C8" w:rsidTr="0059064F">
        <w:trPr>
          <w:trHeight w:val="237"/>
        </w:trPr>
        <w:tc>
          <w:tcPr>
            <w:tcW w:w="0" w:type="auto"/>
            <w:gridSpan w:val="4"/>
            <w:tcBorders>
              <w:top w:val="single" w:sz="4" w:space="0" w:color="666699"/>
              <w:left w:val="single" w:sz="4" w:space="0" w:color="666699"/>
              <w:bottom w:val="single" w:sz="4" w:space="0" w:color="666699"/>
              <w:right w:val="single" w:sz="4" w:space="0" w:color="666699"/>
            </w:tcBorders>
            <w:hideMark/>
          </w:tcPr>
          <w:p w:rsidR="00530166" w:rsidRPr="004B41C8" w:rsidRDefault="003B373C" w:rsidP="00C80327">
            <w:pPr>
              <w:bidi/>
              <w:spacing w:after="60"/>
              <w:jc w:val="left"/>
              <w:rPr>
                <w:b/>
                <w:sz w:val="18"/>
                <w:rtl/>
                <w:lang w:val="en-CA" w:bidi="ar-EG"/>
              </w:rPr>
            </w:pPr>
            <w:r>
              <w:rPr>
                <w:rFonts w:hint="cs"/>
                <w:bCs/>
                <w:sz w:val="16"/>
                <w:szCs w:val="16"/>
                <w:rtl/>
                <w:lang w:bidi="ar-AE"/>
              </w:rPr>
              <w:t>(</w:t>
            </w:r>
            <w:r w:rsidRPr="00057486">
              <w:rPr>
                <w:bCs/>
                <w:sz w:val="16"/>
                <w:szCs w:val="16"/>
                <w:rtl/>
                <w:lang w:bidi="ar-AE"/>
              </w:rPr>
              <w:t>رابعا) بيانات الاستهلاك (طن من قدرات استنفاذ الأوزون)</w:t>
            </w:r>
          </w:p>
        </w:tc>
      </w:tr>
      <w:tr w:rsidR="004B41C8" w:rsidRPr="004B41C8" w:rsidTr="0059064F">
        <w:trPr>
          <w:trHeight w:val="237"/>
        </w:trPr>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3B373C" w:rsidP="00C80327">
            <w:pPr>
              <w:bidi/>
              <w:spacing w:after="60"/>
              <w:jc w:val="center"/>
              <w:rPr>
                <w:sz w:val="18"/>
                <w:rtl/>
                <w:lang w:val="en-CA" w:bidi="ar-EG"/>
              </w:rPr>
            </w:pPr>
            <w:r w:rsidRPr="00057486">
              <w:rPr>
                <w:sz w:val="16"/>
                <w:szCs w:val="16"/>
                <w:rtl/>
                <w:lang w:bidi="ar-AE"/>
              </w:rPr>
              <w:t>خط الأساس لفترة 2009-2010</w:t>
            </w:r>
            <w:r>
              <w:rPr>
                <w:sz w:val="18"/>
                <w:lang w:val="en-CA"/>
              </w:rPr>
              <w:t>:</w:t>
            </w:r>
          </w:p>
        </w:tc>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right"/>
              <w:rPr>
                <w:sz w:val="18"/>
                <w:lang w:val="en-CA"/>
              </w:rPr>
            </w:pPr>
            <w:r w:rsidRPr="004B41C8">
              <w:rPr>
                <w:sz w:val="18"/>
                <w:lang w:val="en-CA"/>
              </w:rPr>
              <w:t>18.0</w:t>
            </w:r>
          </w:p>
        </w:tc>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3B373C" w:rsidP="00C80327">
            <w:pPr>
              <w:bidi/>
              <w:spacing w:after="60"/>
              <w:jc w:val="center"/>
              <w:rPr>
                <w:sz w:val="18"/>
                <w:rtl/>
                <w:lang w:val="en-CA" w:bidi="ar-EG"/>
              </w:rPr>
            </w:pPr>
            <w:r w:rsidRPr="00057486">
              <w:rPr>
                <w:sz w:val="16"/>
                <w:szCs w:val="16"/>
                <w:rtl/>
                <w:lang w:bidi="ar-AE"/>
              </w:rPr>
              <w:t>نقطة البداية للتخفيضات المجمعة المستدامة</w:t>
            </w:r>
          </w:p>
        </w:tc>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530166" w:rsidP="00717E12">
            <w:pPr>
              <w:bidi/>
              <w:spacing w:after="60"/>
              <w:jc w:val="left"/>
              <w:rPr>
                <w:sz w:val="18"/>
                <w:lang w:val="en-CA"/>
              </w:rPr>
            </w:pPr>
            <w:r w:rsidRPr="004B41C8">
              <w:rPr>
                <w:sz w:val="18"/>
                <w:lang w:val="en-CA"/>
              </w:rPr>
              <w:t>19.31</w:t>
            </w:r>
          </w:p>
        </w:tc>
      </w:tr>
      <w:tr w:rsidR="004B41C8" w:rsidRPr="004B41C8" w:rsidTr="0059064F">
        <w:trPr>
          <w:trHeight w:val="237"/>
        </w:trPr>
        <w:tc>
          <w:tcPr>
            <w:tcW w:w="0" w:type="auto"/>
            <w:gridSpan w:val="4"/>
            <w:tcBorders>
              <w:top w:val="single" w:sz="4" w:space="0" w:color="666699"/>
              <w:left w:val="single" w:sz="4" w:space="0" w:color="666699"/>
              <w:bottom w:val="single" w:sz="4" w:space="0" w:color="666699"/>
              <w:right w:val="single" w:sz="4" w:space="0" w:color="666699"/>
            </w:tcBorders>
            <w:hideMark/>
          </w:tcPr>
          <w:p w:rsidR="00530166" w:rsidRPr="004B41C8" w:rsidRDefault="003B373C" w:rsidP="00C80327">
            <w:pPr>
              <w:bidi/>
              <w:spacing w:after="60"/>
              <w:jc w:val="center"/>
              <w:rPr>
                <w:b/>
                <w:sz w:val="18"/>
                <w:rtl/>
                <w:lang w:val="en-CA" w:bidi="ar-EG"/>
              </w:rPr>
            </w:pPr>
            <w:r w:rsidRPr="00057486">
              <w:rPr>
                <w:bCs/>
                <w:sz w:val="16"/>
                <w:szCs w:val="16"/>
                <w:rtl/>
                <w:lang w:bidi="ar-AE"/>
              </w:rPr>
              <w:t>الاستهلاك المؤهل للتمويل (طن من قدرات استنفاذ الأوزون)</w:t>
            </w:r>
          </w:p>
        </w:tc>
      </w:tr>
      <w:tr w:rsidR="00530166" w:rsidRPr="004B41C8" w:rsidTr="0059064F">
        <w:trPr>
          <w:trHeight w:val="237"/>
        </w:trPr>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3B373C" w:rsidP="00C80327">
            <w:pPr>
              <w:bidi/>
              <w:spacing w:after="60"/>
              <w:jc w:val="center"/>
              <w:rPr>
                <w:sz w:val="18"/>
                <w:rtl/>
                <w:lang w:val="en-CA" w:bidi="ar-EG"/>
              </w:rPr>
            </w:pPr>
            <w:r w:rsidRPr="00057486">
              <w:rPr>
                <w:sz w:val="16"/>
                <w:szCs w:val="16"/>
                <w:rtl/>
                <w:lang w:bidi="ar-AE"/>
              </w:rPr>
              <w:t>موافق عليه بالفعل:</w:t>
            </w:r>
          </w:p>
        </w:tc>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right"/>
              <w:rPr>
                <w:sz w:val="18"/>
                <w:lang w:val="en-CA"/>
              </w:rPr>
            </w:pPr>
            <w:r w:rsidRPr="004B41C8">
              <w:rPr>
                <w:sz w:val="18"/>
                <w:lang w:val="en-CA"/>
              </w:rPr>
              <w:t>6.28</w:t>
            </w:r>
          </w:p>
        </w:tc>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3B373C" w:rsidP="00C80327">
            <w:pPr>
              <w:bidi/>
              <w:spacing w:after="60"/>
              <w:jc w:val="center"/>
              <w:rPr>
                <w:sz w:val="18"/>
                <w:rtl/>
                <w:lang w:val="en-CA" w:bidi="ar-EG"/>
              </w:rPr>
            </w:pPr>
            <w:r w:rsidRPr="00057486">
              <w:rPr>
                <w:sz w:val="16"/>
                <w:szCs w:val="16"/>
                <w:rtl/>
                <w:lang w:bidi="ar-AE"/>
              </w:rPr>
              <w:t>المتبقي</w:t>
            </w:r>
            <w:r w:rsidRPr="00B03E5D">
              <w:rPr>
                <w:sz w:val="18"/>
              </w:rPr>
              <w:t>:</w:t>
            </w:r>
          </w:p>
        </w:tc>
        <w:tc>
          <w:tcPr>
            <w:tcW w:w="0" w:type="auto"/>
            <w:tcBorders>
              <w:top w:val="single" w:sz="4" w:space="0" w:color="666699"/>
              <w:left w:val="single" w:sz="4" w:space="0" w:color="666699"/>
              <w:bottom w:val="single" w:sz="4" w:space="0" w:color="666699"/>
              <w:right w:val="single" w:sz="4" w:space="0" w:color="666699"/>
            </w:tcBorders>
            <w:hideMark/>
          </w:tcPr>
          <w:p w:rsidR="00530166" w:rsidRPr="004B41C8" w:rsidRDefault="00530166" w:rsidP="00717E12">
            <w:pPr>
              <w:bidi/>
              <w:spacing w:after="60"/>
              <w:jc w:val="left"/>
              <w:rPr>
                <w:sz w:val="18"/>
                <w:lang w:val="en-CA"/>
              </w:rPr>
            </w:pPr>
            <w:r w:rsidRPr="004B41C8">
              <w:rPr>
                <w:sz w:val="18"/>
                <w:lang w:val="en-CA"/>
              </w:rPr>
              <w:t>13.03</w:t>
            </w:r>
          </w:p>
        </w:tc>
      </w:tr>
    </w:tbl>
    <w:p w:rsidR="00530166" w:rsidRPr="004B41C8" w:rsidRDefault="00530166" w:rsidP="00C80327">
      <w:pPr>
        <w:bidi/>
        <w:spacing w:after="60"/>
        <w:jc w:val="center"/>
        <w:rPr>
          <w:lang w:val="en-CA"/>
        </w:rPr>
      </w:pPr>
    </w:p>
    <w:tbl>
      <w:tblPr>
        <w:tblStyle w:val="TableGrid"/>
        <w:bidiVisual/>
        <w:tblW w:w="4869"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96"/>
        <w:gridCol w:w="3821"/>
        <w:gridCol w:w="3708"/>
      </w:tblGrid>
      <w:tr w:rsidR="004B41C8" w:rsidRPr="004B41C8" w:rsidTr="003B373C">
        <w:trPr>
          <w:trHeight w:val="221"/>
        </w:trPr>
        <w:tc>
          <w:tcPr>
            <w:tcW w:w="3012" w:type="pct"/>
            <w:gridSpan w:val="2"/>
            <w:tcBorders>
              <w:top w:val="single" w:sz="4" w:space="0" w:color="666699"/>
              <w:left w:val="single" w:sz="4" w:space="0" w:color="666699"/>
              <w:bottom w:val="single" w:sz="4" w:space="0" w:color="666699"/>
              <w:right w:val="single" w:sz="4" w:space="0" w:color="666699"/>
            </w:tcBorders>
            <w:hideMark/>
          </w:tcPr>
          <w:p w:rsidR="00530166" w:rsidRPr="004B41C8" w:rsidRDefault="00371A94" w:rsidP="00C80327">
            <w:pPr>
              <w:bidi/>
              <w:spacing w:after="60"/>
              <w:jc w:val="left"/>
              <w:rPr>
                <w:b/>
                <w:sz w:val="18"/>
                <w:lang w:val="en-CA"/>
              </w:rPr>
            </w:pPr>
            <w:r>
              <w:rPr>
                <w:rFonts w:hint="cs"/>
                <w:bCs/>
                <w:sz w:val="16"/>
                <w:szCs w:val="16"/>
                <w:rtl/>
                <w:lang w:bidi="ar-EG"/>
              </w:rPr>
              <w:t>(</w:t>
            </w:r>
            <w:r w:rsidR="003B373C" w:rsidRPr="00057486">
              <w:rPr>
                <w:bCs/>
                <w:sz w:val="16"/>
                <w:szCs w:val="16"/>
                <w:rtl/>
                <w:lang w:bidi="ar-AE"/>
              </w:rPr>
              <w:t>خامسا) خطة الأعمال</w:t>
            </w:r>
          </w:p>
        </w:tc>
        <w:tc>
          <w:tcPr>
            <w:tcW w:w="1988" w:type="pct"/>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center"/>
              <w:rPr>
                <w:b/>
                <w:sz w:val="18"/>
                <w:lang w:val="en-CA"/>
              </w:rPr>
            </w:pPr>
            <w:r w:rsidRPr="004B41C8">
              <w:rPr>
                <w:b/>
                <w:sz w:val="18"/>
                <w:lang w:val="en-CA"/>
              </w:rPr>
              <w:t>2020</w:t>
            </w:r>
          </w:p>
        </w:tc>
      </w:tr>
      <w:tr w:rsidR="003B373C" w:rsidRPr="004B41C8" w:rsidTr="003B373C">
        <w:trPr>
          <w:trHeight w:val="221"/>
        </w:trPr>
        <w:tc>
          <w:tcPr>
            <w:tcW w:w="963" w:type="pct"/>
            <w:vMerge w:val="restart"/>
            <w:tcBorders>
              <w:top w:val="single" w:sz="4" w:space="0" w:color="666699"/>
              <w:left w:val="single" w:sz="4" w:space="0" w:color="666699"/>
              <w:bottom w:val="single" w:sz="4" w:space="0" w:color="666699"/>
              <w:right w:val="single" w:sz="4" w:space="0" w:color="666699"/>
            </w:tcBorders>
            <w:hideMark/>
          </w:tcPr>
          <w:p w:rsidR="003B373C" w:rsidRPr="004B41C8" w:rsidRDefault="003B373C" w:rsidP="00C80327">
            <w:pPr>
              <w:bidi/>
              <w:spacing w:after="60"/>
              <w:jc w:val="center"/>
              <w:rPr>
                <w:sz w:val="18"/>
                <w:rtl/>
                <w:lang w:val="en-CA" w:bidi="ar-EG"/>
              </w:rPr>
            </w:pPr>
            <w:r w:rsidRPr="00A44011">
              <w:rPr>
                <w:rFonts w:hint="cs"/>
                <w:sz w:val="18"/>
                <w:szCs w:val="18"/>
                <w:rtl/>
              </w:rPr>
              <w:t>اليوئنديبي</w:t>
            </w:r>
          </w:p>
        </w:tc>
        <w:tc>
          <w:tcPr>
            <w:tcW w:w="2049"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C80327">
            <w:pPr>
              <w:bidi/>
              <w:spacing w:after="60"/>
              <w:jc w:val="left"/>
              <w:rPr>
                <w:sz w:val="18"/>
                <w:lang w:val="en-CA"/>
              </w:rPr>
            </w:pPr>
            <w:r w:rsidRPr="000520F8">
              <w:rPr>
                <w:noProof/>
                <w:sz w:val="16"/>
                <w:szCs w:val="16"/>
                <w:rtl/>
              </w:rPr>
              <w:t>إزالة المواد المستنفذة للأوزون (طن من قدرات استنفاذ الأوزون)</w:t>
            </w:r>
          </w:p>
        </w:tc>
        <w:tc>
          <w:tcPr>
            <w:tcW w:w="1988"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717E12">
            <w:pPr>
              <w:bidi/>
              <w:spacing w:after="60"/>
              <w:jc w:val="left"/>
              <w:rPr>
                <w:sz w:val="18"/>
                <w:lang w:val="en-CA"/>
              </w:rPr>
            </w:pPr>
            <w:r w:rsidRPr="004B41C8">
              <w:rPr>
                <w:sz w:val="18"/>
                <w:lang w:val="en-CA"/>
              </w:rPr>
              <w:t>0.0</w:t>
            </w:r>
          </w:p>
        </w:tc>
      </w:tr>
      <w:tr w:rsidR="003B373C" w:rsidRPr="004B41C8" w:rsidTr="003B373C">
        <w:trPr>
          <w:trHeight w:val="221"/>
        </w:trPr>
        <w:tc>
          <w:tcPr>
            <w:tcW w:w="0" w:type="auto"/>
            <w:vMerge/>
            <w:tcBorders>
              <w:top w:val="single" w:sz="4" w:space="0" w:color="666699"/>
              <w:left w:val="single" w:sz="4" w:space="0" w:color="666699"/>
              <w:bottom w:val="single" w:sz="4" w:space="0" w:color="666699"/>
              <w:right w:val="single" w:sz="4" w:space="0" w:color="666699"/>
            </w:tcBorders>
            <w:vAlign w:val="center"/>
            <w:hideMark/>
          </w:tcPr>
          <w:p w:rsidR="003B373C" w:rsidRPr="004B41C8" w:rsidRDefault="003B373C" w:rsidP="00C80327">
            <w:pPr>
              <w:bidi/>
              <w:rPr>
                <w:sz w:val="18"/>
                <w:lang w:val="en-CA"/>
              </w:rPr>
            </w:pPr>
          </w:p>
        </w:tc>
        <w:tc>
          <w:tcPr>
            <w:tcW w:w="2049"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C80327">
            <w:pPr>
              <w:bidi/>
              <w:spacing w:after="60"/>
              <w:jc w:val="left"/>
              <w:rPr>
                <w:sz w:val="18"/>
                <w:lang w:val="en-CA"/>
              </w:rPr>
            </w:pPr>
            <w:r w:rsidRPr="000520F8">
              <w:rPr>
                <w:noProof/>
                <w:sz w:val="16"/>
                <w:szCs w:val="16"/>
                <w:rtl/>
              </w:rPr>
              <w:t>التمويل (دولار أمريكي)</w:t>
            </w:r>
          </w:p>
        </w:tc>
        <w:tc>
          <w:tcPr>
            <w:tcW w:w="1988"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717E12">
            <w:pPr>
              <w:bidi/>
              <w:spacing w:after="60"/>
              <w:jc w:val="left"/>
              <w:rPr>
                <w:sz w:val="18"/>
                <w:lang w:val="en-CA"/>
              </w:rPr>
            </w:pPr>
            <w:r w:rsidRPr="004B41C8">
              <w:rPr>
                <w:sz w:val="18"/>
                <w:lang w:val="en-CA"/>
              </w:rPr>
              <w:t>0</w:t>
            </w:r>
          </w:p>
        </w:tc>
      </w:tr>
      <w:tr w:rsidR="003B373C" w:rsidRPr="004B41C8" w:rsidTr="003B373C">
        <w:trPr>
          <w:trHeight w:val="221"/>
        </w:trPr>
        <w:tc>
          <w:tcPr>
            <w:tcW w:w="963" w:type="pct"/>
            <w:vMerge w:val="restart"/>
            <w:tcBorders>
              <w:top w:val="single" w:sz="4" w:space="0" w:color="666699"/>
              <w:left w:val="single" w:sz="4" w:space="0" w:color="666699"/>
              <w:bottom w:val="single" w:sz="4" w:space="0" w:color="666699"/>
              <w:right w:val="single" w:sz="4" w:space="0" w:color="666699"/>
            </w:tcBorders>
            <w:hideMark/>
          </w:tcPr>
          <w:p w:rsidR="003B373C" w:rsidRPr="004B41C8" w:rsidRDefault="003B373C" w:rsidP="00C80327">
            <w:pPr>
              <w:bidi/>
              <w:spacing w:after="60"/>
              <w:jc w:val="center"/>
              <w:rPr>
                <w:sz w:val="18"/>
                <w:rtl/>
                <w:lang w:val="en-CA" w:bidi="ar-EG"/>
              </w:rPr>
            </w:pPr>
            <w:r w:rsidRPr="00761FDE">
              <w:rPr>
                <w:rFonts w:hint="cs"/>
                <w:sz w:val="18"/>
                <w:szCs w:val="18"/>
                <w:rtl/>
              </w:rPr>
              <w:t>اليونيب</w:t>
            </w:r>
          </w:p>
        </w:tc>
        <w:tc>
          <w:tcPr>
            <w:tcW w:w="2049"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C80327">
            <w:pPr>
              <w:bidi/>
              <w:spacing w:after="60"/>
              <w:jc w:val="left"/>
              <w:rPr>
                <w:sz w:val="18"/>
                <w:lang w:val="en-CA"/>
              </w:rPr>
            </w:pPr>
            <w:r w:rsidRPr="000520F8">
              <w:rPr>
                <w:noProof/>
                <w:sz w:val="16"/>
                <w:szCs w:val="16"/>
                <w:rtl/>
              </w:rPr>
              <w:t>إزالة المواد المستنفذة للأوزون (طن من قدرات استنفاذ الأوزون)</w:t>
            </w:r>
          </w:p>
        </w:tc>
        <w:tc>
          <w:tcPr>
            <w:tcW w:w="1988"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717E12">
            <w:pPr>
              <w:bidi/>
              <w:spacing w:after="60"/>
              <w:jc w:val="left"/>
              <w:rPr>
                <w:sz w:val="18"/>
                <w:lang w:val="en-CA"/>
              </w:rPr>
            </w:pPr>
            <w:r w:rsidRPr="004B41C8">
              <w:rPr>
                <w:sz w:val="18"/>
                <w:lang w:val="en-CA"/>
              </w:rPr>
              <w:t>0.63</w:t>
            </w:r>
          </w:p>
        </w:tc>
      </w:tr>
      <w:tr w:rsidR="003B373C" w:rsidRPr="004B41C8" w:rsidTr="003B373C">
        <w:trPr>
          <w:trHeight w:val="221"/>
        </w:trPr>
        <w:tc>
          <w:tcPr>
            <w:tcW w:w="0" w:type="auto"/>
            <w:vMerge/>
            <w:tcBorders>
              <w:top w:val="single" w:sz="4" w:space="0" w:color="666699"/>
              <w:left w:val="single" w:sz="4" w:space="0" w:color="666699"/>
              <w:bottom w:val="single" w:sz="4" w:space="0" w:color="666699"/>
              <w:right w:val="single" w:sz="4" w:space="0" w:color="666699"/>
            </w:tcBorders>
            <w:vAlign w:val="center"/>
            <w:hideMark/>
          </w:tcPr>
          <w:p w:rsidR="003B373C" w:rsidRPr="004B41C8" w:rsidRDefault="003B373C" w:rsidP="00C80327">
            <w:pPr>
              <w:bidi/>
              <w:rPr>
                <w:sz w:val="18"/>
                <w:lang w:val="en-CA"/>
              </w:rPr>
            </w:pPr>
          </w:p>
        </w:tc>
        <w:tc>
          <w:tcPr>
            <w:tcW w:w="2049"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C80327">
            <w:pPr>
              <w:bidi/>
              <w:spacing w:after="60"/>
              <w:jc w:val="left"/>
              <w:rPr>
                <w:sz w:val="18"/>
                <w:lang w:val="en-CA"/>
              </w:rPr>
            </w:pPr>
            <w:r w:rsidRPr="000520F8">
              <w:rPr>
                <w:noProof/>
                <w:sz w:val="16"/>
                <w:szCs w:val="16"/>
                <w:rtl/>
              </w:rPr>
              <w:t>التمويل (دولار أمريكي)</w:t>
            </w:r>
          </w:p>
        </w:tc>
        <w:tc>
          <w:tcPr>
            <w:tcW w:w="1988" w:type="pct"/>
            <w:tcBorders>
              <w:top w:val="single" w:sz="4" w:space="0" w:color="666699"/>
              <w:left w:val="single" w:sz="4" w:space="0" w:color="666699"/>
              <w:bottom w:val="single" w:sz="4" w:space="0" w:color="666699"/>
              <w:right w:val="single" w:sz="4" w:space="0" w:color="666699"/>
            </w:tcBorders>
            <w:hideMark/>
          </w:tcPr>
          <w:p w:rsidR="003B373C" w:rsidRPr="004B41C8" w:rsidRDefault="003B373C" w:rsidP="00717E12">
            <w:pPr>
              <w:bidi/>
              <w:spacing w:after="60"/>
              <w:jc w:val="left"/>
              <w:rPr>
                <w:sz w:val="18"/>
                <w:lang w:val="en-CA"/>
              </w:rPr>
            </w:pPr>
            <w:r w:rsidRPr="004B41C8">
              <w:rPr>
                <w:sz w:val="18"/>
                <w:lang w:val="en-CA"/>
              </w:rPr>
              <w:t>71,190</w:t>
            </w:r>
          </w:p>
        </w:tc>
      </w:tr>
    </w:tbl>
    <w:p w:rsidR="00530166" w:rsidRPr="004B41C8" w:rsidRDefault="00530166" w:rsidP="00C80327">
      <w:pPr>
        <w:bidi/>
        <w:spacing w:after="60"/>
        <w:jc w:val="center"/>
        <w:rPr>
          <w:lang w:val="en-CA"/>
        </w:rPr>
      </w:pPr>
    </w:p>
    <w:tbl>
      <w:tblPr>
        <w:tblStyle w:val="TableGrid"/>
        <w:bidiVisual/>
        <w:tblW w:w="93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98"/>
        <w:gridCol w:w="803"/>
        <w:gridCol w:w="1297"/>
        <w:gridCol w:w="850"/>
        <w:gridCol w:w="709"/>
        <w:gridCol w:w="621"/>
        <w:gridCol w:w="655"/>
        <w:gridCol w:w="1131"/>
        <w:gridCol w:w="711"/>
        <w:gridCol w:w="880"/>
      </w:tblGrid>
      <w:tr w:rsidR="004B41C8" w:rsidRPr="004B41C8" w:rsidTr="00371A94">
        <w:trPr>
          <w:trHeight w:val="287"/>
        </w:trPr>
        <w:tc>
          <w:tcPr>
            <w:tcW w:w="3798" w:type="dxa"/>
            <w:gridSpan w:val="3"/>
            <w:tcBorders>
              <w:top w:val="single" w:sz="4" w:space="0" w:color="666699"/>
              <w:left w:val="single" w:sz="4" w:space="0" w:color="666699"/>
              <w:bottom w:val="single" w:sz="4" w:space="0" w:color="666699"/>
              <w:right w:val="single" w:sz="4" w:space="0" w:color="666699"/>
            </w:tcBorders>
            <w:hideMark/>
          </w:tcPr>
          <w:p w:rsidR="00530166" w:rsidRPr="004B41C8" w:rsidRDefault="00371A94" w:rsidP="00371A94">
            <w:pPr>
              <w:bidi/>
              <w:spacing w:after="60"/>
              <w:jc w:val="left"/>
              <w:rPr>
                <w:b/>
                <w:sz w:val="18"/>
                <w:lang w:val="en-CA"/>
              </w:rPr>
            </w:pPr>
            <w:r>
              <w:rPr>
                <w:rFonts w:hint="cs"/>
                <w:bCs/>
                <w:sz w:val="16"/>
                <w:szCs w:val="16"/>
                <w:rtl/>
                <w:lang w:bidi="ar-EG"/>
              </w:rPr>
              <w:t>(</w:t>
            </w:r>
            <w:r>
              <w:rPr>
                <w:rFonts w:hint="cs"/>
                <w:bCs/>
                <w:sz w:val="16"/>
                <w:szCs w:val="16"/>
                <w:rtl/>
                <w:lang w:bidi="ar-AE"/>
              </w:rPr>
              <w:t>سادسا</w:t>
            </w:r>
            <w:r w:rsidRPr="00057486">
              <w:rPr>
                <w:bCs/>
                <w:sz w:val="16"/>
                <w:szCs w:val="16"/>
                <w:rtl/>
                <w:lang w:bidi="ar-AE"/>
              </w:rPr>
              <w:t xml:space="preserve">) </w:t>
            </w:r>
            <w:r>
              <w:rPr>
                <w:rFonts w:hint="cs"/>
                <w:bCs/>
                <w:sz w:val="16"/>
                <w:szCs w:val="16"/>
                <w:rtl/>
                <w:lang w:bidi="ar-AE"/>
              </w:rPr>
              <w:t>بيانات المشروع</w:t>
            </w:r>
          </w:p>
        </w:tc>
        <w:tc>
          <w:tcPr>
            <w:tcW w:w="850"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center"/>
              <w:rPr>
                <w:b/>
                <w:sz w:val="18"/>
                <w:lang w:val="en-CA"/>
              </w:rPr>
            </w:pPr>
            <w:r w:rsidRPr="004B41C8">
              <w:rPr>
                <w:b/>
                <w:sz w:val="18"/>
                <w:lang w:val="en-CA"/>
              </w:rPr>
              <w:t>2011</w:t>
            </w:r>
          </w:p>
        </w:tc>
        <w:tc>
          <w:tcPr>
            <w:tcW w:w="709"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center"/>
              <w:rPr>
                <w:b/>
                <w:sz w:val="18"/>
                <w:lang w:val="en-CA"/>
              </w:rPr>
            </w:pPr>
            <w:r w:rsidRPr="004B41C8">
              <w:rPr>
                <w:b/>
                <w:sz w:val="18"/>
                <w:lang w:val="en-CA"/>
              </w:rPr>
              <w:t>2012</w:t>
            </w:r>
          </w:p>
        </w:tc>
        <w:tc>
          <w:tcPr>
            <w:tcW w:w="621"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center"/>
              <w:rPr>
                <w:b/>
                <w:sz w:val="18"/>
                <w:lang w:val="en-CA"/>
              </w:rPr>
            </w:pPr>
            <w:r w:rsidRPr="004B41C8">
              <w:rPr>
                <w:b/>
                <w:sz w:val="18"/>
                <w:lang w:val="en-CA"/>
              </w:rPr>
              <w:t>2013</w:t>
            </w:r>
          </w:p>
        </w:tc>
        <w:tc>
          <w:tcPr>
            <w:tcW w:w="655"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center"/>
              <w:rPr>
                <w:b/>
                <w:sz w:val="18"/>
                <w:lang w:val="en-CA"/>
              </w:rPr>
            </w:pPr>
            <w:r w:rsidRPr="004B41C8">
              <w:rPr>
                <w:b/>
                <w:sz w:val="18"/>
                <w:lang w:val="en-CA"/>
              </w:rPr>
              <w:t>2014</w:t>
            </w:r>
          </w:p>
        </w:tc>
        <w:tc>
          <w:tcPr>
            <w:tcW w:w="1131"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59064F">
            <w:pPr>
              <w:bidi/>
              <w:jc w:val="center"/>
              <w:rPr>
                <w:b/>
                <w:sz w:val="18"/>
                <w:lang w:val="en-CA"/>
              </w:rPr>
            </w:pPr>
            <w:r w:rsidRPr="004B41C8">
              <w:rPr>
                <w:b/>
                <w:sz w:val="18"/>
                <w:lang w:val="en-CA"/>
              </w:rPr>
              <w:t>2015</w:t>
            </w:r>
            <w:r w:rsidR="0059064F">
              <w:rPr>
                <w:rFonts w:hint="cs"/>
                <w:b/>
                <w:sz w:val="18"/>
                <w:rtl/>
                <w:lang w:val="en-CA"/>
              </w:rPr>
              <w:t>-</w:t>
            </w:r>
          </w:p>
          <w:p w:rsidR="00530166" w:rsidRPr="004B41C8" w:rsidRDefault="00530166" w:rsidP="00C80327">
            <w:pPr>
              <w:bidi/>
              <w:spacing w:after="60"/>
              <w:jc w:val="center"/>
              <w:rPr>
                <w:b/>
                <w:sz w:val="18"/>
                <w:lang w:val="en-CA"/>
              </w:rPr>
            </w:pPr>
            <w:r w:rsidRPr="004B41C8">
              <w:rPr>
                <w:b/>
                <w:sz w:val="18"/>
                <w:lang w:val="en-CA"/>
              </w:rPr>
              <w:t>2019</w:t>
            </w:r>
          </w:p>
        </w:tc>
        <w:tc>
          <w:tcPr>
            <w:tcW w:w="711" w:type="dxa"/>
            <w:tcBorders>
              <w:top w:val="single" w:sz="4" w:space="0" w:color="666699"/>
              <w:left w:val="single" w:sz="4" w:space="0" w:color="666699"/>
              <w:bottom w:val="single" w:sz="4" w:space="0" w:color="666699"/>
              <w:right w:val="single" w:sz="4" w:space="0" w:color="666699"/>
            </w:tcBorders>
            <w:hideMark/>
          </w:tcPr>
          <w:p w:rsidR="00530166" w:rsidRPr="004B41C8" w:rsidRDefault="00530166" w:rsidP="00C80327">
            <w:pPr>
              <w:bidi/>
              <w:spacing w:after="60"/>
              <w:jc w:val="center"/>
              <w:rPr>
                <w:b/>
                <w:sz w:val="18"/>
                <w:lang w:val="en-CA"/>
              </w:rPr>
            </w:pPr>
            <w:r w:rsidRPr="004B41C8">
              <w:rPr>
                <w:b/>
                <w:sz w:val="18"/>
                <w:lang w:val="en-CA"/>
              </w:rPr>
              <w:t>2020</w:t>
            </w:r>
          </w:p>
        </w:tc>
        <w:tc>
          <w:tcPr>
            <w:tcW w:w="880" w:type="dxa"/>
            <w:tcBorders>
              <w:top w:val="single" w:sz="4" w:space="0" w:color="666699"/>
              <w:left w:val="single" w:sz="4" w:space="0" w:color="666699"/>
              <w:bottom w:val="single" w:sz="4" w:space="0" w:color="666699"/>
              <w:right w:val="single" w:sz="4" w:space="0" w:color="666699"/>
            </w:tcBorders>
            <w:hideMark/>
          </w:tcPr>
          <w:p w:rsidR="00530166" w:rsidRPr="004B41C8" w:rsidRDefault="003B373C" w:rsidP="00371A94">
            <w:pPr>
              <w:bidi/>
              <w:spacing w:after="60"/>
              <w:jc w:val="center"/>
              <w:rPr>
                <w:b/>
                <w:sz w:val="18"/>
                <w:lang w:val="en-CA"/>
              </w:rPr>
            </w:pPr>
            <w:r w:rsidRPr="00057486">
              <w:rPr>
                <w:bCs/>
                <w:sz w:val="16"/>
                <w:szCs w:val="16"/>
                <w:rtl/>
                <w:lang w:bidi="ar-AE"/>
              </w:rPr>
              <w:t>المجموع</w:t>
            </w:r>
            <w:r w:rsidRPr="004B41C8">
              <w:rPr>
                <w:b/>
                <w:sz w:val="18"/>
                <w:lang w:val="en-CA"/>
              </w:rPr>
              <w:t xml:space="preserve"> </w:t>
            </w:r>
          </w:p>
        </w:tc>
      </w:tr>
      <w:tr w:rsidR="00371A94" w:rsidRPr="004B41C8" w:rsidTr="00371A94">
        <w:tc>
          <w:tcPr>
            <w:tcW w:w="3798" w:type="dxa"/>
            <w:gridSpan w:val="3"/>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20F8">
              <w:rPr>
                <w:noProof/>
                <w:sz w:val="16"/>
                <w:szCs w:val="16"/>
                <w:rtl/>
              </w:rPr>
              <w:t>حدود الاستهلاك في بروتوكول مونتريال</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A37771">
              <w:rPr>
                <w:rFonts w:hint="cs"/>
                <w:sz w:val="12"/>
                <w:szCs w:val="16"/>
                <w:rtl/>
              </w:rPr>
              <w:t>لا ينطبق</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A37771">
              <w:rPr>
                <w:rFonts w:hint="cs"/>
                <w:sz w:val="12"/>
                <w:szCs w:val="16"/>
                <w:rtl/>
              </w:rPr>
              <w:t>لا ينطبق</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18.0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18.0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rtl/>
                <w:lang w:val="en-CA" w:bidi="ar-EG"/>
              </w:rPr>
            </w:pPr>
            <w:r w:rsidRPr="004B41C8">
              <w:rPr>
                <w:sz w:val="18"/>
                <w:lang w:val="en-CA"/>
              </w:rPr>
              <w:t>16.1</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11.7</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A37771">
              <w:rPr>
                <w:rFonts w:hint="cs"/>
                <w:sz w:val="12"/>
                <w:szCs w:val="16"/>
                <w:rtl/>
              </w:rPr>
              <w:t>لا ينطبق</w:t>
            </w:r>
          </w:p>
        </w:tc>
      </w:tr>
      <w:tr w:rsidR="00371A94" w:rsidRPr="004B41C8" w:rsidTr="00371A94">
        <w:tc>
          <w:tcPr>
            <w:tcW w:w="3798" w:type="dxa"/>
            <w:gridSpan w:val="3"/>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الحد الأقصى للاستهلاك المسموح به (طن من قدرات استنفاذ الأوزون)</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A37771">
              <w:rPr>
                <w:rFonts w:hint="cs"/>
                <w:sz w:val="12"/>
                <w:szCs w:val="16"/>
                <w:rtl/>
              </w:rPr>
              <w:t>لا ينطبق</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A37771">
              <w:rPr>
                <w:rFonts w:hint="cs"/>
                <w:sz w:val="12"/>
                <w:szCs w:val="16"/>
                <w:rtl/>
              </w:rPr>
              <w:t>لا ينطبق</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17.95</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17.95</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16.16</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11.67</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A37771">
              <w:rPr>
                <w:rFonts w:hint="cs"/>
                <w:sz w:val="12"/>
                <w:szCs w:val="16"/>
                <w:rtl/>
              </w:rPr>
              <w:t>لا ينطبق</w:t>
            </w:r>
          </w:p>
        </w:tc>
      </w:tr>
      <w:tr w:rsidR="00371A94" w:rsidRPr="004B41C8" w:rsidTr="00371A94">
        <w:tc>
          <w:tcPr>
            <w:tcW w:w="0" w:type="auto"/>
            <w:vMerge w:val="restart"/>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bidi="ar-AE"/>
              </w:rPr>
            </w:pPr>
            <w:r w:rsidRPr="00161DC1">
              <w:rPr>
                <w:rFonts w:hint="cs"/>
                <w:sz w:val="16"/>
                <w:szCs w:val="16"/>
                <w:rtl/>
                <w:lang w:bidi="ar-AE"/>
              </w:rPr>
              <w:t>التمويل المتفق عليه (بالدولار الأمريكي</w:t>
            </w:r>
            <w:r>
              <w:rPr>
                <w:rFonts w:hint="cs"/>
                <w:sz w:val="16"/>
                <w:szCs w:val="16"/>
                <w:rtl/>
                <w:lang w:bidi="ar-AE"/>
              </w:rPr>
              <w:t>)</w:t>
            </w:r>
          </w:p>
        </w:tc>
        <w:tc>
          <w:tcPr>
            <w:tcW w:w="0" w:type="auto"/>
            <w:vMerge w:val="restart"/>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center"/>
              <w:rPr>
                <w:sz w:val="18"/>
                <w:lang w:val="en-CA"/>
              </w:rPr>
            </w:pPr>
            <w:r w:rsidRPr="00A44011">
              <w:rPr>
                <w:rFonts w:hint="cs"/>
                <w:sz w:val="18"/>
                <w:szCs w:val="18"/>
                <w:rtl/>
              </w:rPr>
              <w:t>اليوئنديبي</w:t>
            </w: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تكاليف المشروع</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168,500</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131,500</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300,000</w:t>
            </w:r>
          </w:p>
        </w:tc>
      </w:tr>
      <w:tr w:rsidR="00371A94" w:rsidRPr="004B41C8" w:rsidTr="00371A94">
        <w:tc>
          <w:tcPr>
            <w:tcW w:w="0" w:type="auto"/>
            <w:vMerge/>
            <w:tcBorders>
              <w:top w:val="single" w:sz="4" w:space="0" w:color="666699"/>
              <w:left w:val="single" w:sz="4" w:space="0" w:color="666699"/>
              <w:bottom w:val="single" w:sz="4" w:space="0" w:color="666699"/>
              <w:right w:val="single" w:sz="4" w:space="0" w:color="666699"/>
            </w:tcBorders>
            <w:vAlign w:val="center"/>
            <w:hideMark/>
          </w:tcPr>
          <w:p w:rsidR="00371A94" w:rsidRPr="004B41C8" w:rsidRDefault="00371A94" w:rsidP="00C80327">
            <w:pPr>
              <w:bidi/>
              <w:rPr>
                <w:sz w:val="18"/>
                <w:lang w:val="en-CA"/>
              </w:rPr>
            </w:pPr>
          </w:p>
        </w:tc>
        <w:tc>
          <w:tcPr>
            <w:tcW w:w="0" w:type="auto"/>
            <w:vMerge/>
            <w:tcBorders>
              <w:top w:val="single" w:sz="4" w:space="0" w:color="666699"/>
              <w:left w:val="single" w:sz="4" w:space="0" w:color="666699"/>
              <w:bottom w:val="single" w:sz="4" w:space="0" w:color="666699"/>
              <w:right w:val="single" w:sz="4" w:space="0" w:color="666699"/>
            </w:tcBorders>
            <w:vAlign w:val="center"/>
            <w:hideMark/>
          </w:tcPr>
          <w:p w:rsidR="00371A94" w:rsidRPr="004B41C8" w:rsidRDefault="00371A94" w:rsidP="00C80327">
            <w:pPr>
              <w:bidi/>
              <w:rPr>
                <w:sz w:val="18"/>
                <w:lang w:val="en-CA"/>
              </w:rPr>
            </w:pP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تكاليف الدعم</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12,638</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9,862</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22,500</w:t>
            </w:r>
          </w:p>
        </w:tc>
      </w:tr>
      <w:tr w:rsidR="00371A94" w:rsidRPr="004B41C8" w:rsidTr="00371A94">
        <w:tc>
          <w:tcPr>
            <w:tcW w:w="0" w:type="auto"/>
            <w:vMerge/>
            <w:tcBorders>
              <w:top w:val="single" w:sz="4" w:space="0" w:color="666699"/>
              <w:left w:val="single" w:sz="4" w:space="0" w:color="666699"/>
              <w:bottom w:val="single" w:sz="4" w:space="0" w:color="666699"/>
              <w:right w:val="single" w:sz="4" w:space="0" w:color="666699"/>
            </w:tcBorders>
            <w:vAlign w:val="center"/>
            <w:hideMark/>
          </w:tcPr>
          <w:p w:rsidR="00371A94" w:rsidRPr="004B41C8" w:rsidRDefault="00371A94" w:rsidP="00C80327">
            <w:pPr>
              <w:bidi/>
              <w:rPr>
                <w:sz w:val="18"/>
                <w:lang w:val="en-CA"/>
              </w:rPr>
            </w:pPr>
          </w:p>
        </w:tc>
        <w:tc>
          <w:tcPr>
            <w:tcW w:w="0" w:type="auto"/>
            <w:vMerge w:val="restart"/>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center"/>
              <w:rPr>
                <w:sz w:val="18"/>
                <w:lang w:val="en-CA"/>
              </w:rPr>
            </w:pPr>
            <w:r w:rsidRPr="00761FDE">
              <w:rPr>
                <w:rFonts w:hint="cs"/>
                <w:sz w:val="18"/>
                <w:szCs w:val="18"/>
                <w:rtl/>
              </w:rPr>
              <w:t>اليونيب</w:t>
            </w: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rtl/>
                <w:lang w:val="en-CA" w:bidi="ar-EG"/>
              </w:rPr>
            </w:pPr>
            <w:r w:rsidRPr="00057486">
              <w:rPr>
                <w:sz w:val="16"/>
                <w:szCs w:val="16"/>
                <w:rtl/>
                <w:lang w:bidi="ar-AE"/>
              </w:rPr>
              <w:t>تكاليف المشروع</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146,500</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120,500</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63,000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330,000</w:t>
            </w:r>
          </w:p>
        </w:tc>
      </w:tr>
      <w:tr w:rsidR="00371A94" w:rsidRPr="004B41C8" w:rsidTr="00371A94">
        <w:tc>
          <w:tcPr>
            <w:tcW w:w="0" w:type="auto"/>
            <w:vMerge/>
            <w:tcBorders>
              <w:top w:val="single" w:sz="4" w:space="0" w:color="666699"/>
              <w:left w:val="single" w:sz="4" w:space="0" w:color="666699"/>
              <w:bottom w:val="single" w:sz="4" w:space="0" w:color="666699"/>
              <w:right w:val="single" w:sz="4" w:space="0" w:color="666699"/>
            </w:tcBorders>
            <w:vAlign w:val="center"/>
            <w:hideMark/>
          </w:tcPr>
          <w:p w:rsidR="00371A94" w:rsidRPr="004B41C8" w:rsidRDefault="00371A94" w:rsidP="00C80327">
            <w:pPr>
              <w:bidi/>
              <w:rPr>
                <w:sz w:val="18"/>
                <w:lang w:val="en-CA"/>
              </w:rPr>
            </w:pPr>
          </w:p>
        </w:tc>
        <w:tc>
          <w:tcPr>
            <w:tcW w:w="0" w:type="auto"/>
            <w:vMerge/>
            <w:tcBorders>
              <w:top w:val="single" w:sz="4" w:space="0" w:color="666699"/>
              <w:left w:val="single" w:sz="4" w:space="0" w:color="666699"/>
              <w:bottom w:val="single" w:sz="4" w:space="0" w:color="666699"/>
              <w:right w:val="single" w:sz="4" w:space="0" w:color="666699"/>
            </w:tcBorders>
            <w:vAlign w:val="center"/>
            <w:hideMark/>
          </w:tcPr>
          <w:p w:rsidR="00371A94" w:rsidRPr="004B41C8" w:rsidRDefault="00371A94" w:rsidP="00C80327">
            <w:pPr>
              <w:bidi/>
              <w:rPr>
                <w:sz w:val="18"/>
                <w:lang w:val="en-CA"/>
              </w:rPr>
            </w:pP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تكاليف الدعم</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19,045</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15,665</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8,190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42,900</w:t>
            </w:r>
          </w:p>
        </w:tc>
      </w:tr>
      <w:tr w:rsidR="00371A94" w:rsidRPr="004B41C8" w:rsidTr="00371A94">
        <w:tc>
          <w:tcPr>
            <w:tcW w:w="0" w:type="auto"/>
            <w:gridSpan w:val="2"/>
            <w:vMerge w:val="restart"/>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EE47D7">
              <w:rPr>
                <w:rFonts w:hint="cs"/>
                <w:sz w:val="16"/>
                <w:szCs w:val="16"/>
                <w:rtl/>
                <w:lang w:bidi="ar-AE"/>
              </w:rPr>
              <w:t>الموافقة على التمويل (بالدولار الأمريكي)</w:t>
            </w: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تكاليف المشروع</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315,000</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252,000</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567,000</w:t>
            </w:r>
          </w:p>
        </w:tc>
      </w:tr>
      <w:tr w:rsidR="00371A94" w:rsidRPr="004B41C8" w:rsidTr="00371A94">
        <w:tc>
          <w:tcPr>
            <w:tcW w:w="0" w:type="auto"/>
            <w:gridSpan w:val="2"/>
            <w:vMerge/>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rPr>
                <w:sz w:val="18"/>
                <w:lang w:val="en-CA"/>
              </w:rPr>
            </w:pP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تكاليف الدعم</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31,683</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25,527</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57,210</w:t>
            </w:r>
          </w:p>
        </w:tc>
      </w:tr>
      <w:tr w:rsidR="00371A94" w:rsidRPr="004B41C8" w:rsidTr="00371A94">
        <w:tc>
          <w:tcPr>
            <w:tcW w:w="0" w:type="auto"/>
            <w:gridSpan w:val="2"/>
            <w:vMerge w:val="restart"/>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إجمالي تكاليف الدعم المطلوبة من حيث المبدأ (دولار أمريكي)</w:t>
            </w: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تكاليف المشروع</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63,000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63,000</w:t>
            </w:r>
          </w:p>
        </w:tc>
      </w:tr>
      <w:tr w:rsidR="00371A94" w:rsidRPr="004B41C8" w:rsidTr="00371A94">
        <w:tc>
          <w:tcPr>
            <w:tcW w:w="0" w:type="auto"/>
            <w:gridSpan w:val="2"/>
            <w:vMerge/>
            <w:tcBorders>
              <w:top w:val="single" w:sz="4" w:space="0" w:color="666699"/>
              <w:left w:val="single" w:sz="4" w:space="0" w:color="666699"/>
              <w:bottom w:val="single" w:sz="4" w:space="0" w:color="666699"/>
              <w:right w:val="single" w:sz="4" w:space="0" w:color="666699"/>
            </w:tcBorders>
            <w:vAlign w:val="center"/>
            <w:hideMark/>
          </w:tcPr>
          <w:p w:rsidR="00371A94" w:rsidRPr="004B41C8" w:rsidRDefault="00371A94" w:rsidP="00C80327">
            <w:pPr>
              <w:bidi/>
              <w:rPr>
                <w:sz w:val="18"/>
                <w:lang w:val="en-CA"/>
              </w:rPr>
            </w:pPr>
          </w:p>
        </w:tc>
        <w:tc>
          <w:tcPr>
            <w:tcW w:w="1297"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C80327">
            <w:pPr>
              <w:bidi/>
              <w:spacing w:after="60"/>
              <w:jc w:val="left"/>
              <w:rPr>
                <w:sz w:val="18"/>
                <w:lang w:val="en-CA"/>
              </w:rPr>
            </w:pPr>
            <w:r w:rsidRPr="00057486">
              <w:rPr>
                <w:sz w:val="16"/>
                <w:szCs w:val="16"/>
                <w:rtl/>
                <w:lang w:bidi="ar-AE"/>
              </w:rPr>
              <w:t>تكاليف الدعم</w:t>
            </w:r>
          </w:p>
        </w:tc>
        <w:tc>
          <w:tcPr>
            <w:tcW w:w="85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709"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2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655"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113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0</w:t>
            </w:r>
          </w:p>
        </w:tc>
        <w:tc>
          <w:tcPr>
            <w:tcW w:w="711"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8,190</w:t>
            </w:r>
          </w:p>
        </w:tc>
        <w:tc>
          <w:tcPr>
            <w:tcW w:w="880" w:type="dxa"/>
            <w:tcBorders>
              <w:top w:val="single" w:sz="4" w:space="0" w:color="666699"/>
              <w:left w:val="single" w:sz="4" w:space="0" w:color="666699"/>
              <w:bottom w:val="single" w:sz="4" w:space="0" w:color="666699"/>
              <w:right w:val="single" w:sz="4" w:space="0" w:color="666699"/>
            </w:tcBorders>
            <w:hideMark/>
          </w:tcPr>
          <w:p w:rsidR="00371A94" w:rsidRPr="004B41C8" w:rsidRDefault="00371A94" w:rsidP="0059064F">
            <w:pPr>
              <w:bidi/>
              <w:spacing w:after="60"/>
              <w:jc w:val="left"/>
              <w:rPr>
                <w:sz w:val="18"/>
                <w:lang w:val="en-CA"/>
              </w:rPr>
            </w:pPr>
            <w:r w:rsidRPr="004B41C8">
              <w:rPr>
                <w:sz w:val="18"/>
                <w:lang w:val="en-CA"/>
              </w:rPr>
              <w:t>8,190</w:t>
            </w:r>
          </w:p>
        </w:tc>
      </w:tr>
    </w:tbl>
    <w:p w:rsidR="00530166" w:rsidRPr="004B41C8" w:rsidRDefault="00530166" w:rsidP="00C80327">
      <w:pPr>
        <w:bidi/>
        <w:spacing w:after="60"/>
        <w:jc w:val="center"/>
        <w:rPr>
          <w:lang w:val="en-CA"/>
        </w:rPr>
      </w:pPr>
    </w:p>
    <w:tbl>
      <w:tblPr>
        <w:tblStyle w:val="TableGrid"/>
        <w:bidiVisual/>
        <w:tblW w:w="93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6355"/>
      </w:tblGrid>
      <w:tr w:rsidR="004B41C8" w:rsidRPr="004B41C8" w:rsidTr="0059064F">
        <w:trPr>
          <w:trHeight w:val="240"/>
        </w:trPr>
        <w:tc>
          <w:tcPr>
            <w:tcW w:w="3000" w:type="dxa"/>
            <w:tcBorders>
              <w:top w:val="single" w:sz="4" w:space="0" w:color="666699"/>
              <w:left w:val="single" w:sz="4" w:space="0" w:color="666699"/>
              <w:bottom w:val="single" w:sz="4" w:space="0" w:color="666699"/>
              <w:right w:val="single" w:sz="4" w:space="0" w:color="666699"/>
            </w:tcBorders>
            <w:hideMark/>
          </w:tcPr>
          <w:p w:rsidR="00530166" w:rsidRPr="004B41C8" w:rsidRDefault="00371A94" w:rsidP="00C80327">
            <w:pPr>
              <w:bidi/>
              <w:spacing w:after="60"/>
              <w:jc w:val="left"/>
              <w:rPr>
                <w:b/>
                <w:sz w:val="18"/>
                <w:rtl/>
                <w:lang w:val="en-CA" w:bidi="ar-EG"/>
              </w:rPr>
            </w:pPr>
            <w:r>
              <w:rPr>
                <w:bCs/>
                <w:sz w:val="16"/>
                <w:szCs w:val="16"/>
                <w:rtl/>
                <w:lang w:bidi="ar-AE"/>
              </w:rPr>
              <w:t>توصي</w:t>
            </w:r>
            <w:r>
              <w:rPr>
                <w:rFonts w:hint="cs"/>
                <w:bCs/>
                <w:sz w:val="16"/>
                <w:szCs w:val="16"/>
                <w:rtl/>
                <w:lang w:bidi="ar-AE"/>
              </w:rPr>
              <w:t>ة</w:t>
            </w:r>
            <w:r w:rsidRPr="00A31059">
              <w:rPr>
                <w:bCs/>
                <w:sz w:val="16"/>
                <w:szCs w:val="16"/>
                <w:rtl/>
                <w:lang w:bidi="ar-AE"/>
              </w:rPr>
              <w:t xml:space="preserve"> الأمانة:</w:t>
            </w:r>
          </w:p>
        </w:tc>
        <w:tc>
          <w:tcPr>
            <w:tcW w:w="6355" w:type="dxa"/>
            <w:tcBorders>
              <w:top w:val="single" w:sz="4" w:space="0" w:color="666699"/>
              <w:left w:val="single" w:sz="4" w:space="0" w:color="666699"/>
              <w:bottom w:val="single" w:sz="4" w:space="0" w:color="666699"/>
              <w:right w:val="single" w:sz="4" w:space="0" w:color="666699"/>
            </w:tcBorders>
            <w:hideMark/>
          </w:tcPr>
          <w:p w:rsidR="00530166" w:rsidRPr="00371A94" w:rsidRDefault="00371A94" w:rsidP="00C80327">
            <w:pPr>
              <w:bidi/>
              <w:spacing w:after="60"/>
              <w:jc w:val="center"/>
              <w:rPr>
                <w:sz w:val="16"/>
                <w:szCs w:val="16"/>
                <w:rtl/>
                <w:lang w:val="en-CA" w:bidi="ar-EG"/>
              </w:rPr>
            </w:pPr>
            <w:r w:rsidRPr="00371A94">
              <w:rPr>
                <w:rFonts w:hint="cs"/>
                <w:sz w:val="16"/>
                <w:szCs w:val="16"/>
                <w:rtl/>
                <w:lang w:val="en-CA"/>
              </w:rPr>
              <w:t>موافقة شمولية</w:t>
            </w:r>
          </w:p>
        </w:tc>
      </w:tr>
    </w:tbl>
    <w:p w:rsidR="00530166" w:rsidRPr="004B41C8" w:rsidRDefault="00530166" w:rsidP="00C80327">
      <w:pPr>
        <w:bidi/>
        <w:jc w:val="center"/>
        <w:rPr>
          <w:lang w:val="en-CA"/>
        </w:rPr>
      </w:pPr>
      <w:r w:rsidRPr="004B41C8">
        <w:rPr>
          <w:lang w:val="en-CA"/>
        </w:rPr>
        <w:br w:type="page"/>
      </w:r>
    </w:p>
    <w:p w:rsidR="00371A94" w:rsidRPr="005A6016" w:rsidRDefault="00371A94" w:rsidP="00C80327">
      <w:pPr>
        <w:bidi/>
        <w:jc w:val="center"/>
        <w:rPr>
          <w:b/>
          <w:sz w:val="28"/>
          <w:szCs w:val="28"/>
          <w:rtl/>
          <w:lang w:val="en-CA" w:bidi="ar-EG"/>
        </w:rPr>
      </w:pPr>
      <w:r w:rsidRPr="005A6016">
        <w:rPr>
          <w:rFonts w:hint="cs"/>
          <w:b/>
          <w:bCs/>
          <w:sz w:val="28"/>
          <w:szCs w:val="28"/>
          <w:rtl/>
        </w:rPr>
        <w:lastRenderedPageBreak/>
        <w:t>وصف المشروع</w:t>
      </w:r>
    </w:p>
    <w:p w:rsidR="00530166" w:rsidRPr="004B41C8" w:rsidRDefault="00530166" w:rsidP="00C80327">
      <w:pPr>
        <w:bidi/>
        <w:rPr>
          <w:rtl/>
          <w:lang w:val="en-CA" w:bidi="ar-EG"/>
        </w:rPr>
      </w:pPr>
    </w:p>
    <w:p w:rsidR="0059064F" w:rsidRPr="005A6016" w:rsidRDefault="00E469EC" w:rsidP="00E469EC">
      <w:pPr>
        <w:pStyle w:val="Heading1"/>
        <w:numPr>
          <w:ilvl w:val="0"/>
          <w:numId w:val="25"/>
        </w:numPr>
        <w:bidi/>
        <w:rPr>
          <w:sz w:val="26"/>
          <w:szCs w:val="26"/>
          <w:lang w:val="en-CA"/>
        </w:rPr>
      </w:pPr>
      <w:r w:rsidRPr="005A6016">
        <w:rPr>
          <w:rFonts w:hint="cs"/>
          <w:sz w:val="26"/>
          <w:szCs w:val="26"/>
          <w:rtl/>
          <w:lang w:val="en-CA" w:bidi="ar-EG"/>
        </w:rPr>
        <w:t>نيابة عن حكومة بارغواي قدم اليونيب بوصفه الوكالة المنفذة الرئيسية طلبا لتمويل الشريحة الثالثة والأخيرة من المرحلة الأولى من خطةإدارة إزالة المواد الهيدروكلوروفلوروكربونية بمبلغ قدره</w:t>
      </w:r>
      <w:r w:rsidR="006E63D2" w:rsidRPr="005A6016">
        <w:rPr>
          <w:rFonts w:hint="cs"/>
          <w:sz w:val="26"/>
          <w:szCs w:val="26"/>
          <w:rtl/>
          <w:lang w:val="en-CA" w:bidi="ar-EG"/>
        </w:rPr>
        <w:t xml:space="preserve"> </w:t>
      </w:r>
      <w:r w:rsidR="006E63D2" w:rsidRPr="005A6016">
        <w:rPr>
          <w:sz w:val="26"/>
          <w:szCs w:val="26"/>
          <w:lang w:val="en-CA"/>
        </w:rPr>
        <w:t>63,000</w:t>
      </w:r>
      <w:r w:rsidR="006E63D2" w:rsidRPr="005A6016">
        <w:rPr>
          <w:rFonts w:hint="cs"/>
          <w:sz w:val="26"/>
          <w:szCs w:val="26"/>
          <w:rtl/>
          <w:lang w:val="en-CA" w:bidi="ar-EG"/>
        </w:rPr>
        <w:t xml:space="preserve"> دولار أمريكي </w:t>
      </w:r>
      <w:r w:rsidRPr="005A6016">
        <w:rPr>
          <w:rFonts w:hint="cs"/>
          <w:sz w:val="26"/>
          <w:szCs w:val="26"/>
          <w:rtl/>
          <w:lang w:val="en-CA" w:bidi="ar-EG"/>
        </w:rPr>
        <w:t>زائدا تكاليف دعم الوكالة البالغة</w:t>
      </w:r>
      <w:r w:rsidR="006E63D2" w:rsidRPr="005A6016">
        <w:rPr>
          <w:rFonts w:hint="cs"/>
          <w:sz w:val="26"/>
          <w:szCs w:val="26"/>
          <w:rtl/>
          <w:lang w:val="en-CA" w:bidi="ar-EG"/>
        </w:rPr>
        <w:t xml:space="preserve"> </w:t>
      </w:r>
      <w:r w:rsidR="006E63D2" w:rsidRPr="005A6016">
        <w:rPr>
          <w:sz w:val="26"/>
          <w:szCs w:val="26"/>
          <w:lang w:val="en-CA"/>
        </w:rPr>
        <w:t>8,190</w:t>
      </w:r>
      <w:r w:rsidR="006E63D2" w:rsidRPr="005A6016">
        <w:rPr>
          <w:rFonts w:hint="cs"/>
          <w:sz w:val="26"/>
          <w:szCs w:val="26"/>
          <w:rtl/>
          <w:lang w:val="en-CA"/>
        </w:rPr>
        <w:t xml:space="preserve"> </w:t>
      </w:r>
      <w:r w:rsidR="006E63D2" w:rsidRPr="005A6016">
        <w:rPr>
          <w:rFonts w:hint="cs"/>
          <w:sz w:val="26"/>
          <w:szCs w:val="26"/>
          <w:rtl/>
          <w:lang w:val="en-CA" w:bidi="ar-EG"/>
        </w:rPr>
        <w:t>دولار أمريكي</w:t>
      </w:r>
      <w:r w:rsidR="006E63D2" w:rsidRPr="005A6016">
        <w:rPr>
          <w:sz w:val="26"/>
          <w:szCs w:val="26"/>
          <w:lang w:val="en-US"/>
        </w:rPr>
        <w:t xml:space="preserve"> </w:t>
      </w:r>
      <w:r w:rsidRPr="005A6016">
        <w:rPr>
          <w:rFonts w:hint="cs"/>
          <w:sz w:val="26"/>
          <w:szCs w:val="26"/>
          <w:rtl/>
          <w:lang w:val="en-US" w:bidi="ar-EG"/>
        </w:rPr>
        <w:t>لليونيب فقط.</w:t>
      </w:r>
      <w:r w:rsidRPr="005A6016">
        <w:rPr>
          <w:rStyle w:val="FootnoteReference"/>
          <w:sz w:val="26"/>
          <w:szCs w:val="26"/>
          <w:lang w:val="en-CA"/>
        </w:rPr>
        <w:t xml:space="preserve"> </w:t>
      </w:r>
      <w:r w:rsidRPr="005A6016">
        <w:rPr>
          <w:rStyle w:val="FootnoteReference"/>
          <w:sz w:val="26"/>
          <w:szCs w:val="26"/>
          <w:lang w:val="en-CA"/>
        </w:rPr>
        <w:footnoteReference w:id="2"/>
      </w:r>
      <w:r w:rsidRPr="005A6016">
        <w:rPr>
          <w:rFonts w:hint="cs"/>
          <w:sz w:val="26"/>
          <w:szCs w:val="26"/>
          <w:rtl/>
          <w:lang w:val="en-US" w:bidi="ar-EG"/>
        </w:rPr>
        <w:t xml:space="preserve"> ويتضمن</w:t>
      </w:r>
      <w:r w:rsidRPr="005A6016">
        <w:rPr>
          <w:rFonts w:hint="cs"/>
          <w:sz w:val="26"/>
          <w:szCs w:val="26"/>
          <w:rtl/>
          <w:lang w:val="en-CA"/>
        </w:rPr>
        <w:t xml:space="preserve"> التقديم تقريرا مرحليا عن تنفيذ الشريحة الثانية وخطة تنفيذ</w:t>
      </w:r>
      <w:r w:rsidR="009838A9" w:rsidRPr="005A6016">
        <w:rPr>
          <w:rFonts w:hint="cs"/>
          <w:sz w:val="26"/>
          <w:szCs w:val="26"/>
          <w:rtl/>
          <w:lang w:val="en-CA"/>
        </w:rPr>
        <w:t xml:space="preserve"> الشريحة لعام 2020-2021.</w:t>
      </w:r>
    </w:p>
    <w:p w:rsidR="00371A94" w:rsidRPr="005A6016" w:rsidRDefault="00371A94" w:rsidP="00C80327">
      <w:pPr>
        <w:bidi/>
        <w:rPr>
          <w:sz w:val="26"/>
          <w:szCs w:val="26"/>
          <w:u w:val="single"/>
          <w:rtl/>
          <w:lang w:val="en-CA" w:bidi="ar-EG"/>
        </w:rPr>
      </w:pPr>
      <w:r w:rsidRPr="005A6016">
        <w:rPr>
          <w:rFonts w:hint="cs"/>
          <w:sz w:val="26"/>
          <w:szCs w:val="26"/>
          <w:u w:val="single"/>
          <w:rtl/>
        </w:rPr>
        <w:t>تقرير عن استهلاك الهيدروكلوروفلوروكربون</w:t>
      </w:r>
    </w:p>
    <w:p w:rsidR="00530166" w:rsidRPr="005A6016" w:rsidRDefault="00530166" w:rsidP="00C80327">
      <w:pPr>
        <w:bidi/>
        <w:rPr>
          <w:sz w:val="26"/>
          <w:szCs w:val="26"/>
          <w:rtl/>
          <w:lang w:val="en-CA" w:bidi="ar-EG"/>
        </w:rPr>
      </w:pPr>
    </w:p>
    <w:p w:rsidR="006E63D2" w:rsidRPr="005A6016" w:rsidRDefault="009838A9" w:rsidP="009838A9">
      <w:pPr>
        <w:pStyle w:val="Heading1"/>
        <w:bidi/>
        <w:rPr>
          <w:sz w:val="26"/>
          <w:szCs w:val="26"/>
          <w:lang w:val="en-CA"/>
        </w:rPr>
      </w:pPr>
      <w:r w:rsidRPr="005A6016">
        <w:rPr>
          <w:rFonts w:hint="cs"/>
          <w:sz w:val="26"/>
          <w:szCs w:val="26"/>
          <w:rtl/>
          <w:lang w:val="en-US" w:bidi="ar-EG"/>
        </w:rPr>
        <w:t xml:space="preserve">أبلغت حكومة باراغواي عن استهلاك </w:t>
      </w:r>
      <w:r w:rsidRPr="005A6016">
        <w:rPr>
          <w:sz w:val="26"/>
          <w:szCs w:val="26"/>
          <w:lang w:val="en-CA"/>
        </w:rPr>
        <w:t>14.59</w:t>
      </w:r>
      <w:r w:rsidRPr="005A6016">
        <w:rPr>
          <w:rFonts w:hint="cs"/>
          <w:sz w:val="26"/>
          <w:szCs w:val="26"/>
          <w:rtl/>
          <w:lang w:val="en-US" w:bidi="ar-EG"/>
        </w:rPr>
        <w:t xml:space="preserve"> </w:t>
      </w:r>
      <w:r w:rsidRPr="005A6016">
        <w:rPr>
          <w:rFonts w:hint="cs"/>
          <w:sz w:val="26"/>
          <w:szCs w:val="26"/>
          <w:rtl/>
          <w:lang w:val="en-CA"/>
        </w:rPr>
        <w:t xml:space="preserve">طن بقدرات استنفاد الأوزون من الهيدروكلوروفلوروكربون فس 2019، وهو مايقل بنسبة </w:t>
      </w:r>
      <w:r w:rsidRPr="005A6016">
        <w:rPr>
          <w:sz w:val="26"/>
          <w:szCs w:val="26"/>
          <w:lang w:val="en-CA"/>
        </w:rPr>
        <w:t>18.9</w:t>
      </w:r>
      <w:r w:rsidRPr="005A6016">
        <w:rPr>
          <w:rFonts w:hint="cs"/>
          <w:sz w:val="26"/>
          <w:szCs w:val="26"/>
          <w:rtl/>
          <w:lang w:val="en-CA"/>
        </w:rPr>
        <w:t xml:space="preserve"> في المائة من خط أساس الهيدروكلوروفلوروكربون لأغراض الامتثال ويتضمن الجدول 1 الاستهلاك في الفترة 2015-2019.</w:t>
      </w:r>
    </w:p>
    <w:p w:rsidR="00530166" w:rsidRPr="004B41C8" w:rsidRDefault="00371A94" w:rsidP="00371A94">
      <w:pPr>
        <w:bidi/>
        <w:rPr>
          <w:b/>
          <w:rtl/>
          <w:lang w:val="en-CA"/>
        </w:rPr>
      </w:pPr>
      <w:r>
        <w:rPr>
          <w:rFonts w:hint="cs"/>
          <w:bCs/>
          <w:rtl/>
          <w:lang w:val="en-CA"/>
        </w:rPr>
        <w:t>الجدول 1: استهلاك الهيدروكلوروفلوروكربون في باراغواي (بيانات المادة 7 للفترة 2015-2019)</w:t>
      </w:r>
    </w:p>
    <w:tbl>
      <w:tblPr>
        <w:bidiVisual/>
        <w:tblW w:w="5000" w:type="pct"/>
        <w:tblLayout w:type="fixed"/>
        <w:tblLook w:val="04A0" w:firstRow="1" w:lastRow="0" w:firstColumn="1" w:lastColumn="0" w:noHBand="0" w:noVBand="1"/>
      </w:tblPr>
      <w:tblGrid>
        <w:gridCol w:w="4443"/>
        <w:gridCol w:w="852"/>
        <w:gridCol w:w="850"/>
        <w:gridCol w:w="850"/>
        <w:gridCol w:w="854"/>
        <w:gridCol w:w="852"/>
        <w:gridCol w:w="810"/>
      </w:tblGrid>
      <w:tr w:rsidR="006C23A7" w:rsidRPr="006E63D2" w:rsidTr="006E63D2">
        <w:trPr>
          <w:tblHeader/>
        </w:trPr>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371A94" w:rsidP="00C80327">
            <w:pPr>
              <w:widowControl w:val="0"/>
              <w:bidi/>
              <w:jc w:val="left"/>
              <w:rPr>
                <w:b/>
                <w:bCs/>
                <w:sz w:val="20"/>
                <w:szCs w:val="20"/>
                <w:lang w:val="en-CA"/>
              </w:rPr>
            </w:pPr>
            <w:r w:rsidRPr="006E63D2">
              <w:rPr>
                <w:b/>
                <w:bCs/>
                <w:sz w:val="20"/>
                <w:szCs w:val="20"/>
                <w:rtl/>
                <w:lang w:bidi="ar-AE"/>
              </w:rPr>
              <w:t>الهيدروكلوروفلوروكربون</w:t>
            </w:r>
          </w:p>
        </w:tc>
        <w:tc>
          <w:tcPr>
            <w:tcW w:w="448" w:type="pct"/>
            <w:tcBorders>
              <w:top w:val="single" w:sz="4" w:space="0" w:color="auto"/>
              <w:left w:val="nil"/>
              <w:bottom w:val="single" w:sz="4" w:space="0" w:color="auto"/>
              <w:right w:val="single" w:sz="4" w:space="0" w:color="auto"/>
            </w:tcBorders>
            <w:noWrap/>
            <w:vAlign w:val="center"/>
            <w:hideMark/>
          </w:tcPr>
          <w:p w:rsidR="00841072" w:rsidRPr="006E63D2" w:rsidRDefault="00841072" w:rsidP="0059064F">
            <w:pPr>
              <w:widowControl w:val="0"/>
              <w:bidi/>
              <w:jc w:val="center"/>
              <w:rPr>
                <w:b/>
                <w:bCs/>
                <w:sz w:val="20"/>
                <w:szCs w:val="20"/>
                <w:lang w:val="en-CA"/>
              </w:rPr>
            </w:pPr>
            <w:r w:rsidRPr="006E63D2">
              <w:rPr>
                <w:b/>
                <w:bCs/>
                <w:sz w:val="20"/>
                <w:szCs w:val="20"/>
                <w:lang w:val="en-CA"/>
              </w:rPr>
              <w:t>2015</w:t>
            </w:r>
          </w:p>
        </w:tc>
        <w:tc>
          <w:tcPr>
            <w:tcW w:w="447" w:type="pct"/>
            <w:tcBorders>
              <w:top w:val="single" w:sz="4" w:space="0" w:color="auto"/>
              <w:left w:val="nil"/>
              <w:bottom w:val="single" w:sz="4" w:space="0" w:color="auto"/>
              <w:right w:val="single" w:sz="4" w:space="0" w:color="auto"/>
            </w:tcBorders>
            <w:noWrap/>
            <w:vAlign w:val="center"/>
            <w:hideMark/>
          </w:tcPr>
          <w:p w:rsidR="00841072" w:rsidRPr="006E63D2" w:rsidRDefault="00841072" w:rsidP="0059064F">
            <w:pPr>
              <w:widowControl w:val="0"/>
              <w:bidi/>
              <w:jc w:val="center"/>
              <w:rPr>
                <w:b/>
                <w:bCs/>
                <w:sz w:val="20"/>
                <w:szCs w:val="20"/>
                <w:lang w:val="en-CA"/>
              </w:rPr>
            </w:pPr>
            <w:r w:rsidRPr="006E63D2">
              <w:rPr>
                <w:b/>
                <w:bCs/>
                <w:sz w:val="20"/>
                <w:szCs w:val="20"/>
                <w:lang w:val="en-CA"/>
              </w:rPr>
              <w:t>2016</w:t>
            </w:r>
          </w:p>
        </w:tc>
        <w:tc>
          <w:tcPr>
            <w:tcW w:w="447" w:type="pct"/>
            <w:tcBorders>
              <w:top w:val="single" w:sz="4" w:space="0" w:color="auto"/>
              <w:left w:val="nil"/>
              <w:bottom w:val="single" w:sz="4" w:space="0" w:color="auto"/>
              <w:right w:val="single" w:sz="4" w:space="0" w:color="auto"/>
            </w:tcBorders>
            <w:noWrap/>
            <w:vAlign w:val="center"/>
            <w:hideMark/>
          </w:tcPr>
          <w:p w:rsidR="00841072" w:rsidRPr="006E63D2" w:rsidRDefault="00841072" w:rsidP="0059064F">
            <w:pPr>
              <w:widowControl w:val="0"/>
              <w:bidi/>
              <w:jc w:val="center"/>
              <w:rPr>
                <w:b/>
                <w:bCs/>
                <w:sz w:val="20"/>
                <w:szCs w:val="20"/>
                <w:lang w:val="en-CA"/>
              </w:rPr>
            </w:pPr>
            <w:r w:rsidRPr="006E63D2">
              <w:rPr>
                <w:b/>
                <w:bCs/>
                <w:sz w:val="20"/>
                <w:szCs w:val="20"/>
                <w:lang w:val="en-CA"/>
              </w:rPr>
              <w:t>2017</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widowControl w:val="0"/>
              <w:bidi/>
              <w:jc w:val="center"/>
              <w:rPr>
                <w:b/>
                <w:bCs/>
                <w:sz w:val="20"/>
                <w:szCs w:val="20"/>
                <w:lang w:val="en-CA"/>
              </w:rPr>
            </w:pPr>
            <w:r w:rsidRPr="006E63D2">
              <w:rPr>
                <w:b/>
                <w:bCs/>
                <w:sz w:val="20"/>
                <w:szCs w:val="20"/>
                <w:lang w:val="en-CA"/>
              </w:rPr>
              <w:t>2018</w:t>
            </w:r>
          </w:p>
        </w:tc>
        <w:tc>
          <w:tcPr>
            <w:tcW w:w="448" w:type="pct"/>
            <w:tcBorders>
              <w:top w:val="single" w:sz="4" w:space="0" w:color="auto"/>
              <w:left w:val="single" w:sz="4" w:space="0" w:color="auto"/>
              <w:bottom w:val="single" w:sz="4" w:space="0" w:color="auto"/>
              <w:right w:val="single" w:sz="4" w:space="0" w:color="auto"/>
            </w:tcBorders>
            <w:hideMark/>
          </w:tcPr>
          <w:p w:rsidR="00841072" w:rsidRPr="006E63D2" w:rsidRDefault="00841072" w:rsidP="0059064F">
            <w:pPr>
              <w:widowControl w:val="0"/>
              <w:bidi/>
              <w:jc w:val="center"/>
              <w:rPr>
                <w:b/>
                <w:bCs/>
                <w:sz w:val="20"/>
                <w:szCs w:val="20"/>
                <w:lang w:val="en-CA"/>
              </w:rPr>
            </w:pPr>
            <w:r w:rsidRPr="006E63D2">
              <w:rPr>
                <w:b/>
                <w:bCs/>
                <w:sz w:val="20"/>
                <w:szCs w:val="20"/>
                <w:lang w:val="en-CA"/>
              </w:rPr>
              <w:t>2019</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841072" w:rsidRPr="006E63D2" w:rsidRDefault="00371A94" w:rsidP="0059064F">
            <w:pPr>
              <w:widowControl w:val="0"/>
              <w:bidi/>
              <w:jc w:val="center"/>
              <w:rPr>
                <w:b/>
                <w:bCs/>
                <w:sz w:val="20"/>
                <w:szCs w:val="20"/>
                <w:lang w:val="en-CA"/>
              </w:rPr>
            </w:pPr>
            <w:r w:rsidRPr="006E63D2">
              <w:rPr>
                <w:b/>
                <w:bCs/>
                <w:color w:val="000000"/>
                <w:sz w:val="20"/>
                <w:szCs w:val="20"/>
                <w:rtl/>
                <w:lang w:val="en-CA"/>
              </w:rPr>
              <w:t>خط الأساس</w:t>
            </w: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371A94" w:rsidP="00C80327">
            <w:pPr>
              <w:widowControl w:val="0"/>
              <w:bidi/>
              <w:jc w:val="left"/>
              <w:rPr>
                <w:b/>
                <w:bCs/>
                <w:sz w:val="20"/>
                <w:szCs w:val="20"/>
                <w:lang w:val="en-CA"/>
              </w:rPr>
            </w:pPr>
            <w:r w:rsidRPr="006E63D2">
              <w:rPr>
                <w:rFonts w:hint="cs"/>
                <w:b/>
                <w:bCs/>
                <w:sz w:val="20"/>
                <w:szCs w:val="20"/>
                <w:rtl/>
                <w:lang w:val="fr-CA" w:eastAsia="en-CA"/>
              </w:rPr>
              <w:t>الأطنان المترية</w:t>
            </w:r>
          </w:p>
        </w:tc>
        <w:tc>
          <w:tcPr>
            <w:tcW w:w="448" w:type="pct"/>
            <w:tcBorders>
              <w:top w:val="nil"/>
              <w:left w:val="nil"/>
              <w:bottom w:val="single" w:sz="4" w:space="0" w:color="auto"/>
              <w:right w:val="single" w:sz="4" w:space="0" w:color="auto"/>
            </w:tcBorders>
            <w:noWrap/>
            <w:vAlign w:val="center"/>
            <w:hideMark/>
          </w:tcPr>
          <w:p w:rsidR="00841072" w:rsidRPr="006E63D2" w:rsidRDefault="00841072" w:rsidP="0059064F">
            <w:pPr>
              <w:bidi/>
              <w:jc w:val="left"/>
              <w:rPr>
                <w:b/>
                <w:bCs/>
                <w:sz w:val="20"/>
                <w:szCs w:val="20"/>
                <w:lang w:val="en-CA"/>
              </w:rPr>
            </w:pPr>
          </w:p>
        </w:tc>
        <w:tc>
          <w:tcPr>
            <w:tcW w:w="447" w:type="pct"/>
            <w:tcBorders>
              <w:top w:val="nil"/>
              <w:left w:val="nil"/>
              <w:bottom w:val="single" w:sz="4" w:space="0" w:color="auto"/>
              <w:right w:val="single" w:sz="4" w:space="0" w:color="auto"/>
            </w:tcBorders>
            <w:noWrap/>
            <w:vAlign w:val="center"/>
            <w:hideMark/>
          </w:tcPr>
          <w:p w:rsidR="00841072" w:rsidRPr="006E63D2" w:rsidRDefault="00841072" w:rsidP="0059064F">
            <w:pPr>
              <w:bidi/>
              <w:jc w:val="left"/>
              <w:rPr>
                <w:sz w:val="20"/>
                <w:szCs w:val="20"/>
                <w:lang w:val="en-CA" w:eastAsia="en-CA"/>
              </w:rPr>
            </w:pPr>
          </w:p>
        </w:tc>
        <w:tc>
          <w:tcPr>
            <w:tcW w:w="447" w:type="pct"/>
            <w:tcBorders>
              <w:top w:val="nil"/>
              <w:left w:val="nil"/>
              <w:bottom w:val="single" w:sz="4" w:space="0" w:color="auto"/>
              <w:right w:val="single" w:sz="4" w:space="0" w:color="auto"/>
            </w:tcBorders>
            <w:noWrap/>
            <w:vAlign w:val="center"/>
            <w:hideMark/>
          </w:tcPr>
          <w:p w:rsidR="00841072" w:rsidRPr="006E63D2" w:rsidRDefault="00841072" w:rsidP="0059064F">
            <w:pPr>
              <w:bidi/>
              <w:jc w:val="left"/>
              <w:rPr>
                <w:sz w:val="20"/>
                <w:szCs w:val="20"/>
                <w:lang w:val="en-CA" w:eastAsia="en-CA"/>
              </w:rPr>
            </w:pPr>
          </w:p>
        </w:tc>
        <w:tc>
          <w:tcPr>
            <w:tcW w:w="449" w:type="pct"/>
            <w:tcBorders>
              <w:top w:val="single" w:sz="4" w:space="0" w:color="auto"/>
              <w:left w:val="nil"/>
              <w:bottom w:val="single" w:sz="4" w:space="0" w:color="auto"/>
              <w:right w:val="single" w:sz="4" w:space="0" w:color="auto"/>
            </w:tcBorders>
          </w:tcPr>
          <w:p w:rsidR="00841072" w:rsidRPr="006E63D2" w:rsidRDefault="00841072" w:rsidP="0059064F">
            <w:pPr>
              <w:widowControl w:val="0"/>
              <w:bidi/>
              <w:jc w:val="left"/>
              <w:rPr>
                <w:b/>
                <w:bCs/>
                <w:sz w:val="20"/>
                <w:szCs w:val="20"/>
                <w:lang w:val="en-CA"/>
              </w:rPr>
            </w:pPr>
          </w:p>
        </w:tc>
        <w:tc>
          <w:tcPr>
            <w:tcW w:w="448" w:type="pct"/>
            <w:tcBorders>
              <w:top w:val="nil"/>
              <w:left w:val="single" w:sz="4" w:space="0" w:color="auto"/>
              <w:bottom w:val="single" w:sz="4" w:space="0" w:color="auto"/>
              <w:right w:val="single" w:sz="4" w:space="0" w:color="auto"/>
            </w:tcBorders>
          </w:tcPr>
          <w:p w:rsidR="00841072" w:rsidRPr="006E63D2" w:rsidRDefault="00841072" w:rsidP="0059064F">
            <w:pPr>
              <w:widowControl w:val="0"/>
              <w:bidi/>
              <w:jc w:val="left"/>
              <w:rPr>
                <w:b/>
                <w:bCs/>
                <w:sz w:val="20"/>
                <w:szCs w:val="20"/>
                <w:lang w:val="en-CA"/>
              </w:rPr>
            </w:pPr>
          </w:p>
        </w:tc>
        <w:tc>
          <w:tcPr>
            <w:tcW w:w="427" w:type="pct"/>
            <w:tcBorders>
              <w:top w:val="nil"/>
              <w:left w:val="single" w:sz="4" w:space="0" w:color="auto"/>
              <w:bottom w:val="single" w:sz="4" w:space="0" w:color="auto"/>
              <w:right w:val="single" w:sz="4" w:space="0" w:color="auto"/>
            </w:tcBorders>
            <w:noWrap/>
            <w:vAlign w:val="center"/>
            <w:hideMark/>
          </w:tcPr>
          <w:p w:rsidR="00841072" w:rsidRPr="006E63D2" w:rsidRDefault="00841072" w:rsidP="0059064F">
            <w:pPr>
              <w:bidi/>
              <w:jc w:val="left"/>
              <w:rPr>
                <w:b/>
                <w:bCs/>
                <w:sz w:val="20"/>
                <w:szCs w:val="20"/>
                <w:lang w:val="en-CA"/>
              </w:rPr>
            </w:pP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371A94" w:rsidP="00C80327">
            <w:pPr>
              <w:widowControl w:val="0"/>
              <w:bidi/>
              <w:jc w:val="left"/>
              <w:rPr>
                <w:sz w:val="20"/>
                <w:szCs w:val="20"/>
                <w:lang w:val="en-CA"/>
              </w:rPr>
            </w:pPr>
            <w:r w:rsidRPr="006E63D2">
              <w:rPr>
                <w:sz w:val="20"/>
                <w:szCs w:val="20"/>
                <w:rtl/>
                <w:lang w:bidi="ar-AE"/>
              </w:rPr>
              <w:t>الهيدروكلوروفلوروكربون</w:t>
            </w:r>
            <w:r w:rsidRPr="006E63D2">
              <w:rPr>
                <w:rFonts w:hint="cs"/>
                <w:sz w:val="20"/>
                <w:szCs w:val="20"/>
                <w:rtl/>
                <w:lang w:bidi="ar-AE"/>
              </w:rPr>
              <w:t>-</w:t>
            </w:r>
            <w:r w:rsidR="00841072" w:rsidRPr="006E63D2">
              <w:rPr>
                <w:sz w:val="20"/>
                <w:szCs w:val="20"/>
                <w:lang w:val="en-CA"/>
              </w:rPr>
              <w:t>22</w:t>
            </w:r>
          </w:p>
        </w:tc>
        <w:tc>
          <w:tcPr>
            <w:tcW w:w="448" w:type="pct"/>
            <w:tcBorders>
              <w:top w:val="nil"/>
              <w:left w:val="nil"/>
              <w:bottom w:val="single" w:sz="4" w:space="0" w:color="auto"/>
              <w:right w:val="single" w:sz="4" w:space="0" w:color="auto"/>
            </w:tcBorders>
            <w:noWrap/>
            <w:vAlign w:val="center"/>
            <w:hideMark/>
          </w:tcPr>
          <w:p w:rsidR="00841072" w:rsidRPr="006E63D2" w:rsidRDefault="00841072" w:rsidP="0059064F">
            <w:pPr>
              <w:widowControl w:val="0"/>
              <w:bidi/>
              <w:jc w:val="left"/>
              <w:rPr>
                <w:sz w:val="20"/>
                <w:szCs w:val="20"/>
                <w:lang w:val="en-CA"/>
              </w:rPr>
            </w:pPr>
            <w:r w:rsidRPr="006E63D2">
              <w:rPr>
                <w:sz w:val="20"/>
                <w:szCs w:val="20"/>
                <w:lang w:val="en-CA"/>
              </w:rPr>
              <w:t>287.72</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220.73</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230.07</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234.31</w:t>
            </w:r>
          </w:p>
        </w:tc>
        <w:tc>
          <w:tcPr>
            <w:tcW w:w="448" w:type="pct"/>
            <w:tcBorders>
              <w:top w:val="nil"/>
              <w:left w:val="single" w:sz="4" w:space="0" w:color="auto"/>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262.84</w:t>
            </w:r>
          </w:p>
        </w:tc>
        <w:tc>
          <w:tcPr>
            <w:tcW w:w="427" w:type="pct"/>
            <w:tcBorders>
              <w:top w:val="nil"/>
              <w:left w:val="single" w:sz="4" w:space="0" w:color="auto"/>
              <w:bottom w:val="single" w:sz="4" w:space="0" w:color="auto"/>
              <w:right w:val="single" w:sz="4" w:space="0" w:color="auto"/>
            </w:tcBorders>
            <w:noWrap/>
            <w:vAlign w:val="center"/>
            <w:hideMark/>
          </w:tcPr>
          <w:p w:rsidR="00841072" w:rsidRPr="006E63D2" w:rsidRDefault="00841072" w:rsidP="0059064F">
            <w:pPr>
              <w:widowControl w:val="0"/>
              <w:bidi/>
              <w:jc w:val="left"/>
              <w:rPr>
                <w:sz w:val="20"/>
                <w:szCs w:val="20"/>
                <w:lang w:val="en-CA"/>
              </w:rPr>
            </w:pPr>
            <w:r w:rsidRPr="006E63D2">
              <w:rPr>
                <w:sz w:val="20"/>
                <w:szCs w:val="20"/>
                <w:lang w:val="en-CA"/>
              </w:rPr>
              <w:t>296.0</w:t>
            </w: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371A94" w:rsidP="00C80327">
            <w:pPr>
              <w:widowControl w:val="0"/>
              <w:bidi/>
              <w:jc w:val="left"/>
              <w:rPr>
                <w:sz w:val="20"/>
                <w:szCs w:val="20"/>
                <w:lang w:val="en-CA"/>
              </w:rPr>
            </w:pPr>
            <w:r w:rsidRPr="006E63D2">
              <w:rPr>
                <w:sz w:val="20"/>
                <w:szCs w:val="20"/>
                <w:rtl/>
                <w:lang w:bidi="ar-AE"/>
              </w:rPr>
              <w:t>الهيدروكلوروفلوروكربون</w:t>
            </w:r>
            <w:r w:rsidRPr="006E63D2">
              <w:rPr>
                <w:rFonts w:hint="cs"/>
                <w:sz w:val="20"/>
                <w:szCs w:val="20"/>
                <w:rtl/>
                <w:lang w:bidi="ar-AE"/>
              </w:rPr>
              <w:t>-</w:t>
            </w:r>
            <w:r w:rsidR="00841072" w:rsidRPr="006E63D2">
              <w:rPr>
                <w:sz w:val="20"/>
                <w:szCs w:val="20"/>
                <w:lang w:val="en-CA"/>
              </w:rPr>
              <w:t>123</w:t>
            </w:r>
          </w:p>
        </w:tc>
        <w:tc>
          <w:tcPr>
            <w:tcW w:w="448"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2.86</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0.68</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4.18</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6.41</w:t>
            </w:r>
          </w:p>
        </w:tc>
        <w:tc>
          <w:tcPr>
            <w:tcW w:w="448" w:type="pct"/>
            <w:tcBorders>
              <w:top w:val="nil"/>
              <w:left w:val="single" w:sz="4" w:space="0" w:color="auto"/>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6.45</w:t>
            </w:r>
          </w:p>
        </w:tc>
        <w:tc>
          <w:tcPr>
            <w:tcW w:w="427" w:type="pct"/>
            <w:tcBorders>
              <w:top w:val="nil"/>
              <w:left w:val="single" w:sz="4" w:space="0" w:color="auto"/>
              <w:bottom w:val="single" w:sz="4" w:space="0" w:color="auto"/>
              <w:right w:val="single" w:sz="4" w:space="0" w:color="auto"/>
            </w:tcBorders>
            <w:noWrap/>
            <w:vAlign w:val="center"/>
            <w:hideMark/>
          </w:tcPr>
          <w:p w:rsidR="00841072" w:rsidRPr="006E63D2" w:rsidRDefault="00841072" w:rsidP="0059064F">
            <w:pPr>
              <w:widowControl w:val="0"/>
              <w:bidi/>
              <w:jc w:val="left"/>
              <w:rPr>
                <w:sz w:val="20"/>
                <w:szCs w:val="20"/>
                <w:lang w:val="en-CA"/>
              </w:rPr>
            </w:pPr>
            <w:r w:rsidRPr="006E63D2">
              <w:rPr>
                <w:sz w:val="20"/>
                <w:szCs w:val="20"/>
                <w:lang w:val="en-CA"/>
              </w:rPr>
              <w:t>15.9</w:t>
            </w: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371A94" w:rsidP="00C80327">
            <w:pPr>
              <w:widowControl w:val="0"/>
              <w:bidi/>
              <w:jc w:val="left"/>
              <w:rPr>
                <w:sz w:val="20"/>
                <w:szCs w:val="20"/>
                <w:lang w:val="en-CA"/>
              </w:rPr>
            </w:pPr>
            <w:r w:rsidRPr="006E63D2">
              <w:rPr>
                <w:sz w:val="20"/>
                <w:szCs w:val="20"/>
                <w:rtl/>
                <w:lang w:bidi="ar-AE"/>
              </w:rPr>
              <w:t>الهيدروكلوروفلوروكربون</w:t>
            </w:r>
            <w:r w:rsidRPr="006E63D2">
              <w:rPr>
                <w:rFonts w:hint="cs"/>
                <w:sz w:val="20"/>
                <w:szCs w:val="20"/>
                <w:rtl/>
                <w:lang w:bidi="ar-AE"/>
              </w:rPr>
              <w:t>-</w:t>
            </w:r>
            <w:r w:rsidR="00841072" w:rsidRPr="006E63D2">
              <w:rPr>
                <w:sz w:val="20"/>
                <w:szCs w:val="20"/>
                <w:lang w:val="en-CA"/>
              </w:rPr>
              <w:t>124</w:t>
            </w:r>
          </w:p>
        </w:tc>
        <w:tc>
          <w:tcPr>
            <w:tcW w:w="448"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0.95</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8" w:type="pct"/>
            <w:tcBorders>
              <w:top w:val="nil"/>
              <w:left w:val="single" w:sz="4" w:space="0" w:color="auto"/>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27" w:type="pct"/>
            <w:tcBorders>
              <w:top w:val="nil"/>
              <w:left w:val="single" w:sz="4" w:space="0" w:color="auto"/>
              <w:bottom w:val="single" w:sz="4" w:space="0" w:color="auto"/>
              <w:right w:val="single" w:sz="4" w:space="0" w:color="auto"/>
            </w:tcBorders>
            <w:noWrap/>
            <w:vAlign w:val="center"/>
            <w:hideMark/>
          </w:tcPr>
          <w:p w:rsidR="00841072" w:rsidRPr="006E63D2" w:rsidRDefault="00841072" w:rsidP="0059064F">
            <w:pPr>
              <w:widowControl w:val="0"/>
              <w:bidi/>
              <w:jc w:val="left"/>
              <w:rPr>
                <w:sz w:val="20"/>
                <w:szCs w:val="20"/>
                <w:lang w:val="en-CA"/>
              </w:rPr>
            </w:pPr>
            <w:r w:rsidRPr="006E63D2">
              <w:rPr>
                <w:sz w:val="20"/>
                <w:szCs w:val="20"/>
                <w:lang w:val="en-CA"/>
              </w:rPr>
              <w:t>7.0</w:t>
            </w: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371A94" w:rsidP="00371A94">
            <w:pPr>
              <w:widowControl w:val="0"/>
              <w:bidi/>
              <w:jc w:val="left"/>
              <w:rPr>
                <w:sz w:val="20"/>
                <w:szCs w:val="20"/>
                <w:rtl/>
                <w:lang w:val="en-CA" w:bidi="ar-EG"/>
              </w:rPr>
            </w:pPr>
            <w:r w:rsidRPr="006E63D2">
              <w:rPr>
                <w:sz w:val="20"/>
                <w:szCs w:val="20"/>
                <w:rtl/>
                <w:lang w:bidi="ar-AE"/>
              </w:rPr>
              <w:t>الهيدروكلوروفلوروكربون</w:t>
            </w:r>
            <w:r w:rsidRPr="006E63D2">
              <w:rPr>
                <w:rFonts w:hint="cs"/>
                <w:sz w:val="20"/>
                <w:szCs w:val="20"/>
                <w:rtl/>
                <w:lang w:bidi="ar-AE"/>
              </w:rPr>
              <w:t>-</w:t>
            </w:r>
            <w:r w:rsidR="00841072" w:rsidRPr="006E63D2">
              <w:rPr>
                <w:sz w:val="20"/>
                <w:szCs w:val="20"/>
                <w:lang w:val="en-CA"/>
              </w:rPr>
              <w:t>141</w:t>
            </w:r>
            <w:r w:rsidRPr="006E63D2">
              <w:rPr>
                <w:sz w:val="20"/>
                <w:szCs w:val="20"/>
                <w:rtl/>
                <w:lang w:bidi="ar-AE"/>
              </w:rPr>
              <w:t>ب</w:t>
            </w:r>
          </w:p>
        </w:tc>
        <w:tc>
          <w:tcPr>
            <w:tcW w:w="448"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1.00</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6.75</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8" w:type="pct"/>
            <w:tcBorders>
              <w:top w:val="nil"/>
              <w:left w:val="single" w:sz="4" w:space="0" w:color="auto"/>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27" w:type="pct"/>
            <w:tcBorders>
              <w:top w:val="nil"/>
              <w:left w:val="single" w:sz="4" w:space="0" w:color="auto"/>
              <w:bottom w:val="single" w:sz="4" w:space="0" w:color="auto"/>
              <w:right w:val="single" w:sz="4" w:space="0" w:color="auto"/>
            </w:tcBorders>
            <w:noWrap/>
            <w:vAlign w:val="center"/>
            <w:hideMark/>
          </w:tcPr>
          <w:p w:rsidR="00841072" w:rsidRPr="006E63D2" w:rsidRDefault="00841072" w:rsidP="0059064F">
            <w:pPr>
              <w:widowControl w:val="0"/>
              <w:bidi/>
              <w:jc w:val="left"/>
              <w:rPr>
                <w:sz w:val="20"/>
                <w:szCs w:val="20"/>
                <w:lang w:val="en-CA"/>
              </w:rPr>
            </w:pPr>
            <w:r w:rsidRPr="006E63D2">
              <w:rPr>
                <w:sz w:val="20"/>
                <w:szCs w:val="20"/>
                <w:lang w:val="en-CA"/>
              </w:rPr>
              <w:t>0.5</w:t>
            </w: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6C23A7" w:rsidP="00C80327">
            <w:pPr>
              <w:widowControl w:val="0"/>
              <w:bidi/>
              <w:jc w:val="left"/>
              <w:rPr>
                <w:sz w:val="20"/>
                <w:szCs w:val="20"/>
                <w:lang w:val="en-CA"/>
              </w:rPr>
            </w:pPr>
            <w:r w:rsidRPr="006E63D2">
              <w:rPr>
                <w:rFonts w:hint="cs"/>
                <w:sz w:val="20"/>
                <w:szCs w:val="20"/>
                <w:rtl/>
                <w:lang w:bidi="ar-EG"/>
              </w:rPr>
              <w:t>ا</w:t>
            </w:r>
            <w:r w:rsidRPr="006E63D2">
              <w:rPr>
                <w:sz w:val="20"/>
                <w:szCs w:val="20"/>
                <w:rtl/>
                <w:lang w:bidi="ar-AE"/>
              </w:rPr>
              <w:t>لهيدروكلوروفلوروكربون</w:t>
            </w:r>
            <w:r w:rsidRPr="006E63D2">
              <w:rPr>
                <w:rFonts w:hint="cs"/>
                <w:sz w:val="20"/>
                <w:szCs w:val="20"/>
                <w:rtl/>
                <w:lang w:bidi="ar-AE"/>
              </w:rPr>
              <w:t>-</w:t>
            </w:r>
            <w:r w:rsidR="00841072" w:rsidRPr="006E63D2">
              <w:rPr>
                <w:sz w:val="20"/>
                <w:szCs w:val="20"/>
                <w:lang w:val="en-CA"/>
              </w:rPr>
              <w:t>142</w:t>
            </w:r>
            <w:r w:rsidRPr="006E63D2">
              <w:rPr>
                <w:sz w:val="20"/>
                <w:szCs w:val="20"/>
                <w:rtl/>
                <w:lang w:bidi="ar-AE"/>
              </w:rPr>
              <w:t xml:space="preserve"> ب</w:t>
            </w:r>
          </w:p>
        </w:tc>
        <w:tc>
          <w:tcPr>
            <w:tcW w:w="448"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0.57</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48" w:type="pct"/>
            <w:tcBorders>
              <w:top w:val="nil"/>
              <w:left w:val="single" w:sz="4" w:space="0" w:color="auto"/>
              <w:bottom w:val="single" w:sz="4" w:space="0" w:color="auto"/>
              <w:right w:val="single" w:sz="4" w:space="0" w:color="auto"/>
            </w:tcBorders>
            <w:hideMark/>
          </w:tcPr>
          <w:p w:rsidR="00841072" w:rsidRPr="006E63D2" w:rsidRDefault="00841072" w:rsidP="0059064F">
            <w:pPr>
              <w:widowControl w:val="0"/>
              <w:bidi/>
              <w:jc w:val="left"/>
              <w:rPr>
                <w:sz w:val="20"/>
                <w:szCs w:val="20"/>
                <w:lang w:val="en-CA"/>
              </w:rPr>
            </w:pPr>
            <w:r w:rsidRPr="006E63D2">
              <w:rPr>
                <w:sz w:val="20"/>
                <w:szCs w:val="20"/>
                <w:lang w:val="en-CA"/>
              </w:rPr>
              <w:t>0.00</w:t>
            </w:r>
          </w:p>
        </w:tc>
        <w:tc>
          <w:tcPr>
            <w:tcW w:w="427" w:type="pct"/>
            <w:tcBorders>
              <w:top w:val="nil"/>
              <w:left w:val="single" w:sz="4" w:space="0" w:color="auto"/>
              <w:bottom w:val="single" w:sz="4" w:space="0" w:color="auto"/>
              <w:right w:val="single" w:sz="4" w:space="0" w:color="auto"/>
            </w:tcBorders>
            <w:noWrap/>
            <w:vAlign w:val="center"/>
            <w:hideMark/>
          </w:tcPr>
          <w:p w:rsidR="00841072" w:rsidRPr="006E63D2" w:rsidRDefault="00841072" w:rsidP="0059064F">
            <w:pPr>
              <w:widowControl w:val="0"/>
              <w:bidi/>
              <w:jc w:val="left"/>
              <w:rPr>
                <w:sz w:val="20"/>
                <w:szCs w:val="20"/>
                <w:lang w:val="en-CA"/>
              </w:rPr>
            </w:pPr>
            <w:r w:rsidRPr="006E63D2">
              <w:rPr>
                <w:sz w:val="20"/>
                <w:szCs w:val="20"/>
                <w:lang w:val="en-CA"/>
              </w:rPr>
              <w:t>20.4</w:t>
            </w: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hideMark/>
          </w:tcPr>
          <w:p w:rsidR="00841072" w:rsidRPr="006E63D2" w:rsidRDefault="006C23A7" w:rsidP="00C80327">
            <w:pPr>
              <w:bidi/>
              <w:jc w:val="left"/>
              <w:rPr>
                <w:rFonts w:eastAsiaTheme="minorHAnsi"/>
                <w:b/>
                <w:bCs/>
                <w:sz w:val="20"/>
                <w:szCs w:val="20"/>
                <w:lang w:val="en-CA"/>
              </w:rPr>
            </w:pPr>
            <w:r w:rsidRPr="006E63D2">
              <w:rPr>
                <w:rFonts w:hint="cs"/>
                <w:b/>
                <w:bCs/>
                <w:sz w:val="20"/>
                <w:szCs w:val="20"/>
                <w:rtl/>
                <w:lang w:val="fr-CA" w:eastAsia="en-CA"/>
              </w:rPr>
              <w:t>المجموع الفرعي (بالأطنان المترية</w:t>
            </w:r>
            <w:r w:rsidRPr="006E63D2">
              <w:rPr>
                <w:rFonts w:eastAsiaTheme="minorHAnsi" w:hint="cs"/>
                <w:b/>
                <w:bCs/>
                <w:sz w:val="20"/>
                <w:szCs w:val="20"/>
                <w:rtl/>
                <w:lang w:val="en-CA"/>
              </w:rPr>
              <w:t>)</w:t>
            </w:r>
          </w:p>
        </w:tc>
        <w:tc>
          <w:tcPr>
            <w:tcW w:w="448"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b/>
                <w:sz w:val="20"/>
                <w:szCs w:val="20"/>
                <w:lang w:val="en-CA"/>
              </w:rPr>
            </w:pPr>
            <w:r w:rsidRPr="006E63D2">
              <w:rPr>
                <w:b/>
                <w:sz w:val="20"/>
                <w:szCs w:val="20"/>
                <w:lang w:val="en-CA"/>
              </w:rPr>
              <w:t>291.58</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b/>
                <w:sz w:val="20"/>
                <w:szCs w:val="20"/>
                <w:lang w:val="en-CA"/>
              </w:rPr>
            </w:pPr>
            <w:r w:rsidRPr="006E63D2">
              <w:rPr>
                <w:b/>
                <w:sz w:val="20"/>
                <w:szCs w:val="20"/>
                <w:lang w:val="en-CA"/>
              </w:rPr>
              <w:t>229.68</w:t>
            </w:r>
          </w:p>
        </w:tc>
        <w:tc>
          <w:tcPr>
            <w:tcW w:w="447" w:type="pct"/>
            <w:tcBorders>
              <w:top w:val="nil"/>
              <w:left w:val="nil"/>
              <w:bottom w:val="single" w:sz="4" w:space="0" w:color="auto"/>
              <w:right w:val="single" w:sz="4" w:space="0" w:color="auto"/>
            </w:tcBorders>
            <w:noWrap/>
            <w:hideMark/>
          </w:tcPr>
          <w:p w:rsidR="00841072" w:rsidRPr="006E63D2" w:rsidRDefault="00841072" w:rsidP="0059064F">
            <w:pPr>
              <w:widowControl w:val="0"/>
              <w:bidi/>
              <w:jc w:val="left"/>
              <w:rPr>
                <w:b/>
                <w:sz w:val="20"/>
                <w:szCs w:val="20"/>
                <w:lang w:val="en-CA"/>
              </w:rPr>
            </w:pPr>
            <w:r w:rsidRPr="006E63D2">
              <w:rPr>
                <w:b/>
                <w:sz w:val="20"/>
                <w:szCs w:val="20"/>
                <w:lang w:val="en-CA"/>
              </w:rPr>
              <w:t>234.25</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widowControl w:val="0"/>
              <w:bidi/>
              <w:jc w:val="left"/>
              <w:rPr>
                <w:b/>
                <w:sz w:val="20"/>
                <w:szCs w:val="20"/>
                <w:lang w:val="en-CA"/>
              </w:rPr>
            </w:pPr>
            <w:r w:rsidRPr="006E63D2">
              <w:rPr>
                <w:b/>
                <w:sz w:val="20"/>
                <w:szCs w:val="20"/>
                <w:lang w:val="en-CA"/>
              </w:rPr>
              <w:t>240.72</w:t>
            </w:r>
          </w:p>
        </w:tc>
        <w:tc>
          <w:tcPr>
            <w:tcW w:w="448" w:type="pct"/>
            <w:tcBorders>
              <w:top w:val="nil"/>
              <w:left w:val="single" w:sz="4" w:space="0" w:color="auto"/>
              <w:bottom w:val="single" w:sz="4" w:space="0" w:color="auto"/>
              <w:right w:val="single" w:sz="4" w:space="0" w:color="auto"/>
            </w:tcBorders>
            <w:hideMark/>
          </w:tcPr>
          <w:p w:rsidR="00841072" w:rsidRPr="006E63D2" w:rsidRDefault="00841072" w:rsidP="0059064F">
            <w:pPr>
              <w:widowControl w:val="0"/>
              <w:bidi/>
              <w:jc w:val="left"/>
              <w:rPr>
                <w:b/>
                <w:sz w:val="20"/>
                <w:szCs w:val="20"/>
                <w:lang w:val="en-CA"/>
              </w:rPr>
            </w:pPr>
            <w:r w:rsidRPr="006E63D2">
              <w:rPr>
                <w:b/>
                <w:sz w:val="20"/>
                <w:szCs w:val="20"/>
                <w:lang w:val="en-CA"/>
              </w:rPr>
              <w:t>269.29</w:t>
            </w:r>
          </w:p>
        </w:tc>
        <w:tc>
          <w:tcPr>
            <w:tcW w:w="427" w:type="pct"/>
            <w:tcBorders>
              <w:top w:val="nil"/>
              <w:left w:val="single" w:sz="4" w:space="0" w:color="auto"/>
              <w:bottom w:val="single" w:sz="4" w:space="0" w:color="auto"/>
              <w:right w:val="single" w:sz="4" w:space="0" w:color="auto"/>
            </w:tcBorders>
            <w:noWrap/>
            <w:vAlign w:val="center"/>
            <w:hideMark/>
          </w:tcPr>
          <w:p w:rsidR="00841072" w:rsidRPr="006E63D2" w:rsidRDefault="00841072" w:rsidP="0059064F">
            <w:pPr>
              <w:widowControl w:val="0"/>
              <w:bidi/>
              <w:jc w:val="left"/>
              <w:rPr>
                <w:b/>
                <w:sz w:val="20"/>
                <w:szCs w:val="20"/>
                <w:lang w:val="en-CA"/>
              </w:rPr>
            </w:pPr>
            <w:r w:rsidRPr="006E63D2">
              <w:rPr>
                <w:b/>
                <w:sz w:val="20"/>
                <w:szCs w:val="20"/>
                <w:lang w:val="en-CA"/>
              </w:rPr>
              <w:t>339.8</w:t>
            </w:r>
          </w:p>
        </w:tc>
      </w:tr>
      <w:tr w:rsidR="006C23A7" w:rsidRPr="006E63D2" w:rsidTr="006E63D2">
        <w:tc>
          <w:tcPr>
            <w:tcW w:w="2335" w:type="pct"/>
            <w:tcBorders>
              <w:top w:val="nil"/>
              <w:left w:val="single" w:sz="4" w:space="0" w:color="auto"/>
              <w:bottom w:val="single" w:sz="4" w:space="0" w:color="auto"/>
              <w:right w:val="single" w:sz="4" w:space="0" w:color="auto"/>
            </w:tcBorders>
            <w:noWrap/>
            <w:tcMar>
              <w:top w:w="0" w:type="dxa"/>
              <w:left w:w="43" w:type="dxa"/>
              <w:bottom w:w="0" w:type="dxa"/>
              <w:right w:w="43" w:type="dxa"/>
            </w:tcMar>
            <w:hideMark/>
          </w:tcPr>
          <w:p w:rsidR="00841072" w:rsidRPr="006E63D2" w:rsidRDefault="006C23A7" w:rsidP="006C23A7">
            <w:pPr>
              <w:bidi/>
              <w:jc w:val="left"/>
              <w:rPr>
                <w:b/>
                <w:bCs/>
                <w:sz w:val="18"/>
                <w:szCs w:val="18"/>
                <w:lang w:val="en-US"/>
              </w:rPr>
            </w:pPr>
            <w:r w:rsidRPr="006E63D2">
              <w:rPr>
                <w:sz w:val="18"/>
                <w:szCs w:val="18"/>
                <w:rtl/>
                <w:lang w:bidi="ar-AE"/>
              </w:rPr>
              <w:t>الهيدروكلوروفلوروكربون</w:t>
            </w:r>
            <w:r w:rsidRPr="006E63D2">
              <w:rPr>
                <w:rFonts w:hint="cs"/>
                <w:sz w:val="18"/>
                <w:szCs w:val="18"/>
                <w:rtl/>
                <w:lang w:bidi="ar-AE"/>
              </w:rPr>
              <w:t>-</w:t>
            </w:r>
            <w:r w:rsidRPr="006E63D2">
              <w:rPr>
                <w:sz w:val="18"/>
                <w:szCs w:val="18"/>
                <w:lang w:bidi="ar-AE"/>
              </w:rPr>
              <w:t>141b</w:t>
            </w:r>
            <w:r w:rsidRPr="006E63D2">
              <w:rPr>
                <w:rFonts w:hint="cs"/>
                <w:sz w:val="18"/>
                <w:szCs w:val="18"/>
                <w:rtl/>
                <w:lang w:bidi="ar-AE"/>
              </w:rPr>
              <w:t xml:space="preserve"> ب</w:t>
            </w:r>
            <w:r w:rsidR="006E63D2" w:rsidRPr="006E63D2">
              <w:rPr>
                <w:rFonts w:hint="cs"/>
                <w:sz w:val="18"/>
                <w:szCs w:val="18"/>
                <w:rtl/>
                <w:lang w:bidi="ar-AE"/>
              </w:rPr>
              <w:t>البوليولات المستوردة سابقة الخلط</w:t>
            </w:r>
            <w:r w:rsidRPr="006E63D2">
              <w:rPr>
                <w:sz w:val="18"/>
                <w:szCs w:val="18"/>
                <w:lang w:val="en-CA"/>
              </w:rPr>
              <w:t xml:space="preserve"> </w:t>
            </w:r>
            <w:r w:rsidR="00841072" w:rsidRPr="006E63D2">
              <w:rPr>
                <w:sz w:val="18"/>
                <w:szCs w:val="18"/>
                <w:lang w:val="en-CA"/>
              </w:rPr>
              <w:t>*</w:t>
            </w:r>
          </w:p>
        </w:tc>
        <w:tc>
          <w:tcPr>
            <w:tcW w:w="448" w:type="pct"/>
            <w:tcBorders>
              <w:top w:val="nil"/>
              <w:left w:val="nil"/>
              <w:bottom w:val="single" w:sz="4" w:space="0" w:color="auto"/>
              <w:right w:val="single" w:sz="4" w:space="0" w:color="auto"/>
            </w:tcBorders>
            <w:noWrap/>
            <w:hideMark/>
          </w:tcPr>
          <w:p w:rsidR="00841072" w:rsidRPr="006E63D2" w:rsidRDefault="00841072" w:rsidP="0059064F">
            <w:pPr>
              <w:bidi/>
              <w:jc w:val="left"/>
              <w:rPr>
                <w:sz w:val="20"/>
                <w:szCs w:val="20"/>
                <w:lang w:val="en-CA"/>
              </w:rPr>
            </w:pPr>
            <w:r w:rsidRPr="006E63D2">
              <w:rPr>
                <w:sz w:val="20"/>
                <w:szCs w:val="20"/>
                <w:lang w:val="en-CA"/>
              </w:rPr>
              <w:t>28.75</w:t>
            </w:r>
          </w:p>
        </w:tc>
        <w:tc>
          <w:tcPr>
            <w:tcW w:w="447" w:type="pct"/>
            <w:tcBorders>
              <w:top w:val="nil"/>
              <w:left w:val="nil"/>
              <w:bottom w:val="single" w:sz="4" w:space="0" w:color="auto"/>
              <w:right w:val="single" w:sz="4" w:space="0" w:color="auto"/>
            </w:tcBorders>
            <w:noWrap/>
            <w:hideMark/>
          </w:tcPr>
          <w:p w:rsidR="00841072" w:rsidRPr="006E63D2" w:rsidRDefault="00841072" w:rsidP="0059064F">
            <w:pPr>
              <w:bidi/>
              <w:jc w:val="left"/>
              <w:rPr>
                <w:sz w:val="20"/>
                <w:szCs w:val="20"/>
                <w:lang w:val="en-CA"/>
              </w:rPr>
            </w:pPr>
            <w:r w:rsidRPr="006E63D2">
              <w:rPr>
                <w:sz w:val="20"/>
                <w:szCs w:val="20"/>
                <w:lang w:val="en-CA"/>
              </w:rPr>
              <w:t>32.83</w:t>
            </w:r>
          </w:p>
        </w:tc>
        <w:tc>
          <w:tcPr>
            <w:tcW w:w="447" w:type="pct"/>
            <w:tcBorders>
              <w:top w:val="nil"/>
              <w:left w:val="nil"/>
              <w:bottom w:val="single" w:sz="4" w:space="0" w:color="auto"/>
              <w:right w:val="single" w:sz="4" w:space="0" w:color="auto"/>
            </w:tcBorders>
            <w:noWrap/>
            <w:hideMark/>
          </w:tcPr>
          <w:p w:rsidR="00841072" w:rsidRPr="006E63D2" w:rsidRDefault="00841072" w:rsidP="0059064F">
            <w:pPr>
              <w:bidi/>
              <w:jc w:val="left"/>
              <w:rPr>
                <w:sz w:val="20"/>
                <w:szCs w:val="20"/>
                <w:lang w:val="en-CA"/>
              </w:rPr>
            </w:pPr>
            <w:r w:rsidRPr="006E63D2">
              <w:rPr>
                <w:sz w:val="20"/>
                <w:szCs w:val="20"/>
                <w:lang w:val="en-CA"/>
              </w:rPr>
              <w:t>12.22</w:t>
            </w:r>
          </w:p>
        </w:tc>
        <w:tc>
          <w:tcPr>
            <w:tcW w:w="449" w:type="pct"/>
            <w:tcBorders>
              <w:top w:val="single" w:sz="4" w:space="0" w:color="auto"/>
              <w:left w:val="nil"/>
              <w:bottom w:val="single" w:sz="4" w:space="0" w:color="auto"/>
              <w:right w:val="single" w:sz="4" w:space="0" w:color="auto"/>
            </w:tcBorders>
            <w:hideMark/>
          </w:tcPr>
          <w:p w:rsidR="00841072" w:rsidRPr="006E63D2" w:rsidRDefault="00841072" w:rsidP="0059064F">
            <w:pPr>
              <w:bidi/>
              <w:jc w:val="left"/>
              <w:rPr>
                <w:sz w:val="20"/>
                <w:szCs w:val="20"/>
                <w:lang w:val="en-CA"/>
              </w:rPr>
            </w:pPr>
            <w:r w:rsidRPr="006E63D2">
              <w:rPr>
                <w:sz w:val="20"/>
                <w:szCs w:val="20"/>
                <w:lang w:val="en-CA"/>
              </w:rPr>
              <w:t>18.00</w:t>
            </w:r>
          </w:p>
        </w:tc>
        <w:tc>
          <w:tcPr>
            <w:tcW w:w="448" w:type="pct"/>
            <w:tcBorders>
              <w:top w:val="nil"/>
              <w:left w:val="single" w:sz="4" w:space="0" w:color="auto"/>
              <w:bottom w:val="single" w:sz="4" w:space="0" w:color="auto"/>
              <w:right w:val="single" w:sz="4" w:space="0" w:color="auto"/>
            </w:tcBorders>
            <w:hideMark/>
          </w:tcPr>
          <w:p w:rsidR="00841072" w:rsidRPr="006E63D2" w:rsidRDefault="00841072" w:rsidP="0059064F">
            <w:pPr>
              <w:bidi/>
              <w:jc w:val="left"/>
              <w:rPr>
                <w:sz w:val="20"/>
                <w:szCs w:val="20"/>
                <w:lang w:val="en-CA"/>
              </w:rPr>
            </w:pPr>
            <w:r w:rsidRPr="006E63D2">
              <w:rPr>
                <w:sz w:val="20"/>
                <w:szCs w:val="20"/>
                <w:lang w:val="en-CA"/>
              </w:rPr>
              <w:t>33.26</w:t>
            </w:r>
          </w:p>
        </w:tc>
        <w:tc>
          <w:tcPr>
            <w:tcW w:w="427" w:type="pct"/>
            <w:tcBorders>
              <w:top w:val="nil"/>
              <w:left w:val="single" w:sz="4" w:space="0" w:color="auto"/>
              <w:bottom w:val="single" w:sz="4" w:space="0" w:color="auto"/>
              <w:right w:val="single" w:sz="4" w:space="0" w:color="auto"/>
            </w:tcBorders>
            <w:noWrap/>
            <w:hideMark/>
          </w:tcPr>
          <w:p w:rsidR="00841072" w:rsidRPr="006E63D2" w:rsidRDefault="00841072" w:rsidP="0059064F">
            <w:pPr>
              <w:bidi/>
              <w:jc w:val="left"/>
              <w:rPr>
                <w:sz w:val="20"/>
                <w:szCs w:val="20"/>
                <w:lang w:val="en-CA"/>
              </w:rPr>
            </w:pPr>
            <w:r w:rsidRPr="006E63D2">
              <w:rPr>
                <w:sz w:val="20"/>
                <w:szCs w:val="20"/>
                <w:lang w:val="en-CA"/>
              </w:rPr>
              <w:t>12.7**</w:t>
            </w: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841072" w:rsidRPr="006E63D2" w:rsidRDefault="006C23A7" w:rsidP="00C80327">
            <w:pPr>
              <w:widowControl w:val="0"/>
              <w:bidi/>
              <w:jc w:val="left"/>
              <w:rPr>
                <w:b/>
                <w:bCs/>
                <w:sz w:val="20"/>
                <w:szCs w:val="20"/>
                <w:lang w:val="en-CA"/>
              </w:rPr>
            </w:pPr>
            <w:r w:rsidRPr="006E63D2">
              <w:rPr>
                <w:rFonts w:hint="cs"/>
                <w:b/>
                <w:bCs/>
                <w:sz w:val="20"/>
                <w:szCs w:val="20"/>
                <w:rtl/>
                <w:lang w:val="fr-CA" w:eastAsia="en-CA"/>
              </w:rPr>
              <w:t xml:space="preserve">الأطنان </w:t>
            </w:r>
            <w:r w:rsidRPr="006E63D2">
              <w:rPr>
                <w:rFonts w:hint="cs"/>
                <w:b/>
                <w:bCs/>
                <w:color w:val="000000"/>
                <w:sz w:val="20"/>
                <w:szCs w:val="20"/>
                <w:rtl/>
                <w:lang w:val="en-CA" w:eastAsia="en-CA"/>
              </w:rPr>
              <w:t>بقدرات استنفاد الأوزون</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841072" w:rsidRPr="006E63D2" w:rsidRDefault="00841072" w:rsidP="0059064F">
            <w:pPr>
              <w:bidi/>
              <w:jc w:val="left"/>
              <w:rPr>
                <w:b/>
                <w:bCs/>
                <w:sz w:val="20"/>
                <w:szCs w:val="20"/>
                <w:lang w:val="en-CA"/>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841072" w:rsidRPr="006E63D2" w:rsidRDefault="00841072" w:rsidP="0059064F">
            <w:pPr>
              <w:bidi/>
              <w:jc w:val="left"/>
              <w:rPr>
                <w:sz w:val="20"/>
                <w:szCs w:val="20"/>
                <w:lang w:val="en-CA" w:eastAsia="en-CA"/>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841072" w:rsidRPr="006E63D2" w:rsidRDefault="00841072" w:rsidP="0059064F">
            <w:pPr>
              <w:widowControl w:val="0"/>
              <w:bidi/>
              <w:jc w:val="left"/>
              <w:rPr>
                <w:sz w:val="20"/>
                <w:szCs w:val="20"/>
                <w:lang w:val="en-CA"/>
              </w:rPr>
            </w:pPr>
          </w:p>
        </w:tc>
        <w:tc>
          <w:tcPr>
            <w:tcW w:w="449" w:type="pct"/>
            <w:tcBorders>
              <w:top w:val="single" w:sz="4" w:space="0" w:color="auto"/>
              <w:left w:val="single" w:sz="4" w:space="0" w:color="auto"/>
              <w:bottom w:val="single" w:sz="4" w:space="0" w:color="auto"/>
              <w:right w:val="single" w:sz="4" w:space="0" w:color="auto"/>
            </w:tcBorders>
          </w:tcPr>
          <w:p w:rsidR="00841072" w:rsidRPr="006E63D2" w:rsidRDefault="00841072" w:rsidP="0059064F">
            <w:pPr>
              <w:widowControl w:val="0"/>
              <w:bidi/>
              <w:jc w:val="left"/>
              <w:rPr>
                <w:sz w:val="20"/>
                <w:szCs w:val="20"/>
                <w:lang w:val="en-CA"/>
              </w:rPr>
            </w:pPr>
          </w:p>
        </w:tc>
        <w:tc>
          <w:tcPr>
            <w:tcW w:w="448" w:type="pct"/>
            <w:tcBorders>
              <w:top w:val="single" w:sz="4" w:space="0" w:color="auto"/>
              <w:left w:val="single" w:sz="4" w:space="0" w:color="auto"/>
              <w:bottom w:val="single" w:sz="4" w:space="0" w:color="auto"/>
              <w:right w:val="single" w:sz="4" w:space="0" w:color="auto"/>
            </w:tcBorders>
          </w:tcPr>
          <w:p w:rsidR="00841072" w:rsidRPr="006E63D2" w:rsidRDefault="00841072" w:rsidP="0059064F">
            <w:pPr>
              <w:widowControl w:val="0"/>
              <w:bidi/>
              <w:jc w:val="left"/>
              <w:rPr>
                <w:sz w:val="20"/>
                <w:szCs w:val="20"/>
                <w:lang w:val="en-CA"/>
              </w:rPr>
            </w:pP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841072" w:rsidRPr="006E63D2" w:rsidRDefault="00841072" w:rsidP="0059064F">
            <w:pPr>
              <w:bidi/>
              <w:jc w:val="left"/>
              <w:rPr>
                <w:sz w:val="20"/>
                <w:szCs w:val="20"/>
                <w:lang w:val="en-CA"/>
              </w:rPr>
            </w:pP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6C23A7" w:rsidRPr="006E63D2" w:rsidRDefault="006C23A7" w:rsidP="00C80327">
            <w:pPr>
              <w:widowControl w:val="0"/>
              <w:bidi/>
              <w:jc w:val="left"/>
              <w:rPr>
                <w:sz w:val="20"/>
                <w:szCs w:val="20"/>
                <w:lang w:val="en-CA"/>
              </w:rPr>
            </w:pPr>
            <w:r w:rsidRPr="006E63D2">
              <w:rPr>
                <w:sz w:val="20"/>
                <w:szCs w:val="20"/>
                <w:rtl/>
                <w:lang w:bidi="ar-AE"/>
              </w:rPr>
              <w:t>الهيدروكلوروفلوروكربون</w:t>
            </w:r>
            <w:r w:rsidRPr="006E63D2">
              <w:rPr>
                <w:rFonts w:hint="cs"/>
                <w:sz w:val="20"/>
                <w:szCs w:val="20"/>
                <w:rtl/>
                <w:lang w:bidi="ar-AE"/>
              </w:rPr>
              <w:t>-</w:t>
            </w:r>
            <w:r w:rsidRPr="006E63D2">
              <w:rPr>
                <w:sz w:val="20"/>
                <w:szCs w:val="20"/>
                <w:lang w:val="en-CA"/>
              </w:rPr>
              <w:t>22</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eastAsia="en-CA"/>
              </w:rPr>
            </w:pPr>
            <w:r w:rsidRPr="006E63D2">
              <w:rPr>
                <w:sz w:val="20"/>
                <w:szCs w:val="20"/>
                <w:lang w:val="en-CA" w:eastAsia="en-CA"/>
              </w:rPr>
              <w:t>15.82</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12.14</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12.65</w:t>
            </w:r>
          </w:p>
        </w:tc>
        <w:tc>
          <w:tcPr>
            <w:tcW w:w="449"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12.89</w:t>
            </w:r>
          </w:p>
        </w:tc>
        <w:tc>
          <w:tcPr>
            <w:tcW w:w="448"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14.46</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16.3</w:t>
            </w: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6C23A7" w:rsidRPr="006E63D2" w:rsidRDefault="006C23A7" w:rsidP="00C80327">
            <w:pPr>
              <w:widowControl w:val="0"/>
              <w:bidi/>
              <w:jc w:val="left"/>
              <w:rPr>
                <w:sz w:val="20"/>
                <w:szCs w:val="20"/>
                <w:lang w:val="en-CA"/>
              </w:rPr>
            </w:pPr>
            <w:r w:rsidRPr="006E63D2">
              <w:rPr>
                <w:sz w:val="20"/>
                <w:szCs w:val="20"/>
                <w:rtl/>
                <w:lang w:bidi="ar-AE"/>
              </w:rPr>
              <w:t>الهيدروكلوروفلوروكربون</w:t>
            </w:r>
            <w:r w:rsidRPr="006E63D2">
              <w:rPr>
                <w:rFonts w:hint="cs"/>
                <w:sz w:val="20"/>
                <w:szCs w:val="20"/>
                <w:rtl/>
                <w:lang w:bidi="ar-AE"/>
              </w:rPr>
              <w:t>-</w:t>
            </w:r>
            <w:r w:rsidRPr="006E63D2">
              <w:rPr>
                <w:sz w:val="20"/>
                <w:szCs w:val="20"/>
                <w:lang w:val="en-CA"/>
              </w:rPr>
              <w:t>123</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eastAsia="en-CA"/>
              </w:rPr>
            </w:pPr>
            <w:r w:rsidRPr="006E63D2">
              <w:rPr>
                <w:sz w:val="20"/>
                <w:szCs w:val="20"/>
                <w:lang w:val="en-CA" w:eastAsia="en-CA"/>
              </w:rPr>
              <w:t>0.06</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0.01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0.08</w:t>
            </w:r>
          </w:p>
        </w:tc>
        <w:tc>
          <w:tcPr>
            <w:tcW w:w="449"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0.13</w:t>
            </w:r>
          </w:p>
        </w:tc>
        <w:tc>
          <w:tcPr>
            <w:tcW w:w="448"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0.13</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0.2</w:t>
            </w: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6C23A7" w:rsidRPr="006E63D2" w:rsidRDefault="006C23A7" w:rsidP="00C80327">
            <w:pPr>
              <w:widowControl w:val="0"/>
              <w:bidi/>
              <w:jc w:val="left"/>
              <w:rPr>
                <w:sz w:val="20"/>
                <w:szCs w:val="20"/>
                <w:rtl/>
                <w:lang w:val="en-CA" w:bidi="ar-EG"/>
              </w:rPr>
            </w:pPr>
            <w:r w:rsidRPr="006E63D2">
              <w:rPr>
                <w:sz w:val="20"/>
                <w:szCs w:val="20"/>
                <w:rtl/>
                <w:lang w:bidi="ar-AE"/>
              </w:rPr>
              <w:t>الهيدروكلوروفلوروكربون</w:t>
            </w:r>
            <w:r w:rsidRPr="006E63D2">
              <w:rPr>
                <w:rFonts w:hint="cs"/>
                <w:sz w:val="20"/>
                <w:szCs w:val="20"/>
                <w:rtl/>
                <w:lang w:bidi="ar-AE"/>
              </w:rPr>
              <w:t>-</w:t>
            </w:r>
            <w:r w:rsidRPr="006E63D2">
              <w:rPr>
                <w:sz w:val="20"/>
                <w:szCs w:val="20"/>
                <w:lang w:val="en-CA"/>
              </w:rPr>
              <w:t>124</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eastAsia="en-CA"/>
              </w:rPr>
            </w:pPr>
            <w:r w:rsidRPr="006E63D2">
              <w:rPr>
                <w:sz w:val="20"/>
                <w:szCs w:val="20"/>
                <w:lang w:val="en-CA"/>
              </w:rPr>
              <w:t>0.00</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0.02</w:t>
            </w:r>
          </w:p>
        </w:tc>
        <w:tc>
          <w:tcPr>
            <w:tcW w:w="44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49"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48"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0.1</w:t>
            </w: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6C23A7" w:rsidRPr="006E63D2" w:rsidRDefault="006C23A7" w:rsidP="00C80327">
            <w:pPr>
              <w:widowControl w:val="0"/>
              <w:bidi/>
              <w:jc w:val="left"/>
              <w:rPr>
                <w:sz w:val="20"/>
                <w:szCs w:val="20"/>
                <w:lang w:val="en-CA"/>
              </w:rPr>
            </w:pPr>
            <w:r w:rsidRPr="006E63D2">
              <w:rPr>
                <w:sz w:val="20"/>
                <w:szCs w:val="20"/>
                <w:rtl/>
                <w:lang w:bidi="ar-AE"/>
              </w:rPr>
              <w:t>الهيدروكلوروفلوروكربون</w:t>
            </w:r>
            <w:r w:rsidRPr="006E63D2">
              <w:rPr>
                <w:rFonts w:hint="cs"/>
                <w:sz w:val="20"/>
                <w:szCs w:val="20"/>
                <w:rtl/>
                <w:lang w:bidi="ar-AE"/>
              </w:rPr>
              <w:t>-</w:t>
            </w:r>
            <w:r w:rsidRPr="006E63D2">
              <w:rPr>
                <w:sz w:val="20"/>
                <w:szCs w:val="20"/>
                <w:lang w:val="en-CA"/>
              </w:rPr>
              <w:t>141</w:t>
            </w:r>
            <w:r w:rsidRPr="006E63D2">
              <w:rPr>
                <w:sz w:val="20"/>
                <w:szCs w:val="20"/>
                <w:rtl/>
                <w:lang w:bidi="ar-AE"/>
              </w:rPr>
              <w:t>ب</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eastAsia="en-CA"/>
              </w:rPr>
            </w:pPr>
            <w:r w:rsidRPr="006E63D2">
              <w:rPr>
                <w:sz w:val="20"/>
                <w:szCs w:val="20"/>
                <w:lang w:val="en-CA" w:eastAsia="en-CA"/>
              </w:rPr>
              <w:t>0.11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0.74</w:t>
            </w:r>
          </w:p>
        </w:tc>
        <w:tc>
          <w:tcPr>
            <w:tcW w:w="44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49"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48"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0.1</w:t>
            </w: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6C23A7" w:rsidRPr="006E63D2" w:rsidRDefault="006C23A7" w:rsidP="00C80327">
            <w:pPr>
              <w:widowControl w:val="0"/>
              <w:bidi/>
              <w:jc w:val="left"/>
              <w:rPr>
                <w:sz w:val="20"/>
                <w:szCs w:val="20"/>
                <w:lang w:val="en-CA"/>
              </w:rPr>
            </w:pPr>
            <w:r w:rsidRPr="006E63D2">
              <w:rPr>
                <w:rFonts w:hint="cs"/>
                <w:sz w:val="20"/>
                <w:szCs w:val="20"/>
                <w:rtl/>
                <w:lang w:bidi="ar-EG"/>
              </w:rPr>
              <w:t>ا</w:t>
            </w:r>
            <w:r w:rsidRPr="006E63D2">
              <w:rPr>
                <w:sz w:val="20"/>
                <w:szCs w:val="20"/>
                <w:rtl/>
                <w:lang w:bidi="ar-AE"/>
              </w:rPr>
              <w:t>لهيدروكلوروفلوروكربون</w:t>
            </w:r>
            <w:r w:rsidRPr="006E63D2">
              <w:rPr>
                <w:rFonts w:hint="cs"/>
                <w:sz w:val="20"/>
                <w:szCs w:val="20"/>
                <w:rtl/>
                <w:lang w:bidi="ar-AE"/>
              </w:rPr>
              <w:t>-</w:t>
            </w:r>
            <w:r w:rsidRPr="006E63D2">
              <w:rPr>
                <w:sz w:val="20"/>
                <w:szCs w:val="20"/>
                <w:lang w:val="en-CA"/>
              </w:rPr>
              <w:t>142</w:t>
            </w:r>
            <w:r w:rsidRPr="006E63D2">
              <w:rPr>
                <w:sz w:val="20"/>
                <w:szCs w:val="20"/>
                <w:rtl/>
                <w:lang w:bidi="ar-AE"/>
              </w:rPr>
              <w:t xml:space="preserve"> ب</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eastAsia="en-CA"/>
              </w:rPr>
            </w:pPr>
            <w:r w:rsidRPr="006E63D2">
              <w:rPr>
                <w:sz w:val="20"/>
                <w:szCs w:val="20"/>
                <w:lang w:val="en-CA"/>
              </w:rPr>
              <w:t>0.00</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0.04</w:t>
            </w:r>
          </w:p>
        </w:tc>
        <w:tc>
          <w:tcPr>
            <w:tcW w:w="44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49"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48"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widowControl w:val="0"/>
              <w:bidi/>
              <w:jc w:val="left"/>
              <w:rPr>
                <w:sz w:val="20"/>
                <w:szCs w:val="20"/>
                <w:lang w:val="en-CA"/>
              </w:rPr>
            </w:pPr>
            <w:r w:rsidRPr="006E63D2">
              <w:rPr>
                <w:sz w:val="20"/>
                <w:szCs w:val="20"/>
                <w:lang w:val="en-CA"/>
              </w:rPr>
              <w:t>0.00</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6C23A7" w:rsidRPr="006E63D2" w:rsidRDefault="006C23A7" w:rsidP="0059064F">
            <w:pPr>
              <w:widowControl w:val="0"/>
              <w:bidi/>
              <w:jc w:val="left"/>
              <w:rPr>
                <w:sz w:val="20"/>
                <w:szCs w:val="20"/>
                <w:lang w:val="en-CA"/>
              </w:rPr>
            </w:pPr>
            <w:r w:rsidRPr="006E63D2">
              <w:rPr>
                <w:sz w:val="20"/>
                <w:szCs w:val="20"/>
                <w:lang w:val="en-CA"/>
              </w:rPr>
              <w:t>1.3</w:t>
            </w: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rsidR="006C23A7" w:rsidRPr="006E63D2" w:rsidRDefault="006C23A7" w:rsidP="00C80327">
            <w:pPr>
              <w:bidi/>
              <w:jc w:val="left"/>
              <w:rPr>
                <w:rFonts w:eastAsiaTheme="minorHAnsi"/>
                <w:b/>
                <w:sz w:val="20"/>
                <w:szCs w:val="20"/>
                <w:lang w:val="en-CA"/>
              </w:rPr>
            </w:pPr>
            <w:r w:rsidRPr="006E63D2">
              <w:rPr>
                <w:rFonts w:hint="cs"/>
                <w:b/>
                <w:bCs/>
                <w:sz w:val="20"/>
                <w:szCs w:val="20"/>
                <w:rtl/>
                <w:lang w:val="fr-CA" w:eastAsia="en-CA"/>
              </w:rPr>
              <w:t>المجموع الفرعي (</w:t>
            </w:r>
            <w:r w:rsidRPr="006E63D2">
              <w:rPr>
                <w:rFonts w:hint="cs"/>
                <w:b/>
                <w:bCs/>
                <w:sz w:val="20"/>
                <w:szCs w:val="20"/>
                <w:rtl/>
                <w:lang w:val="fr-CA" w:eastAsia="en-CA" w:bidi="ar-EG"/>
              </w:rPr>
              <w:t>ب</w:t>
            </w:r>
            <w:r w:rsidRPr="006E63D2">
              <w:rPr>
                <w:rFonts w:hint="cs"/>
                <w:b/>
                <w:bCs/>
                <w:sz w:val="20"/>
                <w:szCs w:val="20"/>
                <w:rtl/>
                <w:lang w:val="fr-CA" w:eastAsia="en-CA"/>
              </w:rPr>
              <w:t xml:space="preserve">الأطنان </w:t>
            </w:r>
            <w:r w:rsidRPr="006E63D2">
              <w:rPr>
                <w:rFonts w:hint="cs"/>
                <w:b/>
                <w:bCs/>
                <w:color w:val="000000"/>
                <w:sz w:val="20"/>
                <w:szCs w:val="20"/>
                <w:rtl/>
                <w:lang w:val="en-CA" w:eastAsia="en-CA"/>
              </w:rPr>
              <w:t>بقدرات استنفاد الأوزون</w:t>
            </w:r>
            <w:r w:rsidRPr="006E63D2">
              <w:rPr>
                <w:rFonts w:eastAsiaTheme="minorHAnsi" w:hint="cs"/>
                <w:b/>
                <w:bCs/>
                <w:sz w:val="20"/>
                <w:szCs w:val="20"/>
                <w:rtl/>
                <w:lang w:val="en-CA"/>
              </w:rPr>
              <w:t>)</w:t>
            </w:r>
          </w:p>
        </w:tc>
        <w:tc>
          <w:tcPr>
            <w:tcW w:w="448"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widowControl w:val="0"/>
              <w:bidi/>
              <w:jc w:val="left"/>
              <w:rPr>
                <w:b/>
                <w:sz w:val="20"/>
                <w:szCs w:val="20"/>
                <w:lang w:val="en-CA"/>
              </w:rPr>
            </w:pPr>
            <w:r w:rsidRPr="006E63D2">
              <w:rPr>
                <w:b/>
                <w:sz w:val="20"/>
                <w:szCs w:val="20"/>
                <w:lang w:val="en-CA"/>
              </w:rPr>
              <w:t>15.99</w:t>
            </w:r>
          </w:p>
        </w:tc>
        <w:tc>
          <w:tcPr>
            <w:tcW w:w="44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widowControl w:val="0"/>
              <w:bidi/>
              <w:jc w:val="left"/>
              <w:rPr>
                <w:b/>
                <w:sz w:val="20"/>
                <w:szCs w:val="20"/>
                <w:lang w:val="en-CA"/>
              </w:rPr>
            </w:pPr>
            <w:r w:rsidRPr="006E63D2">
              <w:rPr>
                <w:b/>
                <w:sz w:val="20"/>
                <w:szCs w:val="20"/>
                <w:lang w:val="en-CA"/>
              </w:rPr>
              <w:t>12.95</w:t>
            </w:r>
          </w:p>
        </w:tc>
        <w:tc>
          <w:tcPr>
            <w:tcW w:w="44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widowControl w:val="0"/>
              <w:bidi/>
              <w:jc w:val="left"/>
              <w:rPr>
                <w:b/>
                <w:sz w:val="20"/>
                <w:szCs w:val="20"/>
                <w:lang w:val="en-CA"/>
              </w:rPr>
            </w:pPr>
            <w:r w:rsidRPr="006E63D2">
              <w:rPr>
                <w:b/>
                <w:sz w:val="20"/>
                <w:szCs w:val="20"/>
                <w:lang w:val="en-CA"/>
              </w:rPr>
              <w:t>12.73</w:t>
            </w:r>
          </w:p>
        </w:tc>
        <w:tc>
          <w:tcPr>
            <w:tcW w:w="449"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bidi/>
              <w:jc w:val="left"/>
              <w:rPr>
                <w:b/>
                <w:sz w:val="20"/>
                <w:szCs w:val="20"/>
                <w:lang w:val="en-CA"/>
              </w:rPr>
            </w:pPr>
            <w:r w:rsidRPr="006E63D2">
              <w:rPr>
                <w:b/>
                <w:sz w:val="20"/>
                <w:szCs w:val="20"/>
                <w:lang w:val="en-CA"/>
              </w:rPr>
              <w:t>13.02</w:t>
            </w:r>
          </w:p>
        </w:tc>
        <w:tc>
          <w:tcPr>
            <w:tcW w:w="448"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bidi/>
              <w:jc w:val="left"/>
              <w:rPr>
                <w:b/>
                <w:sz w:val="20"/>
                <w:szCs w:val="20"/>
                <w:lang w:val="en-CA"/>
              </w:rPr>
            </w:pPr>
            <w:r w:rsidRPr="006E63D2">
              <w:rPr>
                <w:b/>
                <w:sz w:val="20"/>
                <w:szCs w:val="20"/>
                <w:lang w:val="en-CA"/>
              </w:rPr>
              <w:t>14.59</w:t>
            </w:r>
          </w:p>
        </w:tc>
        <w:tc>
          <w:tcPr>
            <w:tcW w:w="42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bidi/>
              <w:jc w:val="left"/>
              <w:rPr>
                <w:rFonts w:eastAsiaTheme="minorHAnsi"/>
                <w:b/>
                <w:sz w:val="20"/>
                <w:szCs w:val="20"/>
                <w:lang w:val="en-CA"/>
              </w:rPr>
            </w:pPr>
            <w:r w:rsidRPr="006E63D2">
              <w:rPr>
                <w:rFonts w:eastAsiaTheme="minorHAnsi"/>
                <w:b/>
                <w:sz w:val="20"/>
                <w:szCs w:val="20"/>
                <w:lang w:val="en-CA"/>
              </w:rPr>
              <w:t>18.0</w:t>
            </w:r>
          </w:p>
        </w:tc>
      </w:tr>
      <w:tr w:rsidR="006C23A7" w:rsidRPr="006E63D2" w:rsidTr="006E63D2">
        <w:tc>
          <w:tcPr>
            <w:tcW w:w="233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rsidR="006C23A7" w:rsidRPr="006E63D2" w:rsidRDefault="006C23A7" w:rsidP="00C80327">
            <w:pPr>
              <w:bidi/>
              <w:jc w:val="left"/>
              <w:rPr>
                <w:sz w:val="18"/>
                <w:szCs w:val="18"/>
                <w:lang w:val="en-CA"/>
              </w:rPr>
            </w:pPr>
            <w:r w:rsidRPr="006E63D2">
              <w:rPr>
                <w:sz w:val="18"/>
                <w:szCs w:val="18"/>
                <w:rtl/>
                <w:lang w:bidi="ar-AE"/>
              </w:rPr>
              <w:t>الهيدروكلوروفلوروكربون</w:t>
            </w:r>
            <w:r w:rsidRPr="006E63D2">
              <w:rPr>
                <w:rFonts w:hint="cs"/>
                <w:sz w:val="18"/>
                <w:szCs w:val="18"/>
                <w:rtl/>
                <w:lang w:bidi="ar-AE"/>
              </w:rPr>
              <w:t>-</w:t>
            </w:r>
            <w:r w:rsidRPr="006E63D2">
              <w:rPr>
                <w:sz w:val="18"/>
                <w:szCs w:val="18"/>
                <w:lang w:bidi="ar-AE"/>
              </w:rPr>
              <w:t>141b</w:t>
            </w:r>
            <w:r w:rsidRPr="006E63D2">
              <w:rPr>
                <w:rFonts w:hint="cs"/>
                <w:sz w:val="18"/>
                <w:szCs w:val="18"/>
                <w:rtl/>
                <w:lang w:bidi="ar-AE"/>
              </w:rPr>
              <w:t xml:space="preserve"> بالبوليولات المستوردة سابقة الخلط</w:t>
            </w:r>
            <w:r w:rsidRPr="006E63D2">
              <w:rPr>
                <w:sz w:val="18"/>
                <w:szCs w:val="18"/>
                <w:lang w:val="en-CA"/>
              </w:rPr>
              <w:t xml:space="preserve"> *</w:t>
            </w:r>
          </w:p>
        </w:tc>
        <w:tc>
          <w:tcPr>
            <w:tcW w:w="448"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bidi/>
              <w:jc w:val="left"/>
              <w:rPr>
                <w:rFonts w:eastAsiaTheme="minorHAnsi"/>
                <w:sz w:val="20"/>
                <w:szCs w:val="20"/>
                <w:lang w:val="en-CA"/>
              </w:rPr>
            </w:pPr>
            <w:r w:rsidRPr="006E63D2">
              <w:rPr>
                <w:rFonts w:eastAsiaTheme="minorHAnsi"/>
                <w:sz w:val="20"/>
                <w:szCs w:val="20"/>
                <w:lang w:val="en-CA"/>
              </w:rPr>
              <w:t>3.16</w:t>
            </w:r>
          </w:p>
        </w:tc>
        <w:tc>
          <w:tcPr>
            <w:tcW w:w="44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bidi/>
              <w:jc w:val="left"/>
              <w:rPr>
                <w:rFonts w:eastAsiaTheme="minorHAnsi"/>
                <w:sz w:val="20"/>
                <w:szCs w:val="20"/>
                <w:lang w:val="en-CA"/>
              </w:rPr>
            </w:pPr>
            <w:r w:rsidRPr="006E63D2">
              <w:rPr>
                <w:rFonts w:eastAsiaTheme="minorHAnsi"/>
                <w:sz w:val="20"/>
                <w:szCs w:val="20"/>
                <w:lang w:val="en-CA"/>
              </w:rPr>
              <w:t>3.61</w:t>
            </w:r>
          </w:p>
        </w:tc>
        <w:tc>
          <w:tcPr>
            <w:tcW w:w="44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bidi/>
              <w:jc w:val="left"/>
              <w:rPr>
                <w:rFonts w:eastAsiaTheme="minorHAnsi"/>
                <w:sz w:val="20"/>
                <w:szCs w:val="20"/>
                <w:lang w:val="en-CA"/>
              </w:rPr>
            </w:pPr>
            <w:r w:rsidRPr="006E63D2">
              <w:rPr>
                <w:rFonts w:eastAsiaTheme="minorHAnsi"/>
                <w:sz w:val="20"/>
                <w:szCs w:val="20"/>
                <w:lang w:val="en-CA"/>
              </w:rPr>
              <w:t>1.34</w:t>
            </w:r>
          </w:p>
        </w:tc>
        <w:tc>
          <w:tcPr>
            <w:tcW w:w="449"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bidi/>
              <w:jc w:val="left"/>
              <w:rPr>
                <w:sz w:val="20"/>
                <w:szCs w:val="20"/>
                <w:lang w:val="en-CA"/>
              </w:rPr>
            </w:pPr>
            <w:r w:rsidRPr="006E63D2">
              <w:rPr>
                <w:sz w:val="20"/>
                <w:szCs w:val="20"/>
                <w:lang w:val="en-CA"/>
              </w:rPr>
              <w:t>1.98</w:t>
            </w:r>
          </w:p>
        </w:tc>
        <w:tc>
          <w:tcPr>
            <w:tcW w:w="448" w:type="pct"/>
            <w:tcBorders>
              <w:top w:val="single" w:sz="4" w:space="0" w:color="auto"/>
              <w:left w:val="single" w:sz="4" w:space="0" w:color="auto"/>
              <w:bottom w:val="single" w:sz="4" w:space="0" w:color="auto"/>
              <w:right w:val="single" w:sz="4" w:space="0" w:color="auto"/>
            </w:tcBorders>
            <w:hideMark/>
          </w:tcPr>
          <w:p w:rsidR="006C23A7" w:rsidRPr="006E63D2" w:rsidRDefault="006C23A7" w:rsidP="0059064F">
            <w:pPr>
              <w:bidi/>
              <w:jc w:val="left"/>
              <w:rPr>
                <w:rFonts w:eastAsiaTheme="minorHAnsi"/>
                <w:sz w:val="20"/>
                <w:szCs w:val="20"/>
                <w:lang w:val="en-CA"/>
              </w:rPr>
            </w:pPr>
            <w:r w:rsidRPr="006E63D2">
              <w:rPr>
                <w:rFonts w:eastAsiaTheme="minorHAnsi"/>
                <w:sz w:val="20"/>
                <w:szCs w:val="20"/>
                <w:lang w:val="en-CA"/>
              </w:rPr>
              <w:t>3.66</w:t>
            </w:r>
          </w:p>
        </w:tc>
        <w:tc>
          <w:tcPr>
            <w:tcW w:w="427" w:type="pct"/>
            <w:tcBorders>
              <w:top w:val="single" w:sz="4" w:space="0" w:color="auto"/>
              <w:left w:val="single" w:sz="4" w:space="0" w:color="auto"/>
              <w:bottom w:val="single" w:sz="4" w:space="0" w:color="auto"/>
              <w:right w:val="single" w:sz="4" w:space="0" w:color="auto"/>
            </w:tcBorders>
            <w:noWrap/>
            <w:hideMark/>
          </w:tcPr>
          <w:p w:rsidR="006C23A7" w:rsidRPr="006E63D2" w:rsidRDefault="006C23A7" w:rsidP="0059064F">
            <w:pPr>
              <w:bidi/>
              <w:jc w:val="left"/>
              <w:rPr>
                <w:rFonts w:eastAsiaTheme="minorHAnsi"/>
                <w:sz w:val="20"/>
                <w:szCs w:val="20"/>
                <w:lang w:val="en-CA"/>
              </w:rPr>
            </w:pPr>
            <w:r w:rsidRPr="006E63D2">
              <w:rPr>
                <w:rFonts w:eastAsiaTheme="minorHAnsi"/>
                <w:sz w:val="20"/>
                <w:szCs w:val="20"/>
                <w:lang w:val="en-CA"/>
              </w:rPr>
              <w:t>1.40**</w:t>
            </w:r>
          </w:p>
        </w:tc>
      </w:tr>
    </w:tbl>
    <w:p w:rsidR="00A35956" w:rsidRPr="00A35956" w:rsidRDefault="00A35956" w:rsidP="00A35956">
      <w:pPr>
        <w:bidi/>
        <w:rPr>
          <w:strike/>
          <w:sz w:val="16"/>
          <w:szCs w:val="16"/>
          <w:rtl/>
          <w:lang w:val="en-CA" w:bidi="ar-EG"/>
        </w:rPr>
      </w:pPr>
      <w:r w:rsidRPr="00FA56CA">
        <w:rPr>
          <w:sz w:val="19"/>
          <w:szCs w:val="19"/>
          <w:lang w:val="en-CA"/>
        </w:rPr>
        <w:t>*</w:t>
      </w:r>
      <w:r w:rsidRPr="005A7B73">
        <w:rPr>
          <w:rFonts w:hint="cs"/>
          <w:sz w:val="20"/>
          <w:szCs w:val="20"/>
          <w:rtl/>
          <w:lang w:val="en-CA"/>
        </w:rPr>
        <w:t xml:space="preserve"> </w:t>
      </w:r>
      <w:r>
        <w:rPr>
          <w:rFonts w:hint="cs"/>
          <w:sz w:val="20"/>
          <w:szCs w:val="20"/>
          <w:rtl/>
          <w:lang w:val="en-CA"/>
        </w:rPr>
        <w:t>بيانات البرنامج القطري.</w:t>
      </w:r>
    </w:p>
    <w:p w:rsidR="00530166" w:rsidRPr="004B41C8" w:rsidRDefault="00530166" w:rsidP="001F7B17">
      <w:pPr>
        <w:bidi/>
        <w:rPr>
          <w:sz w:val="18"/>
          <w:szCs w:val="18"/>
          <w:lang w:val="en-CA" w:bidi="ar-EG"/>
        </w:rPr>
      </w:pPr>
      <w:r w:rsidRPr="004B41C8">
        <w:rPr>
          <w:sz w:val="18"/>
          <w:szCs w:val="18"/>
          <w:lang w:val="en-CA"/>
        </w:rPr>
        <w:t>**</w:t>
      </w:r>
      <w:r w:rsidR="001F7B17">
        <w:rPr>
          <w:rFonts w:hint="cs"/>
          <w:sz w:val="18"/>
          <w:szCs w:val="18"/>
          <w:rtl/>
          <w:lang w:val="en-CA" w:bidi="ar-EG"/>
        </w:rPr>
        <w:t xml:space="preserve"> متوسط الاستهلاك بين 2007 و2009.</w:t>
      </w:r>
    </w:p>
    <w:p w:rsidR="00530166" w:rsidRPr="004B41C8" w:rsidRDefault="00530166" w:rsidP="00C80327">
      <w:pPr>
        <w:bidi/>
        <w:rPr>
          <w:lang w:val="en-CA"/>
        </w:rPr>
      </w:pPr>
    </w:p>
    <w:p w:rsidR="001F7B17" w:rsidRPr="005A6016" w:rsidRDefault="001F7B17" w:rsidP="00C80327">
      <w:pPr>
        <w:pStyle w:val="Heading1"/>
        <w:bidi/>
        <w:rPr>
          <w:sz w:val="26"/>
          <w:szCs w:val="26"/>
          <w:lang w:val="en-CA"/>
        </w:rPr>
      </w:pPr>
      <w:r w:rsidRPr="005A6016">
        <w:rPr>
          <w:rFonts w:hint="cs"/>
          <w:sz w:val="26"/>
          <w:szCs w:val="26"/>
          <w:rtl/>
          <w:lang w:val="en-CA" w:bidi="ar-EG"/>
        </w:rPr>
        <w:t>وبصفة عامة انخفض استهلاك الهيدروكلوروفلوروكربون من 2015 الى 2019 وذلك بالدرجة الأولى نتيجة لتنفيذ أنشطة خطة إدارة إزالة المواد الهيدروكلوروفلوروكربونية بما في ذلك عمليات الرقابة على استيراد المواد الهيدروكلوروفلوروكربونية والنهوض بممارسات الخدمة التي اتبعها الفنيون نتيجة للتدريب واعتماد بدائل أجهزة التبريد</w:t>
      </w:r>
      <w:r w:rsidR="00B755D4" w:rsidRPr="005A6016">
        <w:rPr>
          <w:rFonts w:hint="cs"/>
          <w:sz w:val="26"/>
          <w:szCs w:val="26"/>
          <w:rtl/>
          <w:lang w:val="en-CA"/>
        </w:rPr>
        <w:t xml:space="preserve"> وتكييف الهواء.</w:t>
      </w:r>
    </w:p>
    <w:p w:rsidR="00B755D4" w:rsidRPr="005A6016" w:rsidRDefault="00B755D4" w:rsidP="00B755D4">
      <w:pPr>
        <w:pStyle w:val="Heading1"/>
        <w:bidi/>
        <w:rPr>
          <w:sz w:val="26"/>
          <w:szCs w:val="26"/>
          <w:lang w:val="en-CA"/>
        </w:rPr>
      </w:pPr>
      <w:r w:rsidRPr="005A6016">
        <w:rPr>
          <w:rFonts w:hint="cs"/>
          <w:sz w:val="26"/>
          <w:szCs w:val="26"/>
          <w:rtl/>
          <w:lang w:val="en-CA"/>
        </w:rPr>
        <w:t xml:space="preserve">وتعزى الزيادة في استهلاك الهيدروكلوروفلوروكربون-22 في 2019 الى التخزين المؤقت قبل 2020 لمواجهة خفض حصص الاستيراد من </w:t>
      </w:r>
      <w:r w:rsidRPr="005A6016">
        <w:rPr>
          <w:sz w:val="26"/>
          <w:szCs w:val="26"/>
          <w:lang w:val="en-CA"/>
        </w:rPr>
        <w:t>16.1</w:t>
      </w:r>
      <w:r w:rsidRPr="005A6016">
        <w:rPr>
          <w:rFonts w:hint="cs"/>
          <w:sz w:val="26"/>
          <w:szCs w:val="26"/>
          <w:rtl/>
          <w:lang w:val="en-CA"/>
        </w:rPr>
        <w:t xml:space="preserve"> الى </w:t>
      </w:r>
      <w:r w:rsidRPr="005A6016">
        <w:rPr>
          <w:sz w:val="26"/>
          <w:szCs w:val="26"/>
          <w:lang w:val="en-CA"/>
        </w:rPr>
        <w:t>11.7</w:t>
      </w:r>
      <w:r w:rsidRPr="005A6016">
        <w:rPr>
          <w:rFonts w:hint="cs"/>
          <w:sz w:val="26"/>
          <w:szCs w:val="26"/>
          <w:rtl/>
          <w:lang w:val="en-CA"/>
        </w:rPr>
        <w:t xml:space="preserve"> طن بقدرات استنفاد الأوزون وفقا لأهداف خطة إدارة إزالة المواد </w:t>
      </w:r>
      <w:r w:rsidRPr="005A6016">
        <w:rPr>
          <w:rFonts w:hint="cs"/>
          <w:sz w:val="26"/>
          <w:szCs w:val="26"/>
          <w:rtl/>
          <w:lang w:val="en-CA" w:bidi="ar-EG"/>
        </w:rPr>
        <w:t>الهيدروكلوروفلوروكربونية كذلك فإن الزيادة في مخزونات الهيدروكلوروفلوروكربون-123 خلال السنتين الأخيرتين لتلبية الطلب المستقبلي على خدمة أجهزة مكافحة الحرائق.</w:t>
      </w:r>
    </w:p>
    <w:p w:rsidR="00B755D4" w:rsidRPr="005A6016" w:rsidRDefault="005F2070" w:rsidP="0078617D">
      <w:pPr>
        <w:pStyle w:val="Heading1"/>
        <w:bidi/>
        <w:rPr>
          <w:sz w:val="26"/>
          <w:szCs w:val="26"/>
          <w:lang w:val="en-CA"/>
        </w:rPr>
      </w:pPr>
      <w:r w:rsidRPr="005A6016">
        <w:rPr>
          <w:sz w:val="26"/>
          <w:szCs w:val="26"/>
          <w:lang w:val="en-CA"/>
        </w:rPr>
        <w:t>,</w:t>
      </w:r>
      <w:r w:rsidRPr="005A6016">
        <w:rPr>
          <w:rFonts w:hint="cs"/>
          <w:sz w:val="26"/>
          <w:szCs w:val="26"/>
          <w:rtl/>
          <w:lang w:val="en-CA"/>
        </w:rPr>
        <w:t>وترتكز</w:t>
      </w:r>
      <w:r w:rsidR="00B755D4" w:rsidRPr="005A6016">
        <w:rPr>
          <w:rFonts w:hint="cs"/>
          <w:sz w:val="26"/>
          <w:szCs w:val="26"/>
          <w:rtl/>
          <w:lang w:val="en-CA"/>
        </w:rPr>
        <w:t xml:space="preserve">بدائل أجهزة تكييف الهواء المعتمدة على </w:t>
      </w:r>
      <w:r w:rsidR="00B755D4" w:rsidRPr="005A6016">
        <w:rPr>
          <w:rFonts w:hint="cs"/>
          <w:sz w:val="26"/>
          <w:szCs w:val="26"/>
          <w:rtl/>
          <w:lang w:val="en-CA" w:bidi="ar-EG"/>
        </w:rPr>
        <w:t>الهيدروكلوروفلوروكربون-22 المستخدمة في البلد</w:t>
      </w:r>
      <w:r w:rsidR="0078617D" w:rsidRPr="005A6016">
        <w:rPr>
          <w:rFonts w:hint="cs"/>
          <w:sz w:val="26"/>
          <w:szCs w:val="26"/>
          <w:rtl/>
          <w:lang w:val="en-CA" w:bidi="ar-EG"/>
        </w:rPr>
        <w:t>،</w:t>
      </w:r>
      <w:r w:rsidR="00B755D4" w:rsidRPr="005A6016">
        <w:rPr>
          <w:rFonts w:hint="cs"/>
          <w:sz w:val="26"/>
          <w:szCs w:val="26"/>
          <w:rtl/>
          <w:lang w:val="en-CA" w:bidi="ar-EG"/>
        </w:rPr>
        <w:t xml:space="preserve"> بالدرجة الأولى على</w:t>
      </w:r>
      <w:r w:rsidRPr="005A6016">
        <w:rPr>
          <w:rFonts w:hint="cs"/>
          <w:sz w:val="26"/>
          <w:szCs w:val="26"/>
          <w:rtl/>
          <w:lang w:val="en-CA" w:bidi="ar-EG"/>
        </w:rPr>
        <w:t xml:space="preserve"> غازات</w:t>
      </w:r>
      <w:r w:rsidR="00B755D4" w:rsidRPr="005A6016">
        <w:rPr>
          <w:rFonts w:hint="cs"/>
          <w:sz w:val="26"/>
          <w:szCs w:val="26"/>
          <w:rtl/>
          <w:lang w:val="en-CA" w:bidi="ar-EG"/>
        </w:rPr>
        <w:t xml:space="preserve"> تبريد الأمونيا والهيدروفلوروكربون-134أ، و</w:t>
      </w:r>
      <w:r w:rsidR="00B755D4" w:rsidRPr="005A6016">
        <w:rPr>
          <w:sz w:val="26"/>
          <w:szCs w:val="26"/>
          <w:lang w:val="en-CA"/>
        </w:rPr>
        <w:t xml:space="preserve"> R-404A</w:t>
      </w:r>
      <w:r w:rsidR="00B755D4" w:rsidRPr="005A6016">
        <w:rPr>
          <w:rFonts w:hint="cs"/>
          <w:sz w:val="26"/>
          <w:szCs w:val="26"/>
          <w:rtl/>
          <w:lang w:val="en-CA" w:bidi="ar-EG"/>
        </w:rPr>
        <w:t>ألف و</w:t>
      </w:r>
      <w:r w:rsidR="00EE0B2C" w:rsidRPr="005A6016">
        <w:rPr>
          <w:sz w:val="26"/>
          <w:szCs w:val="26"/>
          <w:lang w:val="en-CA"/>
        </w:rPr>
        <w:t xml:space="preserve"> R-410A</w:t>
      </w:r>
      <w:r w:rsidR="00B755D4" w:rsidRPr="005A6016">
        <w:rPr>
          <w:rFonts w:hint="cs"/>
          <w:sz w:val="26"/>
          <w:szCs w:val="26"/>
          <w:rtl/>
          <w:lang w:val="en-CA" w:bidi="ar-EG"/>
        </w:rPr>
        <w:t>ألف</w:t>
      </w:r>
      <w:r w:rsidR="00EE0B2C" w:rsidRPr="005A6016">
        <w:rPr>
          <w:rFonts w:hint="cs"/>
          <w:sz w:val="26"/>
          <w:szCs w:val="26"/>
          <w:rtl/>
          <w:lang w:val="en-CA" w:bidi="ar-EG"/>
        </w:rPr>
        <w:t>.</w:t>
      </w:r>
      <w:r w:rsidR="00B755D4" w:rsidRPr="005A6016">
        <w:rPr>
          <w:rFonts w:hint="cs"/>
          <w:sz w:val="26"/>
          <w:szCs w:val="26"/>
          <w:rtl/>
          <w:lang w:val="en-CA" w:bidi="ar-EG"/>
        </w:rPr>
        <w:t xml:space="preserve"> </w:t>
      </w:r>
      <w:r w:rsidR="00EE0B2C" w:rsidRPr="005A6016">
        <w:rPr>
          <w:rFonts w:hint="cs"/>
          <w:sz w:val="26"/>
          <w:szCs w:val="26"/>
          <w:rtl/>
          <w:lang w:val="en-CA"/>
        </w:rPr>
        <w:t>و</w:t>
      </w:r>
      <w:r w:rsidR="00EE0B2C" w:rsidRPr="005A6016">
        <w:rPr>
          <w:sz w:val="26"/>
          <w:szCs w:val="26"/>
          <w:lang w:val="en-CA"/>
        </w:rPr>
        <w:t xml:space="preserve"> R-290</w:t>
      </w:r>
      <w:r w:rsidR="00EE0B2C" w:rsidRPr="005A6016">
        <w:rPr>
          <w:rFonts w:hint="cs"/>
          <w:sz w:val="26"/>
          <w:szCs w:val="26"/>
          <w:rtl/>
          <w:lang w:val="en-CA"/>
        </w:rPr>
        <w:t xml:space="preserve">المستخدم على كميات صغيرة للغاية في معدات التبريد التجارية المنفصلة. </w:t>
      </w:r>
      <w:r w:rsidR="009C3F95" w:rsidRPr="005A6016">
        <w:rPr>
          <w:rFonts w:hint="cs"/>
          <w:sz w:val="26"/>
          <w:szCs w:val="26"/>
          <w:rtl/>
          <w:lang w:val="en-CA"/>
        </w:rPr>
        <w:t xml:space="preserve">واستخدمت المواد </w:t>
      </w:r>
      <w:r w:rsidR="009C3F95" w:rsidRPr="005A6016">
        <w:rPr>
          <w:rFonts w:hint="cs"/>
          <w:sz w:val="26"/>
          <w:szCs w:val="26"/>
          <w:rtl/>
          <w:lang w:val="en-CA" w:bidi="ar-EG"/>
        </w:rPr>
        <w:lastRenderedPageBreak/>
        <w:t xml:space="preserve">الهيدروكلوروفلوروكربونية المتضمنة في الخلائط ولاسيما </w:t>
      </w:r>
      <w:r w:rsidR="009C3F95" w:rsidRPr="005A6016">
        <w:rPr>
          <w:sz w:val="26"/>
          <w:szCs w:val="26"/>
          <w:lang w:val="en-CA"/>
        </w:rPr>
        <w:t>R-401</w:t>
      </w:r>
      <w:r w:rsidR="009C3F95" w:rsidRPr="005A6016">
        <w:rPr>
          <w:rFonts w:hint="cs"/>
          <w:sz w:val="26"/>
          <w:szCs w:val="26"/>
          <w:rtl/>
          <w:lang w:val="en-CA" w:bidi="ar-EG"/>
        </w:rPr>
        <w:t>ألف</w:t>
      </w:r>
      <w:r w:rsidR="009C3F95" w:rsidRPr="005A6016">
        <w:rPr>
          <w:rFonts w:hint="cs"/>
          <w:sz w:val="26"/>
          <w:szCs w:val="26"/>
          <w:rtl/>
          <w:lang w:val="en-CA"/>
        </w:rPr>
        <w:t xml:space="preserve"> و</w:t>
      </w:r>
      <w:r w:rsidR="009C3F95" w:rsidRPr="005A6016">
        <w:rPr>
          <w:sz w:val="26"/>
          <w:szCs w:val="26"/>
          <w:lang w:val="en-CA"/>
        </w:rPr>
        <w:t>R-406</w:t>
      </w:r>
      <w:r w:rsidR="009C3F95" w:rsidRPr="005A6016">
        <w:rPr>
          <w:rFonts w:hint="cs"/>
          <w:sz w:val="26"/>
          <w:szCs w:val="26"/>
          <w:rtl/>
          <w:lang w:val="en-CA"/>
        </w:rPr>
        <w:t>ألف</w:t>
      </w:r>
      <w:r w:rsidR="009C3F95" w:rsidRPr="005A6016">
        <w:rPr>
          <w:rFonts w:hint="cs"/>
          <w:sz w:val="26"/>
          <w:szCs w:val="26"/>
          <w:rtl/>
          <w:lang w:val="en-CA" w:bidi="ar-EG"/>
        </w:rPr>
        <w:t xml:space="preserve"> و</w:t>
      </w:r>
      <w:r w:rsidR="009C3F95" w:rsidRPr="005A6016">
        <w:rPr>
          <w:sz w:val="26"/>
          <w:szCs w:val="26"/>
          <w:lang w:val="en-CA"/>
        </w:rPr>
        <w:t>R</w:t>
      </w:r>
      <w:r w:rsidR="009C3F95" w:rsidRPr="005A6016">
        <w:rPr>
          <w:sz w:val="26"/>
          <w:szCs w:val="26"/>
          <w:lang w:val="en-CA"/>
        </w:rPr>
        <w:noBreakHyphen/>
        <w:t>409</w:t>
      </w:r>
      <w:r w:rsidR="009C3F95" w:rsidRPr="005A6016">
        <w:rPr>
          <w:rFonts w:hint="cs"/>
          <w:sz w:val="26"/>
          <w:szCs w:val="26"/>
          <w:rtl/>
          <w:lang w:val="en-CA" w:bidi="ar-EG"/>
        </w:rPr>
        <w:t>ألف</w:t>
      </w:r>
      <w:r w:rsidR="009C3F95" w:rsidRPr="005A6016">
        <w:rPr>
          <w:rFonts w:hint="cs"/>
          <w:sz w:val="26"/>
          <w:szCs w:val="26"/>
          <w:rtl/>
          <w:lang w:val="en-CA"/>
        </w:rPr>
        <w:t xml:space="preserve"> و</w:t>
      </w:r>
      <w:r w:rsidR="009C3F95" w:rsidRPr="005A6016">
        <w:rPr>
          <w:sz w:val="26"/>
          <w:szCs w:val="26"/>
          <w:lang w:val="en-CA"/>
        </w:rPr>
        <w:t>R-414</w:t>
      </w:r>
      <w:r w:rsidR="009C3F95" w:rsidRPr="005A6016">
        <w:rPr>
          <w:rFonts w:hint="cs"/>
          <w:sz w:val="26"/>
          <w:szCs w:val="26"/>
          <w:rtl/>
          <w:lang w:val="en-CA"/>
        </w:rPr>
        <w:t>ألف</w:t>
      </w:r>
      <w:r w:rsidR="009C3F95" w:rsidRPr="005A6016">
        <w:rPr>
          <w:rFonts w:hint="cs"/>
          <w:sz w:val="26"/>
          <w:szCs w:val="26"/>
          <w:rtl/>
          <w:lang w:val="en-CA" w:bidi="ar-EG"/>
        </w:rPr>
        <w:t xml:space="preserve"> المستخدمة كمواد لخدمة أجهزة التبريد المنزلية القديمة والنظم التجارية المنفصلة وأجهزة تكييف الهواء المتنقلة التي تستخدم المواد الهيدروكلوروفلوروكربونية (لم تعد خلائط الهيدروكلوروفلوروكربون تستخدم في الوقت الحاضر). وترجع الزيادة الطفيفة في </w:t>
      </w:r>
      <w:r w:rsidRPr="005A6016">
        <w:rPr>
          <w:rFonts w:hint="cs"/>
          <w:sz w:val="26"/>
          <w:szCs w:val="26"/>
          <w:rtl/>
          <w:lang w:val="en-CA" w:bidi="ar-EG"/>
        </w:rPr>
        <w:t>الواردات من</w:t>
      </w:r>
      <w:r w:rsidR="009C3F95" w:rsidRPr="005A6016">
        <w:rPr>
          <w:rFonts w:hint="cs"/>
          <w:sz w:val="26"/>
          <w:szCs w:val="26"/>
          <w:rtl/>
          <w:lang w:val="en-CA" w:bidi="ar-EG"/>
        </w:rPr>
        <w:t xml:space="preserve"> البوليولات السابقة الخلط المتضمنة الهيدروكلوروفلوروكربون-141ب في 2019 الى طلب المنشئات المصنعة لرغاوي العزل الحراري. وسوف يعالج هذا الاستهلاك في المرحلة الثانية من خطة إدارة إزالة المواد الهيدروكلوروفلوروكربونية.</w:t>
      </w:r>
    </w:p>
    <w:p w:rsidR="006C23A7" w:rsidRPr="005A6016" w:rsidRDefault="006C23A7" w:rsidP="006C23A7">
      <w:pPr>
        <w:keepNext/>
        <w:bidi/>
        <w:rPr>
          <w:i/>
          <w:sz w:val="26"/>
          <w:szCs w:val="26"/>
          <w:rtl/>
          <w:lang w:val="en-CA" w:bidi="ar-EG"/>
        </w:rPr>
      </w:pPr>
      <w:r w:rsidRPr="005A6016">
        <w:rPr>
          <w:rFonts w:hint="cs"/>
          <w:iCs/>
          <w:sz w:val="26"/>
          <w:szCs w:val="26"/>
          <w:rtl/>
        </w:rPr>
        <w:t>تقرير تنفيذ البرنامج القطري</w:t>
      </w:r>
    </w:p>
    <w:p w:rsidR="00530166" w:rsidRPr="005A6016" w:rsidRDefault="00530166" w:rsidP="00C80327">
      <w:pPr>
        <w:bidi/>
        <w:rPr>
          <w:sz w:val="26"/>
          <w:szCs w:val="26"/>
          <w:rtl/>
          <w:lang w:val="en-CA" w:bidi="ar-EG"/>
        </w:rPr>
      </w:pPr>
    </w:p>
    <w:p w:rsidR="009C3F95" w:rsidRPr="005A6016" w:rsidRDefault="009C3F95" w:rsidP="00C80327">
      <w:pPr>
        <w:pStyle w:val="Heading1"/>
        <w:bidi/>
        <w:rPr>
          <w:sz w:val="26"/>
          <w:szCs w:val="26"/>
          <w:lang w:val="en-CA"/>
        </w:rPr>
      </w:pPr>
      <w:r w:rsidRPr="005A6016">
        <w:rPr>
          <w:rFonts w:hint="cs"/>
          <w:sz w:val="26"/>
          <w:szCs w:val="26"/>
          <w:rtl/>
          <w:lang w:val="en-CA"/>
        </w:rPr>
        <w:t xml:space="preserve">أبلغت حكومة باراغواي عن بيانات استهلاك قطاع </w:t>
      </w:r>
      <w:r w:rsidRPr="005A6016">
        <w:rPr>
          <w:rFonts w:hint="cs"/>
          <w:sz w:val="26"/>
          <w:szCs w:val="26"/>
          <w:rtl/>
          <w:lang w:val="en-CA" w:bidi="ar-EG"/>
        </w:rPr>
        <w:t xml:space="preserve">الهيدروكلوروفلوروكربون بموجب تقرير تنفيذ البرنامج القطري لعام 2019 الذي يتوافق </w:t>
      </w:r>
      <w:r w:rsidR="00565A8C" w:rsidRPr="005A6016">
        <w:rPr>
          <w:rFonts w:hint="cs"/>
          <w:sz w:val="26"/>
          <w:szCs w:val="26"/>
          <w:rtl/>
          <w:lang w:val="en-CA" w:bidi="ar-EG"/>
        </w:rPr>
        <w:t>مع البيانات المبلغة بموجب المادة 7 من بروتوكول مونتريال.</w:t>
      </w:r>
    </w:p>
    <w:p w:rsidR="006C23A7" w:rsidRPr="005A6016" w:rsidRDefault="00565A8C" w:rsidP="006C23A7">
      <w:pPr>
        <w:bidi/>
        <w:rPr>
          <w:sz w:val="26"/>
          <w:szCs w:val="26"/>
          <w:u w:val="single"/>
          <w:rtl/>
          <w:lang w:val="en-CA" w:bidi="ar-EG"/>
        </w:rPr>
      </w:pPr>
      <w:r w:rsidRPr="005A6016">
        <w:rPr>
          <w:rFonts w:hint="cs"/>
          <w:sz w:val="26"/>
          <w:szCs w:val="26"/>
          <w:u w:val="single"/>
          <w:rtl/>
          <w:lang w:val="en-CA" w:bidi="ar-EG"/>
        </w:rPr>
        <w:t>ال</w:t>
      </w:r>
      <w:r w:rsidR="006C23A7" w:rsidRPr="005A6016">
        <w:rPr>
          <w:rFonts w:hint="cs"/>
          <w:sz w:val="26"/>
          <w:szCs w:val="26"/>
          <w:u w:val="single"/>
          <w:rtl/>
          <w:lang w:val="en-CA" w:bidi="ar-EG"/>
        </w:rPr>
        <w:t xml:space="preserve">تقرير </w:t>
      </w:r>
      <w:r w:rsidRPr="005A6016">
        <w:rPr>
          <w:rFonts w:hint="cs"/>
          <w:sz w:val="26"/>
          <w:szCs w:val="26"/>
          <w:u w:val="single"/>
          <w:rtl/>
          <w:lang w:val="en-CA" w:bidi="ar-EG"/>
        </w:rPr>
        <w:t>ال</w:t>
      </w:r>
      <w:r w:rsidR="006C23A7" w:rsidRPr="005A6016">
        <w:rPr>
          <w:rFonts w:hint="cs"/>
          <w:sz w:val="26"/>
          <w:szCs w:val="26"/>
          <w:u w:val="single"/>
          <w:rtl/>
          <w:lang w:val="en-CA" w:bidi="ar-EG"/>
        </w:rPr>
        <w:t>مرحلي عن تنفيذ الشريحة الثانية من خطة إدارة إزالة المواد الهيدروكلوروفلوروكربونية</w:t>
      </w:r>
    </w:p>
    <w:p w:rsidR="006C23A7" w:rsidRPr="005A6016" w:rsidRDefault="006C23A7" w:rsidP="00C80327">
      <w:pPr>
        <w:bidi/>
        <w:rPr>
          <w:sz w:val="26"/>
          <w:szCs w:val="26"/>
          <w:u w:val="single"/>
          <w:rtl/>
          <w:lang w:val="en-CA" w:bidi="ar-EG"/>
        </w:rPr>
      </w:pPr>
    </w:p>
    <w:p w:rsidR="00530166" w:rsidRPr="005A6016" w:rsidRDefault="006C23A7" w:rsidP="006C23A7">
      <w:pPr>
        <w:bidi/>
        <w:rPr>
          <w:i/>
          <w:sz w:val="26"/>
          <w:szCs w:val="26"/>
          <w:lang w:val="en-CA" w:bidi="ar-EG"/>
        </w:rPr>
      </w:pPr>
      <w:r w:rsidRPr="005A6016">
        <w:rPr>
          <w:rFonts w:hint="cs"/>
          <w:iCs/>
          <w:sz w:val="26"/>
          <w:szCs w:val="26"/>
          <w:rtl/>
        </w:rPr>
        <w:t>الإطار القانوني</w:t>
      </w:r>
    </w:p>
    <w:p w:rsidR="00530166" w:rsidRPr="005A6016" w:rsidRDefault="00530166" w:rsidP="00C80327">
      <w:pPr>
        <w:bidi/>
        <w:rPr>
          <w:sz w:val="26"/>
          <w:szCs w:val="26"/>
          <w:rtl/>
          <w:lang w:val="en-CA" w:bidi="ar-EG"/>
        </w:rPr>
      </w:pPr>
    </w:p>
    <w:p w:rsidR="00EA5A70" w:rsidRPr="005A6016" w:rsidRDefault="00EA5A70" w:rsidP="00C80327">
      <w:pPr>
        <w:pStyle w:val="Heading1"/>
        <w:bidi/>
        <w:rPr>
          <w:sz w:val="26"/>
          <w:szCs w:val="26"/>
          <w:lang w:val="en-CA"/>
        </w:rPr>
      </w:pPr>
      <w:r w:rsidRPr="005A6016">
        <w:rPr>
          <w:rFonts w:hint="cs"/>
          <w:sz w:val="26"/>
          <w:szCs w:val="26"/>
          <w:rtl/>
          <w:lang w:val="en-CA"/>
        </w:rPr>
        <w:t xml:space="preserve">جرى تعديل نظام تراخيص استيراد وتصدير </w:t>
      </w:r>
      <w:r w:rsidRPr="005A6016">
        <w:rPr>
          <w:rFonts w:hint="cs"/>
          <w:sz w:val="26"/>
          <w:szCs w:val="26"/>
          <w:rtl/>
          <w:lang w:val="en-CA" w:bidi="ar-EG"/>
        </w:rPr>
        <w:t xml:space="preserve">الهيدروكلوروفلوروكربون الذي يعمل منذ 2008 للامتثال للاستهلاك الأقصى المسموح به بموجب </w:t>
      </w:r>
      <w:r w:rsidRPr="005A6016">
        <w:rPr>
          <w:rFonts w:hint="cs"/>
          <w:sz w:val="26"/>
          <w:szCs w:val="26"/>
          <w:rtl/>
          <w:lang w:val="en-CA"/>
        </w:rPr>
        <w:t xml:space="preserve">الاتفاق بين حكومة باراغواي واللجنة التنفيذية حيث نظمت أمانة البيئة في باراغواي التي أصبحت وزارة البيئة والتنمية المستدامة إجراءات إصدار تراخيص </w:t>
      </w:r>
      <w:r w:rsidRPr="005A6016">
        <w:rPr>
          <w:rFonts w:hint="cs"/>
          <w:sz w:val="26"/>
          <w:szCs w:val="26"/>
          <w:rtl/>
          <w:lang w:val="en-CA" w:bidi="ar-EG"/>
        </w:rPr>
        <w:t>الهيدروكلوروفلوروكربون وأنشأت نظام تراخيص إلكتروني لإدراج نظام الحصص من المواد الهيدروكلوروفلوروكربون</w:t>
      </w:r>
      <w:r w:rsidRPr="005A6016">
        <w:rPr>
          <w:rFonts w:hint="cs"/>
          <w:sz w:val="26"/>
          <w:szCs w:val="26"/>
          <w:rtl/>
          <w:lang w:val="en-CA"/>
        </w:rPr>
        <w:t xml:space="preserve">ية. ويطبق الحظر على الواردات من أجهزة تكييف الهواء المعتمدة على </w:t>
      </w:r>
      <w:r w:rsidRPr="005A6016">
        <w:rPr>
          <w:rFonts w:hint="cs"/>
          <w:sz w:val="26"/>
          <w:szCs w:val="26"/>
          <w:rtl/>
          <w:lang w:val="en-CA" w:bidi="ar-EG"/>
        </w:rPr>
        <w:t>الهيدروكلوروفلوروكربون منذ 2015. وطبقت أيضا إجراءات توحيد عبوات الهيدروكلوروفلوروكربون-22 والهيدروكلوروفلوروكربون</w:t>
      </w:r>
      <w:r w:rsidRPr="005A6016">
        <w:rPr>
          <w:rFonts w:hint="cs"/>
          <w:sz w:val="26"/>
          <w:szCs w:val="26"/>
          <w:rtl/>
          <w:lang w:val="en-CA"/>
        </w:rPr>
        <w:t>-123. وتتولى الحكومة تحديث تطبيق معايير السلامة في أجهزة تكييف الهواء الآمنة المعتمدة على غازات التبريد القابلة للاشتعال التي يتوقع استكمالها في نهاية عام 2022.</w:t>
      </w:r>
    </w:p>
    <w:p w:rsidR="006C23A7" w:rsidRPr="005A6016" w:rsidRDefault="006C23A7" w:rsidP="006C23A7">
      <w:pPr>
        <w:bidi/>
        <w:rPr>
          <w:i/>
          <w:sz w:val="26"/>
          <w:szCs w:val="26"/>
          <w:rtl/>
          <w:lang w:val="en-CA" w:bidi="ar-EG"/>
        </w:rPr>
      </w:pPr>
      <w:r w:rsidRPr="005A6016">
        <w:rPr>
          <w:rFonts w:hint="cs"/>
          <w:iCs/>
          <w:sz w:val="26"/>
          <w:szCs w:val="26"/>
          <w:rtl/>
          <w:lang w:val="en-CA"/>
        </w:rPr>
        <w:t>قطاع خدمة التبريد</w:t>
      </w:r>
    </w:p>
    <w:p w:rsidR="00530166" w:rsidRPr="005A6016" w:rsidRDefault="00530166" w:rsidP="00C80327">
      <w:pPr>
        <w:bidi/>
        <w:rPr>
          <w:sz w:val="26"/>
          <w:szCs w:val="26"/>
          <w:rtl/>
          <w:lang w:val="en-CA" w:bidi="ar-EG"/>
        </w:rPr>
      </w:pPr>
    </w:p>
    <w:p w:rsidR="006C23A7" w:rsidRPr="005A6016" w:rsidRDefault="00EA5A70" w:rsidP="00EA5A70">
      <w:pPr>
        <w:pStyle w:val="Heading1"/>
        <w:bidi/>
        <w:rPr>
          <w:sz w:val="26"/>
          <w:szCs w:val="26"/>
          <w:lang w:val="en-CA"/>
        </w:rPr>
      </w:pPr>
      <w:r w:rsidRPr="005A6016">
        <w:rPr>
          <w:rFonts w:hint="cs"/>
          <w:sz w:val="26"/>
          <w:szCs w:val="26"/>
          <w:rtl/>
          <w:lang w:val="en-CA"/>
        </w:rPr>
        <w:t>نفذت</w:t>
      </w:r>
      <w:r w:rsidR="00A35956" w:rsidRPr="005A6016">
        <w:rPr>
          <w:rFonts w:hint="cs"/>
          <w:sz w:val="26"/>
          <w:szCs w:val="26"/>
          <w:rtl/>
          <w:lang w:val="en-CA"/>
        </w:rPr>
        <w:t xml:space="preserve"> الأنشطة </w:t>
      </w:r>
      <w:r w:rsidRPr="005A6016">
        <w:rPr>
          <w:rFonts w:hint="cs"/>
          <w:sz w:val="26"/>
          <w:szCs w:val="26"/>
          <w:rtl/>
          <w:lang w:val="en-CA"/>
        </w:rPr>
        <w:t>التالية</w:t>
      </w:r>
      <w:r w:rsidR="006C23A7" w:rsidRPr="005A6016">
        <w:rPr>
          <w:rFonts w:hint="cs"/>
          <w:sz w:val="26"/>
          <w:szCs w:val="26"/>
          <w:rtl/>
          <w:lang w:val="en-CA"/>
        </w:rPr>
        <w:t>:</w:t>
      </w:r>
    </w:p>
    <w:p w:rsidR="0059064F" w:rsidRPr="005A6016" w:rsidRDefault="00EA5A70" w:rsidP="00EB22CC">
      <w:pPr>
        <w:pStyle w:val="Heading2"/>
        <w:numPr>
          <w:ilvl w:val="1"/>
          <w:numId w:val="1"/>
        </w:numPr>
        <w:bidi/>
        <w:rPr>
          <w:sz w:val="26"/>
          <w:szCs w:val="26"/>
          <w:lang w:val="en-CA"/>
        </w:rPr>
      </w:pPr>
      <w:r w:rsidRPr="005A6016">
        <w:rPr>
          <w:rFonts w:hint="cs"/>
          <w:sz w:val="26"/>
          <w:szCs w:val="26"/>
          <w:rtl/>
          <w:lang w:val="en-CA"/>
        </w:rPr>
        <w:t xml:space="preserve">أجريت أربعة وعشرون حلقة عمل لتدريب </w:t>
      </w:r>
      <w:r w:rsidRPr="005A6016">
        <w:rPr>
          <w:sz w:val="26"/>
          <w:szCs w:val="26"/>
          <w:lang w:val="en-CA"/>
        </w:rPr>
        <w:t>587</w:t>
      </w:r>
      <w:r w:rsidRPr="005A6016">
        <w:rPr>
          <w:rFonts w:hint="cs"/>
          <w:sz w:val="26"/>
          <w:szCs w:val="26"/>
          <w:rtl/>
          <w:lang w:val="en-CA"/>
        </w:rPr>
        <w:t xml:space="preserve"> من</w:t>
      </w:r>
      <w:r w:rsidR="00464F50" w:rsidRPr="005A6016">
        <w:rPr>
          <w:rFonts w:hint="cs"/>
          <w:sz w:val="26"/>
          <w:szCs w:val="26"/>
          <w:rtl/>
          <w:lang w:val="en-CA"/>
        </w:rPr>
        <w:t xml:space="preserve"> موظفي الجمارك وموظفي إنفاذ القوانين بما في ذلك 130 سيدة بشأن تنفيذ القواعد الخاصة بالرقابة والرصد عن الواردات من المواد </w:t>
      </w:r>
      <w:r w:rsidR="00D821F7" w:rsidRPr="005A6016">
        <w:rPr>
          <w:rFonts w:hint="cs"/>
          <w:sz w:val="26"/>
          <w:szCs w:val="26"/>
          <w:rtl/>
          <w:lang w:val="en-CA" w:bidi="ar-EG"/>
        </w:rPr>
        <w:t>الهيدروكلوروفلوروكربونية، ومنع التجارة غير القانونية والإجراءات القانونية والإدارية ذات الصلة بالإنفاذ؛</w:t>
      </w:r>
    </w:p>
    <w:p w:rsidR="00D821F7" w:rsidRPr="005A6016" w:rsidRDefault="00D821F7" w:rsidP="00EB22CC">
      <w:pPr>
        <w:pStyle w:val="Heading2"/>
        <w:numPr>
          <w:ilvl w:val="1"/>
          <w:numId w:val="1"/>
        </w:numPr>
        <w:bidi/>
        <w:rPr>
          <w:sz w:val="26"/>
          <w:szCs w:val="26"/>
          <w:lang w:val="en-CA"/>
        </w:rPr>
      </w:pPr>
      <w:r w:rsidRPr="005A6016">
        <w:rPr>
          <w:rFonts w:hint="cs"/>
          <w:sz w:val="26"/>
          <w:szCs w:val="26"/>
          <w:rtl/>
          <w:lang w:val="en-CA"/>
        </w:rPr>
        <w:t>ح</w:t>
      </w:r>
      <w:r w:rsidR="0089216E" w:rsidRPr="005A6016">
        <w:rPr>
          <w:rFonts w:hint="cs"/>
          <w:sz w:val="26"/>
          <w:szCs w:val="26"/>
          <w:rtl/>
          <w:lang w:val="en-CA"/>
        </w:rPr>
        <w:t xml:space="preserve">لقتان </w:t>
      </w:r>
      <w:r w:rsidR="006602C1" w:rsidRPr="005A6016">
        <w:rPr>
          <w:rFonts w:hint="cs"/>
          <w:sz w:val="26"/>
          <w:szCs w:val="26"/>
          <w:rtl/>
          <w:lang w:val="en-CA"/>
        </w:rPr>
        <w:t>لتدريب المدربين لعدد 57 مدربا و25 حلقة عمل لعدد 506 من فنيي الخدمة على ممارسات الخدمة الجيدة والاستخدام الآمن لغازات التبريد القابلة للاشتعال والسامة واعتماد 129 من فنيي الخدمة. ويجري تدريب فنيي الخدمة للاعتماد من خلال مؤسسات التدريب والاعتماد من خلال "المعهد الوطني للتكنولوجيا والتسوية من خلال المترولوجيا" بتقديم التقييم النظري والعملي لفنيي الخدمة؛</w:t>
      </w:r>
    </w:p>
    <w:p w:rsidR="006602C1" w:rsidRPr="005A6016" w:rsidRDefault="006602C1" w:rsidP="00EB22CC">
      <w:pPr>
        <w:pStyle w:val="Heading2"/>
        <w:numPr>
          <w:ilvl w:val="1"/>
          <w:numId w:val="1"/>
        </w:numPr>
        <w:bidi/>
        <w:rPr>
          <w:sz w:val="26"/>
          <w:szCs w:val="26"/>
          <w:lang w:val="en-CA"/>
        </w:rPr>
      </w:pPr>
      <w:r w:rsidRPr="005A6016">
        <w:rPr>
          <w:rFonts w:hint="cs"/>
          <w:sz w:val="26"/>
          <w:szCs w:val="26"/>
          <w:rtl/>
          <w:lang w:val="en-CA"/>
        </w:rPr>
        <w:t xml:space="preserve">بدىء في تنفيذ أنشطة لإقامة مركزين لاسترجاع وإعادة التدوير في "اتحاد تكنولوجيا التبريد في منطقة بارانا العليا" و"رابطة تكنولوجيا التبريد في باراغواي" وقد أنشىء أحد المركزين في 2019 وسيقام الآخر في 2020. وستسلم للمركزين </w:t>
      </w:r>
      <w:r w:rsidR="00317CF3" w:rsidRPr="005A6016">
        <w:rPr>
          <w:rFonts w:hint="cs"/>
          <w:sz w:val="26"/>
          <w:szCs w:val="26"/>
          <w:rtl/>
          <w:lang w:val="en-CA"/>
        </w:rPr>
        <w:t>آلات الاسترجاع وسلندرات الاسترجاع والموازنة الرقمية وصمامات الضغط التي جرى شراؤها؛</w:t>
      </w:r>
    </w:p>
    <w:p w:rsidR="00317CF3" w:rsidRPr="005A6016" w:rsidRDefault="00317CF3" w:rsidP="005A6016">
      <w:pPr>
        <w:pStyle w:val="Heading2"/>
        <w:keepNext/>
        <w:keepLines/>
        <w:numPr>
          <w:ilvl w:val="1"/>
          <w:numId w:val="1"/>
        </w:numPr>
        <w:bidi/>
        <w:rPr>
          <w:sz w:val="26"/>
          <w:szCs w:val="26"/>
          <w:lang w:val="en-CA"/>
        </w:rPr>
      </w:pPr>
      <w:r w:rsidRPr="005A6016">
        <w:rPr>
          <w:rFonts w:hint="cs"/>
          <w:sz w:val="26"/>
          <w:szCs w:val="26"/>
          <w:rtl/>
          <w:lang w:val="en-CA"/>
        </w:rPr>
        <w:lastRenderedPageBreak/>
        <w:t xml:space="preserve">وقدمت الأجهزة والأدوات (مثل </w:t>
      </w:r>
      <w:r w:rsidR="005F2070" w:rsidRPr="005A6016">
        <w:rPr>
          <w:rFonts w:hint="cs"/>
          <w:sz w:val="26"/>
          <w:szCs w:val="26"/>
          <w:rtl/>
          <w:lang w:val="en-CA"/>
        </w:rPr>
        <w:t xml:space="preserve">المقاييس </w:t>
      </w:r>
      <w:r w:rsidRPr="005A6016">
        <w:rPr>
          <w:rFonts w:hint="cs"/>
          <w:sz w:val="26"/>
          <w:szCs w:val="26"/>
          <w:rtl/>
          <w:lang w:val="en-CA"/>
        </w:rPr>
        <w:t xml:space="preserve"> </w:t>
      </w:r>
      <w:r w:rsidR="0078617D" w:rsidRPr="005A6016">
        <w:rPr>
          <w:rFonts w:hint="cs"/>
          <w:sz w:val="26"/>
          <w:szCs w:val="26"/>
          <w:rtl/>
          <w:lang w:val="en-CA"/>
        </w:rPr>
        <w:t>الهوائية</w:t>
      </w:r>
      <w:r w:rsidRPr="005A6016">
        <w:rPr>
          <w:rFonts w:hint="cs"/>
          <w:sz w:val="26"/>
          <w:szCs w:val="26"/>
          <w:rtl/>
          <w:lang w:val="en-CA"/>
        </w:rPr>
        <w:t xml:space="preserve"> الرقمية ومعدات الوقاية للخدمة وسلندرات التبريد لثمانية مراكز تدريب تقني و506 فنيا للتدريب الجاري واعتماد ممارسات الخدمة الجيدة للمعدات المعتمدة على </w:t>
      </w:r>
      <w:r w:rsidRPr="005A6016">
        <w:rPr>
          <w:rFonts w:hint="cs"/>
          <w:sz w:val="26"/>
          <w:szCs w:val="26"/>
          <w:rtl/>
          <w:lang w:val="en-CA" w:bidi="ar-EG"/>
        </w:rPr>
        <w:t>الهيدروكلوروفلوروكربون؛</w:t>
      </w:r>
    </w:p>
    <w:p w:rsidR="00317CF3" w:rsidRPr="005A6016" w:rsidRDefault="00317CF3" w:rsidP="00EB22CC">
      <w:pPr>
        <w:pStyle w:val="Heading2"/>
        <w:numPr>
          <w:ilvl w:val="1"/>
          <w:numId w:val="1"/>
        </w:numPr>
        <w:bidi/>
        <w:rPr>
          <w:sz w:val="26"/>
          <w:szCs w:val="26"/>
          <w:lang w:val="en-CA"/>
        </w:rPr>
      </w:pPr>
      <w:r w:rsidRPr="005A6016">
        <w:rPr>
          <w:rFonts w:hint="cs"/>
          <w:sz w:val="26"/>
          <w:szCs w:val="26"/>
          <w:rtl/>
          <w:lang w:val="en-CA"/>
        </w:rPr>
        <w:t xml:space="preserve">ونفذت أنشطة توعية وإرشاد لنشر الأعمال ذات الصلة بإزالة </w:t>
      </w:r>
      <w:r w:rsidRPr="005A6016">
        <w:rPr>
          <w:rFonts w:hint="cs"/>
          <w:sz w:val="26"/>
          <w:szCs w:val="26"/>
          <w:rtl/>
          <w:lang w:val="en-CA" w:bidi="ar-EG"/>
        </w:rPr>
        <w:t>الهيدروكلوروفلوروكربون، وتشجيع المستخدمين على تطبيق أجهزة تكييف الهواء المعتمدة على غازات التبريد الخالية من الهيدروكلوروفلوروكربون والمنخفضة القدرة على الاحترار العالمي وتوفير الاعتراف لعدد تسع منظمات تروج بنشاط لتطبيق البدائل المنخفضة القدرة على الاحترار العالمي عن المواد الهيدروكلوروفلوروكربونية وتنفيذ ممارسات الخدمة الجيدة.</w:t>
      </w:r>
    </w:p>
    <w:p w:rsidR="006C23A7" w:rsidRPr="005A6016" w:rsidRDefault="006C23A7" w:rsidP="00F545FE">
      <w:pPr>
        <w:keepNext/>
        <w:bidi/>
        <w:rPr>
          <w:i/>
          <w:sz w:val="26"/>
          <w:szCs w:val="26"/>
          <w:rtl/>
          <w:lang w:val="en-CA" w:bidi="ar-EG"/>
        </w:rPr>
      </w:pPr>
      <w:r w:rsidRPr="005A6016">
        <w:rPr>
          <w:rFonts w:hint="cs"/>
          <w:iCs/>
          <w:sz w:val="26"/>
          <w:szCs w:val="26"/>
          <w:rtl/>
          <w:lang w:val="en-CA"/>
        </w:rPr>
        <w:t xml:space="preserve">تنفيذ </w:t>
      </w:r>
      <w:r w:rsidR="00F545FE" w:rsidRPr="005A6016">
        <w:rPr>
          <w:rFonts w:hint="cs"/>
          <w:iCs/>
          <w:sz w:val="26"/>
          <w:szCs w:val="26"/>
          <w:rtl/>
          <w:lang w:val="en-CA"/>
        </w:rPr>
        <w:t xml:space="preserve">المشروع </w:t>
      </w:r>
      <w:r w:rsidRPr="005A6016">
        <w:rPr>
          <w:rFonts w:hint="cs"/>
          <w:iCs/>
          <w:sz w:val="26"/>
          <w:szCs w:val="26"/>
          <w:rtl/>
          <w:lang w:val="en-CA"/>
        </w:rPr>
        <w:t>ورصد</w:t>
      </w:r>
      <w:r w:rsidR="00F545FE" w:rsidRPr="005A6016">
        <w:rPr>
          <w:rFonts w:hint="cs"/>
          <w:iCs/>
          <w:sz w:val="26"/>
          <w:szCs w:val="26"/>
          <w:rtl/>
          <w:lang w:val="en-CA"/>
        </w:rPr>
        <w:t>ه</w:t>
      </w:r>
      <w:r w:rsidRPr="005A6016">
        <w:rPr>
          <w:rFonts w:hint="cs"/>
          <w:iCs/>
          <w:sz w:val="26"/>
          <w:szCs w:val="26"/>
          <w:rtl/>
          <w:lang w:val="en-CA"/>
        </w:rPr>
        <w:t xml:space="preserve"> </w:t>
      </w:r>
    </w:p>
    <w:p w:rsidR="00530166" w:rsidRPr="005A6016" w:rsidRDefault="00530166" w:rsidP="00C80327">
      <w:pPr>
        <w:keepNext/>
        <w:bidi/>
        <w:rPr>
          <w:sz w:val="26"/>
          <w:szCs w:val="26"/>
          <w:rtl/>
          <w:lang w:val="en-CA" w:bidi="ar-EG"/>
        </w:rPr>
      </w:pPr>
    </w:p>
    <w:p w:rsidR="00F545FE" w:rsidRPr="005A6016" w:rsidRDefault="00F545FE" w:rsidP="00C80327">
      <w:pPr>
        <w:pStyle w:val="Heading1"/>
        <w:keepNext/>
        <w:bidi/>
        <w:rPr>
          <w:sz w:val="26"/>
          <w:szCs w:val="26"/>
          <w:lang w:val="en-CA"/>
        </w:rPr>
      </w:pPr>
      <w:r w:rsidRPr="005A6016">
        <w:rPr>
          <w:rFonts w:hint="cs"/>
          <w:sz w:val="26"/>
          <w:szCs w:val="26"/>
          <w:rtl/>
          <w:lang w:val="en-CA"/>
        </w:rPr>
        <w:t xml:space="preserve">يعمل رئيس إدارة الأوزون منسقا للمشروع من بروتوكول مونتريال، ويتولى </w:t>
      </w:r>
      <w:r w:rsidRPr="005A6016">
        <w:rPr>
          <w:rFonts w:hint="cs"/>
          <w:i/>
          <w:iCs/>
          <w:sz w:val="26"/>
          <w:szCs w:val="26"/>
          <w:rtl/>
          <w:lang w:val="en-CA"/>
        </w:rPr>
        <w:t>ضمن جملة أمور</w:t>
      </w:r>
      <w:r w:rsidRPr="005A6016">
        <w:rPr>
          <w:rFonts w:hint="cs"/>
          <w:sz w:val="26"/>
          <w:szCs w:val="26"/>
          <w:rtl/>
          <w:lang w:val="en-CA"/>
        </w:rPr>
        <w:t xml:space="preserve"> مسؤولية تنفيذ أنشطة خطة إدارة إزالة المواد </w:t>
      </w:r>
      <w:r w:rsidRPr="005A6016">
        <w:rPr>
          <w:rFonts w:hint="cs"/>
          <w:sz w:val="26"/>
          <w:szCs w:val="26"/>
          <w:rtl/>
          <w:lang w:val="en-CA" w:bidi="ar-EG"/>
        </w:rPr>
        <w:t xml:space="preserve">الهيدروكلوروفلوروكربونية. وعلاوة على ذلك يقدم مستشار قانوني ومستشار فني متفرغ تقديم الدعم لإدارة الأنشطة ذات الصلة بخطة إدارة إزالة الهيدروكلوروفلوروكربون وتم حتى أغسطس/آب 2020 إنفاق مما مجموعه </w:t>
      </w:r>
      <w:r w:rsidRPr="005A6016">
        <w:rPr>
          <w:sz w:val="26"/>
          <w:szCs w:val="26"/>
          <w:lang w:val="en-CA"/>
        </w:rPr>
        <w:t>126,000</w:t>
      </w:r>
      <w:r w:rsidRPr="005A6016">
        <w:rPr>
          <w:rFonts w:hint="cs"/>
          <w:sz w:val="26"/>
          <w:szCs w:val="26"/>
          <w:rtl/>
          <w:lang w:val="en-CA" w:bidi="ar-EG"/>
        </w:rPr>
        <w:t xml:space="preserve"> دولار</w:t>
      </w:r>
      <w:r w:rsidR="008A71DE" w:rsidRPr="005A6016">
        <w:rPr>
          <w:rFonts w:hint="cs"/>
          <w:sz w:val="26"/>
          <w:szCs w:val="26"/>
          <w:rtl/>
          <w:lang w:val="en-CA"/>
        </w:rPr>
        <w:t xml:space="preserve"> أمريكي موافق عليها بمبلغ </w:t>
      </w:r>
      <w:r w:rsidR="008A71DE" w:rsidRPr="005A6016">
        <w:rPr>
          <w:sz w:val="26"/>
          <w:szCs w:val="26"/>
          <w:lang w:val="en-CA"/>
        </w:rPr>
        <w:t>90,350</w:t>
      </w:r>
      <w:r w:rsidR="008A71DE" w:rsidRPr="005A6016">
        <w:rPr>
          <w:rFonts w:hint="cs"/>
          <w:sz w:val="26"/>
          <w:szCs w:val="26"/>
          <w:rtl/>
          <w:lang w:val="en-CA"/>
        </w:rPr>
        <w:t xml:space="preserve"> دولارا أمريكيا للموظفين والمستشارين (</w:t>
      </w:r>
      <w:r w:rsidR="008A71DE" w:rsidRPr="005A6016">
        <w:rPr>
          <w:sz w:val="26"/>
          <w:szCs w:val="26"/>
          <w:lang w:val="en-CA"/>
        </w:rPr>
        <w:t>75,850</w:t>
      </w:r>
      <w:r w:rsidR="008A71DE" w:rsidRPr="005A6016">
        <w:rPr>
          <w:rFonts w:hint="cs"/>
          <w:sz w:val="26"/>
          <w:szCs w:val="26"/>
          <w:rtl/>
          <w:lang w:val="en-CA"/>
        </w:rPr>
        <w:t xml:space="preserve"> دولارا أمريكيا) وحلقات العمل والاجتماعات (</w:t>
      </w:r>
      <w:r w:rsidR="008A71DE" w:rsidRPr="005A6016">
        <w:rPr>
          <w:sz w:val="26"/>
          <w:szCs w:val="26"/>
          <w:lang w:val="en-CA"/>
        </w:rPr>
        <w:t>4,550</w:t>
      </w:r>
      <w:r w:rsidR="008A71DE" w:rsidRPr="005A6016">
        <w:rPr>
          <w:rFonts w:hint="cs"/>
          <w:sz w:val="26"/>
          <w:szCs w:val="26"/>
          <w:rtl/>
          <w:lang w:val="en-CA"/>
        </w:rPr>
        <w:t xml:space="preserve"> دولار</w:t>
      </w:r>
      <w:r w:rsidR="008A71DE" w:rsidRPr="005A6016">
        <w:rPr>
          <w:rFonts w:hint="cs"/>
          <w:sz w:val="26"/>
          <w:szCs w:val="26"/>
          <w:rtl/>
          <w:lang w:val="en-CA" w:bidi="ar-EG"/>
        </w:rPr>
        <w:t>ا</w:t>
      </w:r>
      <w:r w:rsidR="008A71DE" w:rsidRPr="005A6016">
        <w:rPr>
          <w:rFonts w:hint="cs"/>
          <w:sz w:val="26"/>
          <w:szCs w:val="26"/>
          <w:rtl/>
          <w:lang w:val="en-CA"/>
        </w:rPr>
        <w:t xml:space="preserve"> أمريكيا) والسفريات وغير ذلك من العمليات (</w:t>
      </w:r>
      <w:r w:rsidR="008A71DE" w:rsidRPr="005A6016">
        <w:rPr>
          <w:sz w:val="26"/>
          <w:szCs w:val="26"/>
          <w:lang w:val="en-CA"/>
        </w:rPr>
        <w:t>9,950</w:t>
      </w:r>
      <w:r w:rsidR="008A71DE" w:rsidRPr="005A6016">
        <w:rPr>
          <w:rFonts w:hint="cs"/>
          <w:sz w:val="26"/>
          <w:szCs w:val="26"/>
          <w:rtl/>
          <w:lang w:val="en-CA"/>
        </w:rPr>
        <w:t xml:space="preserve"> دولارا أمريكيا).</w:t>
      </w:r>
    </w:p>
    <w:p w:rsidR="006C23A7" w:rsidRPr="005A6016" w:rsidRDefault="006C23A7" w:rsidP="00C80327">
      <w:pPr>
        <w:keepNext/>
        <w:bidi/>
        <w:rPr>
          <w:sz w:val="26"/>
          <w:szCs w:val="26"/>
          <w:u w:val="single"/>
          <w:rtl/>
          <w:lang w:val="en-CA" w:bidi="ar-EG"/>
        </w:rPr>
      </w:pPr>
      <w:r w:rsidRPr="005A6016">
        <w:rPr>
          <w:rFonts w:hint="cs"/>
          <w:sz w:val="26"/>
          <w:szCs w:val="26"/>
          <w:u w:val="single"/>
          <w:rtl/>
          <w:lang w:val="en-CA"/>
        </w:rPr>
        <w:t>مستوى صرف الأموال</w:t>
      </w:r>
    </w:p>
    <w:p w:rsidR="00530166" w:rsidRPr="005A6016" w:rsidRDefault="00530166" w:rsidP="00C80327">
      <w:pPr>
        <w:keepNext/>
        <w:bidi/>
        <w:rPr>
          <w:sz w:val="26"/>
          <w:szCs w:val="26"/>
          <w:rtl/>
          <w:lang w:val="en-CA" w:bidi="ar-EG"/>
        </w:rPr>
      </w:pPr>
    </w:p>
    <w:p w:rsidR="00BE3A37" w:rsidRPr="005A6016" w:rsidRDefault="008A71DE" w:rsidP="00C80327">
      <w:pPr>
        <w:pStyle w:val="Heading1"/>
        <w:keepNext/>
        <w:bidi/>
        <w:rPr>
          <w:sz w:val="26"/>
          <w:szCs w:val="26"/>
          <w:lang w:val="en-CA"/>
        </w:rPr>
      </w:pPr>
      <w:r w:rsidRPr="005A6016">
        <w:rPr>
          <w:rFonts w:hint="cs"/>
          <w:sz w:val="26"/>
          <w:szCs w:val="26"/>
          <w:rtl/>
          <w:lang w:val="en-CA"/>
        </w:rPr>
        <w:t xml:space="preserve">تم حتى أغسطس/آب 2020 توزيع من المبلغ الموافق عليه البالغ </w:t>
      </w:r>
      <w:r w:rsidR="00BE3A37" w:rsidRPr="005A6016">
        <w:rPr>
          <w:rFonts w:hint="cs"/>
          <w:sz w:val="26"/>
          <w:szCs w:val="26"/>
          <w:rtl/>
          <w:lang w:val="en-CA"/>
        </w:rPr>
        <w:t xml:space="preserve"> </w:t>
      </w:r>
      <w:r w:rsidR="00BE3A37" w:rsidRPr="005A6016">
        <w:rPr>
          <w:sz w:val="26"/>
          <w:szCs w:val="26"/>
          <w:lang w:val="en-CA"/>
        </w:rPr>
        <w:t>567,000</w:t>
      </w:r>
      <w:r w:rsidR="00BE3A37" w:rsidRPr="005A6016">
        <w:rPr>
          <w:rFonts w:hint="cs"/>
          <w:sz w:val="26"/>
          <w:szCs w:val="26"/>
          <w:rtl/>
          <w:lang w:val="en-CA"/>
        </w:rPr>
        <w:t xml:space="preserve"> دولار</w:t>
      </w:r>
      <w:r w:rsidRPr="005A6016">
        <w:rPr>
          <w:rFonts w:hint="cs"/>
          <w:sz w:val="26"/>
          <w:szCs w:val="26"/>
          <w:rtl/>
          <w:lang w:val="en-CA"/>
        </w:rPr>
        <w:t>ا</w:t>
      </w:r>
      <w:r w:rsidR="00BE3A37" w:rsidRPr="005A6016">
        <w:rPr>
          <w:rFonts w:hint="cs"/>
          <w:sz w:val="26"/>
          <w:szCs w:val="26"/>
          <w:rtl/>
          <w:lang w:val="en-CA"/>
        </w:rPr>
        <w:t xml:space="preserve"> أمريكي</w:t>
      </w:r>
      <w:r w:rsidRPr="005A6016">
        <w:rPr>
          <w:rFonts w:hint="cs"/>
          <w:sz w:val="26"/>
          <w:szCs w:val="26"/>
          <w:rtl/>
          <w:lang w:val="en-CA"/>
        </w:rPr>
        <w:t>ا حتى الآن</w:t>
      </w:r>
      <w:r w:rsidR="00BE3A37" w:rsidRPr="005A6016">
        <w:rPr>
          <w:rFonts w:hint="cs"/>
          <w:sz w:val="26"/>
          <w:szCs w:val="26"/>
          <w:rtl/>
          <w:lang w:val="en-CA"/>
        </w:rPr>
        <w:t>،</w:t>
      </w:r>
      <w:r w:rsidRPr="005A6016">
        <w:rPr>
          <w:rFonts w:hint="cs"/>
          <w:sz w:val="26"/>
          <w:szCs w:val="26"/>
          <w:rtl/>
          <w:lang w:val="en-CA"/>
        </w:rPr>
        <w:t xml:space="preserve"> مبلغ</w:t>
      </w:r>
      <w:r w:rsidR="00BE3A37" w:rsidRPr="005A6016">
        <w:rPr>
          <w:rFonts w:hint="cs"/>
          <w:sz w:val="26"/>
          <w:szCs w:val="26"/>
          <w:rtl/>
          <w:lang w:val="en-CA"/>
        </w:rPr>
        <w:t xml:space="preserve"> </w:t>
      </w:r>
      <w:r w:rsidR="00BE3A37" w:rsidRPr="005A6016">
        <w:rPr>
          <w:sz w:val="26"/>
          <w:szCs w:val="26"/>
          <w:lang w:val="en-CA"/>
        </w:rPr>
        <w:t>523,025</w:t>
      </w:r>
      <w:r w:rsidR="00BE3A37" w:rsidRPr="005A6016">
        <w:rPr>
          <w:rFonts w:hint="cs"/>
          <w:sz w:val="26"/>
          <w:szCs w:val="26"/>
          <w:rtl/>
          <w:lang w:val="en-CA"/>
        </w:rPr>
        <w:t xml:space="preserve"> دولار</w:t>
      </w:r>
      <w:r w:rsidRPr="005A6016">
        <w:rPr>
          <w:rFonts w:hint="cs"/>
          <w:sz w:val="26"/>
          <w:szCs w:val="26"/>
          <w:rtl/>
          <w:lang w:val="en-CA"/>
        </w:rPr>
        <w:t>ا</w:t>
      </w:r>
      <w:r w:rsidR="00BE3A37" w:rsidRPr="005A6016">
        <w:rPr>
          <w:rFonts w:hint="cs"/>
          <w:sz w:val="26"/>
          <w:szCs w:val="26"/>
          <w:rtl/>
          <w:lang w:val="en-CA"/>
        </w:rPr>
        <w:t xml:space="preserve"> أمريكي</w:t>
      </w:r>
      <w:r w:rsidRPr="005A6016">
        <w:rPr>
          <w:rFonts w:hint="cs"/>
          <w:sz w:val="26"/>
          <w:szCs w:val="26"/>
          <w:rtl/>
          <w:lang w:val="en-CA"/>
        </w:rPr>
        <w:t>ا</w:t>
      </w:r>
      <w:r w:rsidR="00BE3A37" w:rsidRPr="005A6016">
        <w:rPr>
          <w:rFonts w:hint="cs"/>
          <w:sz w:val="26"/>
          <w:szCs w:val="26"/>
          <w:rtl/>
          <w:lang w:val="en-CA"/>
        </w:rPr>
        <w:t xml:space="preserve"> (</w:t>
      </w:r>
      <w:r w:rsidR="00BE3A37" w:rsidRPr="005A6016">
        <w:rPr>
          <w:sz w:val="26"/>
          <w:szCs w:val="26"/>
          <w:lang w:val="en-CA"/>
        </w:rPr>
        <w:t>223,025</w:t>
      </w:r>
      <w:r w:rsidR="00BE3A37" w:rsidRPr="005A6016">
        <w:rPr>
          <w:rFonts w:hint="cs"/>
          <w:sz w:val="26"/>
          <w:szCs w:val="26"/>
          <w:rtl/>
          <w:lang w:val="en-CA"/>
        </w:rPr>
        <w:t xml:space="preserve"> دولار</w:t>
      </w:r>
      <w:r w:rsidRPr="005A6016">
        <w:rPr>
          <w:rFonts w:hint="cs"/>
          <w:sz w:val="26"/>
          <w:szCs w:val="26"/>
          <w:rtl/>
          <w:lang w:val="en-CA"/>
        </w:rPr>
        <w:t>ا</w:t>
      </w:r>
      <w:r w:rsidR="00BE3A37" w:rsidRPr="005A6016">
        <w:rPr>
          <w:rFonts w:hint="cs"/>
          <w:sz w:val="26"/>
          <w:szCs w:val="26"/>
          <w:rtl/>
          <w:lang w:val="en-CA"/>
        </w:rPr>
        <w:t xml:space="preserve"> أمريكي</w:t>
      </w:r>
      <w:r w:rsidRPr="005A6016">
        <w:rPr>
          <w:rFonts w:hint="cs"/>
          <w:sz w:val="26"/>
          <w:szCs w:val="26"/>
          <w:rtl/>
          <w:lang w:val="en-CA"/>
        </w:rPr>
        <w:t>ا لليونيب</w:t>
      </w:r>
      <w:r w:rsidR="00BE3A37" w:rsidRPr="005A6016">
        <w:rPr>
          <w:rFonts w:hint="cs"/>
          <w:sz w:val="26"/>
          <w:szCs w:val="26"/>
          <w:rtl/>
          <w:lang w:val="en-CA"/>
        </w:rPr>
        <w:t xml:space="preserve"> و</w:t>
      </w:r>
      <w:r w:rsidRPr="005A6016">
        <w:rPr>
          <w:rFonts w:hint="cs"/>
          <w:sz w:val="26"/>
          <w:szCs w:val="26"/>
          <w:rtl/>
          <w:lang w:val="en-CA"/>
        </w:rPr>
        <w:t xml:space="preserve">مبلغ </w:t>
      </w:r>
      <w:r w:rsidR="00BE3A37" w:rsidRPr="005A6016">
        <w:rPr>
          <w:sz w:val="26"/>
          <w:szCs w:val="26"/>
          <w:lang w:val="en-CA"/>
        </w:rPr>
        <w:t>300,000</w:t>
      </w:r>
      <w:r w:rsidR="00BE3A37" w:rsidRPr="005A6016">
        <w:rPr>
          <w:rFonts w:hint="cs"/>
          <w:sz w:val="26"/>
          <w:szCs w:val="26"/>
          <w:rtl/>
          <w:lang w:val="en-CA"/>
        </w:rPr>
        <w:t xml:space="preserve"> دولار أمريكي</w:t>
      </w:r>
      <w:r w:rsidRPr="005A6016">
        <w:rPr>
          <w:rFonts w:hint="cs"/>
          <w:sz w:val="26"/>
          <w:szCs w:val="26"/>
          <w:rtl/>
          <w:lang w:val="en-CA"/>
        </w:rPr>
        <w:t xml:space="preserve"> لليوئنديبي</w:t>
      </w:r>
      <w:r w:rsidR="00BE3A37" w:rsidRPr="005A6016">
        <w:rPr>
          <w:rFonts w:hint="cs"/>
          <w:sz w:val="26"/>
          <w:szCs w:val="26"/>
          <w:rtl/>
          <w:lang w:val="en-CA"/>
        </w:rPr>
        <w:t>)</w:t>
      </w:r>
      <w:r w:rsidRPr="005A6016">
        <w:rPr>
          <w:rFonts w:hint="cs"/>
          <w:sz w:val="26"/>
          <w:szCs w:val="26"/>
          <w:rtl/>
          <w:lang w:val="en-CA"/>
        </w:rPr>
        <w:t xml:space="preserve"> على النحو المبين في الجدول 2. وسيوزع الرصيد المتبقي البالغ</w:t>
      </w:r>
      <w:r w:rsidR="00BE3A37" w:rsidRPr="005A6016">
        <w:rPr>
          <w:rFonts w:hint="cs"/>
          <w:sz w:val="26"/>
          <w:szCs w:val="26"/>
          <w:rtl/>
          <w:lang w:val="en-CA"/>
        </w:rPr>
        <w:t xml:space="preserve"> </w:t>
      </w:r>
      <w:r w:rsidR="00BE3A37" w:rsidRPr="005A6016">
        <w:rPr>
          <w:sz w:val="26"/>
          <w:szCs w:val="26"/>
          <w:lang w:val="en-CA"/>
        </w:rPr>
        <w:t>43,975</w:t>
      </w:r>
      <w:r w:rsidR="00BE3A37" w:rsidRPr="005A6016">
        <w:rPr>
          <w:rFonts w:hint="cs"/>
          <w:sz w:val="26"/>
          <w:szCs w:val="26"/>
          <w:rtl/>
          <w:lang w:val="en-CA"/>
        </w:rPr>
        <w:t xml:space="preserve"> دولار أمريكي</w:t>
      </w:r>
      <w:r w:rsidRPr="005A6016">
        <w:rPr>
          <w:rFonts w:hint="cs"/>
          <w:sz w:val="26"/>
          <w:szCs w:val="26"/>
          <w:rtl/>
          <w:lang w:val="en-CA"/>
        </w:rPr>
        <w:t xml:space="preserve"> خلال 2020 و2021.</w:t>
      </w:r>
    </w:p>
    <w:p w:rsidR="00530166" w:rsidRPr="004B41C8" w:rsidRDefault="008A71DE" w:rsidP="00BE3A37">
      <w:pPr>
        <w:keepNext/>
        <w:bidi/>
        <w:rPr>
          <w:b/>
          <w:rtl/>
          <w:lang w:val="en-CA"/>
        </w:rPr>
      </w:pPr>
      <w:r>
        <w:rPr>
          <w:rFonts w:hint="cs"/>
          <w:bCs/>
          <w:rtl/>
          <w:lang w:val="en-CA"/>
        </w:rPr>
        <w:t>الجدول 2: التقرير المالي ل</w:t>
      </w:r>
      <w:r w:rsidR="006C23A7">
        <w:rPr>
          <w:rFonts w:hint="cs"/>
          <w:bCs/>
          <w:rtl/>
          <w:lang w:val="en-CA"/>
        </w:rPr>
        <w:t>لمرحلة الأولى من خطة إدارة إزالة المواد الهيدروكلوروفلوروكربونية لباراغواي (بالدولار الأمريكي)</w:t>
      </w:r>
    </w:p>
    <w:tbl>
      <w:tblPr>
        <w:tblStyle w:val="TableGrid"/>
        <w:bidiVisual/>
        <w:tblW w:w="9379" w:type="dxa"/>
        <w:tblLook w:val="04A0" w:firstRow="1" w:lastRow="0" w:firstColumn="1" w:lastColumn="0" w:noHBand="0" w:noVBand="1"/>
      </w:tblPr>
      <w:tblGrid>
        <w:gridCol w:w="2335"/>
        <w:gridCol w:w="1174"/>
        <w:gridCol w:w="1174"/>
        <w:gridCol w:w="1174"/>
        <w:gridCol w:w="1174"/>
        <w:gridCol w:w="1174"/>
        <w:gridCol w:w="1174"/>
      </w:tblGrid>
      <w:tr w:rsidR="006C23A7" w:rsidRPr="004B41C8" w:rsidTr="006C23A7">
        <w:tc>
          <w:tcPr>
            <w:tcW w:w="2335" w:type="dxa"/>
            <w:vMerge w:val="restart"/>
            <w:hideMark/>
          </w:tcPr>
          <w:p w:rsidR="006C23A7" w:rsidRPr="00A35956" w:rsidRDefault="00A35956" w:rsidP="00A35956">
            <w:pPr>
              <w:keepNext/>
              <w:bidi/>
              <w:jc w:val="center"/>
              <w:rPr>
                <w:bCs/>
                <w:sz w:val="20"/>
                <w:szCs w:val="20"/>
                <w:lang w:val="en-CA"/>
              </w:rPr>
            </w:pPr>
            <w:r w:rsidRPr="00A35956">
              <w:rPr>
                <w:rFonts w:hint="cs"/>
                <w:bCs/>
                <w:sz w:val="20"/>
                <w:szCs w:val="20"/>
                <w:rtl/>
                <w:lang w:val="en-CA"/>
              </w:rPr>
              <w:t>الوكالة</w:t>
            </w:r>
          </w:p>
        </w:tc>
        <w:tc>
          <w:tcPr>
            <w:tcW w:w="2348" w:type="dxa"/>
            <w:gridSpan w:val="2"/>
            <w:hideMark/>
          </w:tcPr>
          <w:p w:rsidR="006C23A7" w:rsidRPr="004B41C8" w:rsidRDefault="006C23A7" w:rsidP="00C80327">
            <w:pPr>
              <w:keepNext/>
              <w:bidi/>
              <w:jc w:val="center"/>
              <w:rPr>
                <w:b/>
                <w:sz w:val="20"/>
                <w:szCs w:val="20"/>
                <w:lang w:val="en-CA"/>
              </w:rPr>
            </w:pPr>
            <w:r w:rsidRPr="00684E4F">
              <w:rPr>
                <w:rFonts w:hint="cs"/>
                <w:bCs/>
                <w:sz w:val="20"/>
                <w:szCs w:val="20"/>
                <w:rtl/>
                <w:lang w:val="en-CA"/>
              </w:rPr>
              <w:t>الشريحة الأولى</w:t>
            </w:r>
          </w:p>
        </w:tc>
        <w:tc>
          <w:tcPr>
            <w:tcW w:w="2348" w:type="dxa"/>
            <w:gridSpan w:val="2"/>
            <w:hideMark/>
          </w:tcPr>
          <w:p w:rsidR="006C23A7" w:rsidRPr="004B41C8" w:rsidRDefault="006C23A7" w:rsidP="00C80327">
            <w:pPr>
              <w:keepNext/>
              <w:bidi/>
              <w:jc w:val="center"/>
              <w:rPr>
                <w:b/>
                <w:sz w:val="20"/>
                <w:szCs w:val="20"/>
                <w:lang w:val="en-CA"/>
              </w:rPr>
            </w:pPr>
            <w:r w:rsidRPr="00684E4F">
              <w:rPr>
                <w:rFonts w:hint="cs"/>
                <w:bCs/>
                <w:sz w:val="20"/>
                <w:szCs w:val="20"/>
                <w:rtl/>
                <w:lang w:val="en-CA"/>
              </w:rPr>
              <w:t>الشريحة الثانية</w:t>
            </w:r>
          </w:p>
        </w:tc>
        <w:tc>
          <w:tcPr>
            <w:tcW w:w="2348" w:type="dxa"/>
            <w:gridSpan w:val="2"/>
            <w:hideMark/>
          </w:tcPr>
          <w:p w:rsidR="006C23A7" w:rsidRPr="004B41C8" w:rsidRDefault="006C23A7" w:rsidP="00C80327">
            <w:pPr>
              <w:keepNext/>
              <w:bidi/>
              <w:jc w:val="center"/>
              <w:rPr>
                <w:b/>
                <w:sz w:val="20"/>
                <w:szCs w:val="20"/>
                <w:lang w:val="en-CA"/>
              </w:rPr>
            </w:pPr>
            <w:r>
              <w:rPr>
                <w:rFonts w:hint="cs"/>
                <w:bCs/>
                <w:sz w:val="20"/>
                <w:szCs w:val="20"/>
                <w:rtl/>
                <w:lang w:val="en-CA"/>
              </w:rPr>
              <w:t>المجموع</w:t>
            </w:r>
            <w:r w:rsidRPr="00684E4F">
              <w:rPr>
                <w:bCs/>
                <w:sz w:val="20"/>
                <w:szCs w:val="20"/>
                <w:lang w:val="en-CA"/>
              </w:rPr>
              <w:t xml:space="preserve"> </w:t>
            </w:r>
          </w:p>
        </w:tc>
      </w:tr>
      <w:tr w:rsidR="006C23A7" w:rsidRPr="004B41C8" w:rsidTr="006C23A7">
        <w:tc>
          <w:tcPr>
            <w:tcW w:w="2335" w:type="dxa"/>
            <w:vMerge/>
            <w:vAlign w:val="center"/>
            <w:hideMark/>
          </w:tcPr>
          <w:p w:rsidR="006C23A7" w:rsidRPr="004B41C8" w:rsidRDefault="006C23A7" w:rsidP="00C80327">
            <w:pPr>
              <w:bidi/>
              <w:rPr>
                <w:b/>
                <w:sz w:val="20"/>
                <w:szCs w:val="20"/>
                <w:lang w:val="en-CA"/>
              </w:rPr>
            </w:pPr>
          </w:p>
        </w:tc>
        <w:tc>
          <w:tcPr>
            <w:tcW w:w="1174" w:type="dxa"/>
            <w:hideMark/>
          </w:tcPr>
          <w:p w:rsidR="006C23A7" w:rsidRPr="004B41C8" w:rsidRDefault="006C23A7" w:rsidP="00C80327">
            <w:pPr>
              <w:keepNext/>
              <w:bidi/>
              <w:jc w:val="center"/>
              <w:rPr>
                <w:b/>
                <w:sz w:val="20"/>
                <w:szCs w:val="20"/>
                <w:rtl/>
                <w:lang w:val="en-CA" w:bidi="ar-EG"/>
              </w:rPr>
            </w:pPr>
            <w:r w:rsidRPr="00684E4F">
              <w:rPr>
                <w:rFonts w:hint="cs"/>
                <w:bCs/>
                <w:color w:val="000000"/>
                <w:sz w:val="20"/>
                <w:szCs w:val="20"/>
                <w:rtl/>
                <w:lang w:val="en-CA" w:eastAsia="en-CA" w:bidi="ar-EG"/>
              </w:rPr>
              <w:t>الموافقة</w:t>
            </w:r>
          </w:p>
        </w:tc>
        <w:tc>
          <w:tcPr>
            <w:tcW w:w="1174" w:type="dxa"/>
            <w:hideMark/>
          </w:tcPr>
          <w:p w:rsidR="006C23A7" w:rsidRPr="004B41C8" w:rsidRDefault="006C23A7" w:rsidP="00C80327">
            <w:pPr>
              <w:keepNext/>
              <w:bidi/>
              <w:jc w:val="center"/>
              <w:rPr>
                <w:b/>
                <w:sz w:val="20"/>
                <w:szCs w:val="20"/>
                <w:rtl/>
                <w:lang w:val="en-CA" w:bidi="ar-EG"/>
              </w:rPr>
            </w:pPr>
            <w:r w:rsidRPr="00684E4F">
              <w:rPr>
                <w:rFonts w:hint="cs"/>
                <w:bCs/>
                <w:color w:val="000000"/>
                <w:sz w:val="20"/>
                <w:szCs w:val="20"/>
                <w:rtl/>
                <w:lang w:val="en-CA" w:eastAsia="en-CA" w:bidi="ar-EG"/>
              </w:rPr>
              <w:t>الصرف</w:t>
            </w:r>
          </w:p>
        </w:tc>
        <w:tc>
          <w:tcPr>
            <w:tcW w:w="1174" w:type="dxa"/>
            <w:hideMark/>
          </w:tcPr>
          <w:p w:rsidR="006C23A7" w:rsidRPr="004B41C8" w:rsidRDefault="006C23A7" w:rsidP="00C80327">
            <w:pPr>
              <w:keepNext/>
              <w:bidi/>
              <w:jc w:val="center"/>
              <w:rPr>
                <w:b/>
                <w:sz w:val="20"/>
                <w:szCs w:val="20"/>
                <w:rtl/>
                <w:lang w:val="en-CA" w:bidi="ar-EG"/>
              </w:rPr>
            </w:pPr>
            <w:r w:rsidRPr="00684E4F">
              <w:rPr>
                <w:rFonts w:hint="cs"/>
                <w:bCs/>
                <w:color w:val="000000"/>
                <w:sz w:val="20"/>
                <w:szCs w:val="20"/>
                <w:rtl/>
                <w:lang w:val="en-CA" w:eastAsia="en-CA"/>
              </w:rPr>
              <w:t>الموافقة</w:t>
            </w:r>
          </w:p>
        </w:tc>
        <w:tc>
          <w:tcPr>
            <w:tcW w:w="1174" w:type="dxa"/>
            <w:hideMark/>
          </w:tcPr>
          <w:p w:rsidR="006C23A7" w:rsidRPr="004B41C8" w:rsidRDefault="006C23A7" w:rsidP="00C80327">
            <w:pPr>
              <w:keepNext/>
              <w:bidi/>
              <w:jc w:val="center"/>
              <w:rPr>
                <w:b/>
                <w:sz w:val="20"/>
                <w:szCs w:val="20"/>
                <w:lang w:val="en-CA"/>
              </w:rPr>
            </w:pPr>
            <w:r w:rsidRPr="00684E4F">
              <w:rPr>
                <w:rFonts w:hint="cs"/>
                <w:bCs/>
                <w:color w:val="000000"/>
                <w:sz w:val="20"/>
                <w:szCs w:val="20"/>
                <w:rtl/>
                <w:lang w:val="en-CA" w:eastAsia="en-CA"/>
              </w:rPr>
              <w:t>الصرف</w:t>
            </w:r>
          </w:p>
        </w:tc>
        <w:tc>
          <w:tcPr>
            <w:tcW w:w="1174" w:type="dxa"/>
            <w:hideMark/>
          </w:tcPr>
          <w:p w:rsidR="006C23A7" w:rsidRPr="004B41C8" w:rsidRDefault="006C23A7" w:rsidP="00C80327">
            <w:pPr>
              <w:keepNext/>
              <w:bidi/>
              <w:jc w:val="center"/>
              <w:rPr>
                <w:b/>
                <w:sz w:val="20"/>
                <w:szCs w:val="20"/>
                <w:lang w:val="en-CA"/>
              </w:rPr>
            </w:pPr>
            <w:r w:rsidRPr="00684E4F">
              <w:rPr>
                <w:rFonts w:hint="cs"/>
                <w:bCs/>
                <w:color w:val="000000"/>
                <w:sz w:val="20"/>
                <w:szCs w:val="20"/>
                <w:rtl/>
                <w:lang w:val="en-CA" w:eastAsia="en-CA"/>
              </w:rPr>
              <w:t>الموافقة</w:t>
            </w:r>
          </w:p>
        </w:tc>
        <w:tc>
          <w:tcPr>
            <w:tcW w:w="1174" w:type="dxa"/>
            <w:hideMark/>
          </w:tcPr>
          <w:p w:rsidR="006C23A7" w:rsidRPr="004B41C8" w:rsidRDefault="006C23A7" w:rsidP="00C80327">
            <w:pPr>
              <w:keepNext/>
              <w:bidi/>
              <w:jc w:val="center"/>
              <w:rPr>
                <w:b/>
                <w:sz w:val="20"/>
                <w:szCs w:val="20"/>
                <w:lang w:val="en-CA"/>
              </w:rPr>
            </w:pPr>
            <w:r w:rsidRPr="00684E4F">
              <w:rPr>
                <w:rFonts w:hint="cs"/>
                <w:bCs/>
                <w:color w:val="000000"/>
                <w:sz w:val="20"/>
                <w:szCs w:val="20"/>
                <w:rtl/>
                <w:lang w:val="en-CA" w:eastAsia="en-CA"/>
              </w:rPr>
              <w:t>الصرف</w:t>
            </w:r>
          </w:p>
        </w:tc>
      </w:tr>
      <w:tr w:rsidR="004B41C8" w:rsidRPr="004B41C8" w:rsidTr="006C23A7">
        <w:tc>
          <w:tcPr>
            <w:tcW w:w="2335" w:type="dxa"/>
            <w:hideMark/>
          </w:tcPr>
          <w:p w:rsidR="00530166" w:rsidRPr="004B41C8" w:rsidRDefault="006C23A7" w:rsidP="00C80327">
            <w:pPr>
              <w:keepNext/>
              <w:bidi/>
              <w:rPr>
                <w:sz w:val="20"/>
                <w:szCs w:val="20"/>
                <w:lang w:val="en-CA"/>
              </w:rPr>
            </w:pPr>
            <w:r>
              <w:rPr>
                <w:rFonts w:hint="cs"/>
                <w:sz w:val="20"/>
                <w:szCs w:val="20"/>
                <w:rtl/>
                <w:lang w:val="en-CA"/>
              </w:rPr>
              <w:t>اليونيب</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146,500</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136,675</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120,500</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86,350</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267,000</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223,025</w:t>
            </w:r>
          </w:p>
        </w:tc>
      </w:tr>
      <w:tr w:rsidR="004B41C8" w:rsidRPr="004B41C8" w:rsidTr="006C23A7">
        <w:tc>
          <w:tcPr>
            <w:tcW w:w="2335" w:type="dxa"/>
            <w:hideMark/>
          </w:tcPr>
          <w:p w:rsidR="00530166" w:rsidRPr="004B41C8" w:rsidRDefault="006C23A7" w:rsidP="00C80327">
            <w:pPr>
              <w:bidi/>
              <w:rPr>
                <w:sz w:val="20"/>
                <w:szCs w:val="20"/>
                <w:lang w:val="en-CA" w:bidi="ar-EG"/>
              </w:rPr>
            </w:pPr>
            <w:r>
              <w:rPr>
                <w:rFonts w:hint="cs"/>
                <w:sz w:val="20"/>
                <w:szCs w:val="20"/>
                <w:rtl/>
                <w:lang w:val="en-CA"/>
              </w:rPr>
              <w:t>اليوئديبي</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168,500</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168,500</w:t>
            </w:r>
          </w:p>
        </w:tc>
        <w:tc>
          <w:tcPr>
            <w:tcW w:w="1174" w:type="dxa"/>
            <w:vAlign w:val="bottom"/>
            <w:hideMark/>
          </w:tcPr>
          <w:p w:rsidR="00530166" w:rsidRPr="004B41C8" w:rsidRDefault="00530166" w:rsidP="006C23A7">
            <w:pPr>
              <w:keepNext/>
              <w:bidi/>
              <w:jc w:val="left"/>
              <w:rPr>
                <w:sz w:val="20"/>
                <w:szCs w:val="20"/>
                <w:lang w:val="en-CA"/>
              </w:rPr>
            </w:pPr>
            <w:r w:rsidRPr="004B41C8">
              <w:rPr>
                <w:sz w:val="20"/>
                <w:szCs w:val="20"/>
                <w:lang w:val="en-CA" w:eastAsia="es-PY"/>
              </w:rPr>
              <w:t>131,500</w:t>
            </w:r>
          </w:p>
        </w:tc>
        <w:tc>
          <w:tcPr>
            <w:tcW w:w="1174" w:type="dxa"/>
            <w:vAlign w:val="bottom"/>
            <w:hideMark/>
          </w:tcPr>
          <w:p w:rsidR="00530166" w:rsidRPr="004B41C8" w:rsidRDefault="00530166" w:rsidP="006C23A7">
            <w:pPr>
              <w:bidi/>
              <w:jc w:val="left"/>
              <w:rPr>
                <w:sz w:val="20"/>
                <w:szCs w:val="20"/>
                <w:lang w:val="en-CA"/>
              </w:rPr>
            </w:pPr>
            <w:r w:rsidRPr="004B41C8">
              <w:rPr>
                <w:sz w:val="20"/>
                <w:szCs w:val="20"/>
                <w:lang w:val="en-CA" w:eastAsia="es-PY"/>
              </w:rPr>
              <w:t>131,500</w:t>
            </w:r>
          </w:p>
        </w:tc>
        <w:tc>
          <w:tcPr>
            <w:tcW w:w="1174" w:type="dxa"/>
            <w:vAlign w:val="bottom"/>
            <w:hideMark/>
          </w:tcPr>
          <w:p w:rsidR="00530166" w:rsidRPr="006C23A7" w:rsidRDefault="00530166" w:rsidP="006C23A7">
            <w:pPr>
              <w:bidi/>
              <w:jc w:val="left"/>
              <w:rPr>
                <w:sz w:val="20"/>
                <w:szCs w:val="20"/>
                <w:lang w:val="en-US"/>
              </w:rPr>
            </w:pPr>
            <w:r w:rsidRPr="004B41C8">
              <w:rPr>
                <w:sz w:val="20"/>
                <w:szCs w:val="20"/>
                <w:lang w:val="en-CA" w:eastAsia="es-PY"/>
              </w:rPr>
              <w:t>300,000</w:t>
            </w:r>
          </w:p>
        </w:tc>
        <w:tc>
          <w:tcPr>
            <w:tcW w:w="1174" w:type="dxa"/>
            <w:vAlign w:val="bottom"/>
            <w:hideMark/>
          </w:tcPr>
          <w:p w:rsidR="00530166" w:rsidRPr="004B41C8" w:rsidRDefault="00530166" w:rsidP="006C23A7">
            <w:pPr>
              <w:bidi/>
              <w:jc w:val="left"/>
              <w:rPr>
                <w:sz w:val="20"/>
                <w:szCs w:val="20"/>
                <w:lang w:val="en-CA"/>
              </w:rPr>
            </w:pPr>
            <w:r w:rsidRPr="004B41C8">
              <w:rPr>
                <w:sz w:val="20"/>
                <w:szCs w:val="20"/>
                <w:lang w:val="en-CA" w:eastAsia="es-PY"/>
              </w:rPr>
              <w:t>300,000</w:t>
            </w:r>
          </w:p>
        </w:tc>
      </w:tr>
      <w:tr w:rsidR="006C23A7" w:rsidRPr="004B41C8" w:rsidTr="006C23A7">
        <w:tc>
          <w:tcPr>
            <w:tcW w:w="2335" w:type="dxa"/>
            <w:hideMark/>
          </w:tcPr>
          <w:p w:rsidR="006C23A7" w:rsidRPr="004B41C8" w:rsidRDefault="006C23A7" w:rsidP="00C80327">
            <w:pPr>
              <w:bidi/>
              <w:rPr>
                <w:b/>
                <w:sz w:val="20"/>
                <w:szCs w:val="20"/>
                <w:lang w:val="en-CA"/>
              </w:rPr>
            </w:pPr>
            <w:r>
              <w:rPr>
                <w:rFonts w:hint="cs"/>
                <w:bCs/>
                <w:sz w:val="20"/>
                <w:szCs w:val="20"/>
                <w:rtl/>
                <w:lang w:val="en-CA"/>
              </w:rPr>
              <w:t>المجموع</w:t>
            </w:r>
          </w:p>
        </w:tc>
        <w:tc>
          <w:tcPr>
            <w:tcW w:w="1174" w:type="dxa"/>
            <w:vAlign w:val="bottom"/>
            <w:hideMark/>
          </w:tcPr>
          <w:p w:rsidR="006C23A7" w:rsidRPr="004B41C8" w:rsidRDefault="006C23A7" w:rsidP="006C23A7">
            <w:pPr>
              <w:bidi/>
              <w:jc w:val="left"/>
              <w:rPr>
                <w:sz w:val="20"/>
                <w:szCs w:val="20"/>
                <w:lang w:val="en-CA"/>
              </w:rPr>
            </w:pPr>
            <w:r w:rsidRPr="004B41C8">
              <w:rPr>
                <w:b/>
                <w:bCs/>
                <w:sz w:val="20"/>
                <w:szCs w:val="20"/>
                <w:lang w:val="en-CA" w:eastAsia="es-PY"/>
              </w:rPr>
              <w:t>315,000</w:t>
            </w:r>
          </w:p>
        </w:tc>
        <w:tc>
          <w:tcPr>
            <w:tcW w:w="1174" w:type="dxa"/>
            <w:vAlign w:val="bottom"/>
            <w:hideMark/>
          </w:tcPr>
          <w:p w:rsidR="006C23A7" w:rsidRPr="004B41C8" w:rsidRDefault="006C23A7" w:rsidP="006C23A7">
            <w:pPr>
              <w:bidi/>
              <w:jc w:val="left"/>
              <w:rPr>
                <w:sz w:val="20"/>
                <w:szCs w:val="20"/>
                <w:lang w:val="en-CA"/>
              </w:rPr>
            </w:pPr>
            <w:r w:rsidRPr="004B41C8">
              <w:rPr>
                <w:b/>
                <w:bCs/>
                <w:sz w:val="20"/>
                <w:szCs w:val="20"/>
                <w:lang w:val="en-CA" w:eastAsia="es-PY"/>
              </w:rPr>
              <w:t>305,175</w:t>
            </w:r>
          </w:p>
        </w:tc>
        <w:tc>
          <w:tcPr>
            <w:tcW w:w="1174" w:type="dxa"/>
            <w:vAlign w:val="bottom"/>
            <w:hideMark/>
          </w:tcPr>
          <w:p w:rsidR="006C23A7" w:rsidRPr="004B41C8" w:rsidRDefault="006C23A7" w:rsidP="006C23A7">
            <w:pPr>
              <w:bidi/>
              <w:jc w:val="left"/>
              <w:rPr>
                <w:sz w:val="20"/>
                <w:szCs w:val="20"/>
                <w:lang w:val="en-CA"/>
              </w:rPr>
            </w:pPr>
            <w:r w:rsidRPr="004B41C8">
              <w:rPr>
                <w:b/>
                <w:bCs/>
                <w:sz w:val="20"/>
                <w:szCs w:val="20"/>
                <w:lang w:val="en-CA" w:eastAsia="es-PY"/>
              </w:rPr>
              <w:t>252,000</w:t>
            </w:r>
          </w:p>
        </w:tc>
        <w:tc>
          <w:tcPr>
            <w:tcW w:w="1174" w:type="dxa"/>
            <w:vAlign w:val="bottom"/>
            <w:hideMark/>
          </w:tcPr>
          <w:p w:rsidR="006C23A7" w:rsidRPr="004B41C8" w:rsidRDefault="006C23A7" w:rsidP="006C23A7">
            <w:pPr>
              <w:bidi/>
              <w:jc w:val="left"/>
              <w:rPr>
                <w:sz w:val="20"/>
                <w:szCs w:val="20"/>
                <w:lang w:val="en-CA"/>
              </w:rPr>
            </w:pPr>
            <w:r w:rsidRPr="004B41C8">
              <w:rPr>
                <w:b/>
                <w:bCs/>
                <w:sz w:val="20"/>
                <w:szCs w:val="20"/>
                <w:lang w:val="en-CA" w:eastAsia="es-PY"/>
              </w:rPr>
              <w:t>217,850</w:t>
            </w:r>
          </w:p>
        </w:tc>
        <w:tc>
          <w:tcPr>
            <w:tcW w:w="1174" w:type="dxa"/>
            <w:vAlign w:val="bottom"/>
            <w:hideMark/>
          </w:tcPr>
          <w:p w:rsidR="006C23A7" w:rsidRPr="004B41C8" w:rsidRDefault="006C23A7" w:rsidP="006C23A7">
            <w:pPr>
              <w:bidi/>
              <w:jc w:val="left"/>
              <w:rPr>
                <w:sz w:val="20"/>
                <w:szCs w:val="20"/>
                <w:lang w:val="en-CA"/>
              </w:rPr>
            </w:pPr>
            <w:r w:rsidRPr="004B41C8">
              <w:rPr>
                <w:b/>
                <w:bCs/>
                <w:sz w:val="20"/>
                <w:szCs w:val="20"/>
                <w:lang w:val="en-CA" w:eastAsia="es-PY"/>
              </w:rPr>
              <w:t>567,000</w:t>
            </w:r>
          </w:p>
        </w:tc>
        <w:tc>
          <w:tcPr>
            <w:tcW w:w="1174" w:type="dxa"/>
            <w:vAlign w:val="bottom"/>
            <w:hideMark/>
          </w:tcPr>
          <w:p w:rsidR="006C23A7" w:rsidRPr="004B41C8" w:rsidRDefault="006C23A7" w:rsidP="006C23A7">
            <w:pPr>
              <w:bidi/>
              <w:jc w:val="left"/>
              <w:rPr>
                <w:sz w:val="20"/>
                <w:szCs w:val="20"/>
                <w:lang w:val="en-CA"/>
              </w:rPr>
            </w:pPr>
            <w:r w:rsidRPr="004B41C8">
              <w:rPr>
                <w:b/>
                <w:bCs/>
                <w:sz w:val="20"/>
                <w:szCs w:val="20"/>
                <w:lang w:val="en-CA" w:eastAsia="es-PY"/>
              </w:rPr>
              <w:t>523,025</w:t>
            </w:r>
          </w:p>
        </w:tc>
      </w:tr>
      <w:tr w:rsidR="006C23A7" w:rsidRPr="004B41C8" w:rsidTr="006C23A7">
        <w:tc>
          <w:tcPr>
            <w:tcW w:w="2335" w:type="dxa"/>
            <w:hideMark/>
          </w:tcPr>
          <w:p w:rsidR="006C23A7" w:rsidRPr="004B41C8" w:rsidRDefault="006C23A7" w:rsidP="00C80327">
            <w:pPr>
              <w:bidi/>
              <w:jc w:val="left"/>
              <w:rPr>
                <w:b/>
                <w:sz w:val="20"/>
                <w:szCs w:val="20"/>
                <w:lang w:val="en-CA"/>
              </w:rPr>
            </w:pPr>
            <w:r>
              <w:rPr>
                <w:rFonts w:hint="cs"/>
                <w:bCs/>
                <w:sz w:val="20"/>
                <w:szCs w:val="20"/>
                <w:rtl/>
                <w:lang w:val="en-CA"/>
              </w:rPr>
              <w:t>معدل الصرف (النسبة المئوية)</w:t>
            </w:r>
          </w:p>
        </w:tc>
        <w:tc>
          <w:tcPr>
            <w:tcW w:w="2348" w:type="dxa"/>
            <w:gridSpan w:val="2"/>
            <w:vAlign w:val="center"/>
            <w:hideMark/>
          </w:tcPr>
          <w:p w:rsidR="006C23A7" w:rsidRPr="004B41C8" w:rsidRDefault="006C23A7" w:rsidP="00C80327">
            <w:pPr>
              <w:bidi/>
              <w:jc w:val="center"/>
              <w:rPr>
                <w:b/>
                <w:sz w:val="20"/>
                <w:szCs w:val="20"/>
                <w:lang w:val="en-CA"/>
              </w:rPr>
            </w:pPr>
            <w:r w:rsidRPr="004B41C8">
              <w:rPr>
                <w:b/>
                <w:bCs/>
                <w:sz w:val="20"/>
                <w:szCs w:val="20"/>
                <w:lang w:val="en-CA" w:eastAsia="es-PY"/>
              </w:rPr>
              <w:t>96.9</w:t>
            </w:r>
          </w:p>
        </w:tc>
        <w:tc>
          <w:tcPr>
            <w:tcW w:w="2348" w:type="dxa"/>
            <w:gridSpan w:val="2"/>
            <w:vAlign w:val="center"/>
            <w:hideMark/>
          </w:tcPr>
          <w:p w:rsidR="006C23A7" w:rsidRPr="004B41C8" w:rsidRDefault="006C23A7" w:rsidP="00C80327">
            <w:pPr>
              <w:bidi/>
              <w:jc w:val="center"/>
              <w:rPr>
                <w:b/>
                <w:sz w:val="20"/>
                <w:szCs w:val="20"/>
                <w:lang w:val="en-CA"/>
              </w:rPr>
            </w:pPr>
            <w:r w:rsidRPr="004B41C8">
              <w:rPr>
                <w:b/>
                <w:bCs/>
                <w:sz w:val="20"/>
                <w:szCs w:val="20"/>
                <w:lang w:val="en-CA" w:eastAsia="es-PY"/>
              </w:rPr>
              <w:t>86.4</w:t>
            </w:r>
          </w:p>
        </w:tc>
        <w:tc>
          <w:tcPr>
            <w:tcW w:w="2348" w:type="dxa"/>
            <w:gridSpan w:val="2"/>
            <w:vAlign w:val="center"/>
            <w:hideMark/>
          </w:tcPr>
          <w:p w:rsidR="006C23A7" w:rsidRPr="004B41C8" w:rsidRDefault="006C23A7" w:rsidP="00C80327">
            <w:pPr>
              <w:bidi/>
              <w:jc w:val="center"/>
              <w:rPr>
                <w:b/>
                <w:sz w:val="20"/>
                <w:szCs w:val="20"/>
                <w:lang w:val="en-CA"/>
              </w:rPr>
            </w:pPr>
            <w:r w:rsidRPr="004B41C8">
              <w:rPr>
                <w:b/>
                <w:bCs/>
                <w:sz w:val="20"/>
                <w:szCs w:val="20"/>
                <w:lang w:val="en-CA" w:eastAsia="es-PY"/>
              </w:rPr>
              <w:t>92.2</w:t>
            </w:r>
          </w:p>
        </w:tc>
      </w:tr>
    </w:tbl>
    <w:p w:rsidR="00530166" w:rsidRPr="004B41C8" w:rsidRDefault="00530166" w:rsidP="00C80327">
      <w:pPr>
        <w:bidi/>
        <w:spacing w:line="276" w:lineRule="auto"/>
        <w:rPr>
          <w:lang w:val="en-CA"/>
        </w:rPr>
      </w:pPr>
    </w:p>
    <w:p w:rsidR="00FB6EEC" w:rsidRPr="005A6016" w:rsidRDefault="00FB6EEC" w:rsidP="00FB6EEC">
      <w:pPr>
        <w:bidi/>
        <w:rPr>
          <w:sz w:val="26"/>
          <w:szCs w:val="26"/>
          <w:u w:val="single"/>
          <w:rtl/>
          <w:lang w:val="en-CA"/>
        </w:rPr>
      </w:pPr>
      <w:r w:rsidRPr="005A6016">
        <w:rPr>
          <w:rFonts w:hint="cs"/>
          <w:sz w:val="26"/>
          <w:szCs w:val="26"/>
          <w:u w:val="single"/>
          <w:rtl/>
          <w:lang w:val="en-CA"/>
        </w:rPr>
        <w:t>خطة تنفيذ الشريحتين الثالثة والأخيرة من خطة إدارة إزالة المواد الهيدروكلوروفلوروكربونية</w:t>
      </w:r>
    </w:p>
    <w:p w:rsidR="00530166" w:rsidRPr="005A6016" w:rsidRDefault="00530166" w:rsidP="00C80327">
      <w:pPr>
        <w:bidi/>
        <w:rPr>
          <w:sz w:val="26"/>
          <w:szCs w:val="26"/>
          <w:rtl/>
          <w:lang w:val="en-CA" w:bidi="ar-EG"/>
        </w:rPr>
      </w:pPr>
    </w:p>
    <w:p w:rsidR="008A71DE" w:rsidRPr="005A6016" w:rsidRDefault="00F37B5F" w:rsidP="00C80327">
      <w:pPr>
        <w:pStyle w:val="Heading1"/>
        <w:bidi/>
        <w:rPr>
          <w:sz w:val="26"/>
          <w:szCs w:val="26"/>
          <w:lang w:val="en-CA"/>
        </w:rPr>
      </w:pPr>
      <w:r w:rsidRPr="005A6016">
        <w:rPr>
          <w:rFonts w:hint="cs"/>
          <w:sz w:val="26"/>
          <w:szCs w:val="26"/>
          <w:rtl/>
          <w:lang w:val="en-CA"/>
        </w:rPr>
        <w:t>سوف تنفذ الأنشطة التالية فيما بين ديسمبر/ كانون أول 2020 وديسمبر/ كانون أول 2021:</w:t>
      </w:r>
    </w:p>
    <w:p w:rsidR="00F37B5F" w:rsidRPr="005A6016" w:rsidRDefault="00F37B5F" w:rsidP="00FB6EEC">
      <w:pPr>
        <w:pStyle w:val="Heading2"/>
        <w:numPr>
          <w:ilvl w:val="0"/>
          <w:numId w:val="26"/>
        </w:numPr>
        <w:bidi/>
        <w:ind w:left="1280" w:hanging="567"/>
        <w:rPr>
          <w:sz w:val="26"/>
          <w:szCs w:val="26"/>
          <w:lang w:val="en-CA"/>
        </w:rPr>
      </w:pPr>
      <w:r w:rsidRPr="005A6016">
        <w:rPr>
          <w:rFonts w:hint="cs"/>
          <w:sz w:val="26"/>
          <w:szCs w:val="26"/>
          <w:rtl/>
          <w:lang w:val="en-CA"/>
        </w:rPr>
        <w:t xml:space="preserve">تعزيز الإجراءات الوطنية </w:t>
      </w:r>
      <w:r w:rsidR="000B471E" w:rsidRPr="005A6016">
        <w:rPr>
          <w:rFonts w:hint="cs"/>
          <w:sz w:val="26"/>
          <w:szCs w:val="26"/>
          <w:rtl/>
          <w:lang w:val="en-CA"/>
        </w:rPr>
        <w:t xml:space="preserve">لتنفيذ إزالة </w:t>
      </w:r>
      <w:r w:rsidR="000B471E" w:rsidRPr="005A6016">
        <w:rPr>
          <w:rFonts w:hint="cs"/>
          <w:sz w:val="26"/>
          <w:szCs w:val="26"/>
          <w:rtl/>
          <w:lang w:val="en-CA" w:bidi="ar-EG"/>
        </w:rPr>
        <w:t xml:space="preserve">الهيدروكلوروفلوروكربون وأنشطة الخفض المحتملة للهيدروفلوروكربون، وبناء القدرات الخاصة بموظفي الجمارك وموظفي الإنفاذ من خلال حلقتي عمل لتدريب 50 من مقيمي البيئة وموظفي الجمارك التابعين لوزارة البيئة والتنمية المستدامة وموظفي الجمارك على الرقابة على الهيدروكلوروفلوروكربون بما في ذلك البوليولات السابقة الخلط المتضمنة الهيدروكلوروفلوروكربون والاجتماعات التشاورية والتنسيق مع الوزارات والإدارات المختصة لمنع الاتجارغير القانوني بالهيدروكلوروفلوروكربون ورصد وتفقد تنفيذ نظام التراخيص والحصص (اليونيب </w:t>
      </w:r>
      <w:r w:rsidR="000B471E" w:rsidRPr="005A6016">
        <w:rPr>
          <w:sz w:val="26"/>
          <w:szCs w:val="26"/>
          <w:lang w:val="en-CA"/>
        </w:rPr>
        <w:t>40,000</w:t>
      </w:r>
      <w:r w:rsidR="000B471E" w:rsidRPr="005A6016">
        <w:rPr>
          <w:rFonts w:hint="cs"/>
          <w:sz w:val="26"/>
          <w:szCs w:val="26"/>
          <w:rtl/>
          <w:lang w:val="en-CA" w:bidi="ar-EG"/>
        </w:rPr>
        <w:t xml:space="preserve"> دولار أمريكي)؛</w:t>
      </w:r>
    </w:p>
    <w:p w:rsidR="000B471E" w:rsidRPr="005A6016" w:rsidRDefault="000B471E" w:rsidP="00FB6EEC">
      <w:pPr>
        <w:pStyle w:val="Heading2"/>
        <w:numPr>
          <w:ilvl w:val="0"/>
          <w:numId w:val="26"/>
        </w:numPr>
        <w:bidi/>
        <w:ind w:left="1280" w:hanging="567"/>
        <w:rPr>
          <w:sz w:val="26"/>
          <w:szCs w:val="26"/>
          <w:lang w:val="en-CA"/>
        </w:rPr>
      </w:pPr>
      <w:r w:rsidRPr="005A6016">
        <w:rPr>
          <w:rFonts w:hint="cs"/>
          <w:sz w:val="26"/>
          <w:szCs w:val="26"/>
          <w:rtl/>
          <w:lang w:val="en-CA"/>
        </w:rPr>
        <w:t xml:space="preserve">متابعة أنشطة التدريب وتحديث المناهج الدراسية للتدريب على أحدث التطورات بما في ذلك التكنولوجيات البديلة الخالية من </w:t>
      </w:r>
      <w:r w:rsidRPr="005A6016">
        <w:rPr>
          <w:rFonts w:hint="cs"/>
          <w:sz w:val="26"/>
          <w:szCs w:val="26"/>
          <w:rtl/>
          <w:lang w:val="en-CA" w:bidi="ar-EG"/>
        </w:rPr>
        <w:t>الهيدروكلوروفلوروكربون</w:t>
      </w:r>
      <w:r w:rsidR="00A40623" w:rsidRPr="005A6016">
        <w:rPr>
          <w:rFonts w:hint="cs"/>
          <w:sz w:val="26"/>
          <w:szCs w:val="26"/>
          <w:rtl/>
          <w:lang w:val="en-CA" w:bidi="ar-EG"/>
        </w:rPr>
        <w:t xml:space="preserve"> المنخفضة القدرة على الاحترار العالمي </w:t>
      </w:r>
      <w:r w:rsidR="00A40623" w:rsidRPr="005A6016">
        <w:rPr>
          <w:rFonts w:hint="cs"/>
          <w:sz w:val="26"/>
          <w:szCs w:val="26"/>
          <w:rtl/>
          <w:lang w:val="en-CA" w:bidi="ar-EG"/>
        </w:rPr>
        <w:lastRenderedPageBreak/>
        <w:t>(اليونيب) (أموال من الشريحة السابقة)؛</w:t>
      </w:r>
    </w:p>
    <w:p w:rsidR="00A40623" w:rsidRPr="005A6016" w:rsidRDefault="00A40623" w:rsidP="00FB6EEC">
      <w:pPr>
        <w:pStyle w:val="Heading2"/>
        <w:numPr>
          <w:ilvl w:val="0"/>
          <w:numId w:val="26"/>
        </w:numPr>
        <w:bidi/>
        <w:ind w:left="1280" w:hanging="567"/>
        <w:rPr>
          <w:sz w:val="26"/>
          <w:szCs w:val="26"/>
          <w:lang w:val="en-CA"/>
        </w:rPr>
      </w:pPr>
      <w:r w:rsidRPr="005A6016">
        <w:rPr>
          <w:rFonts w:hint="cs"/>
          <w:sz w:val="26"/>
          <w:szCs w:val="26"/>
          <w:rtl/>
          <w:lang w:val="en-CA"/>
        </w:rPr>
        <w:t xml:space="preserve">التوعية والإرشاد بالمعلومات للترويج لاعتماد البدائل المنخفضة القدرة على الاحترار العالمي في متجرين معينين للسوبر ماركت من خلال تدابير الترويج المباشرووضع ونشر المعلومات على مختلف متاجر السوبر ماركت عن إزالة </w:t>
      </w:r>
      <w:r w:rsidRPr="005A6016">
        <w:rPr>
          <w:rFonts w:hint="cs"/>
          <w:sz w:val="26"/>
          <w:szCs w:val="26"/>
          <w:rtl/>
          <w:lang w:val="en-CA" w:bidi="ar-EG"/>
        </w:rPr>
        <w:t>الهيدروكلوروفلوروكربون وتوافر واعتماد البدائل وحلقات العمل والاجتماعات مع المستخدمين النهائيين (مثل الصناعات التي تستخدم أجهزة تكييف هواء كبيرة والفنادق، ومراكز التسوق) عن اعتماد البدائل الخالية من الهيدروكلوروفلوروكربون والمنخفضة القدرة على الاحترار العالمي (اليونيب) (</w:t>
      </w:r>
      <w:r w:rsidRPr="005A6016">
        <w:rPr>
          <w:sz w:val="26"/>
          <w:szCs w:val="26"/>
          <w:lang w:val="en-CA"/>
        </w:rPr>
        <w:t>23,000</w:t>
      </w:r>
      <w:r w:rsidRPr="005A6016">
        <w:rPr>
          <w:rFonts w:hint="cs"/>
          <w:sz w:val="26"/>
          <w:szCs w:val="26"/>
          <w:rtl/>
          <w:lang w:val="en-CA" w:bidi="ar-EG"/>
        </w:rPr>
        <w:t xml:space="preserve"> دولار أمريكي)؛</w:t>
      </w:r>
    </w:p>
    <w:p w:rsidR="00A40623" w:rsidRPr="005A6016" w:rsidRDefault="00A40623" w:rsidP="00FB6EEC">
      <w:pPr>
        <w:pStyle w:val="Heading2"/>
        <w:numPr>
          <w:ilvl w:val="0"/>
          <w:numId w:val="26"/>
        </w:numPr>
        <w:bidi/>
        <w:ind w:left="1280" w:hanging="567"/>
        <w:rPr>
          <w:sz w:val="26"/>
          <w:szCs w:val="26"/>
          <w:lang w:val="en-CA"/>
        </w:rPr>
      </w:pPr>
      <w:r w:rsidRPr="005A6016">
        <w:rPr>
          <w:rFonts w:hint="cs"/>
          <w:sz w:val="26"/>
          <w:szCs w:val="26"/>
          <w:rtl/>
          <w:lang w:val="en-CA"/>
        </w:rPr>
        <w:t xml:space="preserve">وحدة رصد المشروع: مواصلة الرصد والإبلاغ عن تنفيذ أنشطة خطة إدارة إزالة المواد </w:t>
      </w:r>
      <w:r w:rsidRPr="005A6016">
        <w:rPr>
          <w:rFonts w:hint="cs"/>
          <w:sz w:val="26"/>
          <w:szCs w:val="26"/>
          <w:rtl/>
          <w:lang w:val="en-CA" w:bidi="ar-EG"/>
        </w:rPr>
        <w:t>الهيدروكلوروفلوروكربونية (اليونيب) (الأموال من الشريحة السابقة).</w:t>
      </w:r>
    </w:p>
    <w:p w:rsidR="00530166" w:rsidRPr="005A6016" w:rsidRDefault="00530166" w:rsidP="00C80327">
      <w:pPr>
        <w:bidi/>
        <w:rPr>
          <w:sz w:val="26"/>
          <w:szCs w:val="26"/>
          <w:rtl/>
          <w:lang w:val="en-CA" w:bidi="ar-EG"/>
        </w:rPr>
      </w:pPr>
    </w:p>
    <w:p w:rsidR="00FB6EEC" w:rsidRPr="005A6016" w:rsidRDefault="00FB6EEC" w:rsidP="00F23C83">
      <w:pPr>
        <w:keepNext/>
        <w:bidi/>
        <w:jc w:val="center"/>
        <w:rPr>
          <w:b/>
          <w:sz w:val="26"/>
          <w:szCs w:val="26"/>
          <w:rtl/>
          <w:lang w:val="en-CA" w:bidi="ar-EG"/>
        </w:rPr>
      </w:pPr>
      <w:r w:rsidRPr="005A6016">
        <w:rPr>
          <w:rFonts w:hint="cs"/>
          <w:bCs/>
          <w:sz w:val="26"/>
          <w:szCs w:val="26"/>
          <w:rtl/>
          <w:lang w:val="en-CA"/>
        </w:rPr>
        <w:t xml:space="preserve">تعليقات </w:t>
      </w:r>
      <w:r w:rsidR="00A40623" w:rsidRPr="005A6016">
        <w:rPr>
          <w:rFonts w:hint="cs"/>
          <w:bCs/>
          <w:sz w:val="26"/>
          <w:szCs w:val="26"/>
          <w:rtl/>
          <w:lang w:val="en-CA"/>
        </w:rPr>
        <w:t xml:space="preserve">الأمانة </w:t>
      </w:r>
      <w:r w:rsidRPr="005A6016">
        <w:rPr>
          <w:rFonts w:hint="cs"/>
          <w:bCs/>
          <w:sz w:val="26"/>
          <w:szCs w:val="26"/>
          <w:rtl/>
          <w:lang w:val="en-CA"/>
        </w:rPr>
        <w:t>وتوصي</w:t>
      </w:r>
      <w:r w:rsidR="00A40623" w:rsidRPr="005A6016">
        <w:rPr>
          <w:rFonts w:hint="cs"/>
          <w:bCs/>
          <w:sz w:val="26"/>
          <w:szCs w:val="26"/>
          <w:rtl/>
          <w:lang w:val="en-CA"/>
        </w:rPr>
        <w:t>تها</w:t>
      </w:r>
    </w:p>
    <w:p w:rsidR="00530166" w:rsidRPr="005A6016" w:rsidRDefault="00530166" w:rsidP="00F23C83">
      <w:pPr>
        <w:keepNext/>
        <w:bidi/>
        <w:rPr>
          <w:sz w:val="26"/>
          <w:szCs w:val="26"/>
          <w:rtl/>
          <w:lang w:val="en-CA" w:bidi="ar-EG"/>
        </w:rPr>
      </w:pPr>
    </w:p>
    <w:p w:rsidR="00FB6EEC" w:rsidRPr="005A6016" w:rsidRDefault="00FB6EEC" w:rsidP="00F23C83">
      <w:pPr>
        <w:keepNext/>
        <w:bidi/>
        <w:rPr>
          <w:b/>
          <w:sz w:val="26"/>
          <w:szCs w:val="26"/>
          <w:rtl/>
          <w:lang w:val="en-CA" w:bidi="ar-EG"/>
        </w:rPr>
      </w:pPr>
      <w:r w:rsidRPr="005A6016">
        <w:rPr>
          <w:rFonts w:hint="cs"/>
          <w:bCs/>
          <w:sz w:val="26"/>
          <w:szCs w:val="26"/>
          <w:rtl/>
          <w:lang w:val="en-CA"/>
        </w:rPr>
        <w:t>التعليقات</w:t>
      </w:r>
    </w:p>
    <w:p w:rsidR="00530166" w:rsidRPr="005A6016" w:rsidRDefault="00530166" w:rsidP="00F23C83">
      <w:pPr>
        <w:keepNext/>
        <w:bidi/>
        <w:rPr>
          <w:sz w:val="26"/>
          <w:szCs w:val="26"/>
          <w:rtl/>
          <w:lang w:val="en-CA" w:bidi="ar-EG"/>
        </w:rPr>
      </w:pPr>
    </w:p>
    <w:p w:rsidR="00FB6EEC" w:rsidRPr="005A6016" w:rsidRDefault="00FB6EEC" w:rsidP="00F23C83">
      <w:pPr>
        <w:keepNext/>
        <w:bidi/>
        <w:rPr>
          <w:sz w:val="26"/>
          <w:szCs w:val="26"/>
          <w:u w:val="single"/>
          <w:rtl/>
          <w:lang w:val="en-CA"/>
        </w:rPr>
      </w:pPr>
      <w:r w:rsidRPr="005A6016">
        <w:rPr>
          <w:rFonts w:hint="cs"/>
          <w:sz w:val="26"/>
          <w:szCs w:val="26"/>
          <w:u w:val="single"/>
          <w:rtl/>
          <w:lang w:val="en-CA"/>
        </w:rPr>
        <w:t>التقرير المرحلي عن تنفيذ الشريحة الثانية من خطة إدارة إزالة المواد الهيدروكلوروفلوروكربونية</w:t>
      </w:r>
    </w:p>
    <w:p w:rsidR="00FB6EEC" w:rsidRPr="005A6016" w:rsidRDefault="00FB6EEC" w:rsidP="00F23C83">
      <w:pPr>
        <w:keepNext/>
        <w:bidi/>
        <w:rPr>
          <w:sz w:val="26"/>
          <w:szCs w:val="26"/>
          <w:rtl/>
          <w:lang w:val="en-CA" w:bidi="ar-EG"/>
        </w:rPr>
      </w:pPr>
    </w:p>
    <w:p w:rsidR="00FB6EEC" w:rsidRPr="005A6016" w:rsidRDefault="00FB6EEC" w:rsidP="00F23C83">
      <w:pPr>
        <w:keepNext/>
        <w:bidi/>
        <w:rPr>
          <w:i/>
          <w:sz w:val="26"/>
          <w:szCs w:val="26"/>
          <w:rtl/>
          <w:lang w:val="en-CA" w:bidi="ar-EG"/>
        </w:rPr>
      </w:pPr>
      <w:r w:rsidRPr="005A6016">
        <w:rPr>
          <w:rFonts w:hint="cs"/>
          <w:iCs/>
          <w:sz w:val="26"/>
          <w:szCs w:val="26"/>
          <w:rtl/>
          <w:lang w:val="en-CA"/>
        </w:rPr>
        <w:t>الإطار القانوني</w:t>
      </w:r>
    </w:p>
    <w:p w:rsidR="00530166" w:rsidRPr="005A6016" w:rsidRDefault="00530166" w:rsidP="00F23C83">
      <w:pPr>
        <w:keepNext/>
        <w:bidi/>
        <w:rPr>
          <w:sz w:val="26"/>
          <w:szCs w:val="26"/>
          <w:rtl/>
          <w:lang w:val="en-CA" w:bidi="ar-EG"/>
        </w:rPr>
      </w:pPr>
    </w:p>
    <w:p w:rsidR="00A40623" w:rsidRPr="005A6016" w:rsidRDefault="00A40623" w:rsidP="00F23C83">
      <w:pPr>
        <w:pStyle w:val="Heading1"/>
        <w:keepNext/>
        <w:bidi/>
        <w:rPr>
          <w:sz w:val="26"/>
          <w:szCs w:val="26"/>
          <w:lang w:val="en-CA"/>
        </w:rPr>
      </w:pPr>
      <w:r w:rsidRPr="005A6016">
        <w:rPr>
          <w:rFonts w:hint="cs"/>
          <w:sz w:val="26"/>
          <w:szCs w:val="26"/>
          <w:rtl/>
          <w:lang w:val="en-CA"/>
        </w:rPr>
        <w:t xml:space="preserve">أصدرت حكومة باراغواي بالفعل حصص استيراد </w:t>
      </w:r>
      <w:r w:rsidRPr="005A6016">
        <w:rPr>
          <w:rFonts w:hint="cs"/>
          <w:sz w:val="26"/>
          <w:szCs w:val="26"/>
          <w:rtl/>
          <w:lang w:val="en-CA" w:bidi="ar-EG"/>
        </w:rPr>
        <w:t xml:space="preserve">الهيدروكلوروفلوروكربون لعام 2020 بمقدار </w:t>
      </w:r>
      <w:r w:rsidRPr="005A6016">
        <w:rPr>
          <w:sz w:val="26"/>
          <w:szCs w:val="26"/>
          <w:lang w:val="en-CA"/>
        </w:rPr>
        <w:t>11.07</w:t>
      </w:r>
      <w:r w:rsidRPr="005A6016">
        <w:rPr>
          <w:rFonts w:hint="cs"/>
          <w:sz w:val="26"/>
          <w:szCs w:val="26"/>
          <w:rtl/>
          <w:lang w:val="en-CA" w:bidi="ar-EG"/>
        </w:rPr>
        <w:t xml:space="preserve"> طن</w:t>
      </w:r>
      <w:r w:rsidR="00504573" w:rsidRPr="005A6016">
        <w:rPr>
          <w:rFonts w:hint="cs"/>
          <w:sz w:val="26"/>
          <w:szCs w:val="26"/>
          <w:rtl/>
          <w:lang w:val="en-CA" w:bidi="ar-EG"/>
        </w:rPr>
        <w:t xml:space="preserve"> بقدرات استنفاد الأوزون لعدد 20 مستوردا وفقا لأهداف الرقابة لبروتوكول مونتريال.</w:t>
      </w:r>
    </w:p>
    <w:p w:rsidR="00FB6EEC" w:rsidRPr="005A6016" w:rsidRDefault="00FB6EEC" w:rsidP="00504573">
      <w:pPr>
        <w:bidi/>
        <w:rPr>
          <w:i/>
          <w:sz w:val="26"/>
          <w:szCs w:val="26"/>
          <w:rtl/>
          <w:lang w:val="en-CA" w:bidi="ar-EG"/>
        </w:rPr>
      </w:pPr>
      <w:r w:rsidRPr="005A6016">
        <w:rPr>
          <w:rFonts w:hint="cs"/>
          <w:iCs/>
          <w:sz w:val="26"/>
          <w:szCs w:val="26"/>
          <w:rtl/>
          <w:lang w:val="en-CA"/>
        </w:rPr>
        <w:t xml:space="preserve">قطاع </w:t>
      </w:r>
      <w:r w:rsidR="00504573" w:rsidRPr="005A6016">
        <w:rPr>
          <w:rFonts w:hint="cs"/>
          <w:iCs/>
          <w:sz w:val="26"/>
          <w:szCs w:val="26"/>
          <w:rtl/>
          <w:lang w:val="en-CA"/>
        </w:rPr>
        <w:t>التبريد وال</w:t>
      </w:r>
      <w:r w:rsidRPr="005A6016">
        <w:rPr>
          <w:rFonts w:hint="cs"/>
          <w:iCs/>
          <w:sz w:val="26"/>
          <w:szCs w:val="26"/>
          <w:rtl/>
          <w:lang w:val="en-CA"/>
        </w:rPr>
        <w:t xml:space="preserve">خدمة </w:t>
      </w:r>
    </w:p>
    <w:p w:rsidR="00530166" w:rsidRPr="005A6016" w:rsidRDefault="00530166" w:rsidP="00C80327">
      <w:pPr>
        <w:bidi/>
        <w:rPr>
          <w:sz w:val="26"/>
          <w:szCs w:val="26"/>
          <w:rtl/>
          <w:lang w:val="en-CA" w:bidi="ar-EG"/>
        </w:rPr>
      </w:pPr>
    </w:p>
    <w:p w:rsidR="00504573" w:rsidRPr="005A6016" w:rsidRDefault="001C5266" w:rsidP="00C80327">
      <w:pPr>
        <w:pStyle w:val="Heading1"/>
        <w:bidi/>
        <w:rPr>
          <w:sz w:val="26"/>
          <w:szCs w:val="26"/>
          <w:lang w:val="en-CA"/>
        </w:rPr>
      </w:pPr>
      <w:r w:rsidRPr="005A6016">
        <w:rPr>
          <w:rFonts w:hint="cs"/>
          <w:sz w:val="26"/>
          <w:szCs w:val="26"/>
          <w:rtl/>
          <w:lang w:val="en-CA"/>
        </w:rPr>
        <w:t>فيما يتعلق بخطة اعتماد الفنيين، أوضح اليونيب أنه في حين أن شهادات اعتماد الفنيين طوعية، فلاستثارة الحوافز، تواصل وحدة الأوزون الوطنية العمل على تسجيل وإبرام العقود الإلزامية واستخدام المنشئات التي لديها فنيين معتمدين بواسطة المؤسسات الحكومية لخدمة أجهزة تكييف الهواء.</w:t>
      </w:r>
    </w:p>
    <w:p w:rsidR="001C5266" w:rsidRPr="005A6016" w:rsidRDefault="00E81D88" w:rsidP="00C80327">
      <w:pPr>
        <w:pStyle w:val="Heading1"/>
        <w:bidi/>
        <w:rPr>
          <w:sz w:val="26"/>
          <w:szCs w:val="26"/>
          <w:lang w:val="en-CA"/>
        </w:rPr>
      </w:pPr>
      <w:r w:rsidRPr="005A6016">
        <w:rPr>
          <w:rFonts w:hint="cs"/>
          <w:sz w:val="26"/>
          <w:szCs w:val="26"/>
          <w:rtl/>
          <w:lang w:val="en-CA" w:bidi="ar-EG"/>
        </w:rPr>
        <w:t>وكان اليونيب قد أبلغ لدى تقديم الشريحة الثانية للاجتماع الرابع والسبعين،</w:t>
      </w:r>
      <w:r w:rsidRPr="005A6016">
        <w:rPr>
          <w:rStyle w:val="FootnoteReference"/>
          <w:sz w:val="26"/>
          <w:szCs w:val="26"/>
          <w:lang w:val="en-CA"/>
        </w:rPr>
        <w:footnoteReference w:id="3"/>
      </w:r>
      <w:r w:rsidRPr="005A6016">
        <w:rPr>
          <w:rFonts w:hint="cs"/>
          <w:sz w:val="26"/>
          <w:szCs w:val="26"/>
          <w:rtl/>
          <w:lang w:val="en-CA" w:bidi="ar-EG"/>
        </w:rPr>
        <w:t xml:space="preserve"> بأن ثلاث وحدات من التبريد المعتمد على الهيدروكلوروفلوروكربون قد هيئت لاستخدام غازات التبريد القابلة للاشتعال باعتبارها بيانا توضيحيا رائدا وخضعت لعملية تقييم لقياس أدائها، واعتمادا على النتائج، ستنفذ عملية تحويل أجهزة تكييف الهواءفي مرافق وزارة البيئة والتنمية المستدامة في المستقبل. ووفقا لطلب تحديث حالة البيان التوضيحي الرائد، أوضح اليونيب أن عملية تهيئة هذه الوحدات نفذت في المرحلة الأولى من خطة إدارة إزالة الهيدروكلوروفلوروكربون في 2015، وقدم التدريب على ممارسات </w:t>
      </w:r>
      <w:r w:rsidRPr="005A6016">
        <w:rPr>
          <w:rFonts w:hint="cs"/>
          <w:sz w:val="26"/>
          <w:szCs w:val="26"/>
          <w:rtl/>
          <w:lang w:val="en-CA"/>
        </w:rPr>
        <w:t xml:space="preserve">الخدمة الآمنة لفنيي التبريد في متحف التاريخ الطبيعي لأوروغواي (تحت إدارة وزارة البيئة والتنمية المستدامة) حيث توجد هذه الوحدات ونظرا لأن الحكومة تعي تماما المقررين المتعلقين بالتهيئة (المقررات 72/17 و73/34) لم تجر أي عمليات تهيئة بعد ذلك للأجهزة المعتمدة على </w:t>
      </w:r>
      <w:r w:rsidRPr="005A6016">
        <w:rPr>
          <w:rFonts w:hint="cs"/>
          <w:sz w:val="26"/>
          <w:szCs w:val="26"/>
          <w:rtl/>
          <w:lang w:val="en-CA" w:bidi="ar-EG"/>
        </w:rPr>
        <w:t>الهيدروكلوروفلوروكربون اقترح التحويل الى غازات التبريد القابلة للاشتعال أو تنفيذ ذلك بعد التحويلات الرائدة ومنذ عام 2015 جرى تدريب فنيي التبريد على الاستخدام الآمن لغازات التبريد القابلة للاشتعال والسامة في الأجهزة الجديدة مع تجنب تهيئة الأجهزة التي تستخدم غازات التبريد القابلة للاشتعال بشدة. وعلاوة على ذلك، يجري إعداد معايير الأمان لغازات التبريد القابلة للاشتعال وسوف تكون جاهزة في 2022.</w:t>
      </w:r>
    </w:p>
    <w:p w:rsidR="00245C85" w:rsidRPr="005A6016" w:rsidRDefault="00245C85" w:rsidP="00C80327">
      <w:pPr>
        <w:pStyle w:val="Heading1"/>
        <w:bidi/>
        <w:rPr>
          <w:i/>
          <w:sz w:val="26"/>
          <w:szCs w:val="26"/>
          <w:lang w:val="en-CA"/>
        </w:rPr>
      </w:pPr>
      <w:r w:rsidRPr="005A6016">
        <w:rPr>
          <w:rFonts w:hint="cs"/>
          <w:i/>
          <w:sz w:val="26"/>
          <w:szCs w:val="26"/>
          <w:rtl/>
          <w:lang w:val="en-CA"/>
        </w:rPr>
        <w:lastRenderedPageBreak/>
        <w:t xml:space="preserve">وأوضح اليونيب أيضا أنه في حين أن الحكومة ملتزمة بالترويج للبدائل الخالية من </w:t>
      </w:r>
      <w:r w:rsidRPr="005A6016">
        <w:rPr>
          <w:rFonts w:hint="cs"/>
          <w:sz w:val="26"/>
          <w:szCs w:val="26"/>
          <w:rtl/>
          <w:lang w:val="en-CA" w:bidi="ar-EG"/>
        </w:rPr>
        <w:t>الهيدروكلوروفلوروكربون</w:t>
      </w:r>
      <w:r w:rsidRPr="005A6016">
        <w:rPr>
          <w:rFonts w:hint="cs"/>
          <w:i/>
          <w:sz w:val="26"/>
          <w:szCs w:val="26"/>
          <w:rtl/>
          <w:lang w:val="en-CA" w:bidi="ar-EG"/>
        </w:rPr>
        <w:t xml:space="preserve"> والمنخفضة القدرة على الاحترار العالمي والاقتصاد في الطاقة، لا يتوافر في الوقت الحاضر سوى أجهزة تكييف هواء تعتمد على غازات التبريد المرتفعة القدرة على الاحترار العالمي الخالية من </w:t>
      </w:r>
      <w:r w:rsidRPr="005A6016">
        <w:rPr>
          <w:rFonts w:hint="cs"/>
          <w:sz w:val="26"/>
          <w:szCs w:val="26"/>
          <w:rtl/>
          <w:lang w:val="en-CA" w:bidi="ar-EG"/>
        </w:rPr>
        <w:t>الهيدروكلوروفلوروكربون</w:t>
      </w:r>
      <w:r w:rsidR="00955177" w:rsidRPr="005A6016">
        <w:rPr>
          <w:rFonts w:hint="cs"/>
          <w:sz w:val="26"/>
          <w:szCs w:val="26"/>
          <w:rtl/>
          <w:lang w:val="en-CA" w:bidi="ar-EG"/>
        </w:rPr>
        <w:t xml:space="preserve"> بأسعار تنافسية. </w:t>
      </w:r>
      <w:r w:rsidR="00955177" w:rsidRPr="005A6016">
        <w:rPr>
          <w:rFonts w:hint="cs"/>
          <w:i/>
          <w:sz w:val="26"/>
          <w:szCs w:val="26"/>
          <w:rtl/>
          <w:lang w:val="en-CA"/>
        </w:rPr>
        <w:t xml:space="preserve">وبغية دعم استعدادات قطاع الخدمة على مناولة غازات التبريد القابلة للاشتعال، وفرت الحكومة التدريب والاعتماد للفنيين وتنفيذ أنشطة التوعية في مؤسسات التدريب عن منافسة هذه الغازات والترويج لتطبيق التكنولوجيات والمنتجات الصديقة للأوزون المنخفضة القدرة على الاحترارالعالمي فيما بين تجار التجزئة للمنشئات التي تروج لاستخدام التكنولوجيات المنخفضة القدرة على الاحترار العالمي، وسوف تواصل الحكومة هذه المبادرات وغيرها من المبادرات خلال الشريحة الأخيرة من المرحلة الأولى وجميع </w:t>
      </w:r>
      <w:r w:rsidR="00565698" w:rsidRPr="005A6016">
        <w:rPr>
          <w:rFonts w:hint="cs"/>
          <w:i/>
          <w:sz w:val="26"/>
          <w:szCs w:val="26"/>
          <w:rtl/>
          <w:lang w:val="en-CA"/>
        </w:rPr>
        <w:t xml:space="preserve">شرائح المرحلة الثانية من خطة إدارة إزالة المواد </w:t>
      </w:r>
      <w:r w:rsidR="00565698" w:rsidRPr="005A6016">
        <w:rPr>
          <w:rFonts w:hint="cs"/>
          <w:sz w:val="26"/>
          <w:szCs w:val="26"/>
          <w:rtl/>
          <w:lang w:val="en-CA" w:bidi="ar-EG"/>
        </w:rPr>
        <w:t>الهيدروكلوروفلوروكربونية وعلى هذا الأساس أعيد إدراج الأموال المخصصة لخطة الترويج لأنشطة التدريب وبناء القدرات لدعم عملية تطبيق التكنولوجيات المنخفضة القدرة على الاحترار العالمي.</w:t>
      </w:r>
    </w:p>
    <w:p w:rsidR="00530166" w:rsidRPr="005A6016" w:rsidRDefault="00F14C8C" w:rsidP="00F14C8C">
      <w:pPr>
        <w:bidi/>
        <w:rPr>
          <w:sz w:val="26"/>
          <w:szCs w:val="26"/>
          <w:u w:val="single"/>
          <w:lang w:val="en-CA"/>
        </w:rPr>
      </w:pPr>
      <w:r w:rsidRPr="005A6016">
        <w:rPr>
          <w:rFonts w:hint="cs"/>
          <w:sz w:val="26"/>
          <w:szCs w:val="26"/>
          <w:u w:val="single"/>
          <w:rtl/>
          <w:lang w:val="en-CA"/>
        </w:rPr>
        <w:t>الانتهاء من المرحلة الأولى من خطة إدارة إزالة المواد الهيدروكلوروفلوروكربونية</w:t>
      </w:r>
    </w:p>
    <w:p w:rsidR="00530166" w:rsidRPr="005A6016" w:rsidRDefault="00530166" w:rsidP="00C80327">
      <w:pPr>
        <w:bidi/>
        <w:rPr>
          <w:sz w:val="26"/>
          <w:szCs w:val="26"/>
          <w:lang w:val="en-CA"/>
        </w:rPr>
      </w:pPr>
    </w:p>
    <w:p w:rsidR="00F14C8C" w:rsidRPr="005A6016" w:rsidRDefault="00F14C8C" w:rsidP="00C80327">
      <w:pPr>
        <w:pStyle w:val="Heading1"/>
        <w:bidi/>
        <w:rPr>
          <w:sz w:val="26"/>
          <w:szCs w:val="26"/>
          <w:lang w:val="en-CA"/>
        </w:rPr>
      </w:pPr>
      <w:r w:rsidRPr="005A6016">
        <w:rPr>
          <w:rFonts w:hint="cs"/>
          <w:sz w:val="26"/>
          <w:szCs w:val="26"/>
          <w:rtl/>
          <w:lang w:val="en-CA"/>
        </w:rPr>
        <w:t xml:space="preserve">أكد اليونيب أن المرحلة الأولى من خطة إدارة إزالة المواد </w:t>
      </w:r>
      <w:r w:rsidRPr="005A6016">
        <w:rPr>
          <w:rFonts w:hint="cs"/>
          <w:sz w:val="26"/>
          <w:szCs w:val="26"/>
          <w:rtl/>
          <w:lang w:val="en-CA" w:bidi="ar-EG"/>
        </w:rPr>
        <w:t xml:space="preserve">الهيدروكلوروفلوروكربونية سوف تستكمل في 31 </w:t>
      </w:r>
      <w:r w:rsidR="00FD5FC1" w:rsidRPr="005A6016">
        <w:rPr>
          <w:rFonts w:hint="cs"/>
          <w:sz w:val="26"/>
          <w:szCs w:val="26"/>
          <w:rtl/>
          <w:lang w:val="en-CA" w:bidi="ar-EG"/>
        </w:rPr>
        <w:t>ديسمبر/ كانون أول 2021 وفقا للمحدد في الفقرة 14 من الاتفاق بين حكومة باراغواي واللجنة التنفيذية.</w:t>
      </w:r>
    </w:p>
    <w:p w:rsidR="004075C8" w:rsidRPr="005A6016" w:rsidRDefault="004075C8" w:rsidP="00C80327">
      <w:pPr>
        <w:keepNext/>
        <w:bidi/>
        <w:rPr>
          <w:sz w:val="26"/>
          <w:szCs w:val="26"/>
          <w:u w:val="single"/>
          <w:lang w:val="en-US" w:bidi="ar-EG"/>
        </w:rPr>
      </w:pPr>
      <w:r w:rsidRPr="005A6016">
        <w:rPr>
          <w:rFonts w:hint="cs"/>
          <w:sz w:val="26"/>
          <w:szCs w:val="26"/>
          <w:u w:val="single"/>
          <w:rtl/>
          <w:lang w:val="en-CA" w:bidi="ar-EG"/>
        </w:rPr>
        <w:t>تنفيذ سياسة الجنسانية</w:t>
      </w:r>
      <w:r w:rsidRPr="005A6016">
        <w:rPr>
          <w:rStyle w:val="FootnoteReference"/>
          <w:sz w:val="26"/>
          <w:szCs w:val="26"/>
          <w:u w:val="single"/>
          <w:lang w:val="en-CA"/>
        </w:rPr>
        <w:footnoteReference w:id="4"/>
      </w:r>
    </w:p>
    <w:p w:rsidR="00530166" w:rsidRPr="005A6016" w:rsidRDefault="00530166" w:rsidP="00C80327">
      <w:pPr>
        <w:keepNext/>
        <w:bidi/>
        <w:rPr>
          <w:sz w:val="26"/>
          <w:szCs w:val="26"/>
          <w:rtl/>
          <w:lang w:val="en-CA" w:bidi="ar-EG"/>
        </w:rPr>
      </w:pPr>
    </w:p>
    <w:p w:rsidR="00FD5FC1" w:rsidRPr="005A6016" w:rsidRDefault="00FD5FC1" w:rsidP="00C80327">
      <w:pPr>
        <w:pStyle w:val="Heading1"/>
        <w:keepNext/>
        <w:bidi/>
        <w:rPr>
          <w:sz w:val="26"/>
          <w:szCs w:val="26"/>
          <w:lang w:val="en-CA"/>
        </w:rPr>
      </w:pPr>
      <w:r w:rsidRPr="005A6016">
        <w:rPr>
          <w:rFonts w:hint="cs"/>
          <w:sz w:val="26"/>
          <w:szCs w:val="26"/>
          <w:rtl/>
          <w:lang w:val="en-CA"/>
        </w:rPr>
        <w:t xml:space="preserve">أبلغ اليونيب عن أن حكومة باراغواي واليونيب واليوئنديبي قد التزموا بتنفيذ السياسة الجنسانية، وأن الأنشطة الخاصة بتنفيذ المشروعات الحساسة بشأن المساواة بين الجنسين سوف تنفذ بصورة دائمة </w:t>
      </w:r>
      <w:r w:rsidR="003647D2" w:rsidRPr="005A6016">
        <w:rPr>
          <w:rFonts w:hint="cs"/>
          <w:sz w:val="26"/>
          <w:szCs w:val="26"/>
          <w:rtl/>
          <w:lang w:val="en-CA"/>
        </w:rPr>
        <w:t xml:space="preserve">وذلك </w:t>
      </w:r>
      <w:r w:rsidR="003647D2" w:rsidRPr="005A6016">
        <w:rPr>
          <w:rFonts w:hint="cs"/>
          <w:i/>
          <w:iCs/>
          <w:sz w:val="26"/>
          <w:szCs w:val="26"/>
          <w:rtl/>
          <w:lang w:val="en-CA"/>
        </w:rPr>
        <w:t>ضمن جملة أمور</w:t>
      </w:r>
      <w:r w:rsidR="003647D2" w:rsidRPr="005A6016">
        <w:rPr>
          <w:rFonts w:hint="cs"/>
          <w:sz w:val="26"/>
          <w:szCs w:val="26"/>
          <w:rtl/>
          <w:lang w:val="en-CA"/>
        </w:rPr>
        <w:t xml:space="preserve"> لزيادة التوازن بين الجنسين فيما بين الخبراء والمدربين الذين يتم تعيينهم لأنشطة خطة إدارة إزالة المواد </w:t>
      </w:r>
      <w:r w:rsidR="003647D2" w:rsidRPr="005A6016">
        <w:rPr>
          <w:rFonts w:hint="cs"/>
          <w:sz w:val="26"/>
          <w:szCs w:val="26"/>
          <w:rtl/>
          <w:lang w:val="en-CA" w:bidi="ar-EG"/>
        </w:rPr>
        <w:t>الهيدروكلوروفلوروكربونية</w:t>
      </w:r>
      <w:r w:rsidR="003647D2" w:rsidRPr="005A6016">
        <w:rPr>
          <w:rFonts w:hint="cs"/>
          <w:sz w:val="26"/>
          <w:szCs w:val="26"/>
          <w:rtl/>
          <w:lang w:val="en-CA"/>
        </w:rPr>
        <w:t xml:space="preserve"> والمشاركين في مختلف البرامج، وتقديم البيانات على أساس الافضاض الجنساني في أنشطة المشروع. وجد بالفعل في تعزيز تنفيذ الشريحة الثانية معلومات عن النساء في تدريب موظفي الجمارك وموظفي الإنفاذ.</w:t>
      </w:r>
    </w:p>
    <w:p w:rsidR="004075C8" w:rsidRPr="005A6016" w:rsidRDefault="004075C8" w:rsidP="00C80327">
      <w:pPr>
        <w:keepNext/>
        <w:keepLines/>
        <w:bidi/>
        <w:rPr>
          <w:sz w:val="26"/>
          <w:szCs w:val="26"/>
          <w:u w:val="single"/>
          <w:rtl/>
          <w:lang w:val="en-CA" w:bidi="ar-EG"/>
        </w:rPr>
      </w:pPr>
      <w:r w:rsidRPr="005A6016">
        <w:rPr>
          <w:rFonts w:hint="cs"/>
          <w:sz w:val="26"/>
          <w:szCs w:val="26"/>
          <w:u w:val="single"/>
          <w:rtl/>
          <w:lang w:val="en-CA"/>
        </w:rPr>
        <w:t>استدامة إزالة الهيدروكلوروفلوروكربون</w:t>
      </w:r>
    </w:p>
    <w:p w:rsidR="00530166" w:rsidRPr="005A6016" w:rsidRDefault="00530166" w:rsidP="00C80327">
      <w:pPr>
        <w:bidi/>
        <w:rPr>
          <w:sz w:val="26"/>
          <w:szCs w:val="26"/>
          <w:u w:val="single"/>
          <w:rtl/>
          <w:lang w:val="en-CA" w:bidi="ar-EG"/>
        </w:rPr>
      </w:pPr>
    </w:p>
    <w:p w:rsidR="003647D2" w:rsidRPr="005A6016" w:rsidRDefault="003647D2" w:rsidP="00F23C83">
      <w:pPr>
        <w:pStyle w:val="Heading1"/>
        <w:keepNext/>
        <w:tabs>
          <w:tab w:val="clear" w:pos="141"/>
          <w:tab w:val="num" w:pos="0"/>
        </w:tabs>
        <w:bidi/>
        <w:ind w:left="0"/>
        <w:rPr>
          <w:sz w:val="26"/>
          <w:szCs w:val="26"/>
          <w:lang w:val="en-CA"/>
        </w:rPr>
      </w:pPr>
      <w:r w:rsidRPr="005A6016">
        <w:rPr>
          <w:rFonts w:hint="cs"/>
          <w:sz w:val="26"/>
          <w:szCs w:val="26"/>
          <w:rtl/>
          <w:lang w:val="en-CA"/>
        </w:rPr>
        <w:t>سيجري ضمان استدامة إزالة الهيدروكلوروفلوروكربون من خلال الدعم الجاري المقدم لمراكز التدريب المهني، واعتماد الفنيين من خلال المعهد الوطني لتكنولوجيا التبريد وتسوية المترولوجيا</w:t>
      </w:r>
      <w:r w:rsidR="00F23C83" w:rsidRPr="005A6016">
        <w:rPr>
          <w:rFonts w:hint="cs"/>
          <w:sz w:val="26"/>
          <w:szCs w:val="26"/>
          <w:rtl/>
          <w:lang w:val="en-CA"/>
        </w:rPr>
        <w:t xml:space="preserve"> بالاضافة الى الجهود التي اتخذتها الحكومة وروابط قطاع الخدمة (رابطة تكنولوجيا التبريد في باراغوي) للترويج لاستخدام الفنيين المعتمدين لخدمة أجهزة تكييف الهواء، والإنفاذ الفعال لنظام التراخيص والحصص للهيدروكلوروفلوروكربون بالاقتران مع المشاركة الفعالة من جانب معهد تدريب موظفي الجمارك في باراغواي وغير ذلك من المؤسسات في مختلف الإدارات العاملة في تدريب موظفي الانفاذ وتدابير منع الاتجار غير القانوني وأنشطة التوعية والإرشاد للترويج لتطبيق التكنولوجيات الحالية من </w:t>
      </w:r>
      <w:r w:rsidR="00F23C83" w:rsidRPr="005A6016">
        <w:rPr>
          <w:rFonts w:hint="cs"/>
          <w:sz w:val="26"/>
          <w:szCs w:val="26"/>
          <w:rtl/>
          <w:lang w:val="en-CA" w:bidi="ar-EG"/>
        </w:rPr>
        <w:t>الهيدروكلوروفلوروكربون والمنخفضة القدرة على الاحترار العالمي.</w:t>
      </w:r>
    </w:p>
    <w:p w:rsidR="004075C8" w:rsidRPr="005A6016" w:rsidRDefault="004075C8" w:rsidP="00C80327">
      <w:pPr>
        <w:bidi/>
        <w:rPr>
          <w:sz w:val="26"/>
          <w:szCs w:val="26"/>
          <w:u w:val="single"/>
          <w:rtl/>
          <w:lang w:val="en-CA"/>
        </w:rPr>
      </w:pPr>
      <w:r w:rsidRPr="005A6016">
        <w:rPr>
          <w:rFonts w:hint="cs"/>
          <w:sz w:val="26"/>
          <w:szCs w:val="26"/>
          <w:u w:val="single"/>
          <w:rtl/>
          <w:lang w:val="en-CA"/>
        </w:rPr>
        <w:t>الخلاصة</w:t>
      </w:r>
    </w:p>
    <w:p w:rsidR="00530166" w:rsidRPr="005A6016" w:rsidRDefault="00530166" w:rsidP="00C80327">
      <w:pPr>
        <w:bidi/>
        <w:rPr>
          <w:sz w:val="26"/>
          <w:szCs w:val="26"/>
          <w:lang w:val="en-CA" w:bidi="ar-EG"/>
        </w:rPr>
      </w:pPr>
    </w:p>
    <w:p w:rsidR="00F23C83" w:rsidRPr="005A6016" w:rsidRDefault="00F23C83" w:rsidP="00D44379">
      <w:pPr>
        <w:pStyle w:val="Heading1"/>
        <w:bidi/>
        <w:ind w:left="720" w:hanging="579"/>
        <w:rPr>
          <w:sz w:val="26"/>
          <w:szCs w:val="26"/>
          <w:lang w:val="en-CA"/>
        </w:rPr>
      </w:pPr>
      <w:r w:rsidRPr="005A6016">
        <w:rPr>
          <w:rFonts w:hint="cs"/>
          <w:sz w:val="26"/>
          <w:szCs w:val="26"/>
          <w:rtl/>
          <w:lang w:val="en-CA"/>
        </w:rPr>
        <w:t xml:space="preserve">تواصل باراغواي الالتزام بأهداف الرقابة في بروتوكول مونتريال من خلال التنفيذ الفعال لنظام التراخيص والحصص. وحققت الحكومة تقدما إضافيا في أنشطة خطة إدارة إزالة المواد </w:t>
      </w:r>
      <w:r w:rsidRPr="005A6016">
        <w:rPr>
          <w:rFonts w:hint="cs"/>
          <w:sz w:val="26"/>
          <w:szCs w:val="26"/>
          <w:rtl/>
          <w:lang w:val="en-CA" w:bidi="ar-EG"/>
        </w:rPr>
        <w:t>الهيدروكلوروفلوروكربونية بما في ذلك بناء قدرات موظفي الجمارك وفنيي الخدمة وتقديم الدعم لمؤسسات التدريب بالمعدات وعمليات مراكز الاسترجاع وإعادة التدوير والترويج لتطبيق البدائل الخالية من الهيدروكلوروفلوروكربون المنخفضة القدرة على الاحترار العالمي الذي يسهم في الخفض المستدام في استهلاك الهيدروكلوروفلوروكربون في البلد. وسوف يعالج استخدام البوليولات السابقة الخلط المستوردة المتضمنة الهيدروكلوروفلوروكربون-</w:t>
      </w:r>
      <w:r w:rsidRPr="005A6016">
        <w:rPr>
          <w:rFonts w:hint="cs"/>
          <w:sz w:val="26"/>
          <w:szCs w:val="26"/>
          <w:rtl/>
          <w:lang w:val="en-CA" w:bidi="ar-EG"/>
        </w:rPr>
        <w:lastRenderedPageBreak/>
        <w:t>141ب خلال المرحلة</w:t>
      </w:r>
      <w:r w:rsidR="00D44379" w:rsidRPr="005A6016">
        <w:rPr>
          <w:rFonts w:hint="cs"/>
          <w:sz w:val="26"/>
          <w:szCs w:val="26"/>
          <w:rtl/>
          <w:lang w:val="en-CA" w:bidi="ar-EG"/>
        </w:rPr>
        <w:t xml:space="preserve"> الثانية من حصة إدارة إزالة المواد الهيدروكلوروفلوروكربونية التي يتوقع تقديمها في 2021. ووزع أكثر من 92 في المائة من الأموال الموافق عليها. وسوف تواصل الحكومة خلال الشريحة الأخيرة تنفيذ أنشطة الإنفاذ بما في ذلك تدريب موظفي الجمارك لضمان أن يظل استهلاك الهيدروكلوروفلوروكربون دون أهداف بروتوكول مونتريال والاتفاق ودعم قطاع الخدمة من خلال تدريب واعتماد الفنيين وتنفيذ أنشطة التوعية والارشاد لتعظيم اعتماد البدائل الخالية من الهيدروكلوروفلوروكربون المنخفضة القدرة على الاحترار العالمي في قطاع الخدمة.</w:t>
      </w:r>
    </w:p>
    <w:p w:rsidR="004117B2" w:rsidRPr="005A6016" w:rsidRDefault="004117B2" w:rsidP="00C80327">
      <w:pPr>
        <w:bidi/>
        <w:rPr>
          <w:b/>
          <w:sz w:val="26"/>
          <w:szCs w:val="26"/>
          <w:rtl/>
          <w:lang w:val="en-CA" w:bidi="ar-EG"/>
        </w:rPr>
      </w:pPr>
      <w:r w:rsidRPr="005A6016">
        <w:rPr>
          <w:rFonts w:hint="cs"/>
          <w:bCs/>
          <w:sz w:val="26"/>
          <w:szCs w:val="26"/>
          <w:rtl/>
          <w:lang w:val="en-CA"/>
        </w:rPr>
        <w:t>التوصية</w:t>
      </w:r>
    </w:p>
    <w:p w:rsidR="00530166" w:rsidRPr="005A6016" w:rsidRDefault="00530166" w:rsidP="00C80327">
      <w:pPr>
        <w:bidi/>
        <w:rPr>
          <w:sz w:val="26"/>
          <w:szCs w:val="26"/>
          <w:rtl/>
          <w:lang w:val="en-CA" w:bidi="ar-EG"/>
        </w:rPr>
      </w:pPr>
    </w:p>
    <w:p w:rsidR="00D44379" w:rsidRPr="005A6016" w:rsidRDefault="00D44379" w:rsidP="00D44379">
      <w:pPr>
        <w:pStyle w:val="Heading1"/>
        <w:bidi/>
        <w:rPr>
          <w:sz w:val="26"/>
          <w:szCs w:val="26"/>
          <w:lang w:val="en-CA"/>
        </w:rPr>
      </w:pPr>
      <w:r w:rsidRPr="005A6016">
        <w:rPr>
          <w:rFonts w:hint="cs"/>
          <w:sz w:val="26"/>
          <w:szCs w:val="26"/>
          <w:rtl/>
          <w:lang w:val="en-CA"/>
        </w:rPr>
        <w:t xml:space="preserve">توصي أمانة الصندوق بأن تحاط اللجنة التنفيذية علما بالتقرير المرحلي عن تنفيذ الشريحة الثانية من المرحلة الأولى من خطة إدارة إزالة المواد </w:t>
      </w:r>
      <w:r w:rsidRPr="005A6016">
        <w:rPr>
          <w:rFonts w:hint="cs"/>
          <w:sz w:val="26"/>
          <w:szCs w:val="26"/>
          <w:rtl/>
          <w:lang w:val="en-CA" w:bidi="ar-EG"/>
        </w:rPr>
        <w:t>الهيدروكلوروفلوروكربونية لباراغواي، وأن توصي كذلك بالموافقة الشمولية على الشريحة الثالثة والأخيرة من المرحلة الأولى من خطة إدارة إزالة المواد الهيدروكلوروفلوروكربونية لباراغواي وخطة تنفيذ الشريحة للفترة 2020-2021 ومستوى الصرف المبين في الجدول التالي:</w:t>
      </w:r>
    </w:p>
    <w:tbl>
      <w:tblPr>
        <w:bidiVisual/>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4320"/>
        <w:gridCol w:w="1461"/>
        <w:gridCol w:w="1461"/>
        <w:gridCol w:w="1461"/>
      </w:tblGrid>
      <w:tr w:rsidR="00A35956" w:rsidRPr="005A6016" w:rsidTr="004117B2">
        <w:tc>
          <w:tcPr>
            <w:tcW w:w="563" w:type="dxa"/>
            <w:tcBorders>
              <w:top w:val="single" w:sz="4" w:space="0" w:color="auto"/>
              <w:left w:val="single" w:sz="4" w:space="0" w:color="auto"/>
              <w:bottom w:val="single" w:sz="4" w:space="0" w:color="auto"/>
              <w:right w:val="single" w:sz="4" w:space="0" w:color="auto"/>
            </w:tcBorders>
          </w:tcPr>
          <w:p w:rsidR="00A35956" w:rsidRPr="005A6016" w:rsidRDefault="00A35956" w:rsidP="00C80327">
            <w:pPr>
              <w:keepNext/>
              <w:bidi/>
              <w:jc w:val="center"/>
              <w:rPr>
                <w:b/>
                <w:bCs/>
                <w:sz w:val="26"/>
                <w:szCs w:val="26"/>
                <w:lang w:val="en-CA"/>
              </w:rPr>
            </w:pPr>
          </w:p>
        </w:tc>
        <w:tc>
          <w:tcPr>
            <w:tcW w:w="4320" w:type="dxa"/>
            <w:tcBorders>
              <w:top w:val="single" w:sz="4" w:space="0" w:color="auto"/>
              <w:left w:val="single" w:sz="4" w:space="0" w:color="auto"/>
              <w:bottom w:val="single" w:sz="4" w:space="0" w:color="auto"/>
              <w:right w:val="single" w:sz="4" w:space="0" w:color="auto"/>
            </w:tcBorders>
            <w:hideMark/>
          </w:tcPr>
          <w:p w:rsidR="00A35956" w:rsidRPr="005A6016" w:rsidRDefault="00A35956" w:rsidP="00C80327">
            <w:pPr>
              <w:keepNext/>
              <w:bidi/>
              <w:jc w:val="center"/>
              <w:rPr>
                <w:b/>
                <w:bCs/>
                <w:sz w:val="26"/>
                <w:szCs w:val="26"/>
                <w:lang w:val="en-CA"/>
              </w:rPr>
            </w:pPr>
            <w:r w:rsidRPr="005A6016">
              <w:rPr>
                <w:b/>
                <w:bCs/>
                <w:color w:val="000000"/>
                <w:sz w:val="26"/>
                <w:szCs w:val="26"/>
                <w:rtl/>
              </w:rPr>
              <w:tab/>
            </w:r>
            <w:r w:rsidRPr="005A6016">
              <w:rPr>
                <w:rFonts w:hint="cs"/>
                <w:b/>
                <w:bCs/>
                <w:color w:val="000000"/>
                <w:sz w:val="26"/>
                <w:szCs w:val="26"/>
                <w:rtl/>
              </w:rPr>
              <w:t>عنوان المشروع</w:t>
            </w:r>
            <w:r w:rsidRPr="005A6016">
              <w:rPr>
                <w:b/>
                <w:bCs/>
                <w:color w:val="000000"/>
                <w:sz w:val="26"/>
                <w:szCs w:val="26"/>
                <w:rtl/>
              </w:rPr>
              <w:tab/>
            </w:r>
          </w:p>
        </w:tc>
        <w:tc>
          <w:tcPr>
            <w:tcW w:w="14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A35956" w:rsidRPr="005A6016" w:rsidRDefault="00A35956" w:rsidP="00C80327">
            <w:pPr>
              <w:keepNext/>
              <w:bidi/>
              <w:jc w:val="center"/>
              <w:rPr>
                <w:b/>
                <w:bCs/>
                <w:sz w:val="26"/>
                <w:szCs w:val="26"/>
                <w:lang w:val="en-CA"/>
              </w:rPr>
            </w:pPr>
            <w:r w:rsidRPr="005A6016">
              <w:rPr>
                <w:rFonts w:hint="cs"/>
                <w:b/>
                <w:bCs/>
                <w:color w:val="000000"/>
                <w:sz w:val="26"/>
                <w:szCs w:val="26"/>
                <w:rtl/>
              </w:rPr>
              <w:t>تمويل المشروع (بالدولار الأمريكي)</w:t>
            </w:r>
          </w:p>
        </w:tc>
        <w:tc>
          <w:tcPr>
            <w:tcW w:w="14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A35956" w:rsidRPr="005A6016" w:rsidRDefault="00A35956" w:rsidP="00C80327">
            <w:pPr>
              <w:keepNext/>
              <w:bidi/>
              <w:jc w:val="center"/>
              <w:rPr>
                <w:b/>
                <w:bCs/>
                <w:sz w:val="26"/>
                <w:szCs w:val="26"/>
                <w:lang w:val="en-CA"/>
              </w:rPr>
            </w:pPr>
            <w:r w:rsidRPr="005A6016">
              <w:rPr>
                <w:rFonts w:hint="cs"/>
                <w:b/>
                <w:bCs/>
                <w:color w:val="000000"/>
                <w:sz w:val="26"/>
                <w:szCs w:val="26"/>
                <w:rtl/>
              </w:rPr>
              <w:t>تكاليف الدعم (بالدولار الأمريكي)</w:t>
            </w:r>
          </w:p>
        </w:tc>
        <w:tc>
          <w:tcPr>
            <w:tcW w:w="14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A35956" w:rsidRPr="005A6016" w:rsidRDefault="00A35956" w:rsidP="00C80327">
            <w:pPr>
              <w:keepNext/>
              <w:bidi/>
              <w:jc w:val="center"/>
              <w:rPr>
                <w:b/>
                <w:bCs/>
                <w:sz w:val="26"/>
                <w:szCs w:val="26"/>
                <w:lang w:val="en-CA"/>
              </w:rPr>
            </w:pPr>
            <w:r w:rsidRPr="005A6016">
              <w:rPr>
                <w:rFonts w:hint="cs"/>
                <w:b/>
                <w:bCs/>
                <w:color w:val="000000"/>
                <w:sz w:val="26"/>
                <w:szCs w:val="26"/>
                <w:rtl/>
              </w:rPr>
              <w:t>الوكالة المنفذة</w:t>
            </w:r>
          </w:p>
        </w:tc>
      </w:tr>
      <w:tr w:rsidR="00530166" w:rsidRPr="005A6016" w:rsidTr="004117B2">
        <w:tc>
          <w:tcPr>
            <w:tcW w:w="563" w:type="dxa"/>
            <w:tcBorders>
              <w:top w:val="single" w:sz="4" w:space="0" w:color="auto"/>
              <w:left w:val="single" w:sz="4" w:space="0" w:color="auto"/>
              <w:bottom w:val="single" w:sz="4" w:space="0" w:color="auto"/>
              <w:right w:val="single" w:sz="4" w:space="0" w:color="auto"/>
            </w:tcBorders>
            <w:hideMark/>
          </w:tcPr>
          <w:p w:rsidR="00530166" w:rsidRPr="005A6016" w:rsidRDefault="00C42C7E" w:rsidP="00C42C7E">
            <w:pPr>
              <w:bidi/>
              <w:rPr>
                <w:sz w:val="26"/>
                <w:szCs w:val="26"/>
                <w:rtl/>
                <w:lang w:val="en-CA" w:bidi="ar-EG"/>
              </w:rPr>
            </w:pPr>
            <w:r w:rsidRPr="005A6016">
              <w:rPr>
                <w:rFonts w:hint="cs"/>
                <w:sz w:val="26"/>
                <w:szCs w:val="26"/>
                <w:rtl/>
                <w:lang w:val="en-CA" w:bidi="ar-EG"/>
              </w:rPr>
              <w:t>(أ)</w:t>
            </w:r>
          </w:p>
        </w:tc>
        <w:tc>
          <w:tcPr>
            <w:tcW w:w="4320" w:type="dxa"/>
            <w:tcBorders>
              <w:top w:val="single" w:sz="4" w:space="0" w:color="auto"/>
              <w:left w:val="single" w:sz="4" w:space="0" w:color="auto"/>
              <w:bottom w:val="single" w:sz="4" w:space="0" w:color="auto"/>
              <w:right w:val="single" w:sz="4" w:space="0" w:color="auto"/>
            </w:tcBorders>
            <w:hideMark/>
          </w:tcPr>
          <w:p w:rsidR="00530166" w:rsidRPr="005A6016" w:rsidRDefault="00A35956" w:rsidP="00A35956">
            <w:pPr>
              <w:bidi/>
              <w:rPr>
                <w:sz w:val="26"/>
                <w:szCs w:val="26"/>
                <w:lang w:val="en-CA"/>
              </w:rPr>
            </w:pPr>
            <w:r w:rsidRPr="005A6016">
              <w:rPr>
                <w:rFonts w:hint="cs"/>
                <w:sz w:val="26"/>
                <w:szCs w:val="26"/>
                <w:rtl/>
              </w:rPr>
              <w:t>خطة إدارة إزالة المواد الهيدروكلوروفلوروكربونية (المرحلة الأولى، الشريحة الثالثة)</w:t>
            </w:r>
          </w:p>
        </w:tc>
        <w:tc>
          <w:tcPr>
            <w:tcW w:w="1461" w:type="dxa"/>
            <w:tcBorders>
              <w:top w:val="single" w:sz="4" w:space="0" w:color="auto"/>
              <w:left w:val="single" w:sz="4" w:space="0" w:color="auto"/>
              <w:bottom w:val="single" w:sz="4" w:space="0" w:color="auto"/>
              <w:right w:val="single" w:sz="4" w:space="0" w:color="auto"/>
            </w:tcBorders>
            <w:hideMark/>
          </w:tcPr>
          <w:p w:rsidR="00530166" w:rsidRPr="005A6016" w:rsidRDefault="00530166" w:rsidP="00C42C7E">
            <w:pPr>
              <w:bidi/>
              <w:jc w:val="center"/>
              <w:rPr>
                <w:sz w:val="26"/>
                <w:szCs w:val="26"/>
                <w:lang w:val="en-CA"/>
              </w:rPr>
            </w:pPr>
            <w:r w:rsidRPr="005A6016">
              <w:rPr>
                <w:sz w:val="26"/>
                <w:szCs w:val="26"/>
                <w:lang w:val="en-CA"/>
              </w:rPr>
              <w:t>63,000</w:t>
            </w:r>
          </w:p>
        </w:tc>
        <w:tc>
          <w:tcPr>
            <w:tcW w:w="1461" w:type="dxa"/>
            <w:tcBorders>
              <w:top w:val="single" w:sz="4" w:space="0" w:color="auto"/>
              <w:left w:val="single" w:sz="4" w:space="0" w:color="auto"/>
              <w:bottom w:val="single" w:sz="4" w:space="0" w:color="auto"/>
              <w:right w:val="single" w:sz="4" w:space="0" w:color="auto"/>
            </w:tcBorders>
            <w:hideMark/>
          </w:tcPr>
          <w:p w:rsidR="00530166" w:rsidRPr="005A6016" w:rsidRDefault="00530166" w:rsidP="00C42C7E">
            <w:pPr>
              <w:bidi/>
              <w:jc w:val="center"/>
              <w:rPr>
                <w:sz w:val="26"/>
                <w:szCs w:val="26"/>
                <w:lang w:val="en-CA"/>
              </w:rPr>
            </w:pPr>
            <w:r w:rsidRPr="005A6016">
              <w:rPr>
                <w:sz w:val="26"/>
                <w:szCs w:val="26"/>
                <w:lang w:val="en-CA"/>
              </w:rPr>
              <w:t>8,190</w:t>
            </w:r>
          </w:p>
        </w:tc>
        <w:tc>
          <w:tcPr>
            <w:tcW w:w="1461" w:type="dxa"/>
            <w:tcBorders>
              <w:top w:val="single" w:sz="4" w:space="0" w:color="auto"/>
              <w:left w:val="single" w:sz="4" w:space="0" w:color="auto"/>
              <w:bottom w:val="single" w:sz="4" w:space="0" w:color="auto"/>
              <w:right w:val="single" w:sz="4" w:space="0" w:color="auto"/>
            </w:tcBorders>
            <w:hideMark/>
          </w:tcPr>
          <w:p w:rsidR="00530166" w:rsidRPr="005A6016" w:rsidRDefault="00C42C7E" w:rsidP="00C42C7E">
            <w:pPr>
              <w:bidi/>
              <w:jc w:val="center"/>
              <w:rPr>
                <w:sz w:val="26"/>
                <w:szCs w:val="26"/>
                <w:lang w:val="en-CA" w:bidi="ar-EG"/>
              </w:rPr>
            </w:pPr>
            <w:r w:rsidRPr="005A6016">
              <w:rPr>
                <w:rFonts w:hint="cs"/>
                <w:sz w:val="26"/>
                <w:szCs w:val="26"/>
                <w:rtl/>
                <w:lang w:val="en-CA" w:bidi="ar-EG"/>
              </w:rPr>
              <w:t>اليونيب</w:t>
            </w:r>
          </w:p>
        </w:tc>
      </w:tr>
    </w:tbl>
    <w:p w:rsidR="00BB2764" w:rsidRPr="004B41C8" w:rsidRDefault="00BB2764" w:rsidP="00C80327">
      <w:pPr>
        <w:bidi/>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4B41C8" w:rsidTr="0014124A">
        <w:tc>
          <w:tcPr>
            <w:tcW w:w="1871" w:type="dxa"/>
          </w:tcPr>
          <w:p w:rsidR="00E85409" w:rsidRPr="004B41C8" w:rsidRDefault="00E85409" w:rsidP="00C80327">
            <w:pPr>
              <w:bidi/>
            </w:pPr>
          </w:p>
        </w:tc>
        <w:tc>
          <w:tcPr>
            <w:tcW w:w="1872" w:type="dxa"/>
          </w:tcPr>
          <w:p w:rsidR="00E85409" w:rsidRPr="004B41C8" w:rsidRDefault="00E85409" w:rsidP="00C80327">
            <w:pPr>
              <w:bidi/>
            </w:pPr>
          </w:p>
        </w:tc>
        <w:tc>
          <w:tcPr>
            <w:tcW w:w="1872" w:type="dxa"/>
            <w:tcBorders>
              <w:bottom w:val="single" w:sz="4" w:space="0" w:color="auto"/>
            </w:tcBorders>
          </w:tcPr>
          <w:p w:rsidR="00E85409" w:rsidRPr="004B41C8" w:rsidRDefault="00E85409" w:rsidP="00C80327">
            <w:pPr>
              <w:bidi/>
            </w:pPr>
          </w:p>
        </w:tc>
        <w:tc>
          <w:tcPr>
            <w:tcW w:w="1872" w:type="dxa"/>
          </w:tcPr>
          <w:p w:rsidR="00E85409" w:rsidRPr="004B41C8" w:rsidRDefault="00E85409" w:rsidP="00C80327">
            <w:pPr>
              <w:bidi/>
            </w:pPr>
          </w:p>
        </w:tc>
        <w:tc>
          <w:tcPr>
            <w:tcW w:w="1873" w:type="dxa"/>
          </w:tcPr>
          <w:p w:rsidR="00E85409" w:rsidRPr="004B41C8" w:rsidRDefault="00E85409" w:rsidP="00C80327">
            <w:pPr>
              <w:bidi/>
            </w:pPr>
          </w:p>
        </w:tc>
      </w:tr>
    </w:tbl>
    <w:p w:rsidR="00E85409" w:rsidRPr="004B41C8" w:rsidRDefault="00E85409" w:rsidP="00C80327">
      <w:pPr>
        <w:bidi/>
        <w:rPr>
          <w:lang w:val="en-CA"/>
        </w:rPr>
      </w:pPr>
    </w:p>
    <w:sectPr w:rsidR="00E85409" w:rsidRPr="004B41C8"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AD" w:rsidRDefault="00E61CAD" w:rsidP="004A504B">
      <w:r>
        <w:separator/>
      </w:r>
    </w:p>
  </w:endnote>
  <w:endnote w:type="continuationSeparator" w:id="0">
    <w:p w:rsidR="00E61CAD" w:rsidRDefault="00E61CA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9" w:rsidRPr="0033525D" w:rsidRDefault="00517293">
    <w:pPr>
      <w:jc w:val="center"/>
    </w:pPr>
    <w:r>
      <w:fldChar w:fldCharType="begin"/>
    </w:r>
    <w:r w:rsidR="009838A9">
      <w:instrText xml:space="preserve"> PAGE </w:instrText>
    </w:r>
    <w:r>
      <w:fldChar w:fldCharType="separate"/>
    </w:r>
    <w:r w:rsidR="005A601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9" w:rsidRPr="0033525D" w:rsidRDefault="00517293">
    <w:pPr>
      <w:jc w:val="center"/>
    </w:pPr>
    <w:r>
      <w:fldChar w:fldCharType="begin"/>
    </w:r>
    <w:r w:rsidR="009838A9">
      <w:instrText xml:space="preserve"> PAGE </w:instrText>
    </w:r>
    <w:r>
      <w:fldChar w:fldCharType="separate"/>
    </w:r>
    <w:r w:rsidR="005A601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9" w:rsidRPr="005A6016" w:rsidRDefault="009838A9" w:rsidP="00F22D0E">
    <w:pPr>
      <w:pBdr>
        <w:top w:val="single" w:sz="4" w:space="1" w:color="auto"/>
        <w:left w:val="single" w:sz="4" w:space="0" w:color="auto"/>
        <w:bottom w:val="single" w:sz="4" w:space="1" w:color="auto"/>
        <w:right w:val="single" w:sz="4" w:space="0" w:color="auto"/>
      </w:pBdr>
      <w:bidi/>
      <w:jc w:val="center"/>
      <w:rPr>
        <w:rFonts w:cs="Arabic Transparent"/>
        <w:sz w:val="24"/>
        <w:szCs w:val="20"/>
        <w:rtl/>
        <w:lang w:bidi="ar-DZ"/>
      </w:rPr>
    </w:pPr>
    <w:r w:rsidRPr="005A6016">
      <w:rPr>
        <w:rFonts w:cs="Arabic Transparent" w:hint="cs"/>
        <w:sz w:val="24"/>
        <w:szCs w:val="20"/>
        <w:rtl/>
        <w:lang w:bidi="ar-DZ"/>
      </w:rPr>
      <w:t>إن وثائق ما قبل دورات اللجنة التنفيذية للصندوق المتعدد الأطراف لتنفيذ بروتوكول مونتريال</w:t>
    </w:r>
    <w:r w:rsidRPr="005A6016">
      <w:rPr>
        <w:rFonts w:cs="Arabic Transparent"/>
        <w:sz w:val="24"/>
        <w:szCs w:val="20"/>
        <w:lang w:bidi="ar-DZ"/>
      </w:rPr>
      <w:t xml:space="preserve"> </w:t>
    </w:r>
  </w:p>
  <w:p w:rsidR="009838A9" w:rsidRPr="00F22D0E" w:rsidRDefault="009838A9" w:rsidP="00F22D0E">
    <w:pPr>
      <w:pBdr>
        <w:top w:val="single" w:sz="4" w:space="1" w:color="auto"/>
        <w:left w:val="single" w:sz="4" w:space="0" w:color="auto"/>
        <w:bottom w:val="single" w:sz="4" w:space="1" w:color="auto"/>
        <w:right w:val="single" w:sz="4" w:space="0" w:color="auto"/>
      </w:pBdr>
      <w:bidi/>
      <w:jc w:val="center"/>
      <w:rPr>
        <w:rFonts w:cs="Arabic Transparent"/>
        <w:sz w:val="24"/>
        <w:szCs w:val="20"/>
        <w:lang w:bidi="ar-DZ"/>
      </w:rPr>
    </w:pPr>
    <w:r w:rsidRPr="005A6016">
      <w:rPr>
        <w:rFonts w:cs="Arabic Transparent" w:hint="cs"/>
        <w:sz w:val="24"/>
        <w:szCs w:val="20"/>
        <w:rtl/>
        <w:lang w:bidi="ar-DZ"/>
      </w:rPr>
      <w:t>قد تصدر دون إخلال بأي قرار تتخذه اللجنة التنفيذية بعد صدورها.</w:t>
    </w:r>
    <w:r w:rsidRPr="00F22D0E">
      <w:rPr>
        <w:rFonts w:cs="Arabic Transparent"/>
        <w:sz w:val="24"/>
        <w:szCs w:val="20"/>
        <w:lang w:bidi="ar-DZ"/>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AD" w:rsidRDefault="00E61CAD" w:rsidP="00F22D0E">
      <w:pPr>
        <w:bidi/>
      </w:pPr>
      <w:r>
        <w:separator/>
      </w:r>
    </w:p>
  </w:footnote>
  <w:footnote w:type="continuationSeparator" w:id="0">
    <w:p w:rsidR="00E61CAD" w:rsidRDefault="00E61CAD" w:rsidP="004A504B">
      <w:r>
        <w:continuationSeparator/>
      </w:r>
    </w:p>
  </w:footnote>
  <w:footnote w:id="1">
    <w:p w:rsidR="009838A9" w:rsidRPr="006E126D" w:rsidRDefault="009838A9" w:rsidP="00F22D0E">
      <w:pPr>
        <w:pStyle w:val="StyleHeader4Para4Left0Firstline0"/>
        <w:numPr>
          <w:ilvl w:val="0"/>
          <w:numId w:val="0"/>
        </w:numPr>
        <w:bidi/>
        <w:ind w:left="720"/>
        <w:jc w:val="left"/>
        <w:rPr>
          <w:rtl/>
          <w:lang w:val="en-CA" w:bidi="ar-EG"/>
        </w:rPr>
      </w:pPr>
      <w:r>
        <w:rPr>
          <w:rStyle w:val="FootnoteReference"/>
        </w:rPr>
        <w:footnoteRef/>
      </w:r>
      <w:r>
        <w:t xml:space="preserve"> </w:t>
      </w:r>
      <w:r>
        <w:rPr>
          <w:rFonts w:hint="cs"/>
          <w:rtl/>
          <w:lang w:bidi="ar-EG"/>
        </w:rPr>
        <w:t xml:space="preserve"> </w:t>
      </w:r>
      <w:r>
        <w:rPr>
          <w:rFonts w:hint="cs"/>
          <w:rtl/>
          <w:lang w:val="en-CA" w:bidi="ar-BH"/>
        </w:rPr>
        <w:t xml:space="preserve"> </w:t>
      </w:r>
      <w:r>
        <w:rPr>
          <w:rFonts w:hint="cs"/>
          <w:rtl/>
          <w:lang w:bidi="ar-BH"/>
        </w:rPr>
        <w:t xml:space="preserve">بسبب </w:t>
      </w:r>
      <w:r>
        <w:rPr>
          <w:rFonts w:hint="cs"/>
          <w:rtl/>
          <w:lang w:val="en-CA" w:bidi="ar-BH"/>
        </w:rPr>
        <w:t>فيروس كورونا (كوفيد-19)</w:t>
      </w:r>
    </w:p>
    <w:p w:rsidR="009838A9" w:rsidRPr="006E126D" w:rsidRDefault="009838A9" w:rsidP="00C80327">
      <w:pPr>
        <w:pStyle w:val="FootnoteText"/>
        <w:bidi/>
        <w:rPr>
          <w:lang w:val="en-CA"/>
        </w:rPr>
      </w:pPr>
    </w:p>
  </w:footnote>
  <w:footnote w:id="2">
    <w:p w:rsidR="009838A9" w:rsidRDefault="009838A9" w:rsidP="005F2070">
      <w:pPr>
        <w:pStyle w:val="FootnoteText"/>
        <w:bidi/>
        <w:rPr>
          <w:lang w:val="en-CA"/>
        </w:rPr>
      </w:pPr>
      <w:r>
        <w:rPr>
          <w:rStyle w:val="FootnoteReference"/>
        </w:rPr>
        <w:footnoteRef/>
      </w:r>
      <w:r>
        <w:t xml:space="preserve"> </w:t>
      </w:r>
      <w:r w:rsidR="001F7B17">
        <w:rPr>
          <w:rFonts w:hint="cs"/>
          <w:rtl/>
          <w:lang w:val="en-CA" w:bidi="ar-EG"/>
        </w:rPr>
        <w:t xml:space="preserve"> </w:t>
      </w:r>
      <w:r w:rsidR="005F2070">
        <w:rPr>
          <w:rFonts w:hint="cs"/>
          <w:rtl/>
          <w:lang w:val="en-CA" w:bidi="ar-EG"/>
        </w:rPr>
        <w:t>بحسب</w:t>
      </w:r>
      <w:r w:rsidR="001F7B17">
        <w:rPr>
          <w:rFonts w:hint="cs"/>
          <w:rtl/>
          <w:lang w:val="en-CA" w:bidi="ar-EG"/>
        </w:rPr>
        <w:t xml:space="preserve"> الرسالة المرسلة في 18 يونيه/حزيران 2020 من وزير البيئة والتنمية المستدامة في أوراغواي لليونيب.</w:t>
      </w:r>
    </w:p>
  </w:footnote>
  <w:footnote w:id="3">
    <w:p w:rsidR="00E81D88" w:rsidRPr="00413971" w:rsidRDefault="00E81D88" w:rsidP="00E81D88">
      <w:pPr>
        <w:pStyle w:val="FootnoteText"/>
        <w:bidi/>
        <w:rPr>
          <w:lang w:val="en-US"/>
        </w:rPr>
      </w:pPr>
      <w:r w:rsidRPr="00BB16AF">
        <w:rPr>
          <w:rStyle w:val="FootnoteReference"/>
        </w:rPr>
        <w:footnoteRef/>
      </w:r>
      <w:r w:rsidRPr="00BB16AF">
        <w:t xml:space="preserve"> </w:t>
      </w:r>
      <w:r>
        <w:rPr>
          <w:rFonts w:hint="cs"/>
          <w:rtl/>
          <w:lang w:val="en-US"/>
        </w:rPr>
        <w:t xml:space="preserve"> الفقرة 26 من الوثيقة </w:t>
      </w:r>
      <w:r w:rsidRPr="00BB16AF">
        <w:rPr>
          <w:lang w:val="en-US"/>
        </w:rPr>
        <w:t>UNEP/OzL.Pro/ExCom/74/44</w:t>
      </w:r>
      <w:r>
        <w:rPr>
          <w:rFonts w:hint="cs"/>
          <w:rtl/>
          <w:lang w:val="en-US"/>
        </w:rPr>
        <w:t>.</w:t>
      </w:r>
    </w:p>
  </w:footnote>
  <w:footnote w:id="4">
    <w:p w:rsidR="009838A9" w:rsidRDefault="009838A9" w:rsidP="00FD5FC1">
      <w:pPr>
        <w:pStyle w:val="FootnoteText"/>
        <w:bidi/>
        <w:rPr>
          <w:lang w:val="en-CA"/>
        </w:rPr>
      </w:pPr>
      <w:r>
        <w:rPr>
          <w:rStyle w:val="FootnoteReference"/>
        </w:rPr>
        <w:footnoteRef/>
      </w:r>
      <w:r>
        <w:t xml:space="preserve"> </w:t>
      </w:r>
      <w:r>
        <w:rPr>
          <w:rFonts w:hint="cs"/>
          <w:rtl/>
          <w:lang w:val="en-US" w:bidi="ar-EG"/>
        </w:rPr>
        <w:t xml:space="preserve"> المقرر 84/92(د) </w:t>
      </w:r>
      <w:r w:rsidR="00FD5FC1">
        <w:rPr>
          <w:rFonts w:hint="cs"/>
          <w:rtl/>
          <w:lang w:val="en-US" w:bidi="ar-EG"/>
        </w:rPr>
        <w:t xml:space="preserve">الذي يطلب </w:t>
      </w:r>
      <w:r>
        <w:rPr>
          <w:rFonts w:hint="cs"/>
          <w:rtl/>
          <w:lang w:val="en-US" w:bidi="ar-EG"/>
        </w:rPr>
        <w:t>من الوكالات الثنائية والمنفذة تطبيق السياسة التنفيذية ل</w:t>
      </w:r>
      <w:r w:rsidR="00FD5FC1">
        <w:rPr>
          <w:rFonts w:hint="cs"/>
          <w:rtl/>
          <w:lang w:val="en-US" w:bidi="ar-EG"/>
        </w:rPr>
        <w:t>لتعميم الجنساني</w:t>
      </w:r>
      <w:r>
        <w:rPr>
          <w:rFonts w:hint="cs"/>
          <w:rtl/>
          <w:lang w:val="en-US" w:bidi="ar-EG"/>
        </w:rPr>
        <w:t xml:space="preserve"> في </w:t>
      </w:r>
      <w:r w:rsidR="00FD5FC1">
        <w:rPr>
          <w:rFonts w:hint="cs"/>
          <w:rtl/>
          <w:lang w:val="en-US" w:bidi="ar-EG"/>
        </w:rPr>
        <w:t>جميع أنحاء دورة المشروع</w:t>
      </w:r>
      <w:r>
        <w:rPr>
          <w:rFonts w:hint="cs"/>
          <w:rtl/>
          <w:lang w:val="en-US" w:bidi="ar-E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9" w:rsidRPr="0033525D" w:rsidRDefault="00517293" w:rsidP="005A6016">
    <w:pPr>
      <w:jc w:val="right"/>
    </w:pPr>
    <w:r>
      <w:fldChar w:fldCharType="begin"/>
    </w:r>
    <w:r w:rsidR="009838A9">
      <w:instrText xml:space="preserve"> DOCPROPERTY "Document number"  \* MERGEFORMAT </w:instrText>
    </w:r>
    <w:r>
      <w:fldChar w:fldCharType="separate"/>
    </w:r>
    <w:r w:rsidR="00317CF3">
      <w:t>UNEP/OzL.Pro/ExCom/86/69</w:t>
    </w:r>
    <w:r>
      <w:fldChar w:fldCharType="end"/>
    </w:r>
  </w:p>
  <w:p w:rsidR="009838A9" w:rsidRPr="0033525D" w:rsidRDefault="009838A9"/>
  <w:p w:rsidR="009838A9" w:rsidRPr="0033525D" w:rsidRDefault="009838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9" w:rsidRPr="0033525D" w:rsidRDefault="00517293" w:rsidP="005A6016">
    <w:pPr>
      <w:jc w:val="left"/>
    </w:pPr>
    <w:r>
      <w:fldChar w:fldCharType="begin"/>
    </w:r>
    <w:r w:rsidR="009838A9">
      <w:instrText xml:space="preserve"> DOCPROPERTY "Document number"  \* MERGEFORMAT </w:instrText>
    </w:r>
    <w:r>
      <w:fldChar w:fldCharType="separate"/>
    </w:r>
    <w:r w:rsidR="00317CF3">
      <w:t>UNEP/OzL.Pro/ExCom/86/69</w:t>
    </w:r>
    <w:r>
      <w:fldChar w:fldCharType="end"/>
    </w:r>
  </w:p>
  <w:p w:rsidR="009838A9" w:rsidRPr="0033525D" w:rsidRDefault="009838A9"/>
  <w:p w:rsidR="009838A9" w:rsidRPr="0033525D" w:rsidRDefault="009838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BB26532"/>
    <w:lvl w:ilvl="0">
      <w:start w:val="1"/>
      <w:numFmt w:val="decimal"/>
      <w:pStyle w:val="Heading1"/>
      <w:lvlText w:val="%1."/>
      <w:lvlJc w:val="left"/>
      <w:pPr>
        <w:tabs>
          <w:tab w:val="num" w:pos="141"/>
        </w:tabs>
        <w:ind w:left="141" w:firstLine="0"/>
      </w:pPr>
      <w:rPr>
        <w:rFonts w:hint="default"/>
        <w:i/>
        <w:iCs w:val="0"/>
      </w:rPr>
    </w:lvl>
    <w:lvl w:ilvl="1">
      <w:start w:val="1"/>
      <w:numFmt w:val="arabicAbjad"/>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637511"/>
    <w:multiLevelType w:val="hybridMultilevel"/>
    <w:tmpl w:val="D4CE9F50"/>
    <w:lvl w:ilvl="0" w:tplc="EE90A8E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FEC2DB1"/>
    <w:multiLevelType w:val="hybridMultilevel"/>
    <w:tmpl w:val="F0EC3B92"/>
    <w:lvl w:ilvl="0" w:tplc="5CBC17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E9F6BC4"/>
    <w:multiLevelType w:val="hybridMultilevel"/>
    <w:tmpl w:val="336882EC"/>
    <w:lvl w:ilvl="0" w:tplc="FE02445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8"/>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NKgFABGPPpktAAAA"/>
  </w:docVars>
  <w:rsids>
    <w:rsidRoot w:val="00530166"/>
    <w:rsid w:val="00000FED"/>
    <w:rsid w:val="0000434E"/>
    <w:rsid w:val="00006514"/>
    <w:rsid w:val="000140BA"/>
    <w:rsid w:val="00017FFB"/>
    <w:rsid w:val="000211A9"/>
    <w:rsid w:val="00023B09"/>
    <w:rsid w:val="000240E8"/>
    <w:rsid w:val="00031260"/>
    <w:rsid w:val="0003681A"/>
    <w:rsid w:val="000372B7"/>
    <w:rsid w:val="00037347"/>
    <w:rsid w:val="00050F6E"/>
    <w:rsid w:val="0005259B"/>
    <w:rsid w:val="00061EC2"/>
    <w:rsid w:val="000639D1"/>
    <w:rsid w:val="00080ED0"/>
    <w:rsid w:val="00085B8F"/>
    <w:rsid w:val="00090481"/>
    <w:rsid w:val="000947D8"/>
    <w:rsid w:val="00095171"/>
    <w:rsid w:val="000971F5"/>
    <w:rsid w:val="000A37CA"/>
    <w:rsid w:val="000A3826"/>
    <w:rsid w:val="000A6C26"/>
    <w:rsid w:val="000B471E"/>
    <w:rsid w:val="000B4D53"/>
    <w:rsid w:val="000D52A4"/>
    <w:rsid w:val="000E05C8"/>
    <w:rsid w:val="000E07BC"/>
    <w:rsid w:val="000E7276"/>
    <w:rsid w:val="000F1CD4"/>
    <w:rsid w:val="000F4103"/>
    <w:rsid w:val="000F70A7"/>
    <w:rsid w:val="00113CCA"/>
    <w:rsid w:val="00122F25"/>
    <w:rsid w:val="0012724D"/>
    <w:rsid w:val="00135980"/>
    <w:rsid w:val="0014124A"/>
    <w:rsid w:val="00141E11"/>
    <w:rsid w:val="00144E61"/>
    <w:rsid w:val="00164719"/>
    <w:rsid w:val="00166FC4"/>
    <w:rsid w:val="001677AC"/>
    <w:rsid w:val="001804EA"/>
    <w:rsid w:val="00190A61"/>
    <w:rsid w:val="0019221E"/>
    <w:rsid w:val="001A3342"/>
    <w:rsid w:val="001A3E3D"/>
    <w:rsid w:val="001A7049"/>
    <w:rsid w:val="001B1129"/>
    <w:rsid w:val="001B1E40"/>
    <w:rsid w:val="001C5266"/>
    <w:rsid w:val="001C764E"/>
    <w:rsid w:val="001D579C"/>
    <w:rsid w:val="001E1052"/>
    <w:rsid w:val="001E21B1"/>
    <w:rsid w:val="001E2F93"/>
    <w:rsid w:val="001E4554"/>
    <w:rsid w:val="001E61E5"/>
    <w:rsid w:val="001F2159"/>
    <w:rsid w:val="001F7B17"/>
    <w:rsid w:val="00210B8B"/>
    <w:rsid w:val="00214863"/>
    <w:rsid w:val="002156B4"/>
    <w:rsid w:val="00224FCD"/>
    <w:rsid w:val="002273C2"/>
    <w:rsid w:val="00245C85"/>
    <w:rsid w:val="00247128"/>
    <w:rsid w:val="00253222"/>
    <w:rsid w:val="00262847"/>
    <w:rsid w:val="00281BB2"/>
    <w:rsid w:val="00295259"/>
    <w:rsid w:val="002A66B0"/>
    <w:rsid w:val="002B254E"/>
    <w:rsid w:val="002B4809"/>
    <w:rsid w:val="002B4C77"/>
    <w:rsid w:val="002B72E9"/>
    <w:rsid w:val="002C7998"/>
    <w:rsid w:val="002D36EA"/>
    <w:rsid w:val="002F1E53"/>
    <w:rsid w:val="002F2306"/>
    <w:rsid w:val="002F2CAA"/>
    <w:rsid w:val="0030052C"/>
    <w:rsid w:val="00317CF3"/>
    <w:rsid w:val="003306E1"/>
    <w:rsid w:val="003320E4"/>
    <w:rsid w:val="0033525D"/>
    <w:rsid w:val="003414F3"/>
    <w:rsid w:val="00341E2F"/>
    <w:rsid w:val="00344A7E"/>
    <w:rsid w:val="0035613E"/>
    <w:rsid w:val="00363EE9"/>
    <w:rsid w:val="003647D2"/>
    <w:rsid w:val="00371A94"/>
    <w:rsid w:val="00376128"/>
    <w:rsid w:val="0037742E"/>
    <w:rsid w:val="003778D2"/>
    <w:rsid w:val="00377D56"/>
    <w:rsid w:val="0038245A"/>
    <w:rsid w:val="003840E6"/>
    <w:rsid w:val="00385CFC"/>
    <w:rsid w:val="0039337A"/>
    <w:rsid w:val="003A3189"/>
    <w:rsid w:val="003A3CA7"/>
    <w:rsid w:val="003A61BF"/>
    <w:rsid w:val="003A6E6D"/>
    <w:rsid w:val="003B33BD"/>
    <w:rsid w:val="003B373C"/>
    <w:rsid w:val="003B5266"/>
    <w:rsid w:val="003B569D"/>
    <w:rsid w:val="003C3C0E"/>
    <w:rsid w:val="003D42A6"/>
    <w:rsid w:val="003D4F21"/>
    <w:rsid w:val="003D4FAC"/>
    <w:rsid w:val="003D60B1"/>
    <w:rsid w:val="003E17E3"/>
    <w:rsid w:val="003E7906"/>
    <w:rsid w:val="003F3C50"/>
    <w:rsid w:val="00406A6A"/>
    <w:rsid w:val="00406B22"/>
    <w:rsid w:val="004075C8"/>
    <w:rsid w:val="004117B2"/>
    <w:rsid w:val="00413971"/>
    <w:rsid w:val="00426EA3"/>
    <w:rsid w:val="004328A7"/>
    <w:rsid w:val="00434C74"/>
    <w:rsid w:val="00456EB4"/>
    <w:rsid w:val="00456FCE"/>
    <w:rsid w:val="00462E02"/>
    <w:rsid w:val="00464F50"/>
    <w:rsid w:val="004718F3"/>
    <w:rsid w:val="00475040"/>
    <w:rsid w:val="0047774E"/>
    <w:rsid w:val="0049082F"/>
    <w:rsid w:val="00493D40"/>
    <w:rsid w:val="004967B6"/>
    <w:rsid w:val="004A504B"/>
    <w:rsid w:val="004A63AE"/>
    <w:rsid w:val="004A6911"/>
    <w:rsid w:val="004B41C8"/>
    <w:rsid w:val="004B54E0"/>
    <w:rsid w:val="004B7384"/>
    <w:rsid w:val="004C4269"/>
    <w:rsid w:val="004D0EE4"/>
    <w:rsid w:val="004D6236"/>
    <w:rsid w:val="004D7F90"/>
    <w:rsid w:val="004E4DBB"/>
    <w:rsid w:val="004E4E41"/>
    <w:rsid w:val="004E7F9C"/>
    <w:rsid w:val="004F3493"/>
    <w:rsid w:val="004F5143"/>
    <w:rsid w:val="00504573"/>
    <w:rsid w:val="00512B09"/>
    <w:rsid w:val="00517293"/>
    <w:rsid w:val="005220ED"/>
    <w:rsid w:val="00522236"/>
    <w:rsid w:val="00530166"/>
    <w:rsid w:val="005333E2"/>
    <w:rsid w:val="00533796"/>
    <w:rsid w:val="00537343"/>
    <w:rsid w:val="005425C2"/>
    <w:rsid w:val="00555D75"/>
    <w:rsid w:val="00560DF0"/>
    <w:rsid w:val="00565698"/>
    <w:rsid w:val="00565A8C"/>
    <w:rsid w:val="00567194"/>
    <w:rsid w:val="0056759C"/>
    <w:rsid w:val="005703B7"/>
    <w:rsid w:val="00574657"/>
    <w:rsid w:val="00586F9E"/>
    <w:rsid w:val="0059064F"/>
    <w:rsid w:val="0059513E"/>
    <w:rsid w:val="005A6016"/>
    <w:rsid w:val="005A6D9F"/>
    <w:rsid w:val="005B48FF"/>
    <w:rsid w:val="005C0AE4"/>
    <w:rsid w:val="005C1F23"/>
    <w:rsid w:val="005D363F"/>
    <w:rsid w:val="005F2070"/>
    <w:rsid w:val="005F69D3"/>
    <w:rsid w:val="00604C15"/>
    <w:rsid w:val="0060708F"/>
    <w:rsid w:val="00607AF2"/>
    <w:rsid w:val="006158D5"/>
    <w:rsid w:val="00625D83"/>
    <w:rsid w:val="00626D53"/>
    <w:rsid w:val="00633288"/>
    <w:rsid w:val="006445CC"/>
    <w:rsid w:val="006602C1"/>
    <w:rsid w:val="006623E7"/>
    <w:rsid w:val="00662B80"/>
    <w:rsid w:val="00670F6C"/>
    <w:rsid w:val="00674319"/>
    <w:rsid w:val="006852C7"/>
    <w:rsid w:val="006852CE"/>
    <w:rsid w:val="00692D14"/>
    <w:rsid w:val="006B65C7"/>
    <w:rsid w:val="006C1727"/>
    <w:rsid w:val="006C23A7"/>
    <w:rsid w:val="006C32FD"/>
    <w:rsid w:val="006C39CE"/>
    <w:rsid w:val="006D0FCC"/>
    <w:rsid w:val="006D21F5"/>
    <w:rsid w:val="006E126D"/>
    <w:rsid w:val="006E1FC3"/>
    <w:rsid w:val="006E63D2"/>
    <w:rsid w:val="00704CE9"/>
    <w:rsid w:val="0070616B"/>
    <w:rsid w:val="00706295"/>
    <w:rsid w:val="00706FDA"/>
    <w:rsid w:val="00711F9A"/>
    <w:rsid w:val="00713810"/>
    <w:rsid w:val="0071776D"/>
    <w:rsid w:val="00717E12"/>
    <w:rsid w:val="00721C97"/>
    <w:rsid w:val="007303A5"/>
    <w:rsid w:val="00730B3E"/>
    <w:rsid w:val="0073420B"/>
    <w:rsid w:val="00737ABD"/>
    <w:rsid w:val="0074760E"/>
    <w:rsid w:val="0075326F"/>
    <w:rsid w:val="00754ABA"/>
    <w:rsid w:val="0076224B"/>
    <w:rsid w:val="00774DB7"/>
    <w:rsid w:val="00784A71"/>
    <w:rsid w:val="0078617D"/>
    <w:rsid w:val="007A1546"/>
    <w:rsid w:val="007A228C"/>
    <w:rsid w:val="007A368E"/>
    <w:rsid w:val="007A5868"/>
    <w:rsid w:val="007B04CE"/>
    <w:rsid w:val="007B6871"/>
    <w:rsid w:val="007B7A2F"/>
    <w:rsid w:val="007C3D33"/>
    <w:rsid w:val="007D294A"/>
    <w:rsid w:val="007D47D2"/>
    <w:rsid w:val="007D6EC0"/>
    <w:rsid w:val="007D7E1D"/>
    <w:rsid w:val="00812AE2"/>
    <w:rsid w:val="00820D99"/>
    <w:rsid w:val="00831979"/>
    <w:rsid w:val="00841072"/>
    <w:rsid w:val="00847976"/>
    <w:rsid w:val="00851352"/>
    <w:rsid w:val="00851A33"/>
    <w:rsid w:val="00854F43"/>
    <w:rsid w:val="00857077"/>
    <w:rsid w:val="00860E1D"/>
    <w:rsid w:val="00863230"/>
    <w:rsid w:val="00865BD0"/>
    <w:rsid w:val="008665F6"/>
    <w:rsid w:val="008717D8"/>
    <w:rsid w:val="0087215C"/>
    <w:rsid w:val="0087572D"/>
    <w:rsid w:val="00875D25"/>
    <w:rsid w:val="00877820"/>
    <w:rsid w:val="00880E35"/>
    <w:rsid w:val="008875FE"/>
    <w:rsid w:val="00887F8E"/>
    <w:rsid w:val="0089216E"/>
    <w:rsid w:val="00896234"/>
    <w:rsid w:val="00897E43"/>
    <w:rsid w:val="008A2A3D"/>
    <w:rsid w:val="008A71DE"/>
    <w:rsid w:val="008C5738"/>
    <w:rsid w:val="008C5C5C"/>
    <w:rsid w:val="008C7EAD"/>
    <w:rsid w:val="008D0CFE"/>
    <w:rsid w:val="008D6152"/>
    <w:rsid w:val="008E14EC"/>
    <w:rsid w:val="008E1D73"/>
    <w:rsid w:val="008F0F81"/>
    <w:rsid w:val="008F27BF"/>
    <w:rsid w:val="008F6922"/>
    <w:rsid w:val="00901ADA"/>
    <w:rsid w:val="009071A2"/>
    <w:rsid w:val="009142EC"/>
    <w:rsid w:val="009154C3"/>
    <w:rsid w:val="00920489"/>
    <w:rsid w:val="00923540"/>
    <w:rsid w:val="00926767"/>
    <w:rsid w:val="009352C1"/>
    <w:rsid w:val="009361D5"/>
    <w:rsid w:val="009428A4"/>
    <w:rsid w:val="00955177"/>
    <w:rsid w:val="00960892"/>
    <w:rsid w:val="009659F4"/>
    <w:rsid w:val="00970D60"/>
    <w:rsid w:val="00970EB4"/>
    <w:rsid w:val="009838A9"/>
    <w:rsid w:val="0099390E"/>
    <w:rsid w:val="009960E5"/>
    <w:rsid w:val="009A7ADC"/>
    <w:rsid w:val="009C19B7"/>
    <w:rsid w:val="009C3F95"/>
    <w:rsid w:val="009C5ABB"/>
    <w:rsid w:val="009D7C51"/>
    <w:rsid w:val="009E15EA"/>
    <w:rsid w:val="009E196C"/>
    <w:rsid w:val="009E6CA6"/>
    <w:rsid w:val="009F36BF"/>
    <w:rsid w:val="00A111B6"/>
    <w:rsid w:val="00A26D27"/>
    <w:rsid w:val="00A35956"/>
    <w:rsid w:val="00A376EE"/>
    <w:rsid w:val="00A40623"/>
    <w:rsid w:val="00A42A99"/>
    <w:rsid w:val="00A44011"/>
    <w:rsid w:val="00A45D40"/>
    <w:rsid w:val="00A5151A"/>
    <w:rsid w:val="00A57E0A"/>
    <w:rsid w:val="00A631F4"/>
    <w:rsid w:val="00A823F6"/>
    <w:rsid w:val="00A8719E"/>
    <w:rsid w:val="00AA0A89"/>
    <w:rsid w:val="00AA6429"/>
    <w:rsid w:val="00AB4CB3"/>
    <w:rsid w:val="00AC01AA"/>
    <w:rsid w:val="00AC4F72"/>
    <w:rsid w:val="00AF741A"/>
    <w:rsid w:val="00B01ADB"/>
    <w:rsid w:val="00B04161"/>
    <w:rsid w:val="00B056F9"/>
    <w:rsid w:val="00B11687"/>
    <w:rsid w:val="00B11E3D"/>
    <w:rsid w:val="00B17E82"/>
    <w:rsid w:val="00B22C37"/>
    <w:rsid w:val="00B33615"/>
    <w:rsid w:val="00B44E6B"/>
    <w:rsid w:val="00B4575A"/>
    <w:rsid w:val="00B54E32"/>
    <w:rsid w:val="00B575BA"/>
    <w:rsid w:val="00B63089"/>
    <w:rsid w:val="00B71608"/>
    <w:rsid w:val="00B755D4"/>
    <w:rsid w:val="00B76429"/>
    <w:rsid w:val="00B86EF7"/>
    <w:rsid w:val="00B918F7"/>
    <w:rsid w:val="00B956D4"/>
    <w:rsid w:val="00B97446"/>
    <w:rsid w:val="00BA7432"/>
    <w:rsid w:val="00BB16AF"/>
    <w:rsid w:val="00BB2764"/>
    <w:rsid w:val="00BC1AA0"/>
    <w:rsid w:val="00BC2495"/>
    <w:rsid w:val="00BC3247"/>
    <w:rsid w:val="00BC7EB9"/>
    <w:rsid w:val="00BD2643"/>
    <w:rsid w:val="00BD4687"/>
    <w:rsid w:val="00BD56B1"/>
    <w:rsid w:val="00BD6558"/>
    <w:rsid w:val="00BD7DB1"/>
    <w:rsid w:val="00BE3A37"/>
    <w:rsid w:val="00BF2F76"/>
    <w:rsid w:val="00BF3022"/>
    <w:rsid w:val="00BF3214"/>
    <w:rsid w:val="00BF5573"/>
    <w:rsid w:val="00C0760A"/>
    <w:rsid w:val="00C1393D"/>
    <w:rsid w:val="00C15867"/>
    <w:rsid w:val="00C2296D"/>
    <w:rsid w:val="00C23155"/>
    <w:rsid w:val="00C40C41"/>
    <w:rsid w:val="00C42C7E"/>
    <w:rsid w:val="00C45885"/>
    <w:rsid w:val="00C47667"/>
    <w:rsid w:val="00C50F22"/>
    <w:rsid w:val="00C57971"/>
    <w:rsid w:val="00C65BD7"/>
    <w:rsid w:val="00C76BA4"/>
    <w:rsid w:val="00C80327"/>
    <w:rsid w:val="00C83A48"/>
    <w:rsid w:val="00C85865"/>
    <w:rsid w:val="00C85E85"/>
    <w:rsid w:val="00CA2EAE"/>
    <w:rsid w:val="00CA4AC1"/>
    <w:rsid w:val="00CB0316"/>
    <w:rsid w:val="00CB0B11"/>
    <w:rsid w:val="00CB3512"/>
    <w:rsid w:val="00CB426A"/>
    <w:rsid w:val="00CB507B"/>
    <w:rsid w:val="00CB5354"/>
    <w:rsid w:val="00CB611B"/>
    <w:rsid w:val="00CC3C9E"/>
    <w:rsid w:val="00CC6A14"/>
    <w:rsid w:val="00CC70A3"/>
    <w:rsid w:val="00CD1945"/>
    <w:rsid w:val="00CD3B59"/>
    <w:rsid w:val="00CD4442"/>
    <w:rsid w:val="00CD53C3"/>
    <w:rsid w:val="00CD574E"/>
    <w:rsid w:val="00CE4C22"/>
    <w:rsid w:val="00CF13E3"/>
    <w:rsid w:val="00CF41EC"/>
    <w:rsid w:val="00CF5D04"/>
    <w:rsid w:val="00D04DE4"/>
    <w:rsid w:val="00D063F1"/>
    <w:rsid w:val="00D14F22"/>
    <w:rsid w:val="00D44379"/>
    <w:rsid w:val="00D46A66"/>
    <w:rsid w:val="00D4741C"/>
    <w:rsid w:val="00D57918"/>
    <w:rsid w:val="00D622FD"/>
    <w:rsid w:val="00D73DC6"/>
    <w:rsid w:val="00D74C1A"/>
    <w:rsid w:val="00D754C1"/>
    <w:rsid w:val="00D77393"/>
    <w:rsid w:val="00D77A35"/>
    <w:rsid w:val="00D81B3E"/>
    <w:rsid w:val="00D821F7"/>
    <w:rsid w:val="00D86866"/>
    <w:rsid w:val="00D90C70"/>
    <w:rsid w:val="00D90E49"/>
    <w:rsid w:val="00D94B3D"/>
    <w:rsid w:val="00D9640D"/>
    <w:rsid w:val="00D96ADE"/>
    <w:rsid w:val="00DA0CE2"/>
    <w:rsid w:val="00DB37F8"/>
    <w:rsid w:val="00DC6A10"/>
    <w:rsid w:val="00DD2C36"/>
    <w:rsid w:val="00DE657E"/>
    <w:rsid w:val="00DF3086"/>
    <w:rsid w:val="00DF4704"/>
    <w:rsid w:val="00E024AA"/>
    <w:rsid w:val="00E03C42"/>
    <w:rsid w:val="00E10F77"/>
    <w:rsid w:val="00E15C77"/>
    <w:rsid w:val="00E250F1"/>
    <w:rsid w:val="00E3095E"/>
    <w:rsid w:val="00E3550D"/>
    <w:rsid w:val="00E469EC"/>
    <w:rsid w:val="00E52838"/>
    <w:rsid w:val="00E576CF"/>
    <w:rsid w:val="00E614E0"/>
    <w:rsid w:val="00E61CAD"/>
    <w:rsid w:val="00E642DB"/>
    <w:rsid w:val="00E649DA"/>
    <w:rsid w:val="00E70029"/>
    <w:rsid w:val="00E73F7F"/>
    <w:rsid w:val="00E760BA"/>
    <w:rsid w:val="00E81D88"/>
    <w:rsid w:val="00E85409"/>
    <w:rsid w:val="00EA429F"/>
    <w:rsid w:val="00EA4F9E"/>
    <w:rsid w:val="00EA5644"/>
    <w:rsid w:val="00EA5A70"/>
    <w:rsid w:val="00EA63CA"/>
    <w:rsid w:val="00EA6D3B"/>
    <w:rsid w:val="00EB00AD"/>
    <w:rsid w:val="00EB136C"/>
    <w:rsid w:val="00EB22CC"/>
    <w:rsid w:val="00EB480E"/>
    <w:rsid w:val="00EB5EC6"/>
    <w:rsid w:val="00EB7FC9"/>
    <w:rsid w:val="00ED27E8"/>
    <w:rsid w:val="00ED7137"/>
    <w:rsid w:val="00EE0B2C"/>
    <w:rsid w:val="00EF06EA"/>
    <w:rsid w:val="00EF148F"/>
    <w:rsid w:val="00F14C8C"/>
    <w:rsid w:val="00F1646A"/>
    <w:rsid w:val="00F17182"/>
    <w:rsid w:val="00F21088"/>
    <w:rsid w:val="00F22D0E"/>
    <w:rsid w:val="00F23C83"/>
    <w:rsid w:val="00F3267E"/>
    <w:rsid w:val="00F32734"/>
    <w:rsid w:val="00F327E7"/>
    <w:rsid w:val="00F35746"/>
    <w:rsid w:val="00F37B5F"/>
    <w:rsid w:val="00F447C7"/>
    <w:rsid w:val="00F459B4"/>
    <w:rsid w:val="00F51FE5"/>
    <w:rsid w:val="00F5211B"/>
    <w:rsid w:val="00F545FE"/>
    <w:rsid w:val="00F554A9"/>
    <w:rsid w:val="00F716FD"/>
    <w:rsid w:val="00F80355"/>
    <w:rsid w:val="00F81B09"/>
    <w:rsid w:val="00F87C43"/>
    <w:rsid w:val="00F95CF7"/>
    <w:rsid w:val="00FB0C81"/>
    <w:rsid w:val="00FB1038"/>
    <w:rsid w:val="00FB6EEC"/>
    <w:rsid w:val="00FB7ECE"/>
    <w:rsid w:val="00FC2200"/>
    <w:rsid w:val="00FC2540"/>
    <w:rsid w:val="00FC265F"/>
    <w:rsid w:val="00FC73AE"/>
    <w:rsid w:val="00FD12A9"/>
    <w:rsid w:val="00FD5FC1"/>
    <w:rsid w:val="00FF0204"/>
    <w:rsid w:val="00FF1A75"/>
    <w:rsid w:val="00FF3AE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8D2523-0559-4D24-8C35-AA9F3E4C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link w:val="Heading2Char"/>
    <w:qFormat/>
    <w:rsid w:val="0033525D"/>
    <w:pPr>
      <w:widowControl w:val="0"/>
      <w:spacing w:after="240"/>
      <w:outlineLvl w:val="1"/>
    </w:pPr>
  </w:style>
  <w:style w:type="paragraph" w:styleId="Heading3">
    <w:name w:val="heading 3"/>
    <w:aliases w:val="Char"/>
    <w:basedOn w:val="Normal"/>
    <w:next w:val="Normal"/>
    <w:qFormat/>
    <w:rsid w:val="0033525D"/>
    <w:pPr>
      <w:widowControl w:val="0"/>
      <w:numPr>
        <w:ilvl w:val="2"/>
        <w:numId w:val="1"/>
      </w:numPr>
      <w:spacing w:after="240"/>
      <w:outlineLvl w:val="2"/>
    </w:pPr>
  </w:style>
  <w:style w:type="paragraph" w:styleId="Heading4">
    <w:name w:val="heading 4"/>
    <w:aliases w:val="Heading 1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band1Vert">
      <w:rPr>
        <w:color w:val="auto"/>
      </w:rPr>
    </w:tblStylePr>
    <w:tblStylePr w:type="band2Vert">
      <w:rPr>
        <w:color w:val="auto"/>
      </w:r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b/>
        <w:bCs/>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rsid w:val="00530166"/>
    <w:rPr>
      <w:sz w:val="22"/>
      <w:szCs w:val="22"/>
      <w:lang w:val="en-GB"/>
    </w:rPr>
  </w:style>
  <w:style w:type="character" w:customStyle="1" w:styleId="ListParagraphChar">
    <w:name w:val="List Paragraph Char"/>
    <w:basedOn w:val="DefaultParagraphFont"/>
    <w:link w:val="ListParagraph"/>
    <w:uiPriority w:val="34"/>
    <w:locked/>
    <w:rsid w:val="00530166"/>
    <w:rPr>
      <w:sz w:val="22"/>
      <w:szCs w:val="22"/>
      <w:lang w:val="en-GB"/>
    </w:rPr>
  </w:style>
  <w:style w:type="paragraph" w:styleId="ListParagraph">
    <w:name w:val="List Paragraph"/>
    <w:basedOn w:val="Normal"/>
    <w:link w:val="ListParagraphChar"/>
    <w:uiPriority w:val="34"/>
    <w:qFormat/>
    <w:rsid w:val="00530166"/>
    <w:pPr>
      <w:ind w:left="720"/>
      <w:contextualSpacing/>
    </w:pPr>
  </w:style>
  <w:style w:type="paragraph" w:styleId="Revision">
    <w:name w:val="Revision"/>
    <w:hidden/>
    <w:uiPriority w:val="99"/>
    <w:semiHidden/>
    <w:rsid w:val="00EA5644"/>
    <w:rPr>
      <w:sz w:val="22"/>
      <w:szCs w:val="22"/>
      <w:lang w:val="en-GB"/>
    </w:rPr>
  </w:style>
  <w:style w:type="paragraph" w:styleId="Caption">
    <w:name w:val="caption"/>
    <w:basedOn w:val="Normal"/>
    <w:next w:val="Normal"/>
    <w:qFormat/>
    <w:rsid w:val="00C80327"/>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4274">
      <w:bodyDiv w:val="1"/>
      <w:marLeft w:val="0"/>
      <w:marRight w:val="0"/>
      <w:marTop w:val="0"/>
      <w:marBottom w:val="0"/>
      <w:divBdr>
        <w:top w:val="none" w:sz="0" w:space="0" w:color="auto"/>
        <w:left w:val="none" w:sz="0" w:space="0" w:color="auto"/>
        <w:bottom w:val="none" w:sz="0" w:space="0" w:color="auto"/>
        <w:right w:val="none" w:sz="0" w:space="0" w:color="auto"/>
      </w:divBdr>
    </w:div>
    <w:div w:id="967589580">
      <w:bodyDiv w:val="1"/>
      <w:marLeft w:val="0"/>
      <w:marRight w:val="0"/>
      <w:marTop w:val="0"/>
      <w:marBottom w:val="0"/>
      <w:divBdr>
        <w:top w:val="none" w:sz="0" w:space="0" w:color="auto"/>
        <w:left w:val="none" w:sz="0" w:space="0" w:color="auto"/>
        <w:bottom w:val="none" w:sz="0" w:space="0" w:color="auto"/>
        <w:right w:val="none" w:sz="0" w:space="0" w:color="auto"/>
      </w:divBdr>
    </w:div>
    <w:div w:id="170001154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UNEP/OzL.Pro/ExCom/86/69</Document_x0020_Number>
    <DocumentType xmlns="48d2d36d-b4e3-478b-a344-cdbeebaca89a">Pre-session</DocumentType>
    <Posted_x0020_after_x0020_IAP xmlns="aa4c1d13-0b99-429d-b494-d0ce00f216e9">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7DAB4C-DDDF-4567-93DD-94091C74F0DC}"/>
</file>

<file path=customXml/itemProps2.xml><?xml version="1.0" encoding="utf-8"?>
<ds:datastoreItem xmlns:ds="http://schemas.openxmlformats.org/officeDocument/2006/customXml" ds:itemID="{C21E58F1-D489-4EB5-A4EA-F23AD9BB472F}"/>
</file>

<file path=customXml/itemProps3.xml><?xml version="1.0" encoding="utf-8"?>
<ds:datastoreItem xmlns:ds="http://schemas.openxmlformats.org/officeDocument/2006/customXml" ds:itemID="{A56F47D6-141C-4790-B8AE-F40D51817557}"/>
</file>

<file path=customXml/itemProps4.xml><?xml version="1.0" encoding="utf-8"?>
<ds:datastoreItem xmlns:ds="http://schemas.openxmlformats.org/officeDocument/2006/customXml" ds:itemID="{7D6A1463-266F-4E72-80AD-BE330A75BD7A}"/>
</file>

<file path=docProps/app.xml><?xml version="1.0" encoding="utf-8"?>
<Properties xmlns="http://schemas.openxmlformats.org/officeDocument/2006/extended-properties" xmlns:vt="http://schemas.openxmlformats.org/officeDocument/2006/docPropsVTypes">
  <Template>Normal</Template>
  <TotalTime>347</TotalTime>
  <Pages>8</Pages>
  <Words>2630</Words>
  <Characters>14994</Characters>
  <Application>Microsoft Office Word</Application>
  <DocSecurity>0</DocSecurity>
  <Lines>124</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مقترح مشروع: باراغواي</vt:lpstr>
      <vt:lpstr>Project proposal: Paraguay</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باراغواي</dc:title>
  <dc:creator>Muriel Aguiar</dc:creator>
  <cp:lastModifiedBy>HB</cp:lastModifiedBy>
  <cp:revision>32</cp:revision>
  <cp:lastPrinted>2020-09-03T18:48:00Z</cp:lastPrinted>
  <dcterms:created xsi:type="dcterms:W3CDTF">2020-10-20T20:57:00Z</dcterms:created>
  <dcterms:modified xsi:type="dcterms:W3CDTF">2020-11-06T01:29:00Z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UNEP/OzL.Pro/ExCom/86/69</vt:lpwstr>
  </property>
  <property fmtid="{D5CDD505-2E9C-101B-9397-08002B2CF9AE}" pid="3" name="Revision date">
    <vt:lpwstr>10/19/2020</vt:lpwstr>
  </property>
  <property fmtid="{D5CDD505-2E9C-101B-9397-08002B2CF9AE}" pid="4" name="ContentTypeId">
    <vt:lpwstr>0x010100003C883A2F638749AF5FF074293958A6</vt:lpwstr>
  </property>
</Properties>
</file>