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3672"/>
        <w:gridCol w:w="4590"/>
      </w:tblGrid>
      <w:tr w:rsidR="00C15867" w:rsidRPr="00AF223B" w14:paraId="54E94728" w14:textId="77777777" w:rsidTr="00EB5AF0">
        <w:trPr>
          <w:trHeight w:val="720"/>
        </w:trPr>
        <w:tc>
          <w:tcPr>
            <w:tcW w:w="5742" w:type="dxa"/>
            <w:gridSpan w:val="2"/>
            <w:tcBorders>
              <w:bottom w:val="single" w:sz="18" w:space="0" w:color="auto"/>
            </w:tcBorders>
          </w:tcPr>
          <w:p w14:paraId="299E8F27" w14:textId="77777777" w:rsidR="00C15867" w:rsidRPr="00AF223B" w:rsidRDefault="00AF223B" w:rsidP="005C6C1B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  <w:lang w:val="fr-CA"/>
              </w:rPr>
            </w:pPr>
            <w:r w:rsidRPr="00AF223B">
              <w:rPr>
                <w:rFonts w:ascii="Univers" w:hAnsi="Univers"/>
                <w:b/>
                <w:sz w:val="28"/>
                <w:szCs w:val="28"/>
                <w:lang w:val="fr-CA"/>
              </w:rPr>
              <w:t>NATIONS</w:t>
            </w:r>
          </w:p>
          <w:p w14:paraId="5B0054CE" w14:textId="42E6A2D6" w:rsidR="00AF223B" w:rsidRPr="00AF223B" w:rsidRDefault="00AF223B" w:rsidP="005C6C1B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  <w:lang w:val="fr-CA"/>
              </w:rPr>
            </w:pPr>
            <w:r w:rsidRPr="00AF223B">
              <w:rPr>
                <w:rFonts w:ascii="Univers" w:hAnsi="Univers"/>
                <w:b/>
                <w:sz w:val="28"/>
                <w:szCs w:val="28"/>
                <w:lang w:val="fr-CA"/>
              </w:rPr>
              <w:t>UNIES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14:paraId="36C23EA0" w14:textId="77777777" w:rsidR="00C15867" w:rsidRPr="00AF223B" w:rsidRDefault="00C15867" w:rsidP="005C6C1B">
            <w:pPr>
              <w:jc w:val="right"/>
              <w:rPr>
                <w:sz w:val="52"/>
                <w:szCs w:val="52"/>
                <w:lang w:val="fr-CA"/>
              </w:rPr>
            </w:pPr>
            <w:r w:rsidRPr="00AF223B">
              <w:rPr>
                <w:rFonts w:ascii="Univers Bold" w:hAnsi="Univers Bold"/>
                <w:b/>
                <w:sz w:val="72"/>
                <w:lang w:val="fr-CA"/>
              </w:rPr>
              <w:t>EP</w:t>
            </w:r>
          </w:p>
        </w:tc>
      </w:tr>
      <w:tr w:rsidR="00C15867" w:rsidRPr="00AF223B" w14:paraId="7546CEAC" w14:textId="77777777" w:rsidTr="00EB5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5BAADE" w14:textId="77777777" w:rsidR="00C15867" w:rsidRPr="00AF223B" w:rsidRDefault="00E52838" w:rsidP="005C6C1B">
            <w:pPr>
              <w:spacing w:before="120"/>
              <w:rPr>
                <w:lang w:val="fr-CA"/>
              </w:rPr>
            </w:pPr>
            <w:r w:rsidRPr="00AF223B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6B9304C" wp14:editId="797EB27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844550" cy="1616075"/>
                      <wp:effectExtent l="0" t="0" r="0" b="31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4550" cy="1616075"/>
                                <a:chOff x="0" y="0"/>
                                <a:chExt cx="844550" cy="1616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UNE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0" y="768350"/>
                                  <a:ext cx="8382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32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F6AA2A8" id="Group 1" o:spid="_x0000_s1026" style="position:absolute;margin-left:.2pt;margin-top:2.85pt;width:66.5pt;height:127.25pt;z-index:251660288" coordsize="8445,16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UNEP" style="position:absolute;left:63;top:7683;width:8382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">
                        <v:imagedata r:id="rId10" o:title="UNEP"/>
                        <v:path arrowok="t"/>
                      </v:shape>
                      <v:shape id="Picture 3" o:spid="_x0000_s1028" type="#_x0000_t75" style="position:absolute;width:8223;height:7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67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8A021C6" w14:textId="77777777" w:rsidR="00EB5AF0" w:rsidRDefault="00EB5AF0" w:rsidP="00AF223B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rtl/>
                <w:lang w:val="fr-CA"/>
              </w:rPr>
            </w:pPr>
          </w:p>
          <w:p w14:paraId="0E98EEC3" w14:textId="5D2D9453" w:rsidR="00AF223B" w:rsidRPr="00AF223B" w:rsidRDefault="00AF223B" w:rsidP="00AF223B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 Bold" w:hAnsi="Univers Bold"/>
                <w:b/>
                <w:sz w:val="32"/>
                <w:lang w:val="fr-CA"/>
              </w:rPr>
            </w:pPr>
            <w:r w:rsidRPr="00AF223B">
              <w:rPr>
                <w:rFonts w:ascii="Univers" w:hAnsi="Univers"/>
                <w:b/>
                <w:sz w:val="32"/>
                <w:lang w:val="fr-CA"/>
              </w:rPr>
              <w:t xml:space="preserve">Programme des Nations Unies </w:t>
            </w:r>
            <w:r w:rsidRPr="00AF223B">
              <w:rPr>
                <w:rFonts w:ascii="Univers" w:hAnsi="Univers"/>
                <w:b/>
                <w:sz w:val="32"/>
                <w:lang w:val="fr-CA"/>
              </w:rPr>
              <w:br/>
              <w:t>pour l’environnement</w:t>
            </w:r>
          </w:p>
          <w:p w14:paraId="38140928" w14:textId="77777777" w:rsidR="00C15867" w:rsidRPr="00AF223B" w:rsidRDefault="00C15867" w:rsidP="005C6C1B">
            <w:pPr>
              <w:spacing w:before="720"/>
              <w:ind w:left="158"/>
              <w:rPr>
                <w:lang w:val="fr-CA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670EAE43" w14:textId="77777777" w:rsidR="00EB5AF0" w:rsidRDefault="00EB5AF0" w:rsidP="00EB5AF0">
            <w:pPr>
              <w:rPr>
                <w:rtl/>
                <w:lang w:val="fr-CA"/>
              </w:rPr>
            </w:pPr>
          </w:p>
          <w:p w14:paraId="73B01A98" w14:textId="39C57462" w:rsidR="00C15867" w:rsidRPr="00AF223B" w:rsidRDefault="00C15867" w:rsidP="00EB5AF0">
            <w:pPr>
              <w:rPr>
                <w:lang w:val="fr-CA"/>
              </w:rPr>
            </w:pPr>
            <w:proofErr w:type="spellStart"/>
            <w:r w:rsidRPr="00AF223B">
              <w:rPr>
                <w:lang w:val="fr-CA"/>
              </w:rPr>
              <w:t>Distr</w:t>
            </w:r>
            <w:proofErr w:type="spellEnd"/>
            <w:r w:rsidRPr="00AF223B">
              <w:rPr>
                <w:lang w:val="fr-CA"/>
              </w:rPr>
              <w:t>.</w:t>
            </w:r>
          </w:p>
          <w:p w14:paraId="45F93BF8" w14:textId="7B1B00F5" w:rsidR="00923540" w:rsidRPr="00AF223B" w:rsidRDefault="00AF223B" w:rsidP="00923540">
            <w:pPr>
              <w:rPr>
                <w:lang w:val="fr-CA"/>
              </w:rPr>
            </w:pPr>
            <w:r w:rsidRPr="00AF223B">
              <w:rPr>
                <w:lang w:val="fr-CA"/>
              </w:rPr>
              <w:t>GÉNÉRALE</w:t>
            </w:r>
          </w:p>
          <w:p w14:paraId="5ED84ED3" w14:textId="77777777" w:rsidR="00C15867" w:rsidRPr="00AF223B" w:rsidRDefault="00C15867" w:rsidP="005C6C1B">
            <w:pPr>
              <w:rPr>
                <w:lang w:val="fr-CA"/>
              </w:rPr>
            </w:pPr>
          </w:p>
          <w:p w14:paraId="2B54CB7F" w14:textId="6BC4C5CE" w:rsidR="00C15867" w:rsidRPr="00AF223B" w:rsidRDefault="00410A52" w:rsidP="005C6C1B">
            <w:pPr>
              <w:rPr>
                <w:lang w:val="fr-CA"/>
              </w:rPr>
            </w:pPr>
            <w:r w:rsidRPr="00AF223B">
              <w:rPr>
                <w:lang w:val="fr-CA"/>
              </w:rPr>
              <w:fldChar w:fldCharType="begin"/>
            </w:r>
            <w:r w:rsidRPr="00AF223B">
              <w:rPr>
                <w:lang w:val="fr-CA"/>
              </w:rPr>
              <w:instrText xml:space="preserve"> DOCPROPERTY "Document number"  \* MERGEFORMAT </w:instrText>
            </w:r>
            <w:r w:rsidRPr="00AF223B">
              <w:rPr>
                <w:lang w:val="fr-CA"/>
              </w:rPr>
              <w:fldChar w:fldCharType="separate"/>
            </w:r>
            <w:r w:rsidR="00EB5AF0">
              <w:rPr>
                <w:lang w:val="fr-CA"/>
              </w:rPr>
              <w:t>UNEP/</w:t>
            </w:r>
            <w:proofErr w:type="spellStart"/>
            <w:r w:rsidR="00EB5AF0">
              <w:rPr>
                <w:lang w:val="fr-CA"/>
              </w:rPr>
              <w:t>OzL.Pro</w:t>
            </w:r>
            <w:proofErr w:type="spellEnd"/>
            <w:r w:rsidR="00EB5AF0">
              <w:rPr>
                <w:lang w:val="fr-CA"/>
              </w:rPr>
              <w:t>/</w:t>
            </w:r>
            <w:proofErr w:type="spellStart"/>
            <w:r w:rsidR="00EB5AF0">
              <w:rPr>
                <w:lang w:val="fr-CA"/>
              </w:rPr>
              <w:t>ExCom</w:t>
            </w:r>
            <w:proofErr w:type="spellEnd"/>
            <w:r w:rsidR="00EB5AF0">
              <w:rPr>
                <w:lang w:val="fr-CA"/>
              </w:rPr>
              <w:t>/86/4</w:t>
            </w:r>
            <w:r w:rsidRPr="00AF223B">
              <w:rPr>
                <w:lang w:val="fr-CA"/>
              </w:rPr>
              <w:fldChar w:fldCharType="end"/>
            </w:r>
          </w:p>
          <w:p w14:paraId="6F0F8E9E" w14:textId="69CC759A" w:rsidR="00C15867" w:rsidRPr="00AF223B" w:rsidRDefault="00BC2495" w:rsidP="005C6C1B">
            <w:pPr>
              <w:rPr>
                <w:lang w:val="fr-CA"/>
              </w:rPr>
            </w:pPr>
            <w:r w:rsidRPr="00AF223B">
              <w:rPr>
                <w:lang w:val="fr-CA"/>
              </w:rPr>
              <w:fldChar w:fldCharType="begin"/>
            </w:r>
            <w:r w:rsidR="00851352" w:rsidRPr="00AF223B">
              <w:rPr>
                <w:lang w:val="fr-CA"/>
              </w:rPr>
              <w:instrText xml:space="preserve"> DOCPROPERTY "Revision date" \@ "d MMMM YYYY"  \* MERGEFORMAT </w:instrText>
            </w:r>
            <w:r w:rsidRPr="00AF223B">
              <w:rPr>
                <w:lang w:val="fr-CA"/>
              </w:rPr>
              <w:fldChar w:fldCharType="separate"/>
            </w:r>
            <w:r w:rsidR="00EB5AF0">
              <w:rPr>
                <w:lang w:val="fr-CA"/>
              </w:rPr>
              <w:t>6 novembre 2020</w:t>
            </w:r>
            <w:r w:rsidRPr="00AF223B">
              <w:rPr>
                <w:lang w:val="fr-CA"/>
              </w:rPr>
              <w:fldChar w:fldCharType="end"/>
            </w:r>
          </w:p>
          <w:p w14:paraId="42DF282D" w14:textId="77777777" w:rsidR="00C15867" w:rsidRPr="00AF223B" w:rsidRDefault="00C15867" w:rsidP="005C6C1B">
            <w:pPr>
              <w:rPr>
                <w:caps/>
                <w:lang w:val="fr-CA"/>
              </w:rPr>
            </w:pPr>
          </w:p>
          <w:p w14:paraId="645C4C62" w14:textId="77777777" w:rsidR="00AF223B" w:rsidRPr="00AF223B" w:rsidRDefault="00AF223B" w:rsidP="005C6C1B">
            <w:pPr>
              <w:rPr>
                <w:lang w:val="fr-CA"/>
              </w:rPr>
            </w:pPr>
            <w:r w:rsidRPr="00AF223B">
              <w:rPr>
                <w:lang w:val="fr-CA"/>
              </w:rPr>
              <w:t>FRANÇAIS</w:t>
            </w:r>
          </w:p>
          <w:p w14:paraId="06152C07" w14:textId="1997B463" w:rsidR="00C15867" w:rsidRPr="00AF223B" w:rsidRDefault="00C15867" w:rsidP="00AF223B">
            <w:pPr>
              <w:rPr>
                <w:lang w:val="fr-CA"/>
              </w:rPr>
            </w:pPr>
            <w:r w:rsidRPr="00AF223B">
              <w:rPr>
                <w:lang w:val="fr-CA"/>
              </w:rPr>
              <w:t>ORIGINAL</w:t>
            </w:r>
            <w:r w:rsidR="00AF223B" w:rsidRPr="00AF223B">
              <w:rPr>
                <w:lang w:val="fr-CA"/>
              </w:rPr>
              <w:t xml:space="preserve"> </w:t>
            </w:r>
            <w:r w:rsidRPr="00AF223B">
              <w:rPr>
                <w:lang w:val="fr-CA"/>
              </w:rPr>
              <w:t xml:space="preserve">: </w:t>
            </w:r>
            <w:r w:rsidR="00AF223B" w:rsidRPr="00AF223B">
              <w:rPr>
                <w:lang w:val="fr-CA"/>
              </w:rPr>
              <w:t>ANGLAIS</w:t>
            </w:r>
          </w:p>
        </w:tc>
      </w:tr>
    </w:tbl>
    <w:p w14:paraId="56BA532B" w14:textId="77777777" w:rsidR="00AF223B" w:rsidRPr="00AF223B" w:rsidRDefault="00AF223B" w:rsidP="00AF223B">
      <w:pPr>
        <w:jc w:val="left"/>
        <w:rPr>
          <w:lang w:val="fr-CA"/>
        </w:rPr>
      </w:pPr>
      <w:r w:rsidRPr="00AF223B">
        <w:rPr>
          <w:lang w:val="fr-CA"/>
        </w:rPr>
        <w:t xml:space="preserve">COMITÉ EXÉCUTIF </w:t>
      </w:r>
      <w:r w:rsidRPr="00AF223B">
        <w:rPr>
          <w:lang w:val="fr-CA"/>
        </w:rPr>
        <w:br/>
        <w:t xml:space="preserve"> DU FONDS MULTILATÉRAL AUX FINS </w:t>
      </w:r>
      <w:r w:rsidRPr="00AF223B">
        <w:rPr>
          <w:lang w:val="fr-CA"/>
        </w:rPr>
        <w:br/>
        <w:t xml:space="preserve"> D’APPLICATION DU PROTOCOLE DE MONTRÉAL</w:t>
      </w:r>
      <w:r w:rsidRPr="00AF223B">
        <w:rPr>
          <w:lang w:val="fr-CA"/>
        </w:rPr>
        <w:br/>
        <w:t>Quatre-vingt-sixième réunion</w:t>
      </w:r>
    </w:p>
    <w:p w14:paraId="45157F93" w14:textId="77777777" w:rsidR="00AF223B" w:rsidRPr="00AF223B" w:rsidRDefault="00AF223B" w:rsidP="00AF223B">
      <w:pPr>
        <w:jc w:val="left"/>
        <w:rPr>
          <w:lang w:val="fr-CA"/>
        </w:rPr>
      </w:pPr>
      <w:r w:rsidRPr="00AF223B">
        <w:rPr>
          <w:lang w:val="fr-CA"/>
        </w:rPr>
        <w:t>Montréal, 2 – 6 novembre 2020</w:t>
      </w:r>
    </w:p>
    <w:p w14:paraId="64CBF3E8" w14:textId="77777777" w:rsidR="00AF223B" w:rsidRPr="00AF223B" w:rsidRDefault="00AF223B" w:rsidP="00AF223B">
      <w:pPr>
        <w:jc w:val="left"/>
        <w:rPr>
          <w:lang w:val="fr-CA"/>
        </w:rPr>
      </w:pPr>
      <w:r w:rsidRPr="00AF223B">
        <w:rPr>
          <w:lang w:val="fr-CA"/>
        </w:rPr>
        <w:t>Reportée : 8 – 12 mars 2021</w:t>
      </w:r>
      <w:r w:rsidRPr="00AF223B">
        <w:rPr>
          <w:rStyle w:val="FootnoteReference"/>
          <w:lang w:val="fr-CA"/>
        </w:rPr>
        <w:footnoteReference w:id="1"/>
      </w:r>
    </w:p>
    <w:p w14:paraId="4CCEB20F" w14:textId="14F9DFAC" w:rsidR="00C15867" w:rsidRDefault="00C15867" w:rsidP="00EB5AF0">
      <w:pPr>
        <w:jc w:val="left"/>
        <w:rPr>
          <w:rtl/>
          <w:lang w:val="fr-CA"/>
        </w:rPr>
      </w:pPr>
    </w:p>
    <w:p w14:paraId="51067431" w14:textId="77777777" w:rsidR="00EB5AF0" w:rsidRPr="00AF223B" w:rsidRDefault="00EB5AF0" w:rsidP="00EB5AF0">
      <w:pPr>
        <w:jc w:val="left"/>
        <w:rPr>
          <w:lang w:val="fr-CA"/>
        </w:rPr>
      </w:pPr>
    </w:p>
    <w:p w14:paraId="3091B68D" w14:textId="77777777" w:rsidR="004E7F9C" w:rsidRPr="00AF223B" w:rsidRDefault="004E7F9C" w:rsidP="00EB5AF0">
      <w:pPr>
        <w:pStyle w:val="Title1"/>
        <w:rPr>
          <w:lang w:val="fr-CA"/>
        </w:rPr>
      </w:pPr>
    </w:p>
    <w:p w14:paraId="6115158A" w14:textId="49FA1C34" w:rsidR="00D64D2C" w:rsidRDefault="000418A2" w:rsidP="00EB5AF0">
      <w:pPr>
        <w:jc w:val="center"/>
        <w:outlineLvl w:val="0"/>
        <w:rPr>
          <w:b/>
          <w:rtl/>
          <w:lang w:val="fr-CA"/>
        </w:rPr>
      </w:pPr>
      <w:r w:rsidRPr="00AF223B">
        <w:rPr>
          <w:b/>
          <w:lang w:val="fr-CA"/>
        </w:rPr>
        <w:t>R</w:t>
      </w:r>
      <w:r>
        <w:rPr>
          <w:b/>
          <w:lang w:val="fr-CA"/>
        </w:rPr>
        <w:t>APPORT SUR LES SOLDES ET LA DISPONIBILITÉ DES RESSOURCES</w:t>
      </w:r>
    </w:p>
    <w:p w14:paraId="1B18C1F9" w14:textId="77777777" w:rsidR="00EB5AF0" w:rsidRDefault="00EB5AF0" w:rsidP="00EB5AF0">
      <w:pPr>
        <w:jc w:val="center"/>
        <w:outlineLvl w:val="0"/>
        <w:rPr>
          <w:b/>
          <w:rtl/>
          <w:lang w:val="fr-CA"/>
        </w:rPr>
      </w:pPr>
    </w:p>
    <w:p w14:paraId="0BDFCDF5" w14:textId="77777777" w:rsidR="00EB5AF0" w:rsidRPr="00AF223B" w:rsidRDefault="00EB5AF0" w:rsidP="00EB5AF0">
      <w:pPr>
        <w:jc w:val="center"/>
        <w:outlineLvl w:val="0"/>
        <w:rPr>
          <w:b/>
          <w:caps/>
          <w:lang w:val="fr-CA"/>
        </w:rPr>
      </w:pPr>
    </w:p>
    <w:p w14:paraId="00E83291" w14:textId="77777777" w:rsidR="00D64D2C" w:rsidRPr="00AF223B" w:rsidRDefault="00D64D2C" w:rsidP="00EB5AF0">
      <w:pPr>
        <w:jc w:val="left"/>
        <w:outlineLvl w:val="0"/>
        <w:rPr>
          <w:b/>
          <w:caps/>
          <w:lang w:val="fr-CA"/>
        </w:rPr>
      </w:pPr>
      <w:r w:rsidRPr="00AF223B">
        <w:rPr>
          <w:b/>
          <w:lang w:val="fr-CA"/>
        </w:rPr>
        <w:t>Introduction</w:t>
      </w:r>
    </w:p>
    <w:p w14:paraId="66E89993" w14:textId="79D2303F" w:rsidR="00D64D2C" w:rsidRPr="001A56F7" w:rsidRDefault="007503C8" w:rsidP="00D64D2C">
      <w:pPr>
        <w:numPr>
          <w:ilvl w:val="0"/>
          <w:numId w:val="1"/>
        </w:numPr>
        <w:spacing w:after="240"/>
        <w:outlineLvl w:val="0"/>
        <w:rPr>
          <w:lang w:val="fr-CA"/>
        </w:rPr>
      </w:pPr>
      <w:r w:rsidRPr="007503C8">
        <w:rPr>
          <w:lang w:val="fr-CA"/>
        </w:rPr>
        <w:t xml:space="preserve">Ce document présente un sommaire des rajustements financiers indiqués par les </w:t>
      </w:r>
      <w:r>
        <w:rPr>
          <w:lang w:val="fr-CA"/>
        </w:rPr>
        <w:t>agenc</w:t>
      </w:r>
      <w:r w:rsidRPr="007503C8">
        <w:rPr>
          <w:lang w:val="fr-CA"/>
        </w:rPr>
        <w:t>es bilatérales et d’exécution, comme convenu par le Secrétariat.</w:t>
      </w:r>
      <w:r>
        <w:rPr>
          <w:lang w:val="fr-CA"/>
        </w:rPr>
        <w:t xml:space="preserve"> </w:t>
      </w:r>
      <w:r w:rsidRPr="001A56F7">
        <w:rPr>
          <w:lang w:val="fr-CA"/>
        </w:rPr>
        <w:t>I</w:t>
      </w:r>
      <w:r w:rsidR="00A00EB9">
        <w:rPr>
          <w:lang w:val="fr-CA"/>
        </w:rPr>
        <w:t>l</w:t>
      </w:r>
      <w:r w:rsidRPr="001A56F7">
        <w:rPr>
          <w:lang w:val="fr-CA"/>
        </w:rPr>
        <w:t xml:space="preserve"> comprend des données de statistique</w:t>
      </w:r>
      <w:r w:rsidR="00D64D2C" w:rsidRPr="00AF223B">
        <w:rPr>
          <w:vertAlign w:val="superscript"/>
          <w:lang w:val="fr-CA"/>
        </w:rPr>
        <w:footnoteReference w:id="2"/>
      </w:r>
      <w:r w:rsidR="00D64D2C" w:rsidRPr="001A56F7">
        <w:rPr>
          <w:lang w:val="fr-CA"/>
        </w:rPr>
        <w:t xml:space="preserve"> </w:t>
      </w:r>
      <w:r w:rsidR="00A00EB9">
        <w:rPr>
          <w:lang w:val="fr-CA"/>
        </w:rPr>
        <w:t>pour</w:t>
      </w:r>
      <w:r w:rsidR="001A56F7" w:rsidRPr="001A56F7">
        <w:rPr>
          <w:lang w:val="fr-CA"/>
        </w:rPr>
        <w:t xml:space="preserve"> tous les projets </w:t>
      </w:r>
      <w:r w:rsidR="001A56F7">
        <w:rPr>
          <w:lang w:val="fr-CA"/>
        </w:rPr>
        <w:t>don</w:t>
      </w:r>
      <w:r w:rsidR="001A56F7" w:rsidRPr="001A56F7">
        <w:rPr>
          <w:lang w:val="fr-CA"/>
        </w:rPr>
        <w:t xml:space="preserve">t </w:t>
      </w:r>
      <w:r w:rsidR="001A56F7">
        <w:rPr>
          <w:lang w:val="fr-CA"/>
        </w:rPr>
        <w:t xml:space="preserve">les soldes ont été détenus pendant plus de 12 mois suivant l’achèvement du projet, conformément aux décision 28/7 et 56/2 c). </w:t>
      </w:r>
      <w:r w:rsidR="00A071D0">
        <w:rPr>
          <w:lang w:val="fr-CA"/>
        </w:rPr>
        <w:t>Il aborde l</w:t>
      </w:r>
      <w:r w:rsidR="001A56F7" w:rsidRPr="001A56F7">
        <w:rPr>
          <w:lang w:val="fr-CA"/>
        </w:rPr>
        <w:t xml:space="preserve">es soldes de projets </w:t>
      </w:r>
      <w:r w:rsidR="00A00EB9">
        <w:rPr>
          <w:lang w:val="fr-CA"/>
        </w:rPr>
        <w:t>à</w:t>
      </w:r>
      <w:r w:rsidR="001A56F7" w:rsidRPr="001A56F7">
        <w:rPr>
          <w:lang w:val="fr-CA"/>
        </w:rPr>
        <w:t xml:space="preserve"> retourner en vertu des </w:t>
      </w:r>
      <w:r w:rsidR="00A00EB9">
        <w:rPr>
          <w:lang w:val="fr-CA"/>
        </w:rPr>
        <w:t>dé</w:t>
      </w:r>
      <w:r w:rsidR="001A56F7" w:rsidRPr="001A56F7">
        <w:rPr>
          <w:lang w:val="fr-CA"/>
        </w:rPr>
        <w:t xml:space="preserve">cisions </w:t>
      </w:r>
      <w:r w:rsidR="00A00EB9">
        <w:rPr>
          <w:lang w:val="fr-CA"/>
        </w:rPr>
        <w:t>pertinentes</w:t>
      </w:r>
      <w:r w:rsidR="001A56F7" w:rsidRPr="001A56F7">
        <w:rPr>
          <w:lang w:val="fr-CA"/>
        </w:rPr>
        <w:t xml:space="preserve"> (appelés</w:t>
      </w:r>
      <w:r w:rsidR="001A56F7">
        <w:rPr>
          <w:lang w:val="fr-CA"/>
        </w:rPr>
        <w:t xml:space="preserve"> projets « par décision » dans ce document). Il précise le niveau des ressources</w:t>
      </w:r>
      <w:r w:rsidR="00A00EB9">
        <w:rPr>
          <w:lang w:val="fr-CA"/>
        </w:rPr>
        <w:t xml:space="preserve"> en espèces dont profite le Comité exécutif, telles qu’elles ont été consignées dans le document État des contributions et des décaissements</w:t>
      </w:r>
      <w:r w:rsidR="00D64D2C" w:rsidRPr="001A56F7">
        <w:rPr>
          <w:lang w:val="fr-CA"/>
        </w:rPr>
        <w:t>,</w:t>
      </w:r>
      <w:r w:rsidR="00D64D2C" w:rsidRPr="00AF223B">
        <w:rPr>
          <w:vertAlign w:val="superscript"/>
          <w:lang w:val="fr-CA"/>
        </w:rPr>
        <w:footnoteReference w:id="3"/>
      </w:r>
      <w:r w:rsidR="00D64D2C" w:rsidRPr="001A56F7">
        <w:rPr>
          <w:lang w:val="fr-CA"/>
        </w:rPr>
        <w:t xml:space="preserve"> </w:t>
      </w:r>
      <w:r w:rsidR="00A00EB9">
        <w:rPr>
          <w:lang w:val="fr-CA"/>
        </w:rPr>
        <w:t>conformément à la décision 41/92 b), et présente une recommandation</w:t>
      </w:r>
      <w:r w:rsidR="00D64D2C" w:rsidRPr="001A56F7">
        <w:rPr>
          <w:lang w:val="fr-CA"/>
        </w:rPr>
        <w:t>.</w:t>
      </w:r>
    </w:p>
    <w:p w14:paraId="04587F63" w14:textId="45C709AD" w:rsidR="00D64D2C" w:rsidRPr="00AF223B" w:rsidRDefault="00A00EB9" w:rsidP="00D64D2C">
      <w:pPr>
        <w:numPr>
          <w:ilvl w:val="0"/>
          <w:numId w:val="1"/>
        </w:numPr>
        <w:spacing w:after="240"/>
        <w:outlineLvl w:val="0"/>
        <w:rPr>
          <w:lang w:val="fr-CA"/>
        </w:rPr>
      </w:pPr>
      <w:r>
        <w:rPr>
          <w:lang w:val="fr-CA"/>
        </w:rPr>
        <w:t xml:space="preserve">Il comprend les quatre annexes suivantes </w:t>
      </w:r>
      <w:r w:rsidR="00D64D2C" w:rsidRPr="00AF223B">
        <w:rPr>
          <w:lang w:val="fr-CA"/>
        </w:rPr>
        <w:t>:</w:t>
      </w:r>
    </w:p>
    <w:p w14:paraId="521BB5E1" w14:textId="31119EAF" w:rsidR="005C6C1B" w:rsidRPr="00AF223B" w:rsidRDefault="00D64D2C" w:rsidP="00D64D2C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AF223B">
        <w:rPr>
          <w:lang w:val="fr-CA"/>
        </w:rPr>
        <w:t>Annex</w:t>
      </w:r>
      <w:r w:rsidR="00A00EB9">
        <w:rPr>
          <w:lang w:val="fr-CA"/>
        </w:rPr>
        <w:t>e</w:t>
      </w:r>
      <w:r w:rsidRPr="00AF223B">
        <w:rPr>
          <w:lang w:val="fr-CA"/>
        </w:rPr>
        <w:t xml:space="preserve"> I</w:t>
      </w:r>
      <w:r w:rsidRPr="00AF223B">
        <w:rPr>
          <w:lang w:val="fr-CA"/>
        </w:rPr>
        <w:tab/>
      </w:r>
      <w:r w:rsidR="00A00EB9">
        <w:rPr>
          <w:lang w:val="fr-CA"/>
        </w:rPr>
        <w:t>Sommes détenues par les agences bilatérales et d’exécution pour les projets achevés</w:t>
      </w:r>
    </w:p>
    <w:p w14:paraId="0C1D6C6E" w14:textId="47C4FE09" w:rsidR="00D64D2C" w:rsidRPr="00AF223B" w:rsidRDefault="00D64D2C" w:rsidP="00D64D2C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AF223B">
        <w:rPr>
          <w:lang w:val="fr-CA"/>
        </w:rPr>
        <w:t>Annex</w:t>
      </w:r>
      <w:r w:rsidR="00A00EB9">
        <w:rPr>
          <w:lang w:val="fr-CA"/>
        </w:rPr>
        <w:t>e</w:t>
      </w:r>
      <w:r w:rsidRPr="00AF223B">
        <w:rPr>
          <w:lang w:val="fr-CA"/>
        </w:rPr>
        <w:t xml:space="preserve"> II </w:t>
      </w:r>
      <w:r w:rsidRPr="00AF223B">
        <w:rPr>
          <w:lang w:val="fr-CA"/>
        </w:rPr>
        <w:tab/>
      </w:r>
      <w:r w:rsidR="00A00EB9">
        <w:rPr>
          <w:lang w:val="fr-CA"/>
        </w:rPr>
        <w:t>Sommes détenues par les agences bilatérales et d’exécution pour les projets par décision</w:t>
      </w:r>
    </w:p>
    <w:p w14:paraId="5FD57CD2" w14:textId="2C8DC772" w:rsidR="00D64D2C" w:rsidRPr="00AF223B" w:rsidRDefault="00D64D2C" w:rsidP="00D64D2C">
      <w:pPr>
        <w:tabs>
          <w:tab w:val="num" w:pos="709"/>
        </w:tabs>
        <w:spacing w:after="240"/>
        <w:ind w:left="1985" w:hanging="1276"/>
        <w:rPr>
          <w:lang w:val="fr-CA"/>
        </w:rPr>
      </w:pPr>
      <w:r w:rsidRPr="00AF223B">
        <w:rPr>
          <w:lang w:val="fr-CA"/>
        </w:rPr>
        <w:t>Annex</w:t>
      </w:r>
      <w:r w:rsidR="00A00EB9">
        <w:rPr>
          <w:lang w:val="fr-CA"/>
        </w:rPr>
        <w:t>e</w:t>
      </w:r>
      <w:r w:rsidRPr="00AF223B">
        <w:rPr>
          <w:lang w:val="fr-CA"/>
        </w:rPr>
        <w:t xml:space="preserve"> III </w:t>
      </w:r>
      <w:r w:rsidRPr="00AF223B">
        <w:rPr>
          <w:lang w:val="fr-CA"/>
        </w:rPr>
        <w:tab/>
      </w:r>
      <w:r w:rsidR="00A00EB9">
        <w:rPr>
          <w:lang w:val="fr-CA"/>
        </w:rPr>
        <w:t xml:space="preserve">Sommes détenues par les agences bilatérales et d’exécution pour les projets </w:t>
      </w:r>
      <w:r w:rsidR="00C27C69">
        <w:rPr>
          <w:lang w:val="fr-CA"/>
        </w:rPr>
        <w:t xml:space="preserve">financés </w:t>
      </w:r>
      <w:r w:rsidR="003D6912">
        <w:rPr>
          <w:lang w:val="fr-CA"/>
        </w:rPr>
        <w:t>au titre des contributions supplémentaires</w:t>
      </w:r>
    </w:p>
    <w:p w14:paraId="1C225B5C" w14:textId="0F91DAF3" w:rsidR="00D64D2C" w:rsidRPr="00AF223B" w:rsidRDefault="00D64D2C" w:rsidP="00D64D2C">
      <w:pPr>
        <w:keepLines/>
        <w:tabs>
          <w:tab w:val="num" w:pos="709"/>
        </w:tabs>
        <w:spacing w:after="240"/>
        <w:ind w:left="1984" w:hanging="1264"/>
        <w:rPr>
          <w:lang w:val="fr-CA"/>
        </w:rPr>
      </w:pPr>
      <w:r w:rsidRPr="00AF223B">
        <w:rPr>
          <w:lang w:val="fr-CA"/>
        </w:rPr>
        <w:t>Annex</w:t>
      </w:r>
      <w:r w:rsidR="00A00EB9">
        <w:rPr>
          <w:lang w:val="fr-CA"/>
        </w:rPr>
        <w:t>e</w:t>
      </w:r>
      <w:r w:rsidRPr="00AF223B">
        <w:rPr>
          <w:lang w:val="fr-CA"/>
        </w:rPr>
        <w:t xml:space="preserve"> IV</w:t>
      </w:r>
      <w:r w:rsidRPr="00AF223B">
        <w:rPr>
          <w:lang w:val="fr-CA"/>
        </w:rPr>
        <w:tab/>
      </w:r>
      <w:r w:rsidR="003D6912">
        <w:rPr>
          <w:lang w:val="fr-CA"/>
        </w:rPr>
        <w:t xml:space="preserve">Sommes retournées par les agences bilatérales et d’exécution pour les projets achevés, en cours, par décision, enquêtes sur les substances de remplacement des SAO et </w:t>
      </w:r>
      <w:r w:rsidR="00C27C69">
        <w:rPr>
          <w:lang w:val="fr-CA"/>
        </w:rPr>
        <w:t xml:space="preserve">financés </w:t>
      </w:r>
      <w:r w:rsidR="003D6912">
        <w:rPr>
          <w:lang w:val="fr-CA"/>
        </w:rPr>
        <w:t>au titre des contributions supplémentaires volontaires</w:t>
      </w:r>
    </w:p>
    <w:p w14:paraId="6D178E71" w14:textId="12CB43FF" w:rsidR="00D64D2C" w:rsidRPr="00AF223B" w:rsidRDefault="003D6912" w:rsidP="00D64D2C">
      <w:pPr>
        <w:pStyle w:val="Heading1"/>
        <w:rPr>
          <w:lang w:val="fr-CA"/>
        </w:rPr>
      </w:pPr>
      <w:r>
        <w:rPr>
          <w:lang w:val="fr-CA"/>
        </w:rPr>
        <w:lastRenderedPageBreak/>
        <w:t xml:space="preserve">Les annexes II et III fournissent les détails entourant les retards </w:t>
      </w:r>
      <w:r w:rsidR="00C27C69">
        <w:rPr>
          <w:lang w:val="fr-CA"/>
        </w:rPr>
        <w:t>dans le décaissement des</w:t>
      </w:r>
      <w:r>
        <w:rPr>
          <w:lang w:val="fr-CA"/>
        </w:rPr>
        <w:t xml:space="preserve"> sommes engagées ou à retourner les sommes non engagées</w:t>
      </w:r>
      <w:r w:rsidR="00D64D2C" w:rsidRPr="00AF223B">
        <w:rPr>
          <w:lang w:val="fr-CA"/>
        </w:rPr>
        <w:t>.</w:t>
      </w:r>
    </w:p>
    <w:p w14:paraId="638E42BE" w14:textId="15496D3F" w:rsidR="00D64D2C" w:rsidRPr="00AF223B" w:rsidRDefault="003D6912" w:rsidP="00274DFD">
      <w:pPr>
        <w:keepNext/>
        <w:keepLines/>
        <w:tabs>
          <w:tab w:val="num" w:pos="709"/>
        </w:tabs>
        <w:spacing w:after="240"/>
        <w:rPr>
          <w:b/>
          <w:lang w:val="fr-CA"/>
        </w:rPr>
      </w:pPr>
      <w:r>
        <w:rPr>
          <w:b/>
          <w:lang w:val="fr-CA"/>
        </w:rPr>
        <w:t>Sommes à retourner à la 86</w:t>
      </w:r>
      <w:r w:rsidRPr="003D6912"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réunion</w:t>
      </w:r>
    </w:p>
    <w:p w14:paraId="117169B7" w14:textId="15AA5251" w:rsidR="00FC3CFD" w:rsidRPr="00AF223B" w:rsidRDefault="009046B2" w:rsidP="0037374D">
      <w:pPr>
        <w:pStyle w:val="Heading1"/>
        <w:rPr>
          <w:lang w:val="fr-CA"/>
        </w:rPr>
      </w:pPr>
      <w:r>
        <w:rPr>
          <w:lang w:val="fr-CA"/>
        </w:rPr>
        <w:t xml:space="preserve">La somme totale à retourner pour les projets achevés, par décision, enquêtes sur les substances de remplacement et projets </w:t>
      </w:r>
      <w:r w:rsidR="00C27C69">
        <w:rPr>
          <w:lang w:val="fr-CA"/>
        </w:rPr>
        <w:t xml:space="preserve">financés </w:t>
      </w:r>
      <w:r>
        <w:rPr>
          <w:lang w:val="fr-CA"/>
        </w:rPr>
        <w:t>au titre des contributions supplémentaires volontaires est de 2 573 517 $US (142 $US par les agences bilatérales et 2 573 375 $US par les agences d’exécution)</w:t>
      </w:r>
      <w:r w:rsidR="00FC3CFD" w:rsidRPr="00AF223B">
        <w:rPr>
          <w:lang w:val="fr-CA"/>
        </w:rPr>
        <w:t>.</w:t>
      </w:r>
    </w:p>
    <w:p w14:paraId="0AF3AA05" w14:textId="54092414" w:rsidR="00D64D2C" w:rsidRPr="00AF223B" w:rsidRDefault="009046B2" w:rsidP="00D64D2C">
      <w:pPr>
        <w:keepNext/>
        <w:keepLines/>
        <w:tabs>
          <w:tab w:val="num" w:pos="709"/>
        </w:tabs>
        <w:rPr>
          <w:u w:val="single"/>
          <w:lang w:val="fr-CA"/>
        </w:rPr>
      </w:pPr>
      <w:r>
        <w:rPr>
          <w:u w:val="single"/>
          <w:lang w:val="fr-CA"/>
        </w:rPr>
        <w:t>Sommes à retourner par les agences d’exécution</w:t>
      </w:r>
    </w:p>
    <w:p w14:paraId="40CE43C1" w14:textId="77777777" w:rsidR="00D64D2C" w:rsidRPr="00AF223B" w:rsidRDefault="00D64D2C" w:rsidP="00D64D2C">
      <w:pPr>
        <w:keepNext/>
        <w:keepLines/>
        <w:tabs>
          <w:tab w:val="num" w:pos="709"/>
        </w:tabs>
        <w:ind w:left="1985" w:hanging="1985"/>
        <w:rPr>
          <w:sz w:val="24"/>
          <w:szCs w:val="24"/>
          <w:u w:val="single"/>
          <w:lang w:val="fr-CA"/>
        </w:rPr>
      </w:pPr>
    </w:p>
    <w:p w14:paraId="440A16F5" w14:textId="18D9B720" w:rsidR="00D64D2C" w:rsidRPr="00AF223B" w:rsidRDefault="009046B2" w:rsidP="00D64D2C">
      <w:pPr>
        <w:pStyle w:val="Heading1"/>
        <w:widowControl w:val="0"/>
        <w:ind w:right="17"/>
        <w:rPr>
          <w:b/>
          <w:lang w:val="fr-CA"/>
        </w:rPr>
      </w:pPr>
      <w:r>
        <w:rPr>
          <w:lang w:val="fr-CA"/>
        </w:rPr>
        <w:t>Les agences d’exécution doivent retourner la somme totale de 2 573 375 $US, comme indiqué dans le tableau 1</w:t>
      </w:r>
      <w:r w:rsidR="00D64D2C" w:rsidRPr="00AF223B">
        <w:rPr>
          <w:lang w:val="fr-CA"/>
        </w:rPr>
        <w:t>.</w:t>
      </w:r>
    </w:p>
    <w:p w14:paraId="521F98A8" w14:textId="73026E06" w:rsidR="00D64D2C" w:rsidRPr="00AF223B" w:rsidRDefault="00D64D2C" w:rsidP="00D64D2C">
      <w:pPr>
        <w:pStyle w:val="Heading1"/>
        <w:widowControl w:val="0"/>
        <w:numPr>
          <w:ilvl w:val="0"/>
          <w:numId w:val="0"/>
        </w:numPr>
        <w:spacing w:after="0"/>
        <w:ind w:right="17"/>
        <w:rPr>
          <w:b/>
          <w:lang w:val="fr-CA"/>
        </w:rPr>
      </w:pPr>
      <w:r w:rsidRPr="00AF223B">
        <w:rPr>
          <w:b/>
          <w:lang w:val="fr-CA"/>
        </w:rPr>
        <w:t>Table</w:t>
      </w:r>
      <w:r w:rsidR="009046B2">
        <w:rPr>
          <w:b/>
          <w:lang w:val="fr-CA"/>
        </w:rPr>
        <w:t>au</w:t>
      </w:r>
      <w:r w:rsidRPr="00AF223B">
        <w:rPr>
          <w:b/>
          <w:lang w:val="fr-CA"/>
        </w:rPr>
        <w:t xml:space="preserve"> 1. </w:t>
      </w:r>
      <w:r w:rsidR="009046B2">
        <w:rPr>
          <w:b/>
          <w:lang w:val="fr-CA"/>
        </w:rPr>
        <w:t>Sommes</w:t>
      </w:r>
      <w:r w:rsidR="00C27C69">
        <w:rPr>
          <w:b/>
          <w:lang w:val="fr-CA"/>
        </w:rPr>
        <w:t xml:space="preserve"> à retourner par les agences d’e</w:t>
      </w:r>
      <w:r w:rsidR="009046B2">
        <w:rPr>
          <w:b/>
          <w:lang w:val="fr-CA"/>
        </w:rPr>
        <w:t>xécution à la 86</w:t>
      </w:r>
      <w:r w:rsidR="009046B2" w:rsidRPr="009046B2">
        <w:rPr>
          <w:b/>
          <w:vertAlign w:val="superscript"/>
          <w:lang w:val="fr-CA"/>
        </w:rPr>
        <w:t>e</w:t>
      </w:r>
      <w:r w:rsidR="009046B2">
        <w:rPr>
          <w:b/>
          <w:lang w:val="fr-CA"/>
        </w:rPr>
        <w:t xml:space="preserve"> réunion ($US</w:t>
      </w:r>
      <w:r w:rsidRPr="00AF223B">
        <w:rPr>
          <w:b/>
          <w:lang w:val="fr-CA"/>
        </w:rPr>
        <w:t>)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4D2C" w:rsidRPr="00AF223B" w14:paraId="0C9E0FB8" w14:textId="77777777" w:rsidTr="005C6C1B">
        <w:tc>
          <w:tcPr>
            <w:tcW w:w="2337" w:type="dxa"/>
          </w:tcPr>
          <w:p w14:paraId="21305533" w14:textId="1CEDDB30" w:rsidR="00D64D2C" w:rsidRPr="00AF223B" w:rsidRDefault="009046B2" w:rsidP="005C6C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Agence</w:t>
            </w:r>
          </w:p>
        </w:tc>
        <w:tc>
          <w:tcPr>
            <w:tcW w:w="2337" w:type="dxa"/>
          </w:tcPr>
          <w:p w14:paraId="56415C25" w14:textId="651CB114" w:rsidR="00D64D2C" w:rsidRPr="00AF223B" w:rsidRDefault="009046B2" w:rsidP="005C6C1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Coût du projet</w:t>
            </w:r>
          </w:p>
        </w:tc>
        <w:tc>
          <w:tcPr>
            <w:tcW w:w="2338" w:type="dxa"/>
          </w:tcPr>
          <w:p w14:paraId="2478D062" w14:textId="6859A627" w:rsidR="00D64D2C" w:rsidRPr="00AF223B" w:rsidRDefault="009046B2" w:rsidP="0037374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Coûts d’appui à l’agence</w:t>
            </w:r>
          </w:p>
        </w:tc>
        <w:tc>
          <w:tcPr>
            <w:tcW w:w="2338" w:type="dxa"/>
          </w:tcPr>
          <w:p w14:paraId="49DF0A61" w14:textId="727A1CBE" w:rsidR="00D64D2C" w:rsidRPr="00AF223B" w:rsidRDefault="009046B2" w:rsidP="005C6C1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Coût total</w:t>
            </w:r>
          </w:p>
        </w:tc>
      </w:tr>
      <w:tr w:rsidR="00D64D2C" w:rsidRPr="00AF223B" w14:paraId="47B2754F" w14:textId="77777777" w:rsidTr="006D2510">
        <w:tc>
          <w:tcPr>
            <w:tcW w:w="2337" w:type="dxa"/>
          </w:tcPr>
          <w:p w14:paraId="26CDCF93" w14:textId="1E55C619" w:rsidR="00D64D2C" w:rsidRPr="00AF223B" w:rsidRDefault="009046B2" w:rsidP="005C6C1B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PNUD</w:t>
            </w:r>
          </w:p>
        </w:tc>
        <w:tc>
          <w:tcPr>
            <w:tcW w:w="2337" w:type="dxa"/>
            <w:tcMar>
              <w:left w:w="115" w:type="dxa"/>
              <w:right w:w="173" w:type="dxa"/>
            </w:tcMar>
          </w:tcPr>
          <w:p w14:paraId="40A10A0D" w14:textId="7D4AD4DB" w:rsidR="00D64D2C" w:rsidRPr="00AF223B" w:rsidRDefault="007761F1" w:rsidP="005C6C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7</w:t>
            </w:r>
            <w:r w:rsidR="00EC1F84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56</w:t>
            </w:r>
            <w:r w:rsidR="009046B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="00EC1F84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29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</w:tcPr>
          <w:p w14:paraId="7D0B71C8" w14:textId="12EB4213" w:rsidR="00D64D2C" w:rsidRPr="00AF223B" w:rsidRDefault="007761F1" w:rsidP="005C6C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  <w:r w:rsidR="00EC1F84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  <w:r w:rsidR="009046B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="00EC1F84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951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</w:tcPr>
          <w:p w14:paraId="3B18F66D" w14:textId="07D19F37" w:rsidR="00D64D2C" w:rsidRPr="00AF223B" w:rsidRDefault="00EC1F84" w:rsidP="005C6C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812</w:t>
            </w:r>
            <w:r w:rsidR="009046B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180</w:t>
            </w:r>
          </w:p>
        </w:tc>
      </w:tr>
      <w:tr w:rsidR="00D64D2C" w:rsidRPr="00AF223B" w14:paraId="5F0CBD8F" w14:textId="77777777" w:rsidTr="006D2510">
        <w:tc>
          <w:tcPr>
            <w:tcW w:w="2337" w:type="dxa"/>
          </w:tcPr>
          <w:p w14:paraId="244B3D01" w14:textId="6CD6C130" w:rsidR="00D64D2C" w:rsidRPr="00AF223B" w:rsidRDefault="009046B2" w:rsidP="0037374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PNUE</w:t>
            </w:r>
          </w:p>
        </w:tc>
        <w:tc>
          <w:tcPr>
            <w:tcW w:w="2337" w:type="dxa"/>
            <w:tcMar>
              <w:left w:w="115" w:type="dxa"/>
              <w:right w:w="173" w:type="dxa"/>
            </w:tcMar>
            <w:vAlign w:val="bottom"/>
          </w:tcPr>
          <w:p w14:paraId="75701904" w14:textId="141422B5" w:rsidR="00D64D2C" w:rsidRPr="00AF223B" w:rsidRDefault="000575A7" w:rsidP="005C6C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686</w:t>
            </w:r>
            <w:r w:rsidR="009046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656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  <w:vAlign w:val="bottom"/>
          </w:tcPr>
          <w:p w14:paraId="687C9D7F" w14:textId="5F5532C9" w:rsidR="00D64D2C" w:rsidRPr="00AF223B" w:rsidRDefault="000575A7" w:rsidP="005C6C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61</w:t>
            </w:r>
            <w:r w:rsidR="009046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080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</w:tcPr>
          <w:p w14:paraId="0FB2F279" w14:textId="6D44CB98" w:rsidR="00D64D2C" w:rsidRPr="00AF223B" w:rsidRDefault="000575A7" w:rsidP="005C6C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747</w:t>
            </w:r>
            <w:r w:rsidR="009046B2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736</w:t>
            </w:r>
          </w:p>
        </w:tc>
      </w:tr>
      <w:tr w:rsidR="00600EBC" w:rsidRPr="00AF223B" w14:paraId="73342A1A" w14:textId="77777777" w:rsidTr="006D2510">
        <w:tc>
          <w:tcPr>
            <w:tcW w:w="2337" w:type="dxa"/>
          </w:tcPr>
          <w:p w14:paraId="06D0FA3C" w14:textId="46B8B8DA" w:rsidR="00600EBC" w:rsidRPr="00AF223B" w:rsidRDefault="009046B2" w:rsidP="00600EBC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ONUDI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tcMar>
              <w:left w:w="115" w:type="dxa"/>
              <w:right w:w="173" w:type="dxa"/>
            </w:tcMar>
            <w:vAlign w:val="bottom"/>
          </w:tcPr>
          <w:p w14:paraId="1A1C76C3" w14:textId="4D8371D8" w:rsidR="00600EBC" w:rsidRPr="00AF223B" w:rsidRDefault="00600EBC" w:rsidP="00600E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794</w:t>
            </w:r>
            <w:r w:rsidR="009046B2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898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  <w:vAlign w:val="bottom"/>
          </w:tcPr>
          <w:p w14:paraId="5104DBB3" w14:textId="67E3DFF3" w:rsidR="00600EBC" w:rsidRPr="00AF223B" w:rsidRDefault="00600EBC" w:rsidP="00600E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57</w:t>
            </w:r>
            <w:r w:rsidR="009046B2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619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  <w:vAlign w:val="bottom"/>
          </w:tcPr>
          <w:p w14:paraId="426D3918" w14:textId="7B3D1453" w:rsidR="00600EBC" w:rsidRPr="00AF223B" w:rsidRDefault="00600EBC" w:rsidP="00600EB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852</w:t>
            </w:r>
            <w:r w:rsidR="009046B2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517</w:t>
            </w:r>
          </w:p>
        </w:tc>
      </w:tr>
      <w:tr w:rsidR="00D64D2C" w:rsidRPr="00AF223B" w14:paraId="21787B36" w14:textId="77777777" w:rsidTr="006D2510">
        <w:tc>
          <w:tcPr>
            <w:tcW w:w="2337" w:type="dxa"/>
          </w:tcPr>
          <w:p w14:paraId="3340263A" w14:textId="0FE69E4B" w:rsidR="00D64D2C" w:rsidRPr="00AF223B" w:rsidRDefault="009046B2" w:rsidP="0037374D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Banque mondiale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</w:tcPr>
          <w:p w14:paraId="3F073F6F" w14:textId="00889A9F" w:rsidR="00D64D2C" w:rsidRPr="00AF223B" w:rsidRDefault="002333B7" w:rsidP="005C6C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108</w:t>
            </w:r>
            <w:r w:rsidR="009046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881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15" w:type="dxa"/>
              <w:right w:w="173" w:type="dxa"/>
            </w:tcMar>
          </w:tcPr>
          <w:p w14:paraId="1419604A" w14:textId="0C7AC04E" w:rsidR="00D64D2C" w:rsidRPr="00AF223B" w:rsidRDefault="002333B7" w:rsidP="005C6C1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52</w:t>
            </w:r>
            <w:r w:rsidR="009046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fr-CA"/>
              </w:rPr>
              <w:t>061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</w:tcPr>
          <w:p w14:paraId="2C8FBDFE" w14:textId="3E8B7C48" w:rsidR="00D64D2C" w:rsidRPr="00AF223B" w:rsidRDefault="002333B7" w:rsidP="005C6C1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160</w:t>
            </w:r>
            <w:r w:rsidR="009046B2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Cs/>
                <w:sz w:val="20"/>
                <w:szCs w:val="20"/>
                <w:lang w:val="fr-CA"/>
              </w:rPr>
              <w:t>942</w:t>
            </w:r>
          </w:p>
        </w:tc>
      </w:tr>
      <w:tr w:rsidR="00EC1F84" w:rsidRPr="00AF223B" w14:paraId="094E13B4" w14:textId="77777777" w:rsidTr="006D2510">
        <w:tc>
          <w:tcPr>
            <w:tcW w:w="2337" w:type="dxa"/>
            <w:vAlign w:val="center"/>
          </w:tcPr>
          <w:p w14:paraId="261B9A77" w14:textId="77777777" w:rsidR="00EC1F84" w:rsidRPr="00AF223B" w:rsidRDefault="00EC1F84" w:rsidP="00EC1F84">
            <w:pPr>
              <w:widowControl w:val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tcMar>
              <w:left w:w="115" w:type="dxa"/>
              <w:right w:w="173" w:type="dxa"/>
            </w:tcMar>
            <w:vAlign w:val="bottom"/>
          </w:tcPr>
          <w:p w14:paraId="0C018486" w14:textId="5A84C736" w:rsidR="00EC1F84" w:rsidRPr="00AF223B" w:rsidRDefault="00EC1F84" w:rsidP="00EC1F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</w:t>
            </w:r>
            <w:r w:rsidR="00904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346</w:t>
            </w:r>
            <w:r w:rsidR="00904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664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  <w:vAlign w:val="bottom"/>
          </w:tcPr>
          <w:p w14:paraId="3145D27C" w14:textId="210136CA" w:rsidR="00EC1F84" w:rsidRPr="00AF223B" w:rsidRDefault="00EC1F84" w:rsidP="00EC1F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226</w:t>
            </w:r>
            <w:r w:rsidR="00904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711</w:t>
            </w:r>
          </w:p>
        </w:tc>
        <w:tc>
          <w:tcPr>
            <w:tcW w:w="2338" w:type="dxa"/>
            <w:tcMar>
              <w:left w:w="115" w:type="dxa"/>
              <w:right w:w="173" w:type="dxa"/>
            </w:tcMar>
            <w:vAlign w:val="bottom"/>
          </w:tcPr>
          <w:p w14:paraId="5EA8B5AA" w14:textId="66C7F356" w:rsidR="00EC1F84" w:rsidRPr="00AF223B" w:rsidRDefault="00EC1F84" w:rsidP="00EC1F8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</w:t>
            </w:r>
            <w:r w:rsidR="00904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573</w:t>
            </w:r>
            <w:r w:rsidR="009046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375</w:t>
            </w:r>
          </w:p>
        </w:tc>
      </w:tr>
    </w:tbl>
    <w:p w14:paraId="135684CF" w14:textId="77777777" w:rsidR="00D64D2C" w:rsidRPr="00AF223B" w:rsidRDefault="00D64D2C" w:rsidP="00D64D2C">
      <w:pPr>
        <w:widowControl w:val="0"/>
        <w:rPr>
          <w:b/>
          <w:sz w:val="24"/>
          <w:szCs w:val="24"/>
          <w:lang w:val="fr-CA"/>
        </w:rPr>
      </w:pPr>
    </w:p>
    <w:p w14:paraId="7931B750" w14:textId="75374960" w:rsidR="00D64D2C" w:rsidRPr="00AF223B" w:rsidRDefault="009046B2" w:rsidP="00D64D2C">
      <w:pPr>
        <w:pStyle w:val="Heading1"/>
        <w:rPr>
          <w:lang w:val="fr-CA"/>
        </w:rPr>
      </w:pPr>
      <w:r>
        <w:rPr>
          <w:lang w:val="fr-CA"/>
        </w:rPr>
        <w:t xml:space="preserve">Le tableau 2 </w:t>
      </w:r>
      <w:r w:rsidR="00CA7506">
        <w:rPr>
          <w:lang w:val="fr-CA"/>
        </w:rPr>
        <w:t xml:space="preserve">contient des renseignements sur les soldes des projets achevés, par décision et </w:t>
      </w:r>
      <w:r w:rsidR="00C27C69">
        <w:rPr>
          <w:lang w:val="fr-CA"/>
        </w:rPr>
        <w:t>financés</w:t>
      </w:r>
      <w:r w:rsidR="00CA7506">
        <w:rPr>
          <w:lang w:val="fr-CA"/>
        </w:rPr>
        <w:t xml:space="preserve"> au titre des contributions supplémentaires volontaires</w:t>
      </w:r>
      <w:r w:rsidR="00D31CDD">
        <w:rPr>
          <w:lang w:val="fr-CA"/>
        </w:rPr>
        <w:t>,</w:t>
      </w:r>
      <w:r w:rsidR="00CA7506">
        <w:rPr>
          <w:lang w:val="fr-CA"/>
        </w:rPr>
        <w:t xml:space="preserve"> détenus par les agences d’exécution</w:t>
      </w:r>
      <w:r w:rsidR="00D64D2C" w:rsidRPr="00AF223B">
        <w:rPr>
          <w:lang w:val="fr-CA"/>
        </w:rPr>
        <w:t xml:space="preserve">. </w:t>
      </w:r>
    </w:p>
    <w:p w14:paraId="03526829" w14:textId="6506D27F" w:rsidR="00D64D2C" w:rsidRPr="00AF223B" w:rsidRDefault="00D64D2C" w:rsidP="00D64D2C">
      <w:pPr>
        <w:tabs>
          <w:tab w:val="center" w:pos="4320"/>
          <w:tab w:val="left" w:pos="8647"/>
        </w:tabs>
        <w:ind w:right="-23"/>
        <w:rPr>
          <w:b/>
          <w:lang w:val="fr-CA"/>
        </w:rPr>
      </w:pPr>
      <w:r w:rsidRPr="00AF223B">
        <w:rPr>
          <w:b/>
          <w:lang w:val="fr-CA"/>
        </w:rPr>
        <w:t>Table</w:t>
      </w:r>
      <w:r w:rsidR="00CA7506">
        <w:rPr>
          <w:b/>
          <w:lang w:val="fr-CA"/>
        </w:rPr>
        <w:t>au</w:t>
      </w:r>
      <w:r w:rsidRPr="00AF223B">
        <w:rPr>
          <w:b/>
          <w:lang w:val="fr-CA"/>
        </w:rPr>
        <w:t xml:space="preserve"> 2. </w:t>
      </w:r>
      <w:r w:rsidR="00CA7506">
        <w:rPr>
          <w:b/>
          <w:lang w:val="fr-CA"/>
        </w:rPr>
        <w:t xml:space="preserve">Soldes des projets achevés, par décision et </w:t>
      </w:r>
      <w:r w:rsidR="00C27C69">
        <w:rPr>
          <w:b/>
          <w:lang w:val="fr-CA"/>
        </w:rPr>
        <w:t xml:space="preserve">financés </w:t>
      </w:r>
      <w:r w:rsidR="00CA7506">
        <w:rPr>
          <w:b/>
          <w:lang w:val="fr-CA"/>
        </w:rPr>
        <w:t>au titre des contributions supplémentaires volontaires</w:t>
      </w:r>
      <w:r w:rsidR="00D31CDD">
        <w:rPr>
          <w:b/>
          <w:lang w:val="fr-CA"/>
        </w:rPr>
        <w:t>,</w:t>
      </w:r>
      <w:r w:rsidR="00CA7506">
        <w:rPr>
          <w:b/>
          <w:lang w:val="fr-CA"/>
        </w:rPr>
        <w:t xml:space="preserve"> détenus par les agences d’exécution (comprenant les coûts d’appui à l’agence)</w:t>
      </w:r>
    </w:p>
    <w:tbl>
      <w:tblPr>
        <w:tblStyle w:val="TableGrid10"/>
        <w:tblW w:w="9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767"/>
        <w:gridCol w:w="944"/>
        <w:gridCol w:w="768"/>
        <w:gridCol w:w="786"/>
        <w:gridCol w:w="705"/>
        <w:gridCol w:w="63"/>
        <w:gridCol w:w="851"/>
        <w:gridCol w:w="768"/>
        <w:gridCol w:w="741"/>
        <w:gridCol w:w="768"/>
        <w:gridCol w:w="1039"/>
      </w:tblGrid>
      <w:tr w:rsidR="00CA7506" w:rsidRPr="00AF223B" w14:paraId="2F7870CE" w14:textId="77777777" w:rsidTr="00240C52">
        <w:trPr>
          <w:tblHeader/>
        </w:trPr>
        <w:tc>
          <w:tcPr>
            <w:tcW w:w="1245" w:type="dxa"/>
            <w:vAlign w:val="center"/>
          </w:tcPr>
          <w:p w14:paraId="0B72962F" w14:textId="17D72799" w:rsidR="00D64D2C" w:rsidRPr="00AF223B" w:rsidRDefault="00CA7506" w:rsidP="006D2510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Année d’achèvement</w:t>
            </w:r>
          </w:p>
        </w:tc>
        <w:tc>
          <w:tcPr>
            <w:tcW w:w="1711" w:type="dxa"/>
            <w:gridSpan w:val="2"/>
            <w:vAlign w:val="center"/>
          </w:tcPr>
          <w:p w14:paraId="45F83FC6" w14:textId="68984BEA" w:rsidR="00D64D2C" w:rsidRPr="00AF223B" w:rsidRDefault="00CA7506" w:rsidP="006D251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PNUD</w:t>
            </w:r>
          </w:p>
        </w:tc>
        <w:tc>
          <w:tcPr>
            <w:tcW w:w="1554" w:type="dxa"/>
            <w:gridSpan w:val="2"/>
            <w:vAlign w:val="center"/>
          </w:tcPr>
          <w:p w14:paraId="5FB37053" w14:textId="6392D75B" w:rsidR="00D64D2C" w:rsidRPr="00AF223B" w:rsidRDefault="00CA7506" w:rsidP="006D251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PNUE</w:t>
            </w:r>
          </w:p>
        </w:tc>
        <w:tc>
          <w:tcPr>
            <w:tcW w:w="1619" w:type="dxa"/>
            <w:gridSpan w:val="3"/>
            <w:vAlign w:val="center"/>
          </w:tcPr>
          <w:p w14:paraId="01E9162B" w14:textId="085213E6" w:rsidR="00D64D2C" w:rsidRPr="00AF223B" w:rsidRDefault="00CA7506" w:rsidP="006D251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ONUDI</w:t>
            </w:r>
          </w:p>
        </w:tc>
        <w:tc>
          <w:tcPr>
            <w:tcW w:w="1509" w:type="dxa"/>
            <w:gridSpan w:val="2"/>
            <w:vAlign w:val="center"/>
          </w:tcPr>
          <w:p w14:paraId="66042651" w14:textId="5CD93702" w:rsidR="00D64D2C" w:rsidRPr="00AF223B" w:rsidRDefault="00CA7506" w:rsidP="006D251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Banque mondiale</w:t>
            </w:r>
          </w:p>
        </w:tc>
        <w:tc>
          <w:tcPr>
            <w:tcW w:w="1807" w:type="dxa"/>
            <w:gridSpan w:val="2"/>
            <w:vAlign w:val="center"/>
          </w:tcPr>
          <w:p w14:paraId="483EE232" w14:textId="77777777" w:rsidR="00D64D2C" w:rsidRPr="00AF223B" w:rsidRDefault="00D64D2C" w:rsidP="006D251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Total</w:t>
            </w:r>
          </w:p>
        </w:tc>
      </w:tr>
      <w:tr w:rsidR="00CA7506" w:rsidRPr="00AF223B" w14:paraId="71808CEE" w14:textId="77777777" w:rsidTr="00240C52">
        <w:tc>
          <w:tcPr>
            <w:tcW w:w="1245" w:type="dxa"/>
          </w:tcPr>
          <w:p w14:paraId="3A8C641B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67" w:type="dxa"/>
            <w:vAlign w:val="center"/>
          </w:tcPr>
          <w:p w14:paraId="36E92E69" w14:textId="3D70645C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Nombre</w:t>
            </w:r>
          </w:p>
        </w:tc>
        <w:tc>
          <w:tcPr>
            <w:tcW w:w="944" w:type="dxa"/>
            <w:vAlign w:val="center"/>
          </w:tcPr>
          <w:p w14:paraId="2AA63A61" w14:textId="6F8CE08C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($US)</w:t>
            </w:r>
          </w:p>
        </w:tc>
        <w:tc>
          <w:tcPr>
            <w:tcW w:w="768" w:type="dxa"/>
            <w:vAlign w:val="center"/>
          </w:tcPr>
          <w:p w14:paraId="461A529C" w14:textId="1867CCA5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Nombre</w:t>
            </w:r>
          </w:p>
        </w:tc>
        <w:tc>
          <w:tcPr>
            <w:tcW w:w="786" w:type="dxa"/>
            <w:vAlign w:val="center"/>
          </w:tcPr>
          <w:p w14:paraId="7AE00D6D" w14:textId="4C273D96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($US)</w:t>
            </w:r>
          </w:p>
        </w:tc>
        <w:tc>
          <w:tcPr>
            <w:tcW w:w="768" w:type="dxa"/>
            <w:gridSpan w:val="2"/>
            <w:vAlign w:val="center"/>
          </w:tcPr>
          <w:p w14:paraId="006FF7E0" w14:textId="6EF2B579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Nombre</w:t>
            </w:r>
          </w:p>
        </w:tc>
        <w:tc>
          <w:tcPr>
            <w:tcW w:w="851" w:type="dxa"/>
            <w:vAlign w:val="center"/>
          </w:tcPr>
          <w:p w14:paraId="628507CB" w14:textId="417875D7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($US)</w:t>
            </w:r>
          </w:p>
        </w:tc>
        <w:tc>
          <w:tcPr>
            <w:tcW w:w="768" w:type="dxa"/>
            <w:vAlign w:val="center"/>
          </w:tcPr>
          <w:p w14:paraId="2488D229" w14:textId="1F0C5DE5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Nombre</w:t>
            </w:r>
          </w:p>
        </w:tc>
        <w:tc>
          <w:tcPr>
            <w:tcW w:w="741" w:type="dxa"/>
            <w:vAlign w:val="center"/>
          </w:tcPr>
          <w:p w14:paraId="2FF344EA" w14:textId="29099D2E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($US)</w:t>
            </w:r>
          </w:p>
        </w:tc>
        <w:tc>
          <w:tcPr>
            <w:tcW w:w="768" w:type="dxa"/>
            <w:vAlign w:val="center"/>
          </w:tcPr>
          <w:p w14:paraId="22A78C91" w14:textId="08C38CC2" w:rsidR="00D64D2C" w:rsidRPr="00AF223B" w:rsidRDefault="00CA7506" w:rsidP="005C6C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Nombre</w:t>
            </w:r>
          </w:p>
        </w:tc>
        <w:tc>
          <w:tcPr>
            <w:tcW w:w="1039" w:type="dxa"/>
          </w:tcPr>
          <w:p w14:paraId="10C85C10" w14:textId="5CFBA9C6" w:rsidR="00D64D2C" w:rsidRPr="00AF223B" w:rsidRDefault="00CA7506" w:rsidP="00CA7506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($US)</w:t>
            </w:r>
          </w:p>
        </w:tc>
      </w:tr>
      <w:tr w:rsidR="00D64D2C" w:rsidRPr="00EB5AF0" w14:paraId="2A6906D3" w14:textId="77777777" w:rsidTr="00240C52">
        <w:tc>
          <w:tcPr>
            <w:tcW w:w="9445" w:type="dxa"/>
            <w:gridSpan w:val="12"/>
          </w:tcPr>
          <w:p w14:paraId="6BAB6C5C" w14:textId="38C406D7" w:rsidR="00D64D2C" w:rsidRPr="00240C52" w:rsidRDefault="00240C52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240C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Projets achevés il  y a plus de deux ans</w:t>
            </w:r>
          </w:p>
        </w:tc>
      </w:tr>
      <w:tr w:rsidR="00CA7506" w:rsidRPr="00AF223B" w14:paraId="4C259039" w14:textId="77777777" w:rsidTr="00240C52">
        <w:tc>
          <w:tcPr>
            <w:tcW w:w="1245" w:type="dxa"/>
          </w:tcPr>
          <w:p w14:paraId="1A379ACE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2017</w:t>
            </w:r>
          </w:p>
        </w:tc>
        <w:tc>
          <w:tcPr>
            <w:tcW w:w="767" w:type="dxa"/>
          </w:tcPr>
          <w:p w14:paraId="623A959E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44" w:type="dxa"/>
          </w:tcPr>
          <w:p w14:paraId="7C8AC4DB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72AF0C6D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407CB001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  <w:gridSpan w:val="2"/>
          </w:tcPr>
          <w:p w14:paraId="0A78DA54" w14:textId="6AE7A87E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851" w:type="dxa"/>
          </w:tcPr>
          <w:p w14:paraId="595C7253" w14:textId="63AC9B2E" w:rsidR="00D64D2C" w:rsidRPr="00AF223B" w:rsidRDefault="009656D8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  <w:r w:rsidR="006E4BE1"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8</w:t>
            </w:r>
          </w:p>
        </w:tc>
        <w:tc>
          <w:tcPr>
            <w:tcW w:w="768" w:type="dxa"/>
          </w:tcPr>
          <w:p w14:paraId="4A9AC1A1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2E031169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46BFAD67" w14:textId="6D360F63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1039" w:type="dxa"/>
          </w:tcPr>
          <w:p w14:paraId="426C3477" w14:textId="7C922689" w:rsidR="00D64D2C" w:rsidRPr="00AF223B" w:rsidRDefault="006B51E3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38</w:t>
            </w:r>
          </w:p>
        </w:tc>
      </w:tr>
      <w:tr w:rsidR="00CA7506" w:rsidRPr="00AF223B" w14:paraId="79086211" w14:textId="77777777" w:rsidTr="00240C52">
        <w:tc>
          <w:tcPr>
            <w:tcW w:w="1245" w:type="dxa"/>
          </w:tcPr>
          <w:p w14:paraId="581AB020" w14:textId="134C9564" w:rsidR="00D64D2C" w:rsidRPr="00AF223B" w:rsidRDefault="00D64D2C" w:rsidP="00240C52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1 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janv. au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B058C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br/>
            </w:r>
            <w:r w:rsidR="008C4209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31 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oct.</w:t>
            </w:r>
            <w:r w:rsidR="006D2510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2018</w:t>
            </w:r>
          </w:p>
        </w:tc>
        <w:tc>
          <w:tcPr>
            <w:tcW w:w="767" w:type="dxa"/>
          </w:tcPr>
          <w:p w14:paraId="12E3982A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44" w:type="dxa"/>
          </w:tcPr>
          <w:p w14:paraId="4051433F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088DA660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3D346639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  <w:gridSpan w:val="2"/>
          </w:tcPr>
          <w:p w14:paraId="1E427F23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14:paraId="781420CD" w14:textId="77777777" w:rsidR="00D64D2C" w:rsidRPr="00AF223B" w:rsidRDefault="00D64D2C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373B566E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7A6F7A79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21BA5CDC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039" w:type="dxa"/>
          </w:tcPr>
          <w:p w14:paraId="058922CA" w14:textId="77777777" w:rsidR="00D64D2C" w:rsidRPr="00AF223B" w:rsidRDefault="00D64D2C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CA7506" w:rsidRPr="00AF223B" w14:paraId="6B32C318" w14:textId="77777777" w:rsidTr="00240C52">
        <w:tc>
          <w:tcPr>
            <w:tcW w:w="1245" w:type="dxa"/>
          </w:tcPr>
          <w:p w14:paraId="51A71957" w14:textId="10717C37" w:rsidR="00D64D2C" w:rsidRPr="00AF223B" w:rsidRDefault="00240C52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Total partiel</w:t>
            </w:r>
          </w:p>
        </w:tc>
        <w:tc>
          <w:tcPr>
            <w:tcW w:w="767" w:type="dxa"/>
          </w:tcPr>
          <w:p w14:paraId="1283FF7E" w14:textId="67BA4544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944" w:type="dxa"/>
          </w:tcPr>
          <w:p w14:paraId="6CED32ED" w14:textId="70003B9C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</w:tcPr>
          <w:p w14:paraId="62C7AA1A" w14:textId="53FBBDD1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86" w:type="dxa"/>
          </w:tcPr>
          <w:p w14:paraId="20D598F7" w14:textId="7BADD55C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  <w:gridSpan w:val="2"/>
          </w:tcPr>
          <w:p w14:paraId="3D59F653" w14:textId="11D8C460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851" w:type="dxa"/>
          </w:tcPr>
          <w:p w14:paraId="3F4BA9A4" w14:textId="388A4876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3</w:t>
            </w:r>
            <w:r w:rsidR="006E4BE1"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8</w:t>
            </w:r>
          </w:p>
        </w:tc>
        <w:tc>
          <w:tcPr>
            <w:tcW w:w="768" w:type="dxa"/>
          </w:tcPr>
          <w:p w14:paraId="54B7CA19" w14:textId="56DF33D7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41" w:type="dxa"/>
          </w:tcPr>
          <w:p w14:paraId="29D112E6" w14:textId="4BD49E0A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</w:tcPr>
          <w:p w14:paraId="54CED805" w14:textId="0DDD5E4B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1039" w:type="dxa"/>
          </w:tcPr>
          <w:p w14:paraId="1E42292F" w14:textId="736A8BFB" w:rsidR="00D64D2C" w:rsidRPr="00AF223B" w:rsidRDefault="006B51E3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38</w:t>
            </w:r>
          </w:p>
        </w:tc>
      </w:tr>
      <w:tr w:rsidR="00D64D2C" w:rsidRPr="00EB5AF0" w14:paraId="045533A1" w14:textId="77777777" w:rsidTr="00240C52">
        <w:tc>
          <w:tcPr>
            <w:tcW w:w="9445" w:type="dxa"/>
            <w:gridSpan w:val="12"/>
          </w:tcPr>
          <w:p w14:paraId="15735374" w14:textId="58BC7125" w:rsidR="00D64D2C" w:rsidRPr="00240C52" w:rsidRDefault="00240C52" w:rsidP="005C6C1B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240C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Projets achevés il y a moins de deux ans</w:t>
            </w:r>
          </w:p>
        </w:tc>
      </w:tr>
      <w:tr w:rsidR="00CA7506" w:rsidRPr="00AF223B" w14:paraId="49ED04C6" w14:textId="77777777" w:rsidTr="00240C52">
        <w:tc>
          <w:tcPr>
            <w:tcW w:w="1245" w:type="dxa"/>
          </w:tcPr>
          <w:p w14:paraId="53AA5A97" w14:textId="1E07AC18" w:rsidR="00D64D2C" w:rsidRPr="00AF223B" w:rsidRDefault="00D64D2C" w:rsidP="00240C52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1 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nov. au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B058C"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br/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31 déc.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 xml:space="preserve"> 2018</w:t>
            </w:r>
          </w:p>
        </w:tc>
        <w:tc>
          <w:tcPr>
            <w:tcW w:w="767" w:type="dxa"/>
          </w:tcPr>
          <w:p w14:paraId="4962280C" w14:textId="7BE6178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44" w:type="dxa"/>
          </w:tcPr>
          <w:p w14:paraId="0CA9696A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5A3DBE81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0DC24125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  <w:gridSpan w:val="2"/>
          </w:tcPr>
          <w:p w14:paraId="7049D997" w14:textId="53336438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851" w:type="dxa"/>
          </w:tcPr>
          <w:p w14:paraId="5C2D7C0D" w14:textId="50D6A8A6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226</w:t>
            </w:r>
          </w:p>
        </w:tc>
        <w:tc>
          <w:tcPr>
            <w:tcW w:w="768" w:type="dxa"/>
          </w:tcPr>
          <w:p w14:paraId="57FCE4D9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1BE448C7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1FC8BC02" w14:textId="59890BC0" w:rsidR="00D64D2C" w:rsidRPr="00AF223B" w:rsidRDefault="006B51E3" w:rsidP="005C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</w:t>
            </w:r>
          </w:p>
        </w:tc>
        <w:tc>
          <w:tcPr>
            <w:tcW w:w="1039" w:type="dxa"/>
          </w:tcPr>
          <w:p w14:paraId="72E157AA" w14:textId="5AA7661D" w:rsidR="00D64D2C" w:rsidRPr="00AF223B" w:rsidRDefault="006B51E3" w:rsidP="005C6C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226</w:t>
            </w:r>
          </w:p>
        </w:tc>
      </w:tr>
      <w:tr w:rsidR="00CA7506" w:rsidRPr="00AF223B" w14:paraId="11A1B7C6" w14:textId="77777777" w:rsidTr="00240C52">
        <w:tc>
          <w:tcPr>
            <w:tcW w:w="1245" w:type="dxa"/>
          </w:tcPr>
          <w:p w14:paraId="026E739B" w14:textId="43D9F6CC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2019</w:t>
            </w:r>
          </w:p>
        </w:tc>
        <w:tc>
          <w:tcPr>
            <w:tcW w:w="767" w:type="dxa"/>
          </w:tcPr>
          <w:p w14:paraId="6255C531" w14:textId="752113FB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20</w:t>
            </w:r>
          </w:p>
        </w:tc>
        <w:tc>
          <w:tcPr>
            <w:tcW w:w="944" w:type="dxa"/>
          </w:tcPr>
          <w:p w14:paraId="0F7AD860" w14:textId="65428C1C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154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24</w:t>
            </w:r>
            <w:r w:rsidR="00224C5F"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</w:p>
        </w:tc>
        <w:tc>
          <w:tcPr>
            <w:tcW w:w="768" w:type="dxa"/>
          </w:tcPr>
          <w:p w14:paraId="76CB90BF" w14:textId="77777777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7A7CE03A" w14:textId="77777777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  <w:gridSpan w:val="2"/>
          </w:tcPr>
          <w:p w14:paraId="23B30031" w14:textId="0144930D" w:rsidR="008C4209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15</w:t>
            </w:r>
          </w:p>
        </w:tc>
        <w:tc>
          <w:tcPr>
            <w:tcW w:w="851" w:type="dxa"/>
          </w:tcPr>
          <w:p w14:paraId="251B19AA" w14:textId="11A4EA1B" w:rsidR="008C4209" w:rsidRPr="00AF223B" w:rsidRDefault="009656D8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93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862</w:t>
            </w:r>
          </w:p>
        </w:tc>
        <w:tc>
          <w:tcPr>
            <w:tcW w:w="768" w:type="dxa"/>
          </w:tcPr>
          <w:p w14:paraId="1BB45BA3" w14:textId="77777777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712C3DA0" w14:textId="77777777" w:rsidR="008C4209" w:rsidRPr="00AF223B" w:rsidRDefault="008C4209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494512EB" w14:textId="09AC2048" w:rsidR="008C4209" w:rsidRPr="00AF223B" w:rsidRDefault="006B51E3" w:rsidP="005C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35</w:t>
            </w:r>
          </w:p>
        </w:tc>
        <w:tc>
          <w:tcPr>
            <w:tcW w:w="1039" w:type="dxa"/>
          </w:tcPr>
          <w:p w14:paraId="79F39B82" w14:textId="5A4DFEB5" w:rsidR="008C4209" w:rsidRPr="00AF223B" w:rsidRDefault="006B51E3" w:rsidP="005C6C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248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105</w:t>
            </w:r>
          </w:p>
        </w:tc>
      </w:tr>
      <w:tr w:rsidR="00CA7506" w:rsidRPr="00AF223B" w14:paraId="14343216" w14:textId="77777777" w:rsidTr="00240C52">
        <w:tc>
          <w:tcPr>
            <w:tcW w:w="1245" w:type="dxa"/>
            <w:vAlign w:val="center"/>
          </w:tcPr>
          <w:p w14:paraId="24DD0F0D" w14:textId="553E1B9F" w:rsidR="008C4209" w:rsidRPr="00AF223B" w:rsidRDefault="00240C52" w:rsidP="008C420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Total partiel</w:t>
            </w:r>
          </w:p>
        </w:tc>
        <w:tc>
          <w:tcPr>
            <w:tcW w:w="767" w:type="dxa"/>
          </w:tcPr>
          <w:p w14:paraId="4F972782" w14:textId="5EB17E3A" w:rsidR="008C4209" w:rsidRPr="00AF223B" w:rsidRDefault="008C4209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20</w:t>
            </w:r>
          </w:p>
        </w:tc>
        <w:tc>
          <w:tcPr>
            <w:tcW w:w="944" w:type="dxa"/>
          </w:tcPr>
          <w:p w14:paraId="74D3927F" w14:textId="133D758E" w:rsidR="008C4209" w:rsidRPr="00AF223B" w:rsidRDefault="008C4209" w:rsidP="008C42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154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24</w:t>
            </w:r>
            <w:r w:rsidR="00224C5F"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</w:p>
        </w:tc>
        <w:tc>
          <w:tcPr>
            <w:tcW w:w="768" w:type="dxa"/>
          </w:tcPr>
          <w:p w14:paraId="73A7FE08" w14:textId="77777777" w:rsidR="008C4209" w:rsidRPr="00AF223B" w:rsidRDefault="008C4209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0EC96854" w14:textId="77777777" w:rsidR="008C4209" w:rsidRPr="00AF223B" w:rsidRDefault="008C4209" w:rsidP="008C4209">
            <w:pPr>
              <w:tabs>
                <w:tab w:val="right" w:pos="597"/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  <w:gridSpan w:val="2"/>
          </w:tcPr>
          <w:p w14:paraId="5FB415E3" w14:textId="3B38C894" w:rsidR="008C4209" w:rsidRPr="00AF223B" w:rsidRDefault="009656D8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16</w:t>
            </w:r>
          </w:p>
        </w:tc>
        <w:tc>
          <w:tcPr>
            <w:tcW w:w="851" w:type="dxa"/>
          </w:tcPr>
          <w:p w14:paraId="1AB88839" w14:textId="471785D0" w:rsidR="008C4209" w:rsidRPr="00AF223B" w:rsidRDefault="009656D8" w:rsidP="008C42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97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088</w:t>
            </w:r>
          </w:p>
        </w:tc>
        <w:tc>
          <w:tcPr>
            <w:tcW w:w="768" w:type="dxa"/>
          </w:tcPr>
          <w:p w14:paraId="344EB59E" w14:textId="77777777" w:rsidR="008C4209" w:rsidRPr="00AF223B" w:rsidRDefault="008C4209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4A9A501B" w14:textId="77777777" w:rsidR="008C4209" w:rsidRPr="00AF223B" w:rsidRDefault="008C4209" w:rsidP="008C4209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1CFFF041" w14:textId="46D80712" w:rsidR="008C4209" w:rsidRPr="00AF223B" w:rsidRDefault="006B51E3" w:rsidP="008C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36</w:t>
            </w:r>
          </w:p>
        </w:tc>
        <w:tc>
          <w:tcPr>
            <w:tcW w:w="1039" w:type="dxa"/>
          </w:tcPr>
          <w:p w14:paraId="21B0BC4A" w14:textId="26F69B52" w:rsidR="008C4209" w:rsidRPr="00AF223B" w:rsidRDefault="006B51E3" w:rsidP="008C42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251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331</w:t>
            </w:r>
          </w:p>
        </w:tc>
      </w:tr>
      <w:tr w:rsidR="00CA7506" w:rsidRPr="00AF223B" w14:paraId="555E32AA" w14:textId="77777777" w:rsidTr="00240C52">
        <w:tc>
          <w:tcPr>
            <w:tcW w:w="1245" w:type="dxa"/>
            <w:vAlign w:val="center"/>
          </w:tcPr>
          <w:p w14:paraId="3172293F" w14:textId="77777777" w:rsidR="008C4209" w:rsidRPr="00AF223B" w:rsidRDefault="008C4209" w:rsidP="008C420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Total </w:t>
            </w:r>
          </w:p>
        </w:tc>
        <w:tc>
          <w:tcPr>
            <w:tcW w:w="767" w:type="dxa"/>
          </w:tcPr>
          <w:p w14:paraId="03A512A8" w14:textId="0E58D8D9" w:rsidR="008C4209" w:rsidRPr="00AF223B" w:rsidRDefault="008C4209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20</w:t>
            </w:r>
          </w:p>
        </w:tc>
        <w:tc>
          <w:tcPr>
            <w:tcW w:w="944" w:type="dxa"/>
          </w:tcPr>
          <w:p w14:paraId="6EC9766B" w14:textId="04B4651E" w:rsidR="008C4209" w:rsidRPr="00AF223B" w:rsidRDefault="008C4209" w:rsidP="008C42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154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24</w:t>
            </w:r>
            <w:r w:rsidR="00224C5F"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</w:t>
            </w:r>
          </w:p>
        </w:tc>
        <w:tc>
          <w:tcPr>
            <w:tcW w:w="768" w:type="dxa"/>
          </w:tcPr>
          <w:p w14:paraId="41D0DA56" w14:textId="36BFC4CB" w:rsidR="008C4209" w:rsidRPr="00AF223B" w:rsidRDefault="006B51E3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786" w:type="dxa"/>
          </w:tcPr>
          <w:p w14:paraId="0454EBA3" w14:textId="75ED6D72" w:rsidR="008C4209" w:rsidRPr="00AF223B" w:rsidRDefault="006B51E3" w:rsidP="008C4209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  <w:gridSpan w:val="2"/>
          </w:tcPr>
          <w:p w14:paraId="48E09040" w14:textId="50078EAC" w:rsidR="008C4209" w:rsidRPr="00AF223B" w:rsidRDefault="009656D8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17</w:t>
            </w:r>
          </w:p>
        </w:tc>
        <w:tc>
          <w:tcPr>
            <w:tcW w:w="851" w:type="dxa"/>
          </w:tcPr>
          <w:p w14:paraId="6A0ABE64" w14:textId="383FD3F4" w:rsidR="008C4209" w:rsidRPr="00AF223B" w:rsidRDefault="009656D8" w:rsidP="008C42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97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12</w:t>
            </w:r>
            <w:r w:rsidR="006E4BE1"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6</w:t>
            </w:r>
          </w:p>
        </w:tc>
        <w:tc>
          <w:tcPr>
            <w:tcW w:w="768" w:type="dxa"/>
          </w:tcPr>
          <w:p w14:paraId="3936E5AF" w14:textId="308C961E" w:rsidR="008C4209" w:rsidRPr="00AF223B" w:rsidRDefault="006B51E3" w:rsidP="008C420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741" w:type="dxa"/>
          </w:tcPr>
          <w:p w14:paraId="0A163EDF" w14:textId="1C67BF5D" w:rsidR="008C4209" w:rsidRPr="00AF223B" w:rsidRDefault="006B51E3" w:rsidP="008C4209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</w:tcPr>
          <w:p w14:paraId="1276B1C1" w14:textId="76A1A256" w:rsidR="008C4209" w:rsidRPr="00AF223B" w:rsidRDefault="006B51E3" w:rsidP="008C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37</w:t>
            </w:r>
          </w:p>
        </w:tc>
        <w:tc>
          <w:tcPr>
            <w:tcW w:w="1039" w:type="dxa"/>
          </w:tcPr>
          <w:p w14:paraId="6E8DEA30" w14:textId="493CF7F6" w:rsidR="008C4209" w:rsidRPr="00AF223B" w:rsidRDefault="006B51E3" w:rsidP="008C42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251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369</w:t>
            </w:r>
          </w:p>
        </w:tc>
      </w:tr>
      <w:tr w:rsidR="00D64D2C" w:rsidRPr="00EB5AF0" w14:paraId="0AB98BCE" w14:textId="77777777" w:rsidTr="00240C52">
        <w:tc>
          <w:tcPr>
            <w:tcW w:w="9445" w:type="dxa"/>
            <w:gridSpan w:val="12"/>
          </w:tcPr>
          <w:p w14:paraId="19CA8E15" w14:textId="1A347A2B" w:rsidR="00D64D2C" w:rsidRPr="00AF223B" w:rsidRDefault="00240C52" w:rsidP="005C6C1B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Projets par décision (en cours)</w:t>
            </w:r>
          </w:p>
        </w:tc>
      </w:tr>
      <w:tr w:rsidR="00CA7506" w:rsidRPr="00AF223B" w14:paraId="389CBBD3" w14:textId="77777777" w:rsidTr="00240C52">
        <w:tc>
          <w:tcPr>
            <w:tcW w:w="1245" w:type="dxa"/>
          </w:tcPr>
          <w:p w14:paraId="0B351EF4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767" w:type="dxa"/>
          </w:tcPr>
          <w:p w14:paraId="0FF12433" w14:textId="619DEA0C" w:rsidR="00D64D2C" w:rsidRPr="00AF223B" w:rsidRDefault="00573D6B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944" w:type="dxa"/>
          </w:tcPr>
          <w:p w14:paraId="31067CCA" w14:textId="29986C27" w:rsidR="00D64D2C" w:rsidRPr="00AF223B" w:rsidRDefault="009429B2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185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828</w:t>
            </w:r>
          </w:p>
        </w:tc>
        <w:tc>
          <w:tcPr>
            <w:tcW w:w="768" w:type="dxa"/>
          </w:tcPr>
          <w:p w14:paraId="60EE1710" w14:textId="2FFB3ABF" w:rsidR="00D64D2C" w:rsidRPr="00AF223B" w:rsidRDefault="001B7C34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</w:t>
            </w:r>
          </w:p>
        </w:tc>
        <w:tc>
          <w:tcPr>
            <w:tcW w:w="786" w:type="dxa"/>
          </w:tcPr>
          <w:p w14:paraId="28F7BE2B" w14:textId="77E6BFD9" w:rsidR="00D64D2C" w:rsidRPr="00AF223B" w:rsidRDefault="001B7C34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164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077</w:t>
            </w:r>
          </w:p>
        </w:tc>
        <w:tc>
          <w:tcPr>
            <w:tcW w:w="768" w:type="dxa"/>
            <w:gridSpan w:val="2"/>
          </w:tcPr>
          <w:p w14:paraId="43474D0A" w14:textId="4457407B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5</w:t>
            </w:r>
          </w:p>
        </w:tc>
        <w:tc>
          <w:tcPr>
            <w:tcW w:w="851" w:type="dxa"/>
          </w:tcPr>
          <w:p w14:paraId="7AC738F8" w14:textId="3CFD2D96" w:rsidR="00D64D2C" w:rsidRPr="00AF223B" w:rsidRDefault="009656D8" w:rsidP="005C6C1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991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30</w:t>
            </w:r>
            <w:r w:rsidR="006E4BE1"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1</w:t>
            </w:r>
          </w:p>
        </w:tc>
        <w:tc>
          <w:tcPr>
            <w:tcW w:w="768" w:type="dxa"/>
          </w:tcPr>
          <w:p w14:paraId="47E186F1" w14:textId="0CA2DE8D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3202A757" w14:textId="1D98DEAA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2ADA7BA4" w14:textId="73FF8CCF" w:rsidR="00D64D2C" w:rsidRPr="00AF223B" w:rsidRDefault="006B51E3" w:rsidP="005C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8</w:t>
            </w:r>
          </w:p>
        </w:tc>
        <w:tc>
          <w:tcPr>
            <w:tcW w:w="1039" w:type="dxa"/>
          </w:tcPr>
          <w:p w14:paraId="1AC5FD8D" w14:textId="7C7132C6" w:rsidR="00D64D2C" w:rsidRPr="00AF223B" w:rsidRDefault="006B51E3" w:rsidP="005C6C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1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341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206</w:t>
            </w:r>
          </w:p>
        </w:tc>
      </w:tr>
      <w:tr w:rsidR="00D64D2C" w:rsidRPr="00EB5AF0" w14:paraId="439F4E26" w14:textId="77777777" w:rsidTr="00240C52">
        <w:tc>
          <w:tcPr>
            <w:tcW w:w="9445" w:type="dxa"/>
            <w:gridSpan w:val="12"/>
          </w:tcPr>
          <w:p w14:paraId="6FDE70EE" w14:textId="000660E2" w:rsidR="00D64D2C" w:rsidRPr="00AF223B" w:rsidRDefault="00240C52" w:rsidP="00FE4906">
            <w:pPr>
              <w:tabs>
                <w:tab w:val="center" w:pos="4320"/>
                <w:tab w:val="right" w:pos="8640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t>Au titre des contributions supplémentaires volontaires</w:t>
            </w:r>
          </w:p>
        </w:tc>
      </w:tr>
      <w:tr w:rsidR="00CA7506" w:rsidRPr="00AF223B" w14:paraId="24FF10CE" w14:textId="77777777" w:rsidTr="00240C52">
        <w:tc>
          <w:tcPr>
            <w:tcW w:w="1245" w:type="dxa"/>
          </w:tcPr>
          <w:p w14:paraId="5185F307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767" w:type="dxa"/>
          </w:tcPr>
          <w:p w14:paraId="1AC92A9D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944" w:type="dxa"/>
          </w:tcPr>
          <w:p w14:paraId="32747F0F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3A3B3ADE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86" w:type="dxa"/>
          </w:tcPr>
          <w:p w14:paraId="0D4E1704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05" w:type="dxa"/>
          </w:tcPr>
          <w:p w14:paraId="07D5A90E" w14:textId="7C434350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2</w:t>
            </w:r>
            <w:r w:rsidR="00C7784D" w:rsidRPr="00AF223B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  <w:footnoteReference w:id="4"/>
            </w:r>
          </w:p>
        </w:tc>
        <w:tc>
          <w:tcPr>
            <w:tcW w:w="914" w:type="dxa"/>
            <w:gridSpan w:val="2"/>
          </w:tcPr>
          <w:p w14:paraId="2AC34532" w14:textId="6229FC03" w:rsidR="00D64D2C" w:rsidRPr="00AF223B" w:rsidRDefault="009656D8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6</w:t>
            </w:r>
            <w:r w:rsidR="00240C52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637</w:t>
            </w:r>
          </w:p>
        </w:tc>
        <w:tc>
          <w:tcPr>
            <w:tcW w:w="768" w:type="dxa"/>
          </w:tcPr>
          <w:p w14:paraId="2042511A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41" w:type="dxa"/>
          </w:tcPr>
          <w:p w14:paraId="2B2E264B" w14:textId="77777777" w:rsidR="00D64D2C" w:rsidRPr="00AF223B" w:rsidRDefault="00D64D2C" w:rsidP="005C6C1B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768" w:type="dxa"/>
          </w:tcPr>
          <w:p w14:paraId="247FC88A" w14:textId="7CE4582D" w:rsidR="00D64D2C" w:rsidRPr="00AF223B" w:rsidRDefault="006B51E3" w:rsidP="005C6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2</w:t>
            </w:r>
          </w:p>
        </w:tc>
        <w:tc>
          <w:tcPr>
            <w:tcW w:w="1039" w:type="dxa"/>
          </w:tcPr>
          <w:p w14:paraId="553D1FF0" w14:textId="026924EF" w:rsidR="00D64D2C" w:rsidRPr="00AF223B" w:rsidRDefault="006B51E3" w:rsidP="005C6C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6</w:t>
            </w:r>
            <w:r w:rsidR="00240C52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color w:val="000000"/>
                <w:sz w:val="20"/>
                <w:szCs w:val="20"/>
                <w:lang w:val="fr-CA"/>
              </w:rPr>
              <w:t>637</w:t>
            </w:r>
          </w:p>
        </w:tc>
      </w:tr>
      <w:tr w:rsidR="00CA7506" w:rsidRPr="00AF223B" w14:paraId="4893CB9F" w14:textId="77777777" w:rsidTr="00240C52">
        <w:trPr>
          <w:trHeight w:val="251"/>
        </w:trPr>
        <w:tc>
          <w:tcPr>
            <w:tcW w:w="1245" w:type="dxa"/>
          </w:tcPr>
          <w:p w14:paraId="683487C6" w14:textId="08E0359A" w:rsidR="00AE0D9E" w:rsidRPr="00AF223B" w:rsidRDefault="00240C52" w:rsidP="00AE0D9E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Grand total</w:t>
            </w:r>
          </w:p>
        </w:tc>
        <w:tc>
          <w:tcPr>
            <w:tcW w:w="767" w:type="dxa"/>
          </w:tcPr>
          <w:p w14:paraId="4249A812" w14:textId="0C9BF5BF" w:rsidR="00AE0D9E" w:rsidRPr="00AF223B" w:rsidRDefault="00AE0D9E" w:rsidP="00AE0D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21</w:t>
            </w:r>
          </w:p>
        </w:tc>
        <w:tc>
          <w:tcPr>
            <w:tcW w:w="944" w:type="dxa"/>
          </w:tcPr>
          <w:p w14:paraId="1EC19F05" w14:textId="4454BEB1" w:rsidR="00AE0D9E" w:rsidRPr="00AF223B" w:rsidRDefault="00AE0D9E" w:rsidP="00AE0D9E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5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340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07</w:t>
            </w:r>
            <w:r w:rsidR="00224C5F"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768" w:type="dxa"/>
          </w:tcPr>
          <w:p w14:paraId="04FE4C8D" w14:textId="563191C8" w:rsidR="00AE0D9E" w:rsidRPr="00AF223B" w:rsidRDefault="00AE0D9E" w:rsidP="00AE0D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2</w:t>
            </w:r>
          </w:p>
        </w:tc>
        <w:tc>
          <w:tcPr>
            <w:tcW w:w="786" w:type="dxa"/>
          </w:tcPr>
          <w:p w14:paraId="2ACB6683" w14:textId="49106904" w:rsidR="00AE0D9E" w:rsidRPr="00AF223B" w:rsidRDefault="00AE0D9E" w:rsidP="00AE0D9E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164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077</w:t>
            </w:r>
          </w:p>
        </w:tc>
        <w:tc>
          <w:tcPr>
            <w:tcW w:w="705" w:type="dxa"/>
          </w:tcPr>
          <w:p w14:paraId="58286649" w14:textId="164145E0" w:rsidR="00AE0D9E" w:rsidRPr="00AF223B" w:rsidRDefault="006E4BE1" w:rsidP="00AE0D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24</w:t>
            </w:r>
          </w:p>
        </w:tc>
        <w:tc>
          <w:tcPr>
            <w:tcW w:w="914" w:type="dxa"/>
            <w:gridSpan w:val="2"/>
          </w:tcPr>
          <w:p w14:paraId="20E8EF4A" w14:textId="0DCB50DB" w:rsidR="00AE0D9E" w:rsidRPr="00AF223B" w:rsidRDefault="006E4BE1" w:rsidP="00EB05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1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095</w:t>
            </w:r>
            <w:r w:rsidR="00240C52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06</w:t>
            </w:r>
            <w:r w:rsidR="00FD6D21"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4</w:t>
            </w:r>
          </w:p>
        </w:tc>
        <w:tc>
          <w:tcPr>
            <w:tcW w:w="768" w:type="dxa"/>
          </w:tcPr>
          <w:p w14:paraId="2330AB86" w14:textId="53250AAE" w:rsidR="00AE0D9E" w:rsidRPr="00AF223B" w:rsidRDefault="006B51E3" w:rsidP="00AE0D9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41" w:type="dxa"/>
          </w:tcPr>
          <w:p w14:paraId="1D30EBA7" w14:textId="4F17A262" w:rsidR="00AE0D9E" w:rsidRPr="00AF223B" w:rsidRDefault="006B51E3" w:rsidP="00AE0D9E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0</w:t>
            </w:r>
          </w:p>
        </w:tc>
        <w:tc>
          <w:tcPr>
            <w:tcW w:w="768" w:type="dxa"/>
          </w:tcPr>
          <w:p w14:paraId="78CD3371" w14:textId="5D3E0989" w:rsidR="00AE0D9E" w:rsidRPr="00AF223B" w:rsidRDefault="006B51E3" w:rsidP="00AE0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47</w:t>
            </w:r>
          </w:p>
        </w:tc>
        <w:tc>
          <w:tcPr>
            <w:tcW w:w="1039" w:type="dxa"/>
          </w:tcPr>
          <w:p w14:paraId="733B64B8" w14:textId="53A2A7FC" w:rsidR="00AE0D9E" w:rsidRPr="00AF223B" w:rsidRDefault="006B51E3" w:rsidP="00AE0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</w:pP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6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599</w:t>
            </w:r>
            <w:r w:rsidR="00240C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CA"/>
              </w:rPr>
              <w:t>212</w:t>
            </w:r>
          </w:p>
        </w:tc>
      </w:tr>
    </w:tbl>
    <w:p w14:paraId="68F77870" w14:textId="7B4CBBB3" w:rsidR="00D64D2C" w:rsidRPr="00AF223B" w:rsidRDefault="00D64D2C" w:rsidP="00D64D2C">
      <w:pPr>
        <w:tabs>
          <w:tab w:val="center" w:pos="4320"/>
          <w:tab w:val="right" w:pos="8640"/>
        </w:tabs>
        <w:rPr>
          <w:sz w:val="24"/>
          <w:szCs w:val="24"/>
          <w:u w:val="single"/>
          <w:lang w:val="fr-CA"/>
        </w:rPr>
      </w:pPr>
    </w:p>
    <w:p w14:paraId="49C9CE5E" w14:textId="77777777" w:rsidR="00410A52" w:rsidRPr="00AF223B" w:rsidRDefault="00410A52" w:rsidP="00D64D2C">
      <w:pPr>
        <w:tabs>
          <w:tab w:val="center" w:pos="4320"/>
          <w:tab w:val="right" w:pos="8640"/>
        </w:tabs>
        <w:rPr>
          <w:sz w:val="24"/>
          <w:szCs w:val="24"/>
          <w:u w:val="single"/>
          <w:lang w:val="fr-CA"/>
        </w:rPr>
      </w:pPr>
    </w:p>
    <w:p w14:paraId="0973C1DB" w14:textId="398099A9" w:rsidR="00F1540A" w:rsidRPr="00AF223B" w:rsidRDefault="00240C52" w:rsidP="00EB5AF0">
      <w:pPr>
        <w:keepNext/>
        <w:keepLines/>
        <w:tabs>
          <w:tab w:val="center" w:pos="4320"/>
          <w:tab w:val="right" w:pos="8640"/>
        </w:tabs>
        <w:rPr>
          <w:u w:val="single"/>
          <w:lang w:val="fr-CA"/>
        </w:rPr>
      </w:pPr>
      <w:bookmarkStart w:id="0" w:name="_GoBack"/>
      <w:r>
        <w:rPr>
          <w:u w:val="single"/>
          <w:lang w:val="fr-CA"/>
        </w:rPr>
        <w:lastRenderedPageBreak/>
        <w:t>Somes à retourner par les agences bilatérales</w:t>
      </w:r>
    </w:p>
    <w:p w14:paraId="38E0917A" w14:textId="77777777" w:rsidR="00F1540A" w:rsidRPr="00AF223B" w:rsidRDefault="00F1540A" w:rsidP="00EB5AF0">
      <w:pPr>
        <w:keepNext/>
        <w:keepLines/>
        <w:tabs>
          <w:tab w:val="num" w:pos="709"/>
        </w:tabs>
        <w:ind w:right="-22"/>
        <w:rPr>
          <w:sz w:val="24"/>
          <w:szCs w:val="24"/>
          <w:u w:val="single"/>
          <w:lang w:val="fr-CA"/>
        </w:rPr>
      </w:pPr>
    </w:p>
    <w:p w14:paraId="1A39CF2E" w14:textId="4C55DDB2" w:rsidR="00F1540A" w:rsidRPr="00AF223B" w:rsidRDefault="00240C52" w:rsidP="00EB5AF0">
      <w:pPr>
        <w:pStyle w:val="Heading1"/>
        <w:keepNext/>
        <w:keepLines/>
        <w:rPr>
          <w:lang w:val="fr-CA"/>
        </w:rPr>
      </w:pPr>
      <w:r>
        <w:rPr>
          <w:lang w:val="fr-CA"/>
        </w:rPr>
        <w:t xml:space="preserve">La somme totale à retourner par </w:t>
      </w:r>
      <w:r w:rsidR="000B38A9">
        <w:rPr>
          <w:lang w:val="fr-CA"/>
        </w:rPr>
        <w:t>les agences bilatérales</w:t>
      </w:r>
      <w:r>
        <w:rPr>
          <w:lang w:val="fr-CA"/>
        </w:rPr>
        <w:t xml:space="preserve"> s’élève à 142 $US, comme indiqué dans le tableau 3</w:t>
      </w:r>
      <w:r w:rsidR="00F1540A" w:rsidRPr="00AF223B">
        <w:rPr>
          <w:lang w:val="fr-CA"/>
        </w:rPr>
        <w:t>.</w:t>
      </w:r>
    </w:p>
    <w:bookmarkEnd w:id="0"/>
    <w:p w14:paraId="0CDDFE3A" w14:textId="4ABD4F0D" w:rsidR="008C69A8" w:rsidRPr="00AF223B" w:rsidRDefault="007A673B" w:rsidP="00DA4ADC">
      <w:pPr>
        <w:keepNext/>
        <w:keepLines/>
        <w:widowControl w:val="0"/>
        <w:tabs>
          <w:tab w:val="left" w:pos="5103"/>
        </w:tabs>
        <w:ind w:right="-164"/>
        <w:rPr>
          <w:b/>
          <w:lang w:val="fr-CA"/>
        </w:rPr>
      </w:pPr>
      <w:r w:rsidRPr="00AF223B">
        <w:rPr>
          <w:b/>
          <w:lang w:val="fr-CA"/>
        </w:rPr>
        <w:t>T</w:t>
      </w:r>
      <w:r w:rsidR="00F1540A" w:rsidRPr="00AF223B">
        <w:rPr>
          <w:b/>
          <w:lang w:val="fr-CA"/>
        </w:rPr>
        <w:t>able</w:t>
      </w:r>
      <w:r w:rsidR="00E06D04">
        <w:rPr>
          <w:b/>
          <w:lang w:val="fr-CA"/>
        </w:rPr>
        <w:t>au</w:t>
      </w:r>
      <w:r w:rsidR="00F1540A" w:rsidRPr="00AF223B">
        <w:rPr>
          <w:b/>
          <w:lang w:val="fr-CA"/>
        </w:rPr>
        <w:t xml:space="preserve"> 3. </w:t>
      </w:r>
      <w:r w:rsidR="00E06D04">
        <w:rPr>
          <w:b/>
          <w:lang w:val="fr-CA"/>
        </w:rPr>
        <w:t>Sommes à retourner à la 86</w:t>
      </w:r>
      <w:r w:rsidR="00E06D04" w:rsidRPr="00E06D04">
        <w:rPr>
          <w:b/>
          <w:vertAlign w:val="superscript"/>
          <w:lang w:val="fr-CA"/>
        </w:rPr>
        <w:t>e</w:t>
      </w:r>
      <w:r w:rsidR="00E06D04">
        <w:rPr>
          <w:b/>
          <w:lang w:val="fr-CA"/>
        </w:rPr>
        <w:t xml:space="preserve"> réunion par les agences bilatérales ($US)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2366"/>
        <w:gridCol w:w="2028"/>
      </w:tblGrid>
      <w:tr w:rsidR="00F1540A" w:rsidRPr="00AF223B" w14:paraId="4CC23290" w14:textId="77777777" w:rsidTr="00B40AAF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5B93" w14:textId="5FB27382" w:rsidR="00F1540A" w:rsidRPr="00AF223B" w:rsidRDefault="00E06D04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Agence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3332C8FB" w14:textId="1FE02B9F" w:rsidR="00F1540A" w:rsidRPr="00AF223B" w:rsidRDefault="00E06D04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Coût du projet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3E550FF6" w14:textId="22DFD732" w:rsidR="00F1540A" w:rsidRPr="00AF223B" w:rsidRDefault="00E06D04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Coûts d’appui à l’agence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605234D8" w14:textId="77777777" w:rsidR="00F1540A" w:rsidRPr="00AF223B" w:rsidRDefault="00F1540A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b/>
                <w:sz w:val="20"/>
                <w:szCs w:val="20"/>
                <w:lang w:val="fr-CA"/>
              </w:rPr>
              <w:t>Total</w:t>
            </w:r>
          </w:p>
        </w:tc>
      </w:tr>
      <w:tr w:rsidR="00F1540A" w:rsidRPr="00AF223B" w14:paraId="2E3C6357" w14:textId="77777777" w:rsidTr="00B40AAF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221" w14:textId="7BD7AD05" w:rsidR="00F1540A" w:rsidRPr="00AF223B" w:rsidRDefault="00E06D04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Japon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2EB97B7C" w14:textId="37565767" w:rsidR="00F1540A" w:rsidRPr="00AF223B" w:rsidRDefault="00282F0F" w:rsidP="006D2510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126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1CC30251" w14:textId="4104CBFA" w:rsidR="00F1540A" w:rsidRPr="00AF223B" w:rsidRDefault="00282F0F" w:rsidP="006D2510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003C8EBC" w14:textId="39CE2F79" w:rsidR="00F1540A" w:rsidRPr="00AF223B" w:rsidRDefault="000E498D" w:rsidP="006D2510">
            <w:pPr>
              <w:keepNext/>
              <w:keepLines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142</w:t>
            </w:r>
          </w:p>
        </w:tc>
      </w:tr>
    </w:tbl>
    <w:p w14:paraId="79FA496E" w14:textId="5D59E40C" w:rsidR="00F1540A" w:rsidRPr="00AF223B" w:rsidRDefault="00F1540A" w:rsidP="00F1540A">
      <w:pPr>
        <w:tabs>
          <w:tab w:val="num" w:pos="0"/>
          <w:tab w:val="num" w:pos="709"/>
        </w:tabs>
        <w:rPr>
          <w:lang w:val="fr-CA"/>
        </w:rPr>
      </w:pPr>
    </w:p>
    <w:p w14:paraId="49C878C8" w14:textId="3E56C761" w:rsidR="007A673B" w:rsidRPr="00AF223B" w:rsidRDefault="00E06D04" w:rsidP="00F1540A">
      <w:pPr>
        <w:pStyle w:val="Heading2"/>
        <w:numPr>
          <w:ilvl w:val="0"/>
          <w:numId w:val="2"/>
        </w:numPr>
        <w:tabs>
          <w:tab w:val="clear" w:pos="0"/>
          <w:tab w:val="num" w:pos="360"/>
          <w:tab w:val="left" w:pos="720"/>
        </w:tabs>
        <w:spacing w:after="0"/>
        <w:ind w:right="-22"/>
        <w:rPr>
          <w:bCs/>
          <w:lang w:val="fr-CA"/>
        </w:rPr>
      </w:pPr>
      <w:r>
        <w:rPr>
          <w:bCs/>
          <w:lang w:val="fr-CA"/>
        </w:rPr>
        <w:t>Le tableau 4 présente les soldes de projets détenus par les agences bilatérales</w:t>
      </w:r>
    </w:p>
    <w:p w14:paraId="581E1735" w14:textId="623CB71B" w:rsidR="007A673B" w:rsidRPr="00AF223B" w:rsidRDefault="007A673B" w:rsidP="007A673B">
      <w:pPr>
        <w:rPr>
          <w:lang w:val="fr-CA"/>
        </w:rPr>
      </w:pPr>
    </w:p>
    <w:p w14:paraId="2614A566" w14:textId="7A05F301" w:rsidR="007A673B" w:rsidRPr="00AF223B" w:rsidRDefault="007A673B" w:rsidP="007A673B">
      <w:pPr>
        <w:pStyle w:val="ListParagraph"/>
        <w:tabs>
          <w:tab w:val="num" w:pos="709"/>
        </w:tabs>
        <w:ind w:left="0"/>
        <w:rPr>
          <w:b/>
          <w:lang w:val="fr-CA"/>
        </w:rPr>
      </w:pPr>
      <w:r w:rsidRPr="00AF223B">
        <w:rPr>
          <w:b/>
          <w:lang w:val="fr-CA"/>
        </w:rPr>
        <w:t>Table</w:t>
      </w:r>
      <w:r w:rsidR="00E06D04">
        <w:rPr>
          <w:b/>
          <w:lang w:val="fr-CA"/>
        </w:rPr>
        <w:t>au</w:t>
      </w:r>
      <w:r w:rsidRPr="00AF223B">
        <w:rPr>
          <w:b/>
          <w:lang w:val="fr-CA"/>
        </w:rPr>
        <w:t xml:space="preserve"> 4. </w:t>
      </w:r>
      <w:r w:rsidR="00E06D04">
        <w:rPr>
          <w:b/>
          <w:lang w:val="fr-CA"/>
        </w:rPr>
        <w:t>Soldes détenus par les agences bilatérales ($US)</w:t>
      </w:r>
      <w:r w:rsidR="00FE4906" w:rsidRPr="00AF223B">
        <w:rPr>
          <w:b/>
          <w:lang w:val="fr-CA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127"/>
        <w:gridCol w:w="2366"/>
        <w:gridCol w:w="2028"/>
      </w:tblGrid>
      <w:tr w:rsidR="00410A52" w:rsidRPr="00AF223B" w14:paraId="323761AC" w14:textId="77777777" w:rsidTr="00B40AAF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CB70" w14:textId="1F603F77" w:rsidR="00410A52" w:rsidRPr="00AF223B" w:rsidRDefault="00E06D04" w:rsidP="00421B9E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Agence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5C56522A" w14:textId="52A0B94E" w:rsidR="00410A52" w:rsidRPr="00AF223B" w:rsidRDefault="00E06D04" w:rsidP="00421B9E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Coût du projet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769B0439" w14:textId="43EC418B" w:rsidR="00410A52" w:rsidRPr="00AF223B" w:rsidRDefault="00E06D04" w:rsidP="00421B9E">
            <w:pPr>
              <w:keepNext/>
              <w:keepLines/>
              <w:widowControl w:val="0"/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Coûts d’appui à l’agence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  <w:hideMark/>
          </w:tcPr>
          <w:p w14:paraId="33FDFF49" w14:textId="77777777" w:rsidR="00410A52" w:rsidRPr="00AF223B" w:rsidRDefault="00410A52" w:rsidP="00421B9E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b/>
                <w:sz w:val="20"/>
                <w:szCs w:val="20"/>
                <w:lang w:val="fr-CA"/>
              </w:rPr>
              <w:t>Total</w:t>
            </w:r>
          </w:p>
        </w:tc>
      </w:tr>
      <w:tr w:rsidR="00410A52" w:rsidRPr="00AF223B" w14:paraId="2132FDC6" w14:textId="77777777" w:rsidTr="00B40AAF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846" w14:textId="4687A0FB" w:rsidR="00410A52" w:rsidRPr="00AF223B" w:rsidRDefault="00E06D04" w:rsidP="00421B9E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Italie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5FD1CF2A" w14:textId="5AD7BC4A" w:rsidR="00410A52" w:rsidRPr="00AF223B" w:rsidRDefault="00410A52" w:rsidP="00421B9E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5</w:t>
            </w:r>
            <w:r w:rsidR="00E06D04">
              <w:rPr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sz w:val="20"/>
                <w:szCs w:val="20"/>
                <w:lang w:val="fr-CA"/>
              </w:rPr>
              <w:t>000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0F055EC5" w14:textId="06B91327" w:rsidR="00410A52" w:rsidRPr="00AF223B" w:rsidRDefault="00410A52" w:rsidP="00421B9E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350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5C115D3E" w14:textId="626EFFEA" w:rsidR="00410A52" w:rsidRPr="00AF223B" w:rsidRDefault="00410A52" w:rsidP="00421B9E">
            <w:pPr>
              <w:keepNext/>
              <w:keepLines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bCs/>
                <w:sz w:val="20"/>
                <w:szCs w:val="20"/>
                <w:lang w:val="fr-CA"/>
              </w:rPr>
              <w:t>5</w:t>
            </w:r>
            <w:r w:rsidR="00E06D04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bCs/>
                <w:sz w:val="20"/>
                <w:szCs w:val="20"/>
                <w:lang w:val="fr-CA"/>
              </w:rPr>
              <w:t>350</w:t>
            </w:r>
            <w:r w:rsidRPr="00AF223B">
              <w:rPr>
                <w:rStyle w:val="FootnoteReference"/>
                <w:bCs/>
                <w:sz w:val="20"/>
                <w:szCs w:val="20"/>
                <w:lang w:val="fr-CA"/>
              </w:rPr>
              <w:footnoteReference w:id="5"/>
            </w:r>
          </w:p>
        </w:tc>
      </w:tr>
      <w:tr w:rsidR="00410A52" w:rsidRPr="00AF223B" w14:paraId="7D1C5A6E" w14:textId="77777777" w:rsidTr="00B40AAF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954" w14:textId="6426552C" w:rsidR="00410A52" w:rsidRPr="00AF223B" w:rsidRDefault="00410A52" w:rsidP="00421B9E">
            <w:pPr>
              <w:keepNext/>
              <w:keepLines/>
              <w:widowControl w:val="0"/>
              <w:jc w:val="left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France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71428FC4" w14:textId="16A61964" w:rsidR="00410A52" w:rsidRPr="00AF223B" w:rsidRDefault="00410A52" w:rsidP="00421B9E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9</w:t>
            </w:r>
            <w:r w:rsidR="00E06D04">
              <w:rPr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sz w:val="20"/>
                <w:szCs w:val="20"/>
                <w:lang w:val="fr-CA"/>
              </w:rPr>
              <w:t>964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219253C2" w14:textId="23A21B83" w:rsidR="00410A52" w:rsidRPr="00AF223B" w:rsidRDefault="00410A52" w:rsidP="00421B9E">
            <w:pPr>
              <w:keepNext/>
              <w:keepLines/>
              <w:widowControl w:val="0"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sz w:val="20"/>
                <w:szCs w:val="20"/>
                <w:lang w:val="fr-CA"/>
              </w:rPr>
              <w:t>1</w:t>
            </w:r>
            <w:r w:rsidR="00E06D04">
              <w:rPr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sz w:val="20"/>
                <w:szCs w:val="20"/>
                <w:lang w:val="fr-CA"/>
              </w:rPr>
              <w:t>261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13" w:type="dxa"/>
            </w:tcMar>
            <w:vAlign w:val="center"/>
          </w:tcPr>
          <w:p w14:paraId="05A3EF34" w14:textId="150633C6" w:rsidR="00410A52" w:rsidRPr="00AF223B" w:rsidRDefault="00410A52" w:rsidP="00421B9E">
            <w:pPr>
              <w:keepNext/>
              <w:keepLines/>
              <w:jc w:val="center"/>
              <w:rPr>
                <w:sz w:val="20"/>
                <w:szCs w:val="20"/>
                <w:lang w:val="fr-CA"/>
              </w:rPr>
            </w:pPr>
            <w:r w:rsidRPr="00AF223B">
              <w:rPr>
                <w:bCs/>
                <w:sz w:val="20"/>
                <w:szCs w:val="20"/>
                <w:lang w:val="fr-CA"/>
              </w:rPr>
              <w:t>11</w:t>
            </w:r>
            <w:r w:rsidR="00E06D04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AF223B">
              <w:rPr>
                <w:bCs/>
                <w:sz w:val="20"/>
                <w:szCs w:val="20"/>
                <w:lang w:val="fr-CA"/>
              </w:rPr>
              <w:t>225</w:t>
            </w:r>
          </w:p>
        </w:tc>
      </w:tr>
    </w:tbl>
    <w:p w14:paraId="05ABE8DA" w14:textId="71570EDE" w:rsidR="00410A52" w:rsidRPr="00AF223B" w:rsidRDefault="00410A52" w:rsidP="007A673B">
      <w:pPr>
        <w:rPr>
          <w:lang w:val="fr-CA"/>
        </w:rPr>
      </w:pPr>
    </w:p>
    <w:p w14:paraId="463C4CD5" w14:textId="5B0E68B1" w:rsidR="00D64D2C" w:rsidRPr="00AF223B" w:rsidRDefault="00E06D04" w:rsidP="00D64D2C">
      <w:pPr>
        <w:tabs>
          <w:tab w:val="num" w:pos="709"/>
        </w:tabs>
        <w:spacing w:after="240"/>
        <w:rPr>
          <w:b/>
          <w:lang w:val="fr-CA"/>
        </w:rPr>
      </w:pPr>
      <w:r>
        <w:rPr>
          <w:b/>
          <w:lang w:val="fr-CA"/>
        </w:rPr>
        <w:t>Disponibilité des ressources</w:t>
      </w:r>
    </w:p>
    <w:p w14:paraId="49914E37" w14:textId="51C63E42" w:rsidR="006D2510" w:rsidRPr="00AF223B" w:rsidRDefault="00E06D04" w:rsidP="006D2510">
      <w:pPr>
        <w:pStyle w:val="Heading1"/>
        <w:rPr>
          <w:lang w:val="fr-CA"/>
        </w:rPr>
      </w:pPr>
      <w:r>
        <w:rPr>
          <w:lang w:val="fr-CA"/>
        </w:rPr>
        <w:t xml:space="preserve">Le document sur l’État des contributions et des décaissements indique un solde disponible de 324 044 205 $US au 30 octobre 2020. Le solde total retourné par les agences bilatérales et d’exécution </w:t>
      </w:r>
      <w:r w:rsidR="00B6573B">
        <w:rPr>
          <w:lang w:val="fr-CA"/>
        </w:rPr>
        <w:t>à</w:t>
      </w:r>
      <w:r>
        <w:rPr>
          <w:lang w:val="fr-CA"/>
        </w:rPr>
        <w:t xml:space="preserve"> la 86</w:t>
      </w:r>
      <w:r w:rsidRPr="00E06D04">
        <w:rPr>
          <w:vertAlign w:val="superscript"/>
          <w:lang w:val="fr-CA"/>
        </w:rPr>
        <w:t>e</w:t>
      </w:r>
      <w:r>
        <w:rPr>
          <w:lang w:val="fr-CA"/>
        </w:rPr>
        <w:t xml:space="preserve"> réunion s’élève à 2 573 517 $US</w:t>
      </w:r>
      <w:r w:rsidR="006D2510" w:rsidRPr="00AF223B">
        <w:rPr>
          <w:lang w:val="fr-CA"/>
        </w:rPr>
        <w:t xml:space="preserve">. </w:t>
      </w:r>
      <w:r w:rsidR="00C51A45">
        <w:rPr>
          <w:lang w:val="fr-CA"/>
        </w:rPr>
        <w:t xml:space="preserve">Le niveau de ressources disponibles pour les approbations à </w:t>
      </w:r>
      <w:r w:rsidR="00B6573B">
        <w:rPr>
          <w:lang w:val="fr-CA"/>
        </w:rPr>
        <w:t xml:space="preserve">la </w:t>
      </w:r>
      <w:r w:rsidR="00C51A45">
        <w:rPr>
          <w:lang w:val="fr-CA"/>
        </w:rPr>
        <w:t>86</w:t>
      </w:r>
      <w:r w:rsidR="00C51A45" w:rsidRPr="00C51A45">
        <w:rPr>
          <w:vertAlign w:val="superscript"/>
          <w:lang w:val="fr-CA"/>
        </w:rPr>
        <w:t>e</w:t>
      </w:r>
      <w:r w:rsidR="00B6573B">
        <w:rPr>
          <w:lang w:val="fr-CA"/>
        </w:rPr>
        <w:t> </w:t>
      </w:r>
      <w:r w:rsidR="00C51A45">
        <w:rPr>
          <w:lang w:val="fr-CA"/>
        </w:rPr>
        <w:t>réunion est don</w:t>
      </w:r>
      <w:r w:rsidR="00B6573B">
        <w:rPr>
          <w:lang w:val="fr-CA"/>
        </w:rPr>
        <w:t>c</w:t>
      </w:r>
      <w:r w:rsidR="00C51A45">
        <w:rPr>
          <w:lang w:val="fr-CA"/>
        </w:rPr>
        <w:t xml:space="preserve"> de 326 617 </w:t>
      </w:r>
      <w:r w:rsidR="00C51A45" w:rsidRPr="00C51A45">
        <w:rPr>
          <w:lang w:val="fr-CA"/>
        </w:rPr>
        <w:t>722 $US</w:t>
      </w:r>
      <w:r w:rsidR="00D31CDD">
        <w:rPr>
          <w:lang w:val="fr-CA"/>
        </w:rPr>
        <w:t>.</w:t>
      </w:r>
    </w:p>
    <w:p w14:paraId="7E9A0109" w14:textId="0C214019" w:rsidR="00D64D2C" w:rsidRPr="00AF223B" w:rsidRDefault="00C51A45" w:rsidP="00D64D2C">
      <w:pPr>
        <w:spacing w:after="240"/>
        <w:rPr>
          <w:b/>
          <w:lang w:val="fr-CA"/>
        </w:rPr>
      </w:pPr>
      <w:r>
        <w:rPr>
          <w:b/>
          <w:lang w:val="fr-CA"/>
        </w:rPr>
        <w:t>Observations du Secrétariat</w:t>
      </w:r>
    </w:p>
    <w:p w14:paraId="7526B8A4" w14:textId="3D30D40B" w:rsidR="00D64D2C" w:rsidRPr="00B6573B" w:rsidRDefault="00C51A45" w:rsidP="00D64D2C">
      <w:pPr>
        <w:pStyle w:val="Heading1"/>
        <w:rPr>
          <w:lang w:val="fr-CA"/>
        </w:rPr>
      </w:pPr>
      <w:r>
        <w:rPr>
          <w:lang w:val="fr-CA"/>
        </w:rPr>
        <w:t xml:space="preserve">Le Secrétariat a rappelé </w:t>
      </w:r>
      <w:r w:rsidRPr="00B6573B">
        <w:rPr>
          <w:lang w:val="fr-CA"/>
        </w:rPr>
        <w:t>aux agences bilatérales et d’exécution que les soldes de projets par décision et des projets achevés il y a plus d’un doivent être retournés au Fonds multilatéral dès que possible</w:t>
      </w:r>
      <w:r w:rsidR="00D64D2C" w:rsidRPr="00B6573B">
        <w:rPr>
          <w:lang w:val="fr-CA"/>
        </w:rPr>
        <w:t xml:space="preserve">. </w:t>
      </w:r>
    </w:p>
    <w:p w14:paraId="69866DE0" w14:textId="6848DAD1" w:rsidR="00D64D2C" w:rsidRPr="00B6573B" w:rsidRDefault="00C51A45" w:rsidP="00D64D2C">
      <w:pPr>
        <w:pStyle w:val="Heading1"/>
        <w:rPr>
          <w:lang w:val="fr-CA"/>
        </w:rPr>
      </w:pPr>
      <w:r w:rsidRPr="00B6573B">
        <w:rPr>
          <w:lang w:val="fr-CA"/>
        </w:rPr>
        <w:t>Étant donné que le niveau de financement total des projets et activités proposés à la 86</w:t>
      </w:r>
      <w:r w:rsidRPr="00B6573B">
        <w:rPr>
          <w:vertAlign w:val="superscript"/>
          <w:lang w:val="fr-CA"/>
        </w:rPr>
        <w:t>e</w:t>
      </w:r>
      <w:r w:rsidR="00B6573B">
        <w:rPr>
          <w:vertAlign w:val="superscript"/>
          <w:lang w:val="fr-CA"/>
        </w:rPr>
        <w:t xml:space="preserve"> </w:t>
      </w:r>
      <w:r w:rsidR="00B6573B">
        <w:rPr>
          <w:lang w:val="fr-CA"/>
        </w:rPr>
        <w:t>ré</w:t>
      </w:r>
      <w:r w:rsidRPr="00B6573B">
        <w:rPr>
          <w:lang w:val="fr-CA"/>
        </w:rPr>
        <w:t>union s’élève à 58 098 526 $US, comprenant les coûts d’appui aux agences, les ressources sont suffisantes pour les approbations à la 86</w:t>
      </w:r>
      <w:r w:rsidRPr="00B6573B">
        <w:rPr>
          <w:vertAlign w:val="superscript"/>
          <w:lang w:val="fr-CA"/>
        </w:rPr>
        <w:t>e</w:t>
      </w:r>
      <w:r w:rsidRPr="00B6573B">
        <w:rPr>
          <w:lang w:val="fr-CA"/>
        </w:rPr>
        <w:t xml:space="preserve"> réunion</w:t>
      </w:r>
      <w:r w:rsidR="00D64D2C" w:rsidRPr="00B6573B">
        <w:rPr>
          <w:lang w:val="fr-CA"/>
        </w:rPr>
        <w:t xml:space="preserve">. </w:t>
      </w:r>
    </w:p>
    <w:p w14:paraId="653225C8" w14:textId="4C300617" w:rsidR="00D64D2C" w:rsidRPr="00B6573B" w:rsidRDefault="00C51A45" w:rsidP="00D64D2C">
      <w:pPr>
        <w:keepNext/>
        <w:keepLines/>
        <w:tabs>
          <w:tab w:val="num" w:pos="709"/>
        </w:tabs>
        <w:rPr>
          <w:b/>
          <w:lang w:val="fr-CA"/>
        </w:rPr>
      </w:pPr>
      <w:r w:rsidRPr="00B6573B">
        <w:rPr>
          <w:b/>
          <w:lang w:val="fr-CA"/>
        </w:rPr>
        <w:t>Recomma</w:t>
      </w:r>
      <w:r w:rsidR="00D64D2C" w:rsidRPr="00B6573B">
        <w:rPr>
          <w:b/>
          <w:lang w:val="fr-CA"/>
        </w:rPr>
        <w:t>ndations</w:t>
      </w:r>
    </w:p>
    <w:p w14:paraId="4FE049B7" w14:textId="77777777" w:rsidR="00D64D2C" w:rsidRPr="00B6573B" w:rsidRDefault="00D64D2C" w:rsidP="00D64D2C">
      <w:pPr>
        <w:keepNext/>
        <w:keepLines/>
        <w:tabs>
          <w:tab w:val="num" w:pos="709"/>
        </w:tabs>
        <w:rPr>
          <w:b/>
          <w:lang w:val="fr-CA"/>
        </w:rPr>
      </w:pPr>
    </w:p>
    <w:p w14:paraId="6A78C612" w14:textId="2F263161" w:rsidR="00D64D2C" w:rsidRPr="00B6573B" w:rsidRDefault="00C51A45" w:rsidP="00D64D2C">
      <w:pPr>
        <w:pStyle w:val="Heading1"/>
        <w:rPr>
          <w:lang w:val="fr-CA"/>
        </w:rPr>
      </w:pPr>
      <w:r w:rsidRPr="00B6573B">
        <w:rPr>
          <w:lang w:val="fr-CA"/>
        </w:rPr>
        <w:t xml:space="preserve">Le Comité exécutif pourrait souhaiter </w:t>
      </w:r>
      <w:r w:rsidR="00D64D2C" w:rsidRPr="00B6573B">
        <w:rPr>
          <w:lang w:val="fr-CA"/>
        </w:rPr>
        <w:t>:</w:t>
      </w:r>
    </w:p>
    <w:p w14:paraId="3653A384" w14:textId="5EB0C66A" w:rsidR="00D64D2C" w:rsidRPr="00B6573B" w:rsidRDefault="00C51A45" w:rsidP="00C51A45">
      <w:pPr>
        <w:pStyle w:val="Heading4"/>
        <w:ind w:left="1440"/>
        <w:rPr>
          <w:lang w:val="fr-CA"/>
        </w:rPr>
      </w:pPr>
      <w:r w:rsidRPr="00B6573B">
        <w:rPr>
          <w:lang w:val="fr-CA"/>
        </w:rPr>
        <w:t xml:space="preserve">Prendre note </w:t>
      </w:r>
      <w:r w:rsidR="00D64D2C" w:rsidRPr="00B6573B">
        <w:rPr>
          <w:lang w:val="fr-CA"/>
        </w:rPr>
        <w:t>:</w:t>
      </w:r>
    </w:p>
    <w:p w14:paraId="41B4C5E9" w14:textId="77777777" w:rsidR="00D64D2C" w:rsidRPr="00B6573B" w:rsidRDefault="00D64D2C" w:rsidP="00D64D2C">
      <w:pPr>
        <w:rPr>
          <w:lang w:val="fr-CA"/>
        </w:rPr>
      </w:pPr>
    </w:p>
    <w:p w14:paraId="4F195602" w14:textId="376EEEBA" w:rsidR="00D64D2C" w:rsidRPr="00C51A45" w:rsidRDefault="00C51A45" w:rsidP="00C51A45">
      <w:pPr>
        <w:pStyle w:val="ListParagraph"/>
        <w:widowControl w:val="0"/>
        <w:numPr>
          <w:ilvl w:val="0"/>
          <w:numId w:val="22"/>
        </w:numPr>
        <w:spacing w:after="240"/>
        <w:ind w:left="2160" w:hanging="720"/>
        <w:outlineLvl w:val="2"/>
        <w:rPr>
          <w:lang w:val="fr-CA"/>
        </w:rPr>
      </w:pPr>
      <w:r w:rsidRPr="00C51A45">
        <w:rPr>
          <w:lang w:val="fr-CA"/>
        </w:rPr>
        <w:t>Du rapport sur les soldes et la disponibilité des ressources présenté dans le document</w:t>
      </w:r>
      <w:r w:rsidR="00D64D2C" w:rsidRPr="00C51A45">
        <w:rPr>
          <w:lang w:val="fr-CA"/>
        </w:rPr>
        <w:t> UNEP/OzL.Pro/ExCom/8</w:t>
      </w:r>
      <w:r w:rsidR="004811AF" w:rsidRPr="00C51A45">
        <w:rPr>
          <w:lang w:val="fr-CA"/>
        </w:rPr>
        <w:t>6</w:t>
      </w:r>
      <w:r w:rsidR="00D64D2C" w:rsidRPr="00C51A45">
        <w:rPr>
          <w:lang w:val="fr-CA"/>
        </w:rPr>
        <w:t>/</w:t>
      </w:r>
      <w:proofErr w:type="gramStart"/>
      <w:r w:rsidR="005A196D" w:rsidRPr="00C51A45">
        <w:rPr>
          <w:lang w:val="fr-CA"/>
        </w:rPr>
        <w:t>4</w:t>
      </w:r>
      <w:r w:rsidR="00D64D2C" w:rsidRPr="00C51A45">
        <w:rPr>
          <w:lang w:val="fr-CA"/>
        </w:rPr>
        <w:t>;</w:t>
      </w:r>
      <w:proofErr w:type="gramEnd"/>
    </w:p>
    <w:p w14:paraId="1A0566D1" w14:textId="7369DA8B" w:rsidR="00D64D2C" w:rsidRPr="00AF223B" w:rsidRDefault="00C87E65" w:rsidP="003566DB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>
        <w:rPr>
          <w:lang w:val="fr-CA"/>
        </w:rPr>
        <w:t>Que la somme totale retournée à la 86</w:t>
      </w:r>
      <w:r w:rsidRPr="00C87E65">
        <w:rPr>
          <w:vertAlign w:val="superscript"/>
          <w:lang w:val="fr-CA"/>
        </w:rPr>
        <w:t>e</w:t>
      </w:r>
      <w:r>
        <w:rPr>
          <w:lang w:val="fr-CA"/>
        </w:rPr>
        <w:t xml:space="preserve"> réunion par les agences d’exécution est de 2 573 375 $US, comprenant 756 229 $US plus les coûts d’appui à l’agence de 55 951 $US par le </w:t>
      </w:r>
      <w:proofErr w:type="gramStart"/>
      <w:r>
        <w:rPr>
          <w:lang w:val="fr-CA"/>
        </w:rPr>
        <w:t>PNUD;</w:t>
      </w:r>
      <w:proofErr w:type="gramEnd"/>
      <w:r>
        <w:rPr>
          <w:lang w:val="fr-CA"/>
        </w:rPr>
        <w:t xml:space="preserve"> 686 656 $US plus les coûts d’appui à l’agence de 61 080 $US par le PNUE; 794 898 $US plus les coûts d’appui à l’agence de 57 619 $US par l’ONUDI; et 108 881 $US plus les coûts d’appui à l’agence de 52 061$US par la Banque mondiale</w:t>
      </w:r>
      <w:r w:rsidR="00743B5D">
        <w:rPr>
          <w:lang w:val="fr-CA"/>
        </w:rPr>
        <w:t>;</w:t>
      </w:r>
      <w:r w:rsidR="00D64D2C" w:rsidRPr="00AF223B">
        <w:rPr>
          <w:lang w:val="fr-CA"/>
        </w:rPr>
        <w:t xml:space="preserve"> </w:t>
      </w:r>
    </w:p>
    <w:p w14:paraId="5C461C77" w14:textId="2BB62FF9" w:rsidR="00D64D2C" w:rsidRPr="00AF223B" w:rsidRDefault="00C87E65" w:rsidP="00D64D2C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>
        <w:rPr>
          <w:lang w:val="fr-CA"/>
        </w:rPr>
        <w:t xml:space="preserve">Que l’ONUDI détient un solde de 38 $, comprenant les coûts d’appui à l’agence, pour un projet achevé </w:t>
      </w:r>
      <w:r w:rsidR="00743B5D">
        <w:rPr>
          <w:lang w:val="fr-CA"/>
        </w:rPr>
        <w:t>il y a plus de deux ans</w:t>
      </w:r>
      <w:r>
        <w:rPr>
          <w:lang w:val="fr-CA"/>
        </w:rPr>
        <w:t xml:space="preserve"> et 6</w:t>
      </w:r>
      <w:r w:rsidR="00743B5D">
        <w:rPr>
          <w:lang w:val="fr-CA"/>
        </w:rPr>
        <w:t> </w:t>
      </w:r>
      <w:r>
        <w:rPr>
          <w:lang w:val="fr-CA"/>
        </w:rPr>
        <w:t>637</w:t>
      </w:r>
      <w:r w:rsidR="00743B5D">
        <w:rPr>
          <w:lang w:val="fr-CA"/>
        </w:rPr>
        <w:t> </w:t>
      </w:r>
      <w:r>
        <w:rPr>
          <w:lang w:val="fr-CA"/>
        </w:rPr>
        <w:t>$US</w:t>
      </w:r>
      <w:r w:rsidR="00743B5D">
        <w:rPr>
          <w:lang w:val="fr-CA"/>
        </w:rPr>
        <w:t>,</w:t>
      </w:r>
      <w:r>
        <w:rPr>
          <w:lang w:val="fr-CA"/>
        </w:rPr>
        <w:t xml:space="preserve"> comprenant les coûts </w:t>
      </w:r>
      <w:r>
        <w:rPr>
          <w:lang w:val="fr-CA"/>
        </w:rPr>
        <w:lastRenderedPageBreak/>
        <w:t xml:space="preserve">d’appui à l’agence, pour deux projets financés au titre des contributions supplémentaires </w:t>
      </w:r>
      <w:proofErr w:type="gramStart"/>
      <w:r>
        <w:rPr>
          <w:lang w:val="fr-CA"/>
        </w:rPr>
        <w:t>volontaires</w:t>
      </w:r>
      <w:r w:rsidR="00D64D2C" w:rsidRPr="00AF223B">
        <w:rPr>
          <w:lang w:val="fr-CA"/>
        </w:rPr>
        <w:t>;</w:t>
      </w:r>
      <w:proofErr w:type="gramEnd"/>
    </w:p>
    <w:p w14:paraId="415256AD" w14:textId="075B2878" w:rsidR="00D02807" w:rsidRPr="00AF223B" w:rsidRDefault="00E661F0" w:rsidP="00D64D2C">
      <w:pPr>
        <w:widowControl w:val="0"/>
        <w:numPr>
          <w:ilvl w:val="0"/>
          <w:numId w:val="22"/>
        </w:numPr>
        <w:spacing w:after="240"/>
        <w:ind w:left="2127" w:hanging="709"/>
        <w:outlineLvl w:val="2"/>
        <w:rPr>
          <w:lang w:val="fr-CA"/>
        </w:rPr>
      </w:pPr>
      <w:r>
        <w:rPr>
          <w:lang w:val="fr-CA"/>
        </w:rPr>
        <w:t>Que la somme nette à retourner par le gouvernement du Japon à la 86</w:t>
      </w:r>
      <w:r w:rsidRPr="00E661F0">
        <w:rPr>
          <w:vertAlign w:val="superscript"/>
          <w:lang w:val="fr-CA"/>
        </w:rPr>
        <w:t>e</w:t>
      </w:r>
      <w:r>
        <w:rPr>
          <w:lang w:val="fr-CA"/>
        </w:rPr>
        <w:t xml:space="preserve"> réunion est de 126 $US, plus les coûts d’appui à l’agence de 16</w:t>
      </w:r>
      <w:r w:rsidR="00743B5D">
        <w:rPr>
          <w:lang w:val="fr-CA"/>
        </w:rPr>
        <w:t> </w:t>
      </w:r>
      <w:r>
        <w:rPr>
          <w:lang w:val="fr-CA"/>
        </w:rPr>
        <w:t>$</w:t>
      </w:r>
      <w:proofErr w:type="gramStart"/>
      <w:r>
        <w:rPr>
          <w:lang w:val="fr-CA"/>
        </w:rPr>
        <w:t>US</w:t>
      </w:r>
      <w:r w:rsidR="00514479" w:rsidRPr="00AF223B">
        <w:rPr>
          <w:lang w:val="fr-CA"/>
        </w:rPr>
        <w:t>;</w:t>
      </w:r>
      <w:proofErr w:type="gramEnd"/>
      <w:r w:rsidR="000124DF" w:rsidRPr="00AF223B">
        <w:rPr>
          <w:lang w:val="fr-CA"/>
        </w:rPr>
        <w:t xml:space="preserve"> </w:t>
      </w:r>
    </w:p>
    <w:p w14:paraId="0B9C99DD" w14:textId="211E0FBF" w:rsidR="00E40889" w:rsidRPr="00E661F0" w:rsidRDefault="00E661F0" w:rsidP="00E661F0">
      <w:pPr>
        <w:widowControl w:val="0"/>
        <w:numPr>
          <w:ilvl w:val="0"/>
          <w:numId w:val="22"/>
        </w:numPr>
        <w:spacing w:after="240"/>
        <w:ind w:left="2160" w:hanging="720"/>
        <w:outlineLvl w:val="2"/>
        <w:rPr>
          <w:lang w:val="fr-CA"/>
        </w:rPr>
      </w:pPr>
      <w:r w:rsidRPr="00E661F0">
        <w:rPr>
          <w:lang w:val="fr-CA"/>
        </w:rPr>
        <w:t>Que le gouvernement de l’Italie détient un solde de 5 350 $US, comprenant les co</w:t>
      </w:r>
      <w:r>
        <w:rPr>
          <w:lang w:val="fr-CA"/>
        </w:rPr>
        <w:t xml:space="preserve">ûts d’appui à l’agence, pour un projet financé au titre des contributions supplémentaires </w:t>
      </w:r>
      <w:proofErr w:type="gramStart"/>
      <w:r>
        <w:rPr>
          <w:lang w:val="fr-CA"/>
        </w:rPr>
        <w:t>volontaires</w:t>
      </w:r>
      <w:r w:rsidR="00E40889" w:rsidRPr="00E661F0">
        <w:rPr>
          <w:lang w:val="fr-CA"/>
        </w:rPr>
        <w:t>;</w:t>
      </w:r>
      <w:proofErr w:type="gramEnd"/>
      <w:r w:rsidR="001E6238" w:rsidRPr="00E661F0">
        <w:rPr>
          <w:lang w:val="fr-CA"/>
        </w:rPr>
        <w:t xml:space="preserve"> </w:t>
      </w:r>
    </w:p>
    <w:p w14:paraId="6F11C9E1" w14:textId="52C77DF0" w:rsidR="00E661F0" w:rsidRPr="00EB7676" w:rsidRDefault="00E661F0" w:rsidP="00EB7676">
      <w:pPr>
        <w:pStyle w:val="Heading4"/>
        <w:ind w:left="1440"/>
        <w:rPr>
          <w:lang w:val="fr-CA"/>
        </w:rPr>
      </w:pPr>
      <w:proofErr w:type="gramStart"/>
      <w:r>
        <w:rPr>
          <w:lang w:val="fr-CA"/>
        </w:rPr>
        <w:t>Demander</w:t>
      </w:r>
      <w:r w:rsidR="00D64D2C" w:rsidRPr="00AF223B">
        <w:rPr>
          <w:lang w:val="fr-CA"/>
        </w:rPr>
        <w:t>:</w:t>
      </w:r>
      <w:proofErr w:type="gramEnd"/>
    </w:p>
    <w:p w14:paraId="214DE084" w14:textId="6D21EA0A" w:rsidR="00D64D2C" w:rsidRPr="00743B5D" w:rsidRDefault="00EB7676" w:rsidP="00E661F0">
      <w:pPr>
        <w:pStyle w:val="Heading4"/>
        <w:widowControl w:val="0"/>
        <w:numPr>
          <w:ilvl w:val="3"/>
          <w:numId w:val="25"/>
        </w:numPr>
        <w:spacing w:after="240"/>
        <w:ind w:left="2160"/>
        <w:rPr>
          <w:lang w:val="fr-CA"/>
        </w:rPr>
      </w:pPr>
      <w:r w:rsidRPr="00743B5D">
        <w:rPr>
          <w:lang w:val="fr-CA"/>
        </w:rPr>
        <w:t>Aux agences bilatérales et d’exécution d’effectuer le décaissement ou d’annuler les sommes engagées et non engagées qui ne sont pas nécessaires pour les projets achevés et les projets achevés « par décision du Comité exécutif » et de retourner les soldes associés à la 87</w:t>
      </w:r>
      <w:r w:rsidRPr="00743B5D">
        <w:rPr>
          <w:vertAlign w:val="superscript"/>
          <w:lang w:val="fr-CA"/>
        </w:rPr>
        <w:t>e</w:t>
      </w:r>
      <w:r w:rsidRPr="00743B5D">
        <w:rPr>
          <w:lang w:val="fr-CA"/>
        </w:rPr>
        <w:t xml:space="preserve"> </w:t>
      </w:r>
      <w:proofErr w:type="gramStart"/>
      <w:r w:rsidRPr="00743B5D">
        <w:rPr>
          <w:lang w:val="fr-CA"/>
        </w:rPr>
        <w:t>réunion</w:t>
      </w:r>
      <w:r w:rsidR="00D64D2C" w:rsidRPr="00743B5D">
        <w:rPr>
          <w:lang w:val="fr-CA"/>
        </w:rPr>
        <w:t>;</w:t>
      </w:r>
      <w:proofErr w:type="gramEnd"/>
      <w:r w:rsidR="00D64D2C" w:rsidRPr="00743B5D">
        <w:rPr>
          <w:lang w:val="fr-CA"/>
        </w:rPr>
        <w:t xml:space="preserve"> </w:t>
      </w:r>
    </w:p>
    <w:p w14:paraId="62A74081" w14:textId="00C797BF" w:rsidR="00EB7676" w:rsidRPr="00743B5D" w:rsidRDefault="00EB7676" w:rsidP="00EB7676">
      <w:pPr>
        <w:pStyle w:val="ListParagraph"/>
        <w:numPr>
          <w:ilvl w:val="0"/>
          <w:numId w:val="26"/>
        </w:numPr>
        <w:ind w:left="2160"/>
        <w:rPr>
          <w:lang w:val="fr-CA"/>
        </w:rPr>
      </w:pPr>
      <w:r w:rsidRPr="00743B5D">
        <w:rPr>
          <w:lang w:val="fr-CA"/>
        </w:rPr>
        <w:t xml:space="preserve">À l’ONUDI de retourner le solde de deux projets achevés </w:t>
      </w:r>
      <w:r w:rsidR="00743B5D">
        <w:rPr>
          <w:lang w:val="fr-CA"/>
        </w:rPr>
        <w:t>financé</w:t>
      </w:r>
      <w:r w:rsidRPr="00743B5D">
        <w:rPr>
          <w:lang w:val="fr-CA"/>
        </w:rPr>
        <w:t>s au titre des contributions supplémentaires volontaires à la 87</w:t>
      </w:r>
      <w:r w:rsidRPr="00743B5D">
        <w:rPr>
          <w:vertAlign w:val="superscript"/>
          <w:lang w:val="fr-CA"/>
        </w:rPr>
        <w:t>e</w:t>
      </w:r>
      <w:r w:rsidRPr="00743B5D">
        <w:rPr>
          <w:lang w:val="fr-CA"/>
        </w:rPr>
        <w:t xml:space="preserve"> </w:t>
      </w:r>
      <w:proofErr w:type="gramStart"/>
      <w:r w:rsidRPr="00743B5D">
        <w:rPr>
          <w:lang w:val="fr-CA"/>
        </w:rPr>
        <w:t>réunion</w:t>
      </w:r>
      <w:r w:rsidR="00D64D2C" w:rsidRPr="00743B5D">
        <w:rPr>
          <w:lang w:val="fr-CA"/>
        </w:rPr>
        <w:t>;</w:t>
      </w:r>
      <w:proofErr w:type="gramEnd"/>
    </w:p>
    <w:p w14:paraId="1502119B" w14:textId="77777777" w:rsidR="00EB7676" w:rsidRPr="00743B5D" w:rsidRDefault="00EB7676" w:rsidP="00EB7676">
      <w:pPr>
        <w:pStyle w:val="ListParagraph"/>
        <w:ind w:left="2160"/>
        <w:rPr>
          <w:lang w:val="fr-CA"/>
        </w:rPr>
      </w:pPr>
    </w:p>
    <w:p w14:paraId="4FD32F0A" w14:textId="01E28075" w:rsidR="009A5B87" w:rsidRPr="00743B5D" w:rsidRDefault="00EB7676" w:rsidP="00EB7676">
      <w:pPr>
        <w:pStyle w:val="ListParagraph"/>
        <w:numPr>
          <w:ilvl w:val="0"/>
          <w:numId w:val="26"/>
        </w:numPr>
        <w:ind w:left="2160"/>
        <w:rPr>
          <w:lang w:val="fr-CA"/>
        </w:rPr>
      </w:pPr>
      <w:r w:rsidRPr="00743B5D">
        <w:rPr>
          <w:lang w:val="fr-CA"/>
        </w:rPr>
        <w:t xml:space="preserve">À l’ONUDI </w:t>
      </w:r>
      <w:r w:rsidR="00743B5D">
        <w:rPr>
          <w:lang w:val="fr-CA"/>
        </w:rPr>
        <w:t>d’effectuer le décaissement</w:t>
      </w:r>
      <w:r w:rsidRPr="00743B5D">
        <w:rPr>
          <w:lang w:val="fr-CA"/>
        </w:rPr>
        <w:t xml:space="preserve"> ou d’annuler les engagement</w:t>
      </w:r>
      <w:r w:rsidR="00743B5D">
        <w:rPr>
          <w:lang w:val="fr-CA"/>
        </w:rPr>
        <w:t>s</w:t>
      </w:r>
      <w:r w:rsidRPr="00743B5D">
        <w:rPr>
          <w:lang w:val="fr-CA"/>
        </w:rPr>
        <w:t xml:space="preserve"> pour un projet achevé </w:t>
      </w:r>
      <w:r w:rsidR="00743B5D">
        <w:rPr>
          <w:lang w:val="fr-CA"/>
        </w:rPr>
        <w:t>il y a plus de deux ans</w:t>
      </w:r>
      <w:r w:rsidRPr="00743B5D">
        <w:rPr>
          <w:lang w:val="fr-CA"/>
        </w:rPr>
        <w:t xml:space="preserve"> et de retourner les soldes à la 87</w:t>
      </w:r>
      <w:r w:rsidRPr="00743B5D">
        <w:rPr>
          <w:vertAlign w:val="superscript"/>
          <w:lang w:val="fr-CA"/>
        </w:rPr>
        <w:t>e</w:t>
      </w:r>
      <w:r w:rsidRPr="00743B5D">
        <w:rPr>
          <w:lang w:val="fr-CA"/>
        </w:rPr>
        <w:t xml:space="preserve"> </w:t>
      </w:r>
      <w:proofErr w:type="gramStart"/>
      <w:r w:rsidRPr="00743B5D">
        <w:rPr>
          <w:lang w:val="fr-CA"/>
        </w:rPr>
        <w:t>réunion</w:t>
      </w:r>
      <w:r w:rsidR="00D64D2C" w:rsidRPr="00743B5D">
        <w:rPr>
          <w:lang w:val="fr-CA"/>
        </w:rPr>
        <w:t>;</w:t>
      </w:r>
      <w:proofErr w:type="gramEnd"/>
      <w:r w:rsidR="001E6238" w:rsidRPr="00743B5D">
        <w:rPr>
          <w:lang w:val="fr-CA"/>
        </w:rPr>
        <w:t xml:space="preserve"> </w:t>
      </w:r>
    </w:p>
    <w:p w14:paraId="0B6A1325" w14:textId="77777777" w:rsidR="00EB7676" w:rsidRPr="00743B5D" w:rsidRDefault="00EB7676" w:rsidP="00EB7676">
      <w:pPr>
        <w:rPr>
          <w:lang w:val="fr-CA"/>
        </w:rPr>
      </w:pPr>
    </w:p>
    <w:p w14:paraId="5D3A730D" w14:textId="0FDA245A" w:rsidR="00E40889" w:rsidRPr="00743B5D" w:rsidRDefault="00EB7676" w:rsidP="00EB7676">
      <w:pPr>
        <w:pStyle w:val="ListParagraph"/>
        <w:widowControl w:val="0"/>
        <w:numPr>
          <w:ilvl w:val="0"/>
          <w:numId w:val="26"/>
        </w:numPr>
        <w:spacing w:after="240"/>
        <w:ind w:left="2160"/>
        <w:outlineLvl w:val="2"/>
        <w:rPr>
          <w:lang w:val="fr-CA"/>
        </w:rPr>
      </w:pPr>
      <w:r w:rsidRPr="00743B5D">
        <w:rPr>
          <w:lang w:val="fr-CA"/>
        </w:rPr>
        <w:t>Au gouvernement de l’Italie de retourner le solde d’un projet achevé financé au titre des contributions supplémentaires volontaires à la 87</w:t>
      </w:r>
      <w:r w:rsidRPr="00743B5D">
        <w:rPr>
          <w:vertAlign w:val="superscript"/>
          <w:lang w:val="fr-CA"/>
        </w:rPr>
        <w:t>e</w:t>
      </w:r>
      <w:r w:rsidRPr="00743B5D">
        <w:rPr>
          <w:lang w:val="fr-CA"/>
        </w:rPr>
        <w:t xml:space="preserve"> </w:t>
      </w:r>
      <w:proofErr w:type="gramStart"/>
      <w:r w:rsidRPr="00743B5D">
        <w:rPr>
          <w:lang w:val="fr-CA"/>
        </w:rPr>
        <w:t>réunion;</w:t>
      </w:r>
      <w:proofErr w:type="gramEnd"/>
      <w:r w:rsidR="00B40AAF">
        <w:rPr>
          <w:lang w:val="fr-CA"/>
        </w:rPr>
        <w:t xml:space="preserve"> et</w:t>
      </w:r>
    </w:p>
    <w:p w14:paraId="1436D279" w14:textId="286BB1C9" w:rsidR="00085F42" w:rsidRPr="00743B5D" w:rsidRDefault="00EB7676" w:rsidP="00EB7676">
      <w:pPr>
        <w:pStyle w:val="ListParagraph"/>
        <w:widowControl w:val="0"/>
        <w:numPr>
          <w:ilvl w:val="0"/>
          <w:numId w:val="26"/>
        </w:numPr>
        <w:spacing w:after="240"/>
        <w:ind w:left="2160"/>
        <w:outlineLvl w:val="2"/>
        <w:rPr>
          <w:lang w:val="fr-CA"/>
        </w:rPr>
      </w:pPr>
      <w:r w:rsidRPr="00743B5D">
        <w:rPr>
          <w:lang w:val="fr-CA"/>
        </w:rPr>
        <w:t>Au Trésorier d’effectuer le suivi auprès du gouvernement du Japon concernant l</w:t>
      </w:r>
      <w:r w:rsidR="00917573" w:rsidRPr="00743B5D">
        <w:rPr>
          <w:lang w:val="fr-CA"/>
        </w:rPr>
        <w:t>e</w:t>
      </w:r>
      <w:r w:rsidRPr="00743B5D">
        <w:rPr>
          <w:lang w:val="fr-CA"/>
        </w:rPr>
        <w:t xml:space="preserve"> retour, en espèces, de la somme de 142 $US</w:t>
      </w:r>
      <w:r w:rsidR="001C1EBB" w:rsidRPr="00743B5D">
        <w:rPr>
          <w:lang w:val="fr-CA"/>
        </w:rPr>
        <w:t xml:space="preserve"> dont il est question</w:t>
      </w:r>
      <w:r w:rsidR="00917573" w:rsidRPr="00743B5D">
        <w:rPr>
          <w:lang w:val="fr-CA"/>
        </w:rPr>
        <w:t xml:space="preserve"> à l’alinéa a) iv) ci-dessus</w:t>
      </w:r>
      <w:r w:rsidR="00085F42" w:rsidRPr="00743B5D">
        <w:rPr>
          <w:lang w:val="fr-CA"/>
        </w:rPr>
        <w:t>.</w:t>
      </w:r>
    </w:p>
    <w:p w14:paraId="73C06FFE" w14:textId="77777777" w:rsidR="00D64D2C" w:rsidRPr="00743B5D" w:rsidRDefault="00D64D2C" w:rsidP="009A5B87">
      <w:pPr>
        <w:widowControl w:val="0"/>
        <w:spacing w:after="240"/>
        <w:ind w:left="1418"/>
        <w:outlineLvl w:val="2"/>
        <w:rPr>
          <w:lang w:val="fr-CA"/>
        </w:rPr>
      </w:pPr>
    </w:p>
    <w:p w14:paraId="3895498D" w14:textId="77777777" w:rsidR="009A5B87" w:rsidRPr="00743B5D" w:rsidRDefault="009A5B87" w:rsidP="004E7F9C">
      <w:pPr>
        <w:rPr>
          <w:lang w:val="fr-CA"/>
        </w:rPr>
        <w:sectPr w:rsidR="009A5B87" w:rsidRPr="00743B5D" w:rsidSect="006A15F2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 w:code="1"/>
          <w:pgMar w:top="720" w:right="1440" w:bottom="864" w:left="1440" w:header="720" w:footer="475" w:gutter="0"/>
          <w:cols w:space="720"/>
          <w:titlePg/>
          <w:docGrid w:linePitch="299"/>
        </w:sectPr>
      </w:pPr>
    </w:p>
    <w:p w14:paraId="1C6E7B5E" w14:textId="77777777" w:rsidR="009A5B87" w:rsidRPr="00EB7676" w:rsidRDefault="009A5B87" w:rsidP="009A5B87">
      <w:pPr>
        <w:tabs>
          <w:tab w:val="left" w:pos="2438"/>
          <w:tab w:val="left" w:pos="4855"/>
          <w:tab w:val="left" w:pos="5849"/>
          <w:tab w:val="left" w:pos="7044"/>
          <w:tab w:val="left" w:pos="8535"/>
          <w:tab w:val="left" w:pos="9884"/>
          <w:tab w:val="left" w:pos="11032"/>
          <w:tab w:val="left" w:pos="12335"/>
          <w:tab w:val="left" w:pos="13655"/>
        </w:tabs>
        <w:ind w:left="74"/>
        <w:jc w:val="center"/>
        <w:rPr>
          <w:b/>
          <w:color w:val="000000"/>
          <w:lang w:val="fr-CA"/>
        </w:rPr>
      </w:pPr>
    </w:p>
    <w:sectPr w:rsidR="009A5B87" w:rsidRPr="00EB7676" w:rsidSect="00A94246">
      <w:headerReference w:type="default" r:id="rId17"/>
      <w:pgSz w:w="15840" w:h="12240" w:orient="landscape" w:code="1"/>
      <w:pgMar w:top="1440" w:right="720" w:bottom="1440" w:left="862" w:header="720" w:footer="4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2082" w14:textId="77777777" w:rsidR="00D8339B" w:rsidRDefault="00D8339B" w:rsidP="004A504B">
      <w:r>
        <w:separator/>
      </w:r>
    </w:p>
  </w:endnote>
  <w:endnote w:type="continuationSeparator" w:id="0">
    <w:p w14:paraId="0C98FF71" w14:textId="77777777" w:rsidR="00D8339B" w:rsidRDefault="00D8339B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47229" w14:textId="27987A7E" w:rsidR="00C51A45" w:rsidRPr="0033525D" w:rsidRDefault="00C51A4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B5AF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BFD2" w14:textId="790557BA" w:rsidR="00C51A45" w:rsidRPr="0033525D" w:rsidRDefault="00C51A4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B5AF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D777" w14:textId="77777777" w:rsidR="00C51A45" w:rsidRDefault="00C51A45" w:rsidP="00AF22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</w:t>
    </w:r>
    <w:proofErr w:type="spellStart"/>
    <w:r>
      <w:rPr>
        <w:rFonts w:cs="MS Serif"/>
        <w:sz w:val="20"/>
        <w:lang w:val="fr-FR"/>
      </w:rPr>
      <w:t>présession</w:t>
    </w:r>
    <w:proofErr w:type="spellEnd"/>
    <w:r>
      <w:rPr>
        <w:rFonts w:cs="MS Serif"/>
        <w:sz w:val="20"/>
        <w:lang w:val="fr-FR"/>
      </w:rPr>
      <w:t xml:space="preserve"> du Comité exécutif du Fonds multilatéral aux fins d’application du Protocole de </w:t>
    </w:r>
  </w:p>
  <w:p w14:paraId="36E29317" w14:textId="1C7DC3EE" w:rsidR="00C51A45" w:rsidRPr="00AF223B" w:rsidRDefault="00C51A45" w:rsidP="00AF223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</w:t>
    </w:r>
    <w:r w:rsidRPr="00AF223B">
      <w:rPr>
        <w:sz w:val="18"/>
        <w:szCs w:val="18"/>
        <w:lang w:val="fr-CA"/>
      </w:rPr>
      <w:t>.</w:t>
    </w:r>
  </w:p>
  <w:p w14:paraId="2D31A20A" w14:textId="77777777" w:rsidR="00C51A45" w:rsidRPr="00AF223B" w:rsidRDefault="00C51A45" w:rsidP="004E7F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580E" w14:textId="77777777" w:rsidR="00D8339B" w:rsidRDefault="00D8339B" w:rsidP="004A504B">
      <w:r>
        <w:separator/>
      </w:r>
    </w:p>
  </w:footnote>
  <w:footnote w:type="continuationSeparator" w:id="0">
    <w:p w14:paraId="38E9972F" w14:textId="77777777" w:rsidR="00D8339B" w:rsidRDefault="00D8339B" w:rsidP="004A504B">
      <w:r>
        <w:continuationSeparator/>
      </w:r>
    </w:p>
  </w:footnote>
  <w:footnote w:id="1">
    <w:p w14:paraId="7F58EC63" w14:textId="77777777" w:rsidR="00C51A45" w:rsidRPr="004231C4" w:rsidRDefault="00C51A45" w:rsidP="00AF223B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4231C4">
        <w:rPr>
          <w:lang w:val="fr-CA"/>
        </w:rPr>
        <w:t xml:space="preserve"> À cause du coronavirus (COVID-19)</w:t>
      </w:r>
    </w:p>
  </w:footnote>
  <w:footnote w:id="2">
    <w:p w14:paraId="73894A21" w14:textId="3E72A198" w:rsidR="00C51A45" w:rsidRPr="003D6912" w:rsidRDefault="00C51A45" w:rsidP="00D64D2C">
      <w:pPr>
        <w:pStyle w:val="ListParagraph"/>
        <w:ind w:left="0"/>
        <w:contextualSpacing/>
        <w:rPr>
          <w:sz w:val="20"/>
          <w:szCs w:val="20"/>
          <w:lang w:val="fr-CA"/>
        </w:rPr>
      </w:pPr>
      <w:r w:rsidRPr="004B3452">
        <w:rPr>
          <w:rStyle w:val="FootnoteReference"/>
          <w:sz w:val="20"/>
          <w:szCs w:val="20"/>
        </w:rPr>
        <w:footnoteRef/>
      </w:r>
      <w:r w:rsidR="00A071D0">
        <w:rPr>
          <w:sz w:val="20"/>
          <w:szCs w:val="20"/>
          <w:lang w:val="fr-CA"/>
        </w:rPr>
        <w:t xml:space="preserve"> </w:t>
      </w:r>
      <w:r w:rsidRPr="003D6912">
        <w:rPr>
          <w:sz w:val="20"/>
          <w:szCs w:val="20"/>
          <w:lang w:val="fr-CA"/>
        </w:rPr>
        <w:t xml:space="preserve">Les données sont présentées selon le modèle d’établissement de rapport élaboré dans </w:t>
      </w:r>
      <w:r w:rsidR="000418A2" w:rsidRPr="003D6912">
        <w:rPr>
          <w:sz w:val="20"/>
          <w:szCs w:val="20"/>
          <w:lang w:val="fr-CA"/>
        </w:rPr>
        <w:t>la foulée</w:t>
      </w:r>
      <w:r w:rsidRPr="003D6912">
        <w:rPr>
          <w:sz w:val="20"/>
          <w:szCs w:val="20"/>
          <w:lang w:val="fr-CA"/>
        </w:rPr>
        <w:t xml:space="preserve"> de la décision 31/2.</w:t>
      </w:r>
    </w:p>
  </w:footnote>
  <w:footnote w:id="3">
    <w:p w14:paraId="6314ABFE" w14:textId="30416959" w:rsidR="00C51A45" w:rsidRDefault="00C51A45" w:rsidP="00D64D2C">
      <w:pPr>
        <w:pStyle w:val="FootnoteText"/>
        <w:rPr>
          <w:rtl/>
          <w:lang w:val="fr-CA"/>
        </w:rPr>
      </w:pPr>
      <w:r w:rsidRPr="004B3452">
        <w:rPr>
          <w:rStyle w:val="FootnoteReference"/>
        </w:rPr>
        <w:footnoteRef/>
      </w:r>
      <w:r w:rsidR="00A071D0" w:rsidRPr="000418A2">
        <w:rPr>
          <w:lang w:val="fr-CA"/>
        </w:rPr>
        <w:t xml:space="preserve"> </w:t>
      </w:r>
      <w:r w:rsidRPr="000418A2">
        <w:rPr>
          <w:lang w:val="fr-CA"/>
        </w:rPr>
        <w:t>UNEP/</w:t>
      </w:r>
      <w:proofErr w:type="spellStart"/>
      <w:r w:rsidRPr="000418A2">
        <w:rPr>
          <w:lang w:val="fr-CA"/>
        </w:rPr>
        <w:t>OzL.Pro</w:t>
      </w:r>
      <w:proofErr w:type="spellEnd"/>
      <w:r w:rsidRPr="000418A2">
        <w:rPr>
          <w:lang w:val="fr-CA"/>
        </w:rPr>
        <w:t>/</w:t>
      </w:r>
      <w:proofErr w:type="spellStart"/>
      <w:r w:rsidRPr="000418A2">
        <w:rPr>
          <w:lang w:val="fr-CA"/>
        </w:rPr>
        <w:t>ExCom</w:t>
      </w:r>
      <w:proofErr w:type="spellEnd"/>
      <w:r w:rsidRPr="000418A2">
        <w:rPr>
          <w:lang w:val="fr-CA"/>
        </w:rPr>
        <w:t>/86/3.</w:t>
      </w:r>
    </w:p>
    <w:p w14:paraId="58734E34" w14:textId="77777777" w:rsidR="00EB5AF0" w:rsidRPr="000418A2" w:rsidRDefault="00EB5AF0" w:rsidP="00D64D2C">
      <w:pPr>
        <w:pStyle w:val="FootnoteText"/>
        <w:rPr>
          <w:lang w:val="fr-CA"/>
        </w:rPr>
      </w:pPr>
    </w:p>
  </w:footnote>
  <w:footnote w:id="4">
    <w:p w14:paraId="5D6FF85A" w14:textId="43C37CF0" w:rsidR="00C51A45" w:rsidRPr="00240C52" w:rsidRDefault="00C51A45" w:rsidP="00C7784D">
      <w:pPr>
        <w:rPr>
          <w:lang w:val="fr-CA"/>
        </w:rPr>
      </w:pPr>
      <w:r w:rsidRPr="00371451">
        <w:rPr>
          <w:rStyle w:val="FootnoteReference"/>
          <w:sz w:val="20"/>
          <w:szCs w:val="20"/>
        </w:rPr>
        <w:footnoteRef/>
      </w:r>
      <w:r w:rsidRPr="00240C5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Conformément à la décision 84/2 b) ii), qui exige que l’ONUDI retourne le solde de deux projets achevés financés au titre des contributions supplémentaires volontaires à la 86</w:t>
      </w:r>
      <w:r w:rsidRPr="00240C52">
        <w:rPr>
          <w:sz w:val="20"/>
          <w:szCs w:val="20"/>
          <w:vertAlign w:val="superscript"/>
          <w:lang w:val="fr-CA"/>
        </w:rPr>
        <w:t>e</w:t>
      </w:r>
      <w:r>
        <w:rPr>
          <w:sz w:val="20"/>
          <w:szCs w:val="20"/>
          <w:lang w:val="fr-CA"/>
        </w:rPr>
        <w:t xml:space="preserve"> réunion</w:t>
      </w:r>
      <w:r w:rsidRPr="00240C52">
        <w:rPr>
          <w:sz w:val="20"/>
          <w:szCs w:val="20"/>
          <w:lang w:val="fr-CA"/>
        </w:rPr>
        <w:t>.</w:t>
      </w:r>
    </w:p>
  </w:footnote>
  <w:footnote w:id="5">
    <w:p w14:paraId="5FC19530" w14:textId="5C5D11D5" w:rsidR="00C51A45" w:rsidRPr="00743B5D" w:rsidRDefault="00C51A45" w:rsidP="00410A5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743B5D">
        <w:rPr>
          <w:lang w:val="fr-CA"/>
        </w:rPr>
        <w:t xml:space="preserve"> </w:t>
      </w:r>
      <w:r w:rsidR="00743B5D" w:rsidRPr="00743B5D">
        <w:rPr>
          <w:lang w:val="fr-CA"/>
        </w:rPr>
        <w:t xml:space="preserve">Solde </w:t>
      </w:r>
      <w:r w:rsidR="00D31CDD">
        <w:rPr>
          <w:lang w:val="fr-CA"/>
        </w:rPr>
        <w:t>engagé</w:t>
      </w:r>
      <w:r w:rsidR="00743B5D" w:rsidRPr="00743B5D">
        <w:rPr>
          <w:lang w:val="fr-CA"/>
        </w:rPr>
        <w:t xml:space="preserve"> pour un projet financ</w:t>
      </w:r>
      <w:r w:rsidR="00D31CDD">
        <w:rPr>
          <w:lang w:val="fr-CA"/>
        </w:rPr>
        <w:t>é</w:t>
      </w:r>
      <w:r w:rsidR="00743B5D" w:rsidRPr="00743B5D">
        <w:rPr>
          <w:lang w:val="fr-CA"/>
        </w:rPr>
        <w:t xml:space="preserve"> au titre des</w:t>
      </w:r>
      <w:r w:rsidR="00743B5D">
        <w:rPr>
          <w:lang w:val="fr-CA"/>
        </w:rPr>
        <w:t xml:space="preserve"> contributions supplémentaires volontaires.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C870" w14:textId="6F3BEE69" w:rsidR="00C51A45" w:rsidRDefault="00C51A45" w:rsidP="006A15F2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0B38A9">
      <w:t>UNEP/</w:t>
    </w:r>
    <w:proofErr w:type="spellStart"/>
    <w:r w:rsidR="000B38A9">
      <w:t>OzL.Pro</w:t>
    </w:r>
    <w:proofErr w:type="spellEnd"/>
    <w:r w:rsidR="000B38A9">
      <w:t>/</w:t>
    </w:r>
    <w:proofErr w:type="spellStart"/>
    <w:r w:rsidR="000B38A9">
      <w:t>ExCom</w:t>
    </w:r>
    <w:proofErr w:type="spellEnd"/>
    <w:r w:rsidR="000B38A9">
      <w:t>/86/4</w:t>
    </w:r>
    <w:r>
      <w:fldChar w:fldCharType="end"/>
    </w:r>
  </w:p>
  <w:p w14:paraId="6DE7632D" w14:textId="77777777" w:rsidR="00C51A45" w:rsidRPr="0033525D" w:rsidRDefault="00C51A45" w:rsidP="006A15F2">
    <w:pPr>
      <w:jc w:val="left"/>
    </w:pPr>
  </w:p>
  <w:p w14:paraId="60D4A42A" w14:textId="77777777" w:rsidR="00C51A45" w:rsidRPr="0033525D" w:rsidRDefault="00C51A4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1AD2" w14:textId="3FDB5ED7" w:rsidR="00C51A45" w:rsidRDefault="004C28C2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0B38A9">
      <w:t>UNEP/</w:t>
    </w:r>
    <w:proofErr w:type="spellStart"/>
    <w:r w:rsidR="000B38A9">
      <w:t>OzL.Pro</w:t>
    </w:r>
    <w:proofErr w:type="spellEnd"/>
    <w:r w:rsidR="000B38A9">
      <w:t>/</w:t>
    </w:r>
    <w:proofErr w:type="spellStart"/>
    <w:r w:rsidR="000B38A9">
      <w:t>ExCom</w:t>
    </w:r>
    <w:proofErr w:type="spellEnd"/>
    <w:r w:rsidR="000B38A9">
      <w:t>/86/4</w:t>
    </w:r>
    <w:r>
      <w:fldChar w:fldCharType="end"/>
    </w:r>
  </w:p>
  <w:p w14:paraId="187FAA35" w14:textId="77777777" w:rsidR="00C51A45" w:rsidRPr="0033525D" w:rsidRDefault="00C51A45">
    <w:pPr>
      <w:jc w:val="right"/>
    </w:pPr>
  </w:p>
  <w:p w14:paraId="74B16467" w14:textId="77777777" w:rsidR="00C51A45" w:rsidRPr="0033525D" w:rsidRDefault="00C51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3460" w14:textId="2F946459" w:rsidR="00C51A45" w:rsidRDefault="004C28C2" w:rsidP="007D548B">
    <w:pPr>
      <w:ind w:left="6480" w:right="4"/>
      <w:jc w:val="right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A071D0">
      <w:t>UNEP/</w:t>
    </w:r>
    <w:proofErr w:type="spellStart"/>
    <w:r w:rsidR="00A071D0">
      <w:t>OzL.Pro</w:t>
    </w:r>
    <w:proofErr w:type="spellEnd"/>
    <w:r w:rsidR="00A071D0">
      <w:t>/</w:t>
    </w:r>
    <w:proofErr w:type="spellStart"/>
    <w:r w:rsidR="00A071D0">
      <w:t>ExCom</w:t>
    </w:r>
    <w:proofErr w:type="spellEnd"/>
    <w:r w:rsidR="00A071D0">
      <w:t>/86/4</w:t>
    </w:r>
    <w:r>
      <w:fldChar w:fldCharType="end"/>
    </w:r>
  </w:p>
  <w:p w14:paraId="37E202AB" w14:textId="6ADA7F00" w:rsidR="00C51A45" w:rsidRDefault="00C51A45" w:rsidP="007D548B">
    <w:pPr>
      <w:ind w:left="7920" w:right="4"/>
      <w:jc w:val="right"/>
    </w:pPr>
    <w:r>
      <w:t>Annex IV</w:t>
    </w:r>
  </w:p>
  <w:p w14:paraId="748D3202" w14:textId="77777777" w:rsidR="00C51A45" w:rsidRDefault="00C51A45" w:rsidP="005C6C1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8CC2F3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13D931FC"/>
    <w:multiLevelType w:val="hybridMultilevel"/>
    <w:tmpl w:val="B95462EE"/>
    <w:lvl w:ilvl="0" w:tplc="8CDC7EA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 w15:restartNumberingAfterBreak="0">
    <w:nsid w:val="3449228C"/>
    <w:multiLevelType w:val="hybridMultilevel"/>
    <w:tmpl w:val="6052C47E"/>
    <w:lvl w:ilvl="0" w:tplc="CCFEC75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10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tTQyNTW0MDI1MzdS0lEKTi0uzszPAykwrwUA80GDZiwAAAA="/>
  </w:docVars>
  <w:rsids>
    <w:rsidRoot w:val="00D64D2C"/>
    <w:rsid w:val="00000FED"/>
    <w:rsid w:val="0000434E"/>
    <w:rsid w:val="00011B86"/>
    <w:rsid w:val="000124DF"/>
    <w:rsid w:val="000211A9"/>
    <w:rsid w:val="00031260"/>
    <w:rsid w:val="00032415"/>
    <w:rsid w:val="0003681A"/>
    <w:rsid w:val="000372B7"/>
    <w:rsid w:val="000418A2"/>
    <w:rsid w:val="00050F6E"/>
    <w:rsid w:val="000575A7"/>
    <w:rsid w:val="00061EC2"/>
    <w:rsid w:val="00080ED0"/>
    <w:rsid w:val="000843EB"/>
    <w:rsid w:val="00085B8F"/>
    <w:rsid w:val="00085F42"/>
    <w:rsid w:val="00090481"/>
    <w:rsid w:val="000A3826"/>
    <w:rsid w:val="000A6C26"/>
    <w:rsid w:val="000B38A9"/>
    <w:rsid w:val="000D52A4"/>
    <w:rsid w:val="000D5C6B"/>
    <w:rsid w:val="000E07BC"/>
    <w:rsid w:val="000E498D"/>
    <w:rsid w:val="000E4F84"/>
    <w:rsid w:val="000F1CD4"/>
    <w:rsid w:val="000F4103"/>
    <w:rsid w:val="000F70A7"/>
    <w:rsid w:val="00113CCA"/>
    <w:rsid w:val="00122F25"/>
    <w:rsid w:val="00135980"/>
    <w:rsid w:val="00163B01"/>
    <w:rsid w:val="00164719"/>
    <w:rsid w:val="00166FC4"/>
    <w:rsid w:val="00167431"/>
    <w:rsid w:val="001677AC"/>
    <w:rsid w:val="001804EA"/>
    <w:rsid w:val="00190A61"/>
    <w:rsid w:val="001A3342"/>
    <w:rsid w:val="001A3E3D"/>
    <w:rsid w:val="001A56F7"/>
    <w:rsid w:val="001A7049"/>
    <w:rsid w:val="001B1E40"/>
    <w:rsid w:val="001B7C34"/>
    <w:rsid w:val="001C13E3"/>
    <w:rsid w:val="001C1EBB"/>
    <w:rsid w:val="001C764E"/>
    <w:rsid w:val="001E1052"/>
    <w:rsid w:val="001E10D9"/>
    <w:rsid w:val="001E21B1"/>
    <w:rsid w:val="001E2F93"/>
    <w:rsid w:val="001E4554"/>
    <w:rsid w:val="001E61E5"/>
    <w:rsid w:val="001E6238"/>
    <w:rsid w:val="001F1073"/>
    <w:rsid w:val="001F2159"/>
    <w:rsid w:val="00205483"/>
    <w:rsid w:val="00210B8B"/>
    <w:rsid w:val="00214863"/>
    <w:rsid w:val="002156B4"/>
    <w:rsid w:val="0022021D"/>
    <w:rsid w:val="00224C5F"/>
    <w:rsid w:val="002333B7"/>
    <w:rsid w:val="00240C52"/>
    <w:rsid w:val="00253222"/>
    <w:rsid w:val="00254091"/>
    <w:rsid w:val="0026223F"/>
    <w:rsid w:val="00262847"/>
    <w:rsid w:val="00266350"/>
    <w:rsid w:val="00274DFD"/>
    <w:rsid w:val="0028142F"/>
    <w:rsid w:val="00281BB2"/>
    <w:rsid w:val="00282F0F"/>
    <w:rsid w:val="0028345A"/>
    <w:rsid w:val="002847A3"/>
    <w:rsid w:val="002B254E"/>
    <w:rsid w:val="002B72E9"/>
    <w:rsid w:val="002C2D1C"/>
    <w:rsid w:val="002C7998"/>
    <w:rsid w:val="002F0BD3"/>
    <w:rsid w:val="002F1E53"/>
    <w:rsid w:val="002F2CAA"/>
    <w:rsid w:val="002F7842"/>
    <w:rsid w:val="0030052C"/>
    <w:rsid w:val="003306E1"/>
    <w:rsid w:val="003320E4"/>
    <w:rsid w:val="0033525D"/>
    <w:rsid w:val="003414F3"/>
    <w:rsid w:val="003548E5"/>
    <w:rsid w:val="0035613E"/>
    <w:rsid w:val="003566DB"/>
    <w:rsid w:val="00362DEC"/>
    <w:rsid w:val="00363EE9"/>
    <w:rsid w:val="00371451"/>
    <w:rsid w:val="0037374D"/>
    <w:rsid w:val="00376128"/>
    <w:rsid w:val="0037742E"/>
    <w:rsid w:val="00377D56"/>
    <w:rsid w:val="0038245A"/>
    <w:rsid w:val="003840E6"/>
    <w:rsid w:val="00385CFC"/>
    <w:rsid w:val="0039337A"/>
    <w:rsid w:val="00395C3E"/>
    <w:rsid w:val="003A3189"/>
    <w:rsid w:val="003A3CA7"/>
    <w:rsid w:val="003B33BD"/>
    <w:rsid w:val="003B569D"/>
    <w:rsid w:val="003B6344"/>
    <w:rsid w:val="003C3C0E"/>
    <w:rsid w:val="003D42A6"/>
    <w:rsid w:val="003D4FAC"/>
    <w:rsid w:val="003D6912"/>
    <w:rsid w:val="003E0B6B"/>
    <w:rsid w:val="003E7906"/>
    <w:rsid w:val="003F0BF5"/>
    <w:rsid w:val="003F3C50"/>
    <w:rsid w:val="00406A6A"/>
    <w:rsid w:val="00406B22"/>
    <w:rsid w:val="00410A3F"/>
    <w:rsid w:val="00410A52"/>
    <w:rsid w:val="00421B9E"/>
    <w:rsid w:val="004328A7"/>
    <w:rsid w:val="00434C74"/>
    <w:rsid w:val="00456EB4"/>
    <w:rsid w:val="004718F3"/>
    <w:rsid w:val="00475040"/>
    <w:rsid w:val="004811AF"/>
    <w:rsid w:val="00493D40"/>
    <w:rsid w:val="004967B6"/>
    <w:rsid w:val="004A504B"/>
    <w:rsid w:val="004A6911"/>
    <w:rsid w:val="004B54E0"/>
    <w:rsid w:val="004B7384"/>
    <w:rsid w:val="004C28C2"/>
    <w:rsid w:val="004C4269"/>
    <w:rsid w:val="004D2203"/>
    <w:rsid w:val="004D28CC"/>
    <w:rsid w:val="004D6236"/>
    <w:rsid w:val="004D7F90"/>
    <w:rsid w:val="004E4DBB"/>
    <w:rsid w:val="004E4E41"/>
    <w:rsid w:val="004E7F9C"/>
    <w:rsid w:val="004F0E94"/>
    <w:rsid w:val="004F3493"/>
    <w:rsid w:val="004F5143"/>
    <w:rsid w:val="00500DED"/>
    <w:rsid w:val="00512B09"/>
    <w:rsid w:val="00514479"/>
    <w:rsid w:val="00533796"/>
    <w:rsid w:val="00537343"/>
    <w:rsid w:val="00547C8A"/>
    <w:rsid w:val="00555D75"/>
    <w:rsid w:val="00560DF0"/>
    <w:rsid w:val="0056759C"/>
    <w:rsid w:val="00573D6B"/>
    <w:rsid w:val="00581E29"/>
    <w:rsid w:val="005838E6"/>
    <w:rsid w:val="0059513E"/>
    <w:rsid w:val="005A196D"/>
    <w:rsid w:val="005B42AD"/>
    <w:rsid w:val="005B48FF"/>
    <w:rsid w:val="005B495E"/>
    <w:rsid w:val="005C6C1B"/>
    <w:rsid w:val="005D363F"/>
    <w:rsid w:val="005E2E68"/>
    <w:rsid w:val="005F33C4"/>
    <w:rsid w:val="00600EBC"/>
    <w:rsid w:val="00604C15"/>
    <w:rsid w:val="006158D5"/>
    <w:rsid w:val="00625D83"/>
    <w:rsid w:val="006623E7"/>
    <w:rsid w:val="00662B80"/>
    <w:rsid w:val="00663699"/>
    <w:rsid w:val="00670F6C"/>
    <w:rsid w:val="00681F75"/>
    <w:rsid w:val="006852C7"/>
    <w:rsid w:val="006852CE"/>
    <w:rsid w:val="006A15F2"/>
    <w:rsid w:val="006B51E3"/>
    <w:rsid w:val="006C1727"/>
    <w:rsid w:val="006C32FD"/>
    <w:rsid w:val="006C39CE"/>
    <w:rsid w:val="006D0FCC"/>
    <w:rsid w:val="006D21F5"/>
    <w:rsid w:val="006D2510"/>
    <w:rsid w:val="006E1FC3"/>
    <w:rsid w:val="006E4BE1"/>
    <w:rsid w:val="00705B45"/>
    <w:rsid w:val="00705D3F"/>
    <w:rsid w:val="0070616B"/>
    <w:rsid w:val="00706295"/>
    <w:rsid w:val="00706FDA"/>
    <w:rsid w:val="00711F9A"/>
    <w:rsid w:val="00713810"/>
    <w:rsid w:val="00716F0E"/>
    <w:rsid w:val="007204F0"/>
    <w:rsid w:val="00720694"/>
    <w:rsid w:val="007303A5"/>
    <w:rsid w:val="00730B3E"/>
    <w:rsid w:val="0073420B"/>
    <w:rsid w:val="00743B5D"/>
    <w:rsid w:val="0074760E"/>
    <w:rsid w:val="007503C8"/>
    <w:rsid w:val="007544C6"/>
    <w:rsid w:val="00754ABA"/>
    <w:rsid w:val="007761F1"/>
    <w:rsid w:val="00785DA6"/>
    <w:rsid w:val="007904A6"/>
    <w:rsid w:val="00792AA5"/>
    <w:rsid w:val="007A1546"/>
    <w:rsid w:val="007A228C"/>
    <w:rsid w:val="007A368E"/>
    <w:rsid w:val="007A5868"/>
    <w:rsid w:val="007A5B78"/>
    <w:rsid w:val="007A673B"/>
    <w:rsid w:val="007B04CE"/>
    <w:rsid w:val="007B1303"/>
    <w:rsid w:val="007B6871"/>
    <w:rsid w:val="007B7A2F"/>
    <w:rsid w:val="007C3D33"/>
    <w:rsid w:val="007D1AC0"/>
    <w:rsid w:val="007D294A"/>
    <w:rsid w:val="007D47D2"/>
    <w:rsid w:val="007D548B"/>
    <w:rsid w:val="007D64F9"/>
    <w:rsid w:val="007D6EC0"/>
    <w:rsid w:val="007D7E1D"/>
    <w:rsid w:val="008042A9"/>
    <w:rsid w:val="00805889"/>
    <w:rsid w:val="00831979"/>
    <w:rsid w:val="00835DC4"/>
    <w:rsid w:val="00851352"/>
    <w:rsid w:val="00857077"/>
    <w:rsid w:val="00863230"/>
    <w:rsid w:val="008717D8"/>
    <w:rsid w:val="0087215C"/>
    <w:rsid w:val="00875D25"/>
    <w:rsid w:val="00880E35"/>
    <w:rsid w:val="00884023"/>
    <w:rsid w:val="008875FE"/>
    <w:rsid w:val="00887F8E"/>
    <w:rsid w:val="00896234"/>
    <w:rsid w:val="00897E43"/>
    <w:rsid w:val="008A32A2"/>
    <w:rsid w:val="008C4209"/>
    <w:rsid w:val="008C5738"/>
    <w:rsid w:val="008C69A8"/>
    <w:rsid w:val="008C7EAD"/>
    <w:rsid w:val="008D0CFE"/>
    <w:rsid w:val="008D1273"/>
    <w:rsid w:val="008D6152"/>
    <w:rsid w:val="008E6AB4"/>
    <w:rsid w:val="008F0F81"/>
    <w:rsid w:val="008F27BF"/>
    <w:rsid w:val="009046B2"/>
    <w:rsid w:val="009142EC"/>
    <w:rsid w:val="009154C3"/>
    <w:rsid w:val="00917573"/>
    <w:rsid w:val="00923540"/>
    <w:rsid w:val="00926767"/>
    <w:rsid w:val="009361D5"/>
    <w:rsid w:val="00942424"/>
    <w:rsid w:val="009428A4"/>
    <w:rsid w:val="009429B2"/>
    <w:rsid w:val="009500C0"/>
    <w:rsid w:val="009656D8"/>
    <w:rsid w:val="009659F4"/>
    <w:rsid w:val="00970D60"/>
    <w:rsid w:val="0099390E"/>
    <w:rsid w:val="009960E5"/>
    <w:rsid w:val="00996D81"/>
    <w:rsid w:val="009A5B87"/>
    <w:rsid w:val="009A7ADC"/>
    <w:rsid w:val="009B7EE6"/>
    <w:rsid w:val="009C19B7"/>
    <w:rsid w:val="009C5ABB"/>
    <w:rsid w:val="009D7C51"/>
    <w:rsid w:val="009E196C"/>
    <w:rsid w:val="009F0CB1"/>
    <w:rsid w:val="009F36BF"/>
    <w:rsid w:val="00A00EB9"/>
    <w:rsid w:val="00A071D0"/>
    <w:rsid w:val="00A10E43"/>
    <w:rsid w:val="00A111B6"/>
    <w:rsid w:val="00A1731E"/>
    <w:rsid w:val="00A22490"/>
    <w:rsid w:val="00A26D27"/>
    <w:rsid w:val="00A3248A"/>
    <w:rsid w:val="00A376EE"/>
    <w:rsid w:val="00A42A99"/>
    <w:rsid w:val="00A5151A"/>
    <w:rsid w:val="00A57E0A"/>
    <w:rsid w:val="00A75C9C"/>
    <w:rsid w:val="00A823F6"/>
    <w:rsid w:val="00A8719E"/>
    <w:rsid w:val="00A94246"/>
    <w:rsid w:val="00AA0A89"/>
    <w:rsid w:val="00AA6429"/>
    <w:rsid w:val="00AB736A"/>
    <w:rsid w:val="00AC01AA"/>
    <w:rsid w:val="00AC4F72"/>
    <w:rsid w:val="00AD349D"/>
    <w:rsid w:val="00AE0D9E"/>
    <w:rsid w:val="00AF223B"/>
    <w:rsid w:val="00AF741A"/>
    <w:rsid w:val="00B01ADB"/>
    <w:rsid w:val="00B04161"/>
    <w:rsid w:val="00B056F9"/>
    <w:rsid w:val="00B11E3D"/>
    <w:rsid w:val="00B17E82"/>
    <w:rsid w:val="00B250E3"/>
    <w:rsid w:val="00B36A68"/>
    <w:rsid w:val="00B40AAF"/>
    <w:rsid w:val="00B4575A"/>
    <w:rsid w:val="00B575BA"/>
    <w:rsid w:val="00B6573B"/>
    <w:rsid w:val="00B71608"/>
    <w:rsid w:val="00B76429"/>
    <w:rsid w:val="00B93434"/>
    <w:rsid w:val="00B956D4"/>
    <w:rsid w:val="00B97446"/>
    <w:rsid w:val="00BA7432"/>
    <w:rsid w:val="00BC1AA0"/>
    <w:rsid w:val="00BC2495"/>
    <w:rsid w:val="00BC7EB9"/>
    <w:rsid w:val="00BD2643"/>
    <w:rsid w:val="00BD56B1"/>
    <w:rsid w:val="00BD6558"/>
    <w:rsid w:val="00BF2F76"/>
    <w:rsid w:val="00BF3022"/>
    <w:rsid w:val="00BF3214"/>
    <w:rsid w:val="00BF5573"/>
    <w:rsid w:val="00C01D54"/>
    <w:rsid w:val="00C15867"/>
    <w:rsid w:val="00C2296D"/>
    <w:rsid w:val="00C23155"/>
    <w:rsid w:val="00C27C69"/>
    <w:rsid w:val="00C34149"/>
    <w:rsid w:val="00C40C41"/>
    <w:rsid w:val="00C45885"/>
    <w:rsid w:val="00C50F22"/>
    <w:rsid w:val="00C51A45"/>
    <w:rsid w:val="00C57971"/>
    <w:rsid w:val="00C65BD7"/>
    <w:rsid w:val="00C7137F"/>
    <w:rsid w:val="00C76BA4"/>
    <w:rsid w:val="00C7784D"/>
    <w:rsid w:val="00C83A48"/>
    <w:rsid w:val="00C85865"/>
    <w:rsid w:val="00C85E85"/>
    <w:rsid w:val="00C87E65"/>
    <w:rsid w:val="00CA2EAE"/>
    <w:rsid w:val="00CA4AC1"/>
    <w:rsid w:val="00CA7506"/>
    <w:rsid w:val="00CB0316"/>
    <w:rsid w:val="00CB0B11"/>
    <w:rsid w:val="00CB426A"/>
    <w:rsid w:val="00CB507B"/>
    <w:rsid w:val="00CB5354"/>
    <w:rsid w:val="00CC3C9E"/>
    <w:rsid w:val="00CC6A14"/>
    <w:rsid w:val="00CC70A3"/>
    <w:rsid w:val="00CD4442"/>
    <w:rsid w:val="00CD53C3"/>
    <w:rsid w:val="00CD574E"/>
    <w:rsid w:val="00CE4C22"/>
    <w:rsid w:val="00CF41EC"/>
    <w:rsid w:val="00CF5D04"/>
    <w:rsid w:val="00D02807"/>
    <w:rsid w:val="00D02F74"/>
    <w:rsid w:val="00D04DE4"/>
    <w:rsid w:val="00D063F1"/>
    <w:rsid w:val="00D14F22"/>
    <w:rsid w:val="00D27892"/>
    <w:rsid w:val="00D30F55"/>
    <w:rsid w:val="00D31CDD"/>
    <w:rsid w:val="00D4741C"/>
    <w:rsid w:val="00D53064"/>
    <w:rsid w:val="00D57918"/>
    <w:rsid w:val="00D64D2C"/>
    <w:rsid w:val="00D73DC6"/>
    <w:rsid w:val="00D74C1A"/>
    <w:rsid w:val="00D754C1"/>
    <w:rsid w:val="00D754CC"/>
    <w:rsid w:val="00D77393"/>
    <w:rsid w:val="00D77A35"/>
    <w:rsid w:val="00D81B3E"/>
    <w:rsid w:val="00D8339B"/>
    <w:rsid w:val="00D90C70"/>
    <w:rsid w:val="00D90E49"/>
    <w:rsid w:val="00D96ADE"/>
    <w:rsid w:val="00DA0CE2"/>
    <w:rsid w:val="00DA4ADC"/>
    <w:rsid w:val="00DB76BF"/>
    <w:rsid w:val="00DC6A10"/>
    <w:rsid w:val="00DC760E"/>
    <w:rsid w:val="00DE657E"/>
    <w:rsid w:val="00DF0A2D"/>
    <w:rsid w:val="00DF4704"/>
    <w:rsid w:val="00E024AA"/>
    <w:rsid w:val="00E05322"/>
    <w:rsid w:val="00E06D04"/>
    <w:rsid w:val="00E17D07"/>
    <w:rsid w:val="00E23A84"/>
    <w:rsid w:val="00E250F1"/>
    <w:rsid w:val="00E25A33"/>
    <w:rsid w:val="00E3550D"/>
    <w:rsid w:val="00E373BC"/>
    <w:rsid w:val="00E40889"/>
    <w:rsid w:val="00E52838"/>
    <w:rsid w:val="00E614E0"/>
    <w:rsid w:val="00E661F0"/>
    <w:rsid w:val="00E73F7F"/>
    <w:rsid w:val="00E85409"/>
    <w:rsid w:val="00E872DB"/>
    <w:rsid w:val="00E92B09"/>
    <w:rsid w:val="00EA429F"/>
    <w:rsid w:val="00EA4F9E"/>
    <w:rsid w:val="00EA63CA"/>
    <w:rsid w:val="00EA6D3B"/>
    <w:rsid w:val="00EB00AD"/>
    <w:rsid w:val="00EB058C"/>
    <w:rsid w:val="00EB136C"/>
    <w:rsid w:val="00EB480E"/>
    <w:rsid w:val="00EB5AF0"/>
    <w:rsid w:val="00EB5EC6"/>
    <w:rsid w:val="00EB7676"/>
    <w:rsid w:val="00EB7FC9"/>
    <w:rsid w:val="00EC1F84"/>
    <w:rsid w:val="00ED27E8"/>
    <w:rsid w:val="00ED7137"/>
    <w:rsid w:val="00EE4E2E"/>
    <w:rsid w:val="00EF06EA"/>
    <w:rsid w:val="00F05DC1"/>
    <w:rsid w:val="00F1540A"/>
    <w:rsid w:val="00F21088"/>
    <w:rsid w:val="00F327E7"/>
    <w:rsid w:val="00F35278"/>
    <w:rsid w:val="00F35746"/>
    <w:rsid w:val="00F447C7"/>
    <w:rsid w:val="00F5211B"/>
    <w:rsid w:val="00F554A9"/>
    <w:rsid w:val="00F65B12"/>
    <w:rsid w:val="00F67E77"/>
    <w:rsid w:val="00F716FD"/>
    <w:rsid w:val="00F80355"/>
    <w:rsid w:val="00F87C43"/>
    <w:rsid w:val="00FA1E2D"/>
    <w:rsid w:val="00FA62C8"/>
    <w:rsid w:val="00FB0C81"/>
    <w:rsid w:val="00FB61D7"/>
    <w:rsid w:val="00FB6DBA"/>
    <w:rsid w:val="00FC2200"/>
    <w:rsid w:val="00FC2540"/>
    <w:rsid w:val="00FC3CFD"/>
    <w:rsid w:val="00FD3F7E"/>
    <w:rsid w:val="00FD6D21"/>
    <w:rsid w:val="00FE4906"/>
    <w:rsid w:val="00FF0204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13107"/>
  <w15:docId w15:val="{A5049FA1-9683-4765-A303-E302D27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rsid w:val="0033525D"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uiPriority w:val="9"/>
    <w:qFormat/>
    <w:rsid w:val="0033525D"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uiPriority w:val="9"/>
    <w:qFormat/>
    <w:rsid w:val="0033525D"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uiPriority w:val="9"/>
    <w:qFormat/>
    <w:rsid w:val="007B6871"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uiPriority w:val="9"/>
    <w:qFormat/>
    <w:rsid w:val="00A51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uiPriority w:val="9"/>
    <w:qFormat/>
    <w:rsid w:val="00A51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9"/>
    <w:qFormat/>
    <w:rsid w:val="00A51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semiHidden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uiPriority w:val="9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uiPriority w:val="9"/>
    <w:rsid w:val="00D64D2C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64D2C"/>
    <w:pPr>
      <w:ind w:left="720"/>
    </w:pPr>
  </w:style>
  <w:style w:type="paragraph" w:styleId="FootnoteText">
    <w:name w:val="footnote text"/>
    <w:aliases w:val="Char1,Char1 Char Char,Fußnotentextf,FOOTNOTES,fn,single space,Footnote,Footnote Text Char1 Char,Footnote Text Char Char Char,Footnote Text Char1 Char Char Char,Footnote Text Char Char Char Char Char"/>
    <w:basedOn w:val="Normal"/>
    <w:link w:val="FootnoteTextChar"/>
    <w:uiPriority w:val="99"/>
    <w:unhideWhenUsed/>
    <w:qFormat/>
    <w:rsid w:val="00D64D2C"/>
    <w:rPr>
      <w:sz w:val="20"/>
      <w:szCs w:val="20"/>
    </w:rPr>
  </w:style>
  <w:style w:type="character" w:customStyle="1" w:styleId="FootnoteTextChar">
    <w:name w:val="Footnote Text Char"/>
    <w:aliases w:val="Char1 Char,Char1 Char Char Char,Fußnotentextf Char,FOOTNOTES Char,fn Char,single space Char,Footnote Char,Footnote Text Char1 Char Char,Footnote Text Char Char Char Char,Footnote Text Char1 Char Char Char Char"/>
    <w:basedOn w:val="DefaultParagraphFont"/>
    <w:link w:val="FootnoteText"/>
    <w:uiPriority w:val="99"/>
    <w:rsid w:val="00D64D2C"/>
    <w:rPr>
      <w:lang w:val="en-GB"/>
    </w:rPr>
  </w:style>
  <w:style w:type="character" w:styleId="FootnoteReference">
    <w:name w:val="footnote reference"/>
    <w:aliases w:val="ftref,Footnote Text1,Footnote Text2,Footnote text"/>
    <w:basedOn w:val="DefaultParagraphFont"/>
    <w:uiPriority w:val="99"/>
    <w:unhideWhenUsed/>
    <w:rsid w:val="00D64D2C"/>
    <w:rPr>
      <w:vertAlign w:val="superscript"/>
    </w:rPr>
  </w:style>
  <w:style w:type="table" w:customStyle="1" w:styleId="TableGrid10">
    <w:name w:val="Table Grid1"/>
    <w:basedOn w:val="TableNormal"/>
    <w:next w:val="TableGrid"/>
    <w:rsid w:val="00D64D2C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85th\Templates\Eec85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UNEP/OzL.Pro/ExCom/86/4</Document_x0020_Number>
    <Posted_x0020_after_x0020_IAP xmlns="5ee7b459-7658-46de-b3a9-b270cabc2a0e">true</Posted_x0020_after_x0020_IAP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75DA1A9724F448487545E7E03A732" ma:contentTypeVersion="3" ma:contentTypeDescription="Create a new document." ma:contentTypeScope="" ma:versionID="da5691930c19fb9c2ca01aa0b69eb0c3">
  <xsd:schema xmlns:xsd="http://www.w3.org/2001/XMLSchema" xmlns:p="http://schemas.microsoft.com/office/2006/metadata/properties" xmlns:ns2="8662b4aa-cf42-4f00-a3f0-9d3b4acad230" xmlns:ns3="310e179b-1379-4e79-9b74-d5a32b1812d3" xmlns:ns4="5ee7b459-7658-46de-b3a9-b270cabc2a0e" targetNamespace="http://schemas.microsoft.com/office/2006/metadata/properties" ma:root="true" ma:fieldsID="1405f2c8d337e7b86d2f79585a06f983" ns2:_="" ns3:_="" ns4:_="">
    <xsd:import namespace="8662b4aa-cf42-4f00-a3f0-9d3b4acad230"/>
    <xsd:import namespace="310e179b-1379-4e79-9b74-d5a32b1812d3"/>
    <xsd:import namespace="5ee7b459-7658-46de-b3a9-b270cabc2a0e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5ee7b459-7658-46de-b3a9-b270cabc2a0e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42402A-C645-4414-A2DB-E7ED05CE4582}"/>
</file>

<file path=customXml/itemProps2.xml><?xml version="1.0" encoding="utf-8"?>
<ds:datastoreItem xmlns:ds="http://schemas.openxmlformats.org/officeDocument/2006/customXml" ds:itemID="{2713B3A1-AF02-4100-BAC1-D3595C5847F6}"/>
</file>

<file path=customXml/itemProps3.xml><?xml version="1.0" encoding="utf-8"?>
<ds:datastoreItem xmlns:ds="http://schemas.openxmlformats.org/officeDocument/2006/customXml" ds:itemID="{53152177-F6ED-42E0-81AA-CCBEE82CB972}"/>
</file>

<file path=customXml/itemProps4.xml><?xml version="1.0" encoding="utf-8"?>
<ds:datastoreItem xmlns:ds="http://schemas.openxmlformats.org/officeDocument/2006/customXml" ds:itemID="{E75360AE-BAC9-4DC8-AFE5-60AD9CF7625F}"/>
</file>

<file path=docProps/app.xml><?xml version="1.0" encoding="utf-8"?>
<Properties xmlns="http://schemas.openxmlformats.org/officeDocument/2006/extended-properties" xmlns:vt="http://schemas.openxmlformats.org/officeDocument/2006/docPropsVTypes">
  <Template>Eec85G</Template>
  <TotalTime>1424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sur les soldes et la disponibilité des ressources</vt:lpstr>
      <vt:lpstr/>
    </vt:vector>
  </TitlesOfParts>
  <Company>UNMFS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les soldes et la disponibilité des ressources</dc:title>
  <dc:creator>Botheina Bendahmane</dc:creator>
  <cp:lastModifiedBy>HB</cp:lastModifiedBy>
  <cp:revision>9</cp:revision>
  <cp:lastPrinted>2020-11-13T17:03:00Z</cp:lastPrinted>
  <dcterms:created xsi:type="dcterms:W3CDTF">2020-11-13T15:49:00Z</dcterms:created>
  <dcterms:modified xsi:type="dcterms:W3CDTF">2020-12-01T15:02:00Z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UNEP/OzL.Pro/ExCom/86/4</vt:lpwstr>
  </property>
  <property fmtid="{D5CDD505-2E9C-101B-9397-08002B2CF9AE}" pid="3" name="Revision date">
    <vt:lpwstr>11/06/2020</vt:lpwstr>
  </property>
  <property fmtid="{D5CDD505-2E9C-101B-9397-08002B2CF9AE}" pid="4" name="ContentTypeId">
    <vt:lpwstr>0x01010021475DA1A9724F448487545E7E03A732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