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 w:rsidRPr="00A95667" w14:paraId="04865616" w14:textId="77777777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14:paraId="264EDE27" w14:textId="77777777" w:rsidR="00441083" w:rsidRPr="00A95667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  <w:lang w:val="fr-CA"/>
              </w:rPr>
            </w:pPr>
            <w:r w:rsidRPr="00A95667">
              <w:rPr>
                <w:rFonts w:ascii="Univers" w:hAnsi="Univers"/>
                <w:b/>
                <w:sz w:val="28"/>
                <w:szCs w:val="28"/>
                <w:lang w:val="fr-CA"/>
              </w:rPr>
              <w:t>NATIONS</w:t>
            </w:r>
          </w:p>
          <w:p w14:paraId="3AAD35FD" w14:textId="77777777" w:rsidR="00441083" w:rsidRPr="00A95667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  <w:lang w:val="fr-CA"/>
              </w:rPr>
            </w:pPr>
            <w:r w:rsidRPr="00A95667">
              <w:rPr>
                <w:rFonts w:ascii="Univers" w:hAnsi="Univers"/>
                <w:b/>
                <w:sz w:val="28"/>
                <w:szCs w:val="28"/>
                <w:lang w:val="fr-CA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1FD111D" w14:textId="77777777" w:rsidR="00441083" w:rsidRPr="00A95667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  <w:lang w:val="fr-CA"/>
              </w:rPr>
            </w:pPr>
            <w:r w:rsidRPr="00A95667"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 w:rsidRPr="00A95667" w14:paraId="5136DD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0A14796" w14:textId="77777777" w:rsidR="00441083" w:rsidRPr="00A95667" w:rsidRDefault="00C6443E">
            <w:pPr>
              <w:spacing w:before="120"/>
              <w:rPr>
                <w:lang w:val="fr-CA"/>
              </w:rPr>
            </w:pPr>
            <w:r w:rsidRPr="00A95667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6B786E6" wp14:editId="29BF119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 w:rsidRPr="00A95667"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0" allowOverlap="1" wp14:anchorId="221317F0" wp14:editId="518A279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64404CF" w14:textId="77777777" w:rsidR="00441083" w:rsidRPr="00A95667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14:paraId="6A793F54" w14:textId="77777777" w:rsidR="00441083" w:rsidRPr="00A95667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 w:rsidRPr="00A95667"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14:paraId="487F7A51" w14:textId="77777777" w:rsidR="00441083" w:rsidRPr="00A95667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 w:rsidRPr="00A95667"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14:paraId="5D84587B" w14:textId="77777777" w:rsidR="00441083" w:rsidRPr="00A95667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proofErr w:type="gramStart"/>
            <w:r w:rsidRPr="00A95667"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  <w:proofErr w:type="gramEnd"/>
          </w:p>
          <w:p w14:paraId="39434578" w14:textId="77777777" w:rsidR="00441083" w:rsidRPr="00A95667" w:rsidRDefault="00E60D9C">
            <w:pPr>
              <w:spacing w:before="720"/>
              <w:ind w:left="158"/>
              <w:rPr>
                <w:lang w:val="fr-CA"/>
              </w:rPr>
            </w:pPr>
            <w:r w:rsidRPr="00A95667">
              <w:rPr>
                <w:lang w:val="fr-C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4CCDDD0" w14:textId="77777777" w:rsidR="00441083" w:rsidRPr="00A95667" w:rsidRDefault="00441083">
            <w:pPr>
              <w:rPr>
                <w:lang w:val="fr-CA"/>
              </w:rPr>
            </w:pPr>
          </w:p>
          <w:p w14:paraId="226670DF" w14:textId="77777777" w:rsidR="00441083" w:rsidRPr="00A95667" w:rsidRDefault="00E60D9C">
            <w:pPr>
              <w:rPr>
                <w:lang w:val="fr-CA"/>
              </w:rPr>
            </w:pPr>
            <w:proofErr w:type="spellStart"/>
            <w:r w:rsidRPr="00A95667">
              <w:rPr>
                <w:lang w:val="fr-CA"/>
              </w:rPr>
              <w:t>Distr</w:t>
            </w:r>
            <w:proofErr w:type="spellEnd"/>
            <w:r w:rsidRPr="00A95667">
              <w:rPr>
                <w:lang w:val="fr-CA"/>
              </w:rPr>
              <w:t>.</w:t>
            </w:r>
          </w:p>
          <w:p w14:paraId="4F04DB99" w14:textId="77777777" w:rsidR="00441083" w:rsidRPr="00A95667" w:rsidRDefault="00E60D9C" w:rsidP="00DD3433">
            <w:pPr>
              <w:rPr>
                <w:lang w:val="fr-CA"/>
              </w:rPr>
            </w:pPr>
            <w:r w:rsidRPr="00A95667">
              <w:rPr>
                <w:lang w:val="fr-CA"/>
              </w:rPr>
              <w:t>G</w:t>
            </w:r>
            <w:r w:rsidR="00DD3433" w:rsidRPr="00A95667">
              <w:rPr>
                <w:lang w:val="fr-CA"/>
              </w:rPr>
              <w:t>É</w:t>
            </w:r>
            <w:r w:rsidRPr="00A95667">
              <w:rPr>
                <w:lang w:val="fr-CA"/>
              </w:rPr>
              <w:t>N</w:t>
            </w:r>
            <w:r w:rsidR="00DD3433" w:rsidRPr="00A95667">
              <w:rPr>
                <w:lang w:val="fr-CA"/>
              </w:rPr>
              <w:t>É</w:t>
            </w:r>
            <w:r w:rsidRPr="00A95667">
              <w:rPr>
                <w:lang w:val="fr-CA"/>
              </w:rPr>
              <w:t>RAL</w:t>
            </w:r>
            <w:r w:rsidR="00FF3CF1" w:rsidRPr="00A95667">
              <w:rPr>
                <w:lang w:val="fr-CA"/>
              </w:rPr>
              <w:t>E</w:t>
            </w:r>
          </w:p>
          <w:p w14:paraId="08696C74" w14:textId="77777777" w:rsidR="00441083" w:rsidRPr="00A95667" w:rsidRDefault="00441083">
            <w:pPr>
              <w:rPr>
                <w:lang w:val="fr-CA"/>
              </w:rPr>
            </w:pPr>
          </w:p>
          <w:p w14:paraId="4F7258E2" w14:textId="5A015002" w:rsidR="00441083" w:rsidRPr="00A95667" w:rsidRDefault="00E60D9C">
            <w:pPr>
              <w:rPr>
                <w:lang w:val="fr-CA"/>
              </w:rPr>
            </w:pPr>
            <w:r w:rsidRPr="00A95667">
              <w:rPr>
                <w:lang w:val="fr-CA"/>
              </w:rPr>
              <w:fldChar w:fldCharType="begin"/>
            </w:r>
            <w:r w:rsidRPr="00A95667">
              <w:rPr>
                <w:lang w:val="fr-CA"/>
              </w:rPr>
              <w:instrText xml:space="preserve"> DOCPROPERTY "Document number"  \* MERGEFORMAT </w:instrText>
            </w:r>
            <w:r w:rsidRPr="00A95667">
              <w:rPr>
                <w:lang w:val="fr-CA"/>
              </w:rPr>
              <w:fldChar w:fldCharType="separate"/>
            </w:r>
            <w:r w:rsidR="00DB1D38">
              <w:rPr>
                <w:lang w:val="fr-CA"/>
              </w:rPr>
              <w:t>UNEP/</w:t>
            </w:r>
            <w:proofErr w:type="spellStart"/>
            <w:r w:rsidR="00DB1D38">
              <w:rPr>
                <w:lang w:val="fr-CA"/>
              </w:rPr>
              <w:t>OzL.Pro</w:t>
            </w:r>
            <w:proofErr w:type="spellEnd"/>
            <w:r w:rsidR="00DB1D38">
              <w:rPr>
                <w:lang w:val="fr-CA"/>
              </w:rPr>
              <w:t>/</w:t>
            </w:r>
            <w:proofErr w:type="spellStart"/>
            <w:r w:rsidR="00DB1D38">
              <w:rPr>
                <w:lang w:val="fr-CA"/>
              </w:rPr>
              <w:t>ExCom</w:t>
            </w:r>
            <w:proofErr w:type="spellEnd"/>
            <w:r w:rsidR="00DB1D38">
              <w:rPr>
                <w:lang w:val="fr-CA"/>
              </w:rPr>
              <w:t>/86/19</w:t>
            </w:r>
            <w:r w:rsidRPr="00A95667">
              <w:rPr>
                <w:lang w:val="fr-CA"/>
              </w:rPr>
              <w:fldChar w:fldCharType="end"/>
            </w:r>
          </w:p>
          <w:p w14:paraId="70C8BF86" w14:textId="77777777" w:rsidR="002F0B57" w:rsidRPr="00A95667" w:rsidRDefault="002F0B57" w:rsidP="000F6C8E">
            <w:pPr>
              <w:rPr>
                <w:lang w:val="fr-CA"/>
              </w:rPr>
            </w:pPr>
            <w:r w:rsidRPr="00A95667">
              <w:rPr>
                <w:lang w:val="fr-CA"/>
              </w:rPr>
              <w:fldChar w:fldCharType="begin"/>
            </w:r>
            <w:r w:rsidRPr="00A95667">
              <w:rPr>
                <w:lang w:val="fr-CA"/>
              </w:rPr>
              <w:instrText xml:space="preserve"> DOCPROPERTY "Revision date" \@ "d MMMM YYYY"  \* MERGEFORMAT </w:instrText>
            </w:r>
            <w:r w:rsidRPr="00A95667">
              <w:rPr>
                <w:lang w:val="fr-CA"/>
              </w:rPr>
              <w:fldChar w:fldCharType="separate"/>
            </w:r>
            <w:r w:rsidR="006B6E38" w:rsidRPr="00A95667">
              <w:rPr>
                <w:lang w:val="fr-CA"/>
              </w:rPr>
              <w:t>23 octobre 2020</w:t>
            </w:r>
            <w:r w:rsidRPr="00A95667">
              <w:rPr>
                <w:lang w:val="fr-CA"/>
              </w:rPr>
              <w:fldChar w:fldCharType="end"/>
            </w:r>
          </w:p>
          <w:p w14:paraId="60686752" w14:textId="77777777" w:rsidR="00441083" w:rsidRPr="00A95667" w:rsidRDefault="00FC5578">
            <w:pPr>
              <w:rPr>
                <w:caps/>
                <w:lang w:val="fr-CA"/>
              </w:rPr>
            </w:pPr>
            <w:r w:rsidRPr="00A95667">
              <w:rPr>
                <w:caps/>
                <w:lang w:val="fr-CA"/>
              </w:rPr>
              <w:br/>
            </w:r>
            <w:r w:rsidR="00E60D9C" w:rsidRPr="00A95667">
              <w:rPr>
                <w:caps/>
                <w:lang w:val="fr-CA"/>
              </w:rPr>
              <w:t>FRANÇAIS</w:t>
            </w:r>
          </w:p>
          <w:p w14:paraId="2050A782" w14:textId="77777777" w:rsidR="00441083" w:rsidRPr="00A95667" w:rsidRDefault="00E60D9C">
            <w:pPr>
              <w:rPr>
                <w:lang w:val="fr-CA"/>
              </w:rPr>
            </w:pPr>
            <w:r w:rsidRPr="00A95667">
              <w:rPr>
                <w:lang w:val="fr-CA"/>
              </w:rPr>
              <w:t xml:space="preserve">ORIGINAL: </w:t>
            </w:r>
            <w:r w:rsidR="0091161A" w:rsidRPr="00A95667">
              <w:rPr>
                <w:lang w:val="fr-CA"/>
              </w:rPr>
              <w:t>ANGLAIS</w:t>
            </w:r>
          </w:p>
        </w:tc>
      </w:tr>
    </w:tbl>
    <w:p w14:paraId="40D1B9FC" w14:textId="77777777" w:rsidR="00441083" w:rsidRPr="00A95667" w:rsidRDefault="00441083">
      <w:pPr>
        <w:jc w:val="left"/>
        <w:rPr>
          <w:lang w:val="fr-CA"/>
        </w:rPr>
      </w:pPr>
    </w:p>
    <w:p w14:paraId="48D8D010" w14:textId="77777777" w:rsidR="00441083" w:rsidRPr="00A95667" w:rsidRDefault="00E60D9C" w:rsidP="00DD3433">
      <w:pPr>
        <w:jc w:val="left"/>
        <w:rPr>
          <w:lang w:val="fr-CA"/>
        </w:rPr>
      </w:pPr>
      <w:r w:rsidRPr="00A95667">
        <w:rPr>
          <w:lang w:val="fr-CA"/>
        </w:rPr>
        <w:t>COMIT</w:t>
      </w:r>
      <w:r w:rsidR="00DD3433" w:rsidRPr="00A95667">
        <w:rPr>
          <w:lang w:val="fr-CA"/>
        </w:rPr>
        <w:t>É</w:t>
      </w:r>
      <w:r w:rsidRPr="00A95667">
        <w:rPr>
          <w:lang w:val="fr-CA"/>
        </w:rPr>
        <w:t xml:space="preserve"> EX</w:t>
      </w:r>
      <w:r w:rsidR="00DD3433" w:rsidRPr="00A95667">
        <w:rPr>
          <w:lang w:val="fr-CA"/>
        </w:rPr>
        <w:t xml:space="preserve">ÉCUTIF </w:t>
      </w:r>
      <w:r w:rsidR="00DD3433" w:rsidRPr="00A95667">
        <w:rPr>
          <w:lang w:val="fr-CA"/>
        </w:rPr>
        <w:br/>
        <w:t xml:space="preserve">  DU FONDS MULTILATÉ</w:t>
      </w:r>
      <w:r w:rsidRPr="00A95667">
        <w:rPr>
          <w:lang w:val="fr-CA"/>
        </w:rPr>
        <w:t xml:space="preserve">RAL AUX FINS </w:t>
      </w:r>
      <w:r w:rsidRPr="00A95667">
        <w:rPr>
          <w:lang w:val="fr-CA"/>
        </w:rPr>
        <w:br/>
        <w:t xml:space="preserve">  D’APPLICATION DU PROTOCOLE DE MONTR</w:t>
      </w:r>
      <w:r w:rsidR="00DD3433" w:rsidRPr="00A95667">
        <w:rPr>
          <w:lang w:val="fr-CA"/>
        </w:rPr>
        <w:t>É</w:t>
      </w:r>
      <w:r w:rsidRPr="00A95667">
        <w:rPr>
          <w:lang w:val="fr-CA"/>
        </w:rPr>
        <w:t>AL</w:t>
      </w:r>
      <w:r w:rsidRPr="00A95667">
        <w:rPr>
          <w:lang w:val="fr-CA"/>
        </w:rPr>
        <w:br/>
      </w:r>
      <w:r w:rsidR="00E54871" w:rsidRPr="00A95667">
        <w:rPr>
          <w:lang w:val="fr-CA"/>
        </w:rPr>
        <w:t>Quatre</w:t>
      </w:r>
      <w:r w:rsidRPr="00A95667">
        <w:rPr>
          <w:lang w:val="fr-CA"/>
        </w:rPr>
        <w:t>-</w:t>
      </w:r>
      <w:r w:rsidR="00E54871" w:rsidRPr="00A95667">
        <w:rPr>
          <w:lang w:val="fr-CA"/>
        </w:rPr>
        <w:t>vingt</w:t>
      </w:r>
      <w:r w:rsidR="009666A1" w:rsidRPr="00A95667">
        <w:rPr>
          <w:lang w:val="fr-CA"/>
        </w:rPr>
        <w:t>-</w:t>
      </w:r>
      <w:r w:rsidR="009568BB" w:rsidRPr="00A95667">
        <w:rPr>
          <w:lang w:val="fr-CA"/>
        </w:rPr>
        <w:t>six</w:t>
      </w:r>
      <w:r w:rsidR="004C2C87" w:rsidRPr="00A95667">
        <w:rPr>
          <w:lang w:val="fr-CA"/>
        </w:rPr>
        <w:t>i</w:t>
      </w:r>
      <w:r w:rsidR="00E54871" w:rsidRPr="00A95667">
        <w:rPr>
          <w:lang w:val="fr-CA"/>
        </w:rPr>
        <w:t>ème</w:t>
      </w:r>
      <w:r w:rsidR="00FC5578" w:rsidRPr="00A95667">
        <w:rPr>
          <w:lang w:val="fr-CA"/>
        </w:rPr>
        <w:t xml:space="preserve"> </w:t>
      </w:r>
      <w:r w:rsidRPr="00A95667">
        <w:rPr>
          <w:lang w:val="fr-CA"/>
        </w:rPr>
        <w:t>réunion</w:t>
      </w:r>
    </w:p>
    <w:p w14:paraId="40B2D5A5" w14:textId="77777777" w:rsidR="00C27322" w:rsidRPr="00A95667" w:rsidRDefault="00C27322" w:rsidP="00C27322">
      <w:pPr>
        <w:jc w:val="left"/>
        <w:rPr>
          <w:lang w:val="fr-CA"/>
        </w:rPr>
      </w:pPr>
      <w:r w:rsidRPr="00A95667">
        <w:rPr>
          <w:lang w:val="fr-CA"/>
        </w:rPr>
        <w:t>Montréal, 2</w:t>
      </w:r>
      <w:r w:rsidR="00812387" w:rsidRPr="00A95667">
        <w:rPr>
          <w:lang w:val="fr-CA"/>
        </w:rPr>
        <w:t xml:space="preserve"> – 6 novembre</w:t>
      </w:r>
      <w:r w:rsidRPr="00A95667">
        <w:rPr>
          <w:lang w:val="fr-CA"/>
        </w:rPr>
        <w:t xml:space="preserve"> 2020</w:t>
      </w:r>
    </w:p>
    <w:p w14:paraId="27BB00FF" w14:textId="7D5C942B" w:rsidR="00441083" w:rsidRPr="00A95667" w:rsidRDefault="00C27322" w:rsidP="00AC013C">
      <w:pPr>
        <w:jc w:val="left"/>
        <w:rPr>
          <w:lang w:val="fr-CA"/>
        </w:rPr>
      </w:pPr>
      <w:r w:rsidRPr="00A95667">
        <w:rPr>
          <w:lang w:val="fr-CA"/>
        </w:rPr>
        <w:t>Reportée:</w:t>
      </w:r>
      <w:r w:rsidR="00FC5578" w:rsidRPr="00A95667">
        <w:rPr>
          <w:lang w:val="fr-CA"/>
        </w:rPr>
        <w:t xml:space="preserve"> </w:t>
      </w:r>
      <w:r w:rsidR="00812387" w:rsidRPr="00A95667">
        <w:rPr>
          <w:lang w:val="fr-CA"/>
        </w:rPr>
        <w:t>8</w:t>
      </w:r>
      <w:r w:rsidR="00AC013C" w:rsidRPr="00A95667">
        <w:rPr>
          <w:lang w:val="fr-CA"/>
        </w:rPr>
        <w:t xml:space="preserve"> </w:t>
      </w:r>
      <w:r w:rsidR="00E60D9C" w:rsidRPr="00A95667">
        <w:rPr>
          <w:lang w:val="fr-CA"/>
        </w:rPr>
        <w:t xml:space="preserve">– </w:t>
      </w:r>
      <w:r w:rsidR="00812387" w:rsidRPr="00A95667">
        <w:rPr>
          <w:lang w:val="fr-CA"/>
        </w:rPr>
        <w:t>1</w:t>
      </w:r>
      <w:r w:rsidR="009666A1" w:rsidRPr="00A95667">
        <w:rPr>
          <w:lang w:val="fr-CA"/>
        </w:rPr>
        <w:t xml:space="preserve">2 </w:t>
      </w:r>
      <w:r w:rsidR="00812387" w:rsidRPr="00A95667">
        <w:rPr>
          <w:lang w:val="fr-CA"/>
        </w:rPr>
        <w:t>mars</w:t>
      </w:r>
      <w:r w:rsidR="009666A1" w:rsidRPr="00A95667">
        <w:rPr>
          <w:lang w:val="fr-CA"/>
        </w:rPr>
        <w:t xml:space="preserve"> 202</w:t>
      </w:r>
      <w:r w:rsidR="00812387" w:rsidRPr="00A95667">
        <w:rPr>
          <w:lang w:val="fr-CA"/>
        </w:rPr>
        <w:t>1</w:t>
      </w:r>
      <w:r w:rsidR="00DB1D38">
        <w:rPr>
          <w:rStyle w:val="FootnoteReference"/>
          <w:lang w:val="fr-CA"/>
        </w:rPr>
        <w:footnoteReference w:id="1"/>
      </w:r>
    </w:p>
    <w:p w14:paraId="19438033" w14:textId="77777777" w:rsidR="000E133D" w:rsidRPr="000E133D" w:rsidRDefault="000E133D" w:rsidP="000E133D">
      <w:pPr>
        <w:jc w:val="left"/>
        <w:rPr>
          <w:lang w:val="fr-CA"/>
        </w:rPr>
      </w:pPr>
    </w:p>
    <w:p w14:paraId="4D99E68A" w14:textId="77777777" w:rsidR="000E133D" w:rsidRPr="000E133D" w:rsidRDefault="000E133D" w:rsidP="000E133D">
      <w:pPr>
        <w:jc w:val="left"/>
        <w:rPr>
          <w:lang w:val="fr-CA"/>
        </w:rPr>
      </w:pPr>
    </w:p>
    <w:p w14:paraId="242E16F3" w14:textId="77777777" w:rsidR="000E133D" w:rsidRPr="000E133D" w:rsidRDefault="000E133D" w:rsidP="000E133D">
      <w:pPr>
        <w:jc w:val="left"/>
        <w:rPr>
          <w:lang w:val="fr-CA"/>
        </w:rPr>
      </w:pPr>
    </w:p>
    <w:p w14:paraId="17332173" w14:textId="19B2487C" w:rsidR="000E133D" w:rsidRDefault="000E133D" w:rsidP="000E133D">
      <w:pPr>
        <w:spacing w:after="240"/>
        <w:jc w:val="center"/>
        <w:rPr>
          <w:b/>
          <w:bCs/>
          <w:caps/>
          <w:lang w:val="fr-CA"/>
        </w:rPr>
      </w:pPr>
      <w:r w:rsidRPr="00A95667">
        <w:rPr>
          <w:b/>
          <w:bCs/>
          <w:caps/>
          <w:lang w:val="fr-CA"/>
        </w:rPr>
        <w:t xml:space="preserve">RAPPORT PÉRIODIQUE DE L’ONUDI AU 31 DÉCEMBRE </w:t>
      </w:r>
      <w:r w:rsidRPr="000E133D">
        <w:rPr>
          <w:b/>
          <w:bCs/>
          <w:caps/>
          <w:lang w:val="fr-CA"/>
        </w:rPr>
        <w:t>2019</w:t>
      </w:r>
    </w:p>
    <w:p w14:paraId="67938F3E" w14:textId="77777777" w:rsidR="00752B73" w:rsidRPr="000E133D" w:rsidRDefault="00752B73" w:rsidP="000E133D">
      <w:pPr>
        <w:spacing w:after="240"/>
        <w:jc w:val="center"/>
        <w:rPr>
          <w:b/>
          <w:bCs/>
          <w:caps/>
          <w:lang w:val="fr-CA"/>
        </w:rPr>
      </w:pPr>
    </w:p>
    <w:p w14:paraId="1F9702F5" w14:textId="5F408E9A" w:rsidR="000E133D" w:rsidRPr="000E133D" w:rsidRDefault="00A95667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 w:rsidRPr="00A95667">
        <w:rPr>
          <w:lang w:val="fr-CA"/>
        </w:rPr>
        <w:t>Le présent</w:t>
      </w:r>
      <w:r w:rsidR="000E133D" w:rsidRPr="000E133D">
        <w:rPr>
          <w:lang w:val="fr-CA"/>
        </w:rPr>
        <w:t xml:space="preserve"> document </w:t>
      </w:r>
      <w:r w:rsidRPr="00A95667">
        <w:rPr>
          <w:lang w:val="fr-CA"/>
        </w:rPr>
        <w:t>est le rapport périodique de l’</w:t>
      </w:r>
      <w:r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 w:rsidR="00D0488E">
        <w:rPr>
          <w:lang w:val="fr-CA"/>
        </w:rPr>
        <w:t>au</w:t>
      </w:r>
      <w:r w:rsidR="000E133D" w:rsidRPr="000E133D">
        <w:rPr>
          <w:lang w:val="fr-CA"/>
        </w:rPr>
        <w:t xml:space="preserve"> 31 </w:t>
      </w:r>
      <w:r w:rsidR="00D0488E">
        <w:rPr>
          <w:lang w:val="fr-CA"/>
        </w:rPr>
        <w:t>décembre</w:t>
      </w:r>
      <w:r w:rsidR="000E133D" w:rsidRPr="000E133D">
        <w:rPr>
          <w:lang w:val="fr-CA"/>
        </w:rPr>
        <w:t xml:space="preserve"> 2019.</w:t>
      </w:r>
      <w:r w:rsidR="000E133D" w:rsidRPr="000E133D">
        <w:rPr>
          <w:sz w:val="24"/>
          <w:szCs w:val="24"/>
          <w:vertAlign w:val="superscript"/>
          <w:lang w:val="fr-CA"/>
        </w:rPr>
        <w:footnoteReference w:id="2"/>
      </w:r>
    </w:p>
    <w:p w14:paraId="7F594419" w14:textId="77777777" w:rsidR="000E133D" w:rsidRPr="000E133D" w:rsidRDefault="000E133D" w:rsidP="000E133D">
      <w:pPr>
        <w:rPr>
          <w:b/>
          <w:lang w:val="fr-CA"/>
        </w:rPr>
      </w:pPr>
      <w:r w:rsidRPr="000E133D">
        <w:rPr>
          <w:b/>
          <w:lang w:val="fr-CA"/>
        </w:rPr>
        <w:t>Introduction</w:t>
      </w:r>
    </w:p>
    <w:p w14:paraId="1E965DC8" w14:textId="77777777" w:rsidR="000E133D" w:rsidRPr="000E133D" w:rsidRDefault="000E133D" w:rsidP="000E133D">
      <w:pPr>
        <w:rPr>
          <w:lang w:val="fr-CA"/>
        </w:rPr>
      </w:pPr>
    </w:p>
    <w:p w14:paraId="09988E50" w14:textId="6BDF0884" w:rsidR="000E133D" w:rsidRPr="000E133D" w:rsidRDefault="00D0488E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>L</w:t>
      </w:r>
      <w:r w:rsidR="000E133D" w:rsidRPr="000E133D">
        <w:rPr>
          <w:lang w:val="fr-CA"/>
        </w:rPr>
        <w:t xml:space="preserve">e </w:t>
      </w:r>
      <w:r>
        <w:rPr>
          <w:lang w:val="fr-CA"/>
        </w:rPr>
        <w:t>rapport périodique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de 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indique l’état de la mise en œuvre des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s, </w:t>
      </w:r>
      <w:r>
        <w:rPr>
          <w:lang w:val="fr-CA"/>
        </w:rPr>
        <w:t xml:space="preserve">notamment les 35 projets liés au </w:t>
      </w:r>
      <w:r w:rsidR="000E133D" w:rsidRPr="000E133D">
        <w:rPr>
          <w:lang w:val="fr-CA"/>
        </w:rPr>
        <w:t>HFC</w:t>
      </w:r>
      <w:r>
        <w:rPr>
          <w:lang w:val="fr-CA"/>
        </w:rPr>
        <w:t xml:space="preserve"> financés au titre des </w:t>
      </w:r>
      <w:r w:rsidR="000E133D" w:rsidRPr="000E133D">
        <w:rPr>
          <w:lang w:val="fr-CA"/>
        </w:rPr>
        <w:t xml:space="preserve">contributions </w:t>
      </w:r>
      <w:r>
        <w:rPr>
          <w:lang w:val="fr-CA"/>
        </w:rPr>
        <w:t xml:space="preserve">volontaires supplémentaires </w:t>
      </w:r>
      <w:r w:rsidR="00FA4D4B">
        <w:rPr>
          <w:lang w:val="fr-CA"/>
        </w:rPr>
        <w:t>de 17 Parties non visées à l’A</w:t>
      </w:r>
      <w:r w:rsidR="000E133D" w:rsidRPr="000E133D">
        <w:rPr>
          <w:lang w:val="fr-CA"/>
        </w:rPr>
        <w:t>rticle 5</w:t>
      </w:r>
      <w:r w:rsidR="00FA4D4B">
        <w:rPr>
          <w:lang w:val="fr-CA"/>
        </w:rPr>
        <w:t>, pour apporter un</w:t>
      </w:r>
      <w:r w:rsidR="000E133D" w:rsidRPr="000E133D">
        <w:rPr>
          <w:lang w:val="fr-CA"/>
        </w:rPr>
        <w:t> </w:t>
      </w:r>
      <w:r w:rsidR="00FA4D4B">
        <w:rPr>
          <w:lang w:val="fr-CA"/>
        </w:rPr>
        <w:t>soutien à mise en œuvre rapide à l’exécution de l’</w:t>
      </w:r>
      <w:r w:rsidR="00A95667">
        <w:rPr>
          <w:lang w:val="fr-CA"/>
        </w:rPr>
        <w:t>Amendement de Kigali</w:t>
      </w:r>
      <w:r w:rsidR="000E133D" w:rsidRPr="000E133D">
        <w:rPr>
          <w:lang w:val="fr-CA"/>
        </w:rPr>
        <w:t>.</w:t>
      </w:r>
    </w:p>
    <w:p w14:paraId="3C983F92" w14:textId="5017929C" w:rsidR="000E133D" w:rsidRPr="000E133D" w:rsidRDefault="00FA4D4B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>L</w:t>
      </w:r>
      <w:r w:rsidR="000E133D" w:rsidRPr="000E133D">
        <w:rPr>
          <w:lang w:val="fr-CA"/>
        </w:rPr>
        <w:t xml:space="preserve">e </w:t>
      </w:r>
      <w:r w:rsidR="00A95667">
        <w:rPr>
          <w:lang w:val="fr-CA"/>
        </w:rPr>
        <w:t>Secrétariat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s’est penché sur l’état de la mise en œuvre de chacun des </w:t>
      </w:r>
      <w:r w:rsidR="00A95667">
        <w:rPr>
          <w:lang w:val="fr-CA"/>
        </w:rPr>
        <w:t>projet</w:t>
      </w:r>
      <w:r>
        <w:rPr>
          <w:lang w:val="fr-CA"/>
        </w:rPr>
        <w:t xml:space="preserve">s en cours, pays par pays, en tenant compte des retards de mise en œuvre subis en </w:t>
      </w:r>
      <w:r w:rsidR="000E133D" w:rsidRPr="000E133D">
        <w:rPr>
          <w:lang w:val="fr-CA"/>
        </w:rPr>
        <w:t xml:space="preserve">2019, </w:t>
      </w:r>
      <w:r>
        <w:rPr>
          <w:lang w:val="fr-CA"/>
        </w:rPr>
        <w:t>sur les incidences potentielles de ces retards sur l’élimination de substances réglementées, ainsi que sur les taux de décaissement prévus</w:t>
      </w:r>
      <w:r w:rsidR="000E133D" w:rsidRPr="000E133D">
        <w:rPr>
          <w:lang w:val="fr-CA"/>
        </w:rPr>
        <w:t xml:space="preserve">. </w:t>
      </w:r>
      <w:r>
        <w:rPr>
          <w:lang w:val="fr-CA"/>
        </w:rPr>
        <w:t xml:space="preserve">L’analyse figurant dans le présent </w:t>
      </w:r>
      <w:r w:rsidR="000E133D" w:rsidRPr="000E133D">
        <w:rPr>
          <w:lang w:val="fr-CA"/>
        </w:rPr>
        <w:t xml:space="preserve">document </w:t>
      </w:r>
      <w:r>
        <w:rPr>
          <w:lang w:val="fr-CA"/>
        </w:rPr>
        <w:t xml:space="preserve">est fondée sur les quantités de </w:t>
      </w:r>
      <w:r w:rsidR="000E133D" w:rsidRPr="000E133D">
        <w:rPr>
          <w:lang w:val="fr-CA"/>
        </w:rPr>
        <w:t>tonnes</w:t>
      </w:r>
      <w:r>
        <w:rPr>
          <w:lang w:val="fr-CA"/>
        </w:rPr>
        <w:t xml:space="preserve"> PAO pour toutes les substances réglementées</w:t>
      </w:r>
      <w:r w:rsidR="000E133D" w:rsidRPr="000E133D">
        <w:rPr>
          <w:lang w:val="fr-CA"/>
        </w:rPr>
        <w:t xml:space="preserve"> (inclu</w:t>
      </w:r>
      <w:r>
        <w:rPr>
          <w:lang w:val="fr-CA"/>
        </w:rPr>
        <w:t xml:space="preserve">ant les </w:t>
      </w:r>
      <w:r w:rsidR="000E133D" w:rsidRPr="000E133D">
        <w:rPr>
          <w:lang w:val="fr-CA"/>
        </w:rPr>
        <w:t xml:space="preserve">HFC </w:t>
      </w:r>
      <w:r>
        <w:rPr>
          <w:lang w:val="fr-CA"/>
        </w:rPr>
        <w:t>qu’il conviendrait de mesurer en tonnes métriques de</w:t>
      </w:r>
      <w:r w:rsidR="000E133D" w:rsidRPr="000E133D">
        <w:rPr>
          <w:lang w:val="fr-CA"/>
        </w:rPr>
        <w:t> CO</w:t>
      </w:r>
      <w:r w:rsidR="000E133D" w:rsidRPr="000E133D">
        <w:rPr>
          <w:sz w:val="14"/>
          <w:szCs w:val="14"/>
          <w:lang w:val="fr-CA"/>
        </w:rPr>
        <w:t>2</w:t>
      </w:r>
      <w:r w:rsidR="000E133D" w:rsidRPr="000E133D">
        <w:rPr>
          <w:lang w:val="fr-CA"/>
        </w:rPr>
        <w:t>-eq).</w:t>
      </w:r>
      <w:r w:rsidR="000E133D" w:rsidRPr="000E133D">
        <w:rPr>
          <w:sz w:val="24"/>
          <w:szCs w:val="24"/>
          <w:vertAlign w:val="superscript"/>
          <w:lang w:val="fr-CA"/>
        </w:rPr>
        <w:footnoteReference w:id="3"/>
      </w:r>
    </w:p>
    <w:p w14:paraId="59B4023C" w14:textId="77777777" w:rsidR="003F3D48" w:rsidRDefault="003F3D48">
      <w:pPr>
        <w:jc w:val="left"/>
        <w:rPr>
          <w:u w:val="single"/>
          <w:lang w:val="fr-CA"/>
        </w:rPr>
      </w:pPr>
      <w:r>
        <w:rPr>
          <w:u w:val="single"/>
          <w:lang w:val="fr-CA"/>
        </w:rPr>
        <w:br w:type="page"/>
      </w:r>
    </w:p>
    <w:p w14:paraId="37CB99D5" w14:textId="24F803BC" w:rsidR="000E133D" w:rsidRPr="000E133D" w:rsidRDefault="00FA4D4B" w:rsidP="000E133D">
      <w:pPr>
        <w:keepNext/>
        <w:rPr>
          <w:u w:val="single"/>
          <w:lang w:val="fr-CA"/>
        </w:rPr>
      </w:pPr>
      <w:r>
        <w:rPr>
          <w:u w:val="single"/>
          <w:lang w:val="fr-CA"/>
        </w:rPr>
        <w:lastRenderedPageBreak/>
        <w:t xml:space="preserve">Portée du </w:t>
      </w:r>
      <w:r w:rsidR="000E133D" w:rsidRPr="000E133D">
        <w:rPr>
          <w:u w:val="single"/>
          <w:lang w:val="fr-CA"/>
        </w:rPr>
        <w:t>document</w:t>
      </w:r>
    </w:p>
    <w:p w14:paraId="18D95965" w14:textId="77777777" w:rsidR="000E133D" w:rsidRPr="000E133D" w:rsidRDefault="000E133D" w:rsidP="000E133D">
      <w:pPr>
        <w:keepNext/>
        <w:rPr>
          <w:lang w:val="fr-CA"/>
        </w:rPr>
      </w:pPr>
    </w:p>
    <w:p w14:paraId="65474970" w14:textId="08239D5F" w:rsidR="000E133D" w:rsidRPr="000E133D" w:rsidRDefault="00FA4D4B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Le présent </w:t>
      </w:r>
      <w:r w:rsidR="000E133D" w:rsidRPr="000E133D">
        <w:rPr>
          <w:lang w:val="fr-CA"/>
        </w:rPr>
        <w:t xml:space="preserve">document </w:t>
      </w:r>
      <w:r>
        <w:rPr>
          <w:lang w:val="fr-CA"/>
        </w:rPr>
        <w:t>se compose des parties ci-après</w:t>
      </w:r>
      <w:r w:rsidR="000E133D" w:rsidRPr="000E133D">
        <w:rPr>
          <w:lang w:val="fr-CA"/>
        </w:rPr>
        <w:t>:</w:t>
      </w:r>
    </w:p>
    <w:p w14:paraId="7AD92E0B" w14:textId="08E24DC9" w:rsidR="000E133D" w:rsidRPr="000E133D" w:rsidRDefault="00A95667" w:rsidP="000E133D">
      <w:pPr>
        <w:keepNext/>
        <w:adjustRightInd w:val="0"/>
        <w:spacing w:after="240"/>
        <w:ind w:left="2160" w:hanging="1440"/>
        <w:textAlignment w:val="baseline"/>
        <w:outlineLvl w:val="1"/>
        <w:rPr>
          <w:szCs w:val="28"/>
          <w:lang w:val="fr-CA"/>
        </w:rPr>
      </w:pPr>
      <w:r>
        <w:rPr>
          <w:szCs w:val="28"/>
          <w:lang w:val="fr-CA"/>
        </w:rPr>
        <w:t xml:space="preserve">Partie </w:t>
      </w:r>
      <w:r w:rsidR="000E133D" w:rsidRPr="000E133D">
        <w:rPr>
          <w:szCs w:val="28"/>
          <w:lang w:val="fr-CA"/>
        </w:rPr>
        <w:t>I:</w:t>
      </w:r>
      <w:r w:rsidR="000E133D" w:rsidRPr="000E133D">
        <w:rPr>
          <w:szCs w:val="28"/>
          <w:lang w:val="fr-CA"/>
        </w:rPr>
        <w:tab/>
      </w:r>
      <w:r w:rsidR="005E3C44" w:rsidRPr="005E3C44">
        <w:rPr>
          <w:szCs w:val="28"/>
          <w:lang w:val="fr-CA"/>
        </w:rPr>
        <w:t>Projets approuvés dans le cadre des contributions régulières au Fonds multilatéral. Elle présente un résumé de l’avancement de la mise en œuvre des projets en 201</w:t>
      </w:r>
      <w:r w:rsidR="005E3C44">
        <w:rPr>
          <w:szCs w:val="28"/>
          <w:lang w:val="fr-CA"/>
        </w:rPr>
        <w:t>9</w:t>
      </w:r>
      <w:r w:rsidR="005E3C44" w:rsidRPr="005E3C44">
        <w:rPr>
          <w:szCs w:val="28"/>
          <w:lang w:val="fr-CA"/>
        </w:rPr>
        <w:t>, et le cumulatif depuis 1991 visant toutes les substances réglementées en vertu du Protocole de Montréal, y compris les substances de l’annexe F (HFC); elle contient un examen de l’état de la mise en œuvre de chacun des projets en cours</w:t>
      </w:r>
      <w:r w:rsidR="005E3C44" w:rsidRPr="000E133D">
        <w:rPr>
          <w:sz w:val="24"/>
          <w:szCs w:val="24"/>
          <w:vertAlign w:val="superscript"/>
          <w:lang w:val="fr-CA"/>
        </w:rPr>
        <w:footnoteReference w:id="4"/>
      </w:r>
      <w:r w:rsidR="005E3C44" w:rsidRPr="000E133D">
        <w:rPr>
          <w:lang w:val="fr-CA"/>
        </w:rPr>
        <w:t xml:space="preserve"> </w:t>
      </w:r>
      <w:r w:rsidR="005E3C44" w:rsidRPr="005E3C44">
        <w:rPr>
          <w:szCs w:val="28"/>
          <w:lang w:val="fr-CA"/>
        </w:rPr>
        <w:t xml:space="preserve">au niveau du pays; elle identifie les projets avec des retards dans la </w:t>
      </w:r>
      <w:r w:rsidR="005E3C44">
        <w:rPr>
          <w:szCs w:val="28"/>
          <w:lang w:val="fr-CA"/>
        </w:rPr>
        <w:t xml:space="preserve">mise </w:t>
      </w:r>
      <w:r w:rsidR="005E3C44" w:rsidRPr="005E3C44">
        <w:rPr>
          <w:szCs w:val="28"/>
          <w:lang w:val="fr-CA"/>
        </w:rPr>
        <w:t>en œuvre et l’incidence potentielle sur l’élimination des substances réglementées, et les projets comprenant des questions en suspens aux fins d’examen par le Comité exécutif</w:t>
      </w:r>
      <w:r w:rsidR="00631EA2">
        <w:rPr>
          <w:szCs w:val="28"/>
          <w:lang w:val="fr-CA"/>
        </w:rPr>
        <w:t xml:space="preserve"> </w:t>
      </w:r>
      <w:r w:rsidR="000E133D" w:rsidRPr="000E133D">
        <w:rPr>
          <w:lang w:val="fr-CA"/>
        </w:rPr>
        <w:t>.</w:t>
      </w:r>
    </w:p>
    <w:p w14:paraId="78C84C76" w14:textId="73B6860E" w:rsidR="000E133D" w:rsidRPr="000E133D" w:rsidRDefault="00A95667" w:rsidP="000E133D">
      <w:pPr>
        <w:adjustRightInd w:val="0"/>
        <w:spacing w:after="240"/>
        <w:ind w:left="2160" w:hanging="1440"/>
        <w:textAlignment w:val="baseline"/>
        <w:outlineLvl w:val="1"/>
        <w:rPr>
          <w:szCs w:val="28"/>
          <w:lang w:val="fr-CA"/>
        </w:rPr>
      </w:pPr>
      <w:r>
        <w:rPr>
          <w:szCs w:val="28"/>
          <w:lang w:val="fr-CA"/>
        </w:rPr>
        <w:t xml:space="preserve">Partie </w:t>
      </w:r>
      <w:r w:rsidR="000E133D" w:rsidRPr="000E133D">
        <w:rPr>
          <w:szCs w:val="28"/>
          <w:lang w:val="fr-CA"/>
        </w:rPr>
        <w:t>II:</w:t>
      </w:r>
      <w:r w:rsidR="000E133D" w:rsidRPr="000E133D">
        <w:rPr>
          <w:szCs w:val="28"/>
          <w:lang w:val="fr-CA"/>
        </w:rPr>
        <w:tab/>
      </w:r>
      <w:r w:rsidR="005E3C44" w:rsidRPr="005E3C44">
        <w:rPr>
          <w:szCs w:val="28"/>
          <w:lang w:val="fr-CA"/>
        </w:rPr>
        <w:t xml:space="preserve">Projets approuvés dans le cadre des contributions volontaires supplémentaires pour </w:t>
      </w:r>
      <w:r w:rsidR="005E3C44">
        <w:rPr>
          <w:szCs w:val="28"/>
          <w:lang w:val="fr-CA"/>
        </w:rPr>
        <w:t>apporter un</w:t>
      </w:r>
      <w:r w:rsidR="005E3C44" w:rsidRPr="005E3C44">
        <w:rPr>
          <w:szCs w:val="28"/>
          <w:lang w:val="fr-CA"/>
        </w:rPr>
        <w:t xml:space="preserve"> soutien </w:t>
      </w:r>
      <w:r w:rsidR="005E3C44">
        <w:rPr>
          <w:szCs w:val="28"/>
          <w:lang w:val="fr-CA"/>
        </w:rPr>
        <w:t xml:space="preserve">à mise en œuvre </w:t>
      </w:r>
      <w:r w:rsidR="005E3C44" w:rsidRPr="005E3C44">
        <w:rPr>
          <w:szCs w:val="28"/>
          <w:lang w:val="fr-CA"/>
        </w:rPr>
        <w:t xml:space="preserve">rapide </w:t>
      </w:r>
      <w:r w:rsidR="005E3C44">
        <w:rPr>
          <w:szCs w:val="28"/>
          <w:lang w:val="fr-CA"/>
        </w:rPr>
        <w:t>à</w:t>
      </w:r>
      <w:r w:rsidR="005E3C44" w:rsidRPr="005E3C44">
        <w:rPr>
          <w:szCs w:val="28"/>
          <w:lang w:val="fr-CA"/>
        </w:rPr>
        <w:t xml:space="preserve"> la réduction progressive des HFC. Il </w:t>
      </w:r>
      <w:r w:rsidR="005E3C44">
        <w:rPr>
          <w:szCs w:val="28"/>
          <w:lang w:val="fr-CA"/>
        </w:rPr>
        <w:t xml:space="preserve">résume l’état de </w:t>
      </w:r>
      <w:r w:rsidR="005E3C44" w:rsidRPr="005E3C44">
        <w:rPr>
          <w:szCs w:val="28"/>
          <w:lang w:val="fr-CA"/>
        </w:rPr>
        <w:t xml:space="preserve">la mise en œuvre des projets </w:t>
      </w:r>
      <w:r w:rsidR="005E3C44">
        <w:rPr>
          <w:szCs w:val="28"/>
          <w:lang w:val="fr-CA"/>
        </w:rPr>
        <w:t xml:space="preserve">d’élimination </w:t>
      </w:r>
      <w:r w:rsidR="005E3C44" w:rsidRPr="005E3C44">
        <w:rPr>
          <w:szCs w:val="28"/>
          <w:lang w:val="fr-CA"/>
        </w:rPr>
        <w:t xml:space="preserve">des HFC financés par </w:t>
      </w:r>
      <w:r w:rsidR="008202EA">
        <w:rPr>
          <w:szCs w:val="28"/>
          <w:lang w:val="fr-CA"/>
        </w:rPr>
        <w:t>d</w:t>
      </w:r>
      <w:r w:rsidR="005E3C44" w:rsidRPr="005E3C44">
        <w:rPr>
          <w:szCs w:val="28"/>
          <w:lang w:val="fr-CA"/>
        </w:rPr>
        <w:t>es contributions volontaires</w:t>
      </w:r>
      <w:r w:rsidR="000E133D" w:rsidRPr="000E133D">
        <w:rPr>
          <w:szCs w:val="28"/>
          <w:lang w:val="fr-CA"/>
        </w:rPr>
        <w:t>.</w:t>
      </w:r>
      <w:r w:rsidR="000E133D" w:rsidRPr="000E133D">
        <w:rPr>
          <w:sz w:val="24"/>
          <w:szCs w:val="24"/>
          <w:vertAlign w:val="superscript"/>
          <w:lang w:val="fr-CA"/>
        </w:rPr>
        <w:footnoteReference w:id="5"/>
      </w:r>
    </w:p>
    <w:p w14:paraId="372A3D6F" w14:textId="34452536" w:rsidR="000E133D" w:rsidRPr="000E133D" w:rsidRDefault="00D0488E" w:rsidP="000E133D">
      <w:pPr>
        <w:adjustRightInd w:val="0"/>
        <w:spacing w:after="240"/>
        <w:ind w:left="2160" w:hanging="1440"/>
        <w:textAlignment w:val="baseline"/>
        <w:outlineLvl w:val="1"/>
        <w:rPr>
          <w:lang w:val="fr-CA"/>
        </w:rPr>
      </w:pPr>
      <w:r>
        <w:rPr>
          <w:lang w:val="fr-CA"/>
        </w:rPr>
        <w:t>Recommandation</w:t>
      </w:r>
      <w:r w:rsidR="000E133D" w:rsidRPr="000E133D">
        <w:rPr>
          <w:lang w:val="fr-CA"/>
        </w:rPr>
        <w:t>.</w:t>
      </w:r>
    </w:p>
    <w:p w14:paraId="6A839AD2" w14:textId="3ED059F8" w:rsidR="000E133D" w:rsidRPr="008202EA" w:rsidRDefault="008202EA" w:rsidP="008202EA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>L</w:t>
      </w:r>
      <w:r w:rsidR="000E133D" w:rsidRPr="000E133D">
        <w:rPr>
          <w:lang w:val="fr-CA"/>
        </w:rPr>
        <w:t xml:space="preserve">e document </w:t>
      </w:r>
      <w:r>
        <w:rPr>
          <w:lang w:val="fr-CA"/>
        </w:rPr>
        <w:t xml:space="preserve">contient en outre les </w:t>
      </w:r>
      <w:r w:rsidR="000E133D" w:rsidRPr="000E133D">
        <w:rPr>
          <w:lang w:val="fr-CA"/>
        </w:rPr>
        <w:t>annexes</w:t>
      </w:r>
      <w:r>
        <w:rPr>
          <w:lang w:val="fr-CA"/>
        </w:rPr>
        <w:t xml:space="preserve"> ci-après </w:t>
      </w:r>
      <w:r w:rsidR="000E133D" w:rsidRPr="008202EA">
        <w:rPr>
          <w:lang w:val="fr-CA"/>
        </w:rPr>
        <w:t>:</w:t>
      </w:r>
    </w:p>
    <w:p w14:paraId="55D75FC7" w14:textId="7FD31AF6" w:rsidR="000E133D" w:rsidRPr="000E133D" w:rsidRDefault="000E133D" w:rsidP="000E133D">
      <w:pPr>
        <w:widowControl w:val="0"/>
        <w:ind w:left="2131" w:hanging="1411"/>
        <w:rPr>
          <w:lang w:val="fr-CA"/>
        </w:rPr>
      </w:pPr>
      <w:r w:rsidRPr="000E133D">
        <w:rPr>
          <w:lang w:val="fr-CA"/>
        </w:rPr>
        <w:t>Annex</w:t>
      </w:r>
      <w:r w:rsidR="008202EA">
        <w:rPr>
          <w:lang w:val="fr-CA"/>
        </w:rPr>
        <w:t>e</w:t>
      </w:r>
      <w:r w:rsidRPr="000E133D">
        <w:rPr>
          <w:lang w:val="fr-CA"/>
        </w:rPr>
        <w:t xml:space="preserve"> I: </w:t>
      </w:r>
      <w:r w:rsidRPr="000E133D">
        <w:rPr>
          <w:lang w:val="fr-CA"/>
        </w:rPr>
        <w:tab/>
      </w:r>
      <w:r w:rsidR="008202EA" w:rsidRPr="008202EA">
        <w:rPr>
          <w:lang w:val="fr-CA"/>
        </w:rPr>
        <w:t>Un récapitulatif et une recommandation pour chaque projet en cours comportant des questions en suspens aux fins d’examen par le Comité exécutif</w:t>
      </w:r>
      <w:r w:rsidRPr="000E133D">
        <w:rPr>
          <w:lang w:val="fr-CA"/>
        </w:rPr>
        <w:t>.</w:t>
      </w:r>
    </w:p>
    <w:p w14:paraId="428227F0" w14:textId="77777777" w:rsidR="000E133D" w:rsidRPr="000E133D" w:rsidRDefault="000E133D" w:rsidP="000E133D">
      <w:pPr>
        <w:ind w:left="2127" w:hanging="1407"/>
        <w:rPr>
          <w:lang w:val="fr-CA"/>
        </w:rPr>
      </w:pPr>
    </w:p>
    <w:p w14:paraId="16430971" w14:textId="018F721B" w:rsidR="000E133D" w:rsidRPr="000E133D" w:rsidRDefault="000E133D" w:rsidP="000E133D">
      <w:pPr>
        <w:ind w:left="2127" w:hanging="1407"/>
        <w:rPr>
          <w:lang w:val="fr-CA"/>
        </w:rPr>
      </w:pPr>
      <w:r w:rsidRPr="000E133D">
        <w:rPr>
          <w:lang w:val="fr-CA"/>
        </w:rPr>
        <w:t>Annex</w:t>
      </w:r>
      <w:r w:rsidR="008202EA">
        <w:rPr>
          <w:lang w:val="fr-CA"/>
        </w:rPr>
        <w:t>e</w:t>
      </w:r>
      <w:r w:rsidRPr="000E133D">
        <w:rPr>
          <w:lang w:val="fr-CA"/>
        </w:rPr>
        <w:t xml:space="preserve"> II: </w:t>
      </w:r>
      <w:r w:rsidRPr="000E133D">
        <w:rPr>
          <w:lang w:val="fr-CA"/>
        </w:rPr>
        <w:tab/>
      </w:r>
      <w:r w:rsidR="008202EA">
        <w:rPr>
          <w:lang w:val="fr-CA"/>
        </w:rPr>
        <w:t xml:space="preserve">Une analyse du </w:t>
      </w:r>
      <w:r w:rsidR="00D0488E">
        <w:rPr>
          <w:lang w:val="fr-CA"/>
        </w:rPr>
        <w:t>rapport périodique</w:t>
      </w:r>
      <w:r w:rsidRPr="000E133D">
        <w:rPr>
          <w:lang w:val="fr-CA"/>
        </w:rPr>
        <w:t>.</w:t>
      </w:r>
    </w:p>
    <w:p w14:paraId="24CDF311" w14:textId="77777777" w:rsidR="000E133D" w:rsidRPr="000E133D" w:rsidRDefault="000E133D" w:rsidP="000E133D">
      <w:pPr>
        <w:ind w:left="2127" w:hanging="1407"/>
        <w:rPr>
          <w:lang w:val="fr-CA"/>
        </w:rPr>
      </w:pPr>
    </w:p>
    <w:p w14:paraId="29665F19" w14:textId="77777777" w:rsidR="003F3D48" w:rsidRDefault="003F3D48" w:rsidP="000E133D">
      <w:pPr>
        <w:ind w:left="1418" w:hanging="1418"/>
        <w:outlineLvl w:val="0"/>
        <w:rPr>
          <w:rFonts w:ascii="Times New Roman Bold" w:hAnsi="Times New Roman Bold"/>
          <w:b/>
          <w:caps/>
          <w:szCs w:val="28"/>
          <w:lang w:val="fr-CA"/>
        </w:rPr>
      </w:pPr>
    </w:p>
    <w:p w14:paraId="0BF2A3CD" w14:textId="1577A0F4" w:rsidR="000E133D" w:rsidRPr="000E133D" w:rsidRDefault="00A95667" w:rsidP="000E133D">
      <w:pPr>
        <w:ind w:left="1418" w:hanging="1418"/>
        <w:outlineLvl w:val="0"/>
        <w:rPr>
          <w:rFonts w:ascii="Times New Roman Bold" w:hAnsi="Times New Roman Bold"/>
          <w:b/>
          <w:caps/>
          <w:szCs w:val="28"/>
          <w:lang w:val="fr-CA"/>
        </w:rPr>
      </w:pPr>
      <w:r>
        <w:rPr>
          <w:rFonts w:ascii="Times New Roman Bold" w:hAnsi="Times New Roman Bold"/>
          <w:b/>
          <w:caps/>
          <w:szCs w:val="28"/>
          <w:lang w:val="fr-CA"/>
        </w:rPr>
        <w:t xml:space="preserve">Partie </w:t>
      </w:r>
      <w:proofErr w:type="gramStart"/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>I:</w:t>
      </w:r>
      <w:proofErr w:type="gramEnd"/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 xml:space="preserve"> 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ab/>
      </w:r>
      <w:r>
        <w:rPr>
          <w:rFonts w:ascii="Times New Roman Bold" w:hAnsi="Times New Roman Bold"/>
          <w:b/>
          <w:caps/>
          <w:szCs w:val="28"/>
          <w:lang w:val="fr-CA"/>
        </w:rPr>
        <w:t>Projet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>s appro</w:t>
      </w:r>
      <w:r w:rsidR="008202EA">
        <w:rPr>
          <w:rFonts w:ascii="Times New Roman Bold" w:hAnsi="Times New Roman Bold"/>
          <w:b/>
          <w:caps/>
          <w:szCs w:val="28"/>
          <w:lang w:val="fr-CA"/>
        </w:rPr>
        <w:t xml:space="preserve">UVÉS AU TITRE DES 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 xml:space="preserve">contributions </w:t>
      </w:r>
      <w:r w:rsidR="008202EA">
        <w:rPr>
          <w:rFonts w:ascii="Times New Roman Bold" w:hAnsi="Times New Roman Bold"/>
          <w:b/>
          <w:caps/>
          <w:szCs w:val="28"/>
          <w:lang w:val="fr-CA"/>
        </w:rPr>
        <w:t xml:space="preserve">RÉGULIÈRES AU </w:t>
      </w:r>
      <w:r>
        <w:rPr>
          <w:rFonts w:ascii="Times New Roman Bold" w:hAnsi="Times New Roman Bold"/>
          <w:b/>
          <w:caps/>
          <w:szCs w:val="28"/>
          <w:lang w:val="fr-CA"/>
        </w:rPr>
        <w:t>Fonds multilatéral</w:t>
      </w:r>
    </w:p>
    <w:p w14:paraId="7682B407" w14:textId="77777777" w:rsidR="000E133D" w:rsidRPr="000E133D" w:rsidRDefault="000E133D" w:rsidP="000E133D">
      <w:pPr>
        <w:rPr>
          <w:b/>
          <w:lang w:val="fr-CA"/>
        </w:rPr>
      </w:pPr>
    </w:p>
    <w:p w14:paraId="5DB733E3" w14:textId="2C74B0F6" w:rsidR="000E133D" w:rsidRDefault="008202EA" w:rsidP="000E133D">
      <w:pPr>
        <w:rPr>
          <w:b/>
          <w:lang w:val="fr-CA"/>
        </w:rPr>
      </w:pPr>
      <w:r w:rsidRPr="008202EA">
        <w:rPr>
          <w:b/>
          <w:lang w:val="fr-CA"/>
        </w:rPr>
        <w:t>Résumé de l’avancement de la mise en œuvre des projets en 201</w:t>
      </w:r>
      <w:r>
        <w:rPr>
          <w:b/>
          <w:lang w:val="fr-CA"/>
        </w:rPr>
        <w:t>9</w:t>
      </w:r>
      <w:r w:rsidRPr="008202EA">
        <w:rPr>
          <w:b/>
          <w:lang w:val="fr-CA"/>
        </w:rPr>
        <w:t xml:space="preserve"> et cumulatif</w:t>
      </w:r>
    </w:p>
    <w:p w14:paraId="123FD84E" w14:textId="77777777" w:rsidR="008202EA" w:rsidRPr="000E133D" w:rsidRDefault="008202EA" w:rsidP="000E133D">
      <w:pPr>
        <w:rPr>
          <w:lang w:val="fr-CA"/>
        </w:rPr>
      </w:pPr>
    </w:p>
    <w:p w14:paraId="584E7051" w14:textId="2FC5CBE8" w:rsidR="000E133D" w:rsidRPr="000E133D" w:rsidRDefault="008202EA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 w:rsidRPr="008202EA">
        <w:rPr>
          <w:lang w:val="fr-CA"/>
        </w:rPr>
        <w:t>La mise en œuvre de projets et d’activités par l’ONUDI en 201</w:t>
      </w:r>
      <w:r>
        <w:rPr>
          <w:lang w:val="fr-CA"/>
        </w:rPr>
        <w:t>9</w:t>
      </w:r>
      <w:r w:rsidRPr="008202EA">
        <w:rPr>
          <w:lang w:val="fr-CA"/>
        </w:rPr>
        <w:t xml:space="preserve"> et cumulativement depuis </w:t>
      </w:r>
      <w:r w:rsidRPr="000E133D">
        <w:rPr>
          <w:lang w:val="fr-CA"/>
        </w:rPr>
        <w:t>1993</w:t>
      </w:r>
      <w:r w:rsidRPr="000E133D">
        <w:rPr>
          <w:sz w:val="24"/>
          <w:szCs w:val="24"/>
          <w:vertAlign w:val="superscript"/>
          <w:lang w:val="fr-CA"/>
        </w:rPr>
        <w:footnoteReference w:id="6"/>
      </w:r>
      <w:r w:rsidR="00631EA2">
        <w:rPr>
          <w:lang w:val="fr-CA"/>
        </w:rPr>
        <w:t xml:space="preserve"> </w:t>
      </w:r>
      <w:r w:rsidRPr="008202EA">
        <w:rPr>
          <w:lang w:val="fr-CA"/>
        </w:rPr>
        <w:t>jusqu’au 31 décembre 201</w:t>
      </w:r>
      <w:r>
        <w:rPr>
          <w:lang w:val="fr-CA"/>
        </w:rPr>
        <w:t>9</w:t>
      </w:r>
      <w:r w:rsidRPr="008202EA">
        <w:rPr>
          <w:lang w:val="fr-CA"/>
        </w:rPr>
        <w:t xml:space="preserve"> se résume comme suit</w:t>
      </w:r>
      <w:r w:rsidR="000E133D" w:rsidRPr="000E133D">
        <w:rPr>
          <w:lang w:val="fr-CA"/>
        </w:rPr>
        <w:t>:</w:t>
      </w:r>
    </w:p>
    <w:p w14:paraId="5437BFFF" w14:textId="0F9E457A" w:rsidR="000E133D" w:rsidRPr="000E133D" w:rsidRDefault="008202EA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b/>
          <w:bCs/>
          <w:lang w:val="fr-CA"/>
        </w:rPr>
        <w:t>Élimination</w:t>
      </w:r>
      <w:r w:rsidR="000E133D" w:rsidRPr="000E133D">
        <w:rPr>
          <w:b/>
          <w:bCs/>
          <w:lang w:val="fr-CA"/>
        </w:rPr>
        <w:t>:</w:t>
      </w:r>
      <w:r w:rsidR="000E133D" w:rsidRPr="000E133D">
        <w:rPr>
          <w:bCs/>
          <w:sz w:val="24"/>
          <w:szCs w:val="24"/>
          <w:vertAlign w:val="superscript"/>
          <w:lang w:val="fr-CA"/>
        </w:rPr>
        <w:footnoteReference w:id="7"/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E</w:t>
      </w:r>
      <w:r w:rsidR="000E133D" w:rsidRPr="000E133D">
        <w:rPr>
          <w:lang w:val="fr-CA"/>
        </w:rPr>
        <w:t>n 2019, 219 tonnes</w:t>
      </w:r>
      <w:r w:rsidR="00591378">
        <w:rPr>
          <w:lang w:val="fr-CA"/>
        </w:rPr>
        <w:t xml:space="preserve"> PAO de consommation de </w:t>
      </w:r>
      <w:r w:rsidR="00FA4D4B">
        <w:rPr>
          <w:lang w:val="fr-CA"/>
        </w:rPr>
        <w:t>substances réglementées</w:t>
      </w:r>
      <w:r w:rsidR="00591378">
        <w:rPr>
          <w:lang w:val="fr-CA"/>
        </w:rPr>
        <w:t xml:space="preserve"> ont été éliminées et l’élimination d’une quantité supplémentaire de </w:t>
      </w:r>
      <w:r w:rsidR="000E133D" w:rsidRPr="000E133D">
        <w:rPr>
          <w:lang w:val="fr-CA"/>
        </w:rPr>
        <w:t>148</w:t>
      </w:r>
      <w:r w:rsidR="00591378">
        <w:rPr>
          <w:lang w:val="fr-CA"/>
        </w:rPr>
        <w:t>,</w:t>
      </w:r>
      <w:r w:rsidR="000E133D" w:rsidRPr="000E133D">
        <w:rPr>
          <w:lang w:val="fr-CA"/>
        </w:rPr>
        <w:t xml:space="preserve">7 </w:t>
      </w:r>
      <w:r w:rsidR="00591378">
        <w:rPr>
          <w:lang w:val="fr-CA"/>
        </w:rPr>
        <w:t>tonnes PAO</w:t>
      </w:r>
      <w:r w:rsidR="000E133D" w:rsidRPr="000E133D">
        <w:rPr>
          <w:lang w:val="fr-CA"/>
        </w:rPr>
        <w:t xml:space="preserve"> </w:t>
      </w:r>
      <w:r w:rsidR="00591378">
        <w:rPr>
          <w:lang w:val="fr-CA"/>
        </w:rPr>
        <w:t>de consommation</w:t>
      </w:r>
      <w:r w:rsidR="000E133D" w:rsidRPr="000E133D">
        <w:rPr>
          <w:lang w:val="fr-CA"/>
        </w:rPr>
        <w:t xml:space="preserve"> </w:t>
      </w:r>
      <w:r w:rsidR="00591378">
        <w:rPr>
          <w:lang w:val="fr-CA"/>
        </w:rPr>
        <w:t>de</w:t>
      </w:r>
      <w:r w:rsidR="000E133D" w:rsidRPr="000E133D">
        <w:rPr>
          <w:lang w:val="fr-CA"/>
        </w:rPr>
        <w:t xml:space="preserve"> </w:t>
      </w:r>
      <w:r w:rsidR="00FA4D4B">
        <w:rPr>
          <w:lang w:val="fr-CA"/>
        </w:rPr>
        <w:t>substances réglementées</w:t>
      </w:r>
      <w:r w:rsidR="000E133D" w:rsidRPr="000E133D">
        <w:rPr>
          <w:lang w:val="fr-CA"/>
        </w:rPr>
        <w:t xml:space="preserve"> </w:t>
      </w:r>
      <w:r w:rsidR="00591378">
        <w:rPr>
          <w:lang w:val="fr-CA"/>
        </w:rPr>
        <w:t>a été approuvée</w:t>
      </w:r>
      <w:r w:rsidR="000E133D" w:rsidRPr="000E133D">
        <w:rPr>
          <w:lang w:val="fr-CA"/>
        </w:rPr>
        <w:t xml:space="preserve">. </w:t>
      </w:r>
      <w:r w:rsidR="00591378">
        <w:rPr>
          <w:lang w:val="fr-CA"/>
        </w:rPr>
        <w:t>Depuis</w:t>
      </w:r>
      <w:r w:rsidR="000E133D" w:rsidRPr="000E133D">
        <w:rPr>
          <w:lang w:val="fr-CA"/>
        </w:rPr>
        <w:t xml:space="preserve"> 1993, 63</w:t>
      </w:r>
      <w:r w:rsidR="00591378">
        <w:rPr>
          <w:lang w:val="fr-CA"/>
        </w:rPr>
        <w:t> </w:t>
      </w:r>
      <w:r w:rsidR="000E133D" w:rsidRPr="000E133D">
        <w:rPr>
          <w:lang w:val="fr-CA"/>
        </w:rPr>
        <w:t>048</w:t>
      </w:r>
      <w:r w:rsidR="00591378">
        <w:rPr>
          <w:lang w:val="fr-CA"/>
        </w:rPr>
        <w:t> tonnes PAO</w:t>
      </w:r>
      <w:r w:rsidR="000E133D" w:rsidRPr="000E133D">
        <w:rPr>
          <w:lang w:val="fr-CA"/>
        </w:rPr>
        <w:t xml:space="preserve"> </w:t>
      </w:r>
      <w:r w:rsidR="00591378">
        <w:rPr>
          <w:lang w:val="fr-CA"/>
        </w:rPr>
        <w:t>de consommation</w:t>
      </w:r>
      <w:r w:rsidR="000E133D" w:rsidRPr="000E133D">
        <w:rPr>
          <w:lang w:val="fr-CA"/>
        </w:rPr>
        <w:t xml:space="preserve"> </w:t>
      </w:r>
      <w:r w:rsidR="00591378">
        <w:rPr>
          <w:lang w:val="fr-CA"/>
        </w:rPr>
        <w:t>de</w:t>
      </w:r>
      <w:r w:rsidR="000E133D" w:rsidRPr="000E133D">
        <w:rPr>
          <w:lang w:val="fr-CA"/>
        </w:rPr>
        <w:t xml:space="preserve"> </w:t>
      </w:r>
      <w:r w:rsidR="00FA4D4B">
        <w:rPr>
          <w:lang w:val="fr-CA"/>
        </w:rPr>
        <w:t>substances réglementées</w:t>
      </w:r>
      <w:r w:rsidR="000E133D" w:rsidRPr="000E133D">
        <w:rPr>
          <w:lang w:val="fr-CA"/>
        </w:rPr>
        <w:t xml:space="preserve"> </w:t>
      </w:r>
      <w:r w:rsidR="00591378">
        <w:rPr>
          <w:lang w:val="fr-CA"/>
        </w:rPr>
        <w:t xml:space="preserve">et </w:t>
      </w:r>
      <w:r w:rsidR="000E133D" w:rsidRPr="000E133D">
        <w:rPr>
          <w:lang w:val="fr-CA"/>
        </w:rPr>
        <w:t>17</w:t>
      </w:r>
      <w:r w:rsidR="00591378">
        <w:rPr>
          <w:lang w:val="fr-CA"/>
        </w:rPr>
        <w:t> </w:t>
      </w:r>
      <w:r w:rsidR="000E133D" w:rsidRPr="000E133D">
        <w:rPr>
          <w:lang w:val="fr-CA"/>
        </w:rPr>
        <w:t>381</w:t>
      </w:r>
      <w:r w:rsidR="00591378">
        <w:rPr>
          <w:lang w:val="fr-CA"/>
        </w:rPr>
        <w:t> tonnes PAO</w:t>
      </w:r>
      <w:r w:rsidR="000E133D" w:rsidRPr="000E133D">
        <w:rPr>
          <w:lang w:val="fr-CA"/>
        </w:rPr>
        <w:t xml:space="preserve"> </w:t>
      </w:r>
      <w:r w:rsidR="00591378">
        <w:rPr>
          <w:lang w:val="fr-CA"/>
        </w:rPr>
        <w:t>de</w:t>
      </w:r>
      <w:r w:rsidR="000E133D" w:rsidRPr="000E133D">
        <w:rPr>
          <w:lang w:val="fr-CA"/>
        </w:rPr>
        <w:t xml:space="preserve"> production </w:t>
      </w:r>
      <w:r w:rsidR="00591378">
        <w:rPr>
          <w:lang w:val="fr-CA"/>
        </w:rPr>
        <w:lastRenderedPageBreak/>
        <w:t>de</w:t>
      </w:r>
      <w:r w:rsidR="000E133D" w:rsidRPr="000E133D">
        <w:rPr>
          <w:lang w:val="fr-CA"/>
        </w:rPr>
        <w:t xml:space="preserve"> </w:t>
      </w:r>
      <w:r w:rsidR="00FA4D4B">
        <w:rPr>
          <w:lang w:val="fr-CA"/>
        </w:rPr>
        <w:t>substances réglementées</w:t>
      </w:r>
      <w:r w:rsidR="000E133D" w:rsidRPr="000E133D">
        <w:rPr>
          <w:lang w:val="fr-CA"/>
        </w:rPr>
        <w:t xml:space="preserve"> </w:t>
      </w:r>
      <w:r w:rsidR="00591378">
        <w:rPr>
          <w:lang w:val="fr-CA"/>
        </w:rPr>
        <w:t>ont été éliminées</w:t>
      </w:r>
      <w:r w:rsidR="000E133D" w:rsidRPr="000E133D">
        <w:rPr>
          <w:lang w:val="fr-CA"/>
        </w:rPr>
        <w:t xml:space="preserve">, </w:t>
      </w:r>
      <w:r w:rsidR="00591378">
        <w:rPr>
          <w:lang w:val="fr-CA"/>
        </w:rPr>
        <w:t xml:space="preserve">sur un total prévu de </w:t>
      </w:r>
      <w:r w:rsidR="000E133D" w:rsidRPr="000E133D">
        <w:rPr>
          <w:lang w:val="fr-CA"/>
        </w:rPr>
        <w:t>81</w:t>
      </w:r>
      <w:r w:rsidR="00591378">
        <w:rPr>
          <w:lang w:val="fr-CA"/>
        </w:rPr>
        <w:t> </w:t>
      </w:r>
      <w:r w:rsidR="000E133D" w:rsidRPr="000E133D">
        <w:rPr>
          <w:lang w:val="fr-CA"/>
        </w:rPr>
        <w:t>941</w:t>
      </w:r>
      <w:r w:rsidR="00591378">
        <w:rPr>
          <w:lang w:val="fr-CA"/>
        </w:rPr>
        <w:t> tonnes PAO</w:t>
      </w:r>
      <w:r w:rsidR="000E133D" w:rsidRPr="000E133D">
        <w:rPr>
          <w:lang w:val="fr-CA"/>
        </w:rPr>
        <w:t xml:space="preserve"> </w:t>
      </w:r>
      <w:r w:rsidR="00591378">
        <w:rPr>
          <w:lang w:val="fr-CA"/>
        </w:rPr>
        <w:t xml:space="preserve">provenant de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>s appro</w:t>
      </w:r>
      <w:r w:rsidR="00591378">
        <w:rPr>
          <w:lang w:val="fr-CA"/>
        </w:rPr>
        <w:t>uvés</w:t>
      </w:r>
      <w:r w:rsidR="000E133D" w:rsidRPr="000E133D">
        <w:rPr>
          <w:lang w:val="fr-CA"/>
        </w:rPr>
        <w:t xml:space="preserve"> (</w:t>
      </w:r>
      <w:r w:rsidR="00591378">
        <w:rPr>
          <w:lang w:val="fr-CA"/>
        </w:rPr>
        <w:t>à l’</w:t>
      </w:r>
      <w:r w:rsidR="000E133D" w:rsidRPr="000E133D">
        <w:rPr>
          <w:lang w:val="fr-CA"/>
        </w:rPr>
        <w:t>exclu</w:t>
      </w:r>
      <w:r w:rsidR="00591378">
        <w:rPr>
          <w:lang w:val="fr-CA"/>
        </w:rPr>
        <w:t>sion des projets annulés ou transférés</w:t>
      </w:r>
      <w:r w:rsidR="000E133D" w:rsidRPr="000E133D">
        <w:rPr>
          <w:lang w:val="fr-CA"/>
        </w:rPr>
        <w:t xml:space="preserve">); </w:t>
      </w:r>
    </w:p>
    <w:p w14:paraId="79CD7B0A" w14:textId="44870984" w:rsidR="000E133D" w:rsidRPr="000E133D" w:rsidRDefault="000E133D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 w:rsidRPr="000E133D">
        <w:rPr>
          <w:b/>
          <w:bCs/>
          <w:lang w:val="fr-CA"/>
        </w:rPr>
        <w:t>D</w:t>
      </w:r>
      <w:r w:rsidR="008202EA">
        <w:rPr>
          <w:b/>
          <w:bCs/>
          <w:lang w:val="fr-CA"/>
        </w:rPr>
        <w:t>écaiss</w:t>
      </w:r>
      <w:r w:rsidRPr="000E133D">
        <w:rPr>
          <w:b/>
          <w:bCs/>
          <w:lang w:val="fr-CA"/>
        </w:rPr>
        <w:t>ements/</w:t>
      </w:r>
      <w:proofErr w:type="gramStart"/>
      <w:r w:rsidRPr="000E133D">
        <w:rPr>
          <w:b/>
          <w:bCs/>
          <w:lang w:val="fr-CA"/>
        </w:rPr>
        <w:t>appro</w:t>
      </w:r>
      <w:r w:rsidR="008202EA">
        <w:rPr>
          <w:b/>
          <w:bCs/>
          <w:lang w:val="fr-CA"/>
        </w:rPr>
        <w:t>bation</w:t>
      </w:r>
      <w:r w:rsidRPr="000E133D">
        <w:rPr>
          <w:b/>
          <w:bCs/>
          <w:lang w:val="fr-CA"/>
        </w:rPr>
        <w:t>s:</w:t>
      </w:r>
      <w:proofErr w:type="gramEnd"/>
      <w:r w:rsidRPr="000E133D">
        <w:rPr>
          <w:lang w:val="fr-CA"/>
        </w:rPr>
        <w:t xml:space="preserve"> </w:t>
      </w:r>
      <w:r w:rsidR="00591378">
        <w:rPr>
          <w:lang w:val="fr-CA"/>
        </w:rPr>
        <w:t>E</w:t>
      </w:r>
      <w:r w:rsidRPr="000E133D">
        <w:rPr>
          <w:lang w:val="fr-CA"/>
        </w:rPr>
        <w:t>n 2019, 18</w:t>
      </w:r>
      <w:r w:rsidR="00591378">
        <w:rPr>
          <w:lang w:val="fr-CA"/>
        </w:rPr>
        <w:t>,</w:t>
      </w:r>
      <w:r w:rsidRPr="000E133D">
        <w:rPr>
          <w:lang w:val="fr-CA"/>
        </w:rPr>
        <w:t>56 million</w:t>
      </w:r>
      <w:r w:rsidR="00591378">
        <w:rPr>
          <w:lang w:val="fr-CA"/>
        </w:rPr>
        <w:t xml:space="preserve">s $US ont été décaissés et il est prévu de décaisser un autre montant de </w:t>
      </w:r>
      <w:r w:rsidRPr="000E133D">
        <w:rPr>
          <w:lang w:val="fr-CA"/>
        </w:rPr>
        <w:t>23</w:t>
      </w:r>
      <w:r w:rsidR="00591378">
        <w:rPr>
          <w:lang w:val="fr-CA"/>
        </w:rPr>
        <w:t>,</w:t>
      </w:r>
      <w:r w:rsidRPr="000E133D">
        <w:rPr>
          <w:lang w:val="fr-CA"/>
        </w:rPr>
        <w:t>58 million</w:t>
      </w:r>
      <w:r w:rsidR="00591378">
        <w:rPr>
          <w:lang w:val="fr-CA"/>
        </w:rPr>
        <w:t>s $US</w:t>
      </w:r>
      <w:r w:rsidRPr="000E133D">
        <w:rPr>
          <w:lang w:val="fr-CA"/>
        </w:rPr>
        <w:t xml:space="preserve"> </w:t>
      </w:r>
      <w:r w:rsidR="00591378">
        <w:rPr>
          <w:lang w:val="fr-CA"/>
        </w:rPr>
        <w:t>sur la base du</w:t>
      </w:r>
      <w:r w:rsidRPr="000E133D">
        <w:rPr>
          <w:lang w:val="fr-CA"/>
        </w:rPr>
        <w:t xml:space="preserve"> </w:t>
      </w:r>
      <w:r w:rsidR="00D0488E">
        <w:rPr>
          <w:lang w:val="fr-CA"/>
        </w:rPr>
        <w:t>rapport périodique</w:t>
      </w:r>
      <w:r w:rsidR="00591378">
        <w:rPr>
          <w:lang w:val="fr-CA"/>
        </w:rPr>
        <w:t xml:space="preserve"> de 2018</w:t>
      </w:r>
      <w:r w:rsidRPr="000E133D">
        <w:rPr>
          <w:lang w:val="fr-CA"/>
        </w:rPr>
        <w:t>, repr</w:t>
      </w:r>
      <w:r w:rsidR="00591378">
        <w:rPr>
          <w:lang w:val="fr-CA"/>
        </w:rPr>
        <w:t>é</w:t>
      </w:r>
      <w:r w:rsidRPr="000E133D">
        <w:rPr>
          <w:lang w:val="fr-CA"/>
        </w:rPr>
        <w:t>sen</w:t>
      </w:r>
      <w:r w:rsidR="00591378">
        <w:rPr>
          <w:lang w:val="fr-CA"/>
        </w:rPr>
        <w:t xml:space="preserve">tant un taux de décaissement de </w:t>
      </w:r>
      <w:r w:rsidRPr="000E133D">
        <w:rPr>
          <w:lang w:val="fr-CA"/>
        </w:rPr>
        <w:t>79</w:t>
      </w:r>
      <w:r w:rsidR="00591378">
        <w:rPr>
          <w:lang w:val="fr-CA"/>
        </w:rPr>
        <w:t> </w:t>
      </w:r>
      <w:r w:rsidR="00631EA2">
        <w:rPr>
          <w:lang w:val="fr-CA"/>
        </w:rPr>
        <w:t>pour cent</w:t>
      </w:r>
      <w:r w:rsidRPr="000E133D">
        <w:rPr>
          <w:lang w:val="fr-CA"/>
        </w:rPr>
        <w:t xml:space="preserve"> per cent </w:t>
      </w:r>
      <w:r w:rsidR="00591378">
        <w:rPr>
          <w:lang w:val="fr-CA"/>
        </w:rPr>
        <w:t>du taux prévu</w:t>
      </w:r>
      <w:r w:rsidRPr="000E133D">
        <w:rPr>
          <w:lang w:val="fr-CA"/>
        </w:rPr>
        <w:t>. Cumulative</w:t>
      </w:r>
      <w:r w:rsidR="00591378">
        <w:rPr>
          <w:lang w:val="fr-CA"/>
        </w:rPr>
        <w:t>ment</w:t>
      </w:r>
      <w:r w:rsidRPr="000E133D">
        <w:rPr>
          <w:lang w:val="fr-CA"/>
        </w:rPr>
        <w:t>, 740</w:t>
      </w:r>
      <w:r w:rsidR="00591378">
        <w:rPr>
          <w:lang w:val="fr-CA"/>
        </w:rPr>
        <w:t>,</w:t>
      </w:r>
      <w:r w:rsidRPr="000E133D">
        <w:rPr>
          <w:lang w:val="fr-CA"/>
        </w:rPr>
        <w:t>69 million</w:t>
      </w:r>
      <w:r w:rsidR="00591378">
        <w:rPr>
          <w:lang w:val="fr-CA"/>
        </w:rPr>
        <w:t xml:space="preserve">s $US avaient été décaissés sur un total de </w:t>
      </w:r>
      <w:r w:rsidRPr="000E133D">
        <w:rPr>
          <w:lang w:val="fr-CA"/>
        </w:rPr>
        <w:t>839</w:t>
      </w:r>
      <w:r w:rsidR="00C84B88">
        <w:rPr>
          <w:lang w:val="fr-CA"/>
        </w:rPr>
        <w:t>,</w:t>
      </w:r>
      <w:r w:rsidRPr="000E133D">
        <w:rPr>
          <w:lang w:val="fr-CA"/>
        </w:rPr>
        <w:t>66 million</w:t>
      </w:r>
      <w:r w:rsidR="00C84B88">
        <w:rPr>
          <w:lang w:val="fr-CA"/>
        </w:rPr>
        <w:t>s $US approuvés aux fins de décaissement</w:t>
      </w:r>
      <w:r w:rsidRPr="000E133D">
        <w:rPr>
          <w:lang w:val="fr-CA"/>
        </w:rPr>
        <w:t xml:space="preserve"> (exclu</w:t>
      </w:r>
      <w:r w:rsidR="00C84B88">
        <w:rPr>
          <w:lang w:val="fr-CA"/>
        </w:rPr>
        <w:t>ant les coûts d’appui d’agence</w:t>
      </w:r>
      <w:r w:rsidRPr="000E133D">
        <w:rPr>
          <w:lang w:val="fr-CA"/>
        </w:rPr>
        <w:t>), repr</w:t>
      </w:r>
      <w:r w:rsidR="00C84B88">
        <w:rPr>
          <w:lang w:val="fr-CA"/>
        </w:rPr>
        <w:t>é</w:t>
      </w:r>
      <w:r w:rsidRPr="000E133D">
        <w:rPr>
          <w:lang w:val="fr-CA"/>
        </w:rPr>
        <w:t>sent</w:t>
      </w:r>
      <w:r w:rsidR="00C84B88">
        <w:rPr>
          <w:lang w:val="fr-CA"/>
        </w:rPr>
        <w:t>ant un taux de décaissement</w:t>
      </w:r>
      <w:r w:rsidRPr="000E133D">
        <w:rPr>
          <w:lang w:val="fr-CA"/>
        </w:rPr>
        <w:t xml:space="preserve"> </w:t>
      </w:r>
      <w:r w:rsidR="00C84B88">
        <w:rPr>
          <w:lang w:val="fr-CA"/>
        </w:rPr>
        <w:t xml:space="preserve">de </w:t>
      </w:r>
      <w:r w:rsidRPr="000E133D">
        <w:rPr>
          <w:lang w:val="fr-CA"/>
        </w:rPr>
        <w:t>88</w:t>
      </w:r>
      <w:r w:rsidR="00C84B88">
        <w:rPr>
          <w:lang w:val="fr-CA"/>
        </w:rPr>
        <w:t> </w:t>
      </w:r>
      <w:r w:rsidR="00631EA2">
        <w:rPr>
          <w:lang w:val="fr-CA"/>
        </w:rPr>
        <w:t>pour cent</w:t>
      </w:r>
      <w:r w:rsidRPr="000E133D">
        <w:rPr>
          <w:lang w:val="fr-CA"/>
        </w:rPr>
        <w:t xml:space="preserve">. </w:t>
      </w:r>
      <w:r w:rsidR="00C84B88">
        <w:rPr>
          <w:lang w:val="fr-CA"/>
        </w:rPr>
        <w:t>E</w:t>
      </w:r>
      <w:r w:rsidRPr="000E133D">
        <w:rPr>
          <w:lang w:val="fr-CA"/>
        </w:rPr>
        <w:t>n 2019, 19</w:t>
      </w:r>
      <w:r w:rsidR="00C84B88">
        <w:rPr>
          <w:lang w:val="fr-CA"/>
        </w:rPr>
        <w:t>,</w:t>
      </w:r>
      <w:r w:rsidRPr="000E133D">
        <w:rPr>
          <w:lang w:val="fr-CA"/>
        </w:rPr>
        <w:t>51 million</w:t>
      </w:r>
      <w:r w:rsidR="00C84B88">
        <w:rPr>
          <w:lang w:val="fr-CA"/>
        </w:rPr>
        <w:t>s $US ont été approuvés pour la mise en œuvre</w:t>
      </w:r>
      <w:r w:rsidRPr="000E133D">
        <w:rPr>
          <w:lang w:val="fr-CA"/>
        </w:rPr>
        <w:t>;</w:t>
      </w:r>
    </w:p>
    <w:p w14:paraId="5AF633EE" w14:textId="6E2F3F31" w:rsidR="000E133D" w:rsidRPr="000E133D" w:rsidRDefault="00C84B88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 w:rsidRPr="00C84B88">
        <w:rPr>
          <w:b/>
          <w:lang w:val="fr-CA"/>
        </w:rPr>
        <w:t>Rapport coût-efficacité (en PAO)</w:t>
      </w:r>
      <w:r w:rsidR="000E133D" w:rsidRPr="000E133D">
        <w:rPr>
          <w:b/>
          <w:lang w:val="fr-CA"/>
        </w:rPr>
        <w:t>:</w:t>
      </w:r>
      <w:r w:rsidR="000E133D" w:rsidRPr="000E133D">
        <w:rPr>
          <w:bCs/>
          <w:sz w:val="24"/>
          <w:szCs w:val="24"/>
          <w:vertAlign w:val="superscript"/>
          <w:lang w:val="fr-CA"/>
        </w:rPr>
        <w:footnoteReference w:id="8"/>
      </w:r>
      <w:r w:rsidR="000E133D" w:rsidRPr="00C84B88">
        <w:rPr>
          <w:bCs/>
          <w:lang w:val="fr-CA"/>
        </w:rPr>
        <w:t xml:space="preserve"> </w:t>
      </w:r>
      <w:r w:rsidRPr="00C84B88">
        <w:rPr>
          <w:bCs/>
          <w:lang w:val="fr-CA"/>
        </w:rPr>
        <w:t xml:space="preserve">Depuis </w:t>
      </w:r>
      <w:r w:rsidR="000E133D" w:rsidRPr="000E133D">
        <w:rPr>
          <w:lang w:val="fr-CA"/>
        </w:rPr>
        <w:t xml:space="preserve">1993, </w:t>
      </w:r>
      <w:r w:rsidRPr="00C84B88">
        <w:rPr>
          <w:lang w:val="fr-CA"/>
        </w:rPr>
        <w:t xml:space="preserve">le rapport coût-efficacité moyen des projets d’investissement approuvés menant à une réduction permanente de la consommation a été de </w:t>
      </w:r>
      <w:r w:rsidR="000E133D" w:rsidRPr="000E133D">
        <w:rPr>
          <w:lang w:val="fr-CA"/>
        </w:rPr>
        <w:t>11</w:t>
      </w:r>
      <w:r>
        <w:rPr>
          <w:lang w:val="fr-CA"/>
        </w:rPr>
        <w:t>,</w:t>
      </w:r>
      <w:r w:rsidR="000E133D" w:rsidRPr="000E133D">
        <w:rPr>
          <w:lang w:val="fr-CA"/>
        </w:rPr>
        <w:t>12</w:t>
      </w:r>
      <w:r>
        <w:rPr>
          <w:lang w:val="fr-CA"/>
        </w:rPr>
        <w:t> $US</w:t>
      </w:r>
      <w:r w:rsidR="000E133D" w:rsidRPr="000E133D">
        <w:rPr>
          <w:lang w:val="fr-CA"/>
        </w:rPr>
        <w:t xml:space="preserve">/kg </w:t>
      </w:r>
      <w:r>
        <w:rPr>
          <w:lang w:val="fr-CA"/>
        </w:rPr>
        <w:t xml:space="preserve">et de 2,90 $US/kg </w:t>
      </w:r>
      <w:r w:rsidRPr="00D61E42">
        <w:rPr>
          <w:lang w:val="fr-CA"/>
        </w:rPr>
        <w:t>pour toutes les activités du</w:t>
      </w:r>
      <w:r>
        <w:rPr>
          <w:lang w:val="fr-CA"/>
        </w:rPr>
        <w:t> </w:t>
      </w:r>
      <w:r w:rsidRPr="00D61E42">
        <w:rPr>
          <w:lang w:val="fr-CA"/>
        </w:rPr>
        <w:t>secteur de la production (CFC et bromure de méthyle</w:t>
      </w:r>
      <w:r>
        <w:rPr>
          <w:lang w:val="fr-CA"/>
        </w:rPr>
        <w:t xml:space="preserve"> (BM)</w:t>
      </w:r>
      <w:r w:rsidRPr="00D61E42">
        <w:rPr>
          <w:lang w:val="fr-CA"/>
        </w:rPr>
        <w:t>)</w:t>
      </w:r>
      <w:r w:rsidR="000E133D" w:rsidRPr="000E133D">
        <w:rPr>
          <w:lang w:val="fr-CA"/>
        </w:rPr>
        <w:t xml:space="preserve">. </w:t>
      </w:r>
      <w:r w:rsidR="00C55280" w:rsidRPr="00C55280">
        <w:rPr>
          <w:lang w:val="fr-CA"/>
        </w:rPr>
        <w:t>Le rapport coût-efficacité moyen des projets d’investissement par tonne PAO a été de 7,0</w:t>
      </w:r>
      <w:r w:rsidR="00C55280">
        <w:rPr>
          <w:lang w:val="fr-CA"/>
        </w:rPr>
        <w:t>6</w:t>
      </w:r>
      <w:r w:rsidR="00C55280" w:rsidRPr="00C55280">
        <w:rPr>
          <w:lang w:val="fr-CA"/>
        </w:rPr>
        <w:t xml:space="preserve"> $US/kg pour les projets achevés et de </w:t>
      </w:r>
      <w:r w:rsidR="00C55280">
        <w:rPr>
          <w:lang w:val="fr-CA"/>
        </w:rPr>
        <w:t>48</w:t>
      </w:r>
      <w:r w:rsidR="00C55280" w:rsidRPr="00C55280">
        <w:rPr>
          <w:lang w:val="fr-CA"/>
        </w:rPr>
        <w:t>,</w:t>
      </w:r>
      <w:r w:rsidR="00C55280">
        <w:rPr>
          <w:lang w:val="fr-CA"/>
        </w:rPr>
        <w:t>0</w:t>
      </w:r>
      <w:r w:rsidR="00C55280" w:rsidRPr="00C55280">
        <w:rPr>
          <w:lang w:val="fr-CA"/>
        </w:rPr>
        <w:t>2 $US/kg pour les projets en cours</w:t>
      </w:r>
      <w:r w:rsidR="000E133D" w:rsidRPr="000E133D">
        <w:rPr>
          <w:lang w:val="fr-CA"/>
        </w:rPr>
        <w:t>;</w:t>
      </w:r>
      <w:r w:rsidR="000E133D" w:rsidRPr="000E133D">
        <w:rPr>
          <w:sz w:val="24"/>
          <w:szCs w:val="24"/>
          <w:vertAlign w:val="superscript"/>
          <w:lang w:val="fr-CA"/>
        </w:rPr>
        <w:footnoteReference w:id="9"/>
      </w:r>
    </w:p>
    <w:p w14:paraId="323310B2" w14:textId="18306761" w:rsidR="000E133D" w:rsidRPr="000E133D" w:rsidRDefault="000E133D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 w:rsidRPr="000E133D">
        <w:rPr>
          <w:b/>
          <w:bCs/>
          <w:lang w:val="fr-CA"/>
        </w:rPr>
        <w:t>N</w:t>
      </w:r>
      <w:r w:rsidR="00C55280">
        <w:rPr>
          <w:b/>
          <w:bCs/>
          <w:lang w:val="fr-CA"/>
        </w:rPr>
        <w:t>o</w:t>
      </w:r>
      <w:r w:rsidRPr="000E133D">
        <w:rPr>
          <w:b/>
          <w:bCs/>
          <w:lang w:val="fr-CA"/>
        </w:rPr>
        <w:t>mb</w:t>
      </w:r>
      <w:r w:rsidR="00C55280">
        <w:rPr>
          <w:b/>
          <w:bCs/>
          <w:lang w:val="fr-CA"/>
        </w:rPr>
        <w:t>re</w:t>
      </w:r>
      <w:r w:rsidRPr="000E133D">
        <w:rPr>
          <w:b/>
          <w:bCs/>
          <w:lang w:val="fr-CA"/>
        </w:rPr>
        <w:t xml:space="preserve"> </w:t>
      </w:r>
      <w:r w:rsidR="00C55280">
        <w:rPr>
          <w:b/>
          <w:bCs/>
          <w:lang w:val="fr-CA"/>
        </w:rPr>
        <w:t>de</w:t>
      </w:r>
      <w:r w:rsidRPr="000E133D">
        <w:rPr>
          <w:b/>
          <w:bCs/>
          <w:lang w:val="fr-CA"/>
        </w:rPr>
        <w:t xml:space="preserve"> </w:t>
      </w:r>
      <w:r w:rsidR="00A95667">
        <w:rPr>
          <w:b/>
          <w:bCs/>
          <w:lang w:val="fr-CA"/>
        </w:rPr>
        <w:t>projet</w:t>
      </w:r>
      <w:r w:rsidRPr="000E133D">
        <w:rPr>
          <w:b/>
          <w:bCs/>
          <w:lang w:val="fr-CA"/>
        </w:rPr>
        <w:t xml:space="preserve">s </w:t>
      </w:r>
      <w:r w:rsidR="00C55280">
        <w:rPr>
          <w:b/>
          <w:bCs/>
          <w:lang w:val="fr-CA"/>
        </w:rPr>
        <w:t>achevés</w:t>
      </w:r>
      <w:r w:rsidRPr="000E133D">
        <w:rPr>
          <w:b/>
          <w:bCs/>
          <w:lang w:val="fr-CA"/>
        </w:rPr>
        <w:t>:</w:t>
      </w:r>
      <w:r w:rsidRPr="000E133D">
        <w:rPr>
          <w:lang w:val="fr-CA"/>
        </w:rPr>
        <w:t xml:space="preserve"> </w:t>
      </w:r>
      <w:r w:rsidR="00C55280">
        <w:rPr>
          <w:lang w:val="fr-CA"/>
        </w:rPr>
        <w:t>E</w:t>
      </w:r>
      <w:r w:rsidRPr="000E133D">
        <w:rPr>
          <w:lang w:val="fr-CA"/>
        </w:rPr>
        <w:t>n 2019, 33 </w:t>
      </w:r>
      <w:r w:rsidR="00A95667">
        <w:rPr>
          <w:lang w:val="fr-CA"/>
        </w:rPr>
        <w:t>projet</w:t>
      </w:r>
      <w:r w:rsidRPr="000E133D">
        <w:rPr>
          <w:lang w:val="fr-CA"/>
        </w:rPr>
        <w:t xml:space="preserve">s </w:t>
      </w:r>
      <w:r w:rsidR="00C55280" w:rsidRPr="00C55280">
        <w:rPr>
          <w:lang w:val="fr-CA"/>
        </w:rPr>
        <w:t>ont été achevés. Depuis 199</w:t>
      </w:r>
      <w:r w:rsidR="00C55280">
        <w:rPr>
          <w:lang w:val="fr-CA"/>
        </w:rPr>
        <w:t>3</w:t>
      </w:r>
      <w:r w:rsidR="00C55280" w:rsidRPr="00C55280">
        <w:rPr>
          <w:lang w:val="fr-CA"/>
        </w:rPr>
        <w:t>,1 5</w:t>
      </w:r>
      <w:r w:rsidR="00C55280">
        <w:rPr>
          <w:lang w:val="fr-CA"/>
        </w:rPr>
        <w:t>56</w:t>
      </w:r>
      <w:r w:rsidR="00C55280" w:rsidRPr="00C55280">
        <w:rPr>
          <w:lang w:val="fr-CA"/>
        </w:rPr>
        <w:t xml:space="preserve"> projets ont été achevés sur les 1 7</w:t>
      </w:r>
      <w:r w:rsidR="00C55280">
        <w:rPr>
          <w:lang w:val="fr-CA"/>
        </w:rPr>
        <w:t>93</w:t>
      </w:r>
      <w:r w:rsidR="00C55280" w:rsidRPr="00C55280">
        <w:rPr>
          <w:lang w:val="fr-CA"/>
        </w:rPr>
        <w:t xml:space="preserve"> projets approuvés (excluant les projets clos ou transférés), ce qui représente un taux d’achèvement de 8</w:t>
      </w:r>
      <w:r w:rsidR="00C55280">
        <w:rPr>
          <w:lang w:val="fr-CA"/>
        </w:rPr>
        <w:t>7 </w:t>
      </w:r>
      <w:r w:rsidR="00631EA2">
        <w:rPr>
          <w:lang w:val="fr-CA"/>
        </w:rPr>
        <w:t xml:space="preserve">pour </w:t>
      </w:r>
      <w:proofErr w:type="gramStart"/>
      <w:r w:rsidR="00631EA2">
        <w:rPr>
          <w:lang w:val="fr-CA"/>
        </w:rPr>
        <w:t>cent</w:t>
      </w:r>
      <w:r w:rsidRPr="000E133D">
        <w:rPr>
          <w:lang w:val="fr-CA"/>
        </w:rPr>
        <w:t>;</w:t>
      </w:r>
      <w:proofErr w:type="gramEnd"/>
      <w:r w:rsidRPr="000E133D">
        <w:rPr>
          <w:lang w:val="fr-CA"/>
        </w:rPr>
        <w:t xml:space="preserve"> </w:t>
      </w:r>
    </w:p>
    <w:p w14:paraId="6C145155" w14:textId="5A196CE2" w:rsidR="000E133D" w:rsidRPr="000E133D" w:rsidRDefault="002E1435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 w:rsidRPr="00D61E42">
        <w:rPr>
          <w:b/>
          <w:lang w:val="fr-CA"/>
        </w:rPr>
        <w:t>Rapidité de réalisation des projets d’investissement </w:t>
      </w:r>
      <w:r w:rsidR="000E133D" w:rsidRPr="000E133D">
        <w:rPr>
          <w:b/>
          <w:lang w:val="fr-CA"/>
        </w:rPr>
        <w:t xml:space="preserve">: </w:t>
      </w:r>
      <w:r w:rsidRPr="00D61E42">
        <w:rPr>
          <w:lang w:val="fr-CA"/>
        </w:rPr>
        <w:t>Les projets achevés en 201</w:t>
      </w:r>
      <w:r>
        <w:rPr>
          <w:lang w:val="fr-CA"/>
        </w:rPr>
        <w:t>9</w:t>
      </w:r>
      <w:r w:rsidRPr="00D61E42">
        <w:rPr>
          <w:lang w:val="fr-CA"/>
        </w:rPr>
        <w:t xml:space="preserve"> l’ont été, en moyenne, 5</w:t>
      </w:r>
      <w:r>
        <w:rPr>
          <w:lang w:val="fr-CA"/>
        </w:rPr>
        <w:t>3</w:t>
      </w:r>
      <w:r w:rsidRPr="00D61E42">
        <w:rPr>
          <w:lang w:val="fr-CA"/>
        </w:rPr>
        <w:t xml:space="preserve"> mois après leur approbation. Depuis 199</w:t>
      </w:r>
      <w:r>
        <w:rPr>
          <w:lang w:val="fr-CA"/>
        </w:rPr>
        <w:t>3</w:t>
      </w:r>
      <w:r w:rsidRPr="00D61E42">
        <w:rPr>
          <w:lang w:val="fr-CA"/>
        </w:rPr>
        <w:t>, la durée moyenne pour l’achèvement des projets d’investissement a été de 38 mois après leur approbation. Les premiers décaissements dans le cadre de ces projets ont eu lieu, en moyenne, neuf</w:t>
      </w:r>
      <w:r>
        <w:rPr>
          <w:lang w:val="fr-CA"/>
        </w:rPr>
        <w:t> </w:t>
      </w:r>
      <w:r w:rsidRPr="00D61E42">
        <w:rPr>
          <w:lang w:val="fr-CA"/>
        </w:rPr>
        <w:t>mois après leur approbation</w:t>
      </w:r>
      <w:r w:rsidR="000E133D" w:rsidRPr="000E133D">
        <w:rPr>
          <w:lang w:val="fr-CA"/>
        </w:rPr>
        <w:t>;</w:t>
      </w:r>
    </w:p>
    <w:p w14:paraId="62810D75" w14:textId="5587B659" w:rsidR="000E133D" w:rsidRPr="000E133D" w:rsidRDefault="002E1435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 w:rsidRPr="00D61E42">
        <w:rPr>
          <w:b/>
          <w:lang w:val="fr-CA"/>
        </w:rPr>
        <w:t xml:space="preserve">Rapidité de réalisation des projets </w:t>
      </w:r>
      <w:r>
        <w:rPr>
          <w:b/>
          <w:lang w:val="fr-CA"/>
        </w:rPr>
        <w:t xml:space="preserve">non liés aux </w:t>
      </w:r>
      <w:r w:rsidRPr="00D61E42">
        <w:rPr>
          <w:b/>
          <w:lang w:val="fr-CA"/>
        </w:rPr>
        <w:t>investissement </w:t>
      </w:r>
      <w:r w:rsidR="000E133D" w:rsidRPr="000E133D">
        <w:rPr>
          <w:b/>
          <w:lang w:val="fr-CA"/>
        </w:rPr>
        <w:t>:</w:t>
      </w:r>
      <w:r w:rsidR="000E133D" w:rsidRPr="000E133D">
        <w:rPr>
          <w:lang w:val="fr-CA"/>
        </w:rPr>
        <w:t xml:space="preserve"> </w:t>
      </w:r>
      <w:r w:rsidRPr="00D61E42">
        <w:rPr>
          <w:lang w:val="fr-CA"/>
        </w:rPr>
        <w:t>Les projets achevés en 201</w:t>
      </w:r>
      <w:r>
        <w:rPr>
          <w:lang w:val="fr-CA"/>
        </w:rPr>
        <w:t>9</w:t>
      </w:r>
      <w:r w:rsidRPr="00D61E42">
        <w:rPr>
          <w:lang w:val="fr-CA"/>
        </w:rPr>
        <w:t xml:space="preserve"> l’ont été, en moyenne, 3</w:t>
      </w:r>
      <w:r>
        <w:rPr>
          <w:lang w:val="fr-CA"/>
        </w:rPr>
        <w:t>7</w:t>
      </w:r>
      <w:r w:rsidRPr="00D61E42">
        <w:rPr>
          <w:lang w:val="fr-CA"/>
        </w:rPr>
        <w:t xml:space="preserve"> mois après leur approbation. Depuis 199</w:t>
      </w:r>
      <w:r>
        <w:rPr>
          <w:lang w:val="fr-CA"/>
        </w:rPr>
        <w:t>3</w:t>
      </w:r>
      <w:r w:rsidRPr="00D61E42">
        <w:rPr>
          <w:lang w:val="fr-CA"/>
        </w:rPr>
        <w:t>, la durée moyenne pour l’achèvement des projets ne portant pas sur des investissements a été de 3</w:t>
      </w:r>
      <w:r>
        <w:rPr>
          <w:lang w:val="fr-CA"/>
        </w:rPr>
        <w:t>5</w:t>
      </w:r>
      <w:r w:rsidRPr="00D61E42">
        <w:rPr>
          <w:lang w:val="fr-CA"/>
        </w:rPr>
        <w:t xml:space="preserve"> mois après leur approbation. Les premiers décaissements dans</w:t>
      </w:r>
      <w:r>
        <w:rPr>
          <w:lang w:val="fr-CA"/>
        </w:rPr>
        <w:t> </w:t>
      </w:r>
      <w:r w:rsidRPr="00D61E42">
        <w:rPr>
          <w:lang w:val="fr-CA"/>
        </w:rPr>
        <w:t>le cadre de ces projets ont eu lieu, en moyenne, dix mois après leur approbation</w:t>
      </w:r>
      <w:r w:rsidR="000E133D" w:rsidRPr="000E133D">
        <w:rPr>
          <w:lang w:val="fr-CA"/>
        </w:rPr>
        <w:t xml:space="preserve">; </w:t>
      </w:r>
    </w:p>
    <w:p w14:paraId="0BEE2AC8" w14:textId="4FA87D2A" w:rsidR="000E133D" w:rsidRPr="000E133D" w:rsidRDefault="00A95667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b/>
          <w:bCs/>
          <w:lang w:val="fr-CA"/>
        </w:rPr>
        <w:t>Pr</w:t>
      </w:r>
      <w:r w:rsidR="002E1435">
        <w:rPr>
          <w:b/>
          <w:bCs/>
          <w:lang w:val="fr-CA"/>
        </w:rPr>
        <w:t>éparation de pro</w:t>
      </w:r>
      <w:r>
        <w:rPr>
          <w:b/>
          <w:bCs/>
          <w:lang w:val="fr-CA"/>
        </w:rPr>
        <w:t>jet</w:t>
      </w:r>
      <w:r w:rsidR="002E1435">
        <w:rPr>
          <w:b/>
          <w:bCs/>
          <w:lang w:val="fr-CA"/>
        </w:rPr>
        <w:t>s</w:t>
      </w:r>
      <w:r w:rsidR="000E133D" w:rsidRPr="000E133D">
        <w:rPr>
          <w:b/>
          <w:bCs/>
          <w:lang w:val="fr-CA"/>
        </w:rPr>
        <w:t xml:space="preserve">: </w:t>
      </w:r>
      <w:r w:rsidR="002E1435" w:rsidRPr="00D61E42">
        <w:rPr>
          <w:bCs/>
          <w:lang w:val="fr-CA"/>
        </w:rPr>
        <w:t>Des</w:t>
      </w:r>
      <w:r w:rsidR="002E1435" w:rsidRPr="00D61E42">
        <w:rPr>
          <w:b/>
          <w:bCs/>
          <w:lang w:val="fr-CA"/>
        </w:rPr>
        <w:t xml:space="preserve"> </w:t>
      </w:r>
      <w:r w:rsidR="002E1435" w:rsidRPr="00D61E42">
        <w:rPr>
          <w:lang w:val="fr-CA"/>
        </w:rPr>
        <w:t>5</w:t>
      </w:r>
      <w:r w:rsidR="002E1435">
        <w:rPr>
          <w:lang w:val="fr-CA"/>
        </w:rPr>
        <w:t>31</w:t>
      </w:r>
      <w:r w:rsidR="002E1435" w:rsidRPr="00D61E42">
        <w:rPr>
          <w:lang w:val="fr-CA"/>
        </w:rPr>
        <w:t xml:space="preserve"> activités de préparation de projet approuvées jusqu’à la fin de 201</w:t>
      </w:r>
      <w:r w:rsidR="002E1435">
        <w:rPr>
          <w:lang w:val="fr-CA"/>
        </w:rPr>
        <w:t>9</w:t>
      </w:r>
      <w:r w:rsidR="002E1435" w:rsidRPr="00D61E42">
        <w:rPr>
          <w:lang w:val="fr-CA"/>
        </w:rPr>
        <w:t>, 47</w:t>
      </w:r>
      <w:r w:rsidR="002E1435">
        <w:rPr>
          <w:lang w:val="fr-CA"/>
        </w:rPr>
        <w:t>5</w:t>
      </w:r>
      <w:r w:rsidR="002E1435" w:rsidRPr="00D61E42">
        <w:rPr>
          <w:lang w:val="fr-CA"/>
        </w:rPr>
        <w:t xml:space="preserve"> ont été achevé</w:t>
      </w:r>
      <w:r w:rsidR="002E1435">
        <w:rPr>
          <w:lang w:val="fr-CA"/>
        </w:rPr>
        <w:t>e</w:t>
      </w:r>
      <w:r w:rsidR="002E1435" w:rsidRPr="00D61E42">
        <w:rPr>
          <w:lang w:val="fr-CA"/>
        </w:rPr>
        <w:t xml:space="preserve">s, ce qui en laisse encore </w:t>
      </w:r>
      <w:r w:rsidR="002E1435">
        <w:rPr>
          <w:lang w:val="fr-CA"/>
        </w:rPr>
        <w:t>56</w:t>
      </w:r>
      <w:r w:rsidR="002E1435" w:rsidRPr="00D61E42">
        <w:rPr>
          <w:lang w:val="fr-CA"/>
        </w:rPr>
        <w:t> en cours. En 201</w:t>
      </w:r>
      <w:r w:rsidR="002E1435">
        <w:rPr>
          <w:lang w:val="fr-CA"/>
        </w:rPr>
        <w:t>9</w:t>
      </w:r>
      <w:r w:rsidR="002E1435" w:rsidRPr="00D61E42">
        <w:rPr>
          <w:lang w:val="fr-CA"/>
        </w:rPr>
        <w:t xml:space="preserve">, </w:t>
      </w:r>
      <w:r w:rsidR="002E1435">
        <w:rPr>
          <w:lang w:val="fr-CA"/>
        </w:rPr>
        <w:t>trois</w:t>
      </w:r>
      <w:r w:rsidR="002E1435" w:rsidRPr="00D61E42">
        <w:rPr>
          <w:lang w:val="fr-CA"/>
        </w:rPr>
        <w:t xml:space="preserve"> </w:t>
      </w:r>
      <w:r w:rsidR="002E1435">
        <w:rPr>
          <w:lang w:val="fr-CA"/>
        </w:rPr>
        <w:t xml:space="preserve">activités de préparation de </w:t>
      </w:r>
      <w:r w:rsidR="002E1435" w:rsidRPr="00D61E42">
        <w:rPr>
          <w:lang w:val="fr-CA"/>
        </w:rPr>
        <w:t>projets ont été achevé</w:t>
      </w:r>
      <w:r w:rsidR="002E1435">
        <w:rPr>
          <w:lang w:val="fr-CA"/>
        </w:rPr>
        <w:t>e</w:t>
      </w:r>
      <w:r w:rsidR="002E1435" w:rsidRPr="00D61E42">
        <w:rPr>
          <w:lang w:val="fr-CA"/>
        </w:rPr>
        <w:t>s</w:t>
      </w:r>
      <w:r w:rsidR="000E133D" w:rsidRPr="000E133D">
        <w:rPr>
          <w:lang w:val="fr-CA"/>
        </w:rPr>
        <w:t>;</w:t>
      </w:r>
    </w:p>
    <w:p w14:paraId="4AEBF600" w14:textId="313E5382" w:rsidR="000E133D" w:rsidRPr="000E133D" w:rsidRDefault="002E1435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b/>
          <w:bCs/>
          <w:lang w:val="fr-CA"/>
        </w:rPr>
        <w:t>Retards de mise en œuvre</w:t>
      </w:r>
      <w:r w:rsidR="000E133D" w:rsidRPr="000E133D">
        <w:rPr>
          <w:b/>
          <w:bCs/>
          <w:lang w:val="fr-CA"/>
        </w:rPr>
        <w:t>:</w:t>
      </w:r>
      <w:r w:rsidR="000E133D" w:rsidRPr="000E133D">
        <w:rPr>
          <w:lang w:val="fr-CA"/>
        </w:rPr>
        <w:t xml:space="preserve"> </w:t>
      </w:r>
      <w:r w:rsidR="00305A80" w:rsidRPr="00D61E42">
        <w:rPr>
          <w:lang w:val="fr-CA"/>
        </w:rPr>
        <w:t xml:space="preserve">On comptait un total de </w:t>
      </w:r>
      <w:r w:rsidR="00305A80">
        <w:rPr>
          <w:lang w:val="fr-CA"/>
        </w:rPr>
        <w:t>237</w:t>
      </w:r>
      <w:r w:rsidR="00305A80" w:rsidRPr="00D61E42">
        <w:rPr>
          <w:lang w:val="fr-CA"/>
        </w:rPr>
        <w:t xml:space="preserve"> projets d’investissement en cours de mise en œuvre à la fin de 201</w:t>
      </w:r>
      <w:r w:rsidR="00305A80">
        <w:rPr>
          <w:lang w:val="fr-CA"/>
        </w:rPr>
        <w:t>9</w:t>
      </w:r>
      <w:r w:rsidR="00305A80" w:rsidRPr="00D61E42">
        <w:rPr>
          <w:lang w:val="fr-CA"/>
        </w:rPr>
        <w:t xml:space="preserve">. Ces projets connaissent, en moyenne, un retard de 26 mois. </w:t>
      </w:r>
      <w:r w:rsidR="00305A80">
        <w:rPr>
          <w:lang w:val="fr-CA"/>
        </w:rPr>
        <w:t xml:space="preserve">Quarante-sept de ces </w:t>
      </w:r>
      <w:r w:rsidR="00305A80" w:rsidRPr="00D61E42">
        <w:rPr>
          <w:lang w:val="fr-CA"/>
        </w:rPr>
        <w:t xml:space="preserve">projets </w:t>
      </w:r>
      <w:r w:rsidR="00305A80">
        <w:rPr>
          <w:lang w:val="fr-CA"/>
        </w:rPr>
        <w:t xml:space="preserve">sont </w:t>
      </w:r>
      <w:r w:rsidR="00305A80" w:rsidRPr="00D61E42">
        <w:rPr>
          <w:lang w:val="fr-CA"/>
        </w:rPr>
        <w:t xml:space="preserve">classés comme « projets avec des </w:t>
      </w:r>
      <w:r w:rsidR="00305A80">
        <w:rPr>
          <w:lang w:val="fr-CA"/>
        </w:rPr>
        <w:t xml:space="preserve">retard dans la </w:t>
      </w:r>
      <w:r w:rsidR="00305A80" w:rsidRPr="00D61E42">
        <w:rPr>
          <w:lang w:val="fr-CA"/>
        </w:rPr>
        <w:t>en œuvre »</w:t>
      </w:r>
      <w:r w:rsidR="000E133D" w:rsidRPr="000E133D">
        <w:rPr>
          <w:sz w:val="24"/>
          <w:szCs w:val="24"/>
          <w:vertAlign w:val="superscript"/>
          <w:lang w:val="fr-CA"/>
        </w:rPr>
        <w:footnoteReference w:id="10"/>
      </w:r>
      <w:r w:rsidR="000E133D" w:rsidRPr="000E133D">
        <w:rPr>
          <w:lang w:val="fr-CA"/>
        </w:rPr>
        <w:t xml:space="preserve"> </w:t>
      </w:r>
      <w:r w:rsidR="00305A80">
        <w:rPr>
          <w:lang w:val="fr-CA"/>
        </w:rPr>
        <w:t>e</w:t>
      </w:r>
      <w:r w:rsidR="00305A80" w:rsidRPr="00D61E42">
        <w:rPr>
          <w:lang w:val="fr-CA"/>
        </w:rPr>
        <w:t xml:space="preserve">t soumis aux procédures d’annulation de projet (puisque </w:t>
      </w:r>
      <w:r w:rsidR="00305A80">
        <w:rPr>
          <w:lang w:val="fr-CA"/>
        </w:rPr>
        <w:t xml:space="preserve">les projets de démonstration, </w:t>
      </w:r>
      <w:r w:rsidR="00305A80" w:rsidRPr="00D61E42">
        <w:rPr>
          <w:lang w:val="fr-CA"/>
        </w:rPr>
        <w:t>la préparation de projet</w:t>
      </w:r>
      <w:r w:rsidR="00305A80">
        <w:rPr>
          <w:lang w:val="fr-CA"/>
        </w:rPr>
        <w:t>s</w:t>
      </w:r>
      <w:r w:rsidR="00305A80" w:rsidRPr="00D61E42">
        <w:rPr>
          <w:lang w:val="fr-CA"/>
        </w:rPr>
        <w:t xml:space="preserve"> et le renforcement des</w:t>
      </w:r>
      <w:r w:rsidR="00305A80">
        <w:rPr>
          <w:lang w:val="fr-CA"/>
        </w:rPr>
        <w:t> </w:t>
      </w:r>
      <w:r w:rsidR="00305A80" w:rsidRPr="00D61E42">
        <w:rPr>
          <w:lang w:val="fr-CA"/>
        </w:rPr>
        <w:t>institutions ne sont pas soumis à ces procédures)</w:t>
      </w:r>
      <w:r w:rsidR="000E133D" w:rsidRPr="000E133D">
        <w:rPr>
          <w:lang w:val="fr-CA"/>
        </w:rPr>
        <w:t xml:space="preserve">; </w:t>
      </w:r>
      <w:r w:rsidR="00305A80">
        <w:rPr>
          <w:lang w:val="fr-CA"/>
        </w:rPr>
        <w:t>et</w:t>
      </w:r>
    </w:p>
    <w:p w14:paraId="59493271" w14:textId="4F048621" w:rsidR="000E133D" w:rsidRPr="000E133D" w:rsidRDefault="002E1435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b/>
          <w:lang w:val="fr-CA"/>
        </w:rPr>
        <w:lastRenderedPageBreak/>
        <w:t>Accords pluriannuels</w:t>
      </w:r>
      <w:r w:rsidR="000E133D" w:rsidRPr="000E133D">
        <w:rPr>
          <w:b/>
          <w:lang w:val="fr-CA"/>
        </w:rPr>
        <w:t xml:space="preserve"> (</w:t>
      </w:r>
      <w:r>
        <w:rPr>
          <w:b/>
          <w:lang w:val="fr-CA"/>
        </w:rPr>
        <w:t>AP</w:t>
      </w:r>
      <w:r w:rsidR="000E133D" w:rsidRPr="000E133D">
        <w:rPr>
          <w:b/>
          <w:lang w:val="fr-CA"/>
        </w:rPr>
        <w:t>A</w:t>
      </w:r>
      <w:proofErr w:type="gramStart"/>
      <w:r w:rsidR="000E133D" w:rsidRPr="000E133D">
        <w:rPr>
          <w:b/>
          <w:lang w:val="fr-CA"/>
        </w:rPr>
        <w:t>)</w:t>
      </w:r>
      <w:r w:rsidR="000E133D" w:rsidRPr="000E133D">
        <w:rPr>
          <w:lang w:val="fr-CA"/>
        </w:rPr>
        <w:t>:</w:t>
      </w:r>
      <w:proofErr w:type="gramEnd"/>
      <w:r w:rsidR="000E133D" w:rsidRPr="000E133D">
        <w:rPr>
          <w:lang w:val="fr-CA"/>
        </w:rPr>
        <w:t xml:space="preserve"> </w:t>
      </w:r>
      <w:r w:rsidR="00305A80" w:rsidRPr="00D61E42">
        <w:rPr>
          <w:lang w:val="fr-CA"/>
        </w:rPr>
        <w:t>En 201</w:t>
      </w:r>
      <w:r w:rsidR="00305A80">
        <w:rPr>
          <w:lang w:val="fr-CA"/>
        </w:rPr>
        <w:t>9</w:t>
      </w:r>
      <w:r w:rsidR="00305A80" w:rsidRPr="00D61E42">
        <w:rPr>
          <w:lang w:val="fr-CA"/>
        </w:rPr>
        <w:t xml:space="preserve">, un </w:t>
      </w:r>
      <w:r w:rsidR="00305A80">
        <w:rPr>
          <w:lang w:val="fr-CA"/>
        </w:rPr>
        <w:t>accord pluriannuel</w:t>
      </w:r>
      <w:r w:rsidR="00305A80" w:rsidRPr="00D61E42">
        <w:rPr>
          <w:lang w:val="fr-CA"/>
        </w:rPr>
        <w:t xml:space="preserve"> </w:t>
      </w:r>
      <w:r w:rsidR="00305A80">
        <w:rPr>
          <w:lang w:val="fr-CA"/>
        </w:rPr>
        <w:t xml:space="preserve">(APA) </w:t>
      </w:r>
      <w:r w:rsidR="00305A80" w:rsidRPr="00D61E42">
        <w:rPr>
          <w:lang w:val="fr-CA"/>
        </w:rPr>
        <w:t>pour l’élimination des SAO, un</w:t>
      </w:r>
      <w:r w:rsidR="00646205">
        <w:rPr>
          <w:lang w:val="fr-CA"/>
        </w:rPr>
        <w:t xml:space="preserve"> </w:t>
      </w:r>
      <w:r w:rsidR="00305A80" w:rsidRPr="00D61E42">
        <w:rPr>
          <w:lang w:val="fr-CA"/>
        </w:rPr>
        <w:t>AP</w:t>
      </w:r>
      <w:r w:rsidR="00305A80">
        <w:rPr>
          <w:lang w:val="fr-CA"/>
        </w:rPr>
        <w:t>A</w:t>
      </w:r>
      <w:r w:rsidR="00305A80" w:rsidRPr="00D61E42">
        <w:rPr>
          <w:lang w:val="fr-CA"/>
        </w:rPr>
        <w:t xml:space="preserve"> pour </w:t>
      </w:r>
      <w:r w:rsidR="00D53E14">
        <w:rPr>
          <w:lang w:val="fr-CA"/>
        </w:rPr>
        <w:t xml:space="preserve">l’élimination de </w:t>
      </w:r>
      <w:r w:rsidR="00305A80" w:rsidRPr="00D61E42">
        <w:rPr>
          <w:lang w:val="fr-CA"/>
        </w:rPr>
        <w:t>la production de bromure de</w:t>
      </w:r>
      <w:r w:rsidR="00305A80">
        <w:rPr>
          <w:lang w:val="fr-CA"/>
        </w:rPr>
        <w:t> </w:t>
      </w:r>
      <w:r w:rsidR="00305A80" w:rsidRPr="00D61E42">
        <w:rPr>
          <w:lang w:val="fr-CA"/>
        </w:rPr>
        <w:t>méthyle et 7</w:t>
      </w:r>
      <w:r w:rsidR="00D53E14">
        <w:rPr>
          <w:lang w:val="fr-CA"/>
        </w:rPr>
        <w:t>0</w:t>
      </w:r>
      <w:r w:rsidR="00305A80" w:rsidRPr="00D61E42">
        <w:rPr>
          <w:lang w:val="fr-CA"/>
        </w:rPr>
        <w:t> AP</w:t>
      </w:r>
      <w:r w:rsidR="00D53E14">
        <w:rPr>
          <w:lang w:val="fr-CA"/>
        </w:rPr>
        <w:t>A</w:t>
      </w:r>
      <w:r w:rsidR="00305A80" w:rsidRPr="00D61E42">
        <w:rPr>
          <w:lang w:val="fr-CA"/>
        </w:rPr>
        <w:t xml:space="preserve"> pour des plans de gestion de l’élimination des HCFC (PGEH)</w:t>
      </w:r>
      <w:r w:rsidR="00D53E14">
        <w:rPr>
          <w:lang w:val="fr-CA"/>
        </w:rPr>
        <w:t xml:space="preserve"> étaient en cours de mise en œuvre</w:t>
      </w:r>
      <w:r w:rsidR="00305A80" w:rsidRPr="00D61E42">
        <w:rPr>
          <w:lang w:val="fr-CA"/>
        </w:rPr>
        <w:t>. Depuis</w:t>
      </w:r>
      <w:r w:rsidR="00305A80">
        <w:rPr>
          <w:lang w:val="fr-CA"/>
        </w:rPr>
        <w:t> </w:t>
      </w:r>
      <w:r w:rsidR="00305A80" w:rsidRPr="00D61E42">
        <w:rPr>
          <w:lang w:val="fr-CA"/>
        </w:rPr>
        <w:t>1991, 15</w:t>
      </w:r>
      <w:r w:rsidR="00D53E14">
        <w:rPr>
          <w:lang w:val="fr-CA"/>
        </w:rPr>
        <w:t>7</w:t>
      </w:r>
      <w:r w:rsidR="00305A80" w:rsidRPr="00D61E42">
        <w:rPr>
          <w:lang w:val="fr-CA"/>
        </w:rPr>
        <w:t> AP</w:t>
      </w:r>
      <w:r w:rsidR="00D53E14">
        <w:rPr>
          <w:lang w:val="fr-CA"/>
        </w:rPr>
        <w:t>A</w:t>
      </w:r>
      <w:r w:rsidR="00305A80" w:rsidRPr="00D61E42">
        <w:rPr>
          <w:lang w:val="fr-CA"/>
        </w:rPr>
        <w:t xml:space="preserve"> ont été approuvés et </w:t>
      </w:r>
      <w:r w:rsidR="00D53E14">
        <w:rPr>
          <w:lang w:val="fr-CA"/>
        </w:rPr>
        <w:t>85</w:t>
      </w:r>
      <w:r w:rsidR="00305A80" w:rsidRPr="00D61E42">
        <w:rPr>
          <w:lang w:val="fr-CA"/>
        </w:rPr>
        <w:t> AP</w:t>
      </w:r>
      <w:r w:rsidR="00D53E14">
        <w:rPr>
          <w:lang w:val="fr-CA"/>
        </w:rPr>
        <w:t>A</w:t>
      </w:r>
      <w:r w:rsidR="00305A80" w:rsidRPr="00D61E42">
        <w:rPr>
          <w:lang w:val="fr-CA"/>
        </w:rPr>
        <w:t xml:space="preserve"> ont été achevés</w:t>
      </w:r>
      <w:r w:rsidR="00D53E14">
        <w:rPr>
          <w:lang w:val="fr-CA"/>
        </w:rPr>
        <w:t xml:space="preserve">, donnant un taux d’achèvement de </w:t>
      </w:r>
      <w:r w:rsidR="000E133D" w:rsidRPr="000E133D">
        <w:rPr>
          <w:lang w:val="fr-CA"/>
        </w:rPr>
        <w:t>54</w:t>
      </w:r>
      <w:r w:rsidR="00D53E14">
        <w:rPr>
          <w:lang w:val="fr-CA"/>
        </w:rPr>
        <w:t> </w:t>
      </w:r>
      <w:r w:rsidR="00631EA2">
        <w:rPr>
          <w:lang w:val="fr-CA"/>
        </w:rPr>
        <w:t>pour cent</w:t>
      </w:r>
      <w:r w:rsidR="000E133D" w:rsidRPr="000E133D">
        <w:rPr>
          <w:lang w:val="fr-CA"/>
        </w:rPr>
        <w:t xml:space="preserve">. </w:t>
      </w:r>
    </w:p>
    <w:p w14:paraId="68210E16" w14:textId="7417F68B" w:rsidR="000E133D" w:rsidRPr="000E133D" w:rsidRDefault="00A95667" w:rsidP="000E133D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240"/>
        <w:rPr>
          <w:b/>
          <w:bCs/>
          <w:lang w:val="fr-CA" w:eastAsia="fr-FR"/>
        </w:rPr>
      </w:pPr>
      <w:r>
        <w:rPr>
          <w:b/>
          <w:bCs/>
          <w:lang w:val="fr-CA" w:eastAsia="fr-FR"/>
        </w:rPr>
        <w:t>Pro</w:t>
      </w:r>
      <w:r w:rsidR="00D53E14">
        <w:rPr>
          <w:b/>
          <w:bCs/>
          <w:lang w:val="fr-CA" w:eastAsia="fr-FR"/>
        </w:rPr>
        <w:t>grès dans la mise en œuvre de projets en</w:t>
      </w:r>
      <w:r w:rsidR="000E133D" w:rsidRPr="000E133D">
        <w:rPr>
          <w:b/>
          <w:bCs/>
          <w:lang w:val="fr-CA" w:eastAsia="fr-FR"/>
        </w:rPr>
        <w:t xml:space="preserve"> 2019</w:t>
      </w:r>
    </w:p>
    <w:p w14:paraId="5726578E" w14:textId="60511B10" w:rsidR="000E133D" w:rsidRPr="000E133D" w:rsidRDefault="00646205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>Dans le cadre du processus d’examen, un certain nombre de sujets ont été abordés et résolus de façon satisfaisante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 xml:space="preserve">à l’exception de </w:t>
      </w:r>
      <w:r w:rsidR="000E133D" w:rsidRPr="000E133D">
        <w:rPr>
          <w:lang w:val="fr-CA"/>
        </w:rPr>
        <w:t xml:space="preserve">47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>s class</w:t>
      </w:r>
      <w:r>
        <w:rPr>
          <w:lang w:val="fr-CA"/>
        </w:rPr>
        <w:t xml:space="preserve">és comme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>
        <w:rPr>
          <w:lang w:val="fr-CA"/>
        </w:rPr>
        <w:t>souffrant de retards d’exécution</w:t>
      </w:r>
      <w:r w:rsidR="000E133D" w:rsidRPr="000E133D">
        <w:rPr>
          <w:lang w:val="fr-CA"/>
        </w:rPr>
        <w:t xml:space="preserve"> (</w:t>
      </w:r>
      <w:r>
        <w:rPr>
          <w:lang w:val="fr-CA"/>
        </w:rPr>
        <w:t xml:space="preserve">dont </w:t>
      </w:r>
      <w:r w:rsidR="000E133D" w:rsidRPr="000E133D">
        <w:rPr>
          <w:lang w:val="fr-CA"/>
        </w:rPr>
        <w:t xml:space="preserve">45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>
        <w:rPr>
          <w:lang w:val="fr-CA"/>
        </w:rPr>
        <w:t>liés à des éléments d’APA qui font l’objet de</w:t>
      </w:r>
      <w:r w:rsidR="000E133D" w:rsidRPr="000E133D">
        <w:rPr>
          <w:lang w:val="fr-CA"/>
        </w:rPr>
        <w:t xml:space="preserve"> </w:t>
      </w:r>
      <w:r w:rsidRPr="000E133D">
        <w:rPr>
          <w:lang w:val="fr-CA"/>
        </w:rPr>
        <w:t>procédures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d’annulation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 xml:space="preserve">conformément à la </w:t>
      </w:r>
      <w:r w:rsidR="00D0488E">
        <w:rPr>
          <w:lang w:val="fr-CA"/>
        </w:rPr>
        <w:t>décision</w:t>
      </w:r>
      <w:r w:rsidR="000E133D" w:rsidRPr="000E133D">
        <w:rPr>
          <w:lang w:val="fr-CA"/>
        </w:rPr>
        <w:t xml:space="preserve"> 84/45(c); </w:t>
      </w:r>
      <w:r>
        <w:rPr>
          <w:lang w:val="fr-CA"/>
        </w:rPr>
        <w:t xml:space="preserve">un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d’élimination de </w:t>
      </w:r>
      <w:r w:rsidR="000E133D" w:rsidRPr="000E133D">
        <w:rPr>
          <w:lang w:val="fr-CA"/>
        </w:rPr>
        <w:t xml:space="preserve">MB; </w:t>
      </w:r>
      <w:r>
        <w:rPr>
          <w:lang w:val="fr-CA"/>
        </w:rPr>
        <w:t>et un plan national d’élimination</w:t>
      </w:r>
      <w:r w:rsidR="000E133D" w:rsidRPr="000E133D">
        <w:rPr>
          <w:lang w:val="fr-CA"/>
        </w:rPr>
        <w:t xml:space="preserve">). </w:t>
      </w:r>
      <w:r>
        <w:rPr>
          <w:lang w:val="fr-CA"/>
        </w:rPr>
        <w:t>L’</w:t>
      </w:r>
      <w:r w:rsidR="000E133D" w:rsidRPr="000E133D">
        <w:rPr>
          <w:lang w:val="fr-CA"/>
        </w:rPr>
        <w:t>Annex</w:t>
      </w:r>
      <w:r>
        <w:rPr>
          <w:lang w:val="fr-CA"/>
        </w:rPr>
        <w:t>e</w:t>
      </w:r>
      <w:r w:rsidR="000E133D" w:rsidRPr="000E133D">
        <w:rPr>
          <w:lang w:val="fr-CA"/>
        </w:rPr>
        <w:t xml:space="preserve"> I </w:t>
      </w:r>
      <w:r>
        <w:rPr>
          <w:lang w:val="fr-CA"/>
        </w:rPr>
        <w:t xml:space="preserve">au </w:t>
      </w:r>
      <w:r w:rsidRPr="000E133D">
        <w:rPr>
          <w:lang w:val="fr-CA"/>
        </w:rPr>
        <w:t>présent</w:t>
      </w:r>
      <w:r w:rsidR="000E133D" w:rsidRPr="000E133D">
        <w:rPr>
          <w:lang w:val="fr-CA"/>
        </w:rPr>
        <w:t xml:space="preserve"> document</w:t>
      </w:r>
      <w:r>
        <w:rPr>
          <w:lang w:val="fr-CA"/>
        </w:rPr>
        <w:t xml:space="preserve"> décrit ces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>
        <w:rPr>
          <w:lang w:val="fr-CA"/>
        </w:rPr>
        <w:t xml:space="preserve">soufrant de retards dans la mise en œuvre, ainsi que la recommandation du </w:t>
      </w:r>
      <w:r w:rsidR="00A95667">
        <w:rPr>
          <w:lang w:val="fr-CA"/>
        </w:rPr>
        <w:t>Secrétariat</w:t>
      </w:r>
      <w:r>
        <w:rPr>
          <w:lang w:val="fr-CA"/>
        </w:rPr>
        <w:t xml:space="preserve"> de demander la soumission d’un rapport à la </w:t>
      </w:r>
      <w:r w:rsidR="000E133D" w:rsidRPr="000E133D">
        <w:rPr>
          <w:lang w:val="fr-CA"/>
        </w:rPr>
        <w:t>87</w:t>
      </w:r>
      <w:r>
        <w:rPr>
          <w:vertAlign w:val="superscript"/>
          <w:lang w:val="fr-CA"/>
        </w:rPr>
        <w:t>e</w:t>
      </w:r>
      <w:r w:rsidR="000E133D" w:rsidRPr="000E133D">
        <w:rPr>
          <w:lang w:val="fr-CA"/>
        </w:rPr>
        <w:t> 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>.</w:t>
      </w:r>
    </w:p>
    <w:p w14:paraId="74F9BC33" w14:textId="5F9B3D1F" w:rsidR="000E133D" w:rsidRPr="000E133D" w:rsidRDefault="003B4BAA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>E</w:t>
      </w:r>
      <w:r w:rsidR="000E133D" w:rsidRPr="000E133D">
        <w:rPr>
          <w:lang w:val="fr-CA"/>
        </w:rPr>
        <w:t xml:space="preserve">n </w:t>
      </w:r>
      <w:r>
        <w:rPr>
          <w:lang w:val="fr-CA"/>
        </w:rPr>
        <w:t xml:space="preserve">outre, un certain nombre de questions ont été identifiées dans des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>s o</w:t>
      </w:r>
      <w:r>
        <w:rPr>
          <w:lang w:val="fr-CA"/>
        </w:rPr>
        <w:t xml:space="preserve">u des </w:t>
      </w:r>
      <w:r w:rsidR="000E133D" w:rsidRPr="000E133D">
        <w:rPr>
          <w:lang w:val="fr-CA"/>
        </w:rPr>
        <w:t xml:space="preserve">tranches </w:t>
      </w:r>
      <w:r>
        <w:rPr>
          <w:lang w:val="fr-CA"/>
        </w:rPr>
        <w:t xml:space="preserve">d’APA visant l’élimination de </w:t>
      </w:r>
      <w:r w:rsidR="000E133D" w:rsidRPr="000E133D">
        <w:rPr>
          <w:lang w:val="fr-CA"/>
        </w:rPr>
        <w:t>HCFC</w:t>
      </w:r>
      <w:r>
        <w:rPr>
          <w:lang w:val="fr-CA"/>
        </w:rPr>
        <w:t>,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un projet de refroidisseurs et </w:t>
      </w:r>
      <w:r w:rsidR="00EE082B">
        <w:rPr>
          <w:lang w:val="fr-CA"/>
        </w:rPr>
        <w:t>des</w:t>
      </w:r>
      <w:r>
        <w:rPr>
          <w:lang w:val="fr-CA"/>
        </w:rPr>
        <w:t xml:space="preserve"> projets RI</w:t>
      </w:r>
      <w:r w:rsidR="00EE082B">
        <w:rPr>
          <w:lang w:val="fr-CA"/>
        </w:rPr>
        <w:t xml:space="preserve"> de renouvellement</w:t>
      </w:r>
      <w:r w:rsidR="000E133D" w:rsidRPr="000E133D">
        <w:rPr>
          <w:lang w:val="fr-CA"/>
        </w:rPr>
        <w:t xml:space="preserve">. </w:t>
      </w:r>
      <w:r>
        <w:rPr>
          <w:lang w:val="fr-CA"/>
        </w:rPr>
        <w:t>Ces questions sont également présentées dans l’</w:t>
      </w:r>
      <w:r w:rsidR="000E133D" w:rsidRPr="000E133D">
        <w:rPr>
          <w:lang w:val="fr-CA"/>
        </w:rPr>
        <w:t>Annex</w:t>
      </w:r>
      <w:r>
        <w:rPr>
          <w:lang w:val="fr-CA"/>
        </w:rPr>
        <w:t>e</w:t>
      </w:r>
      <w:r w:rsidR="000E133D" w:rsidRPr="000E133D">
        <w:rPr>
          <w:lang w:val="fr-CA"/>
        </w:rPr>
        <w:t xml:space="preserve"> I </w:t>
      </w:r>
      <w:r>
        <w:rPr>
          <w:lang w:val="fr-CA"/>
        </w:rPr>
        <w:t>au</w:t>
      </w:r>
      <w:r w:rsidR="000E133D" w:rsidRPr="000E133D">
        <w:rPr>
          <w:lang w:val="fr-CA"/>
        </w:rPr>
        <w:t xml:space="preserve"> </w:t>
      </w:r>
      <w:r w:rsidRPr="000E133D">
        <w:rPr>
          <w:lang w:val="fr-CA"/>
        </w:rPr>
        <w:t>présent</w:t>
      </w:r>
      <w:r w:rsidR="000E133D" w:rsidRPr="000E133D">
        <w:rPr>
          <w:lang w:val="fr-CA"/>
        </w:rPr>
        <w:t xml:space="preserve"> document. </w:t>
      </w:r>
      <w:r w:rsidR="00EE082B">
        <w:rPr>
          <w:lang w:val="fr-CA"/>
        </w:rPr>
        <w:t>L</w:t>
      </w:r>
      <w:r>
        <w:rPr>
          <w:lang w:val="fr-CA"/>
        </w:rPr>
        <w:t xml:space="preserve">’état de la mise en œuvre </w:t>
      </w:r>
      <w:r w:rsidR="00EE082B">
        <w:rPr>
          <w:lang w:val="fr-CA"/>
        </w:rPr>
        <w:t>de</w:t>
      </w:r>
      <w:r>
        <w:rPr>
          <w:lang w:val="fr-CA"/>
        </w:rPr>
        <w:t xml:space="preserve"> chacun de ces </w:t>
      </w:r>
      <w:r w:rsidR="00A95667">
        <w:rPr>
          <w:lang w:val="fr-CA"/>
        </w:rPr>
        <w:t>projet</w:t>
      </w:r>
      <w:r w:rsidR="00EE082B">
        <w:rPr>
          <w:lang w:val="fr-CA"/>
        </w:rPr>
        <w:t>s est brièvement décrit</w:t>
      </w:r>
      <w:r>
        <w:rPr>
          <w:lang w:val="fr-CA"/>
        </w:rPr>
        <w:t xml:space="preserve">, </w:t>
      </w:r>
      <w:r w:rsidR="00EE082B">
        <w:rPr>
          <w:lang w:val="fr-CA"/>
        </w:rPr>
        <w:t xml:space="preserve">ainsi que les questions non résolues; une </w:t>
      </w:r>
      <w:r w:rsidR="00D0488E">
        <w:rPr>
          <w:lang w:val="fr-CA"/>
        </w:rPr>
        <w:t>recommandation</w:t>
      </w:r>
      <w:r w:rsidR="000E133D" w:rsidRPr="000E133D">
        <w:rPr>
          <w:lang w:val="fr-CA"/>
        </w:rPr>
        <w:t xml:space="preserve"> </w:t>
      </w:r>
      <w:r w:rsidR="00EE082B">
        <w:rPr>
          <w:lang w:val="fr-CA"/>
        </w:rPr>
        <w:t xml:space="preserve">est soumise à l’examen du </w:t>
      </w:r>
      <w:r w:rsidR="00A95667">
        <w:rPr>
          <w:lang w:val="fr-CA"/>
        </w:rPr>
        <w:t>Comité exécutif</w:t>
      </w:r>
      <w:r w:rsidR="000E133D" w:rsidRPr="000E133D">
        <w:rPr>
          <w:lang w:val="fr-CA"/>
        </w:rPr>
        <w:t xml:space="preserve">. </w:t>
      </w:r>
    </w:p>
    <w:p w14:paraId="2BB5D3A9" w14:textId="611CDA73" w:rsidR="000E133D" w:rsidRPr="000E133D" w:rsidRDefault="00EE082B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La </w:t>
      </w:r>
      <w:r w:rsidR="00E15C69">
        <w:rPr>
          <w:lang w:val="fr-CA"/>
        </w:rPr>
        <w:t>86</w:t>
      </w:r>
      <w:r w:rsidR="00E15C69" w:rsidRPr="00E15C69">
        <w:rPr>
          <w:vertAlign w:val="superscript"/>
          <w:lang w:val="fr-CA"/>
        </w:rPr>
        <w:t>e</w:t>
      </w:r>
      <w:r w:rsidR="00E15C69">
        <w:rPr>
          <w:lang w:val="fr-CA"/>
        </w:rPr>
        <w:t> réunion est saisie des dé</w:t>
      </w:r>
      <w:r w:rsidR="000E133D" w:rsidRPr="000E133D">
        <w:rPr>
          <w:lang w:val="fr-CA"/>
        </w:rPr>
        <w:t xml:space="preserve">tails </w:t>
      </w:r>
      <w:r w:rsidR="00E15C69">
        <w:rPr>
          <w:lang w:val="fr-CA"/>
        </w:rPr>
        <w:t xml:space="preserve">de l’avancement de la mise en œuvre de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 w:rsidR="00E15C69">
        <w:rPr>
          <w:lang w:val="fr-CA"/>
        </w:rPr>
        <w:t>relevant des PGEH</w:t>
      </w:r>
      <w:r w:rsidR="000E133D" w:rsidRPr="000E133D">
        <w:rPr>
          <w:lang w:val="fr-CA"/>
        </w:rPr>
        <w:t xml:space="preserve"> </w:t>
      </w:r>
      <w:r w:rsidR="00E15C69">
        <w:rPr>
          <w:lang w:val="fr-CA"/>
        </w:rPr>
        <w:t xml:space="preserve">des pays suivants : </w:t>
      </w:r>
      <w:r w:rsidR="000E133D" w:rsidRPr="000E133D">
        <w:rPr>
          <w:lang w:val="fr-CA"/>
        </w:rPr>
        <w:t>Bolivi</w:t>
      </w:r>
      <w:r w:rsidR="00E15C69">
        <w:rPr>
          <w:lang w:val="fr-CA"/>
        </w:rPr>
        <w:t>e</w:t>
      </w:r>
      <w:r w:rsidR="000E133D" w:rsidRPr="000E133D">
        <w:rPr>
          <w:lang w:val="fr-CA"/>
        </w:rPr>
        <w:t xml:space="preserve"> (</w:t>
      </w:r>
      <w:r w:rsidR="00E15C69" w:rsidRPr="00E15C69">
        <w:rPr>
          <w:lang w:val="fr-CA"/>
        </w:rPr>
        <w:t>État plurinational de</w:t>
      </w:r>
      <w:r w:rsidR="000E133D" w:rsidRPr="000E133D">
        <w:rPr>
          <w:lang w:val="fr-CA"/>
        </w:rPr>
        <w:t>),</w:t>
      </w:r>
      <w:r w:rsidR="000E133D" w:rsidRPr="000E133D">
        <w:rPr>
          <w:vertAlign w:val="superscript"/>
          <w:lang w:val="fr-CA"/>
        </w:rPr>
        <w:footnoteReference w:id="11"/>
      </w:r>
      <w:r w:rsidR="000E133D" w:rsidRPr="000E133D">
        <w:rPr>
          <w:lang w:val="fr-CA"/>
        </w:rPr>
        <w:t xml:space="preserve"> Br</w:t>
      </w:r>
      <w:r w:rsidR="00E15C69">
        <w:rPr>
          <w:lang w:val="fr-CA"/>
        </w:rPr>
        <w:t>és</w:t>
      </w:r>
      <w:r w:rsidR="000E133D" w:rsidRPr="000E133D">
        <w:rPr>
          <w:lang w:val="fr-CA"/>
        </w:rPr>
        <w:t>il,</w:t>
      </w:r>
      <w:r w:rsidR="000E133D" w:rsidRPr="000E133D">
        <w:rPr>
          <w:vertAlign w:val="superscript"/>
          <w:lang w:val="fr-CA"/>
        </w:rPr>
        <w:footnoteReference w:id="12"/>
      </w:r>
      <w:r w:rsidR="000E133D" w:rsidRPr="000E133D">
        <w:rPr>
          <w:lang w:val="fr-CA"/>
        </w:rPr>
        <w:t xml:space="preserve"> </w:t>
      </w:r>
      <w:r w:rsidR="00E15C69" w:rsidRPr="000E133D">
        <w:rPr>
          <w:lang w:val="fr-CA"/>
        </w:rPr>
        <w:t>É</w:t>
      </w:r>
      <w:r w:rsidR="00E15C69">
        <w:rPr>
          <w:lang w:val="fr-CA"/>
        </w:rPr>
        <w:t>q</w:t>
      </w:r>
      <w:r w:rsidR="00E15C69" w:rsidRPr="000E133D">
        <w:rPr>
          <w:lang w:val="fr-CA"/>
        </w:rPr>
        <w:t>ua</w:t>
      </w:r>
      <w:r w:rsidR="00E15C69">
        <w:rPr>
          <w:lang w:val="fr-CA"/>
        </w:rPr>
        <w:t>teu</w:t>
      </w:r>
      <w:r w:rsidR="00E15C69" w:rsidRPr="000E133D">
        <w:rPr>
          <w:lang w:val="fr-CA"/>
        </w:rPr>
        <w:t>r</w:t>
      </w:r>
      <w:r w:rsidR="000E133D" w:rsidRPr="000E133D">
        <w:rPr>
          <w:lang w:val="fr-CA"/>
        </w:rPr>
        <w:t>,</w:t>
      </w:r>
      <w:r w:rsidR="000E133D" w:rsidRPr="000E133D">
        <w:rPr>
          <w:vertAlign w:val="superscript"/>
          <w:lang w:val="fr-CA"/>
        </w:rPr>
        <w:footnoteReference w:id="13"/>
      </w:r>
      <w:r w:rsidR="000E133D" w:rsidRPr="000E133D">
        <w:rPr>
          <w:lang w:val="fr-CA"/>
        </w:rPr>
        <w:t xml:space="preserve"> Gambi</w:t>
      </w:r>
      <w:r w:rsidR="00E15C69">
        <w:rPr>
          <w:lang w:val="fr-CA"/>
        </w:rPr>
        <w:t>e</w:t>
      </w:r>
      <w:r w:rsidR="000E133D" w:rsidRPr="000E133D">
        <w:rPr>
          <w:lang w:val="fr-CA"/>
        </w:rPr>
        <w:t>,</w:t>
      </w:r>
      <w:r w:rsidR="000E133D" w:rsidRPr="000E133D">
        <w:rPr>
          <w:vertAlign w:val="superscript"/>
          <w:lang w:val="fr-CA"/>
        </w:rPr>
        <w:footnoteReference w:id="14"/>
      </w:r>
      <w:r w:rsidR="000E133D" w:rsidRPr="000E133D">
        <w:rPr>
          <w:lang w:val="fr-CA"/>
        </w:rPr>
        <w:t xml:space="preserve"> Guatemala,</w:t>
      </w:r>
      <w:r w:rsidR="000E133D" w:rsidRPr="000E133D">
        <w:rPr>
          <w:vertAlign w:val="superscript"/>
          <w:lang w:val="fr-CA"/>
        </w:rPr>
        <w:footnoteReference w:id="15"/>
      </w:r>
      <w:r w:rsidR="000E133D" w:rsidRPr="000E133D">
        <w:rPr>
          <w:lang w:val="fr-CA"/>
        </w:rPr>
        <w:t xml:space="preserve"> Honduras,</w:t>
      </w:r>
      <w:r w:rsidR="000E133D" w:rsidRPr="000E133D">
        <w:rPr>
          <w:vertAlign w:val="superscript"/>
          <w:lang w:val="fr-CA"/>
        </w:rPr>
        <w:footnoteReference w:id="16"/>
      </w:r>
      <w:r w:rsidR="000E133D" w:rsidRPr="000E133D">
        <w:rPr>
          <w:lang w:val="fr-CA"/>
        </w:rPr>
        <w:t xml:space="preserve"> </w:t>
      </w:r>
      <w:r w:rsidR="00E15C69">
        <w:rPr>
          <w:lang w:val="fr-CA"/>
        </w:rPr>
        <w:t>République islamique d’Iran</w:t>
      </w:r>
      <w:r w:rsidR="000E133D" w:rsidRPr="000E133D">
        <w:rPr>
          <w:lang w:val="fr-CA"/>
        </w:rPr>
        <w:t>,</w:t>
      </w:r>
      <w:r w:rsidR="000E133D" w:rsidRPr="000E133D">
        <w:rPr>
          <w:vertAlign w:val="superscript"/>
          <w:lang w:val="fr-CA"/>
        </w:rPr>
        <w:footnoteReference w:id="17"/>
      </w:r>
      <w:r w:rsidR="000E133D" w:rsidRPr="000E133D">
        <w:rPr>
          <w:lang w:val="fr-CA"/>
        </w:rPr>
        <w:t xml:space="preserve"> Myanmar,</w:t>
      </w:r>
      <w:r w:rsidR="000E133D" w:rsidRPr="000E133D">
        <w:rPr>
          <w:vertAlign w:val="superscript"/>
          <w:lang w:val="fr-CA"/>
        </w:rPr>
        <w:footnoteReference w:id="18"/>
      </w:r>
      <w:r w:rsidR="000E133D" w:rsidRPr="000E133D">
        <w:rPr>
          <w:lang w:val="fr-CA"/>
        </w:rPr>
        <w:t xml:space="preserve"> Nicaragua,</w:t>
      </w:r>
      <w:r w:rsidR="000E133D" w:rsidRPr="000E133D">
        <w:rPr>
          <w:vertAlign w:val="superscript"/>
          <w:lang w:val="fr-CA"/>
        </w:rPr>
        <w:footnoteReference w:id="19"/>
      </w:r>
      <w:r w:rsidR="000E133D" w:rsidRPr="000E133D">
        <w:rPr>
          <w:lang w:val="fr-CA"/>
        </w:rPr>
        <w:t xml:space="preserve"> Mac</w:t>
      </w:r>
      <w:r w:rsidR="002857C1">
        <w:rPr>
          <w:lang w:val="fr-CA"/>
        </w:rPr>
        <w:t>é</w:t>
      </w:r>
      <w:r w:rsidR="000E133D" w:rsidRPr="000E133D">
        <w:rPr>
          <w:lang w:val="fr-CA"/>
        </w:rPr>
        <w:t>do</w:t>
      </w:r>
      <w:r w:rsidR="002857C1">
        <w:rPr>
          <w:lang w:val="fr-CA"/>
        </w:rPr>
        <w:t>i</w:t>
      </w:r>
      <w:r w:rsidR="000E133D" w:rsidRPr="000E133D">
        <w:rPr>
          <w:lang w:val="fr-CA"/>
        </w:rPr>
        <w:t>n</w:t>
      </w:r>
      <w:r w:rsidR="002857C1">
        <w:rPr>
          <w:lang w:val="fr-CA"/>
        </w:rPr>
        <w:t>e du Nord</w:t>
      </w:r>
      <w:r w:rsidR="000E133D" w:rsidRPr="000E133D">
        <w:rPr>
          <w:lang w:val="fr-CA"/>
        </w:rPr>
        <w:t>,</w:t>
      </w:r>
      <w:r w:rsidR="000E133D" w:rsidRPr="000E133D">
        <w:rPr>
          <w:vertAlign w:val="superscript"/>
          <w:lang w:val="fr-CA"/>
        </w:rPr>
        <w:footnoteReference w:id="20"/>
      </w:r>
      <w:r w:rsidR="000E133D" w:rsidRPr="000E133D">
        <w:rPr>
          <w:lang w:val="fr-CA"/>
        </w:rPr>
        <w:t xml:space="preserve"> Oman,</w:t>
      </w:r>
      <w:r w:rsidR="000E133D" w:rsidRPr="000E133D">
        <w:rPr>
          <w:vertAlign w:val="superscript"/>
          <w:lang w:val="fr-CA"/>
        </w:rPr>
        <w:footnoteReference w:id="21"/>
      </w:r>
      <w:r w:rsidR="000E133D" w:rsidRPr="000E133D">
        <w:rPr>
          <w:lang w:val="fr-CA"/>
        </w:rPr>
        <w:t xml:space="preserve"> Qatar,</w:t>
      </w:r>
      <w:r w:rsidR="000E133D" w:rsidRPr="000E133D">
        <w:rPr>
          <w:vertAlign w:val="superscript"/>
          <w:lang w:val="fr-CA"/>
        </w:rPr>
        <w:footnoteReference w:id="22"/>
      </w:r>
      <w:r w:rsidR="000E133D" w:rsidRPr="000E133D">
        <w:rPr>
          <w:lang w:val="fr-CA"/>
        </w:rPr>
        <w:t xml:space="preserve"> Rwanda,</w:t>
      </w:r>
      <w:r w:rsidR="000E133D" w:rsidRPr="000E133D">
        <w:rPr>
          <w:vertAlign w:val="superscript"/>
          <w:lang w:val="fr-CA"/>
        </w:rPr>
        <w:footnoteReference w:id="23"/>
      </w:r>
      <w:r w:rsidR="000E133D" w:rsidRPr="000E133D">
        <w:rPr>
          <w:lang w:val="fr-CA"/>
        </w:rPr>
        <w:t xml:space="preserve"> S</w:t>
      </w:r>
      <w:r w:rsidR="002857C1">
        <w:rPr>
          <w:lang w:val="fr-CA"/>
        </w:rPr>
        <w:t>o</w:t>
      </w:r>
      <w:r w:rsidR="000E133D" w:rsidRPr="000E133D">
        <w:rPr>
          <w:lang w:val="fr-CA"/>
        </w:rPr>
        <w:t>udan,</w:t>
      </w:r>
      <w:r w:rsidR="000E133D" w:rsidRPr="000E133D">
        <w:rPr>
          <w:vertAlign w:val="superscript"/>
          <w:lang w:val="fr-CA"/>
        </w:rPr>
        <w:footnoteReference w:id="24"/>
      </w:r>
      <w:r w:rsidR="000E133D" w:rsidRPr="000E133D">
        <w:rPr>
          <w:lang w:val="fr-CA"/>
        </w:rPr>
        <w:t xml:space="preserve"> </w:t>
      </w:r>
      <w:r w:rsidR="002857C1" w:rsidRPr="000E133D">
        <w:rPr>
          <w:lang w:val="fr-CA"/>
        </w:rPr>
        <w:t>Turkménistan</w:t>
      </w:r>
      <w:r w:rsidR="000E133D" w:rsidRPr="000E133D">
        <w:rPr>
          <w:lang w:val="fr-CA"/>
        </w:rPr>
        <w:t>,</w:t>
      </w:r>
      <w:r w:rsidR="000E133D" w:rsidRPr="000E133D">
        <w:rPr>
          <w:vertAlign w:val="superscript"/>
          <w:lang w:val="fr-CA"/>
        </w:rPr>
        <w:footnoteReference w:id="25"/>
      </w:r>
      <w:r w:rsidR="000E133D" w:rsidRPr="000E133D">
        <w:rPr>
          <w:lang w:val="fr-CA"/>
        </w:rPr>
        <w:t xml:space="preserve"> </w:t>
      </w:r>
      <w:r w:rsidR="002857C1">
        <w:rPr>
          <w:lang w:val="fr-CA"/>
        </w:rPr>
        <w:t>Ou</w:t>
      </w:r>
      <w:r w:rsidR="000E133D" w:rsidRPr="000E133D">
        <w:rPr>
          <w:lang w:val="fr-CA"/>
        </w:rPr>
        <w:t>ganda,</w:t>
      </w:r>
      <w:r w:rsidR="000E133D" w:rsidRPr="000E133D">
        <w:rPr>
          <w:vertAlign w:val="superscript"/>
          <w:lang w:val="fr-CA"/>
        </w:rPr>
        <w:footnoteReference w:id="26"/>
      </w:r>
      <w:r w:rsidR="000E133D" w:rsidRPr="000E133D">
        <w:rPr>
          <w:lang w:val="fr-CA"/>
        </w:rPr>
        <w:t xml:space="preserve"> </w:t>
      </w:r>
      <w:r w:rsidR="002857C1">
        <w:rPr>
          <w:lang w:val="fr-CA"/>
        </w:rPr>
        <w:t>et</w:t>
      </w:r>
      <w:r w:rsidR="000E133D" w:rsidRPr="000E133D">
        <w:rPr>
          <w:lang w:val="fr-CA"/>
        </w:rPr>
        <w:t xml:space="preserve"> Zambi</w:t>
      </w:r>
      <w:r w:rsidR="002857C1">
        <w:rPr>
          <w:lang w:val="fr-CA"/>
        </w:rPr>
        <w:t>e</w:t>
      </w:r>
      <w:r w:rsidR="000E133D" w:rsidRPr="000E133D">
        <w:rPr>
          <w:lang w:val="fr-CA"/>
        </w:rPr>
        <w:t>,</w:t>
      </w:r>
      <w:r w:rsidR="000E133D" w:rsidRPr="000E133D">
        <w:rPr>
          <w:vertAlign w:val="superscript"/>
          <w:lang w:val="fr-CA"/>
        </w:rPr>
        <w:footnoteReference w:id="27"/>
      </w:r>
      <w:r w:rsidR="000E133D" w:rsidRPr="000E133D">
        <w:rPr>
          <w:lang w:val="fr-CA"/>
        </w:rPr>
        <w:t xml:space="preserve"> </w:t>
      </w:r>
      <w:r w:rsidR="002857C1">
        <w:rPr>
          <w:lang w:val="fr-CA"/>
        </w:rPr>
        <w:t xml:space="preserve">et des rapports sur des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 w:rsidR="002857C1">
        <w:rPr>
          <w:lang w:val="fr-CA"/>
        </w:rPr>
        <w:t>sujets à des exigences</w:t>
      </w:r>
      <w:r w:rsidR="000E133D" w:rsidRPr="000E133D">
        <w:rPr>
          <w:vertAlign w:val="superscript"/>
          <w:lang w:val="fr-CA"/>
        </w:rPr>
        <w:footnoteReference w:id="28"/>
      </w:r>
      <w:r w:rsidR="002857C1">
        <w:rPr>
          <w:lang w:val="fr-CA"/>
        </w:rPr>
        <w:t xml:space="preserve"> de compte rendu particulières liés aux pays suivants : </w:t>
      </w:r>
      <w:r w:rsidR="000E133D" w:rsidRPr="000E133D">
        <w:rPr>
          <w:lang w:val="fr-CA"/>
        </w:rPr>
        <w:t>Argentin</w:t>
      </w:r>
      <w:r w:rsidR="002857C1">
        <w:rPr>
          <w:lang w:val="fr-CA"/>
        </w:rPr>
        <w:t>e</w:t>
      </w:r>
      <w:r w:rsidR="000E133D" w:rsidRPr="000E133D">
        <w:rPr>
          <w:lang w:val="fr-CA"/>
        </w:rPr>
        <w:t xml:space="preserve"> (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), </w:t>
      </w:r>
      <w:r w:rsidR="002857C1" w:rsidRPr="002857C1">
        <w:rPr>
          <w:lang w:val="fr-CA"/>
        </w:rPr>
        <w:t>République populaire démocratique de Corée</w:t>
      </w:r>
      <w:r w:rsidR="000E133D" w:rsidRPr="000E133D">
        <w:rPr>
          <w:lang w:val="fr-CA"/>
        </w:rPr>
        <w:t xml:space="preserve"> (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), </w:t>
      </w:r>
      <w:r w:rsidR="002857C1" w:rsidRPr="000E133D">
        <w:rPr>
          <w:lang w:val="fr-CA"/>
        </w:rPr>
        <w:t>Égypte</w:t>
      </w:r>
      <w:r w:rsidR="000E133D" w:rsidRPr="000E133D">
        <w:rPr>
          <w:lang w:val="fr-CA"/>
        </w:rPr>
        <w:t xml:space="preserve"> (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>), L</w:t>
      </w:r>
      <w:r w:rsidR="002857C1">
        <w:rPr>
          <w:lang w:val="fr-CA"/>
        </w:rPr>
        <w:t>iban</w:t>
      </w:r>
      <w:r w:rsidR="000E133D" w:rsidRPr="000E133D">
        <w:rPr>
          <w:lang w:val="fr-CA"/>
        </w:rPr>
        <w:t xml:space="preserve"> (</w:t>
      </w:r>
      <w:r w:rsidR="002857C1">
        <w:rPr>
          <w:lang w:val="fr-CA"/>
        </w:rPr>
        <w:t>destruction de SAO</w:t>
      </w:r>
      <w:r w:rsidR="000E133D" w:rsidRPr="000E133D">
        <w:rPr>
          <w:lang w:val="fr-CA"/>
        </w:rPr>
        <w:t>), Liby</w:t>
      </w:r>
      <w:r w:rsidR="002857C1">
        <w:rPr>
          <w:lang w:val="fr-CA"/>
        </w:rPr>
        <w:t>e</w:t>
      </w:r>
      <w:r w:rsidR="000E133D" w:rsidRPr="000E133D">
        <w:rPr>
          <w:lang w:val="fr-CA"/>
        </w:rPr>
        <w:t xml:space="preserve"> (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>), Mexi</w:t>
      </w:r>
      <w:r w:rsidR="002857C1">
        <w:rPr>
          <w:lang w:val="fr-CA"/>
        </w:rPr>
        <w:t>que</w:t>
      </w:r>
      <w:r w:rsidR="000E133D" w:rsidRPr="000E133D">
        <w:rPr>
          <w:lang w:val="fr-CA"/>
        </w:rPr>
        <w:t xml:space="preserve"> (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>), Tunisi</w:t>
      </w:r>
      <w:r w:rsidR="002857C1">
        <w:rPr>
          <w:lang w:val="fr-CA"/>
        </w:rPr>
        <w:t>e</w:t>
      </w:r>
      <w:r w:rsidR="000E133D" w:rsidRPr="000E133D">
        <w:rPr>
          <w:lang w:val="fr-CA"/>
        </w:rPr>
        <w:t xml:space="preserve"> (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>)</w:t>
      </w:r>
      <w:r w:rsidR="002857C1">
        <w:rPr>
          <w:lang w:val="fr-CA"/>
        </w:rPr>
        <w:t xml:space="preserve"> et </w:t>
      </w:r>
      <w:r w:rsidR="000E133D" w:rsidRPr="000E133D">
        <w:rPr>
          <w:lang w:val="fr-CA"/>
        </w:rPr>
        <w:t>Chin</w:t>
      </w:r>
      <w:r w:rsidR="002857C1">
        <w:rPr>
          <w:lang w:val="fr-CA"/>
        </w:rPr>
        <w:t>e</w:t>
      </w:r>
      <w:r w:rsidR="000E133D" w:rsidRPr="000E133D">
        <w:rPr>
          <w:lang w:val="fr-CA"/>
        </w:rPr>
        <w:t xml:space="preserve"> (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, </w:t>
      </w:r>
      <w:r w:rsidR="002857C1">
        <w:rPr>
          <w:lang w:val="fr-CA"/>
        </w:rPr>
        <w:t xml:space="preserve">plan d’élimination de la </w:t>
      </w:r>
      <w:r w:rsidR="000E133D" w:rsidRPr="000E133D">
        <w:rPr>
          <w:lang w:val="fr-CA"/>
        </w:rPr>
        <w:t xml:space="preserve">production </w:t>
      </w:r>
      <w:r w:rsidR="002857C1">
        <w:rPr>
          <w:lang w:val="fr-CA"/>
        </w:rPr>
        <w:t>de BM</w:t>
      </w:r>
      <w:r w:rsidR="000E133D" w:rsidRPr="000E133D">
        <w:rPr>
          <w:lang w:val="fr-CA"/>
        </w:rPr>
        <w:t>)</w:t>
      </w:r>
      <w:r w:rsidR="002857C1">
        <w:rPr>
          <w:lang w:val="fr-CA"/>
        </w:rPr>
        <w:t>.</w:t>
      </w:r>
      <w:r w:rsidR="000E133D" w:rsidRPr="000E133D">
        <w:rPr>
          <w:vertAlign w:val="superscript"/>
          <w:lang w:val="fr-CA"/>
        </w:rPr>
        <w:footnoteReference w:id="29"/>
      </w:r>
      <w:r w:rsidR="002857C1">
        <w:rPr>
          <w:lang w:val="fr-CA"/>
        </w:rPr>
        <w:t xml:space="preserve"> Des r</w:t>
      </w:r>
      <w:r w:rsidR="00D0488E">
        <w:rPr>
          <w:lang w:val="fr-CA"/>
        </w:rPr>
        <w:t>ecommandation</w:t>
      </w:r>
      <w:r w:rsidR="000E133D" w:rsidRPr="000E133D">
        <w:rPr>
          <w:lang w:val="fr-CA"/>
        </w:rPr>
        <w:t xml:space="preserve">s </w:t>
      </w:r>
      <w:r w:rsidR="002857C1">
        <w:rPr>
          <w:lang w:val="fr-CA"/>
        </w:rPr>
        <w:t xml:space="preserve">sur des questions en suspens de ces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, </w:t>
      </w:r>
      <w:r w:rsidR="002857C1">
        <w:rPr>
          <w:lang w:val="fr-CA"/>
        </w:rPr>
        <w:t xml:space="preserve">notamment l’approbation des demandes potentielles de prolongation sont abordées dans les sections pertinentes de ces </w:t>
      </w:r>
      <w:r w:rsidR="000E133D" w:rsidRPr="000E133D">
        <w:rPr>
          <w:lang w:val="fr-CA"/>
        </w:rPr>
        <w:t xml:space="preserve">documents. </w:t>
      </w:r>
      <w:r w:rsidR="00787839">
        <w:rPr>
          <w:lang w:val="fr-CA"/>
        </w:rPr>
        <w:t xml:space="preserve">Les questions liées aux 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 </w:t>
      </w:r>
      <w:r w:rsidR="00787839">
        <w:rPr>
          <w:lang w:val="fr-CA"/>
        </w:rPr>
        <w:t xml:space="preserve">des pays suivants : </w:t>
      </w:r>
      <w:r w:rsidR="000E133D" w:rsidRPr="000E133D">
        <w:rPr>
          <w:lang w:val="fr-CA"/>
        </w:rPr>
        <w:t>Bangladesh, Mali, Mauritani</w:t>
      </w:r>
      <w:r w:rsidR="00787839">
        <w:rPr>
          <w:lang w:val="fr-CA"/>
        </w:rPr>
        <w:t>e</w:t>
      </w:r>
      <w:r w:rsidR="000E133D" w:rsidRPr="000E133D">
        <w:rPr>
          <w:lang w:val="fr-CA"/>
        </w:rPr>
        <w:t xml:space="preserve">, Nigeria </w:t>
      </w:r>
      <w:r w:rsidR="00787839">
        <w:rPr>
          <w:lang w:val="fr-CA"/>
        </w:rPr>
        <w:t xml:space="preserve">et </w:t>
      </w:r>
      <w:r w:rsidR="000E133D" w:rsidRPr="000E133D">
        <w:rPr>
          <w:lang w:val="fr-CA"/>
        </w:rPr>
        <w:t>Sou</w:t>
      </w:r>
      <w:r w:rsidR="00787839">
        <w:rPr>
          <w:lang w:val="fr-CA"/>
        </w:rPr>
        <w:t xml:space="preserve">dan du </w:t>
      </w:r>
      <w:r w:rsidR="000E133D" w:rsidRPr="000E133D">
        <w:rPr>
          <w:lang w:val="fr-CA"/>
        </w:rPr>
        <w:t xml:space="preserve">Sud, </w:t>
      </w:r>
      <w:r w:rsidR="00787839">
        <w:rPr>
          <w:lang w:val="fr-CA"/>
        </w:rPr>
        <w:t xml:space="preserve">sont abordées </w:t>
      </w:r>
      <w:r w:rsidR="00787839">
        <w:rPr>
          <w:lang w:val="fr-CA"/>
        </w:rPr>
        <w:lastRenderedPageBreak/>
        <w:t xml:space="preserve">dans le </w:t>
      </w:r>
      <w:r w:rsidR="000E133D" w:rsidRPr="000E133D">
        <w:rPr>
          <w:lang w:val="fr-CA"/>
        </w:rPr>
        <w:t xml:space="preserve">document </w:t>
      </w:r>
      <w:r w:rsidR="00787839">
        <w:rPr>
          <w:lang w:val="fr-CA"/>
        </w:rPr>
        <w:t xml:space="preserve">sur les retards de soumission des </w:t>
      </w:r>
      <w:r w:rsidR="000E133D" w:rsidRPr="000E133D">
        <w:rPr>
          <w:lang w:val="fr-CA"/>
        </w:rPr>
        <w:t>tranche</w:t>
      </w:r>
      <w:r w:rsidR="00787839">
        <w:rPr>
          <w:lang w:val="fr-CA"/>
        </w:rPr>
        <w:t>s</w:t>
      </w:r>
      <w:r w:rsidR="000E133D" w:rsidRPr="000E133D">
        <w:rPr>
          <w:lang w:val="fr-CA"/>
        </w:rPr>
        <w:t>.</w:t>
      </w:r>
      <w:r w:rsidR="000E133D" w:rsidRPr="000E133D">
        <w:rPr>
          <w:vertAlign w:val="superscript"/>
          <w:lang w:val="fr-CA"/>
        </w:rPr>
        <w:footnoteReference w:id="30"/>
      </w:r>
      <w:r w:rsidR="000E133D" w:rsidRPr="000E133D">
        <w:rPr>
          <w:lang w:val="fr-CA"/>
        </w:rPr>
        <w:t xml:space="preserve"> </w:t>
      </w:r>
      <w:r w:rsidR="00787839">
        <w:rPr>
          <w:lang w:val="fr-CA"/>
        </w:rPr>
        <w:t xml:space="preserve">Les questions non résolues des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 w:rsidR="00787839">
        <w:rPr>
          <w:lang w:val="fr-CA"/>
        </w:rPr>
        <w:t xml:space="preserve">en cours restants non </w:t>
      </w:r>
      <w:r w:rsidR="000E133D" w:rsidRPr="000E133D">
        <w:rPr>
          <w:lang w:val="fr-CA"/>
        </w:rPr>
        <w:t>inclu</w:t>
      </w:r>
      <w:r w:rsidR="00787839">
        <w:rPr>
          <w:lang w:val="fr-CA"/>
        </w:rPr>
        <w:t>ses dans l’</w:t>
      </w:r>
      <w:r w:rsidR="000E133D" w:rsidRPr="000E133D">
        <w:rPr>
          <w:lang w:val="fr-CA"/>
        </w:rPr>
        <w:t>Annex</w:t>
      </w:r>
      <w:r w:rsidR="00787839">
        <w:rPr>
          <w:lang w:val="fr-CA"/>
        </w:rPr>
        <w:t>e</w:t>
      </w:r>
      <w:r w:rsidR="000E133D" w:rsidRPr="000E133D">
        <w:rPr>
          <w:lang w:val="fr-CA"/>
        </w:rPr>
        <w:t xml:space="preserve"> I </w:t>
      </w:r>
      <w:r w:rsidR="00787839">
        <w:rPr>
          <w:lang w:val="fr-CA"/>
        </w:rPr>
        <w:t xml:space="preserve">au </w:t>
      </w:r>
      <w:r w:rsidR="000E133D" w:rsidRPr="000E133D">
        <w:rPr>
          <w:lang w:val="fr-CA"/>
        </w:rPr>
        <w:t>pr</w:t>
      </w:r>
      <w:r w:rsidR="00787839">
        <w:rPr>
          <w:lang w:val="fr-CA"/>
        </w:rPr>
        <w:t>é</w:t>
      </w:r>
      <w:r w:rsidR="000E133D" w:rsidRPr="000E133D">
        <w:rPr>
          <w:lang w:val="fr-CA"/>
        </w:rPr>
        <w:t xml:space="preserve">sent document, </w:t>
      </w:r>
      <w:r w:rsidR="00787839">
        <w:rPr>
          <w:lang w:val="fr-CA"/>
        </w:rPr>
        <w:t>et les demandes de report de la date d’achèvement sont examinées dans les paragraphes qui suivent</w:t>
      </w:r>
      <w:r w:rsidR="000E133D" w:rsidRPr="000E133D">
        <w:rPr>
          <w:lang w:val="fr-CA"/>
        </w:rPr>
        <w:t xml:space="preserve">. </w:t>
      </w:r>
    </w:p>
    <w:p w14:paraId="7985B9DB" w14:textId="7486535E" w:rsidR="000E133D" w:rsidRPr="000E133D" w:rsidRDefault="00787839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Sur les </w:t>
      </w:r>
      <w:r w:rsidR="000E133D" w:rsidRPr="000E133D" w:rsidDel="007F3FC9">
        <w:rPr>
          <w:lang w:val="fr-CA"/>
        </w:rPr>
        <w:t xml:space="preserve">166 </w:t>
      </w:r>
      <w:r w:rsidR="00A95667">
        <w:rPr>
          <w:lang w:val="fr-CA"/>
        </w:rPr>
        <w:t>projet</w:t>
      </w:r>
      <w:r w:rsidR="000E133D" w:rsidRPr="000E133D" w:rsidDel="007F3FC9">
        <w:rPr>
          <w:lang w:val="fr-CA"/>
        </w:rPr>
        <w:t>s</w:t>
      </w:r>
      <w:r>
        <w:rPr>
          <w:lang w:val="fr-CA"/>
        </w:rPr>
        <w:t xml:space="preserve"> en cours</w:t>
      </w:r>
      <w:r w:rsidR="000E133D" w:rsidRPr="000E133D" w:rsidDel="007F3FC9">
        <w:rPr>
          <w:lang w:val="fr-CA"/>
        </w:rPr>
        <w:t xml:space="preserve">, </w:t>
      </w:r>
      <w:r>
        <w:rPr>
          <w:lang w:val="fr-CA"/>
        </w:rPr>
        <w:t>à l’</w:t>
      </w:r>
      <w:r w:rsidR="000E133D" w:rsidRPr="000E133D" w:rsidDel="007F3FC9">
        <w:rPr>
          <w:lang w:val="fr-CA"/>
        </w:rPr>
        <w:t>exclu</w:t>
      </w:r>
      <w:r>
        <w:rPr>
          <w:lang w:val="fr-CA"/>
        </w:rPr>
        <w:t xml:space="preserve">sion du RI et de la préparation de </w:t>
      </w:r>
      <w:r w:rsidR="00A95667">
        <w:rPr>
          <w:lang w:val="fr-CA"/>
        </w:rPr>
        <w:t>projet</w:t>
      </w:r>
      <w:r>
        <w:rPr>
          <w:lang w:val="fr-CA"/>
        </w:rPr>
        <w:t>s</w:t>
      </w:r>
      <w:r w:rsidR="000E133D" w:rsidRPr="000E133D" w:rsidDel="007F3FC9">
        <w:rPr>
          <w:lang w:val="fr-CA"/>
        </w:rPr>
        <w:t xml:space="preserve">, 76 </w:t>
      </w:r>
      <w:r w:rsidR="00A95667">
        <w:rPr>
          <w:lang w:val="fr-CA"/>
        </w:rPr>
        <w:t>projet</w:t>
      </w:r>
      <w:r w:rsidR="000E133D" w:rsidRPr="000E133D" w:rsidDel="007F3FC9">
        <w:rPr>
          <w:lang w:val="fr-CA"/>
        </w:rPr>
        <w:t xml:space="preserve">s </w:t>
      </w:r>
      <w:r w:rsidR="00BE7D87">
        <w:rPr>
          <w:lang w:val="fr-CA"/>
        </w:rPr>
        <w:t xml:space="preserve">ont révisé leurs dates d’achèvement prévues depuis le </w:t>
      </w:r>
      <w:r w:rsidR="00D0488E">
        <w:rPr>
          <w:lang w:val="fr-CA"/>
        </w:rPr>
        <w:t>rapport périodique</w:t>
      </w:r>
      <w:r w:rsidR="00BE7D87">
        <w:rPr>
          <w:lang w:val="fr-CA"/>
        </w:rPr>
        <w:t xml:space="preserve"> de 2018</w:t>
      </w:r>
      <w:r w:rsidR="000E133D" w:rsidRPr="000E133D" w:rsidDel="007F3FC9">
        <w:rPr>
          <w:lang w:val="fr-CA"/>
        </w:rPr>
        <w:t xml:space="preserve">. </w:t>
      </w:r>
    </w:p>
    <w:p w14:paraId="1A3800FE" w14:textId="63D31630" w:rsidR="000E133D" w:rsidRPr="000E133D" w:rsidRDefault="00BE7D87" w:rsidP="000E133D">
      <w:pPr>
        <w:numPr>
          <w:ilvl w:val="0"/>
          <w:numId w:val="1"/>
        </w:numPr>
        <w:spacing w:after="240"/>
        <w:outlineLvl w:val="0"/>
        <w:rPr>
          <w:rFonts w:eastAsiaTheme="minorHAnsi"/>
          <w:b/>
          <w:caps/>
          <w:lang w:val="fr-CA"/>
        </w:rPr>
      </w:pPr>
      <w:r>
        <w:rPr>
          <w:rFonts w:eastAsiaTheme="minorHAnsi"/>
          <w:lang w:val="fr-CA"/>
        </w:rPr>
        <w:t>Le Secrétariat, s’appuyant sur la</w:t>
      </w:r>
      <w:r w:rsidR="000E133D" w:rsidRPr="000E133D">
        <w:rPr>
          <w:rFonts w:eastAsiaTheme="minorHAnsi"/>
          <w:lang w:val="fr-CA"/>
        </w:rPr>
        <w:t xml:space="preserve"> </w:t>
      </w:r>
      <w:r w:rsidR="00D0488E">
        <w:rPr>
          <w:rFonts w:eastAsiaTheme="minorHAnsi"/>
          <w:lang w:val="fr-CA"/>
        </w:rPr>
        <w:t>décision</w:t>
      </w:r>
      <w:r w:rsidR="000E133D" w:rsidRPr="000E133D">
        <w:rPr>
          <w:rFonts w:eastAsiaTheme="minorHAnsi"/>
          <w:lang w:val="fr-CA"/>
        </w:rPr>
        <w:t xml:space="preserve"> 82/11(c)(ii), </w:t>
      </w:r>
      <w:r>
        <w:rPr>
          <w:rFonts w:eastAsiaTheme="minorHAnsi"/>
          <w:lang w:val="fr-CA"/>
        </w:rPr>
        <w:t>a noté que le renouvellement du projet RI de la République arabe syrienne n’avait pas été demandé depuis les deux dernières années</w:t>
      </w:r>
      <w:r w:rsidR="000E133D" w:rsidRPr="000E133D">
        <w:rPr>
          <w:rFonts w:eastAsiaTheme="minorHAnsi"/>
          <w:caps/>
          <w:lang w:val="fr-CA"/>
        </w:rPr>
        <w:t xml:space="preserve">. </w:t>
      </w:r>
      <w:r>
        <w:rPr>
          <w:rFonts w:eastAsiaTheme="minorHAnsi"/>
          <w:caps/>
          <w:lang w:val="fr-CA"/>
        </w:rPr>
        <w:t>L’</w:t>
      </w:r>
      <w:r w:rsidR="00A95667">
        <w:rPr>
          <w:rFonts w:eastAsiaTheme="minorHAnsi"/>
          <w:caps/>
          <w:lang w:val="fr-CA"/>
        </w:rPr>
        <w:t>ONUDI</w:t>
      </w:r>
      <w:r w:rsidR="000E133D" w:rsidRPr="000E133D">
        <w:rPr>
          <w:rFonts w:eastAsiaTheme="minorHAnsi"/>
          <w:lang w:val="fr-CA"/>
        </w:rPr>
        <w:t xml:space="preserve"> </w:t>
      </w:r>
      <w:r>
        <w:rPr>
          <w:rFonts w:eastAsiaTheme="minorHAnsi"/>
          <w:lang w:val="fr-CA"/>
        </w:rPr>
        <w:t>a expliqué que la principale raison de cette omission est qu’il reste un solde élevé en raison de la lenteur des progrès dans la mise en œuvre</w:t>
      </w:r>
      <w:r w:rsidR="000E133D" w:rsidRPr="000E133D">
        <w:rPr>
          <w:rFonts w:eastAsiaTheme="minorHAnsi"/>
          <w:lang w:val="fr-CA"/>
        </w:rPr>
        <w:t xml:space="preserve">; </w:t>
      </w:r>
      <w:r>
        <w:rPr>
          <w:rFonts w:eastAsiaTheme="minorHAnsi"/>
          <w:lang w:val="fr-CA"/>
        </w:rPr>
        <w:t xml:space="preserve">elle compte cependant soumettre une demande de renouvellement en </w:t>
      </w:r>
      <w:r w:rsidR="000E133D" w:rsidRPr="000E133D">
        <w:rPr>
          <w:rFonts w:eastAsiaTheme="minorHAnsi"/>
          <w:caps/>
          <w:lang w:val="fr-CA"/>
        </w:rPr>
        <w:t>2021</w:t>
      </w:r>
      <w:r w:rsidR="000E133D" w:rsidRPr="000E133D">
        <w:rPr>
          <w:rFonts w:eastAsiaTheme="minorHAnsi"/>
          <w:lang w:val="fr-CA"/>
        </w:rPr>
        <w:t>.</w:t>
      </w:r>
    </w:p>
    <w:p w14:paraId="718AE29E" w14:textId="1E54BEF6" w:rsidR="000E133D" w:rsidRPr="000E133D" w:rsidRDefault="00BE7D87" w:rsidP="000E133D">
      <w:pPr>
        <w:numPr>
          <w:ilvl w:val="0"/>
          <w:numId w:val="1"/>
        </w:numPr>
        <w:spacing w:after="240"/>
        <w:outlineLvl w:val="0"/>
        <w:rPr>
          <w:rFonts w:eastAsiaTheme="minorHAnsi"/>
          <w:b/>
          <w:caps/>
          <w:lang w:val="fr-CA"/>
        </w:rPr>
      </w:pPr>
      <w:r>
        <w:rPr>
          <w:rFonts w:eastAsiaTheme="minorHAnsi"/>
          <w:lang w:val="fr-CA"/>
        </w:rPr>
        <w:t xml:space="preserve">Conformément à la </w:t>
      </w:r>
      <w:r w:rsidR="00D0488E">
        <w:rPr>
          <w:rFonts w:eastAsiaTheme="minorHAnsi"/>
          <w:lang w:val="fr-CA"/>
        </w:rPr>
        <w:t>décision</w:t>
      </w:r>
      <w:r w:rsidR="000E133D" w:rsidRPr="000E133D">
        <w:rPr>
          <w:rFonts w:eastAsiaTheme="minorHAnsi"/>
          <w:lang w:val="fr-CA"/>
        </w:rPr>
        <w:t xml:space="preserve"> 82/11(b),</w:t>
      </w:r>
      <w:r w:rsidR="000E133D" w:rsidRPr="000E133D">
        <w:rPr>
          <w:rFonts w:eastAsiaTheme="minorHAnsi"/>
          <w:sz w:val="24"/>
          <w:szCs w:val="24"/>
          <w:vertAlign w:val="superscript"/>
          <w:lang w:val="fr-CA"/>
        </w:rPr>
        <w:footnoteReference w:id="31"/>
      </w:r>
      <w:r w:rsidR="000E133D" w:rsidRPr="000E133D">
        <w:rPr>
          <w:rFonts w:eastAsiaTheme="minorHAnsi"/>
          <w:lang w:val="fr-CA"/>
        </w:rPr>
        <w:t xml:space="preserve"> </w:t>
      </w:r>
      <w:r>
        <w:rPr>
          <w:rFonts w:eastAsiaTheme="minorHAnsi"/>
          <w:lang w:val="fr-CA"/>
        </w:rPr>
        <w:t>l’</w:t>
      </w:r>
      <w:r w:rsidR="00A95667">
        <w:rPr>
          <w:rFonts w:eastAsiaTheme="minorHAnsi"/>
          <w:lang w:val="fr-CA"/>
        </w:rPr>
        <w:t>ONUDI</w:t>
      </w:r>
      <w:r w:rsidR="000E133D" w:rsidRPr="000E133D">
        <w:rPr>
          <w:rFonts w:eastAsiaTheme="minorHAnsi"/>
          <w:lang w:val="fr-CA"/>
        </w:rPr>
        <w:t xml:space="preserve"> </w:t>
      </w:r>
      <w:r>
        <w:rPr>
          <w:rFonts w:eastAsiaTheme="minorHAnsi"/>
          <w:lang w:val="fr-CA"/>
        </w:rPr>
        <w:t xml:space="preserve">a demandé la prolongation de la durée de trois </w:t>
      </w:r>
      <w:r w:rsidR="00A95667">
        <w:rPr>
          <w:rFonts w:eastAsiaTheme="minorHAnsi"/>
          <w:lang w:val="fr-CA"/>
        </w:rPr>
        <w:t>projet</w:t>
      </w:r>
      <w:r w:rsidR="000E133D" w:rsidRPr="000E133D">
        <w:rPr>
          <w:rFonts w:eastAsiaTheme="minorHAnsi"/>
          <w:lang w:val="fr-CA"/>
        </w:rPr>
        <w:t xml:space="preserve">s </w:t>
      </w:r>
      <w:r>
        <w:rPr>
          <w:rFonts w:eastAsiaTheme="minorHAnsi"/>
          <w:lang w:val="fr-CA"/>
        </w:rPr>
        <w:t xml:space="preserve">liés au </w:t>
      </w:r>
      <w:r w:rsidR="00E15C69">
        <w:rPr>
          <w:rFonts w:eastAsiaTheme="minorHAnsi"/>
          <w:lang w:val="fr-CA"/>
        </w:rPr>
        <w:t>PGEH</w:t>
      </w:r>
      <w:r w:rsidR="000E133D" w:rsidRPr="000E133D">
        <w:rPr>
          <w:rFonts w:eastAsiaTheme="minorHAnsi"/>
          <w:lang w:val="fr-CA"/>
        </w:rPr>
        <w:t xml:space="preserve"> </w:t>
      </w:r>
      <w:r>
        <w:rPr>
          <w:rFonts w:eastAsiaTheme="minorHAnsi"/>
          <w:lang w:val="fr-CA"/>
        </w:rPr>
        <w:t>de deux pays</w:t>
      </w:r>
      <w:r w:rsidR="000E133D" w:rsidRPr="000E133D">
        <w:rPr>
          <w:rFonts w:eastAsiaTheme="minorHAnsi"/>
          <w:lang w:val="fr-CA"/>
        </w:rPr>
        <w:t xml:space="preserve">, </w:t>
      </w:r>
      <w:r w:rsidR="007F102B">
        <w:rPr>
          <w:rFonts w:eastAsiaTheme="minorHAnsi"/>
          <w:lang w:val="fr-CA"/>
        </w:rPr>
        <w:t xml:space="preserve">dont la mise en œuvre dépasse la date d’achèvement indiquée dans leurs Accords respectifs conclus avec le </w:t>
      </w:r>
      <w:r w:rsidR="00A95667">
        <w:rPr>
          <w:rFonts w:eastAsiaTheme="minorHAnsi"/>
          <w:lang w:val="fr-CA"/>
        </w:rPr>
        <w:t>Comité exécutif</w:t>
      </w:r>
      <w:r w:rsidR="000E133D" w:rsidRPr="000E133D">
        <w:rPr>
          <w:rFonts w:eastAsiaTheme="minorHAnsi"/>
          <w:lang w:val="fr-CA"/>
        </w:rPr>
        <w:t xml:space="preserve">; </w:t>
      </w:r>
      <w:r w:rsidR="007F102B">
        <w:rPr>
          <w:rFonts w:eastAsiaTheme="minorHAnsi"/>
          <w:lang w:val="fr-CA"/>
        </w:rPr>
        <w:t xml:space="preserve">un </w:t>
      </w:r>
      <w:r w:rsidR="00A95667">
        <w:rPr>
          <w:rFonts w:eastAsiaTheme="minorHAnsi"/>
          <w:lang w:val="fr-CA"/>
        </w:rPr>
        <w:t>projet</w:t>
      </w:r>
      <w:r w:rsidR="000E133D" w:rsidRPr="000E133D">
        <w:rPr>
          <w:rFonts w:eastAsiaTheme="minorHAnsi"/>
          <w:lang w:val="fr-CA"/>
        </w:rPr>
        <w:t xml:space="preserve"> </w:t>
      </w:r>
      <w:r w:rsidR="007F102B">
        <w:rPr>
          <w:rFonts w:eastAsiaTheme="minorHAnsi"/>
          <w:lang w:val="fr-CA"/>
        </w:rPr>
        <w:t xml:space="preserve">vise l’élimination des </w:t>
      </w:r>
      <w:r w:rsidR="000E133D" w:rsidRPr="000E133D">
        <w:rPr>
          <w:rFonts w:eastAsiaTheme="minorHAnsi"/>
          <w:lang w:val="fr-CA"/>
        </w:rPr>
        <w:t xml:space="preserve">HCFC; </w:t>
      </w:r>
      <w:r w:rsidR="007F102B">
        <w:rPr>
          <w:rFonts w:eastAsiaTheme="minorHAnsi"/>
          <w:lang w:val="fr-CA"/>
        </w:rPr>
        <w:t xml:space="preserve">un autre est lié </w:t>
      </w:r>
      <w:r w:rsidR="001D0731">
        <w:rPr>
          <w:rFonts w:eastAsiaTheme="minorHAnsi"/>
          <w:lang w:val="fr-CA"/>
        </w:rPr>
        <w:t>aux aérosol-doseurs</w:t>
      </w:r>
      <w:r w:rsidR="000E133D" w:rsidRPr="000E133D">
        <w:rPr>
          <w:rFonts w:eastAsiaTheme="minorHAnsi"/>
          <w:lang w:val="fr-CA"/>
        </w:rPr>
        <w:t xml:space="preserve">; </w:t>
      </w:r>
      <w:r w:rsidR="001D0731">
        <w:rPr>
          <w:rFonts w:eastAsiaTheme="minorHAnsi"/>
          <w:lang w:val="fr-CA"/>
        </w:rPr>
        <w:t xml:space="preserve">un </w:t>
      </w:r>
      <w:r w:rsidR="00A95667">
        <w:rPr>
          <w:rFonts w:eastAsiaTheme="minorHAnsi"/>
          <w:lang w:val="fr-CA"/>
        </w:rPr>
        <w:t>projet</w:t>
      </w:r>
      <w:r w:rsidR="001D0731">
        <w:rPr>
          <w:rFonts w:eastAsiaTheme="minorHAnsi"/>
          <w:lang w:val="fr-CA"/>
        </w:rPr>
        <w:t xml:space="preserve"> de refroidisseur</w:t>
      </w:r>
      <w:r w:rsidR="000E133D" w:rsidRPr="000E133D">
        <w:rPr>
          <w:rFonts w:eastAsiaTheme="minorHAnsi"/>
          <w:lang w:val="fr-CA"/>
        </w:rPr>
        <w:t xml:space="preserve">; </w:t>
      </w:r>
      <w:r w:rsidR="001D0731">
        <w:rPr>
          <w:rFonts w:eastAsiaTheme="minorHAnsi"/>
          <w:lang w:val="fr-CA"/>
        </w:rPr>
        <w:t xml:space="preserve">et deux </w:t>
      </w:r>
      <w:r w:rsidR="00A95667">
        <w:rPr>
          <w:rFonts w:eastAsiaTheme="minorHAnsi"/>
          <w:lang w:val="fr-CA"/>
        </w:rPr>
        <w:t>projet</w:t>
      </w:r>
      <w:r w:rsidR="000E133D" w:rsidRPr="000E133D">
        <w:rPr>
          <w:rFonts w:eastAsiaTheme="minorHAnsi"/>
          <w:lang w:val="fr-CA"/>
        </w:rPr>
        <w:t xml:space="preserve">s </w:t>
      </w:r>
      <w:r w:rsidR="001D0731">
        <w:rPr>
          <w:rFonts w:eastAsiaTheme="minorHAnsi"/>
          <w:lang w:val="fr-CA"/>
        </w:rPr>
        <w:t>d’élimination de SAO</w:t>
      </w:r>
      <w:r w:rsidR="000E133D" w:rsidRPr="000E133D">
        <w:rPr>
          <w:rFonts w:eastAsiaTheme="minorHAnsi"/>
          <w:lang w:val="fr-CA"/>
        </w:rPr>
        <w:t xml:space="preserve">. </w:t>
      </w:r>
      <w:r w:rsidR="001D0731">
        <w:rPr>
          <w:rFonts w:eastAsiaTheme="minorHAnsi"/>
          <w:lang w:val="fr-CA"/>
        </w:rPr>
        <w:t xml:space="preserve">Le Tableau 1 indique les raisons des demandes de report des dates d’achèvement pour ces </w:t>
      </w:r>
      <w:r w:rsidR="00A95667">
        <w:rPr>
          <w:rFonts w:eastAsiaTheme="minorHAnsi"/>
          <w:lang w:val="fr-CA"/>
        </w:rPr>
        <w:t>projet</w:t>
      </w:r>
      <w:r w:rsidR="000E133D" w:rsidRPr="000E133D">
        <w:rPr>
          <w:rFonts w:eastAsiaTheme="minorHAnsi"/>
          <w:lang w:val="fr-CA"/>
        </w:rPr>
        <w:t>s.</w:t>
      </w:r>
    </w:p>
    <w:p w14:paraId="7824B923" w14:textId="005850D2" w:rsidR="000E133D" w:rsidRPr="000E133D" w:rsidRDefault="000E133D" w:rsidP="000E133D">
      <w:pPr>
        <w:keepNext/>
        <w:rPr>
          <w:b/>
          <w:lang w:val="fr-CA"/>
        </w:rPr>
      </w:pPr>
      <w:r w:rsidRPr="000E133D">
        <w:rPr>
          <w:b/>
          <w:lang w:val="fr-CA"/>
        </w:rPr>
        <w:t>Table</w:t>
      </w:r>
      <w:r w:rsidR="001D0731">
        <w:rPr>
          <w:b/>
          <w:lang w:val="fr-CA"/>
        </w:rPr>
        <w:t>au</w:t>
      </w:r>
      <w:r w:rsidRPr="000E133D">
        <w:rPr>
          <w:b/>
          <w:lang w:val="fr-CA"/>
        </w:rPr>
        <w:t xml:space="preserve"> 1. </w:t>
      </w:r>
      <w:r w:rsidR="00A95667">
        <w:rPr>
          <w:b/>
          <w:lang w:val="fr-CA"/>
        </w:rPr>
        <w:t>Projet</w:t>
      </w:r>
      <w:r w:rsidRPr="000E133D">
        <w:rPr>
          <w:b/>
          <w:lang w:val="fr-CA"/>
        </w:rPr>
        <w:t xml:space="preserve">s </w:t>
      </w:r>
      <w:r w:rsidR="001D0731">
        <w:rPr>
          <w:b/>
          <w:lang w:val="fr-CA"/>
        </w:rPr>
        <w:t>pour lesquels la prolongation des dates d’achèvement a été demandée</w:t>
      </w:r>
    </w:p>
    <w:tbl>
      <w:tblPr>
        <w:tblStyle w:val="TableGrid"/>
        <w:tblW w:w="5118" w:type="pct"/>
        <w:tblLayout w:type="fixed"/>
        <w:tblLook w:val="04A0" w:firstRow="1" w:lastRow="0" w:firstColumn="1" w:lastColumn="0" w:noHBand="0" w:noVBand="1"/>
      </w:tblPr>
      <w:tblGrid>
        <w:gridCol w:w="1978"/>
        <w:gridCol w:w="2412"/>
        <w:gridCol w:w="831"/>
        <w:gridCol w:w="1861"/>
        <w:gridCol w:w="1277"/>
        <w:gridCol w:w="1212"/>
      </w:tblGrid>
      <w:tr w:rsidR="000E133D" w:rsidRPr="000E133D" w14:paraId="434B174C" w14:textId="77777777" w:rsidTr="001D0731">
        <w:trPr>
          <w:trHeight w:val="658"/>
          <w:tblHeader/>
        </w:trPr>
        <w:tc>
          <w:tcPr>
            <w:tcW w:w="10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F69BA" w14:textId="04C138FB" w:rsidR="000E133D" w:rsidRPr="000E133D" w:rsidRDefault="001D0731" w:rsidP="000E133D">
            <w:pPr>
              <w:jc w:val="center"/>
              <w:rPr>
                <w:rFonts w:eastAsiaTheme="minorHAnsi"/>
                <w:b/>
                <w:sz w:val="19"/>
                <w:szCs w:val="19"/>
                <w:lang w:val="fr-CA"/>
              </w:rPr>
            </w:pPr>
            <w:r>
              <w:rPr>
                <w:rFonts w:eastAsiaTheme="minorHAnsi"/>
                <w:b/>
                <w:sz w:val="19"/>
                <w:szCs w:val="19"/>
                <w:lang w:val="fr-CA"/>
              </w:rPr>
              <w:t>Pays</w:t>
            </w:r>
            <w:r w:rsidR="000E133D" w:rsidRPr="000E133D">
              <w:rPr>
                <w:rFonts w:eastAsiaTheme="minorHAnsi"/>
                <w:b/>
                <w:sz w:val="19"/>
                <w:szCs w:val="19"/>
                <w:lang w:val="fr-CA"/>
              </w:rPr>
              <w:t>/</w:t>
            </w:r>
            <w:r>
              <w:rPr>
                <w:rFonts w:eastAsiaTheme="minorHAnsi"/>
                <w:b/>
                <w:sz w:val="19"/>
                <w:szCs w:val="19"/>
                <w:lang w:val="fr-CA"/>
              </w:rPr>
              <w:t>Code du p</w:t>
            </w:r>
            <w:r w:rsidR="00A95667">
              <w:rPr>
                <w:rFonts w:eastAsiaTheme="minorHAnsi"/>
                <w:b/>
                <w:sz w:val="19"/>
                <w:szCs w:val="19"/>
                <w:lang w:val="fr-CA"/>
              </w:rPr>
              <w:t>rojet</w:t>
            </w:r>
            <w:r w:rsidR="000E133D" w:rsidRPr="000E133D">
              <w:rPr>
                <w:rFonts w:eastAsiaTheme="minorHAnsi"/>
                <w:b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126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7E1B5" w14:textId="57FF7B96" w:rsidR="000E133D" w:rsidRPr="000E133D" w:rsidRDefault="001D0731" w:rsidP="000E133D">
            <w:pPr>
              <w:jc w:val="center"/>
              <w:rPr>
                <w:rFonts w:eastAsiaTheme="minorHAnsi"/>
                <w:b/>
                <w:sz w:val="19"/>
                <w:szCs w:val="19"/>
                <w:lang w:val="fr-CA"/>
              </w:rPr>
            </w:pPr>
            <w:r>
              <w:rPr>
                <w:rFonts w:eastAsiaTheme="minorHAnsi"/>
                <w:b/>
                <w:sz w:val="19"/>
                <w:szCs w:val="19"/>
                <w:lang w:val="fr-CA"/>
              </w:rPr>
              <w:t>Titre du p</w:t>
            </w:r>
            <w:r w:rsidR="00A95667">
              <w:rPr>
                <w:rFonts w:eastAsiaTheme="minorHAnsi"/>
                <w:b/>
                <w:sz w:val="19"/>
                <w:szCs w:val="19"/>
                <w:lang w:val="fr-CA"/>
              </w:rPr>
              <w:t>rojet</w:t>
            </w:r>
          </w:p>
        </w:tc>
        <w:tc>
          <w:tcPr>
            <w:tcW w:w="43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AAE21" w14:textId="53E479AC" w:rsidR="000E133D" w:rsidRPr="000E133D" w:rsidRDefault="000E133D" w:rsidP="000E133D">
            <w:pPr>
              <w:jc w:val="center"/>
              <w:rPr>
                <w:rFonts w:eastAsiaTheme="minorHAnsi"/>
                <w:b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b/>
                <w:sz w:val="19"/>
                <w:szCs w:val="19"/>
                <w:lang w:val="fr-CA"/>
              </w:rPr>
              <w:t>D</w:t>
            </w:r>
            <w:r w:rsidR="001D0731">
              <w:rPr>
                <w:rFonts w:eastAsiaTheme="minorHAnsi"/>
                <w:b/>
                <w:sz w:val="19"/>
                <w:szCs w:val="19"/>
                <w:lang w:val="fr-CA"/>
              </w:rPr>
              <w:t>écaissement</w:t>
            </w:r>
          </w:p>
          <w:p w14:paraId="2886E582" w14:textId="77777777" w:rsidR="000E133D" w:rsidRPr="000E133D" w:rsidRDefault="000E133D" w:rsidP="000E133D">
            <w:pPr>
              <w:jc w:val="center"/>
              <w:rPr>
                <w:rFonts w:eastAsiaTheme="minorHAnsi"/>
                <w:b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b/>
                <w:sz w:val="19"/>
                <w:szCs w:val="19"/>
                <w:lang w:val="fr-CA"/>
              </w:rPr>
              <w:t>(%)</w:t>
            </w: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F6492" w14:textId="3B885CD3" w:rsidR="001D0731" w:rsidRPr="000E133D" w:rsidRDefault="001D0731" w:rsidP="001D0731">
            <w:pPr>
              <w:jc w:val="center"/>
              <w:rPr>
                <w:rFonts w:eastAsiaTheme="minorHAnsi"/>
                <w:b/>
                <w:sz w:val="19"/>
                <w:szCs w:val="19"/>
                <w:lang w:val="fr-CA"/>
              </w:rPr>
            </w:pPr>
            <w:r>
              <w:rPr>
                <w:rFonts w:eastAsiaTheme="minorHAnsi"/>
                <w:b/>
                <w:sz w:val="19"/>
                <w:szCs w:val="19"/>
                <w:lang w:val="fr-CA"/>
              </w:rPr>
              <w:t>État</w:t>
            </w:r>
            <w:r w:rsidR="000E133D" w:rsidRPr="000E133D">
              <w:rPr>
                <w:rFonts w:eastAsiaTheme="minorHAnsi"/>
                <w:b/>
                <w:sz w:val="19"/>
                <w:szCs w:val="19"/>
                <w:lang w:val="fr-CA"/>
              </w:rPr>
              <w:t>/</w:t>
            </w:r>
            <w:r>
              <w:rPr>
                <w:rFonts w:eastAsiaTheme="minorHAnsi"/>
                <w:b/>
                <w:sz w:val="19"/>
                <w:szCs w:val="19"/>
                <w:lang w:val="fr-CA"/>
              </w:rPr>
              <w:t>problèmes</w:t>
            </w:r>
          </w:p>
        </w:tc>
        <w:tc>
          <w:tcPr>
            <w:tcW w:w="66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225A9" w14:textId="1E2F5C10" w:rsidR="000E133D" w:rsidRPr="000E133D" w:rsidRDefault="001D0731" w:rsidP="000E133D">
            <w:pPr>
              <w:jc w:val="center"/>
              <w:rPr>
                <w:rFonts w:eastAsiaTheme="minorHAnsi"/>
                <w:b/>
                <w:sz w:val="19"/>
                <w:szCs w:val="19"/>
                <w:lang w:val="fr-CA"/>
              </w:rPr>
            </w:pPr>
            <w:r>
              <w:rPr>
                <w:rFonts w:eastAsiaTheme="minorHAnsi"/>
                <w:b/>
                <w:sz w:val="19"/>
                <w:szCs w:val="19"/>
                <w:lang w:val="fr-CA"/>
              </w:rPr>
              <w:t>Date originale d’achèvement</w:t>
            </w:r>
            <w:r w:rsidR="000E133D" w:rsidRPr="000E133D">
              <w:rPr>
                <w:rFonts w:eastAsiaTheme="minorHAnsi"/>
                <w:b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63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B7819" w14:textId="0DF5D7C3" w:rsidR="000E133D" w:rsidRPr="000E133D" w:rsidRDefault="000E133D" w:rsidP="000E133D">
            <w:pPr>
              <w:jc w:val="center"/>
              <w:rPr>
                <w:rFonts w:eastAsiaTheme="minorHAnsi"/>
                <w:b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b/>
                <w:sz w:val="19"/>
                <w:szCs w:val="19"/>
                <w:lang w:val="fr-CA"/>
              </w:rPr>
              <w:t xml:space="preserve">Date </w:t>
            </w:r>
            <w:r w:rsidR="001D0731">
              <w:rPr>
                <w:rFonts w:eastAsiaTheme="minorHAnsi"/>
                <w:b/>
                <w:sz w:val="19"/>
                <w:szCs w:val="19"/>
                <w:lang w:val="fr-CA"/>
              </w:rPr>
              <w:t>d’achèvement demandée</w:t>
            </w:r>
          </w:p>
        </w:tc>
      </w:tr>
      <w:tr w:rsidR="000E133D" w:rsidRPr="000E133D" w14:paraId="49D5A12E" w14:textId="77777777" w:rsidTr="001D0731">
        <w:trPr>
          <w:trHeight w:val="658"/>
        </w:trPr>
        <w:tc>
          <w:tcPr>
            <w:tcW w:w="1034" w:type="pct"/>
            <w:shd w:val="clear" w:color="auto" w:fill="auto"/>
            <w:tcMar>
              <w:left w:w="58" w:type="dxa"/>
              <w:right w:w="0" w:type="dxa"/>
            </w:tcMar>
          </w:tcPr>
          <w:p w14:paraId="32C99723" w14:textId="1E51595C" w:rsidR="000E133D" w:rsidRPr="000E133D" w:rsidRDefault="001D0731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Égypte</w:t>
            </w:r>
          </w:p>
          <w:p w14:paraId="7AB7F7AC" w14:textId="77777777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EGY/ARS/50/INV/92</w:t>
            </w:r>
          </w:p>
        </w:tc>
        <w:tc>
          <w:tcPr>
            <w:tcW w:w="1260" w:type="pct"/>
            <w:shd w:val="clear" w:color="auto" w:fill="auto"/>
            <w:tcMar>
              <w:left w:w="58" w:type="dxa"/>
              <w:right w:w="0" w:type="dxa"/>
            </w:tcMar>
          </w:tcPr>
          <w:p w14:paraId="7EA57924" w14:textId="14250815" w:rsidR="000E133D" w:rsidRPr="000E133D" w:rsidRDefault="001D0731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 xml:space="preserve">Élimination de la consommation de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CFC </w:t>
            </w:r>
            <w:r>
              <w:rPr>
                <w:rFonts w:eastAsiaTheme="minorHAnsi"/>
                <w:sz w:val="19"/>
                <w:szCs w:val="19"/>
                <w:lang w:val="fr-CA"/>
              </w:rPr>
              <w:t xml:space="preserve">dans la fabrication d’aérosol=doseurs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(MDI)</w:t>
            </w:r>
          </w:p>
        </w:tc>
        <w:tc>
          <w:tcPr>
            <w:tcW w:w="434" w:type="pct"/>
            <w:shd w:val="clear" w:color="auto" w:fill="auto"/>
            <w:tcMar>
              <w:left w:w="58" w:type="dxa"/>
              <w:right w:w="0" w:type="dxa"/>
            </w:tcMar>
          </w:tcPr>
          <w:p w14:paraId="2D255D6E" w14:textId="77777777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98</w:t>
            </w:r>
          </w:p>
        </w:tc>
        <w:tc>
          <w:tcPr>
            <w:tcW w:w="972" w:type="pct"/>
            <w:shd w:val="clear" w:color="auto" w:fill="auto"/>
            <w:tcMar>
              <w:left w:w="58" w:type="dxa"/>
              <w:right w:w="0" w:type="dxa"/>
            </w:tcMar>
          </w:tcPr>
          <w:p w14:paraId="0D7E087A" w14:textId="1977D666" w:rsidR="000E133D" w:rsidRPr="000E133D" w:rsidRDefault="004B456E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 xml:space="preserve">Retards dans l’achèvement des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activit</w:t>
            </w:r>
            <w:r>
              <w:rPr>
                <w:rFonts w:eastAsiaTheme="minorHAnsi"/>
                <w:sz w:val="19"/>
                <w:szCs w:val="19"/>
                <w:lang w:val="fr-CA"/>
              </w:rPr>
              <w:t>é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s</w:t>
            </w:r>
            <w:r w:rsidR="00D21233">
              <w:rPr>
                <w:rFonts w:eastAsiaTheme="minorHAnsi"/>
                <w:sz w:val="19"/>
                <w:szCs w:val="19"/>
                <w:lang w:val="fr-CA"/>
              </w:rPr>
              <w:t xml:space="preserve"> inachevés, incluant l’évaluation des données des essais, et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finalisation </w:t>
            </w:r>
            <w:r w:rsidR="00D21233">
              <w:rPr>
                <w:rFonts w:eastAsiaTheme="minorHAnsi"/>
                <w:sz w:val="19"/>
                <w:szCs w:val="19"/>
                <w:lang w:val="fr-CA"/>
              </w:rPr>
              <w:t>du processus d’inscription, en raison de retards dans les mesures d’approbation finales</w:t>
            </w:r>
            <w:r w:rsidR="00D21233" w:rsidRPr="000E133D">
              <w:rPr>
                <w:rFonts w:eastAsiaTheme="minorHAnsi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tcMar>
              <w:left w:w="58" w:type="dxa"/>
              <w:right w:w="0" w:type="dxa"/>
            </w:tcMar>
          </w:tcPr>
          <w:p w14:paraId="3717D6AF" w14:textId="247A76B4" w:rsidR="000E133D" w:rsidRPr="000E133D" w:rsidRDefault="000E133D" w:rsidP="000E133D">
            <w:pPr>
              <w:jc w:val="center"/>
              <w:rPr>
                <w:rFonts w:eastAsiaTheme="minorHAnsi"/>
                <w:b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30 </w:t>
            </w:r>
            <w:r w:rsidR="001D0731">
              <w:rPr>
                <w:rFonts w:eastAsiaTheme="minorHAnsi"/>
                <w:sz w:val="19"/>
                <w:szCs w:val="19"/>
                <w:lang w:val="fr-CA"/>
              </w:rPr>
              <w:t>juin</w:t>
            </w: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2020</w:t>
            </w:r>
          </w:p>
        </w:tc>
        <w:tc>
          <w:tcPr>
            <w:tcW w:w="633" w:type="pct"/>
            <w:shd w:val="clear" w:color="auto" w:fill="auto"/>
            <w:tcMar>
              <w:left w:w="58" w:type="dxa"/>
              <w:right w:w="0" w:type="dxa"/>
            </w:tcMar>
          </w:tcPr>
          <w:p w14:paraId="2893D16A" w14:textId="5823C7E9" w:rsidR="000E133D" w:rsidRPr="000E133D" w:rsidRDefault="000E133D" w:rsidP="000E133D">
            <w:pPr>
              <w:jc w:val="center"/>
              <w:rPr>
                <w:rFonts w:eastAsiaTheme="minorHAnsi"/>
                <w:b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rFonts w:eastAsiaTheme="minorHAnsi"/>
                <w:sz w:val="19"/>
                <w:szCs w:val="19"/>
                <w:lang w:val="fr-CA"/>
              </w:rPr>
              <w:t>dé</w:t>
            </w:r>
            <w:r w:rsidRPr="000E133D">
              <w:rPr>
                <w:rFonts w:eastAsiaTheme="minorHAnsi"/>
                <w:sz w:val="19"/>
                <w:szCs w:val="19"/>
                <w:lang w:val="fr-CA"/>
              </w:rPr>
              <w:t>c</w:t>
            </w:r>
            <w:proofErr w:type="spellEnd"/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2020</w:t>
            </w:r>
          </w:p>
        </w:tc>
      </w:tr>
      <w:tr w:rsidR="000E133D" w:rsidRPr="000E133D" w14:paraId="6FB95944" w14:textId="77777777" w:rsidTr="001D0731">
        <w:trPr>
          <w:trHeight w:val="665"/>
        </w:trPr>
        <w:tc>
          <w:tcPr>
            <w:tcW w:w="1034" w:type="pct"/>
            <w:tcMar>
              <w:left w:w="58" w:type="dxa"/>
              <w:right w:w="58" w:type="dxa"/>
            </w:tcMar>
          </w:tcPr>
          <w:p w14:paraId="23953B1A" w14:textId="77777777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Iraq</w:t>
            </w:r>
          </w:p>
          <w:p w14:paraId="0C83EC3E" w14:textId="68955813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IRQ/PHA/58/INV/09</w:t>
            </w:r>
          </w:p>
        </w:tc>
        <w:tc>
          <w:tcPr>
            <w:tcW w:w="1260" w:type="pct"/>
            <w:tcMar>
              <w:left w:w="58" w:type="dxa"/>
              <w:right w:w="58" w:type="dxa"/>
            </w:tcMar>
          </w:tcPr>
          <w:p w14:paraId="3C0AAC23" w14:textId="6AFDF3F9" w:rsidR="000E133D" w:rsidRPr="000E133D" w:rsidRDefault="001D0731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 xml:space="preserve">Plan national d’élimination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(</w:t>
            </w:r>
            <w:r>
              <w:rPr>
                <w:rFonts w:eastAsiaTheme="minorHAnsi"/>
                <w:sz w:val="19"/>
                <w:szCs w:val="19"/>
                <w:lang w:val="fr-CA"/>
              </w:rPr>
              <w:t>première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tranche)</w:t>
            </w:r>
          </w:p>
        </w:tc>
        <w:tc>
          <w:tcPr>
            <w:tcW w:w="434" w:type="pct"/>
            <w:tcMar>
              <w:left w:w="58" w:type="dxa"/>
              <w:right w:w="58" w:type="dxa"/>
            </w:tcMar>
          </w:tcPr>
          <w:p w14:paraId="007A9B9A" w14:textId="77777777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89</w:t>
            </w:r>
          </w:p>
        </w:tc>
        <w:tc>
          <w:tcPr>
            <w:tcW w:w="972" w:type="pct"/>
            <w:vMerge w:val="restart"/>
            <w:tcMar>
              <w:left w:w="58" w:type="dxa"/>
              <w:right w:w="58" w:type="dxa"/>
            </w:tcMar>
            <w:vAlign w:val="center"/>
          </w:tcPr>
          <w:p w14:paraId="7AB01119" w14:textId="02FCD609" w:rsidR="000E133D" w:rsidRPr="000E133D" w:rsidRDefault="00D21233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>Retards dus à des problèmes de logistique dans l’obtention de visas pour des consultants internationaux, suivis de restrictions des déplacements en raison du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COVID-19. </w:t>
            </w:r>
            <w:r>
              <w:rPr>
                <w:rFonts w:eastAsiaTheme="minorHAnsi"/>
                <w:sz w:val="19"/>
                <w:szCs w:val="19"/>
                <w:lang w:val="fr-CA"/>
              </w:rPr>
              <w:t>Les consultants</w:t>
            </w:r>
            <w:r w:rsidR="000D0524">
              <w:rPr>
                <w:rFonts w:eastAsiaTheme="minorHAnsi"/>
                <w:sz w:val="19"/>
                <w:szCs w:val="19"/>
                <w:lang w:val="fr-CA"/>
              </w:rPr>
              <w:t xml:space="preserve"> ou agents contractuels ont besoin de plus de temps dans leurs déplacements pour terminer l’i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nstallation, </w:t>
            </w:r>
            <w:r w:rsidR="000D0524">
              <w:rPr>
                <w:rFonts w:eastAsiaTheme="minorHAnsi"/>
                <w:sz w:val="19"/>
                <w:szCs w:val="19"/>
                <w:lang w:val="fr-CA"/>
              </w:rPr>
              <w:t>les essais et la mise en activité</w:t>
            </w:r>
          </w:p>
        </w:tc>
        <w:tc>
          <w:tcPr>
            <w:tcW w:w="667" w:type="pct"/>
            <w:vMerge w:val="restart"/>
            <w:tcMar>
              <w:left w:w="58" w:type="dxa"/>
              <w:right w:w="58" w:type="dxa"/>
            </w:tcMar>
            <w:vAlign w:val="center"/>
          </w:tcPr>
          <w:p w14:paraId="4F8CE817" w14:textId="6FB13750" w:rsidR="000E133D" w:rsidRPr="000E133D" w:rsidRDefault="000E133D" w:rsidP="000E133D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rFonts w:eastAsiaTheme="minorHAnsi"/>
                <w:sz w:val="19"/>
                <w:szCs w:val="19"/>
                <w:lang w:val="fr-CA"/>
              </w:rPr>
              <w:t>déc</w:t>
            </w:r>
            <w:proofErr w:type="spellEnd"/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2019</w:t>
            </w:r>
          </w:p>
        </w:tc>
        <w:tc>
          <w:tcPr>
            <w:tcW w:w="633" w:type="pct"/>
            <w:vMerge w:val="restart"/>
            <w:tcMar>
              <w:left w:w="58" w:type="dxa"/>
              <w:right w:w="58" w:type="dxa"/>
            </w:tcMar>
            <w:vAlign w:val="center"/>
          </w:tcPr>
          <w:p w14:paraId="6BB0910C" w14:textId="38C23965" w:rsidR="000E133D" w:rsidRPr="000E133D" w:rsidRDefault="000E133D" w:rsidP="000E133D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30 </w:t>
            </w:r>
            <w:r w:rsidR="001D0731">
              <w:rPr>
                <w:rFonts w:eastAsiaTheme="minorHAnsi"/>
                <w:sz w:val="19"/>
                <w:szCs w:val="19"/>
                <w:lang w:val="fr-CA"/>
              </w:rPr>
              <w:t>juin</w:t>
            </w: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2021</w:t>
            </w:r>
          </w:p>
        </w:tc>
      </w:tr>
      <w:tr w:rsidR="000E133D" w:rsidRPr="000E133D" w14:paraId="59FF956D" w14:textId="77777777" w:rsidTr="001D0731">
        <w:trPr>
          <w:trHeight w:val="1756"/>
        </w:trPr>
        <w:tc>
          <w:tcPr>
            <w:tcW w:w="1034" w:type="pct"/>
            <w:tcMar>
              <w:left w:w="58" w:type="dxa"/>
              <w:right w:w="58" w:type="dxa"/>
            </w:tcMar>
          </w:tcPr>
          <w:p w14:paraId="34A272BA" w14:textId="77777777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Iraq</w:t>
            </w:r>
          </w:p>
          <w:p w14:paraId="57180822" w14:textId="77777777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IRQ/REF/57/INV/07</w:t>
            </w:r>
          </w:p>
        </w:tc>
        <w:tc>
          <w:tcPr>
            <w:tcW w:w="1260" w:type="pct"/>
            <w:tcMar>
              <w:left w:w="58" w:type="dxa"/>
              <w:right w:w="58" w:type="dxa"/>
            </w:tcMar>
          </w:tcPr>
          <w:p w14:paraId="4FFCF3E4" w14:textId="3493CF43" w:rsidR="000E133D" w:rsidRPr="000E133D" w:rsidRDefault="000E133D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Re</w:t>
            </w:r>
            <w:r w:rsidR="004B456E">
              <w:rPr>
                <w:rFonts w:eastAsiaTheme="minorHAnsi"/>
                <w:sz w:val="19"/>
                <w:szCs w:val="19"/>
                <w:lang w:val="fr-CA"/>
              </w:rPr>
              <w:t>m</w:t>
            </w: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placement </w:t>
            </w:r>
            <w:r w:rsidR="004B456E">
              <w:rPr>
                <w:rFonts w:eastAsiaTheme="minorHAnsi"/>
                <w:sz w:val="19"/>
                <w:szCs w:val="19"/>
                <w:lang w:val="fr-CA"/>
              </w:rPr>
              <w:t>du frigorigène</w:t>
            </w: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CFC-12 </w:t>
            </w:r>
            <w:r w:rsidR="004B456E">
              <w:rPr>
                <w:rFonts w:eastAsiaTheme="minorHAnsi"/>
                <w:sz w:val="19"/>
                <w:szCs w:val="19"/>
                <w:lang w:val="fr-CA"/>
              </w:rPr>
              <w:t>par l’</w:t>
            </w: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isobutane </w:t>
            </w:r>
            <w:r w:rsidR="004B456E">
              <w:rPr>
                <w:rFonts w:eastAsiaTheme="minorHAnsi"/>
                <w:sz w:val="19"/>
                <w:szCs w:val="19"/>
                <w:lang w:val="fr-CA"/>
              </w:rPr>
              <w:t xml:space="preserve">et l’agent de gonflage de mousse </w:t>
            </w: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CFC-11 </w:t>
            </w:r>
            <w:r w:rsidR="004B456E">
              <w:rPr>
                <w:rFonts w:eastAsiaTheme="minorHAnsi"/>
                <w:sz w:val="19"/>
                <w:szCs w:val="19"/>
                <w:lang w:val="fr-CA"/>
              </w:rPr>
              <w:t xml:space="preserve">par le </w:t>
            </w: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cyclopentane </w:t>
            </w:r>
            <w:r w:rsidR="004B456E">
              <w:rPr>
                <w:rFonts w:eastAsiaTheme="minorHAnsi"/>
                <w:sz w:val="19"/>
                <w:szCs w:val="19"/>
                <w:lang w:val="fr-CA"/>
              </w:rPr>
              <w:t xml:space="preserve">dans la fabrication de réfrigérateurs et de congélateurs-coffres à l’usine </w:t>
            </w: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Light Industries </w:t>
            </w:r>
            <w:proofErr w:type="spellStart"/>
            <w:r w:rsidRPr="000E133D">
              <w:rPr>
                <w:rFonts w:eastAsiaTheme="minorHAnsi"/>
                <w:sz w:val="19"/>
                <w:szCs w:val="19"/>
                <w:lang w:val="fr-CA"/>
              </w:rPr>
              <w:t>Company</w:t>
            </w:r>
            <w:proofErr w:type="spellEnd"/>
          </w:p>
        </w:tc>
        <w:tc>
          <w:tcPr>
            <w:tcW w:w="434" w:type="pct"/>
            <w:tcMar>
              <w:left w:w="58" w:type="dxa"/>
              <w:right w:w="58" w:type="dxa"/>
            </w:tcMar>
          </w:tcPr>
          <w:p w14:paraId="36254F1D" w14:textId="77777777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89</w:t>
            </w:r>
          </w:p>
        </w:tc>
        <w:tc>
          <w:tcPr>
            <w:tcW w:w="972" w:type="pct"/>
            <w:vMerge/>
            <w:tcMar>
              <w:left w:w="58" w:type="dxa"/>
              <w:right w:w="58" w:type="dxa"/>
            </w:tcMar>
          </w:tcPr>
          <w:p w14:paraId="5058EAD8" w14:textId="77777777" w:rsidR="000E133D" w:rsidRPr="000E133D" w:rsidRDefault="000E133D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</w:p>
        </w:tc>
        <w:tc>
          <w:tcPr>
            <w:tcW w:w="667" w:type="pct"/>
            <w:vMerge/>
            <w:tcMar>
              <w:left w:w="58" w:type="dxa"/>
              <w:right w:w="58" w:type="dxa"/>
            </w:tcMar>
          </w:tcPr>
          <w:p w14:paraId="7E363C1A" w14:textId="77777777" w:rsidR="000E133D" w:rsidRPr="000E133D" w:rsidRDefault="000E133D" w:rsidP="000E133D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</w:p>
        </w:tc>
        <w:tc>
          <w:tcPr>
            <w:tcW w:w="633" w:type="pct"/>
            <w:vMerge/>
            <w:tcMar>
              <w:left w:w="58" w:type="dxa"/>
              <w:right w:w="58" w:type="dxa"/>
            </w:tcMar>
          </w:tcPr>
          <w:p w14:paraId="01ACB745" w14:textId="77777777" w:rsidR="000E133D" w:rsidRPr="000E133D" w:rsidRDefault="000E133D" w:rsidP="000E133D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</w:p>
        </w:tc>
      </w:tr>
      <w:tr w:rsidR="000E133D" w:rsidRPr="000E133D" w14:paraId="298EC567" w14:textId="77777777" w:rsidTr="00631EA2">
        <w:trPr>
          <w:trHeight w:val="449"/>
        </w:trPr>
        <w:tc>
          <w:tcPr>
            <w:tcW w:w="1034" w:type="pct"/>
            <w:tcMar>
              <w:left w:w="58" w:type="dxa"/>
              <w:right w:w="58" w:type="dxa"/>
            </w:tcMar>
          </w:tcPr>
          <w:p w14:paraId="3D145BC1" w14:textId="77777777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lastRenderedPageBreak/>
              <w:t>Iraq</w:t>
            </w:r>
          </w:p>
          <w:p w14:paraId="5110CDD5" w14:textId="77777777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IRQ/PHA/74/INV/23</w:t>
            </w:r>
          </w:p>
        </w:tc>
        <w:tc>
          <w:tcPr>
            <w:tcW w:w="1260" w:type="pct"/>
            <w:shd w:val="clear" w:color="auto" w:fill="auto"/>
            <w:tcMar>
              <w:left w:w="58" w:type="dxa"/>
              <w:right w:w="58" w:type="dxa"/>
            </w:tcMar>
          </w:tcPr>
          <w:p w14:paraId="0CB5529A" w14:textId="3D1B31A7" w:rsidR="000E133D" w:rsidRPr="000E133D" w:rsidRDefault="004B456E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>Plan de gestion de l’élimination de HCFC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(</w:t>
            </w:r>
            <w:r>
              <w:rPr>
                <w:rFonts w:eastAsiaTheme="minorHAnsi"/>
                <w:sz w:val="19"/>
                <w:szCs w:val="19"/>
                <w:lang w:val="fr-CA"/>
              </w:rPr>
              <w:t>phase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I, </w:t>
            </w:r>
            <w:r>
              <w:rPr>
                <w:rFonts w:eastAsiaTheme="minorHAnsi"/>
                <w:sz w:val="19"/>
                <w:szCs w:val="19"/>
                <w:lang w:val="fr-CA"/>
              </w:rPr>
              <w:t>deuxième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tranche) (</w:t>
            </w:r>
            <w:r>
              <w:rPr>
                <w:rFonts w:eastAsiaTheme="minorHAnsi"/>
                <w:sz w:val="19"/>
                <w:szCs w:val="19"/>
                <w:lang w:val="fr-CA"/>
              </w:rPr>
              <w:t>secteur de l’entretien en réfrigération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)</w:t>
            </w:r>
          </w:p>
        </w:tc>
        <w:tc>
          <w:tcPr>
            <w:tcW w:w="434" w:type="pct"/>
            <w:tcMar>
              <w:left w:w="58" w:type="dxa"/>
              <w:right w:w="58" w:type="dxa"/>
            </w:tcMar>
          </w:tcPr>
          <w:p w14:paraId="232E98D7" w14:textId="77777777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19</w:t>
            </w:r>
          </w:p>
        </w:tc>
        <w:tc>
          <w:tcPr>
            <w:tcW w:w="972" w:type="pct"/>
            <w:tcMar>
              <w:left w:w="58" w:type="dxa"/>
              <w:right w:w="58" w:type="dxa"/>
            </w:tcMar>
          </w:tcPr>
          <w:p w14:paraId="4DAA411A" w14:textId="3C07DA33" w:rsidR="000E133D" w:rsidRPr="000E133D" w:rsidRDefault="000D0524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>Les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laborato</w:t>
            </w:r>
            <w:r>
              <w:rPr>
                <w:rFonts w:eastAsiaTheme="minorHAnsi"/>
                <w:sz w:val="19"/>
                <w:szCs w:val="19"/>
                <w:lang w:val="fr-CA"/>
              </w:rPr>
              <w:t>i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res associ</w:t>
            </w:r>
            <w:r>
              <w:rPr>
                <w:rFonts w:eastAsiaTheme="minorHAnsi"/>
                <w:sz w:val="19"/>
                <w:szCs w:val="19"/>
                <w:lang w:val="fr-CA"/>
              </w:rPr>
              <w:t>és aux centres de réhabilitation ne sont pas totalement opérationnels en raison des retards dans l’acquisition et la livraison des équipements</w:t>
            </w:r>
          </w:p>
        </w:tc>
        <w:tc>
          <w:tcPr>
            <w:tcW w:w="667" w:type="pct"/>
            <w:tcMar>
              <w:left w:w="58" w:type="dxa"/>
              <w:right w:w="58" w:type="dxa"/>
            </w:tcMar>
          </w:tcPr>
          <w:p w14:paraId="179069D9" w14:textId="39D9D60E" w:rsidR="000E133D" w:rsidRPr="000E133D" w:rsidRDefault="000E133D" w:rsidP="000E133D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rFonts w:eastAsiaTheme="minorHAnsi"/>
                <w:sz w:val="19"/>
                <w:szCs w:val="19"/>
                <w:lang w:val="fr-CA"/>
              </w:rPr>
              <w:t>déc</w:t>
            </w:r>
            <w:proofErr w:type="spellEnd"/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2020</w:t>
            </w:r>
          </w:p>
        </w:tc>
        <w:tc>
          <w:tcPr>
            <w:tcW w:w="633" w:type="pct"/>
            <w:tcMar>
              <w:left w:w="58" w:type="dxa"/>
              <w:right w:w="58" w:type="dxa"/>
            </w:tcMar>
          </w:tcPr>
          <w:p w14:paraId="1A3976C9" w14:textId="0DCE2596" w:rsidR="000E133D" w:rsidRPr="000E133D" w:rsidRDefault="000E133D" w:rsidP="000E133D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rFonts w:eastAsiaTheme="minorHAnsi"/>
                <w:sz w:val="19"/>
                <w:szCs w:val="19"/>
                <w:lang w:val="fr-CA"/>
              </w:rPr>
              <w:t>déc</w:t>
            </w:r>
            <w:proofErr w:type="spellEnd"/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2021</w:t>
            </w:r>
          </w:p>
        </w:tc>
      </w:tr>
      <w:tr w:rsidR="000E133D" w:rsidRPr="000E133D" w14:paraId="40185DE4" w14:textId="77777777" w:rsidTr="001D0731">
        <w:trPr>
          <w:trHeight w:val="1756"/>
        </w:trPr>
        <w:tc>
          <w:tcPr>
            <w:tcW w:w="1034" w:type="pct"/>
            <w:tcMar>
              <w:left w:w="58" w:type="dxa"/>
              <w:right w:w="58" w:type="dxa"/>
            </w:tcMar>
          </w:tcPr>
          <w:p w14:paraId="6537C5BA" w14:textId="77777777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Iraq</w:t>
            </w:r>
          </w:p>
          <w:p w14:paraId="27A94B16" w14:textId="77777777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IRQ/PHA/84/INV/29</w:t>
            </w:r>
          </w:p>
        </w:tc>
        <w:tc>
          <w:tcPr>
            <w:tcW w:w="1260" w:type="pct"/>
            <w:shd w:val="clear" w:color="auto" w:fill="auto"/>
            <w:tcMar>
              <w:left w:w="58" w:type="dxa"/>
              <w:right w:w="58" w:type="dxa"/>
            </w:tcMar>
          </w:tcPr>
          <w:p w14:paraId="24B24EA8" w14:textId="151E8879" w:rsidR="000E133D" w:rsidRPr="000E133D" w:rsidRDefault="004B456E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>Plan de gestion de l’élimination de HCFC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(</w:t>
            </w:r>
            <w:r>
              <w:rPr>
                <w:rFonts w:eastAsiaTheme="minorHAnsi"/>
                <w:sz w:val="19"/>
                <w:szCs w:val="19"/>
                <w:lang w:val="fr-CA"/>
              </w:rPr>
              <w:t>phase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I, t</w:t>
            </w:r>
            <w:r>
              <w:rPr>
                <w:rFonts w:eastAsiaTheme="minorHAnsi"/>
                <w:sz w:val="19"/>
                <w:szCs w:val="19"/>
                <w:lang w:val="fr-CA"/>
              </w:rPr>
              <w:t>roisième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tranche) (</w:t>
            </w:r>
            <w:r>
              <w:rPr>
                <w:rFonts w:eastAsiaTheme="minorHAnsi"/>
                <w:sz w:val="19"/>
                <w:szCs w:val="19"/>
                <w:lang w:val="fr-CA"/>
              </w:rPr>
              <w:t>secteur de l’entretien en réfrigération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)</w:t>
            </w:r>
          </w:p>
        </w:tc>
        <w:tc>
          <w:tcPr>
            <w:tcW w:w="434" w:type="pct"/>
            <w:tcMar>
              <w:left w:w="58" w:type="dxa"/>
              <w:right w:w="58" w:type="dxa"/>
            </w:tcMar>
          </w:tcPr>
          <w:p w14:paraId="67803754" w14:textId="77777777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0</w:t>
            </w:r>
          </w:p>
        </w:tc>
        <w:tc>
          <w:tcPr>
            <w:tcW w:w="972" w:type="pct"/>
            <w:tcMar>
              <w:left w:w="58" w:type="dxa"/>
              <w:right w:w="58" w:type="dxa"/>
            </w:tcMar>
          </w:tcPr>
          <w:p w14:paraId="3CD7897A" w14:textId="53FA122F" w:rsidR="000E133D" w:rsidRPr="000E133D" w:rsidRDefault="003A2969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>L’a</w:t>
            </w:r>
            <w:r w:rsidR="000D0524">
              <w:rPr>
                <w:rFonts w:eastAsiaTheme="minorHAnsi"/>
                <w:sz w:val="19"/>
                <w:szCs w:val="19"/>
                <w:lang w:val="fr-CA"/>
              </w:rPr>
              <w:t xml:space="preserve">cquisition d’équipements pour la formation à l’entretien </w:t>
            </w:r>
            <w:r>
              <w:rPr>
                <w:rFonts w:eastAsiaTheme="minorHAnsi"/>
                <w:sz w:val="19"/>
                <w:szCs w:val="19"/>
                <w:lang w:val="fr-CA"/>
              </w:rPr>
              <w:t>devrait s’achever vers la fin de 2020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; </w:t>
            </w:r>
            <w:r>
              <w:rPr>
                <w:rFonts w:eastAsiaTheme="minorHAnsi"/>
                <w:sz w:val="19"/>
                <w:szCs w:val="19"/>
                <w:lang w:val="fr-CA"/>
              </w:rPr>
              <w:t>toutes les activités restantes devraient donc prendre fin d’ici à d</w:t>
            </w:r>
            <w:r w:rsidR="001D0731">
              <w:rPr>
                <w:rFonts w:eastAsiaTheme="minorHAnsi"/>
                <w:sz w:val="19"/>
                <w:szCs w:val="19"/>
                <w:lang w:val="fr-CA"/>
              </w:rPr>
              <w:t>éc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emb</w:t>
            </w:r>
            <w:r>
              <w:rPr>
                <w:rFonts w:eastAsiaTheme="minorHAnsi"/>
                <w:sz w:val="19"/>
                <w:szCs w:val="19"/>
                <w:lang w:val="fr-CA"/>
              </w:rPr>
              <w:t>re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2021</w:t>
            </w:r>
          </w:p>
        </w:tc>
        <w:tc>
          <w:tcPr>
            <w:tcW w:w="667" w:type="pct"/>
            <w:tcMar>
              <w:left w:w="58" w:type="dxa"/>
              <w:right w:w="58" w:type="dxa"/>
            </w:tcMar>
          </w:tcPr>
          <w:p w14:paraId="33C1DFBE" w14:textId="15FA0F15" w:rsidR="000E133D" w:rsidRPr="000E133D" w:rsidRDefault="000E133D" w:rsidP="000E133D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rFonts w:eastAsiaTheme="minorHAnsi"/>
                <w:sz w:val="19"/>
                <w:szCs w:val="19"/>
                <w:lang w:val="fr-CA"/>
              </w:rPr>
              <w:t>déc</w:t>
            </w:r>
            <w:proofErr w:type="spellEnd"/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2020</w:t>
            </w:r>
          </w:p>
        </w:tc>
        <w:tc>
          <w:tcPr>
            <w:tcW w:w="633" w:type="pct"/>
            <w:tcMar>
              <w:left w:w="58" w:type="dxa"/>
              <w:right w:w="58" w:type="dxa"/>
            </w:tcMar>
          </w:tcPr>
          <w:p w14:paraId="2FB14E5F" w14:textId="5C069BBC" w:rsidR="000E133D" w:rsidRPr="000E133D" w:rsidRDefault="000E133D" w:rsidP="000E133D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rFonts w:eastAsiaTheme="minorHAnsi"/>
                <w:sz w:val="19"/>
                <w:szCs w:val="19"/>
                <w:lang w:val="fr-CA"/>
              </w:rPr>
              <w:t>déc</w:t>
            </w:r>
            <w:proofErr w:type="spellEnd"/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2021</w:t>
            </w:r>
          </w:p>
        </w:tc>
      </w:tr>
      <w:tr w:rsidR="000E133D" w:rsidRPr="000E133D" w14:paraId="7EF5E053" w14:textId="77777777" w:rsidTr="001D0731">
        <w:trPr>
          <w:trHeight w:val="1079"/>
        </w:trPr>
        <w:tc>
          <w:tcPr>
            <w:tcW w:w="1034" w:type="pct"/>
            <w:shd w:val="clear" w:color="auto" w:fill="auto"/>
            <w:tcMar>
              <w:left w:w="58" w:type="dxa"/>
              <w:right w:w="58" w:type="dxa"/>
            </w:tcMar>
          </w:tcPr>
          <w:p w14:paraId="01D6C355" w14:textId="7CADC490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Serbi</w:t>
            </w:r>
            <w:r w:rsidR="009B6406">
              <w:rPr>
                <w:rFonts w:eastAsiaTheme="minorHAnsi"/>
                <w:sz w:val="19"/>
                <w:szCs w:val="19"/>
                <w:lang w:val="fr-CA"/>
              </w:rPr>
              <w:t>e</w:t>
            </w:r>
          </w:p>
          <w:p w14:paraId="27103CA4" w14:textId="77777777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YUG/PHA/84/INV/51</w:t>
            </w:r>
          </w:p>
        </w:tc>
        <w:tc>
          <w:tcPr>
            <w:tcW w:w="1260" w:type="pct"/>
            <w:tcMar>
              <w:left w:w="58" w:type="dxa"/>
              <w:right w:w="58" w:type="dxa"/>
            </w:tcMar>
          </w:tcPr>
          <w:p w14:paraId="34F3323A" w14:textId="5F283D5F" w:rsidR="000E133D" w:rsidRPr="000E133D" w:rsidRDefault="004B456E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>Plan de gestion de l’élimination de HCFC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(</w:t>
            </w:r>
            <w:r>
              <w:rPr>
                <w:rFonts w:eastAsiaTheme="minorHAnsi"/>
                <w:sz w:val="19"/>
                <w:szCs w:val="19"/>
                <w:lang w:val="fr-CA"/>
              </w:rPr>
              <w:t>phase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I, </w:t>
            </w:r>
            <w:r>
              <w:rPr>
                <w:rFonts w:eastAsiaTheme="minorHAnsi"/>
                <w:sz w:val="19"/>
                <w:szCs w:val="19"/>
                <w:lang w:val="fr-CA"/>
              </w:rPr>
              <w:t>quatrième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tranche)</w:t>
            </w:r>
          </w:p>
        </w:tc>
        <w:tc>
          <w:tcPr>
            <w:tcW w:w="434" w:type="pct"/>
            <w:tcMar>
              <w:left w:w="58" w:type="dxa"/>
              <w:right w:w="58" w:type="dxa"/>
            </w:tcMar>
          </w:tcPr>
          <w:p w14:paraId="70DAB2F5" w14:textId="77777777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0</w:t>
            </w:r>
          </w:p>
        </w:tc>
        <w:tc>
          <w:tcPr>
            <w:tcW w:w="972" w:type="pct"/>
            <w:shd w:val="clear" w:color="auto" w:fill="auto"/>
            <w:tcMar>
              <w:left w:w="58" w:type="dxa"/>
              <w:right w:w="58" w:type="dxa"/>
            </w:tcMar>
          </w:tcPr>
          <w:p w14:paraId="111063AF" w14:textId="242D4EA9" w:rsidR="000E133D" w:rsidRPr="000E133D" w:rsidRDefault="003A2969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>La dernière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tranche </w:t>
            </w:r>
            <w:r>
              <w:rPr>
                <w:rFonts w:eastAsiaTheme="minorHAnsi"/>
                <w:sz w:val="19"/>
                <w:szCs w:val="19"/>
                <w:lang w:val="fr-CA"/>
              </w:rPr>
              <w:t xml:space="preserve">de la </w:t>
            </w:r>
            <w:r w:rsidR="004B456E">
              <w:rPr>
                <w:rFonts w:eastAsiaTheme="minorHAnsi"/>
                <w:sz w:val="19"/>
                <w:szCs w:val="19"/>
                <w:lang w:val="fr-CA"/>
              </w:rPr>
              <w:t>phase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I </w:t>
            </w:r>
            <w:r>
              <w:rPr>
                <w:rFonts w:eastAsiaTheme="minorHAnsi"/>
                <w:sz w:val="19"/>
                <w:szCs w:val="19"/>
                <w:lang w:val="fr-CA"/>
              </w:rPr>
              <w:t xml:space="preserve">avait été approuvée à la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84</w:t>
            </w:r>
            <w:r>
              <w:rPr>
                <w:rFonts w:eastAsiaTheme="minorHAnsi"/>
                <w:sz w:val="19"/>
                <w:szCs w:val="19"/>
                <w:vertAlign w:val="superscript"/>
                <w:lang w:val="fr-CA"/>
              </w:rPr>
              <w:t>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 </w:t>
            </w:r>
            <w:r w:rsidR="00D0488E">
              <w:rPr>
                <w:rFonts w:eastAsiaTheme="minorHAnsi"/>
                <w:sz w:val="19"/>
                <w:szCs w:val="19"/>
                <w:lang w:val="fr-CA"/>
              </w:rPr>
              <w:t>réunion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; </w:t>
            </w:r>
            <w:r>
              <w:rPr>
                <w:rFonts w:eastAsiaTheme="minorHAnsi"/>
                <w:sz w:val="19"/>
                <w:szCs w:val="19"/>
                <w:lang w:val="fr-CA"/>
              </w:rPr>
              <w:t xml:space="preserve">les activités sont retardées en raison des restrictions dues au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COVID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noBreakHyphen/>
              <w:t xml:space="preserve">19 </w:t>
            </w:r>
          </w:p>
        </w:tc>
        <w:tc>
          <w:tcPr>
            <w:tcW w:w="667" w:type="pct"/>
            <w:shd w:val="clear" w:color="auto" w:fill="auto"/>
            <w:tcMar>
              <w:left w:w="58" w:type="dxa"/>
              <w:right w:w="58" w:type="dxa"/>
            </w:tcMar>
          </w:tcPr>
          <w:p w14:paraId="3CCCDBA9" w14:textId="5819DEC3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sz w:val="19"/>
                <w:szCs w:val="19"/>
                <w:lang w:val="fr-CA"/>
              </w:rPr>
              <w:t>déc</w:t>
            </w:r>
            <w:proofErr w:type="spellEnd"/>
            <w:r w:rsidRPr="000E133D">
              <w:rPr>
                <w:sz w:val="19"/>
                <w:szCs w:val="19"/>
                <w:lang w:val="fr-CA"/>
              </w:rPr>
              <w:t xml:space="preserve"> 2020</w:t>
            </w:r>
          </w:p>
        </w:tc>
        <w:tc>
          <w:tcPr>
            <w:tcW w:w="633" w:type="pct"/>
            <w:shd w:val="clear" w:color="auto" w:fill="auto"/>
            <w:tcMar>
              <w:left w:w="58" w:type="dxa"/>
              <w:right w:w="58" w:type="dxa"/>
            </w:tcMar>
          </w:tcPr>
          <w:p w14:paraId="1A13A6E2" w14:textId="4EBC6005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sz w:val="19"/>
                <w:szCs w:val="19"/>
                <w:lang w:val="fr-CA"/>
              </w:rPr>
              <w:t xml:space="preserve">30 </w:t>
            </w:r>
            <w:r w:rsidR="001D0731">
              <w:rPr>
                <w:sz w:val="19"/>
                <w:szCs w:val="19"/>
                <w:lang w:val="fr-CA"/>
              </w:rPr>
              <w:t>juin</w:t>
            </w:r>
            <w:r w:rsidRPr="000E133D">
              <w:rPr>
                <w:sz w:val="19"/>
                <w:szCs w:val="19"/>
                <w:lang w:val="fr-CA"/>
              </w:rPr>
              <w:t xml:space="preserve"> 2021</w:t>
            </w:r>
          </w:p>
        </w:tc>
      </w:tr>
      <w:tr w:rsidR="000E133D" w:rsidRPr="000E133D" w14:paraId="55663A7B" w14:textId="77777777" w:rsidTr="001D0731">
        <w:trPr>
          <w:trHeight w:val="2197"/>
        </w:trPr>
        <w:tc>
          <w:tcPr>
            <w:tcW w:w="1034" w:type="pct"/>
            <w:shd w:val="clear" w:color="auto" w:fill="auto"/>
            <w:tcMar>
              <w:left w:w="58" w:type="dxa"/>
              <w:right w:w="58" w:type="dxa"/>
            </w:tcMar>
          </w:tcPr>
          <w:p w14:paraId="0D1D7EFD" w14:textId="58340C27" w:rsidR="000E133D" w:rsidRPr="000E133D" w:rsidRDefault="009B6406" w:rsidP="004B456E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 xml:space="preserve">République arabe syrienne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SYR/REF/62/INV/103</w:t>
            </w:r>
          </w:p>
        </w:tc>
        <w:tc>
          <w:tcPr>
            <w:tcW w:w="1260" w:type="pct"/>
            <w:tcMar>
              <w:left w:w="58" w:type="dxa"/>
              <w:right w:w="58" w:type="dxa"/>
            </w:tcMar>
          </w:tcPr>
          <w:p w14:paraId="3F9D5B85" w14:textId="3058ECD8" w:rsidR="000E133D" w:rsidRPr="000E133D" w:rsidRDefault="004B456E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 xml:space="preserve">Élimination du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HCFC-22 </w:t>
            </w:r>
            <w:r>
              <w:rPr>
                <w:rFonts w:eastAsiaTheme="minorHAnsi"/>
                <w:sz w:val="19"/>
                <w:szCs w:val="19"/>
                <w:lang w:val="fr-CA"/>
              </w:rPr>
              <w:t>du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HCFC-141b </w:t>
            </w:r>
            <w:r>
              <w:rPr>
                <w:rFonts w:eastAsiaTheme="minorHAnsi"/>
                <w:sz w:val="19"/>
                <w:szCs w:val="19"/>
                <w:lang w:val="fr-CA"/>
              </w:rPr>
              <w:t xml:space="preserve">dans la fabrication d’équipements de climatisation autonomes et de panneaux d’isolation en </w:t>
            </w:r>
            <w:r w:rsidRPr="000E133D">
              <w:rPr>
                <w:rFonts w:eastAsiaTheme="minorHAnsi"/>
                <w:sz w:val="19"/>
                <w:szCs w:val="19"/>
                <w:lang w:val="fr-CA"/>
              </w:rPr>
              <w:t>polyuréthane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 </w:t>
            </w:r>
            <w:r>
              <w:rPr>
                <w:rFonts w:eastAsiaTheme="minorHAnsi"/>
                <w:sz w:val="19"/>
                <w:szCs w:val="19"/>
                <w:lang w:val="fr-CA"/>
              </w:rPr>
              <w:t xml:space="preserve">rigide à l’usine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Al Hafez Group</w:t>
            </w:r>
          </w:p>
        </w:tc>
        <w:tc>
          <w:tcPr>
            <w:tcW w:w="434" w:type="pct"/>
            <w:tcMar>
              <w:left w:w="58" w:type="dxa"/>
              <w:right w:w="58" w:type="dxa"/>
            </w:tcMar>
          </w:tcPr>
          <w:p w14:paraId="12CCCC38" w14:textId="77777777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28</w:t>
            </w:r>
          </w:p>
        </w:tc>
        <w:tc>
          <w:tcPr>
            <w:tcW w:w="972" w:type="pct"/>
            <w:tcMar>
              <w:left w:w="58" w:type="dxa"/>
              <w:right w:w="58" w:type="dxa"/>
            </w:tcMar>
          </w:tcPr>
          <w:p w14:paraId="55C33E15" w14:textId="159A531F" w:rsidR="000E133D" w:rsidRPr="000E133D" w:rsidRDefault="003A2969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 xml:space="preserve">Retards en raison de la situation dans le pays et des restrictions dues au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COVID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noBreakHyphen/>
              <w:t xml:space="preserve">19; </w:t>
            </w:r>
            <w:r>
              <w:rPr>
                <w:rFonts w:eastAsiaTheme="minorHAnsi"/>
                <w:sz w:val="19"/>
                <w:szCs w:val="19"/>
                <w:lang w:val="fr-CA"/>
              </w:rPr>
              <w:t xml:space="preserve">la prolongation au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31 </w:t>
            </w:r>
            <w:r>
              <w:rPr>
                <w:rFonts w:eastAsiaTheme="minorHAnsi"/>
                <w:sz w:val="19"/>
                <w:szCs w:val="19"/>
                <w:lang w:val="fr-CA"/>
              </w:rPr>
              <w:t>d</w:t>
            </w:r>
            <w:r w:rsidR="001D0731">
              <w:rPr>
                <w:rFonts w:eastAsiaTheme="minorHAnsi"/>
                <w:sz w:val="19"/>
                <w:szCs w:val="19"/>
                <w:lang w:val="fr-CA"/>
              </w:rPr>
              <w:t>éc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emb</w:t>
            </w:r>
            <w:r>
              <w:rPr>
                <w:rFonts w:eastAsiaTheme="minorHAnsi"/>
                <w:sz w:val="19"/>
                <w:szCs w:val="19"/>
                <w:lang w:val="fr-CA"/>
              </w:rPr>
              <w:t>r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e 2021</w:t>
            </w:r>
            <w:r>
              <w:rPr>
                <w:rFonts w:eastAsiaTheme="minorHAnsi"/>
                <w:sz w:val="19"/>
                <w:szCs w:val="19"/>
                <w:lang w:val="fr-CA"/>
              </w:rPr>
              <w:t xml:space="preserve"> est nécessaire pour terminer les activités restantes</w:t>
            </w:r>
            <w:r w:rsidR="005117C2">
              <w:rPr>
                <w:rFonts w:eastAsiaTheme="minorHAnsi"/>
                <w:sz w:val="19"/>
                <w:szCs w:val="19"/>
                <w:lang w:val="fr-CA"/>
              </w:rPr>
              <w:t xml:space="preserve"> liées à l’acquisition, l’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installation </w:t>
            </w:r>
            <w:r w:rsidR="005117C2">
              <w:rPr>
                <w:rFonts w:eastAsiaTheme="minorHAnsi"/>
                <w:sz w:val="19"/>
                <w:szCs w:val="19"/>
                <w:lang w:val="fr-CA"/>
              </w:rPr>
              <w:t>et la mise en service d’équipements</w:t>
            </w:r>
          </w:p>
        </w:tc>
        <w:tc>
          <w:tcPr>
            <w:tcW w:w="667" w:type="pct"/>
            <w:tcMar>
              <w:left w:w="58" w:type="dxa"/>
              <w:right w:w="58" w:type="dxa"/>
            </w:tcMar>
          </w:tcPr>
          <w:p w14:paraId="3E319F3E" w14:textId="224D5A7C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sz w:val="19"/>
                <w:szCs w:val="19"/>
                <w:lang w:val="fr-CA"/>
              </w:rPr>
              <w:t>déc</w:t>
            </w:r>
            <w:proofErr w:type="spellEnd"/>
            <w:r w:rsidRPr="000E133D">
              <w:rPr>
                <w:sz w:val="19"/>
                <w:szCs w:val="19"/>
                <w:lang w:val="fr-CA"/>
              </w:rPr>
              <w:t xml:space="preserve"> 2020</w:t>
            </w:r>
          </w:p>
        </w:tc>
        <w:tc>
          <w:tcPr>
            <w:tcW w:w="633" w:type="pct"/>
            <w:tcMar>
              <w:left w:w="58" w:type="dxa"/>
              <w:right w:w="58" w:type="dxa"/>
            </w:tcMar>
          </w:tcPr>
          <w:p w14:paraId="10B6F1C8" w14:textId="4CBD1CEF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sz w:val="19"/>
                <w:szCs w:val="19"/>
                <w:lang w:val="fr-CA"/>
              </w:rPr>
              <w:t>déc</w:t>
            </w:r>
            <w:proofErr w:type="spellEnd"/>
            <w:r w:rsidRPr="000E133D">
              <w:rPr>
                <w:sz w:val="19"/>
                <w:szCs w:val="19"/>
                <w:lang w:val="fr-CA"/>
              </w:rPr>
              <w:t xml:space="preserve"> 2021</w:t>
            </w:r>
          </w:p>
        </w:tc>
      </w:tr>
      <w:tr w:rsidR="000E133D" w:rsidRPr="000E133D" w14:paraId="14E38B52" w14:textId="77777777" w:rsidTr="001D0731">
        <w:trPr>
          <w:trHeight w:val="1539"/>
        </w:trPr>
        <w:tc>
          <w:tcPr>
            <w:tcW w:w="1034" w:type="pct"/>
            <w:tcMar>
              <w:left w:w="58" w:type="dxa"/>
              <w:right w:w="58" w:type="dxa"/>
            </w:tcMar>
          </w:tcPr>
          <w:p w14:paraId="4DDE5CB2" w14:textId="63B0FB1C" w:rsidR="000E133D" w:rsidRPr="000E133D" w:rsidRDefault="004B456E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>Mondi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al</w:t>
            </w:r>
          </w:p>
          <w:p w14:paraId="6696F499" w14:textId="77777777" w:rsidR="000E133D" w:rsidRPr="000E133D" w:rsidRDefault="000E133D" w:rsidP="000E133D">
            <w:pPr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GLO/REF/80/DEM/344</w:t>
            </w:r>
          </w:p>
        </w:tc>
        <w:tc>
          <w:tcPr>
            <w:tcW w:w="1260" w:type="pct"/>
            <w:tcMar>
              <w:left w:w="58" w:type="dxa"/>
              <w:right w:w="58" w:type="dxa"/>
            </w:tcMar>
          </w:tcPr>
          <w:p w14:paraId="48328CEA" w14:textId="46C48460" w:rsidR="000E133D" w:rsidRPr="000E133D" w:rsidRDefault="004B456E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 xml:space="preserve">Projet mondial de remplacement de refroidisseurs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(Argentin</w:t>
            </w:r>
            <w:r>
              <w:rPr>
                <w:rFonts w:eastAsiaTheme="minorHAnsi"/>
                <w:sz w:val="19"/>
                <w:szCs w:val="19"/>
                <w:lang w:val="fr-CA"/>
              </w:rPr>
              <w:t>e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>)</w:t>
            </w:r>
          </w:p>
        </w:tc>
        <w:tc>
          <w:tcPr>
            <w:tcW w:w="434" w:type="pct"/>
            <w:tcMar>
              <w:left w:w="58" w:type="dxa"/>
              <w:right w:w="58" w:type="dxa"/>
            </w:tcMar>
          </w:tcPr>
          <w:p w14:paraId="5654C619" w14:textId="77777777" w:rsidR="000E133D" w:rsidRPr="000E133D" w:rsidRDefault="000E133D" w:rsidP="000E133D">
            <w:pPr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>9</w:t>
            </w:r>
          </w:p>
        </w:tc>
        <w:tc>
          <w:tcPr>
            <w:tcW w:w="972" w:type="pct"/>
            <w:tcMar>
              <w:left w:w="58" w:type="dxa"/>
              <w:right w:w="58" w:type="dxa"/>
            </w:tcMar>
          </w:tcPr>
          <w:p w14:paraId="0D4085CD" w14:textId="771FB45F" w:rsidR="000E133D" w:rsidRPr="000E133D" w:rsidRDefault="005117C2" w:rsidP="000E133D">
            <w:pPr>
              <w:jc w:val="left"/>
              <w:rPr>
                <w:rFonts w:eastAsiaTheme="minorHAnsi"/>
                <w:sz w:val="19"/>
                <w:szCs w:val="19"/>
                <w:lang w:val="fr-CA"/>
              </w:rPr>
            </w:pPr>
            <w:r>
              <w:rPr>
                <w:rFonts w:eastAsiaTheme="minorHAnsi"/>
                <w:sz w:val="19"/>
                <w:szCs w:val="19"/>
                <w:lang w:val="fr-CA"/>
              </w:rPr>
              <w:t xml:space="preserve">La </w:t>
            </w:r>
            <w:r w:rsidR="000E133D" w:rsidRPr="000E133D">
              <w:rPr>
                <w:rFonts w:eastAsiaTheme="minorHAnsi"/>
                <w:sz w:val="19"/>
                <w:szCs w:val="19"/>
                <w:lang w:val="fr-CA"/>
              </w:rPr>
              <w:t xml:space="preserve">situation </w:t>
            </w:r>
            <w:r>
              <w:rPr>
                <w:rFonts w:eastAsiaTheme="minorHAnsi"/>
                <w:sz w:val="19"/>
                <w:szCs w:val="19"/>
                <w:lang w:val="fr-CA"/>
              </w:rPr>
              <w:t xml:space="preserve">financière du pays a retardé la finalisation des termes financiers avec les bénéficiaires en raison de l’évolution des taux d’emprunt </w:t>
            </w:r>
          </w:p>
        </w:tc>
        <w:tc>
          <w:tcPr>
            <w:tcW w:w="667" w:type="pct"/>
            <w:tcMar>
              <w:left w:w="58" w:type="dxa"/>
              <w:right w:w="58" w:type="dxa"/>
            </w:tcMar>
          </w:tcPr>
          <w:p w14:paraId="7F59BF58" w14:textId="7C3469ED" w:rsidR="000E133D" w:rsidRPr="000E133D" w:rsidRDefault="000E133D" w:rsidP="000E133D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rFonts w:eastAsiaTheme="minorHAnsi"/>
                <w:sz w:val="19"/>
                <w:szCs w:val="19"/>
                <w:lang w:val="fr-CA"/>
              </w:rPr>
              <w:t>déc</w:t>
            </w:r>
            <w:proofErr w:type="spellEnd"/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2020</w:t>
            </w:r>
          </w:p>
        </w:tc>
        <w:tc>
          <w:tcPr>
            <w:tcW w:w="633" w:type="pct"/>
            <w:tcMar>
              <w:left w:w="58" w:type="dxa"/>
              <w:right w:w="58" w:type="dxa"/>
            </w:tcMar>
          </w:tcPr>
          <w:p w14:paraId="310E83D0" w14:textId="3EA80D60" w:rsidR="000E133D" w:rsidRPr="000E133D" w:rsidRDefault="000E133D" w:rsidP="000E133D">
            <w:pPr>
              <w:spacing w:after="160"/>
              <w:jc w:val="center"/>
              <w:rPr>
                <w:rFonts w:eastAsiaTheme="minorHAnsi"/>
                <w:sz w:val="19"/>
                <w:szCs w:val="19"/>
                <w:lang w:val="fr-CA"/>
              </w:rPr>
            </w:pPr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31 </w:t>
            </w:r>
            <w:proofErr w:type="spellStart"/>
            <w:r w:rsidR="001D0731">
              <w:rPr>
                <w:rFonts w:eastAsiaTheme="minorHAnsi"/>
                <w:sz w:val="19"/>
                <w:szCs w:val="19"/>
                <w:lang w:val="fr-CA"/>
              </w:rPr>
              <w:t>déc</w:t>
            </w:r>
            <w:proofErr w:type="spellEnd"/>
            <w:r w:rsidRPr="000E133D">
              <w:rPr>
                <w:rFonts w:eastAsiaTheme="minorHAnsi"/>
                <w:sz w:val="19"/>
                <w:szCs w:val="19"/>
                <w:lang w:val="fr-CA"/>
              </w:rPr>
              <w:t xml:space="preserve"> 2021</w:t>
            </w:r>
          </w:p>
        </w:tc>
      </w:tr>
    </w:tbl>
    <w:p w14:paraId="78648A93" w14:textId="77777777" w:rsidR="000E133D" w:rsidRPr="000E133D" w:rsidRDefault="000E133D" w:rsidP="000E133D">
      <w:pPr>
        <w:rPr>
          <w:lang w:val="fr-CA"/>
        </w:rPr>
      </w:pPr>
    </w:p>
    <w:p w14:paraId="442515AC" w14:textId="3E029D0E" w:rsidR="000E133D" w:rsidRPr="000E133D" w:rsidRDefault="005117C2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>L</w:t>
      </w:r>
      <w:r w:rsidR="000E133D" w:rsidRPr="000E133D">
        <w:rPr>
          <w:lang w:val="fr-CA"/>
        </w:rPr>
        <w:t xml:space="preserve">e </w:t>
      </w:r>
      <w:r w:rsidR="00A95667">
        <w:rPr>
          <w:lang w:val="fr-CA"/>
        </w:rPr>
        <w:t>Comité exécutif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est invité à approuver la prolongation des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>
        <w:rPr>
          <w:lang w:val="fr-CA"/>
        </w:rPr>
        <w:t xml:space="preserve">figurant dans le </w:t>
      </w:r>
      <w:r w:rsidR="000E133D" w:rsidRPr="000E133D">
        <w:rPr>
          <w:lang w:val="fr-CA"/>
        </w:rPr>
        <w:t>Table</w:t>
      </w:r>
      <w:r>
        <w:rPr>
          <w:lang w:val="fr-CA"/>
        </w:rPr>
        <w:t>au</w:t>
      </w:r>
      <w:r w:rsidR="000E133D" w:rsidRPr="000E133D">
        <w:rPr>
          <w:lang w:val="fr-CA"/>
        </w:rPr>
        <w:t xml:space="preserve"> 1 </w:t>
      </w:r>
      <w:r>
        <w:rPr>
          <w:lang w:val="fr-CA"/>
        </w:rPr>
        <w:t>ci-dessus, à la date indiquée dans la dernière colonne</w:t>
      </w:r>
      <w:r w:rsidR="000E133D" w:rsidRPr="000E133D">
        <w:rPr>
          <w:lang w:val="fr-CA"/>
        </w:rPr>
        <w:t>.</w:t>
      </w:r>
    </w:p>
    <w:p w14:paraId="5DBD5374" w14:textId="36B0186B" w:rsidR="000E133D" w:rsidRPr="000E133D" w:rsidRDefault="004B456E" w:rsidP="0087100D">
      <w:pPr>
        <w:keepNext/>
        <w:keepLines/>
        <w:spacing w:after="240"/>
        <w:outlineLvl w:val="0"/>
        <w:rPr>
          <w:u w:val="single"/>
          <w:lang w:val="fr-CA"/>
        </w:rPr>
      </w:pPr>
      <w:r>
        <w:rPr>
          <w:u w:val="single"/>
          <w:lang w:val="fr-CA"/>
        </w:rPr>
        <w:t>Phase</w:t>
      </w:r>
      <w:r w:rsidR="000E133D" w:rsidRPr="000E133D">
        <w:rPr>
          <w:u w:val="single"/>
          <w:lang w:val="fr-CA"/>
        </w:rPr>
        <w:t xml:space="preserve"> I </w:t>
      </w:r>
      <w:r w:rsidR="005117C2">
        <w:rPr>
          <w:u w:val="single"/>
          <w:lang w:val="fr-CA"/>
        </w:rPr>
        <w:t>du</w:t>
      </w:r>
      <w:r w:rsidR="000E133D" w:rsidRPr="000E133D">
        <w:rPr>
          <w:u w:val="single"/>
          <w:lang w:val="fr-CA"/>
        </w:rPr>
        <w:t xml:space="preserve"> </w:t>
      </w:r>
      <w:r w:rsidR="00E15C69">
        <w:rPr>
          <w:u w:val="single"/>
          <w:lang w:val="fr-CA"/>
        </w:rPr>
        <w:t>PGEH</w:t>
      </w:r>
      <w:r w:rsidR="000E133D" w:rsidRPr="000E133D">
        <w:rPr>
          <w:u w:val="single"/>
          <w:lang w:val="fr-CA"/>
        </w:rPr>
        <w:t xml:space="preserve"> </w:t>
      </w:r>
      <w:r w:rsidR="005117C2">
        <w:rPr>
          <w:u w:val="single"/>
          <w:lang w:val="fr-CA"/>
        </w:rPr>
        <w:t>de l’Arabie saoudite</w:t>
      </w:r>
    </w:p>
    <w:p w14:paraId="43377F87" w14:textId="64764FAE" w:rsidR="000E133D" w:rsidRPr="000E133D" w:rsidRDefault="005117C2" w:rsidP="0087100D">
      <w:pPr>
        <w:keepNext/>
        <w:keepLines/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lastRenderedPageBreak/>
        <w:t>La p</w:t>
      </w:r>
      <w:r w:rsidR="004B456E">
        <w:rPr>
          <w:lang w:val="fr-CA"/>
        </w:rPr>
        <w:t>hase</w:t>
      </w:r>
      <w:r w:rsidR="000E133D" w:rsidRPr="000E133D">
        <w:rPr>
          <w:lang w:val="fr-CA"/>
        </w:rPr>
        <w:t xml:space="preserve"> I </w:t>
      </w:r>
      <w:r>
        <w:rPr>
          <w:lang w:val="fr-CA"/>
        </w:rPr>
        <w:t>du</w:t>
      </w:r>
      <w:r w:rsidR="000E133D" w:rsidRPr="000E133D">
        <w:rPr>
          <w:lang w:val="fr-CA"/>
        </w:rPr>
        <w:t xml:space="preserve"> 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de l’Arabie saoudite, approuvée à la </w:t>
      </w:r>
      <w:r w:rsidR="000E133D" w:rsidRPr="000E133D">
        <w:rPr>
          <w:lang w:val="fr-CA"/>
        </w:rPr>
        <w:t>68</w:t>
      </w:r>
      <w:r>
        <w:rPr>
          <w:vertAlign w:val="superscript"/>
          <w:lang w:val="fr-CA"/>
        </w:rPr>
        <w:t>e</w:t>
      </w:r>
      <w:r w:rsidR="000E133D" w:rsidRPr="000E133D">
        <w:rPr>
          <w:lang w:val="fr-CA"/>
        </w:rPr>
        <w:t> </w:t>
      </w:r>
      <w:r w:rsidR="00D0488E">
        <w:rPr>
          <w:lang w:val="fr-CA"/>
        </w:rPr>
        <w:t>réunion</w:t>
      </w:r>
      <w:r w:rsidR="000E133D" w:rsidRPr="000E133D">
        <w:rPr>
          <w:sz w:val="24"/>
          <w:szCs w:val="24"/>
          <w:vertAlign w:val="superscript"/>
          <w:lang w:val="fr-CA"/>
        </w:rPr>
        <w:footnoteReference w:id="32"/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et en cours de mise en œuvre par 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(</w:t>
      </w:r>
      <w:r>
        <w:rPr>
          <w:lang w:val="fr-CA"/>
        </w:rPr>
        <w:t>agence principale</w:t>
      </w:r>
      <w:r w:rsidR="000E133D" w:rsidRPr="000E133D">
        <w:rPr>
          <w:lang w:val="fr-CA"/>
        </w:rPr>
        <w:t xml:space="preserve">) </w:t>
      </w:r>
      <w:r>
        <w:rPr>
          <w:lang w:val="fr-CA"/>
        </w:rPr>
        <w:t>et le PNUE</w:t>
      </w:r>
      <w:r w:rsidR="000E133D" w:rsidRPr="000E133D">
        <w:rPr>
          <w:lang w:val="fr-CA"/>
        </w:rPr>
        <w:t xml:space="preserve"> (</w:t>
      </w:r>
      <w:r>
        <w:rPr>
          <w:lang w:val="fr-CA"/>
        </w:rPr>
        <w:t xml:space="preserve">agence de </w:t>
      </w:r>
      <w:r w:rsidR="000E133D" w:rsidRPr="000E133D">
        <w:rPr>
          <w:lang w:val="fr-CA"/>
        </w:rPr>
        <w:t>coop</w:t>
      </w:r>
      <w:r>
        <w:rPr>
          <w:lang w:val="fr-CA"/>
        </w:rPr>
        <w:t>é</w:t>
      </w:r>
      <w:r w:rsidR="000E133D" w:rsidRPr="000E133D">
        <w:rPr>
          <w:lang w:val="fr-CA"/>
        </w:rPr>
        <w:t>rati</w:t>
      </w:r>
      <w:r>
        <w:rPr>
          <w:lang w:val="fr-CA"/>
        </w:rPr>
        <w:t>o</w:t>
      </w:r>
      <w:r w:rsidR="000E133D" w:rsidRPr="000E133D">
        <w:rPr>
          <w:lang w:val="fr-CA"/>
        </w:rPr>
        <w:t xml:space="preserve">n), </w:t>
      </w:r>
      <w:r w:rsidR="004F784B">
        <w:rPr>
          <w:lang w:val="fr-CA"/>
        </w:rPr>
        <w:t>avait subi d’importants retards dans la mise en œuvre</w:t>
      </w:r>
      <w:r w:rsidR="000E133D" w:rsidRPr="000E133D">
        <w:rPr>
          <w:lang w:val="fr-CA"/>
        </w:rPr>
        <w:t xml:space="preserve">. </w:t>
      </w:r>
      <w:r w:rsidR="004F784B">
        <w:rPr>
          <w:lang w:val="fr-CA"/>
        </w:rPr>
        <w:t xml:space="preserve">À sa </w:t>
      </w:r>
      <w:r w:rsidR="000E133D" w:rsidRPr="000E133D">
        <w:rPr>
          <w:lang w:val="fr-CA"/>
        </w:rPr>
        <w:t>84</w:t>
      </w:r>
      <w:r w:rsidR="004F784B">
        <w:rPr>
          <w:vertAlign w:val="superscript"/>
          <w:lang w:val="fr-CA"/>
        </w:rPr>
        <w:t>e</w:t>
      </w:r>
      <w:r w:rsidR="000E133D" w:rsidRPr="000E133D">
        <w:rPr>
          <w:lang w:val="fr-CA"/>
        </w:rPr>
        <w:t> 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, </w:t>
      </w:r>
      <w:r w:rsidR="004F784B">
        <w:rPr>
          <w:lang w:val="fr-CA"/>
        </w:rPr>
        <w:t>l</w:t>
      </w:r>
      <w:r w:rsidR="000E133D" w:rsidRPr="000E133D">
        <w:rPr>
          <w:lang w:val="fr-CA"/>
        </w:rPr>
        <w:t xml:space="preserve">e </w:t>
      </w:r>
      <w:r w:rsidR="00A95667">
        <w:rPr>
          <w:lang w:val="fr-CA"/>
        </w:rPr>
        <w:t>Comité exécutif</w:t>
      </w:r>
      <w:r w:rsidR="000E133D" w:rsidRPr="000E133D">
        <w:rPr>
          <w:lang w:val="fr-CA"/>
        </w:rPr>
        <w:t xml:space="preserve"> </w:t>
      </w:r>
      <w:r w:rsidR="004F784B">
        <w:rPr>
          <w:lang w:val="fr-CA"/>
        </w:rPr>
        <w:t xml:space="preserve">avait été saisi du </w:t>
      </w:r>
      <w:r w:rsidR="000E133D" w:rsidRPr="000E133D">
        <w:rPr>
          <w:lang w:val="fr-CA"/>
        </w:rPr>
        <w:t>document UNEP/</w:t>
      </w:r>
      <w:proofErr w:type="spellStart"/>
      <w:r w:rsidR="000E133D" w:rsidRPr="000E133D">
        <w:rPr>
          <w:lang w:val="fr-CA"/>
        </w:rPr>
        <w:t>OzL.Pro</w:t>
      </w:r>
      <w:proofErr w:type="spellEnd"/>
      <w:r w:rsidR="000E133D" w:rsidRPr="000E133D">
        <w:rPr>
          <w:lang w:val="fr-CA"/>
        </w:rPr>
        <w:t>/</w:t>
      </w:r>
      <w:proofErr w:type="spellStart"/>
      <w:r w:rsidR="000E133D" w:rsidRPr="000E133D">
        <w:rPr>
          <w:lang w:val="fr-CA"/>
        </w:rPr>
        <w:t>ExCom</w:t>
      </w:r>
      <w:proofErr w:type="spellEnd"/>
      <w:r w:rsidR="000E133D" w:rsidRPr="000E133D">
        <w:rPr>
          <w:lang w:val="fr-CA"/>
        </w:rPr>
        <w:t xml:space="preserve">/84/25 </w:t>
      </w:r>
      <w:r w:rsidR="004F784B">
        <w:rPr>
          <w:lang w:val="fr-CA"/>
        </w:rPr>
        <w:t>concernant les retards de soumission de la t</w:t>
      </w:r>
      <w:r w:rsidR="000E133D" w:rsidRPr="000E133D">
        <w:rPr>
          <w:lang w:val="fr-CA"/>
        </w:rPr>
        <w:t xml:space="preserve">ranche </w:t>
      </w:r>
      <w:r w:rsidR="004F784B">
        <w:rPr>
          <w:lang w:val="fr-CA"/>
        </w:rPr>
        <w:t xml:space="preserve">et avait demandé instamment au </w:t>
      </w:r>
      <w:r w:rsidR="000E133D" w:rsidRPr="000E133D">
        <w:rPr>
          <w:lang w:val="fr-CA"/>
        </w:rPr>
        <w:t>Go</w:t>
      </w:r>
      <w:r w:rsidR="004F784B">
        <w:rPr>
          <w:lang w:val="fr-CA"/>
        </w:rPr>
        <w:t>u</w:t>
      </w:r>
      <w:r w:rsidR="000E133D" w:rsidRPr="000E133D">
        <w:rPr>
          <w:lang w:val="fr-CA"/>
        </w:rPr>
        <w:t>vern</w:t>
      </w:r>
      <w:r w:rsidR="004F784B">
        <w:rPr>
          <w:lang w:val="fr-CA"/>
        </w:rPr>
        <w:t>e</w:t>
      </w:r>
      <w:r w:rsidR="000E133D" w:rsidRPr="000E133D">
        <w:rPr>
          <w:lang w:val="fr-CA"/>
        </w:rPr>
        <w:t xml:space="preserve">ment </w:t>
      </w:r>
      <w:r w:rsidR="004F784B">
        <w:rPr>
          <w:lang w:val="fr-CA"/>
        </w:rPr>
        <w:t>saoudien, par l’intermédiaire de l’</w:t>
      </w:r>
      <w:r w:rsidR="00A95667">
        <w:rPr>
          <w:lang w:val="fr-CA"/>
        </w:rPr>
        <w:t>ONUDI</w:t>
      </w:r>
      <w:r w:rsidR="004F784B">
        <w:rPr>
          <w:lang w:val="fr-CA"/>
        </w:rPr>
        <w:t xml:space="preserve">, de soumettre à la </w:t>
      </w:r>
      <w:r w:rsidR="000E133D" w:rsidRPr="000E133D">
        <w:rPr>
          <w:lang w:val="fr-CA"/>
        </w:rPr>
        <w:t>85</w:t>
      </w:r>
      <w:r w:rsidR="004F784B">
        <w:rPr>
          <w:vertAlign w:val="superscript"/>
          <w:lang w:val="fr-CA"/>
        </w:rPr>
        <w:t>e</w:t>
      </w:r>
      <w:r w:rsidR="000E133D" w:rsidRPr="000E133D">
        <w:rPr>
          <w:lang w:val="fr-CA"/>
        </w:rPr>
        <w:t> </w:t>
      </w:r>
      <w:r w:rsidR="00D0488E">
        <w:rPr>
          <w:lang w:val="fr-CA"/>
        </w:rPr>
        <w:t>réunion</w:t>
      </w:r>
      <w:r w:rsidR="004F784B">
        <w:rPr>
          <w:lang w:val="fr-CA"/>
        </w:rPr>
        <w:t> :</w:t>
      </w:r>
      <w:r w:rsidR="000E133D" w:rsidRPr="000E133D">
        <w:rPr>
          <w:lang w:val="fr-CA"/>
        </w:rPr>
        <w:t xml:space="preserve"> (i) </w:t>
      </w:r>
      <w:r w:rsidR="004F784B">
        <w:rPr>
          <w:lang w:val="fr-CA"/>
        </w:rPr>
        <w:t xml:space="preserve">un rapport détaillé montrant que les </w:t>
      </w:r>
      <w:r w:rsidR="000E133D" w:rsidRPr="000E133D">
        <w:rPr>
          <w:lang w:val="fr-CA"/>
        </w:rPr>
        <w:t xml:space="preserve">conditions </w:t>
      </w:r>
      <w:r w:rsidR="004F784B">
        <w:rPr>
          <w:lang w:val="fr-CA"/>
        </w:rPr>
        <w:t>décrites à l’</w:t>
      </w:r>
      <w:r w:rsidR="000E133D" w:rsidRPr="000E133D">
        <w:rPr>
          <w:lang w:val="fr-CA"/>
        </w:rPr>
        <w:t>Appendi</w:t>
      </w:r>
      <w:r w:rsidR="004F784B">
        <w:rPr>
          <w:lang w:val="fr-CA"/>
        </w:rPr>
        <w:t>ce</w:t>
      </w:r>
      <w:r w:rsidR="000E133D" w:rsidRPr="000E133D">
        <w:rPr>
          <w:lang w:val="fr-CA"/>
        </w:rPr>
        <w:t xml:space="preserve"> 8-A </w:t>
      </w:r>
      <w:r w:rsidR="004F784B">
        <w:rPr>
          <w:lang w:val="fr-CA"/>
        </w:rPr>
        <w:t>de son Accord avaient été respectées</w:t>
      </w:r>
      <w:r w:rsidR="000E133D" w:rsidRPr="000E133D">
        <w:rPr>
          <w:lang w:val="fr-CA"/>
        </w:rPr>
        <w:t>;</w:t>
      </w:r>
      <w:r w:rsidR="000E133D" w:rsidRPr="000E133D">
        <w:rPr>
          <w:sz w:val="24"/>
          <w:szCs w:val="24"/>
          <w:vertAlign w:val="superscript"/>
          <w:lang w:val="fr-CA"/>
        </w:rPr>
        <w:footnoteReference w:id="33"/>
      </w:r>
      <w:r w:rsidR="000E133D" w:rsidRPr="000E133D">
        <w:rPr>
          <w:lang w:val="fr-CA"/>
        </w:rPr>
        <w:t xml:space="preserve"> (ii) </w:t>
      </w:r>
      <w:r w:rsidR="004F784B">
        <w:rPr>
          <w:lang w:val="fr-CA"/>
        </w:rPr>
        <w:t xml:space="preserve">la demande de financement de la cinquième tranche </w:t>
      </w:r>
      <w:r w:rsidR="000E133D" w:rsidRPr="000E133D">
        <w:rPr>
          <w:lang w:val="fr-CA"/>
        </w:rPr>
        <w:t xml:space="preserve">(2016), </w:t>
      </w:r>
      <w:r w:rsidR="004F784B">
        <w:rPr>
          <w:lang w:val="fr-CA"/>
        </w:rPr>
        <w:t xml:space="preserve">avec un plan d’action révisé pour tenir compte de la réintégration des fonds qui avaient été retournés à la </w:t>
      </w:r>
      <w:r w:rsidR="000E133D" w:rsidRPr="000E133D">
        <w:rPr>
          <w:lang w:val="fr-CA"/>
        </w:rPr>
        <w:t>81</w:t>
      </w:r>
      <w:r w:rsidR="004F784B">
        <w:rPr>
          <w:vertAlign w:val="superscript"/>
          <w:lang w:val="fr-CA"/>
        </w:rPr>
        <w:t>e</w:t>
      </w:r>
      <w:r w:rsidR="000E133D" w:rsidRPr="000E133D">
        <w:rPr>
          <w:lang w:val="fr-CA"/>
        </w:rPr>
        <w:t> 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 </w:t>
      </w:r>
      <w:r w:rsidR="004F784B">
        <w:rPr>
          <w:lang w:val="fr-CA"/>
        </w:rPr>
        <w:t xml:space="preserve">en application des </w:t>
      </w:r>
      <w:r w:rsidR="00D0488E">
        <w:rPr>
          <w:lang w:val="fr-CA"/>
        </w:rPr>
        <w:t>décision</w:t>
      </w:r>
      <w:r w:rsidR="000E133D" w:rsidRPr="000E133D">
        <w:rPr>
          <w:lang w:val="fr-CA"/>
        </w:rPr>
        <w:t xml:space="preserve">s 77/54(f) </w:t>
      </w:r>
      <w:r w:rsidR="004F784B">
        <w:rPr>
          <w:lang w:val="fr-CA"/>
        </w:rPr>
        <w:t>et</w:t>
      </w:r>
      <w:r w:rsidR="000E133D" w:rsidRPr="000E133D">
        <w:rPr>
          <w:lang w:val="fr-CA"/>
        </w:rPr>
        <w:t xml:space="preserve"> 81/2(a)(xii) </w:t>
      </w:r>
      <w:r w:rsidR="004F784B">
        <w:rPr>
          <w:lang w:val="fr-CA"/>
        </w:rPr>
        <w:t xml:space="preserve">et de la réattribution des tranches de </w:t>
      </w:r>
      <w:r w:rsidR="000E133D" w:rsidRPr="000E133D">
        <w:rPr>
          <w:lang w:val="fr-CA"/>
        </w:rPr>
        <w:t xml:space="preserve">2016 </w:t>
      </w:r>
      <w:r w:rsidR="004F784B">
        <w:rPr>
          <w:lang w:val="fr-CA"/>
        </w:rPr>
        <w:t>et des tranches ultérieures</w:t>
      </w:r>
      <w:r w:rsidR="000E133D" w:rsidRPr="000E133D">
        <w:rPr>
          <w:lang w:val="fr-CA"/>
        </w:rPr>
        <w:t xml:space="preserve">; </w:t>
      </w:r>
      <w:r w:rsidR="004F784B">
        <w:rPr>
          <w:lang w:val="fr-CA"/>
        </w:rPr>
        <w:t xml:space="preserve">et </w:t>
      </w:r>
      <w:r w:rsidR="000E133D" w:rsidRPr="000E133D">
        <w:rPr>
          <w:lang w:val="fr-CA"/>
        </w:rPr>
        <w:t>(iii) </w:t>
      </w:r>
      <w:r w:rsidR="00AF6B9D">
        <w:rPr>
          <w:lang w:val="fr-CA"/>
        </w:rPr>
        <w:t xml:space="preserve">la </w:t>
      </w:r>
      <w:r w:rsidR="00AF6B9D" w:rsidRPr="000E133D">
        <w:rPr>
          <w:lang w:val="fr-CA"/>
        </w:rPr>
        <w:t>vérification</w:t>
      </w:r>
      <w:r w:rsidR="000E133D" w:rsidRPr="000E133D">
        <w:rPr>
          <w:lang w:val="fr-CA"/>
        </w:rPr>
        <w:t xml:space="preserve"> </w:t>
      </w:r>
      <w:r w:rsidR="00AF6B9D">
        <w:rPr>
          <w:lang w:val="fr-CA"/>
        </w:rPr>
        <w:t xml:space="preserve">de la </w:t>
      </w:r>
      <w:r w:rsidR="00591378">
        <w:rPr>
          <w:lang w:val="fr-CA"/>
        </w:rPr>
        <w:t>consommation</w:t>
      </w:r>
      <w:r w:rsidR="000E133D" w:rsidRPr="000E133D">
        <w:rPr>
          <w:lang w:val="fr-CA"/>
        </w:rPr>
        <w:t xml:space="preserve"> </w:t>
      </w:r>
      <w:r w:rsidR="00AF6B9D">
        <w:rPr>
          <w:lang w:val="fr-CA"/>
        </w:rPr>
        <w:t xml:space="preserve">de </w:t>
      </w:r>
      <w:r w:rsidR="000E133D" w:rsidRPr="000E133D">
        <w:rPr>
          <w:lang w:val="fr-CA"/>
        </w:rPr>
        <w:t xml:space="preserve">2016, 2017, 2018 </w:t>
      </w:r>
      <w:r w:rsidR="00AF6B9D">
        <w:rPr>
          <w:lang w:val="fr-CA"/>
        </w:rPr>
        <w:t>et</w:t>
      </w:r>
      <w:r w:rsidR="000E133D" w:rsidRPr="000E133D">
        <w:rPr>
          <w:lang w:val="fr-CA"/>
        </w:rPr>
        <w:t xml:space="preserve"> 2019. </w:t>
      </w:r>
      <w:r w:rsidR="00AF6B9D">
        <w:rPr>
          <w:lang w:val="fr-CA"/>
        </w:rPr>
        <w:t xml:space="preserve">Le Comité a décidé en outre que si ces </w:t>
      </w:r>
      <w:r w:rsidR="000E133D" w:rsidRPr="000E133D">
        <w:rPr>
          <w:lang w:val="fr-CA"/>
        </w:rPr>
        <w:t>information</w:t>
      </w:r>
      <w:r w:rsidR="00AF6B9D">
        <w:rPr>
          <w:lang w:val="fr-CA"/>
        </w:rPr>
        <w:t xml:space="preserve">s n’étaient pas reçues à la </w:t>
      </w:r>
      <w:r w:rsidR="000E133D" w:rsidRPr="000E133D">
        <w:rPr>
          <w:lang w:val="fr-CA"/>
        </w:rPr>
        <w:t>85</w:t>
      </w:r>
      <w:r w:rsidR="00AF6B9D">
        <w:rPr>
          <w:vertAlign w:val="superscript"/>
          <w:lang w:val="fr-CA"/>
        </w:rPr>
        <w:t>e</w:t>
      </w:r>
      <w:r w:rsidR="000E133D" w:rsidRPr="000E133D">
        <w:rPr>
          <w:lang w:val="fr-CA"/>
        </w:rPr>
        <w:t> 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, </w:t>
      </w:r>
      <w:r w:rsidR="00AF6B9D">
        <w:rPr>
          <w:lang w:val="fr-CA"/>
        </w:rPr>
        <w:t xml:space="preserve">la 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 I </w:t>
      </w:r>
      <w:r w:rsidR="00AF6B9D">
        <w:rPr>
          <w:lang w:val="fr-CA"/>
        </w:rPr>
        <w:t>du</w:t>
      </w:r>
      <w:r w:rsidR="000E133D" w:rsidRPr="000E133D">
        <w:rPr>
          <w:lang w:val="fr-CA"/>
        </w:rPr>
        <w:t xml:space="preserve"> 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 </w:t>
      </w:r>
      <w:r w:rsidR="00AF6B9D">
        <w:rPr>
          <w:lang w:val="fr-CA"/>
        </w:rPr>
        <w:t xml:space="preserve">serait annulée et le pays pourrait soumettre une demande pour la préparation de projet pour la 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 II (</w:t>
      </w:r>
      <w:r w:rsidR="00D0488E">
        <w:rPr>
          <w:lang w:val="fr-CA"/>
        </w:rPr>
        <w:t>décision</w:t>
      </w:r>
      <w:r w:rsidR="000E133D" w:rsidRPr="000E133D">
        <w:rPr>
          <w:lang w:val="fr-CA"/>
        </w:rPr>
        <w:t> 84/45(b)).</w:t>
      </w:r>
      <w:r w:rsidR="000E133D" w:rsidRPr="000E133D">
        <w:rPr>
          <w:sz w:val="24"/>
          <w:szCs w:val="24"/>
          <w:vertAlign w:val="superscript"/>
          <w:lang w:val="fr-CA"/>
        </w:rPr>
        <w:footnoteReference w:id="34"/>
      </w:r>
      <w:r w:rsidR="000E133D" w:rsidRPr="000E133D">
        <w:rPr>
          <w:lang w:val="fr-CA"/>
        </w:rPr>
        <w:t xml:space="preserve"> </w:t>
      </w:r>
      <w:r w:rsidR="00AF6B9D">
        <w:rPr>
          <w:lang w:val="fr-CA"/>
        </w:rPr>
        <w:t>Le</w:t>
      </w:r>
      <w:r w:rsidR="000E133D" w:rsidRPr="000E133D">
        <w:rPr>
          <w:lang w:val="fr-CA"/>
        </w:rPr>
        <w:t xml:space="preserve"> 3 </w:t>
      </w:r>
      <w:r w:rsidR="00AF6B9D">
        <w:rPr>
          <w:lang w:val="fr-CA"/>
        </w:rPr>
        <w:t xml:space="preserve">février </w:t>
      </w:r>
      <w:r w:rsidR="000E133D" w:rsidRPr="000E133D">
        <w:rPr>
          <w:lang w:val="fr-CA"/>
        </w:rPr>
        <w:t xml:space="preserve">2020, </w:t>
      </w:r>
      <w:r w:rsidR="00AF6B9D">
        <w:rPr>
          <w:lang w:val="fr-CA"/>
        </w:rPr>
        <w:t>l</w:t>
      </w:r>
      <w:r w:rsidR="000E133D" w:rsidRPr="000E133D">
        <w:rPr>
          <w:lang w:val="fr-CA"/>
        </w:rPr>
        <w:t xml:space="preserve">e </w:t>
      </w:r>
      <w:r w:rsidR="00A95667">
        <w:rPr>
          <w:lang w:val="fr-CA"/>
        </w:rPr>
        <w:t>Secrétariat</w:t>
      </w:r>
      <w:r w:rsidR="000E133D" w:rsidRPr="000E133D">
        <w:rPr>
          <w:lang w:val="fr-CA"/>
        </w:rPr>
        <w:t xml:space="preserve"> </w:t>
      </w:r>
      <w:r w:rsidR="00AF6B9D">
        <w:rPr>
          <w:lang w:val="fr-CA"/>
        </w:rPr>
        <w:t>a écrit au Gouvernement</w:t>
      </w:r>
      <w:r w:rsidR="000E133D" w:rsidRPr="000E133D">
        <w:rPr>
          <w:lang w:val="fr-CA"/>
        </w:rPr>
        <w:t xml:space="preserve"> </w:t>
      </w:r>
      <w:r w:rsidR="00AF6B9D">
        <w:rPr>
          <w:lang w:val="fr-CA"/>
        </w:rPr>
        <w:t xml:space="preserve">de l’Arabie saoudite pour l’informer de la </w:t>
      </w:r>
      <w:r w:rsidR="00D0488E">
        <w:rPr>
          <w:lang w:val="fr-CA"/>
        </w:rPr>
        <w:t>décision</w:t>
      </w:r>
      <w:r w:rsidR="000E133D" w:rsidRPr="000E133D">
        <w:rPr>
          <w:lang w:val="fr-CA"/>
        </w:rPr>
        <w:t xml:space="preserve"> adopt</w:t>
      </w:r>
      <w:r w:rsidR="00AF6B9D">
        <w:rPr>
          <w:lang w:val="fr-CA"/>
        </w:rPr>
        <w:t>é</w:t>
      </w:r>
      <w:r w:rsidR="000E133D" w:rsidRPr="000E133D">
        <w:rPr>
          <w:lang w:val="fr-CA"/>
        </w:rPr>
        <w:t xml:space="preserve">e </w:t>
      </w:r>
      <w:r w:rsidR="00AF6B9D">
        <w:rPr>
          <w:lang w:val="fr-CA"/>
        </w:rPr>
        <w:t>par le Comité</w:t>
      </w:r>
      <w:r w:rsidR="000E133D" w:rsidRPr="000E133D">
        <w:rPr>
          <w:lang w:val="fr-CA"/>
        </w:rPr>
        <w:t>.</w:t>
      </w:r>
    </w:p>
    <w:p w14:paraId="43243795" w14:textId="147B2692" w:rsidR="000E133D" w:rsidRPr="000E133D" w:rsidRDefault="00AF6B9D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À la </w:t>
      </w:r>
      <w:r w:rsidR="000E133D" w:rsidRPr="000E133D">
        <w:rPr>
          <w:lang w:val="fr-CA"/>
        </w:rPr>
        <w:t>85</w:t>
      </w:r>
      <w:r>
        <w:rPr>
          <w:vertAlign w:val="superscript"/>
          <w:lang w:val="fr-CA"/>
        </w:rPr>
        <w:t>e</w:t>
      </w:r>
      <w:r w:rsidR="000E133D" w:rsidRPr="000E133D">
        <w:rPr>
          <w:lang w:val="fr-CA"/>
        </w:rPr>
        <w:t> 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>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n’avait pas soumis les informations demandées et le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aurait dû être annulé</w:t>
      </w:r>
      <w:r w:rsidR="000E133D" w:rsidRPr="000E133D">
        <w:rPr>
          <w:lang w:val="fr-CA"/>
        </w:rPr>
        <w:t>. Dur</w:t>
      </w:r>
      <w:r>
        <w:rPr>
          <w:lang w:val="fr-CA"/>
        </w:rPr>
        <w:t xml:space="preserve">ant l’examen des </w:t>
      </w:r>
      <w:r w:rsidR="00D0488E">
        <w:rPr>
          <w:lang w:val="fr-CA"/>
        </w:rPr>
        <w:t>rapport</w:t>
      </w:r>
      <w:r>
        <w:rPr>
          <w:lang w:val="fr-CA"/>
        </w:rPr>
        <w:t>s</w:t>
      </w:r>
      <w:r w:rsidR="00D0488E">
        <w:rPr>
          <w:lang w:val="fr-CA"/>
        </w:rPr>
        <w:t xml:space="preserve"> périodique</w:t>
      </w:r>
      <w:r w:rsidR="000E133D" w:rsidRPr="000E133D">
        <w:rPr>
          <w:lang w:val="fr-CA"/>
        </w:rPr>
        <w:t>s</w:t>
      </w:r>
      <w:r>
        <w:rPr>
          <w:lang w:val="fr-CA"/>
        </w:rPr>
        <w:t xml:space="preserve"> de 2019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>l</w:t>
      </w:r>
      <w:r w:rsidR="000E133D" w:rsidRPr="000E133D">
        <w:rPr>
          <w:lang w:val="fr-CA"/>
        </w:rPr>
        <w:t xml:space="preserve">e </w:t>
      </w:r>
      <w:r w:rsidR="00A95667">
        <w:rPr>
          <w:lang w:val="fr-CA"/>
        </w:rPr>
        <w:t>Secrétariat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s’était entretenu longuement avec 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et le</w:t>
      </w:r>
      <w:r w:rsidR="000E133D" w:rsidRPr="000E133D">
        <w:rPr>
          <w:lang w:val="fr-CA"/>
        </w:rPr>
        <w:t xml:space="preserve"> UNEP </w:t>
      </w:r>
      <w:r>
        <w:rPr>
          <w:lang w:val="fr-CA"/>
        </w:rPr>
        <w:t xml:space="preserve">sur l’annulation des éléments de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du</w:t>
      </w:r>
      <w:r w:rsidR="000E133D" w:rsidRPr="000E133D">
        <w:rPr>
          <w:lang w:val="fr-CA"/>
        </w:rPr>
        <w:t xml:space="preserve"> 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 (</w:t>
      </w:r>
      <w:r>
        <w:rPr>
          <w:lang w:val="fr-CA"/>
        </w:rPr>
        <w:t>huit relevant de 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et trois du PNUE</w:t>
      </w:r>
      <w:r w:rsidR="000E133D" w:rsidRPr="000E133D">
        <w:rPr>
          <w:lang w:val="fr-CA"/>
        </w:rPr>
        <w:t>).</w:t>
      </w:r>
      <w:r w:rsidR="000E133D" w:rsidRPr="000E133D">
        <w:rPr>
          <w:sz w:val="24"/>
          <w:szCs w:val="24"/>
          <w:vertAlign w:val="superscript"/>
          <w:lang w:val="fr-CA"/>
        </w:rPr>
        <w:footnoteReference w:id="35"/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Au cours des débats, le </w:t>
      </w:r>
      <w:r w:rsidR="00A95667">
        <w:rPr>
          <w:lang w:val="fr-CA"/>
        </w:rPr>
        <w:t>Secrétariat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a été informé que, dans le cas des éléments relevant de l’</w:t>
      </w:r>
      <w:r w:rsidR="00A95667">
        <w:rPr>
          <w:lang w:val="fr-CA"/>
        </w:rPr>
        <w:t>ONUDI</w:t>
      </w:r>
      <w:r>
        <w:rPr>
          <w:lang w:val="fr-CA"/>
        </w:rPr>
        <w:t xml:space="preserve">, aucune nouvelle activité ne serait entreprise, et que les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>
        <w:rPr>
          <w:lang w:val="fr-CA"/>
        </w:rPr>
        <w:t>seraient achevés et les soldes de fonds seraient rendus le plus tôt possible</w:t>
      </w:r>
      <w:r w:rsidR="000E133D" w:rsidRPr="000E133D">
        <w:rPr>
          <w:lang w:val="fr-CA"/>
        </w:rPr>
        <w:t>.</w:t>
      </w:r>
    </w:p>
    <w:p w14:paraId="5F752B4A" w14:textId="20F1A15E" w:rsidR="000E133D" w:rsidRPr="000E133D" w:rsidRDefault="005B19ED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>Les huit éléments de projet à réaliser par l’</w:t>
      </w:r>
      <w:r w:rsidR="00A95667">
        <w:rPr>
          <w:lang w:val="fr-CA"/>
        </w:rPr>
        <w:t>ONUDI</w:t>
      </w:r>
      <w:r>
        <w:rPr>
          <w:lang w:val="fr-CA"/>
        </w:rPr>
        <w:t xml:space="preserve"> comprennent trois activités dans le </w:t>
      </w:r>
      <w:r w:rsidR="004B456E">
        <w:rPr>
          <w:lang w:val="fr-CA"/>
        </w:rPr>
        <w:t>secteur de l’entretien en réfrigération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et cinq activités liées à la reconversion et à l’assistance technique dans le secteur des mousses, comme indiqué dans le </w:t>
      </w:r>
      <w:r w:rsidR="000E133D" w:rsidRPr="000E133D">
        <w:rPr>
          <w:lang w:val="fr-CA"/>
        </w:rPr>
        <w:t>Table</w:t>
      </w:r>
      <w:r>
        <w:rPr>
          <w:lang w:val="fr-CA"/>
        </w:rPr>
        <w:t>au</w:t>
      </w:r>
      <w:r w:rsidR="000E133D" w:rsidRPr="000E133D">
        <w:rPr>
          <w:lang w:val="fr-CA"/>
        </w:rPr>
        <w:t xml:space="preserve"> 2. </w:t>
      </w:r>
      <w:r>
        <w:rPr>
          <w:lang w:val="fr-CA"/>
        </w:rPr>
        <w:t>L</w:t>
      </w:r>
      <w:r w:rsidR="000E133D" w:rsidRPr="000E133D">
        <w:rPr>
          <w:lang w:val="fr-CA"/>
        </w:rPr>
        <w:t xml:space="preserve">e </w:t>
      </w:r>
      <w:r w:rsidR="00A95667">
        <w:rPr>
          <w:lang w:val="fr-CA"/>
        </w:rPr>
        <w:t>Secrétariat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noté que </w:t>
      </w:r>
      <w:r w:rsidR="000E133D" w:rsidRPr="000E133D">
        <w:rPr>
          <w:lang w:val="fr-CA"/>
        </w:rPr>
        <w:t>:</w:t>
      </w:r>
    </w:p>
    <w:p w14:paraId="2D0A9FC2" w14:textId="6CFD099C" w:rsidR="000E133D" w:rsidRPr="000E133D" w:rsidRDefault="00B7636F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lang w:val="fr-CA"/>
        </w:rPr>
        <w:t>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est convenu de rendre à la 86</w:t>
      </w:r>
      <w:r w:rsidRPr="00B7636F">
        <w:rPr>
          <w:vertAlign w:val="superscript"/>
          <w:lang w:val="fr-CA"/>
        </w:rPr>
        <w:t>e</w:t>
      </w:r>
      <w:r>
        <w:rPr>
          <w:lang w:val="fr-CA"/>
        </w:rPr>
        <w:t xml:space="preserve"> réunion les soldes restants des trois projets mis en œuvre dans le secteur de l’entretien </w:t>
      </w:r>
      <w:r w:rsidR="000E133D" w:rsidRPr="000E133D">
        <w:rPr>
          <w:lang w:val="fr-CA"/>
        </w:rPr>
        <w:t xml:space="preserve">(SAU/PHA/68/INV/17, SAU/PHA/72/INV/20 </w:t>
      </w:r>
      <w:r>
        <w:rPr>
          <w:lang w:val="fr-CA"/>
        </w:rPr>
        <w:t>et</w:t>
      </w:r>
      <w:r w:rsidR="000E133D" w:rsidRPr="000E133D">
        <w:rPr>
          <w:lang w:val="fr-CA"/>
        </w:rPr>
        <w:t xml:space="preserve"> SAU/PHA/75/INV/25); </w:t>
      </w:r>
    </w:p>
    <w:p w14:paraId="0B9FA235" w14:textId="6C8F8D92" w:rsidR="000E133D" w:rsidRPr="000E133D" w:rsidRDefault="00B7636F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lang w:val="fr-CA"/>
        </w:rPr>
        <w:t>Dans le cas des cinq projet liés au secteur des mousses, il est convenu que 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trouverait un acheteur pour les équipements achetés pour </w:t>
      </w:r>
      <w:r w:rsidR="000E133D" w:rsidRPr="000E133D">
        <w:rPr>
          <w:lang w:val="fr-CA"/>
        </w:rPr>
        <w:t>Al-</w:t>
      </w:r>
      <w:proofErr w:type="spellStart"/>
      <w:r w:rsidR="000E133D" w:rsidRPr="000E133D">
        <w:rPr>
          <w:lang w:val="fr-CA"/>
        </w:rPr>
        <w:t>Watania</w:t>
      </w:r>
      <w:proofErr w:type="spellEnd"/>
      <w:r w:rsidR="000E133D" w:rsidRPr="000E133D">
        <w:rPr>
          <w:lang w:val="fr-CA"/>
        </w:rPr>
        <w:t xml:space="preserve"> Plastics (SAU/FOA/62/INV/13); </w:t>
      </w:r>
      <w:r>
        <w:rPr>
          <w:lang w:val="fr-CA"/>
        </w:rPr>
        <w:t xml:space="preserve">elle </w:t>
      </w:r>
      <w:r w:rsidR="000E133D" w:rsidRPr="000E133D">
        <w:rPr>
          <w:lang w:val="fr-CA"/>
        </w:rPr>
        <w:t>identif</w:t>
      </w:r>
      <w:r>
        <w:rPr>
          <w:lang w:val="fr-CA"/>
        </w:rPr>
        <w:t xml:space="preserve">ierait une autre entreprise admissible qui souhaiterait utiliser l’équipement acheté pour </w:t>
      </w:r>
      <w:proofErr w:type="spellStart"/>
      <w:r w:rsidR="000E133D" w:rsidRPr="000E133D">
        <w:rPr>
          <w:lang w:val="fr-CA"/>
        </w:rPr>
        <w:t>Hesco</w:t>
      </w:r>
      <w:proofErr w:type="spellEnd"/>
      <w:r w:rsidR="000E133D" w:rsidRPr="000E133D">
        <w:rPr>
          <w:lang w:val="fr-CA"/>
        </w:rPr>
        <w:t xml:space="preserve">, </w:t>
      </w:r>
      <w:r>
        <w:rPr>
          <w:lang w:val="fr-CA"/>
        </w:rPr>
        <w:t xml:space="preserve">qui s’était retiré du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à la suite d’un incendie dans leurs installations, ou mettrait l’équipement </w:t>
      </w:r>
      <w:r w:rsidR="00584873">
        <w:rPr>
          <w:lang w:val="fr-CA"/>
        </w:rPr>
        <w:t xml:space="preserve">à une vente </w:t>
      </w:r>
      <w:r>
        <w:rPr>
          <w:lang w:val="fr-CA"/>
        </w:rPr>
        <w:t>aux e</w:t>
      </w:r>
      <w:r w:rsidR="00584873">
        <w:rPr>
          <w:lang w:val="fr-CA"/>
        </w:rPr>
        <w:t>nchères si aucune entreprise n’était preneuse</w:t>
      </w:r>
      <w:r w:rsidR="000E133D" w:rsidRPr="000E133D">
        <w:rPr>
          <w:lang w:val="fr-CA"/>
        </w:rPr>
        <w:t xml:space="preserve"> (SAU/PHA/68/INV/19); </w:t>
      </w:r>
      <w:r w:rsidR="00584873">
        <w:rPr>
          <w:lang w:val="fr-CA"/>
        </w:rPr>
        <w:t xml:space="preserve">elle installerait l’équipement déjà </w:t>
      </w:r>
      <w:r w:rsidR="00584873">
        <w:rPr>
          <w:lang w:val="fr-CA"/>
        </w:rPr>
        <w:lastRenderedPageBreak/>
        <w:t xml:space="preserve">acheté dans les nouvelles installations de </w:t>
      </w:r>
      <w:proofErr w:type="spellStart"/>
      <w:r w:rsidR="000E133D" w:rsidRPr="000E133D">
        <w:rPr>
          <w:lang w:val="fr-CA"/>
        </w:rPr>
        <w:t>Jundi</w:t>
      </w:r>
      <w:proofErr w:type="spellEnd"/>
      <w:r w:rsidR="000E133D" w:rsidRPr="000E133D">
        <w:rPr>
          <w:lang w:val="fr-CA"/>
        </w:rPr>
        <w:t xml:space="preserve"> </w:t>
      </w:r>
      <w:proofErr w:type="spellStart"/>
      <w:r w:rsidR="000E133D" w:rsidRPr="000E133D">
        <w:rPr>
          <w:lang w:val="fr-CA"/>
        </w:rPr>
        <w:t>Systems</w:t>
      </w:r>
      <w:proofErr w:type="spellEnd"/>
      <w:r w:rsidR="000E133D" w:rsidRPr="000E133D">
        <w:rPr>
          <w:lang w:val="fr-CA"/>
        </w:rPr>
        <w:t xml:space="preserve"> House (SAU/PHA/72/INV/21);</w:t>
      </w:r>
      <w:r w:rsidR="00584873">
        <w:rPr>
          <w:lang w:val="fr-CA"/>
        </w:rPr>
        <w:t xml:space="preserve"> elle </w:t>
      </w:r>
      <w:r w:rsidR="000E133D" w:rsidRPr="000E133D">
        <w:rPr>
          <w:lang w:val="fr-CA"/>
        </w:rPr>
        <w:t>install</w:t>
      </w:r>
      <w:r w:rsidR="00584873">
        <w:rPr>
          <w:lang w:val="fr-CA"/>
        </w:rPr>
        <w:t>erait l’é</w:t>
      </w:r>
      <w:r w:rsidR="000E133D" w:rsidRPr="000E133D">
        <w:rPr>
          <w:lang w:val="fr-CA"/>
        </w:rPr>
        <w:t>quip</w:t>
      </w:r>
      <w:r w:rsidR="00584873">
        <w:rPr>
          <w:lang w:val="fr-CA"/>
        </w:rPr>
        <w:t>e</w:t>
      </w:r>
      <w:r w:rsidR="000E133D" w:rsidRPr="000E133D">
        <w:rPr>
          <w:lang w:val="fr-CA"/>
        </w:rPr>
        <w:t xml:space="preserve">ment </w:t>
      </w:r>
      <w:r w:rsidR="00584873">
        <w:rPr>
          <w:lang w:val="fr-CA"/>
        </w:rPr>
        <w:t xml:space="preserve">acquis dans les entreprises </w:t>
      </w:r>
      <w:r w:rsidR="000E133D" w:rsidRPr="000E133D">
        <w:rPr>
          <w:lang w:val="fr-CA"/>
        </w:rPr>
        <w:t xml:space="preserve">Al </w:t>
      </w:r>
      <w:proofErr w:type="spellStart"/>
      <w:r w:rsidR="000E133D" w:rsidRPr="000E133D">
        <w:rPr>
          <w:lang w:val="fr-CA"/>
        </w:rPr>
        <w:t>Mutlak</w:t>
      </w:r>
      <w:proofErr w:type="spellEnd"/>
      <w:r w:rsidR="000E133D" w:rsidRPr="000E133D">
        <w:rPr>
          <w:lang w:val="fr-CA"/>
        </w:rPr>
        <w:t xml:space="preserve"> </w:t>
      </w:r>
      <w:r w:rsidR="00584873">
        <w:rPr>
          <w:lang w:val="fr-CA"/>
        </w:rPr>
        <w:t>et</w:t>
      </w:r>
      <w:r w:rsidR="000E133D" w:rsidRPr="000E133D">
        <w:rPr>
          <w:lang w:val="fr-CA"/>
        </w:rPr>
        <w:t xml:space="preserve"> </w:t>
      </w:r>
      <w:proofErr w:type="spellStart"/>
      <w:r w:rsidR="000E133D" w:rsidRPr="000E133D">
        <w:rPr>
          <w:lang w:val="fr-CA"/>
        </w:rPr>
        <w:t>Sahari</w:t>
      </w:r>
      <w:proofErr w:type="spellEnd"/>
      <w:r w:rsidR="000E133D" w:rsidRPr="000E133D">
        <w:rPr>
          <w:lang w:val="fr-CA"/>
        </w:rPr>
        <w:t xml:space="preserve"> (SAU/PHA/75/INV/24); </w:t>
      </w:r>
      <w:r w:rsidR="00584873">
        <w:rPr>
          <w:lang w:val="fr-CA"/>
        </w:rPr>
        <w:t xml:space="preserve">et elle terminerait la formation pour des entreprises de mousse de vaporisation </w:t>
      </w:r>
      <w:r w:rsidR="000E133D" w:rsidRPr="000E133D">
        <w:rPr>
          <w:lang w:val="fr-CA"/>
        </w:rPr>
        <w:t>(SAU/PHA/77/INV/31). I</w:t>
      </w:r>
      <w:r w:rsidR="00584873">
        <w:rPr>
          <w:lang w:val="fr-CA"/>
        </w:rPr>
        <w:t>l était convenu par ailleurs que 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 w:rsidR="00584873">
        <w:rPr>
          <w:lang w:val="fr-CA"/>
        </w:rPr>
        <w:t xml:space="preserve">soumettrait un </w:t>
      </w:r>
      <w:r w:rsidR="00D0488E">
        <w:rPr>
          <w:lang w:val="fr-CA"/>
        </w:rPr>
        <w:t xml:space="preserve">rapport </w:t>
      </w:r>
      <w:r w:rsidR="00584873">
        <w:rPr>
          <w:lang w:val="fr-CA"/>
        </w:rPr>
        <w:t xml:space="preserve">périodique annuel sur la mise en œuvre des activités restantes au titre de la 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 I, </w:t>
      </w:r>
      <w:r w:rsidR="00584873">
        <w:rPr>
          <w:lang w:val="fr-CA"/>
        </w:rPr>
        <w:t xml:space="preserve">à la dernière réunion du </w:t>
      </w:r>
      <w:r w:rsidR="00A95667">
        <w:rPr>
          <w:lang w:val="fr-CA"/>
        </w:rPr>
        <w:t>Comité exécutif</w:t>
      </w:r>
      <w:r w:rsidR="000E133D" w:rsidRPr="000E133D">
        <w:rPr>
          <w:lang w:val="fr-CA"/>
        </w:rPr>
        <w:t xml:space="preserve"> </w:t>
      </w:r>
      <w:r w:rsidR="00584873">
        <w:rPr>
          <w:lang w:val="fr-CA"/>
        </w:rPr>
        <w:t>de chaque année</w:t>
      </w:r>
      <w:r w:rsidR="000E133D" w:rsidRPr="000E133D">
        <w:rPr>
          <w:lang w:val="fr-CA"/>
        </w:rPr>
        <w:t xml:space="preserve">, </w:t>
      </w:r>
      <w:r w:rsidR="00584873">
        <w:rPr>
          <w:lang w:val="fr-CA"/>
        </w:rPr>
        <w:t>jusqu’à leur achèvement</w:t>
      </w:r>
      <w:r w:rsidR="000E133D" w:rsidRPr="000E133D">
        <w:rPr>
          <w:lang w:val="fr-CA"/>
        </w:rPr>
        <w:t xml:space="preserve">, </w:t>
      </w:r>
      <w:r w:rsidR="00584873">
        <w:rPr>
          <w:lang w:val="fr-CA"/>
        </w:rPr>
        <w:t xml:space="preserve">et que la 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 II </w:t>
      </w:r>
      <w:r w:rsidR="00584873">
        <w:rPr>
          <w:lang w:val="fr-CA"/>
        </w:rPr>
        <w:t xml:space="preserve">ne serait examinée qu’après l’achèvement financier de la 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 I.</w:t>
      </w:r>
    </w:p>
    <w:p w14:paraId="061E7EBC" w14:textId="0BA445F7" w:rsidR="000E133D" w:rsidRPr="000E133D" w:rsidRDefault="000E133D" w:rsidP="000E133D">
      <w:pPr>
        <w:outlineLvl w:val="0"/>
        <w:rPr>
          <w:b/>
          <w:lang w:val="fr-CA"/>
        </w:rPr>
      </w:pPr>
      <w:r w:rsidRPr="000E133D">
        <w:rPr>
          <w:b/>
          <w:lang w:val="fr-CA"/>
        </w:rPr>
        <w:t>Table</w:t>
      </w:r>
      <w:r w:rsidR="00584873">
        <w:rPr>
          <w:b/>
          <w:lang w:val="fr-CA"/>
        </w:rPr>
        <w:t>au</w:t>
      </w:r>
      <w:r w:rsidRPr="000E133D">
        <w:rPr>
          <w:b/>
          <w:lang w:val="fr-CA"/>
        </w:rPr>
        <w:t xml:space="preserve"> 2. </w:t>
      </w:r>
      <w:r w:rsidR="00584873">
        <w:rPr>
          <w:b/>
          <w:lang w:val="fr-CA"/>
        </w:rPr>
        <w:t>T</w:t>
      </w:r>
      <w:r w:rsidRPr="000E133D">
        <w:rPr>
          <w:b/>
          <w:lang w:val="fr-CA"/>
        </w:rPr>
        <w:t>ranches</w:t>
      </w:r>
      <w:r w:rsidR="00584873">
        <w:rPr>
          <w:b/>
          <w:lang w:val="fr-CA"/>
        </w:rPr>
        <w:t xml:space="preserve"> en cours de la </w:t>
      </w:r>
      <w:r w:rsidR="004B456E">
        <w:rPr>
          <w:b/>
          <w:lang w:val="fr-CA"/>
        </w:rPr>
        <w:t>phase</w:t>
      </w:r>
      <w:r w:rsidRPr="000E133D">
        <w:rPr>
          <w:b/>
          <w:lang w:val="fr-CA"/>
        </w:rPr>
        <w:t xml:space="preserve"> I </w:t>
      </w:r>
      <w:r w:rsidR="00584873">
        <w:rPr>
          <w:b/>
          <w:lang w:val="fr-CA"/>
        </w:rPr>
        <w:t>du</w:t>
      </w:r>
      <w:r w:rsidRPr="000E133D">
        <w:rPr>
          <w:b/>
          <w:lang w:val="fr-CA"/>
        </w:rPr>
        <w:t xml:space="preserve"> </w:t>
      </w:r>
      <w:r w:rsidR="00E15C69">
        <w:rPr>
          <w:b/>
          <w:lang w:val="fr-CA"/>
        </w:rPr>
        <w:t>PGEH</w:t>
      </w:r>
      <w:r w:rsidRPr="000E133D">
        <w:rPr>
          <w:b/>
          <w:lang w:val="fr-CA"/>
        </w:rPr>
        <w:t xml:space="preserve"> </w:t>
      </w:r>
      <w:r w:rsidR="00584873">
        <w:rPr>
          <w:b/>
          <w:lang w:val="fr-CA"/>
        </w:rPr>
        <w:t>de l’Arabie saoudite</w:t>
      </w:r>
      <w:r w:rsidRPr="000E133D">
        <w:rPr>
          <w:b/>
          <w:lang w:val="fr-CA"/>
        </w:rPr>
        <w:t xml:space="preserve"> </w:t>
      </w:r>
      <w:r w:rsidR="00584873">
        <w:rPr>
          <w:b/>
          <w:lang w:val="fr-CA"/>
        </w:rPr>
        <w:t>mise en œuvre par l’</w:t>
      </w:r>
      <w:r w:rsidR="00A95667">
        <w:rPr>
          <w:b/>
          <w:lang w:val="fr-CA"/>
        </w:rPr>
        <w:t>ONUDI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410"/>
        <w:gridCol w:w="1416"/>
        <w:gridCol w:w="3740"/>
      </w:tblGrid>
      <w:tr w:rsidR="000E133D" w:rsidRPr="000E133D" w14:paraId="0AC29C34" w14:textId="77777777" w:rsidTr="00807EB8">
        <w:trPr>
          <w:trHeight w:val="395"/>
          <w:tblHeader/>
        </w:trPr>
        <w:tc>
          <w:tcPr>
            <w:tcW w:w="1095" w:type="pct"/>
            <w:tcMar>
              <w:top w:w="0" w:type="dxa"/>
              <w:left w:w="72" w:type="dxa"/>
              <w:bottom w:w="0" w:type="dxa"/>
              <w:right w:w="58" w:type="dxa"/>
            </w:tcMar>
            <w:vAlign w:val="center"/>
            <w:hideMark/>
          </w:tcPr>
          <w:p w14:paraId="5AF09D9B" w14:textId="70454296" w:rsidR="000E133D" w:rsidRPr="000E133D" w:rsidRDefault="00584873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Code du p</w:t>
            </w:r>
            <w:r w:rsidR="00A95667">
              <w:rPr>
                <w:b/>
                <w:bCs/>
                <w:sz w:val="20"/>
                <w:szCs w:val="20"/>
                <w:lang w:val="fr-CA" w:eastAsia="en-CA"/>
              </w:rPr>
              <w:t>rojet</w:t>
            </w:r>
          </w:p>
        </w:tc>
        <w:tc>
          <w:tcPr>
            <w:tcW w:w="1244" w:type="pct"/>
            <w:tcMar>
              <w:top w:w="0" w:type="dxa"/>
              <w:left w:w="72" w:type="dxa"/>
              <w:bottom w:w="0" w:type="dxa"/>
              <w:right w:w="58" w:type="dxa"/>
            </w:tcMar>
            <w:vAlign w:val="center"/>
            <w:hideMark/>
          </w:tcPr>
          <w:p w14:paraId="5BDB1CB2" w14:textId="3DC58BA9" w:rsidR="000E133D" w:rsidRPr="000E133D" w:rsidRDefault="0080306B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Titre du p</w:t>
            </w:r>
            <w:r w:rsidR="00A95667">
              <w:rPr>
                <w:b/>
                <w:bCs/>
                <w:sz w:val="20"/>
                <w:szCs w:val="20"/>
                <w:lang w:val="fr-CA" w:eastAsia="en-CA"/>
              </w:rPr>
              <w:t>rojet</w:t>
            </w:r>
          </w:p>
        </w:tc>
        <w:tc>
          <w:tcPr>
            <w:tcW w:w="731" w:type="pct"/>
            <w:tcMar>
              <w:top w:w="0" w:type="dxa"/>
              <w:left w:w="72" w:type="dxa"/>
              <w:bottom w:w="0" w:type="dxa"/>
              <w:right w:w="58" w:type="dxa"/>
            </w:tcMar>
            <w:vAlign w:val="center"/>
            <w:hideMark/>
          </w:tcPr>
          <w:p w14:paraId="7FE8CD40" w14:textId="54DF914E" w:rsidR="000E133D" w:rsidRPr="000E133D" w:rsidRDefault="0080306B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Décaisse</w:t>
            </w:r>
            <w:r w:rsidR="000E133D" w:rsidRPr="000E133D">
              <w:rPr>
                <w:b/>
                <w:bCs/>
                <w:sz w:val="20"/>
                <w:szCs w:val="20"/>
                <w:lang w:val="fr-CA" w:eastAsia="en-CA"/>
              </w:rPr>
              <w:t>ment (%)</w:t>
            </w:r>
          </w:p>
        </w:tc>
        <w:tc>
          <w:tcPr>
            <w:tcW w:w="1930" w:type="pct"/>
            <w:tcMar>
              <w:top w:w="0" w:type="dxa"/>
              <w:left w:w="72" w:type="dxa"/>
              <w:bottom w:w="0" w:type="dxa"/>
              <w:right w:w="58" w:type="dxa"/>
            </w:tcMar>
            <w:vAlign w:val="center"/>
            <w:hideMark/>
          </w:tcPr>
          <w:p w14:paraId="2117025E" w14:textId="4D4ABB64" w:rsidR="000E133D" w:rsidRPr="000E133D" w:rsidRDefault="0080306B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Situation</w:t>
            </w:r>
          </w:p>
        </w:tc>
      </w:tr>
      <w:tr w:rsidR="000E133D" w:rsidRPr="0087100D" w14:paraId="05DF2073" w14:textId="77777777" w:rsidTr="00807EB8">
        <w:trPr>
          <w:trHeight w:val="395"/>
        </w:trPr>
        <w:tc>
          <w:tcPr>
            <w:tcW w:w="1095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66EF386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SAU/FOA/62/INV/13</w:t>
            </w:r>
          </w:p>
        </w:tc>
        <w:tc>
          <w:tcPr>
            <w:tcW w:w="1244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0252B1A4" w14:textId="71797955" w:rsidR="000E133D" w:rsidRPr="000E133D" w:rsidRDefault="0080306B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 xml:space="preserve">Élimination des 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HCFC-22 </w:t>
            </w:r>
            <w:r>
              <w:rPr>
                <w:sz w:val="20"/>
                <w:szCs w:val="20"/>
                <w:lang w:val="fr-CA" w:eastAsia="en-CA"/>
              </w:rPr>
              <w:t>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HCFC-142b </w:t>
            </w:r>
            <w:r>
              <w:rPr>
                <w:sz w:val="20"/>
                <w:szCs w:val="20"/>
                <w:lang w:val="fr-CA" w:eastAsia="en-CA"/>
              </w:rPr>
              <w:t>dans la fabrication de panneaux de polystyrène extrudé à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Al</w:t>
            </w:r>
            <w:r w:rsidR="000E133D" w:rsidRPr="000E133D">
              <w:rPr>
                <w:sz w:val="20"/>
                <w:szCs w:val="20"/>
                <w:lang w:val="fr-CA" w:eastAsia="en-CA"/>
              </w:rPr>
              <w:noBreakHyphen/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Watania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Plastics</w:t>
            </w:r>
          </w:p>
        </w:tc>
        <w:tc>
          <w:tcPr>
            <w:tcW w:w="731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3975903C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53</w:t>
            </w:r>
          </w:p>
        </w:tc>
        <w:tc>
          <w:tcPr>
            <w:tcW w:w="1930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6E2B155A" w14:textId="16B0F0BC" w:rsidR="000E133D" w:rsidRPr="000E133D" w:rsidRDefault="00230694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 xml:space="preserve">Retards de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12 mo</w:t>
            </w:r>
            <w:r>
              <w:rPr>
                <w:sz w:val="20"/>
                <w:szCs w:val="20"/>
                <w:lang w:val="fr-CA" w:eastAsia="en-CA"/>
              </w:rPr>
              <w:t>is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; </w:t>
            </w:r>
            <w:r>
              <w:rPr>
                <w:sz w:val="20"/>
                <w:szCs w:val="20"/>
                <w:lang w:val="fr-CA" w:eastAsia="en-CA"/>
              </w:rPr>
              <w:t xml:space="preserve">retard dans l’identification d’un acheteur pour l’équipement acheté pour le </w:t>
            </w:r>
            <w:r w:rsidR="00A95667">
              <w:rPr>
                <w:sz w:val="20"/>
                <w:szCs w:val="20"/>
                <w:lang w:val="fr-CA" w:eastAsia="en-CA"/>
              </w:rPr>
              <w:t>projet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; </w:t>
            </w:r>
            <w:r>
              <w:rPr>
                <w:sz w:val="20"/>
                <w:szCs w:val="20"/>
                <w:lang w:val="fr-CA" w:eastAsia="en-CA"/>
              </w:rPr>
              <w:t>l’</w:t>
            </w:r>
            <w:r w:rsidR="000E133D" w:rsidRPr="000E133D">
              <w:rPr>
                <w:sz w:val="20"/>
                <w:szCs w:val="20"/>
                <w:lang w:val="fr-CA" w:eastAsia="en-CA"/>
              </w:rPr>
              <w:t>ent</w:t>
            </w:r>
            <w:r>
              <w:rPr>
                <w:sz w:val="20"/>
                <w:szCs w:val="20"/>
                <w:lang w:val="fr-CA" w:eastAsia="en-CA"/>
              </w:rPr>
              <w:t>r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eprise </w:t>
            </w:r>
            <w:r>
              <w:rPr>
                <w:sz w:val="20"/>
                <w:szCs w:val="20"/>
                <w:lang w:val="fr-CA" w:eastAsia="en-CA"/>
              </w:rPr>
              <w:t xml:space="preserve">a décidé de ne pas participer au </w:t>
            </w:r>
            <w:r w:rsidR="00A95667">
              <w:rPr>
                <w:sz w:val="20"/>
                <w:szCs w:val="20"/>
                <w:lang w:val="fr-CA" w:eastAsia="en-CA"/>
              </w:rPr>
              <w:t>projet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a</w:t>
            </w:r>
            <w:r>
              <w:rPr>
                <w:sz w:val="20"/>
                <w:szCs w:val="20"/>
                <w:lang w:val="fr-CA" w:eastAsia="en-CA"/>
              </w:rPr>
              <w:t>près l’achat de l’é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quip</w:t>
            </w:r>
            <w:r>
              <w:rPr>
                <w:sz w:val="20"/>
                <w:szCs w:val="20"/>
                <w:lang w:val="fr-CA" w:eastAsia="en-CA"/>
              </w:rPr>
              <w:t>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ment</w:t>
            </w:r>
          </w:p>
        </w:tc>
      </w:tr>
      <w:tr w:rsidR="000E133D" w:rsidRPr="0087100D" w14:paraId="03694520" w14:textId="77777777" w:rsidTr="00807EB8">
        <w:trPr>
          <w:trHeight w:val="458"/>
        </w:trPr>
        <w:tc>
          <w:tcPr>
            <w:tcW w:w="1095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5BEC8DE7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SAU/PHA/68/INV/17</w:t>
            </w:r>
          </w:p>
        </w:tc>
        <w:tc>
          <w:tcPr>
            <w:tcW w:w="1244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1D0CC49E" w14:textId="29709379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 I, </w:t>
            </w:r>
            <w:r w:rsidR="0080306B">
              <w:rPr>
                <w:sz w:val="20"/>
                <w:szCs w:val="20"/>
                <w:lang w:val="fr-CA" w:eastAsia="en-CA"/>
              </w:rPr>
              <w:t xml:space="preserve">première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tranche) (</w:t>
            </w:r>
            <w:r w:rsidR="0080306B">
              <w:rPr>
                <w:sz w:val="20"/>
                <w:szCs w:val="20"/>
                <w:lang w:val="fr-CA" w:eastAsia="en-CA"/>
              </w:rPr>
              <w:t xml:space="preserve">entretien et surveillance en </w:t>
            </w:r>
            <w:r w:rsidR="0080306B" w:rsidRPr="000E133D">
              <w:rPr>
                <w:sz w:val="20"/>
                <w:szCs w:val="20"/>
                <w:lang w:val="fr-CA" w:eastAsia="en-CA"/>
              </w:rPr>
              <w:t>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731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0DDF91E1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88</w:t>
            </w:r>
          </w:p>
        </w:tc>
        <w:tc>
          <w:tcPr>
            <w:tcW w:w="1930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54EC2C38" w14:textId="17D4F572" w:rsidR="000E133D" w:rsidRPr="000E133D" w:rsidRDefault="00230694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 xml:space="preserve">Retards de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12 mo</w:t>
            </w:r>
            <w:r>
              <w:rPr>
                <w:sz w:val="20"/>
                <w:szCs w:val="20"/>
                <w:lang w:val="fr-CA" w:eastAsia="en-CA"/>
              </w:rPr>
              <w:t>is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; </w:t>
            </w:r>
            <w:r>
              <w:rPr>
                <w:sz w:val="20"/>
                <w:szCs w:val="20"/>
                <w:lang w:val="fr-CA" w:eastAsia="en-CA"/>
              </w:rPr>
              <w:t xml:space="preserve">aucune activité ne sera entreprise pour ce </w:t>
            </w:r>
            <w:r w:rsidR="00A95667">
              <w:rPr>
                <w:sz w:val="20"/>
                <w:szCs w:val="20"/>
                <w:lang w:val="fr-CA" w:eastAsia="en-CA"/>
              </w:rPr>
              <w:t>projet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puisqu’il a été annulé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 w:rsidR="00D0488E">
              <w:rPr>
                <w:sz w:val="20"/>
                <w:szCs w:val="20"/>
                <w:lang w:val="fr-CA" w:eastAsia="en-CA"/>
              </w:rPr>
              <w:t>décision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84/45(b) </w:t>
            </w:r>
            <w:r>
              <w:rPr>
                <w:sz w:val="20"/>
                <w:szCs w:val="20"/>
                <w:lang w:val="fr-CA" w:eastAsia="en-CA"/>
              </w:rPr>
              <w:t>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(c))</w:t>
            </w:r>
          </w:p>
        </w:tc>
      </w:tr>
      <w:tr w:rsidR="000E133D" w:rsidRPr="0087100D" w14:paraId="000EC89F" w14:textId="77777777" w:rsidTr="00807EB8">
        <w:trPr>
          <w:trHeight w:val="469"/>
        </w:trPr>
        <w:tc>
          <w:tcPr>
            <w:tcW w:w="1095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788D9BDD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SAU/PHA/68/INV/19</w:t>
            </w:r>
          </w:p>
        </w:tc>
        <w:tc>
          <w:tcPr>
            <w:tcW w:w="1244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6BA152D0" w14:textId="58CD173C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 I, </w:t>
            </w:r>
            <w:r w:rsidR="0080306B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0306B">
              <w:rPr>
                <w:sz w:val="20"/>
                <w:szCs w:val="20"/>
                <w:lang w:val="fr-CA" w:eastAsia="en-CA"/>
              </w:rPr>
              <w:t xml:space="preserve">plan pour le secteur des mousses de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polyur</w:t>
            </w:r>
            <w:r w:rsidR="0080306B"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thane)</w:t>
            </w:r>
          </w:p>
        </w:tc>
        <w:tc>
          <w:tcPr>
            <w:tcW w:w="731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26F2D433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930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4CC36BE3" w14:textId="6D1471C5" w:rsidR="000E133D" w:rsidRPr="000E133D" w:rsidRDefault="00230694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230694">
              <w:rPr>
                <w:sz w:val="20"/>
                <w:szCs w:val="20"/>
                <w:lang w:val="fr-CA" w:eastAsia="en-CA"/>
              </w:rPr>
              <w:t>Retards de 12 mois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; </w:t>
            </w:r>
            <w:r>
              <w:rPr>
                <w:sz w:val="20"/>
                <w:szCs w:val="20"/>
                <w:lang w:val="fr-CA" w:eastAsia="en-CA"/>
              </w:rPr>
              <w:t>l’équipement</w:t>
            </w:r>
            <w:r w:rsidR="004368B1">
              <w:rPr>
                <w:sz w:val="20"/>
                <w:szCs w:val="20"/>
                <w:lang w:val="fr-CA" w:eastAsia="en-CA"/>
              </w:rPr>
              <w:t>,</w:t>
            </w:r>
            <w:r>
              <w:rPr>
                <w:sz w:val="20"/>
                <w:szCs w:val="20"/>
                <w:lang w:val="fr-CA" w:eastAsia="en-CA"/>
              </w:rPr>
              <w:t xml:space="preserve"> acheté pour une des trois entreprises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(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Hesco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) </w:t>
            </w:r>
            <w:r w:rsidR="004368B1">
              <w:rPr>
                <w:sz w:val="20"/>
                <w:szCs w:val="20"/>
                <w:lang w:val="fr-CA" w:eastAsia="en-CA"/>
              </w:rPr>
              <w:t>qui a eu un incendie, pourrait être soit utilisé par une autre entreprise admissible, ou mis aux enchères si aucune entreprise admissible ne peut être trouvée.</w:t>
            </w:r>
          </w:p>
        </w:tc>
      </w:tr>
      <w:tr w:rsidR="000E133D" w:rsidRPr="0087100D" w14:paraId="516B3D30" w14:textId="77777777" w:rsidTr="00807EB8">
        <w:trPr>
          <w:trHeight w:val="621"/>
        </w:trPr>
        <w:tc>
          <w:tcPr>
            <w:tcW w:w="1095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5233377B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SAU/PHA/72/INV/20</w:t>
            </w:r>
          </w:p>
        </w:tc>
        <w:tc>
          <w:tcPr>
            <w:tcW w:w="1244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332592E4" w14:textId="77777777" w:rsid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 I, </w:t>
            </w:r>
            <w:r w:rsidR="00230694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230694" w:rsidRPr="00230694">
              <w:rPr>
                <w:sz w:val="20"/>
                <w:szCs w:val="20"/>
                <w:lang w:val="fr-CA" w:eastAsia="en-CA"/>
              </w:rPr>
              <w:t>entretien et surveillance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  <w:p w14:paraId="11E43A9C" w14:textId="49FABCB0" w:rsidR="0087100D" w:rsidRPr="000E133D" w:rsidRDefault="0087100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731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7BA93A60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45</w:t>
            </w:r>
          </w:p>
        </w:tc>
        <w:tc>
          <w:tcPr>
            <w:tcW w:w="1930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26316E8F" w14:textId="48E914A0" w:rsidR="000E133D" w:rsidRPr="000E133D" w:rsidRDefault="00230694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230694">
              <w:rPr>
                <w:sz w:val="20"/>
                <w:szCs w:val="20"/>
                <w:lang w:val="fr-CA" w:eastAsia="en-CA"/>
              </w:rPr>
              <w:t>Retards de 12 mois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; </w:t>
            </w:r>
            <w:r w:rsidR="004368B1">
              <w:rPr>
                <w:sz w:val="20"/>
                <w:szCs w:val="20"/>
                <w:lang w:val="fr-CA" w:eastAsia="en-CA"/>
              </w:rPr>
              <w:t xml:space="preserve">aucune nouvelle activité ne sera entreprise au titre de ce projet qui a été annulé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(</w:t>
            </w:r>
            <w:r w:rsidR="00D0488E">
              <w:rPr>
                <w:sz w:val="20"/>
                <w:szCs w:val="20"/>
                <w:lang w:val="fr-CA" w:eastAsia="en-CA"/>
              </w:rPr>
              <w:t>décision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 84/45(b) and (c))</w:t>
            </w:r>
          </w:p>
        </w:tc>
      </w:tr>
      <w:tr w:rsidR="000E133D" w:rsidRPr="0087100D" w14:paraId="051E69C4" w14:textId="77777777" w:rsidTr="00807EB8">
        <w:trPr>
          <w:trHeight w:val="630"/>
        </w:trPr>
        <w:tc>
          <w:tcPr>
            <w:tcW w:w="1095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1A174118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SAU/PHA/72/INV/21</w:t>
            </w:r>
          </w:p>
        </w:tc>
        <w:tc>
          <w:tcPr>
            <w:tcW w:w="1244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0928E35B" w14:textId="733567FD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 I, </w:t>
            </w:r>
            <w:r w:rsidR="00230694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230694" w:rsidRPr="00230694">
              <w:rPr>
                <w:sz w:val="20"/>
                <w:szCs w:val="20"/>
                <w:lang w:val="fr-CA" w:eastAsia="en-CA"/>
              </w:rPr>
              <w:t>plan pour le secteur des mousses de polyuréthane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731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00A6BEED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71</w:t>
            </w:r>
          </w:p>
        </w:tc>
        <w:tc>
          <w:tcPr>
            <w:tcW w:w="1930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17F74BAA" w14:textId="0140970B" w:rsidR="000E133D" w:rsidRPr="000E133D" w:rsidRDefault="00230694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230694">
              <w:rPr>
                <w:sz w:val="20"/>
                <w:szCs w:val="20"/>
                <w:lang w:val="fr-CA" w:eastAsia="en-CA"/>
              </w:rPr>
              <w:t>Retards de 12 mois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;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Jundi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Systems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House, </w:t>
            </w:r>
            <w:r w:rsidR="004368B1">
              <w:rPr>
                <w:sz w:val="20"/>
                <w:szCs w:val="20"/>
                <w:lang w:val="fr-CA" w:eastAsia="en-CA"/>
              </w:rPr>
              <w:t xml:space="preserve">une des entreprises participant au </w:t>
            </w:r>
            <w:r w:rsidR="00A95667">
              <w:rPr>
                <w:sz w:val="20"/>
                <w:szCs w:val="20"/>
                <w:lang w:val="fr-CA" w:eastAsia="en-CA"/>
              </w:rPr>
              <w:t>projet</w:t>
            </w:r>
            <w:r w:rsidR="004368B1">
              <w:rPr>
                <w:sz w:val="20"/>
                <w:szCs w:val="20"/>
                <w:lang w:val="fr-CA" w:eastAsia="en-CA"/>
              </w:rPr>
              <w:t xml:space="preserve">, a </w:t>
            </w:r>
            <w:r w:rsidR="00D73876">
              <w:rPr>
                <w:sz w:val="20"/>
                <w:szCs w:val="20"/>
                <w:lang w:val="fr-CA" w:eastAsia="en-CA"/>
              </w:rPr>
              <w:t xml:space="preserve">subi </w:t>
            </w:r>
            <w:r w:rsidR="004368B1">
              <w:rPr>
                <w:sz w:val="20"/>
                <w:szCs w:val="20"/>
                <w:lang w:val="fr-CA" w:eastAsia="en-CA"/>
              </w:rPr>
              <w:t>un incendie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. </w:t>
            </w:r>
            <w:r w:rsidR="004368B1">
              <w:rPr>
                <w:sz w:val="20"/>
                <w:szCs w:val="20"/>
                <w:lang w:val="fr-CA" w:eastAsia="en-CA"/>
              </w:rPr>
              <w:t>L’entreprise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4368B1">
              <w:rPr>
                <w:sz w:val="20"/>
                <w:szCs w:val="20"/>
                <w:lang w:val="fr-CA" w:eastAsia="en-CA"/>
              </w:rPr>
              <w:t>a commencé la construction d’une nouvelle installation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. </w:t>
            </w:r>
            <w:r w:rsidR="004368B1">
              <w:rPr>
                <w:sz w:val="20"/>
                <w:szCs w:val="20"/>
                <w:lang w:val="fr-CA" w:eastAsia="en-CA"/>
              </w:rPr>
              <w:t>L’équipement qui devait y être implanté a été acheté et serait installé dans le nouveau bâtiment au cours des 12 prochains mois.</w:t>
            </w:r>
            <w:r w:rsidR="00631EA2">
              <w:rPr>
                <w:sz w:val="20"/>
                <w:szCs w:val="20"/>
                <w:lang w:val="fr-CA" w:eastAsia="en-CA"/>
              </w:rPr>
              <w:t xml:space="preserve">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87100D" w14:paraId="1A2FF0BA" w14:textId="77777777" w:rsidTr="00807EB8">
        <w:trPr>
          <w:trHeight w:val="484"/>
        </w:trPr>
        <w:tc>
          <w:tcPr>
            <w:tcW w:w="1095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7ACC3B3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SAU/PHA/75/INV/24</w:t>
            </w:r>
          </w:p>
        </w:tc>
        <w:tc>
          <w:tcPr>
            <w:tcW w:w="1244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080969BE" w14:textId="277767AB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 I, </w:t>
            </w:r>
            <w:r w:rsidR="00230694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230694" w:rsidRPr="00230694">
              <w:rPr>
                <w:sz w:val="20"/>
                <w:szCs w:val="20"/>
                <w:lang w:val="fr-CA" w:eastAsia="en-CA"/>
              </w:rPr>
              <w:t>plan pour le secteur des mousses de polyuréthane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731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6C2A6055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59</w:t>
            </w:r>
          </w:p>
        </w:tc>
        <w:tc>
          <w:tcPr>
            <w:tcW w:w="1930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30BE9391" w14:textId="14035E05" w:rsidR="000E133D" w:rsidRPr="000E133D" w:rsidRDefault="00230694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230694">
              <w:rPr>
                <w:sz w:val="20"/>
                <w:szCs w:val="20"/>
                <w:lang w:val="fr-CA" w:eastAsia="en-CA"/>
              </w:rPr>
              <w:t>Retards de 12 mois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; </w:t>
            </w:r>
            <w:r w:rsidR="00D73876">
              <w:rPr>
                <w:sz w:val="20"/>
                <w:szCs w:val="20"/>
                <w:lang w:val="fr-CA" w:eastAsia="en-CA"/>
              </w:rPr>
              <w:t xml:space="preserve">il ne reste qu’à installer les équipements achetés à deux </w:t>
            </w:r>
            <w:r w:rsidR="004368B1">
              <w:rPr>
                <w:sz w:val="20"/>
                <w:szCs w:val="20"/>
                <w:lang w:val="fr-CA" w:eastAsia="en-CA"/>
              </w:rPr>
              <w:t>entreprise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s (Al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Mutlak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D73876">
              <w:rPr>
                <w:sz w:val="20"/>
                <w:szCs w:val="20"/>
                <w:lang w:val="fr-CA" w:eastAsia="en-CA"/>
              </w:rPr>
              <w:t>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Sahari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>);</w:t>
            </w:r>
            <w:r w:rsidR="000E133D" w:rsidRPr="000E133D">
              <w:rPr>
                <w:lang w:val="fr-CA"/>
              </w:rPr>
              <w:t xml:space="preserve"> </w:t>
            </w:r>
            <w:r w:rsidR="00D73876">
              <w:rPr>
                <w:lang w:val="fr-CA"/>
              </w:rPr>
              <w:t xml:space="preserve">aucune nouvelle activité ne sera entreprise dans ce </w:t>
            </w:r>
            <w:r w:rsidR="00A95667">
              <w:rPr>
                <w:sz w:val="20"/>
                <w:szCs w:val="20"/>
                <w:lang w:val="fr-CA" w:eastAsia="en-CA"/>
              </w:rPr>
              <w:t>projet</w:t>
            </w:r>
            <w:r w:rsidR="00D73876">
              <w:rPr>
                <w:sz w:val="20"/>
                <w:szCs w:val="20"/>
                <w:lang w:val="fr-CA" w:eastAsia="en-CA"/>
              </w:rPr>
              <w:t>, qui a été annulé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 w:rsidR="00D0488E">
              <w:rPr>
                <w:sz w:val="20"/>
                <w:szCs w:val="20"/>
                <w:lang w:val="fr-CA" w:eastAsia="en-CA"/>
              </w:rPr>
              <w:t>décision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84/45(b) </w:t>
            </w:r>
            <w:r w:rsidR="00D73876">
              <w:rPr>
                <w:sz w:val="20"/>
                <w:szCs w:val="20"/>
                <w:lang w:val="fr-CA" w:eastAsia="en-CA"/>
              </w:rPr>
              <w:t>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(c))</w:t>
            </w:r>
          </w:p>
        </w:tc>
      </w:tr>
      <w:tr w:rsidR="000E133D" w:rsidRPr="0087100D" w14:paraId="16AF1BC2" w14:textId="77777777" w:rsidTr="00807EB8">
        <w:trPr>
          <w:trHeight w:val="495"/>
        </w:trPr>
        <w:tc>
          <w:tcPr>
            <w:tcW w:w="1095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3C32DB4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SAU/PHA/75/INV/25</w:t>
            </w:r>
          </w:p>
        </w:tc>
        <w:tc>
          <w:tcPr>
            <w:tcW w:w="1244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52129D57" w14:textId="77777777" w:rsid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 I, </w:t>
            </w:r>
            <w:r w:rsidR="00230694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230694" w:rsidRPr="00230694">
              <w:rPr>
                <w:sz w:val="20"/>
                <w:szCs w:val="20"/>
                <w:lang w:val="fr-CA" w:eastAsia="en-CA"/>
              </w:rPr>
              <w:t>entretien et surveillance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  <w:p w14:paraId="0611EB43" w14:textId="2E035CFA" w:rsidR="0087100D" w:rsidRPr="000E133D" w:rsidRDefault="0087100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731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787B27FA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70</w:t>
            </w:r>
          </w:p>
        </w:tc>
        <w:tc>
          <w:tcPr>
            <w:tcW w:w="1930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27B99C54" w14:textId="0CFA319B" w:rsidR="000E133D" w:rsidRPr="000E133D" w:rsidRDefault="00230694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230694">
              <w:rPr>
                <w:sz w:val="20"/>
                <w:szCs w:val="20"/>
                <w:lang w:val="fr-CA" w:eastAsia="en-CA"/>
              </w:rPr>
              <w:t>Retards de 12 mois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; </w:t>
            </w:r>
            <w:r w:rsidR="00D73876" w:rsidRPr="00D73876">
              <w:rPr>
                <w:sz w:val="20"/>
                <w:szCs w:val="20"/>
                <w:lang w:val="fr-CA" w:eastAsia="en-CA"/>
              </w:rPr>
              <w:t xml:space="preserve">aucune nouvelle activité ne sera entreprise dans ce projet, qui a été annulé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(</w:t>
            </w:r>
            <w:r w:rsidR="00D0488E">
              <w:rPr>
                <w:sz w:val="20"/>
                <w:szCs w:val="20"/>
                <w:lang w:val="fr-CA" w:eastAsia="en-CA"/>
              </w:rPr>
              <w:t>décision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 84/45(b) </w:t>
            </w:r>
            <w:r w:rsidR="00D73876">
              <w:rPr>
                <w:sz w:val="20"/>
                <w:szCs w:val="20"/>
                <w:lang w:val="fr-CA" w:eastAsia="en-CA"/>
              </w:rPr>
              <w:t>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(c))</w:t>
            </w:r>
          </w:p>
        </w:tc>
      </w:tr>
      <w:tr w:rsidR="000E133D" w:rsidRPr="0087100D" w14:paraId="13F3F201" w14:textId="77777777" w:rsidTr="00807EB8">
        <w:trPr>
          <w:trHeight w:val="528"/>
        </w:trPr>
        <w:tc>
          <w:tcPr>
            <w:tcW w:w="1095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56C8A1C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SAU/PHA/77/INV/31</w:t>
            </w:r>
          </w:p>
        </w:tc>
        <w:tc>
          <w:tcPr>
            <w:tcW w:w="1244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69F2B032" w14:textId="683B6513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 I, </w:t>
            </w:r>
            <w:r w:rsidR="00230694">
              <w:rPr>
                <w:sz w:val="20"/>
                <w:szCs w:val="20"/>
                <w:lang w:val="fr-CA" w:eastAsia="en-CA"/>
              </w:rPr>
              <w:t>quatrième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230694" w:rsidRPr="00230694">
              <w:rPr>
                <w:sz w:val="20"/>
                <w:szCs w:val="20"/>
                <w:lang w:val="fr-CA" w:eastAsia="en-CA"/>
              </w:rPr>
              <w:t>plan pour le secteur des mousses de polyuréthane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731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1E5E5FC2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21 </w:t>
            </w:r>
          </w:p>
        </w:tc>
        <w:tc>
          <w:tcPr>
            <w:tcW w:w="1930" w:type="pct"/>
            <w:tcMar>
              <w:top w:w="0" w:type="dxa"/>
              <w:left w:w="72" w:type="dxa"/>
              <w:bottom w:w="0" w:type="dxa"/>
              <w:right w:w="58" w:type="dxa"/>
            </w:tcMar>
            <w:hideMark/>
          </w:tcPr>
          <w:p w14:paraId="258C570A" w14:textId="3D22C22A" w:rsidR="000E133D" w:rsidRPr="000E133D" w:rsidRDefault="00D738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rogramme </w:t>
            </w:r>
            <w:r>
              <w:rPr>
                <w:sz w:val="20"/>
                <w:szCs w:val="20"/>
                <w:lang w:val="fr-CA" w:eastAsia="en-CA"/>
              </w:rPr>
              <w:t xml:space="preserve">de formation pour des </w:t>
            </w:r>
            <w:r w:rsidR="004368B1">
              <w:rPr>
                <w:sz w:val="20"/>
                <w:szCs w:val="20"/>
                <w:lang w:val="fr-CA" w:eastAsia="en-CA"/>
              </w:rPr>
              <w:t>entreprise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s</w:t>
            </w:r>
            <w:r>
              <w:rPr>
                <w:sz w:val="20"/>
                <w:szCs w:val="20"/>
                <w:lang w:val="fr-CA" w:eastAsia="en-CA"/>
              </w:rPr>
              <w:t xml:space="preserve"> de mousses de vaporisation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, </w:t>
            </w:r>
            <w:r>
              <w:rPr>
                <w:sz w:val="20"/>
                <w:szCs w:val="20"/>
                <w:lang w:val="fr-CA" w:eastAsia="en-CA"/>
              </w:rPr>
              <w:t xml:space="preserve">retardé à cause du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COVID</w:t>
            </w:r>
            <w:r w:rsidR="000E133D" w:rsidRPr="000E133D">
              <w:rPr>
                <w:sz w:val="20"/>
                <w:szCs w:val="20"/>
                <w:lang w:val="fr-CA" w:eastAsia="en-CA"/>
              </w:rPr>
              <w:noBreakHyphen/>
              <w:t xml:space="preserve">19, </w:t>
            </w:r>
            <w:r>
              <w:rPr>
                <w:sz w:val="20"/>
                <w:szCs w:val="20"/>
                <w:lang w:val="fr-CA" w:eastAsia="en-CA"/>
              </w:rPr>
              <w:t>doit être achevé</w:t>
            </w:r>
          </w:p>
        </w:tc>
      </w:tr>
    </w:tbl>
    <w:p w14:paraId="1097BBE6" w14:textId="77777777" w:rsidR="000E133D" w:rsidRPr="000E133D" w:rsidRDefault="000E133D" w:rsidP="000E133D">
      <w:pPr>
        <w:outlineLvl w:val="0"/>
        <w:rPr>
          <w:lang w:val="fr-CA"/>
        </w:rPr>
      </w:pPr>
    </w:p>
    <w:p w14:paraId="28102E7D" w14:textId="4AFE381E" w:rsidR="000E133D" w:rsidRPr="000E133D" w:rsidRDefault="00A95667" w:rsidP="000E133D">
      <w:pPr>
        <w:keepNext/>
        <w:keepLines/>
        <w:ind w:left="1418" w:hanging="1418"/>
        <w:outlineLvl w:val="0"/>
        <w:rPr>
          <w:rFonts w:ascii="Times New Roman Bold" w:hAnsi="Times New Roman Bold"/>
          <w:b/>
          <w:caps/>
          <w:noProof/>
          <w:szCs w:val="28"/>
          <w:lang w:val="fr-CA"/>
        </w:rPr>
      </w:pPr>
      <w:r>
        <w:rPr>
          <w:rFonts w:ascii="Times New Roman Bold" w:hAnsi="Times New Roman Bold"/>
          <w:caps/>
          <w:noProof/>
          <w:szCs w:val="28"/>
          <w:lang w:val="fr-CA"/>
        </w:rPr>
        <w:t xml:space="preserve">Partie </w:t>
      </w:r>
      <w:r w:rsidR="000E133D" w:rsidRPr="000E133D">
        <w:rPr>
          <w:rFonts w:ascii="Times New Roman Bold" w:hAnsi="Times New Roman Bold"/>
          <w:caps/>
          <w:noProof/>
          <w:szCs w:val="28"/>
          <w:lang w:val="fr-CA"/>
        </w:rPr>
        <w:t>II:</w:t>
      </w:r>
      <w:r w:rsidR="000E133D" w:rsidRPr="000E133D">
        <w:rPr>
          <w:rFonts w:ascii="Times New Roman Bold" w:hAnsi="Times New Roman Bold"/>
          <w:caps/>
          <w:noProof/>
          <w:szCs w:val="28"/>
          <w:lang w:val="fr-CA"/>
        </w:rPr>
        <w:tab/>
      </w:r>
      <w:r>
        <w:rPr>
          <w:rFonts w:ascii="Times New Roman Bold" w:hAnsi="Times New Roman Bold"/>
          <w:b/>
          <w:caps/>
          <w:noProof/>
          <w:szCs w:val="28"/>
          <w:lang w:val="fr-CA"/>
        </w:rPr>
        <w:t>Projet</w:t>
      </w:r>
      <w:r w:rsidR="000E133D" w:rsidRPr="000E133D">
        <w:rPr>
          <w:rFonts w:ascii="Times New Roman Bold" w:hAnsi="Times New Roman Bold"/>
          <w:b/>
          <w:caps/>
          <w:noProof/>
          <w:szCs w:val="28"/>
          <w:lang w:val="fr-CA"/>
        </w:rPr>
        <w:t>s appro</w:t>
      </w:r>
      <w:r w:rsidR="00D73876">
        <w:rPr>
          <w:rFonts w:ascii="Times New Roman Bold" w:hAnsi="Times New Roman Bold"/>
          <w:b/>
          <w:caps/>
          <w:noProof/>
          <w:szCs w:val="28"/>
          <w:lang w:val="fr-CA"/>
        </w:rPr>
        <w:t xml:space="preserve">UVÉS AU TITRE DES </w:t>
      </w:r>
      <w:r w:rsidR="000E133D" w:rsidRPr="000E133D">
        <w:rPr>
          <w:rFonts w:ascii="Times New Roman Bold" w:hAnsi="Times New Roman Bold"/>
          <w:b/>
          <w:caps/>
          <w:noProof/>
          <w:szCs w:val="28"/>
          <w:lang w:val="fr-CA"/>
        </w:rPr>
        <w:t xml:space="preserve">contributions </w:t>
      </w:r>
      <w:r w:rsidR="00D73876">
        <w:rPr>
          <w:rFonts w:ascii="Times New Roman Bold" w:hAnsi="Times New Roman Bold"/>
          <w:b/>
          <w:caps/>
          <w:noProof/>
          <w:szCs w:val="28"/>
          <w:lang w:val="fr-CA"/>
        </w:rPr>
        <w:t xml:space="preserve">VOLONTAIRES SUPPLÉMENTAIRES POUR APPORTER UN SOUTIEN À MISE EN OEUVRE RAPIDE À L’ÉLIMINATION </w:t>
      </w:r>
      <w:r w:rsidR="006D6EA5">
        <w:rPr>
          <w:rFonts w:ascii="Times New Roman Bold" w:hAnsi="Times New Roman Bold"/>
          <w:b/>
          <w:caps/>
          <w:noProof/>
          <w:szCs w:val="28"/>
          <w:lang w:val="fr-CA"/>
        </w:rPr>
        <w:t xml:space="preserve">GRADUELLE </w:t>
      </w:r>
      <w:r w:rsidR="00D73876">
        <w:rPr>
          <w:rFonts w:ascii="Times New Roman Bold" w:hAnsi="Times New Roman Bold"/>
          <w:b/>
          <w:caps/>
          <w:noProof/>
          <w:szCs w:val="28"/>
          <w:lang w:val="fr-CA"/>
        </w:rPr>
        <w:t xml:space="preserve">DES </w:t>
      </w:r>
      <w:r w:rsidR="000E133D" w:rsidRPr="000E133D">
        <w:rPr>
          <w:rFonts w:ascii="Times New Roman Bold" w:hAnsi="Times New Roman Bold"/>
          <w:b/>
          <w:caps/>
          <w:noProof/>
          <w:szCs w:val="28"/>
          <w:lang w:val="fr-CA"/>
        </w:rPr>
        <w:t>HFC</w:t>
      </w:r>
    </w:p>
    <w:p w14:paraId="0FD43347" w14:textId="77777777" w:rsidR="000E133D" w:rsidRPr="000E133D" w:rsidRDefault="000E133D" w:rsidP="000E133D">
      <w:pPr>
        <w:keepNext/>
        <w:keepLines/>
        <w:ind w:left="1418" w:hanging="1418"/>
        <w:outlineLvl w:val="0"/>
        <w:rPr>
          <w:rFonts w:ascii="Times New Roman Bold" w:hAnsi="Times New Roman Bold"/>
          <w:caps/>
          <w:noProof/>
          <w:szCs w:val="28"/>
          <w:lang w:val="fr-CA"/>
        </w:rPr>
      </w:pPr>
    </w:p>
    <w:p w14:paraId="5ABFD14E" w14:textId="0CDE8B86" w:rsidR="000E133D" w:rsidRPr="000E133D" w:rsidRDefault="000E133D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 w:rsidRPr="000E133D">
        <w:rPr>
          <w:lang w:val="fr-CA"/>
        </w:rPr>
        <w:t>A</w:t>
      </w:r>
      <w:r w:rsidR="00717D3D">
        <w:rPr>
          <w:lang w:val="fr-CA"/>
        </w:rPr>
        <w:t xml:space="preserve">u </w:t>
      </w:r>
      <w:r w:rsidRPr="000E133D">
        <w:rPr>
          <w:lang w:val="fr-CA"/>
        </w:rPr>
        <w:t xml:space="preserve">31 </w:t>
      </w:r>
      <w:r w:rsidR="00717D3D">
        <w:rPr>
          <w:lang w:val="fr-CA"/>
        </w:rPr>
        <w:t>d</w:t>
      </w:r>
      <w:r w:rsidR="001D0731">
        <w:rPr>
          <w:lang w:val="fr-CA"/>
        </w:rPr>
        <w:t>éc</w:t>
      </w:r>
      <w:r w:rsidRPr="000E133D">
        <w:rPr>
          <w:lang w:val="fr-CA"/>
        </w:rPr>
        <w:t>emb</w:t>
      </w:r>
      <w:r w:rsidR="00717D3D">
        <w:rPr>
          <w:lang w:val="fr-CA"/>
        </w:rPr>
        <w:t>r</w:t>
      </w:r>
      <w:r w:rsidRPr="000E133D">
        <w:rPr>
          <w:lang w:val="fr-CA"/>
        </w:rPr>
        <w:t xml:space="preserve">e 2019, </w:t>
      </w:r>
      <w:r w:rsidR="00717D3D">
        <w:rPr>
          <w:lang w:val="fr-CA"/>
        </w:rPr>
        <w:t>l</w:t>
      </w:r>
      <w:r w:rsidRPr="000E133D">
        <w:rPr>
          <w:lang w:val="fr-CA"/>
        </w:rPr>
        <w:t xml:space="preserve">e </w:t>
      </w:r>
      <w:r w:rsidR="00A95667">
        <w:rPr>
          <w:lang w:val="fr-CA"/>
        </w:rPr>
        <w:t>Comité exécutif</w:t>
      </w:r>
      <w:r w:rsidRPr="000E133D">
        <w:rPr>
          <w:lang w:val="fr-CA"/>
        </w:rPr>
        <w:t xml:space="preserve"> </w:t>
      </w:r>
      <w:r w:rsidR="00717D3D">
        <w:rPr>
          <w:lang w:val="fr-CA"/>
        </w:rPr>
        <w:t xml:space="preserve">avait approuvé </w:t>
      </w:r>
      <w:r w:rsidRPr="000E133D">
        <w:rPr>
          <w:lang w:val="fr-CA"/>
        </w:rPr>
        <w:t xml:space="preserve">35 </w:t>
      </w:r>
      <w:r w:rsidR="00717D3D">
        <w:rPr>
          <w:lang w:val="fr-CA"/>
        </w:rPr>
        <w:t xml:space="preserve">projets liés aux </w:t>
      </w:r>
      <w:r w:rsidRPr="000E133D">
        <w:rPr>
          <w:lang w:val="fr-CA"/>
        </w:rPr>
        <w:t>HFC</w:t>
      </w:r>
      <w:r w:rsidR="00717D3D">
        <w:rPr>
          <w:lang w:val="fr-CA"/>
        </w:rPr>
        <w:t xml:space="preserve"> au titre des </w:t>
      </w:r>
      <w:r w:rsidRPr="000E133D">
        <w:rPr>
          <w:lang w:val="fr-CA"/>
        </w:rPr>
        <w:t>contributions</w:t>
      </w:r>
      <w:r w:rsidR="00717D3D">
        <w:rPr>
          <w:lang w:val="fr-CA"/>
        </w:rPr>
        <w:t xml:space="preserve"> volontaires supplémentaires</w:t>
      </w:r>
      <w:r w:rsidRPr="000E133D">
        <w:rPr>
          <w:lang w:val="fr-CA"/>
        </w:rPr>
        <w:t xml:space="preserve">, </w:t>
      </w:r>
      <w:r w:rsidR="00717D3D">
        <w:rPr>
          <w:lang w:val="fr-CA"/>
        </w:rPr>
        <w:t xml:space="preserve">d’une valeur </w:t>
      </w:r>
      <w:r w:rsidRPr="000E133D">
        <w:rPr>
          <w:lang w:val="fr-CA"/>
        </w:rPr>
        <w:t>8</w:t>
      </w:r>
      <w:r w:rsidR="00717D3D">
        <w:rPr>
          <w:lang w:val="fr-CA"/>
        </w:rPr>
        <w:t> </w:t>
      </w:r>
      <w:r w:rsidRPr="000E133D">
        <w:rPr>
          <w:lang w:val="fr-CA"/>
        </w:rPr>
        <w:t>089</w:t>
      </w:r>
      <w:r w:rsidR="00717D3D">
        <w:rPr>
          <w:lang w:val="fr-CA"/>
        </w:rPr>
        <w:t> </w:t>
      </w:r>
      <w:r w:rsidRPr="000E133D">
        <w:rPr>
          <w:lang w:val="fr-CA"/>
        </w:rPr>
        <w:t>434</w:t>
      </w:r>
      <w:r w:rsidR="00717D3D">
        <w:rPr>
          <w:lang w:val="fr-CA"/>
        </w:rPr>
        <w:t> $US</w:t>
      </w:r>
      <w:r w:rsidRPr="000E133D">
        <w:rPr>
          <w:lang w:val="fr-CA"/>
        </w:rPr>
        <w:t xml:space="preserve"> (exclu</w:t>
      </w:r>
      <w:r w:rsidR="00717D3D">
        <w:rPr>
          <w:lang w:val="fr-CA"/>
        </w:rPr>
        <w:t xml:space="preserve">ant les </w:t>
      </w:r>
      <w:r w:rsidR="00C84B88">
        <w:rPr>
          <w:lang w:val="fr-CA"/>
        </w:rPr>
        <w:t>coûts d’appui d’agence</w:t>
      </w:r>
      <w:r w:rsidRPr="000E133D">
        <w:rPr>
          <w:lang w:val="fr-CA"/>
        </w:rPr>
        <w:t xml:space="preserve">). </w:t>
      </w:r>
      <w:r w:rsidR="00717D3D">
        <w:rPr>
          <w:lang w:val="fr-CA"/>
        </w:rPr>
        <w:t xml:space="preserve">Le Tableau 3 présente l’état de ces </w:t>
      </w:r>
      <w:r w:rsidR="00A95667">
        <w:rPr>
          <w:lang w:val="fr-CA"/>
        </w:rPr>
        <w:t>projet</w:t>
      </w:r>
      <w:r w:rsidRPr="000E133D">
        <w:rPr>
          <w:lang w:val="fr-CA"/>
        </w:rPr>
        <w:t xml:space="preserve">s. </w:t>
      </w:r>
    </w:p>
    <w:p w14:paraId="0BCD851D" w14:textId="321864D8" w:rsidR="000E133D" w:rsidRPr="000E133D" w:rsidRDefault="000E133D" w:rsidP="000E133D">
      <w:pPr>
        <w:keepNext/>
        <w:outlineLvl w:val="0"/>
        <w:rPr>
          <w:b/>
          <w:lang w:val="fr-CA"/>
        </w:rPr>
      </w:pPr>
      <w:r w:rsidRPr="000E133D">
        <w:rPr>
          <w:b/>
          <w:lang w:val="fr-CA"/>
        </w:rPr>
        <w:t>Table</w:t>
      </w:r>
      <w:r w:rsidR="00717D3D">
        <w:rPr>
          <w:b/>
          <w:lang w:val="fr-CA"/>
        </w:rPr>
        <w:t>au</w:t>
      </w:r>
      <w:r w:rsidRPr="000E133D">
        <w:rPr>
          <w:b/>
          <w:lang w:val="fr-CA"/>
        </w:rPr>
        <w:t xml:space="preserve"> 3. </w:t>
      </w:r>
      <w:r w:rsidR="00717D3D">
        <w:rPr>
          <w:b/>
          <w:lang w:val="fr-CA"/>
        </w:rPr>
        <w:t xml:space="preserve">État des projets approuvés liés aux </w:t>
      </w:r>
      <w:r w:rsidRPr="000E133D">
        <w:rPr>
          <w:b/>
          <w:lang w:val="fr-CA"/>
        </w:rPr>
        <w:t>HFC</w:t>
      </w:r>
      <w:r w:rsidR="00717D3D">
        <w:rPr>
          <w:b/>
          <w:lang w:val="fr-CA"/>
        </w:rPr>
        <w:t xml:space="preserve"> à la fin de </w:t>
      </w:r>
      <w:r w:rsidRPr="000E133D">
        <w:rPr>
          <w:b/>
          <w:lang w:val="fr-CA"/>
        </w:rPr>
        <w:t>2019</w:t>
      </w:r>
    </w:p>
    <w:tbl>
      <w:tblPr>
        <w:tblW w:w="93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66"/>
        <w:gridCol w:w="1068"/>
        <w:gridCol w:w="1069"/>
        <w:gridCol w:w="1069"/>
        <w:gridCol w:w="1127"/>
        <w:gridCol w:w="1128"/>
        <w:gridCol w:w="1128"/>
        <w:gridCol w:w="903"/>
      </w:tblGrid>
      <w:tr w:rsidR="000E133D" w:rsidRPr="000E133D" w14:paraId="73023011" w14:textId="77777777" w:rsidTr="00A95667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14:paraId="667872F6" w14:textId="77777777" w:rsidR="000E133D" w:rsidRPr="000E133D" w:rsidRDefault="000E133D" w:rsidP="000E133D">
            <w:pPr>
              <w:keepNext/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Type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35DF47DF" w14:textId="11D4AD12" w:rsidR="000E133D" w:rsidRPr="000E133D" w:rsidRDefault="000E13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N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o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mb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re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de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95667">
              <w:rPr>
                <w:b/>
                <w:bCs/>
                <w:sz w:val="20"/>
                <w:szCs w:val="20"/>
                <w:lang w:val="fr-CA" w:eastAsia="en-CA"/>
              </w:rPr>
              <w:t>projet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s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1D4FD31" w14:textId="2448AFD2" w:rsidR="000E133D" w:rsidRPr="000E133D" w:rsidRDefault="000E13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F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inancement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(US $)*</w:t>
            </w:r>
          </w:p>
        </w:tc>
      </w:tr>
      <w:tr w:rsidR="000E133D" w:rsidRPr="000E133D" w14:paraId="5A5DB7FF" w14:textId="77777777" w:rsidTr="00A95667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hideMark/>
          </w:tcPr>
          <w:p w14:paraId="35FAF244" w14:textId="77777777" w:rsidR="000E133D" w:rsidRPr="000E133D" w:rsidRDefault="000E133D" w:rsidP="000E133D">
            <w:pPr>
              <w:keepNext/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2CD85E" w14:textId="4F7DE6B8" w:rsidR="000E133D" w:rsidRPr="000E133D" w:rsidRDefault="000E13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Appro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uvés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757ACC" w14:textId="2C08F49D" w:rsidR="000E133D" w:rsidRPr="000E133D" w:rsidRDefault="00717D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Achevés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F4A645" w14:textId="65A6EA78" w:rsidR="000E133D" w:rsidRPr="000E133D" w:rsidRDefault="000E13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% 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achevé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9B8DD2" w14:textId="2D013BAF" w:rsidR="000E133D" w:rsidRPr="000E133D" w:rsidRDefault="000E13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Appro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uvé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9C6239" w14:textId="5603D35E" w:rsidR="000E133D" w:rsidRPr="000E133D" w:rsidRDefault="000E13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D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écaissé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70C945" w14:textId="5EC05FCB" w:rsidR="000E133D" w:rsidRPr="000E133D" w:rsidRDefault="00717D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Solde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E64E7B" w14:textId="22F4E521" w:rsidR="000E133D" w:rsidRPr="000E133D" w:rsidRDefault="000E13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% 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décaissé</w:t>
            </w:r>
          </w:p>
        </w:tc>
      </w:tr>
      <w:tr w:rsidR="000E133D" w:rsidRPr="000E133D" w14:paraId="2681A36A" w14:textId="77777777" w:rsidTr="00A95667"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868A074" w14:textId="1B0D0868" w:rsidR="000E133D" w:rsidRPr="000E133D" w:rsidRDefault="000E133D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Invest</w:t>
            </w:r>
            <w:r w:rsidR="00717D3D">
              <w:rPr>
                <w:sz w:val="20"/>
                <w:szCs w:val="20"/>
                <w:lang w:val="fr-CA" w:eastAsia="en-CA"/>
              </w:rPr>
              <w:t>isse</w:t>
            </w:r>
            <w:r w:rsidRPr="000E133D">
              <w:rPr>
                <w:sz w:val="20"/>
                <w:szCs w:val="20"/>
                <w:lang w:val="fr-CA" w:eastAsia="en-CA"/>
              </w:rPr>
              <w:t>ment**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40E074C8" w14:textId="77777777" w:rsidR="000E133D" w:rsidRPr="000E133D" w:rsidRDefault="000E133D" w:rsidP="000E133D">
            <w:pPr>
              <w:keepNext/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7DECF30C" w14:textId="77777777" w:rsidR="000E133D" w:rsidRPr="000E133D" w:rsidRDefault="000E133D" w:rsidP="000E133D">
            <w:pPr>
              <w:keepNext/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0634FDC3" w14:textId="77777777" w:rsidR="000E133D" w:rsidRPr="000E133D" w:rsidRDefault="000E133D" w:rsidP="000E133D">
            <w:pPr>
              <w:keepNext/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39F7D29E" w14:textId="4B13E1F9" w:rsidR="000E133D" w:rsidRPr="000E133D" w:rsidRDefault="000E133D" w:rsidP="000E133D">
            <w:pPr>
              <w:keepNext/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912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7357DAC0" w14:textId="5E1FD81B" w:rsidR="000E133D" w:rsidRPr="000E133D" w:rsidRDefault="000E133D" w:rsidP="000E133D">
            <w:pPr>
              <w:keepNext/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522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0C6FF269" w14:textId="44B837BC" w:rsidR="000E133D" w:rsidRPr="000E133D" w:rsidRDefault="000E133D" w:rsidP="000E133D">
            <w:pPr>
              <w:keepNext/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389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3DB366F5" w14:textId="77777777" w:rsidR="000E133D" w:rsidRPr="000E133D" w:rsidRDefault="000E133D" w:rsidP="000E133D">
            <w:pPr>
              <w:keepNext/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39</w:t>
            </w:r>
          </w:p>
        </w:tc>
      </w:tr>
      <w:tr w:rsidR="000E133D" w:rsidRPr="000E133D" w14:paraId="0A60DD26" w14:textId="77777777" w:rsidTr="00A95667"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666EE40" w14:textId="4E9A3823" w:rsidR="000E133D" w:rsidRPr="000E133D" w:rsidRDefault="00A95667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Pr</w:t>
            </w:r>
            <w:r w:rsidR="00717D3D"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paration</w:t>
            </w:r>
            <w:r w:rsidR="00717D3D">
              <w:rPr>
                <w:sz w:val="20"/>
                <w:szCs w:val="20"/>
                <w:lang w:val="fr-CA" w:eastAsia="en-CA"/>
              </w:rPr>
              <w:t xml:space="preserve"> de projet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45CEF7C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3005323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263368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43309444" w14:textId="0D8E93B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119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39B4D4C3" w14:textId="14893F5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95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6953116F" w14:textId="4BBCE7F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32D0ABF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80</w:t>
            </w:r>
          </w:p>
        </w:tc>
      </w:tr>
      <w:tr w:rsidR="000E133D" w:rsidRPr="000E133D" w14:paraId="6627684A" w14:textId="77777777" w:rsidTr="00A95667"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4110AECE" w14:textId="4537C3DD" w:rsidR="000E133D" w:rsidRPr="000E133D" w:rsidRDefault="00717D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ssistance </w:t>
            </w:r>
            <w:r>
              <w:rPr>
                <w:sz w:val="20"/>
                <w:szCs w:val="20"/>
                <w:lang w:val="fr-CA" w:eastAsia="en-CA"/>
              </w:rPr>
              <w:t>technique –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A</w:t>
            </w:r>
            <w:r w:rsidR="000E133D" w:rsidRPr="000E133D">
              <w:rPr>
                <w:sz w:val="20"/>
                <w:szCs w:val="20"/>
                <w:lang w:val="fr-CA" w:eastAsia="en-CA"/>
              </w:rPr>
              <w:t>ctivit</w:t>
            </w:r>
            <w:r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s</w:t>
            </w:r>
            <w:r>
              <w:rPr>
                <w:sz w:val="20"/>
                <w:szCs w:val="20"/>
                <w:lang w:val="fr-CA" w:eastAsia="en-CA"/>
              </w:rPr>
              <w:t xml:space="preserve"> de facilitation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380EF0E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303D70A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4017146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0777310" w14:textId="4F89D7A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056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11860202" w14:textId="3E1401F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072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D07CE5B" w14:textId="16296C6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984</w:t>
            </w:r>
            <w:r w:rsidR="00717D3D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0F846BC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51</w:t>
            </w:r>
          </w:p>
        </w:tc>
      </w:tr>
      <w:tr w:rsidR="000E133D" w:rsidRPr="000E133D" w14:paraId="08032257" w14:textId="77777777" w:rsidTr="00A95667"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10D8C52A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67108D69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010DD4FB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0AB060E0" w14:textId="77777777" w:rsidR="000E133D" w:rsidRPr="000E133D" w:rsidRDefault="000E133D" w:rsidP="000E133D">
            <w:pPr>
              <w:jc w:val="right"/>
              <w:rPr>
                <w:b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sz w:val="20"/>
                <w:szCs w:val="20"/>
                <w:lang w:val="fr-CA" w:eastAsia="en-CA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2B8133FD" w14:textId="6894F5C6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8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089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434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16B4423F" w14:textId="73DDFB03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3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691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1C5E381A" w14:textId="6EB87E01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4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397</w:t>
            </w:r>
            <w:r w:rsidR="00717D3D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803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659B0B08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46</w:t>
            </w:r>
          </w:p>
        </w:tc>
      </w:tr>
    </w:tbl>
    <w:p w14:paraId="7B49191A" w14:textId="19E438E9" w:rsidR="000E133D" w:rsidRPr="000E133D" w:rsidRDefault="000E133D" w:rsidP="000E133D">
      <w:pPr>
        <w:rPr>
          <w:sz w:val="19"/>
          <w:szCs w:val="19"/>
          <w:lang w:val="fr-CA"/>
        </w:rPr>
      </w:pPr>
      <w:r w:rsidRPr="000E133D">
        <w:rPr>
          <w:sz w:val="19"/>
          <w:szCs w:val="19"/>
          <w:lang w:val="fr-CA"/>
        </w:rPr>
        <w:t>*Exclu</w:t>
      </w:r>
      <w:r w:rsidR="00717D3D">
        <w:rPr>
          <w:sz w:val="19"/>
          <w:szCs w:val="19"/>
          <w:lang w:val="fr-CA"/>
        </w:rPr>
        <w:t xml:space="preserve">ant les </w:t>
      </w:r>
      <w:r w:rsidR="00C84B88">
        <w:rPr>
          <w:sz w:val="19"/>
          <w:szCs w:val="19"/>
          <w:lang w:val="fr-CA"/>
        </w:rPr>
        <w:t>coûts d’appui d’agence</w:t>
      </w:r>
      <w:r w:rsidRPr="000E133D">
        <w:rPr>
          <w:sz w:val="19"/>
          <w:szCs w:val="19"/>
          <w:lang w:val="fr-CA"/>
        </w:rPr>
        <w:t>.</w:t>
      </w:r>
    </w:p>
    <w:p w14:paraId="3E54EECF" w14:textId="01A6902F" w:rsidR="000E133D" w:rsidRPr="000E133D" w:rsidRDefault="000E133D" w:rsidP="000E133D">
      <w:pPr>
        <w:rPr>
          <w:sz w:val="20"/>
          <w:szCs w:val="20"/>
          <w:lang w:val="fr-CA"/>
        </w:rPr>
      </w:pPr>
      <w:r w:rsidRPr="000E133D">
        <w:rPr>
          <w:sz w:val="19"/>
          <w:szCs w:val="19"/>
          <w:lang w:val="fr-CA"/>
        </w:rPr>
        <w:t xml:space="preserve">** </w:t>
      </w:r>
      <w:r w:rsidR="00717D3D">
        <w:rPr>
          <w:sz w:val="19"/>
          <w:szCs w:val="19"/>
          <w:lang w:val="fr-CA"/>
        </w:rPr>
        <w:t xml:space="preserve">Élimination de </w:t>
      </w:r>
      <w:r w:rsidRPr="000E133D">
        <w:rPr>
          <w:sz w:val="19"/>
          <w:szCs w:val="19"/>
          <w:lang w:val="fr-CA"/>
        </w:rPr>
        <w:t>265</w:t>
      </w:r>
      <w:r w:rsidR="00717D3D">
        <w:rPr>
          <w:sz w:val="19"/>
          <w:szCs w:val="19"/>
          <w:lang w:val="fr-CA"/>
        </w:rPr>
        <w:t>,</w:t>
      </w:r>
      <w:r w:rsidRPr="000E133D">
        <w:rPr>
          <w:sz w:val="19"/>
          <w:szCs w:val="19"/>
          <w:lang w:val="fr-CA"/>
        </w:rPr>
        <w:t xml:space="preserve">1 </w:t>
      </w:r>
      <w:r w:rsidR="00717D3D">
        <w:rPr>
          <w:sz w:val="19"/>
          <w:szCs w:val="19"/>
          <w:lang w:val="fr-CA"/>
        </w:rPr>
        <w:t>t</w:t>
      </w:r>
      <w:r w:rsidRPr="000E133D">
        <w:rPr>
          <w:sz w:val="19"/>
          <w:szCs w:val="19"/>
          <w:lang w:val="fr-CA"/>
        </w:rPr>
        <w:t>m (508</w:t>
      </w:r>
      <w:r w:rsidR="00717D3D">
        <w:rPr>
          <w:sz w:val="19"/>
          <w:szCs w:val="19"/>
          <w:lang w:val="fr-CA"/>
        </w:rPr>
        <w:t> </w:t>
      </w:r>
      <w:r w:rsidRPr="000E133D">
        <w:rPr>
          <w:sz w:val="19"/>
          <w:szCs w:val="19"/>
          <w:lang w:val="fr-CA"/>
        </w:rPr>
        <w:t xml:space="preserve">586 </w:t>
      </w:r>
      <w:r w:rsidR="00717D3D">
        <w:rPr>
          <w:sz w:val="19"/>
          <w:szCs w:val="19"/>
          <w:lang w:val="fr-CA"/>
        </w:rPr>
        <w:t>t</w:t>
      </w:r>
      <w:r w:rsidRPr="000E133D">
        <w:rPr>
          <w:sz w:val="19"/>
          <w:szCs w:val="19"/>
          <w:lang w:val="fr-CA"/>
        </w:rPr>
        <w:t>m</w:t>
      </w:r>
      <w:r w:rsidR="00717D3D">
        <w:rPr>
          <w:sz w:val="19"/>
          <w:szCs w:val="19"/>
          <w:lang w:val="fr-CA"/>
        </w:rPr>
        <w:t xml:space="preserve"> équivalent de </w:t>
      </w:r>
      <w:r w:rsidRPr="000E133D">
        <w:rPr>
          <w:sz w:val="19"/>
          <w:szCs w:val="19"/>
          <w:lang w:val="fr-CA"/>
        </w:rPr>
        <w:t>CO</w:t>
      </w:r>
      <w:r w:rsidRPr="000E133D">
        <w:rPr>
          <w:sz w:val="19"/>
          <w:szCs w:val="19"/>
          <w:vertAlign w:val="subscript"/>
          <w:lang w:val="fr-CA"/>
        </w:rPr>
        <w:t>2</w:t>
      </w:r>
      <w:r w:rsidRPr="000E133D">
        <w:rPr>
          <w:sz w:val="19"/>
          <w:szCs w:val="19"/>
          <w:lang w:val="fr-CA"/>
        </w:rPr>
        <w:t xml:space="preserve">) </w:t>
      </w:r>
      <w:r w:rsidR="00717D3D">
        <w:rPr>
          <w:sz w:val="19"/>
          <w:szCs w:val="19"/>
          <w:lang w:val="fr-CA"/>
        </w:rPr>
        <w:t>de</w:t>
      </w:r>
      <w:r w:rsidRPr="000E133D">
        <w:rPr>
          <w:sz w:val="19"/>
          <w:szCs w:val="19"/>
          <w:lang w:val="fr-CA"/>
        </w:rPr>
        <w:t xml:space="preserve"> HFC.</w:t>
      </w:r>
    </w:p>
    <w:p w14:paraId="5B5A587C" w14:textId="77777777" w:rsidR="000E133D" w:rsidRPr="000E133D" w:rsidRDefault="000E133D" w:rsidP="000E133D">
      <w:pPr>
        <w:rPr>
          <w:sz w:val="18"/>
          <w:szCs w:val="18"/>
          <w:lang w:val="fr-CA"/>
        </w:rPr>
      </w:pPr>
    </w:p>
    <w:p w14:paraId="34016C5B" w14:textId="26B8DEDF" w:rsidR="000E133D" w:rsidRPr="000E133D" w:rsidRDefault="00717D3D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À la fin de </w:t>
      </w:r>
      <w:r w:rsidR="000E133D" w:rsidRPr="000E133D">
        <w:rPr>
          <w:lang w:val="fr-CA"/>
        </w:rPr>
        <w:t xml:space="preserve">2019, </w:t>
      </w:r>
      <w:r>
        <w:rPr>
          <w:lang w:val="fr-CA"/>
        </w:rPr>
        <w:t xml:space="preserve">sur les </w:t>
      </w:r>
      <w:r w:rsidR="000E133D" w:rsidRPr="000E133D">
        <w:rPr>
          <w:lang w:val="fr-CA"/>
        </w:rPr>
        <w:t xml:space="preserve">35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>s appro</w:t>
      </w:r>
      <w:r>
        <w:rPr>
          <w:lang w:val="fr-CA"/>
        </w:rPr>
        <w:t>uvés</w:t>
      </w:r>
      <w:r w:rsidR="000E133D" w:rsidRPr="000E133D">
        <w:rPr>
          <w:lang w:val="fr-CA"/>
        </w:rPr>
        <w:t>, t</w:t>
      </w:r>
      <w:r>
        <w:rPr>
          <w:lang w:val="fr-CA"/>
        </w:rPr>
        <w:t>rois activités de préparation de projets et quatre activités de facilitation</w:t>
      </w:r>
      <w:r w:rsidR="00701316">
        <w:rPr>
          <w:lang w:val="fr-CA"/>
        </w:rPr>
        <w:t xml:space="preserve"> ont été achevées; il restait donc</w:t>
      </w:r>
      <w:r w:rsidR="000E133D" w:rsidRPr="000E133D">
        <w:rPr>
          <w:lang w:val="fr-CA"/>
        </w:rPr>
        <w:t xml:space="preserve"> 28 </w:t>
      </w:r>
      <w:r w:rsidR="00701316">
        <w:rPr>
          <w:lang w:val="fr-CA"/>
        </w:rPr>
        <w:t>projets en cours</w:t>
      </w:r>
      <w:r w:rsidR="000E133D" w:rsidRPr="000E133D">
        <w:rPr>
          <w:lang w:val="fr-CA"/>
        </w:rPr>
        <w:t xml:space="preserve">. </w:t>
      </w:r>
      <w:r w:rsidR="00701316">
        <w:rPr>
          <w:lang w:val="fr-CA"/>
        </w:rPr>
        <w:t xml:space="preserve">Le report des dates d’achèvement de </w:t>
      </w:r>
      <w:r w:rsidR="000E133D" w:rsidRPr="000E133D">
        <w:rPr>
          <w:lang w:val="fr-CA"/>
        </w:rPr>
        <w:t>22</w:t>
      </w:r>
      <w:r w:rsidR="00701316">
        <w:rPr>
          <w:lang w:val="fr-CA"/>
        </w:rPr>
        <w:t xml:space="preserve"> sur 24</w:t>
      </w:r>
      <w:r w:rsidR="000E133D" w:rsidRPr="000E133D">
        <w:rPr>
          <w:lang w:val="fr-CA"/>
        </w:rPr>
        <w:t xml:space="preserve"> </w:t>
      </w:r>
      <w:r w:rsidR="00701316">
        <w:rPr>
          <w:lang w:val="fr-CA"/>
        </w:rPr>
        <w:t xml:space="preserve">activités de facilitation en cours a été approuvé à la </w:t>
      </w:r>
      <w:r w:rsidR="000E133D" w:rsidRPr="000E133D">
        <w:rPr>
          <w:lang w:val="fr-CA"/>
        </w:rPr>
        <w:t>83</w:t>
      </w:r>
      <w:r w:rsidR="00701316">
        <w:rPr>
          <w:vertAlign w:val="superscript"/>
          <w:lang w:val="fr-CA"/>
        </w:rPr>
        <w:t>e</w:t>
      </w:r>
      <w:r w:rsidR="000E133D" w:rsidRPr="000E133D">
        <w:rPr>
          <w:lang w:val="fr-CA"/>
        </w:rPr>
        <w:t xml:space="preserve"> 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 (15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s) </w:t>
      </w:r>
      <w:r w:rsidR="00701316">
        <w:rPr>
          <w:lang w:val="fr-CA"/>
        </w:rPr>
        <w:t xml:space="preserve">et à la </w:t>
      </w:r>
      <w:r w:rsidR="000E133D" w:rsidRPr="000E133D">
        <w:rPr>
          <w:lang w:val="fr-CA"/>
        </w:rPr>
        <w:t>84</w:t>
      </w:r>
      <w:r w:rsidR="00701316">
        <w:rPr>
          <w:vertAlign w:val="superscript"/>
          <w:lang w:val="fr-CA"/>
        </w:rPr>
        <w:t>e</w:t>
      </w:r>
      <w:r w:rsidR="000E133D" w:rsidRPr="000E133D">
        <w:rPr>
          <w:lang w:val="fr-CA"/>
        </w:rPr>
        <w:t xml:space="preserve"> 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 (se</w:t>
      </w:r>
      <w:r w:rsidR="00701316">
        <w:rPr>
          <w:lang w:val="fr-CA"/>
        </w:rPr>
        <w:t>pt</w:t>
      </w:r>
      <w:r w:rsidR="000E133D" w:rsidRPr="000E133D">
        <w:rPr>
          <w:lang w:val="fr-CA"/>
        </w:rPr>
        <w:t xml:space="preserve">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s); </w:t>
      </w:r>
      <w:r w:rsidR="00701316">
        <w:rPr>
          <w:lang w:val="fr-CA"/>
        </w:rPr>
        <w:t>ces activités se trouvent à diverses phases de mise en œuvre</w:t>
      </w:r>
      <w:r w:rsidR="000E133D" w:rsidRPr="000E133D">
        <w:rPr>
          <w:lang w:val="fr-CA"/>
        </w:rPr>
        <w:t>.</w:t>
      </w:r>
    </w:p>
    <w:p w14:paraId="35A6BAB2" w14:textId="38CAF585" w:rsidR="000E133D" w:rsidRPr="00701316" w:rsidRDefault="00701316" w:rsidP="00701316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Les projets d’investissement en cours comprennent trois projets de </w:t>
      </w:r>
      <w:r w:rsidRPr="000E133D">
        <w:rPr>
          <w:lang w:val="fr-CA"/>
        </w:rPr>
        <w:t>réfrigération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en </w:t>
      </w:r>
      <w:r w:rsidR="000E133D" w:rsidRPr="000E133D">
        <w:rPr>
          <w:lang w:val="fr-CA"/>
        </w:rPr>
        <w:t>Argentin</w:t>
      </w:r>
      <w:r>
        <w:rPr>
          <w:lang w:val="fr-CA"/>
        </w:rPr>
        <w:t>e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>au Liban et au Mexique</w:t>
      </w:r>
      <w:r w:rsidR="000E133D" w:rsidRPr="000E133D">
        <w:rPr>
          <w:lang w:val="fr-CA"/>
        </w:rPr>
        <w:t>, appro</w:t>
      </w:r>
      <w:r>
        <w:rPr>
          <w:lang w:val="fr-CA"/>
        </w:rPr>
        <w:t xml:space="preserve">uvés à la </w:t>
      </w:r>
      <w:r w:rsidR="000E133D" w:rsidRPr="00701316">
        <w:rPr>
          <w:lang w:val="fr-CA"/>
        </w:rPr>
        <w:t>81</w:t>
      </w:r>
      <w:r>
        <w:rPr>
          <w:vertAlign w:val="superscript"/>
          <w:lang w:val="fr-CA"/>
        </w:rPr>
        <w:t>e</w:t>
      </w:r>
      <w:r w:rsidR="000E133D" w:rsidRPr="00701316">
        <w:rPr>
          <w:lang w:val="fr-CA"/>
        </w:rPr>
        <w:t xml:space="preserve"> </w:t>
      </w:r>
      <w:r w:rsidR="00D0488E" w:rsidRPr="00701316">
        <w:rPr>
          <w:lang w:val="fr-CA"/>
        </w:rPr>
        <w:t>réunion</w:t>
      </w:r>
      <w:r w:rsidR="000E133D" w:rsidRPr="00701316">
        <w:rPr>
          <w:lang w:val="fr-CA"/>
        </w:rPr>
        <w:t xml:space="preserve"> </w:t>
      </w:r>
      <w:r>
        <w:rPr>
          <w:lang w:val="fr-CA"/>
        </w:rPr>
        <w:t xml:space="preserve">avec des décaissements de fonds dans deux </w:t>
      </w:r>
      <w:r w:rsidR="00A95667" w:rsidRPr="00701316">
        <w:rPr>
          <w:lang w:val="fr-CA"/>
        </w:rPr>
        <w:t>projet</w:t>
      </w:r>
      <w:r w:rsidR="000E133D" w:rsidRPr="00701316">
        <w:rPr>
          <w:lang w:val="fr-CA"/>
        </w:rPr>
        <w:t xml:space="preserve">s; </w:t>
      </w:r>
      <w:r>
        <w:rPr>
          <w:lang w:val="fr-CA"/>
        </w:rPr>
        <w:t xml:space="preserve">ces </w:t>
      </w:r>
      <w:r w:rsidR="00A95667" w:rsidRPr="00701316">
        <w:rPr>
          <w:lang w:val="fr-CA"/>
        </w:rPr>
        <w:t>projet</w:t>
      </w:r>
      <w:r w:rsidR="000E133D" w:rsidRPr="00701316">
        <w:rPr>
          <w:lang w:val="fr-CA"/>
        </w:rPr>
        <w:t xml:space="preserve">s </w:t>
      </w:r>
      <w:r>
        <w:rPr>
          <w:lang w:val="fr-CA"/>
        </w:rPr>
        <w:t xml:space="preserve">prendront fin en </w:t>
      </w:r>
      <w:r w:rsidR="000E133D" w:rsidRPr="00701316">
        <w:rPr>
          <w:lang w:val="fr-CA"/>
        </w:rPr>
        <w:t xml:space="preserve">2020 </w:t>
      </w:r>
      <w:r>
        <w:rPr>
          <w:lang w:val="fr-CA"/>
        </w:rPr>
        <w:t>et en</w:t>
      </w:r>
      <w:r w:rsidR="000E133D" w:rsidRPr="00701316">
        <w:rPr>
          <w:lang w:val="fr-CA"/>
        </w:rPr>
        <w:t xml:space="preserve"> 2021. </w:t>
      </w:r>
    </w:p>
    <w:p w14:paraId="58551E1F" w14:textId="79A82921" w:rsidR="000E133D" w:rsidRPr="000E133D" w:rsidRDefault="008E4692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Sur le total cumulatif approuvé de </w:t>
      </w:r>
      <w:r w:rsidR="000E133D" w:rsidRPr="000E133D">
        <w:rPr>
          <w:lang w:val="fr-CA"/>
        </w:rPr>
        <w:t>8</w:t>
      </w:r>
      <w:r>
        <w:rPr>
          <w:lang w:val="fr-CA"/>
        </w:rPr>
        <w:t> </w:t>
      </w:r>
      <w:r w:rsidR="000E133D" w:rsidRPr="000E133D">
        <w:rPr>
          <w:lang w:val="fr-CA"/>
        </w:rPr>
        <w:t>089</w:t>
      </w:r>
      <w:r>
        <w:rPr>
          <w:lang w:val="fr-CA"/>
        </w:rPr>
        <w:t> </w:t>
      </w:r>
      <w:r w:rsidR="000E133D" w:rsidRPr="000E133D">
        <w:rPr>
          <w:lang w:val="fr-CA"/>
        </w:rPr>
        <w:t>434</w:t>
      </w:r>
      <w:r>
        <w:rPr>
          <w:lang w:val="fr-CA"/>
        </w:rPr>
        <w:t> $US</w:t>
      </w:r>
      <w:r w:rsidR="000E133D" w:rsidRPr="000E133D">
        <w:rPr>
          <w:lang w:val="fr-CA"/>
        </w:rPr>
        <w:t>, 3</w:t>
      </w:r>
      <w:r>
        <w:rPr>
          <w:lang w:val="fr-CA"/>
        </w:rPr>
        <w:t> </w:t>
      </w:r>
      <w:r w:rsidR="000E133D" w:rsidRPr="000E133D">
        <w:rPr>
          <w:lang w:val="fr-CA"/>
        </w:rPr>
        <w:t>691</w:t>
      </w:r>
      <w:r>
        <w:rPr>
          <w:lang w:val="fr-CA"/>
        </w:rPr>
        <w:t> </w:t>
      </w:r>
      <w:r w:rsidR="000E133D" w:rsidRPr="000E133D">
        <w:rPr>
          <w:lang w:val="fr-CA"/>
        </w:rPr>
        <w:t>631</w:t>
      </w:r>
      <w:r>
        <w:rPr>
          <w:lang w:val="fr-CA"/>
        </w:rPr>
        <w:t xml:space="preserve"> $US ont été décaissés, représentant un taux de décaissement de </w:t>
      </w:r>
      <w:r w:rsidR="000E133D" w:rsidRPr="000E133D">
        <w:rPr>
          <w:lang w:val="fr-CA"/>
        </w:rPr>
        <w:t>46</w:t>
      </w:r>
      <w:r>
        <w:rPr>
          <w:lang w:val="fr-CA"/>
        </w:rPr>
        <w:t> </w:t>
      </w:r>
      <w:r w:rsidR="00631EA2">
        <w:rPr>
          <w:lang w:val="fr-CA"/>
        </w:rPr>
        <w:t>pour cent</w:t>
      </w:r>
      <w:r w:rsidR="000E133D" w:rsidRPr="000E133D">
        <w:rPr>
          <w:lang w:val="fr-CA"/>
        </w:rPr>
        <w:t>.</w:t>
      </w:r>
    </w:p>
    <w:p w14:paraId="547174D6" w14:textId="649B6B5E" w:rsidR="000E133D" w:rsidRPr="000E133D" w:rsidRDefault="00D0488E" w:rsidP="000E133D">
      <w:pPr>
        <w:spacing w:after="240"/>
        <w:outlineLvl w:val="0"/>
        <w:rPr>
          <w:b/>
          <w:lang w:val="fr-CA"/>
        </w:rPr>
      </w:pPr>
      <w:r>
        <w:rPr>
          <w:b/>
          <w:lang w:val="fr-CA"/>
        </w:rPr>
        <w:t>Recommandation</w:t>
      </w:r>
    </w:p>
    <w:p w14:paraId="1F9C0CF6" w14:textId="6E7F4664" w:rsidR="000E133D" w:rsidRPr="000E133D" w:rsidRDefault="008E4692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>L</w:t>
      </w:r>
      <w:r w:rsidR="000E133D" w:rsidRPr="000E133D">
        <w:rPr>
          <w:lang w:val="fr-CA"/>
        </w:rPr>
        <w:t xml:space="preserve">e </w:t>
      </w:r>
      <w:r w:rsidR="00A95667">
        <w:rPr>
          <w:lang w:val="fr-CA"/>
        </w:rPr>
        <w:t>Comité exécutif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est invité à</w:t>
      </w:r>
      <w:r w:rsidR="000E133D" w:rsidRPr="000E133D">
        <w:rPr>
          <w:lang w:val="fr-CA"/>
        </w:rPr>
        <w:t>:</w:t>
      </w:r>
    </w:p>
    <w:p w14:paraId="40A9FD54" w14:textId="01A23004" w:rsidR="000E133D" w:rsidRPr="000E133D" w:rsidRDefault="008E4692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lang w:val="fr-CA"/>
        </w:rPr>
        <w:t xml:space="preserve">Prendre </w:t>
      </w:r>
      <w:r w:rsidR="000E133D" w:rsidRPr="000E133D">
        <w:rPr>
          <w:lang w:val="fr-CA"/>
        </w:rPr>
        <w:t xml:space="preserve">note </w:t>
      </w:r>
      <w:r>
        <w:rPr>
          <w:lang w:val="fr-CA"/>
        </w:rPr>
        <w:t xml:space="preserve">du </w:t>
      </w:r>
      <w:r w:rsidR="00D0488E">
        <w:rPr>
          <w:lang w:val="fr-CA"/>
        </w:rPr>
        <w:t>rapport périodique</w:t>
      </w:r>
      <w:r>
        <w:rPr>
          <w:lang w:val="fr-CA"/>
        </w:rPr>
        <w:t xml:space="preserve"> de 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au </w:t>
      </w:r>
      <w:r w:rsidR="000E133D" w:rsidRPr="000E133D">
        <w:rPr>
          <w:lang w:val="fr-CA"/>
        </w:rPr>
        <w:t xml:space="preserve">31 </w:t>
      </w:r>
      <w:r>
        <w:rPr>
          <w:lang w:val="fr-CA"/>
        </w:rPr>
        <w:t>d</w:t>
      </w:r>
      <w:r w:rsidR="001D0731">
        <w:rPr>
          <w:lang w:val="fr-CA"/>
        </w:rPr>
        <w:t>éc</w:t>
      </w:r>
      <w:r w:rsidR="000E133D" w:rsidRPr="000E133D">
        <w:rPr>
          <w:lang w:val="fr-CA"/>
        </w:rPr>
        <w:t>emb</w:t>
      </w:r>
      <w:r>
        <w:rPr>
          <w:lang w:val="fr-CA"/>
        </w:rPr>
        <w:t>r</w:t>
      </w:r>
      <w:r w:rsidR="000E133D" w:rsidRPr="000E133D">
        <w:rPr>
          <w:lang w:val="fr-CA"/>
        </w:rPr>
        <w:t xml:space="preserve">e 2019 </w:t>
      </w:r>
      <w:r>
        <w:rPr>
          <w:lang w:val="fr-CA"/>
        </w:rPr>
        <w:t xml:space="preserve">présenté dans le </w:t>
      </w:r>
      <w:r w:rsidR="000E133D" w:rsidRPr="000E133D">
        <w:rPr>
          <w:lang w:val="fr-CA"/>
        </w:rPr>
        <w:t>document UNEP/</w:t>
      </w:r>
      <w:proofErr w:type="spellStart"/>
      <w:r w:rsidR="000E133D" w:rsidRPr="000E133D">
        <w:rPr>
          <w:lang w:val="fr-CA"/>
        </w:rPr>
        <w:t>OzL.Pro</w:t>
      </w:r>
      <w:proofErr w:type="spellEnd"/>
      <w:r w:rsidR="000E133D" w:rsidRPr="000E133D">
        <w:rPr>
          <w:lang w:val="fr-CA"/>
        </w:rPr>
        <w:t>/</w:t>
      </w:r>
      <w:proofErr w:type="spellStart"/>
      <w:r w:rsidR="000E133D" w:rsidRPr="000E133D">
        <w:rPr>
          <w:lang w:val="fr-CA"/>
        </w:rPr>
        <w:t>ExCom</w:t>
      </w:r>
      <w:proofErr w:type="spellEnd"/>
      <w:r w:rsidR="000E133D" w:rsidRPr="000E133D">
        <w:rPr>
          <w:lang w:val="fr-CA"/>
        </w:rPr>
        <w:t xml:space="preserve">/86/19; </w:t>
      </w:r>
    </w:p>
    <w:p w14:paraId="54684FB0" w14:textId="7C4141BB" w:rsidR="000E133D" w:rsidRPr="000E133D" w:rsidRDefault="008E4692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lang w:val="fr-CA"/>
        </w:rPr>
        <w:t xml:space="preserve">Approuver les </w:t>
      </w:r>
      <w:r w:rsidR="00D0488E">
        <w:rPr>
          <w:lang w:val="fr-CA"/>
        </w:rPr>
        <w:t>recommandation</w:t>
      </w:r>
      <w:r w:rsidR="000E133D" w:rsidRPr="000E133D">
        <w:rPr>
          <w:lang w:val="fr-CA"/>
        </w:rPr>
        <w:t xml:space="preserve">s </w:t>
      </w:r>
      <w:r>
        <w:rPr>
          <w:lang w:val="fr-CA"/>
        </w:rPr>
        <w:t xml:space="preserve">portant sur des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>
        <w:rPr>
          <w:lang w:val="fr-CA"/>
        </w:rPr>
        <w:t>en cours ^présentant des problèmes particuliers, présentées dans l’A</w:t>
      </w:r>
      <w:r w:rsidR="000E133D" w:rsidRPr="000E133D">
        <w:rPr>
          <w:lang w:val="fr-CA"/>
        </w:rPr>
        <w:t>nnex</w:t>
      </w:r>
      <w:r>
        <w:rPr>
          <w:lang w:val="fr-CA"/>
        </w:rPr>
        <w:t>e</w:t>
      </w:r>
      <w:r w:rsidR="000E133D" w:rsidRPr="000E133D">
        <w:rPr>
          <w:lang w:val="fr-CA"/>
        </w:rPr>
        <w:t xml:space="preserve"> I </w:t>
      </w:r>
      <w:r>
        <w:rPr>
          <w:lang w:val="fr-CA"/>
        </w:rPr>
        <w:t xml:space="preserve">au présent </w:t>
      </w:r>
      <w:r w:rsidR="000E133D" w:rsidRPr="000E133D">
        <w:rPr>
          <w:lang w:val="fr-CA"/>
        </w:rPr>
        <w:t>document;</w:t>
      </w:r>
    </w:p>
    <w:p w14:paraId="40C5FA6A" w14:textId="3C9BE264" w:rsidR="000E133D" w:rsidRPr="000E133D" w:rsidRDefault="008E4692" w:rsidP="0087100D">
      <w:pPr>
        <w:keepNext/>
        <w:keepLines/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lang w:val="fr-CA"/>
        </w:rPr>
        <w:t xml:space="preserve">Approuver, à titre exceptionnel, </w:t>
      </w:r>
      <w:r w:rsidR="004B2F21">
        <w:rPr>
          <w:lang w:val="fr-CA"/>
        </w:rPr>
        <w:t>la prolongation jusqu’</w:t>
      </w:r>
      <w:r>
        <w:rPr>
          <w:lang w:val="fr-CA"/>
        </w:rPr>
        <w:t xml:space="preserve">au </w:t>
      </w:r>
      <w:r w:rsidR="000E133D" w:rsidRPr="000E133D">
        <w:rPr>
          <w:lang w:val="fr-CA"/>
        </w:rPr>
        <w:t xml:space="preserve">31 </w:t>
      </w:r>
      <w:r>
        <w:rPr>
          <w:lang w:val="fr-CA"/>
        </w:rPr>
        <w:t>d</w:t>
      </w:r>
      <w:r w:rsidR="001D0731">
        <w:rPr>
          <w:lang w:val="fr-CA"/>
        </w:rPr>
        <w:t>éc</w:t>
      </w:r>
      <w:r w:rsidR="000E133D" w:rsidRPr="000E133D">
        <w:rPr>
          <w:lang w:val="fr-CA"/>
        </w:rPr>
        <w:t>emb</w:t>
      </w:r>
      <w:r>
        <w:rPr>
          <w:lang w:val="fr-CA"/>
        </w:rPr>
        <w:t>r</w:t>
      </w:r>
      <w:r w:rsidR="000E133D" w:rsidRPr="000E133D">
        <w:rPr>
          <w:lang w:val="fr-CA"/>
        </w:rPr>
        <w:t>e 2020</w:t>
      </w:r>
      <w:r>
        <w:rPr>
          <w:lang w:val="fr-CA"/>
        </w:rPr>
        <w:t xml:space="preserve"> de l’élimination de la consommation de </w:t>
      </w:r>
      <w:r w:rsidR="000E133D" w:rsidRPr="000E133D">
        <w:rPr>
          <w:lang w:val="fr-CA"/>
        </w:rPr>
        <w:t>CFC</w:t>
      </w:r>
      <w:r>
        <w:rPr>
          <w:lang w:val="fr-CA"/>
        </w:rPr>
        <w:t xml:space="preserve"> dans la fabrication d’aérosols-doseurs pour l’</w:t>
      </w:r>
      <w:r w:rsidRPr="000E133D">
        <w:rPr>
          <w:lang w:val="fr-CA"/>
        </w:rPr>
        <w:t>Égypt</w:t>
      </w:r>
      <w:r>
        <w:rPr>
          <w:lang w:val="fr-CA"/>
        </w:rPr>
        <w:t>e</w:t>
      </w:r>
      <w:r w:rsidR="000E133D" w:rsidRPr="000E133D">
        <w:rPr>
          <w:lang w:val="fr-CA"/>
        </w:rPr>
        <w:t xml:space="preserve"> (EGY/ARS/50/INV/92), </w:t>
      </w:r>
      <w:r>
        <w:rPr>
          <w:lang w:val="fr-CA"/>
        </w:rPr>
        <w:t>afin d’achever les activités finales liées à l’inscription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 xml:space="preserve">en </w:t>
      </w:r>
      <w:r w:rsidR="000E133D" w:rsidRPr="000E133D">
        <w:rPr>
          <w:lang w:val="fr-CA"/>
        </w:rPr>
        <w:t>not</w:t>
      </w:r>
      <w:r>
        <w:rPr>
          <w:lang w:val="fr-CA"/>
        </w:rPr>
        <w:t>ant qu’il n’y aurait aucune autre prolongation, et demander à l’O</w:t>
      </w:r>
      <w:r w:rsidR="00A95667">
        <w:rPr>
          <w:lang w:val="fr-CA"/>
        </w:rPr>
        <w:t>NUDI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de soumettre le rapport d’achèvement du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à la </w:t>
      </w:r>
      <w:r w:rsidR="000E133D" w:rsidRPr="000E133D">
        <w:rPr>
          <w:lang w:val="fr-CA"/>
        </w:rPr>
        <w:t>87</w:t>
      </w:r>
      <w:r>
        <w:rPr>
          <w:vertAlign w:val="superscript"/>
          <w:lang w:val="fr-CA"/>
        </w:rPr>
        <w:t>e</w:t>
      </w:r>
      <w:r w:rsidR="000E133D" w:rsidRPr="000E133D">
        <w:rPr>
          <w:lang w:val="fr-CA"/>
        </w:rPr>
        <w:t> 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>;</w:t>
      </w:r>
    </w:p>
    <w:p w14:paraId="0624886E" w14:textId="767B99C1" w:rsidR="000E133D" w:rsidRPr="000E133D" w:rsidRDefault="004B2F21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lang w:val="fr-CA"/>
        </w:rPr>
        <w:t xml:space="preserve">Approuver, à titre exceptionnel, la prolongation jusqu’au </w:t>
      </w:r>
      <w:r w:rsidR="000E133D" w:rsidRPr="000E133D">
        <w:rPr>
          <w:lang w:val="fr-CA"/>
        </w:rPr>
        <w:t xml:space="preserve">30 </w:t>
      </w:r>
      <w:r>
        <w:rPr>
          <w:lang w:val="fr-CA"/>
        </w:rPr>
        <w:t>juin</w:t>
      </w:r>
      <w:r w:rsidR="000E133D" w:rsidRPr="000E133D">
        <w:rPr>
          <w:lang w:val="fr-CA"/>
        </w:rPr>
        <w:t xml:space="preserve"> 2021 </w:t>
      </w:r>
      <w:r>
        <w:rPr>
          <w:lang w:val="fr-CA"/>
        </w:rPr>
        <w:t>du plan national d’élimination de l’</w:t>
      </w:r>
      <w:r w:rsidR="000E133D" w:rsidRPr="000E133D">
        <w:rPr>
          <w:lang w:val="fr-CA"/>
        </w:rPr>
        <w:t>Iraq (</w:t>
      </w:r>
      <w:r>
        <w:rPr>
          <w:lang w:val="fr-CA"/>
        </w:rPr>
        <w:t>première</w:t>
      </w:r>
      <w:r w:rsidR="000E133D" w:rsidRPr="000E133D">
        <w:rPr>
          <w:lang w:val="fr-CA"/>
        </w:rPr>
        <w:t xml:space="preserve"> tranche) (</w:t>
      </w:r>
      <w:r w:rsidR="000E133D" w:rsidRPr="000E133D">
        <w:rPr>
          <w:rFonts w:eastAsiaTheme="minorHAnsi"/>
          <w:lang w:val="fr-CA"/>
        </w:rPr>
        <w:t>IRQ/PHA/58/INV/09</w:t>
      </w:r>
      <w:r w:rsidR="000E133D" w:rsidRPr="000E133D">
        <w:rPr>
          <w:lang w:val="fr-CA"/>
        </w:rPr>
        <w:t xml:space="preserve">) </w:t>
      </w:r>
      <w:r>
        <w:rPr>
          <w:lang w:val="fr-CA"/>
        </w:rPr>
        <w:t xml:space="preserve">et le remplacement du </w:t>
      </w:r>
      <w:r w:rsidR="004B456E">
        <w:rPr>
          <w:lang w:val="fr-CA"/>
        </w:rPr>
        <w:t>frigorigène</w:t>
      </w:r>
      <w:r w:rsidR="000E133D" w:rsidRPr="000E133D">
        <w:rPr>
          <w:lang w:val="fr-CA"/>
        </w:rPr>
        <w:t xml:space="preserve"> CFC-12 </w:t>
      </w:r>
      <w:r>
        <w:rPr>
          <w:lang w:val="fr-CA"/>
        </w:rPr>
        <w:t>par de l’</w:t>
      </w:r>
      <w:r w:rsidR="000E133D" w:rsidRPr="000E133D">
        <w:rPr>
          <w:lang w:val="fr-CA"/>
        </w:rPr>
        <w:t xml:space="preserve">isobutane </w:t>
      </w:r>
      <w:r>
        <w:rPr>
          <w:lang w:val="fr-CA"/>
        </w:rPr>
        <w:t xml:space="preserve">et l’agent de gonflage de mousse </w:t>
      </w:r>
      <w:r w:rsidR="000E133D" w:rsidRPr="000E133D">
        <w:rPr>
          <w:lang w:val="fr-CA"/>
        </w:rPr>
        <w:t xml:space="preserve">CFC-11 </w:t>
      </w:r>
      <w:r>
        <w:rPr>
          <w:lang w:val="fr-CA"/>
        </w:rPr>
        <w:t xml:space="preserve">par du </w:t>
      </w:r>
      <w:r w:rsidR="000E133D" w:rsidRPr="000E133D">
        <w:rPr>
          <w:lang w:val="fr-CA"/>
        </w:rPr>
        <w:t xml:space="preserve">cyclopentane </w:t>
      </w:r>
      <w:r>
        <w:rPr>
          <w:lang w:val="fr-CA"/>
        </w:rPr>
        <w:t xml:space="preserve">dans la fabrication de réfrigérateurs domestiques et de congélateurs coffres à </w:t>
      </w:r>
      <w:r w:rsidR="000E133D" w:rsidRPr="000E133D">
        <w:rPr>
          <w:lang w:val="fr-CA"/>
        </w:rPr>
        <w:t xml:space="preserve">Light Industries </w:t>
      </w:r>
      <w:proofErr w:type="spellStart"/>
      <w:r w:rsidR="000E133D" w:rsidRPr="000E133D">
        <w:rPr>
          <w:lang w:val="fr-CA"/>
        </w:rPr>
        <w:t>Company</w:t>
      </w:r>
      <w:proofErr w:type="spellEnd"/>
      <w:r w:rsidR="000E133D" w:rsidRPr="000E133D">
        <w:rPr>
          <w:lang w:val="fr-CA"/>
        </w:rPr>
        <w:t xml:space="preserve"> </w:t>
      </w:r>
      <w:r>
        <w:rPr>
          <w:lang w:val="fr-CA"/>
        </w:rPr>
        <w:t>pour l’</w:t>
      </w:r>
      <w:r w:rsidR="000E133D" w:rsidRPr="000E133D">
        <w:rPr>
          <w:lang w:val="fr-CA"/>
        </w:rPr>
        <w:t xml:space="preserve">Iraq (IRQ/REF/57/INV/07), </w:t>
      </w:r>
      <w:r>
        <w:rPr>
          <w:lang w:val="fr-CA"/>
        </w:rPr>
        <w:t>afin d’achever les activités du projet relatives à l’</w:t>
      </w:r>
      <w:r w:rsidR="000E133D" w:rsidRPr="000E133D">
        <w:rPr>
          <w:lang w:val="fr-CA"/>
        </w:rPr>
        <w:t xml:space="preserve">installation </w:t>
      </w:r>
      <w:r>
        <w:rPr>
          <w:lang w:val="fr-CA"/>
        </w:rPr>
        <w:t>et la mise en service de l’équipement à l’entreprise bénéficiaire</w:t>
      </w:r>
      <w:r w:rsidR="000E133D" w:rsidRPr="000E133D">
        <w:rPr>
          <w:lang w:val="fr-CA"/>
        </w:rPr>
        <w:t>;</w:t>
      </w:r>
    </w:p>
    <w:p w14:paraId="4292A839" w14:textId="48B5E9E6" w:rsidR="000E133D" w:rsidRPr="000E133D" w:rsidRDefault="004B2F21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lang w:val="fr-CA"/>
        </w:rPr>
        <w:t xml:space="preserve">Approuver la prolongation jusqu’au </w:t>
      </w:r>
      <w:r w:rsidR="000E133D" w:rsidRPr="000E133D">
        <w:rPr>
          <w:lang w:val="fr-CA"/>
        </w:rPr>
        <w:t xml:space="preserve">31 </w:t>
      </w:r>
      <w:r>
        <w:rPr>
          <w:lang w:val="fr-CA"/>
        </w:rPr>
        <w:t>d</w:t>
      </w:r>
      <w:r w:rsidR="001D0731">
        <w:rPr>
          <w:lang w:val="fr-CA"/>
        </w:rPr>
        <w:t>éc</w:t>
      </w:r>
      <w:r w:rsidR="000E133D" w:rsidRPr="000E133D">
        <w:rPr>
          <w:lang w:val="fr-CA"/>
        </w:rPr>
        <w:t>emb</w:t>
      </w:r>
      <w:r>
        <w:rPr>
          <w:lang w:val="fr-CA"/>
        </w:rPr>
        <w:t>r</w:t>
      </w:r>
      <w:r w:rsidR="000E133D" w:rsidRPr="000E133D">
        <w:rPr>
          <w:lang w:val="fr-CA"/>
        </w:rPr>
        <w:t>e 2021</w:t>
      </w:r>
      <w:r>
        <w:rPr>
          <w:lang w:val="fr-CA"/>
        </w:rPr>
        <w:t xml:space="preserve"> du p</w:t>
      </w:r>
      <w:r w:rsidR="004B456E">
        <w:rPr>
          <w:lang w:val="fr-CA"/>
        </w:rPr>
        <w:t>lan de gestion de l’élimination de HCFC</w:t>
      </w:r>
      <w:r w:rsidR="000E133D" w:rsidRPr="000E133D">
        <w:rPr>
          <w:lang w:val="fr-CA"/>
        </w:rPr>
        <w:t xml:space="preserve"> (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) </w:t>
      </w:r>
      <w:r>
        <w:rPr>
          <w:lang w:val="fr-CA"/>
        </w:rPr>
        <w:t>pour l’</w:t>
      </w:r>
      <w:r w:rsidR="000E133D" w:rsidRPr="000E133D">
        <w:rPr>
          <w:lang w:val="fr-CA"/>
        </w:rPr>
        <w:t>Iraq (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 I, </w:t>
      </w:r>
      <w:r>
        <w:rPr>
          <w:lang w:val="fr-CA"/>
        </w:rPr>
        <w:t>deuxième et troisième</w:t>
      </w:r>
      <w:r w:rsidR="000E133D" w:rsidRPr="000E133D">
        <w:rPr>
          <w:lang w:val="fr-CA"/>
        </w:rPr>
        <w:t xml:space="preserve"> tranches) (</w:t>
      </w:r>
      <w:r w:rsidR="004B456E">
        <w:rPr>
          <w:lang w:val="fr-CA"/>
        </w:rPr>
        <w:t>secteur de l’entretien en réfrigération</w:t>
      </w:r>
      <w:r w:rsidR="000E133D" w:rsidRPr="000E133D">
        <w:rPr>
          <w:lang w:val="fr-CA"/>
        </w:rPr>
        <w:t>) (</w:t>
      </w:r>
      <w:r w:rsidR="000E133D" w:rsidRPr="000E133D">
        <w:rPr>
          <w:rFonts w:eastAsiaTheme="minorHAnsi"/>
          <w:lang w:val="fr-CA"/>
        </w:rPr>
        <w:t>IRQ/PHA/74/INV/23 and IRQ/PHA/84/INV/29</w:t>
      </w:r>
      <w:r w:rsidR="000E133D" w:rsidRPr="000E133D">
        <w:rPr>
          <w:lang w:val="fr-CA"/>
        </w:rPr>
        <w:t xml:space="preserve">), </w:t>
      </w:r>
      <w:r>
        <w:rPr>
          <w:lang w:val="fr-CA"/>
        </w:rPr>
        <w:t>afin d’achever l’acquisition et la livraison des équipements de laboratoire et de formation à l’entretien ainsi que les activités connexes</w:t>
      </w:r>
      <w:r w:rsidR="000E133D" w:rsidRPr="000E133D">
        <w:rPr>
          <w:lang w:val="fr-CA"/>
        </w:rPr>
        <w:t>;</w:t>
      </w:r>
    </w:p>
    <w:p w14:paraId="0F4C5865" w14:textId="428BC210" w:rsidR="000E133D" w:rsidRPr="000E133D" w:rsidRDefault="004B2F21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lang w:val="fr-CA"/>
        </w:rPr>
        <w:t xml:space="preserve">Approuver la prolongation jusqu’au </w:t>
      </w:r>
      <w:r w:rsidR="000E133D" w:rsidRPr="000E133D">
        <w:rPr>
          <w:lang w:val="fr-CA"/>
        </w:rPr>
        <w:t xml:space="preserve">30 </w:t>
      </w:r>
      <w:r w:rsidR="00DE2219">
        <w:rPr>
          <w:lang w:val="fr-CA"/>
        </w:rPr>
        <w:t>juin</w:t>
      </w:r>
      <w:r w:rsidR="000E133D" w:rsidRPr="000E133D">
        <w:rPr>
          <w:lang w:val="fr-CA"/>
        </w:rPr>
        <w:t xml:space="preserve"> 2021 </w:t>
      </w:r>
      <w:r w:rsidR="00DE2219">
        <w:rPr>
          <w:lang w:val="fr-CA"/>
        </w:rPr>
        <w:t xml:space="preserve">du 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 </w:t>
      </w:r>
      <w:r w:rsidR="00DE2219">
        <w:rPr>
          <w:lang w:val="fr-CA"/>
        </w:rPr>
        <w:t xml:space="preserve">de la </w:t>
      </w:r>
      <w:r w:rsidR="000E133D" w:rsidRPr="000E133D">
        <w:rPr>
          <w:lang w:val="fr-CA"/>
        </w:rPr>
        <w:t>Serbi</w:t>
      </w:r>
      <w:r w:rsidR="00DE2219">
        <w:rPr>
          <w:lang w:val="fr-CA"/>
        </w:rPr>
        <w:t>e</w:t>
      </w:r>
      <w:r w:rsidR="000E133D" w:rsidRPr="000E133D">
        <w:rPr>
          <w:lang w:val="fr-CA"/>
        </w:rPr>
        <w:t xml:space="preserve"> </w:t>
      </w:r>
      <w:r w:rsidR="000E133D" w:rsidRPr="000E133D">
        <w:rPr>
          <w:rFonts w:eastAsiaTheme="minorHAnsi"/>
          <w:lang w:val="fr-CA"/>
        </w:rPr>
        <w:t>(</w:t>
      </w:r>
      <w:r w:rsidR="004B456E">
        <w:rPr>
          <w:rFonts w:eastAsiaTheme="minorHAnsi"/>
          <w:lang w:val="fr-CA"/>
        </w:rPr>
        <w:t>phase</w:t>
      </w:r>
      <w:r w:rsidR="000E133D" w:rsidRPr="000E133D">
        <w:rPr>
          <w:rFonts w:eastAsiaTheme="minorHAnsi"/>
          <w:lang w:val="fr-CA"/>
        </w:rPr>
        <w:t xml:space="preserve"> I, </w:t>
      </w:r>
      <w:r w:rsidR="00DE2219">
        <w:rPr>
          <w:rFonts w:eastAsiaTheme="minorHAnsi"/>
          <w:lang w:val="fr-CA"/>
        </w:rPr>
        <w:t>quatrième</w:t>
      </w:r>
      <w:r w:rsidR="000E133D" w:rsidRPr="000E133D">
        <w:rPr>
          <w:rFonts w:eastAsiaTheme="minorHAnsi"/>
          <w:lang w:val="fr-CA"/>
        </w:rPr>
        <w:t xml:space="preserve"> tranche)</w:t>
      </w:r>
      <w:r w:rsidR="000E133D" w:rsidRPr="000E133D">
        <w:rPr>
          <w:lang w:val="fr-CA"/>
        </w:rPr>
        <w:t xml:space="preserve"> (</w:t>
      </w:r>
      <w:r w:rsidR="000E133D" w:rsidRPr="000E133D">
        <w:rPr>
          <w:rFonts w:eastAsiaTheme="minorHAnsi"/>
          <w:lang w:val="fr-CA"/>
        </w:rPr>
        <w:t>YUG/PHA/84/INV/51</w:t>
      </w:r>
      <w:r w:rsidR="000E133D" w:rsidRPr="000E133D">
        <w:rPr>
          <w:lang w:val="fr-CA"/>
        </w:rPr>
        <w:t xml:space="preserve">) </w:t>
      </w:r>
      <w:r w:rsidR="00DE2219">
        <w:rPr>
          <w:lang w:val="fr-CA"/>
        </w:rPr>
        <w:t>afin de terminer les activités restantes</w:t>
      </w:r>
      <w:r w:rsidR="000E133D" w:rsidRPr="000E133D">
        <w:rPr>
          <w:lang w:val="fr-CA"/>
        </w:rPr>
        <w:t xml:space="preserve">; </w:t>
      </w:r>
    </w:p>
    <w:p w14:paraId="7EE7CB51" w14:textId="7FE6B879" w:rsidR="000E133D" w:rsidRPr="000E133D" w:rsidRDefault="00DE2219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bookmarkStart w:id="0" w:name="_Hlk55603079"/>
      <w:r w:rsidRPr="00DE2219">
        <w:rPr>
          <w:lang w:val="fr-CA"/>
        </w:rPr>
        <w:t xml:space="preserve">Approuver la prolongation jusqu’au 31 décembre 2021 </w:t>
      </w:r>
      <w:bookmarkEnd w:id="0"/>
      <w:r>
        <w:rPr>
          <w:lang w:val="fr-CA"/>
        </w:rPr>
        <w:t xml:space="preserve">de l’élimination des </w:t>
      </w:r>
      <w:r w:rsidR="000E133D" w:rsidRPr="000E133D">
        <w:rPr>
          <w:rFonts w:eastAsiaTheme="minorHAnsi"/>
          <w:lang w:val="fr-CA"/>
        </w:rPr>
        <w:t>HCFC</w:t>
      </w:r>
      <w:r w:rsidR="000E133D" w:rsidRPr="000E133D">
        <w:rPr>
          <w:rFonts w:eastAsiaTheme="minorHAnsi"/>
          <w:lang w:val="fr-CA"/>
        </w:rPr>
        <w:noBreakHyphen/>
        <w:t xml:space="preserve">22 </w:t>
      </w:r>
      <w:r>
        <w:rPr>
          <w:rFonts w:eastAsiaTheme="minorHAnsi"/>
          <w:lang w:val="fr-CA"/>
        </w:rPr>
        <w:t xml:space="preserve">et </w:t>
      </w:r>
      <w:r w:rsidR="000E133D" w:rsidRPr="000E133D">
        <w:rPr>
          <w:rFonts w:eastAsiaTheme="minorHAnsi"/>
          <w:lang w:val="fr-CA"/>
        </w:rPr>
        <w:t>HCFC</w:t>
      </w:r>
      <w:r w:rsidR="000E133D" w:rsidRPr="000E133D">
        <w:rPr>
          <w:rFonts w:eastAsiaTheme="minorHAnsi"/>
          <w:lang w:val="fr-CA"/>
        </w:rPr>
        <w:noBreakHyphen/>
        <w:t xml:space="preserve">141b </w:t>
      </w:r>
      <w:r>
        <w:rPr>
          <w:rFonts w:eastAsiaTheme="minorHAnsi"/>
          <w:lang w:val="fr-CA"/>
        </w:rPr>
        <w:t xml:space="preserve">dans la fabrication de systèmes de climatisation autonomes et de panneaux d’isolation en </w:t>
      </w:r>
      <w:r w:rsidR="000E133D" w:rsidRPr="000E133D">
        <w:rPr>
          <w:rFonts w:eastAsiaTheme="minorHAnsi"/>
          <w:lang w:val="fr-CA"/>
        </w:rPr>
        <w:t>polyur</w:t>
      </w:r>
      <w:r>
        <w:rPr>
          <w:rFonts w:eastAsiaTheme="minorHAnsi"/>
          <w:lang w:val="fr-CA"/>
        </w:rPr>
        <w:t>é</w:t>
      </w:r>
      <w:r w:rsidR="000E133D" w:rsidRPr="000E133D">
        <w:rPr>
          <w:rFonts w:eastAsiaTheme="minorHAnsi"/>
          <w:lang w:val="fr-CA"/>
        </w:rPr>
        <w:t xml:space="preserve">thane </w:t>
      </w:r>
      <w:r>
        <w:rPr>
          <w:rFonts w:eastAsiaTheme="minorHAnsi"/>
          <w:lang w:val="fr-CA"/>
        </w:rPr>
        <w:t xml:space="preserve">rigide à </w:t>
      </w:r>
      <w:r w:rsidR="000E133D" w:rsidRPr="000E133D">
        <w:rPr>
          <w:rFonts w:eastAsiaTheme="minorHAnsi"/>
          <w:lang w:val="fr-CA"/>
        </w:rPr>
        <w:t xml:space="preserve">Al Hafez Group </w:t>
      </w:r>
      <w:r>
        <w:rPr>
          <w:rFonts w:eastAsiaTheme="minorHAnsi"/>
          <w:lang w:val="fr-CA"/>
        </w:rPr>
        <w:t>pour la République arabe syrienne</w:t>
      </w:r>
      <w:r w:rsidR="000E133D" w:rsidRPr="000E133D">
        <w:rPr>
          <w:rFonts w:eastAsiaTheme="minorHAnsi"/>
          <w:lang w:val="fr-CA"/>
        </w:rPr>
        <w:t xml:space="preserve"> </w:t>
      </w:r>
      <w:r w:rsidR="000E133D" w:rsidRPr="000E133D">
        <w:rPr>
          <w:lang w:val="fr-CA"/>
        </w:rPr>
        <w:t>(</w:t>
      </w:r>
      <w:r w:rsidR="000E133D" w:rsidRPr="000E133D">
        <w:rPr>
          <w:rFonts w:eastAsiaTheme="minorHAnsi"/>
          <w:lang w:val="fr-CA"/>
        </w:rPr>
        <w:t>SYR/REF/62/INV/103</w:t>
      </w:r>
      <w:r w:rsidR="000E133D" w:rsidRPr="000E133D">
        <w:rPr>
          <w:lang w:val="fr-CA"/>
        </w:rPr>
        <w:t xml:space="preserve">), </w:t>
      </w:r>
      <w:r>
        <w:rPr>
          <w:lang w:val="fr-CA"/>
        </w:rPr>
        <w:t>afin de terminer les activités restantes portant sur l’</w:t>
      </w:r>
      <w:r w:rsidR="000E133D" w:rsidRPr="000E133D">
        <w:rPr>
          <w:lang w:val="fr-CA"/>
        </w:rPr>
        <w:t xml:space="preserve">installation </w:t>
      </w:r>
      <w:r>
        <w:rPr>
          <w:lang w:val="fr-CA"/>
        </w:rPr>
        <w:t>et la mise en service des équipements</w:t>
      </w:r>
      <w:r w:rsidR="000E133D" w:rsidRPr="000E133D">
        <w:rPr>
          <w:lang w:val="fr-CA"/>
        </w:rPr>
        <w:t xml:space="preserve">; </w:t>
      </w:r>
    </w:p>
    <w:p w14:paraId="1D6FDE36" w14:textId="064C0B0D" w:rsidR="000E133D" w:rsidRPr="000E133D" w:rsidRDefault="00DE2219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 w:rsidRPr="00DE2219">
        <w:rPr>
          <w:lang w:val="fr-CA"/>
        </w:rPr>
        <w:t xml:space="preserve">Approuver la prolongation jusqu’au 31 décembre 2021 </w:t>
      </w:r>
      <w:r>
        <w:rPr>
          <w:lang w:val="fr-CA"/>
        </w:rPr>
        <w:t>du projet mondial de refroidisseurs pour l’A</w:t>
      </w:r>
      <w:r w:rsidR="000E133D" w:rsidRPr="000E133D">
        <w:rPr>
          <w:lang w:val="fr-CA"/>
        </w:rPr>
        <w:t>rgentin</w:t>
      </w:r>
      <w:r>
        <w:rPr>
          <w:lang w:val="fr-CA"/>
        </w:rPr>
        <w:t>e</w:t>
      </w:r>
      <w:r w:rsidR="000E133D" w:rsidRPr="000E133D">
        <w:rPr>
          <w:lang w:val="fr-CA"/>
        </w:rPr>
        <w:t xml:space="preserve"> (</w:t>
      </w:r>
      <w:r w:rsidR="000E133D" w:rsidRPr="000E133D">
        <w:rPr>
          <w:rFonts w:eastAsiaTheme="minorHAnsi"/>
          <w:lang w:val="fr-CA"/>
        </w:rPr>
        <w:t>GLO/REF/80/DEM/344</w:t>
      </w:r>
      <w:r w:rsidR="000E133D" w:rsidRPr="000E133D">
        <w:rPr>
          <w:lang w:val="fr-CA"/>
        </w:rPr>
        <w:t xml:space="preserve">), </w:t>
      </w:r>
      <w:r>
        <w:rPr>
          <w:lang w:val="fr-CA"/>
        </w:rPr>
        <w:t>afin d’achever les activités liées aux bénéficiaires</w:t>
      </w:r>
      <w:r w:rsidR="000E133D" w:rsidRPr="000E133D">
        <w:rPr>
          <w:lang w:val="fr-CA"/>
        </w:rPr>
        <w:t xml:space="preserve">; </w:t>
      </w:r>
      <w:r>
        <w:rPr>
          <w:lang w:val="fr-CA"/>
        </w:rPr>
        <w:t>et</w:t>
      </w:r>
    </w:p>
    <w:p w14:paraId="67AC73CA" w14:textId="051F5507" w:rsidR="000E133D" w:rsidRPr="000E133D" w:rsidRDefault="00DE2219" w:rsidP="000E133D">
      <w:pPr>
        <w:widowControl w:val="0"/>
        <w:numPr>
          <w:ilvl w:val="1"/>
          <w:numId w:val="2"/>
        </w:numPr>
        <w:spacing w:after="240"/>
        <w:outlineLvl w:val="1"/>
        <w:rPr>
          <w:lang w:val="fr-CA"/>
        </w:rPr>
      </w:pPr>
      <w:r>
        <w:rPr>
          <w:lang w:val="fr-CA"/>
        </w:rPr>
        <w:t xml:space="preserve">En ce qui concerne le 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de l’</w:t>
      </w:r>
      <w:r w:rsidR="00584873">
        <w:rPr>
          <w:lang w:val="fr-CA"/>
        </w:rPr>
        <w:t>Arabie saoudite</w:t>
      </w:r>
      <w:r w:rsidR="000E133D" w:rsidRPr="000E133D">
        <w:rPr>
          <w:lang w:val="fr-CA"/>
        </w:rPr>
        <w:t xml:space="preserve">: </w:t>
      </w:r>
    </w:p>
    <w:p w14:paraId="5DE2F2BC" w14:textId="69954BB9" w:rsidR="000E133D" w:rsidRPr="000E133D" w:rsidRDefault="00DE2219" w:rsidP="000E133D">
      <w:pPr>
        <w:widowControl w:val="0"/>
        <w:numPr>
          <w:ilvl w:val="2"/>
          <w:numId w:val="3"/>
        </w:numPr>
        <w:spacing w:after="240"/>
        <w:outlineLvl w:val="2"/>
        <w:rPr>
          <w:lang w:val="fr-CA"/>
        </w:rPr>
      </w:pPr>
      <w:r>
        <w:rPr>
          <w:lang w:val="fr-CA"/>
        </w:rPr>
        <w:t xml:space="preserve">Annuler le 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de l’A</w:t>
      </w:r>
      <w:r w:rsidR="00584873">
        <w:rPr>
          <w:lang w:val="fr-CA"/>
        </w:rPr>
        <w:t>rabie saoudite</w:t>
      </w:r>
      <w:r w:rsidR="000E133D" w:rsidRPr="000E133D">
        <w:rPr>
          <w:lang w:val="fr-CA"/>
        </w:rPr>
        <w:t xml:space="preserve"> (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 I, </w:t>
      </w:r>
      <w:r>
        <w:rPr>
          <w:lang w:val="fr-CA"/>
        </w:rPr>
        <w:t>première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>deuxième et troisième</w:t>
      </w:r>
      <w:r w:rsidR="000E133D" w:rsidRPr="000E133D">
        <w:rPr>
          <w:lang w:val="fr-CA"/>
        </w:rPr>
        <w:t xml:space="preserve"> tranches) (</w:t>
      </w:r>
      <w:r>
        <w:rPr>
          <w:lang w:val="fr-CA"/>
        </w:rPr>
        <w:t xml:space="preserve">entretien en </w:t>
      </w:r>
      <w:r w:rsidRPr="000E133D">
        <w:rPr>
          <w:lang w:val="fr-CA"/>
        </w:rPr>
        <w:t>réfrigération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et surveillance</w:t>
      </w:r>
      <w:r w:rsidR="000E133D" w:rsidRPr="000E133D">
        <w:rPr>
          <w:lang w:val="fr-CA"/>
        </w:rPr>
        <w:t xml:space="preserve">) (SAU/PHA/68/INV/17, SAU/PHA/72/INV/20 </w:t>
      </w:r>
      <w:r>
        <w:rPr>
          <w:lang w:val="fr-CA"/>
        </w:rPr>
        <w:t>et</w:t>
      </w:r>
      <w:r w:rsidR="000E133D" w:rsidRPr="000E133D">
        <w:rPr>
          <w:lang w:val="fr-CA"/>
        </w:rPr>
        <w:t xml:space="preserve"> SAU/PHA/75/INV/25) </w:t>
      </w:r>
      <w:r>
        <w:rPr>
          <w:lang w:val="fr-CA"/>
        </w:rPr>
        <w:t xml:space="preserve">et </w:t>
      </w:r>
      <w:r w:rsidR="000E133D" w:rsidRPr="000E133D">
        <w:rPr>
          <w:lang w:val="fr-CA"/>
        </w:rPr>
        <w:t>(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 I, </w:t>
      </w:r>
      <w:r>
        <w:rPr>
          <w:lang w:val="fr-CA"/>
        </w:rPr>
        <w:t>troisième</w:t>
      </w:r>
      <w:r w:rsidR="000E133D" w:rsidRPr="000E133D">
        <w:rPr>
          <w:lang w:val="fr-CA"/>
        </w:rPr>
        <w:t xml:space="preserve"> tranche) (</w:t>
      </w:r>
      <w:r>
        <w:rPr>
          <w:lang w:val="fr-CA"/>
        </w:rPr>
        <w:t xml:space="preserve">plan pour le secteur de mousse de </w:t>
      </w:r>
      <w:r w:rsidR="000E133D" w:rsidRPr="000E133D">
        <w:rPr>
          <w:lang w:val="fr-CA"/>
        </w:rPr>
        <w:t>polyur</w:t>
      </w:r>
      <w:r>
        <w:rPr>
          <w:lang w:val="fr-CA"/>
        </w:rPr>
        <w:t>é</w:t>
      </w:r>
      <w:r w:rsidR="000E133D" w:rsidRPr="000E133D">
        <w:rPr>
          <w:lang w:val="fr-CA"/>
        </w:rPr>
        <w:t xml:space="preserve">thane) (SAU/PHA/75/INV/24), </w:t>
      </w:r>
      <w:r w:rsidR="000A3C95">
        <w:rPr>
          <w:lang w:val="fr-CA"/>
        </w:rPr>
        <w:t>conformément</w:t>
      </w:r>
      <w:r>
        <w:rPr>
          <w:lang w:val="fr-CA"/>
        </w:rPr>
        <w:t xml:space="preserve"> à la </w:t>
      </w:r>
      <w:r w:rsidR="00D0488E">
        <w:rPr>
          <w:lang w:val="fr-CA"/>
        </w:rPr>
        <w:t>décision</w:t>
      </w:r>
      <w:r w:rsidR="000E133D" w:rsidRPr="000E133D">
        <w:rPr>
          <w:lang w:val="fr-CA"/>
        </w:rPr>
        <w:t xml:space="preserve"> 84/45(b) </w:t>
      </w:r>
      <w:r w:rsidR="000A3C95">
        <w:rPr>
          <w:lang w:val="fr-CA"/>
        </w:rPr>
        <w:t>et</w:t>
      </w:r>
      <w:r w:rsidR="000E133D" w:rsidRPr="000E133D">
        <w:rPr>
          <w:lang w:val="fr-CA"/>
        </w:rPr>
        <w:t xml:space="preserve"> (c), </w:t>
      </w:r>
      <w:r w:rsidR="000A3C95">
        <w:rPr>
          <w:lang w:val="fr-CA"/>
        </w:rPr>
        <w:t>et demander à 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 w:rsidR="000A3C95">
        <w:rPr>
          <w:lang w:val="fr-CA"/>
        </w:rPr>
        <w:t xml:space="preserve">de rendre les soldes restants à la </w:t>
      </w:r>
      <w:r w:rsidR="000E133D" w:rsidRPr="000E133D">
        <w:rPr>
          <w:lang w:val="fr-CA"/>
        </w:rPr>
        <w:t>87</w:t>
      </w:r>
      <w:r w:rsidR="000A3C95">
        <w:rPr>
          <w:vertAlign w:val="superscript"/>
          <w:lang w:val="fr-CA"/>
        </w:rPr>
        <w:t>e</w:t>
      </w:r>
      <w:r w:rsidR="000E133D" w:rsidRPr="000E133D">
        <w:rPr>
          <w:lang w:val="fr-CA"/>
        </w:rPr>
        <w:t> 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>;</w:t>
      </w:r>
    </w:p>
    <w:p w14:paraId="6686F4C8" w14:textId="75FF855F" w:rsidR="000E133D" w:rsidRPr="000E133D" w:rsidRDefault="000A3C95" w:rsidP="000E133D">
      <w:pPr>
        <w:widowControl w:val="0"/>
        <w:numPr>
          <w:ilvl w:val="2"/>
          <w:numId w:val="3"/>
        </w:numPr>
        <w:spacing w:after="240"/>
        <w:outlineLvl w:val="2"/>
        <w:rPr>
          <w:lang w:val="fr-CA"/>
        </w:rPr>
      </w:pPr>
      <w:r>
        <w:rPr>
          <w:lang w:val="fr-CA"/>
        </w:rPr>
        <w:t>Demander à 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de soumettre un </w:t>
      </w:r>
      <w:r w:rsidR="00D0488E">
        <w:rPr>
          <w:lang w:val="fr-CA"/>
        </w:rPr>
        <w:t>rapport périodique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annuel sur la mise en œuvre des activités restantes du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d’élimination des </w:t>
      </w:r>
      <w:r w:rsidR="000E133D" w:rsidRPr="000E133D">
        <w:rPr>
          <w:lang w:val="fr-CA"/>
        </w:rPr>
        <w:t xml:space="preserve">HCFC-22 </w:t>
      </w:r>
      <w:r>
        <w:rPr>
          <w:lang w:val="fr-CA"/>
        </w:rPr>
        <w:t>et</w:t>
      </w:r>
      <w:r w:rsidR="000E133D" w:rsidRPr="000E133D">
        <w:rPr>
          <w:lang w:val="fr-CA"/>
        </w:rPr>
        <w:t xml:space="preserve"> HCFC-142b </w:t>
      </w:r>
      <w:r>
        <w:rPr>
          <w:lang w:val="fr-CA"/>
        </w:rPr>
        <w:t xml:space="preserve">dans la fabrication de panneaux de </w:t>
      </w:r>
      <w:r w:rsidR="000E133D" w:rsidRPr="000E133D">
        <w:rPr>
          <w:lang w:val="fr-CA"/>
        </w:rPr>
        <w:t>polystyr</w:t>
      </w:r>
      <w:r>
        <w:rPr>
          <w:lang w:val="fr-CA"/>
        </w:rPr>
        <w:t>è</w:t>
      </w:r>
      <w:r w:rsidR="000E133D" w:rsidRPr="000E133D">
        <w:rPr>
          <w:lang w:val="fr-CA"/>
        </w:rPr>
        <w:t xml:space="preserve">ne </w:t>
      </w:r>
      <w:r>
        <w:rPr>
          <w:lang w:val="fr-CA"/>
        </w:rPr>
        <w:t xml:space="preserve">extrudé à </w:t>
      </w:r>
      <w:r w:rsidR="000E133D" w:rsidRPr="000E133D">
        <w:rPr>
          <w:lang w:val="fr-CA"/>
        </w:rPr>
        <w:t>Al</w:t>
      </w:r>
      <w:r w:rsidR="000E133D" w:rsidRPr="000E133D">
        <w:rPr>
          <w:lang w:val="fr-CA"/>
        </w:rPr>
        <w:noBreakHyphen/>
      </w:r>
      <w:proofErr w:type="spellStart"/>
      <w:r w:rsidR="000E133D" w:rsidRPr="000E133D">
        <w:rPr>
          <w:lang w:val="fr-CA"/>
        </w:rPr>
        <w:t>Watania</w:t>
      </w:r>
      <w:proofErr w:type="spellEnd"/>
      <w:r w:rsidR="000E133D" w:rsidRPr="000E133D">
        <w:rPr>
          <w:lang w:val="fr-CA"/>
        </w:rPr>
        <w:t xml:space="preserve"> Plastics (SAU/FOA/62/INV/13) </w:t>
      </w:r>
      <w:r>
        <w:rPr>
          <w:lang w:val="fr-CA"/>
        </w:rPr>
        <w:t xml:space="preserve">et du </w:t>
      </w:r>
      <w:r w:rsidR="00E15C69">
        <w:rPr>
          <w:lang w:val="fr-CA"/>
        </w:rPr>
        <w:t>PGEH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de l’</w:t>
      </w:r>
      <w:r w:rsidR="00584873">
        <w:rPr>
          <w:lang w:val="fr-CA"/>
        </w:rPr>
        <w:t>Arabie saoudite</w:t>
      </w:r>
      <w:r w:rsidR="000E133D" w:rsidRPr="000E133D">
        <w:rPr>
          <w:lang w:val="fr-CA"/>
        </w:rPr>
        <w:t xml:space="preserve"> (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 I, </w:t>
      </w:r>
      <w:r>
        <w:rPr>
          <w:lang w:val="fr-CA"/>
        </w:rPr>
        <w:t>première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>deuxième et quatrième</w:t>
      </w:r>
      <w:r w:rsidR="000E133D" w:rsidRPr="000E133D">
        <w:rPr>
          <w:lang w:val="fr-CA"/>
        </w:rPr>
        <w:t xml:space="preserve"> tranches) (</w:t>
      </w:r>
      <w:r>
        <w:rPr>
          <w:lang w:val="fr-CA"/>
        </w:rPr>
        <w:t>plan</w:t>
      </w:r>
      <w:r w:rsidR="00631EA2">
        <w:rPr>
          <w:lang w:val="fr-CA"/>
        </w:rPr>
        <w:t xml:space="preserve"> </w:t>
      </w:r>
      <w:r>
        <w:rPr>
          <w:lang w:val="fr-CA"/>
        </w:rPr>
        <w:t xml:space="preserve">pour le secteur de mousse de </w:t>
      </w:r>
      <w:r w:rsidR="000E133D" w:rsidRPr="000E133D">
        <w:rPr>
          <w:lang w:val="fr-CA"/>
        </w:rPr>
        <w:t>polyur</w:t>
      </w:r>
      <w:r>
        <w:rPr>
          <w:lang w:val="fr-CA"/>
        </w:rPr>
        <w:t>é</w:t>
      </w:r>
      <w:r w:rsidR="000E133D" w:rsidRPr="000E133D">
        <w:rPr>
          <w:lang w:val="fr-CA"/>
        </w:rPr>
        <w:t xml:space="preserve">thane) (SAU/PHA/68/INV/19, SAU/PHA/72/INV/21 </w:t>
      </w:r>
      <w:r>
        <w:rPr>
          <w:lang w:val="fr-CA"/>
        </w:rPr>
        <w:t>et</w:t>
      </w:r>
      <w:r w:rsidR="000E133D" w:rsidRPr="000E133D">
        <w:rPr>
          <w:lang w:val="fr-CA"/>
        </w:rPr>
        <w:t xml:space="preserve"> SAU/PHA/77/INV/31) </w:t>
      </w:r>
      <w:r>
        <w:rPr>
          <w:lang w:val="fr-CA"/>
        </w:rPr>
        <w:t xml:space="preserve">à la dernière 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du</w:t>
      </w:r>
      <w:r w:rsidR="000E133D" w:rsidRPr="000E133D">
        <w:rPr>
          <w:lang w:val="fr-CA"/>
        </w:rPr>
        <w:t xml:space="preserve"> </w:t>
      </w:r>
      <w:r w:rsidR="00A95667">
        <w:rPr>
          <w:lang w:val="fr-CA"/>
        </w:rPr>
        <w:t>Comité exécutif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de chaque année, jusqu’à leur achèvement</w:t>
      </w:r>
      <w:r w:rsidR="000E133D" w:rsidRPr="000E133D">
        <w:rPr>
          <w:lang w:val="fr-CA"/>
        </w:rPr>
        <w:t xml:space="preserve">; </w:t>
      </w:r>
      <w:r>
        <w:rPr>
          <w:lang w:val="fr-CA"/>
        </w:rPr>
        <w:t>et</w:t>
      </w:r>
    </w:p>
    <w:p w14:paraId="6269785E" w14:textId="19DA5616" w:rsidR="000E133D" w:rsidRPr="000A3C95" w:rsidRDefault="000A3C95" w:rsidP="000D60BC">
      <w:pPr>
        <w:widowControl w:val="0"/>
        <w:numPr>
          <w:ilvl w:val="2"/>
          <w:numId w:val="3"/>
        </w:numPr>
        <w:spacing w:after="240"/>
        <w:outlineLvl w:val="2"/>
        <w:rPr>
          <w:lang w:val="fr-CA"/>
        </w:rPr>
        <w:sectPr w:rsidR="000E133D" w:rsidRPr="000A3C95" w:rsidSect="00A956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630" w:right="1440" w:bottom="864" w:left="1440" w:header="720" w:footer="475" w:gutter="0"/>
          <w:pgNumType w:start="1"/>
          <w:cols w:space="720"/>
          <w:titlePg/>
        </w:sectPr>
      </w:pPr>
      <w:r w:rsidRPr="000A3C95">
        <w:rPr>
          <w:lang w:val="fr-CA"/>
        </w:rPr>
        <w:t xml:space="preserve">De noter que la </w:t>
      </w:r>
      <w:r w:rsidR="004B456E" w:rsidRPr="000A3C95">
        <w:rPr>
          <w:lang w:val="fr-CA"/>
        </w:rPr>
        <w:t>phase</w:t>
      </w:r>
      <w:r w:rsidR="000E133D" w:rsidRPr="000A3C95">
        <w:rPr>
          <w:lang w:val="fr-CA"/>
        </w:rPr>
        <w:t xml:space="preserve"> II </w:t>
      </w:r>
      <w:r w:rsidRPr="000A3C95">
        <w:rPr>
          <w:lang w:val="fr-CA"/>
        </w:rPr>
        <w:t>du</w:t>
      </w:r>
      <w:r w:rsidR="000E133D" w:rsidRPr="000A3C95">
        <w:rPr>
          <w:lang w:val="fr-CA"/>
        </w:rPr>
        <w:t xml:space="preserve"> </w:t>
      </w:r>
      <w:r w:rsidR="00E15C69" w:rsidRPr="000A3C95">
        <w:rPr>
          <w:lang w:val="fr-CA"/>
        </w:rPr>
        <w:t>PGEH</w:t>
      </w:r>
      <w:r w:rsidR="000E133D" w:rsidRPr="000A3C95">
        <w:rPr>
          <w:lang w:val="fr-CA"/>
        </w:rPr>
        <w:t xml:space="preserve"> </w:t>
      </w:r>
      <w:r w:rsidRPr="000A3C95">
        <w:rPr>
          <w:lang w:val="fr-CA"/>
        </w:rPr>
        <w:t>de l’</w:t>
      </w:r>
      <w:r w:rsidR="00584873" w:rsidRPr="000A3C95">
        <w:rPr>
          <w:lang w:val="fr-CA"/>
        </w:rPr>
        <w:t>Arabie saoudite</w:t>
      </w:r>
      <w:r w:rsidR="000E133D" w:rsidRPr="000A3C95">
        <w:rPr>
          <w:lang w:val="fr-CA"/>
        </w:rPr>
        <w:t xml:space="preserve"> </w:t>
      </w:r>
      <w:r w:rsidRPr="000A3C95">
        <w:rPr>
          <w:lang w:val="fr-CA"/>
        </w:rPr>
        <w:t xml:space="preserve">ne serait examinée qu’après </w:t>
      </w:r>
      <w:r>
        <w:rPr>
          <w:lang w:val="fr-CA"/>
        </w:rPr>
        <w:t xml:space="preserve">la soumission du </w:t>
      </w:r>
      <w:r w:rsidRPr="000A3C95">
        <w:rPr>
          <w:lang w:val="fr-CA"/>
        </w:rPr>
        <w:t>rapport d’achè</w:t>
      </w:r>
      <w:r>
        <w:rPr>
          <w:lang w:val="fr-CA"/>
        </w:rPr>
        <w:t xml:space="preserve">vement du </w:t>
      </w:r>
      <w:r w:rsidR="00A95667" w:rsidRPr="000A3C95">
        <w:rPr>
          <w:lang w:val="fr-CA"/>
        </w:rPr>
        <w:t>projet</w:t>
      </w:r>
      <w:r w:rsidR="000E133D" w:rsidRPr="000A3C95">
        <w:rPr>
          <w:lang w:val="fr-CA"/>
        </w:rPr>
        <w:t xml:space="preserve"> </w:t>
      </w:r>
      <w:r>
        <w:rPr>
          <w:lang w:val="fr-CA"/>
        </w:rPr>
        <w:t xml:space="preserve">et du rapport d’achèvement financier de la </w:t>
      </w:r>
      <w:r w:rsidR="004B456E" w:rsidRPr="000A3C95">
        <w:rPr>
          <w:lang w:val="fr-CA"/>
        </w:rPr>
        <w:t>phase</w:t>
      </w:r>
      <w:r w:rsidR="000E133D" w:rsidRPr="000A3C95">
        <w:rPr>
          <w:lang w:val="fr-CA"/>
        </w:rPr>
        <w:t xml:space="preserve"> I, </w:t>
      </w:r>
      <w:r>
        <w:rPr>
          <w:lang w:val="fr-CA"/>
        </w:rPr>
        <w:t>et lorsque tous les soldes restants auraient été re</w:t>
      </w:r>
      <w:r w:rsidR="00B37E76">
        <w:rPr>
          <w:lang w:val="fr-CA"/>
        </w:rPr>
        <w:t>ndu</w:t>
      </w:r>
      <w:r>
        <w:rPr>
          <w:lang w:val="fr-CA"/>
        </w:rPr>
        <w:t xml:space="preserve">s au </w:t>
      </w:r>
      <w:r w:rsidR="00A95667" w:rsidRPr="000A3C95">
        <w:rPr>
          <w:lang w:val="fr-CA"/>
        </w:rPr>
        <w:t>Fonds multilatéral</w:t>
      </w:r>
      <w:r w:rsidR="000E133D" w:rsidRPr="000A3C95">
        <w:rPr>
          <w:lang w:val="fr-CA"/>
        </w:rPr>
        <w:t>.</w:t>
      </w:r>
    </w:p>
    <w:p w14:paraId="033B9494" w14:textId="022B3B3F" w:rsidR="000E133D" w:rsidRPr="000E133D" w:rsidRDefault="000E133D" w:rsidP="000E133D">
      <w:pPr>
        <w:tabs>
          <w:tab w:val="left" w:pos="5560"/>
        </w:tabs>
        <w:jc w:val="center"/>
        <w:rPr>
          <w:b/>
          <w:bCs/>
          <w:lang w:val="fr-CA"/>
        </w:rPr>
      </w:pPr>
      <w:r w:rsidRPr="000E133D">
        <w:rPr>
          <w:b/>
          <w:bCs/>
          <w:lang w:val="fr-CA"/>
        </w:rPr>
        <w:t>Annex</w:t>
      </w:r>
      <w:r w:rsidR="00B37E76">
        <w:rPr>
          <w:b/>
          <w:bCs/>
          <w:lang w:val="fr-CA"/>
        </w:rPr>
        <w:t>e</w:t>
      </w:r>
      <w:r w:rsidRPr="000E133D">
        <w:rPr>
          <w:b/>
          <w:bCs/>
          <w:lang w:val="fr-CA"/>
        </w:rPr>
        <w:t xml:space="preserve"> I</w:t>
      </w:r>
    </w:p>
    <w:p w14:paraId="1FBFB0DC" w14:textId="77777777" w:rsidR="000E133D" w:rsidRPr="000E133D" w:rsidRDefault="000E133D" w:rsidP="000E133D">
      <w:pPr>
        <w:tabs>
          <w:tab w:val="left" w:pos="5560"/>
        </w:tabs>
        <w:jc w:val="center"/>
        <w:rPr>
          <w:b/>
          <w:bCs/>
          <w:lang w:val="fr-CA"/>
        </w:rPr>
      </w:pPr>
    </w:p>
    <w:p w14:paraId="17F09928" w14:textId="0F406DA0" w:rsidR="000E133D" w:rsidRPr="000E133D" w:rsidRDefault="00A95667" w:rsidP="000E133D">
      <w:pPr>
        <w:widowControl w:val="0"/>
        <w:spacing w:after="240"/>
        <w:jc w:val="center"/>
        <w:outlineLvl w:val="1"/>
        <w:rPr>
          <w:b/>
          <w:lang w:val="fr-CA"/>
        </w:rPr>
      </w:pPr>
      <w:r>
        <w:rPr>
          <w:b/>
          <w:lang w:val="fr-CA"/>
        </w:rPr>
        <w:t>PROJET</w:t>
      </w:r>
      <w:r w:rsidR="000E133D" w:rsidRPr="000E133D">
        <w:rPr>
          <w:b/>
          <w:lang w:val="fr-CA"/>
        </w:rPr>
        <w:t xml:space="preserve">S </w:t>
      </w:r>
      <w:r w:rsidR="00B37E76">
        <w:rPr>
          <w:b/>
          <w:lang w:val="fr-CA"/>
        </w:rPr>
        <w:t xml:space="preserve">EN COURS AVEC DES QUESTIONS EN SUSPENS DANS LE </w:t>
      </w:r>
      <w:r w:rsidR="00D0488E">
        <w:rPr>
          <w:b/>
          <w:lang w:val="fr-CA"/>
        </w:rPr>
        <w:t>RAPPORT PÉRIODIQUE</w:t>
      </w:r>
      <w:r w:rsidR="000E133D" w:rsidRPr="000E133D">
        <w:rPr>
          <w:b/>
          <w:lang w:val="fr-CA"/>
        </w:rPr>
        <w:t xml:space="preserve"> </w:t>
      </w:r>
      <w:r w:rsidR="00B37E76">
        <w:rPr>
          <w:b/>
          <w:lang w:val="fr-CA"/>
        </w:rPr>
        <w:t>DE l’</w:t>
      </w:r>
      <w:r>
        <w:rPr>
          <w:b/>
          <w:lang w:val="fr-CA"/>
        </w:rPr>
        <w:t>ONUDI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3371"/>
        <w:gridCol w:w="1319"/>
        <w:gridCol w:w="3407"/>
        <w:gridCol w:w="3967"/>
      </w:tblGrid>
      <w:tr w:rsidR="000E133D" w:rsidRPr="000E133D" w14:paraId="6AC6CCD9" w14:textId="77777777" w:rsidTr="00A95667">
        <w:trPr>
          <w:tblHeader/>
        </w:trPr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0430449D" w14:textId="4E0922E7" w:rsidR="000E133D" w:rsidRPr="000E133D" w:rsidRDefault="00B37E76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Pays</w:t>
            </w:r>
            <w:r w:rsidR="000E133D" w:rsidRPr="000E133D">
              <w:rPr>
                <w:b/>
                <w:bCs/>
                <w:sz w:val="20"/>
                <w:szCs w:val="20"/>
                <w:lang w:val="fr-CA" w:eastAsia="en-CA"/>
              </w:rPr>
              <w:t>/</w:t>
            </w:r>
            <w:r>
              <w:rPr>
                <w:b/>
                <w:bCs/>
                <w:sz w:val="20"/>
                <w:szCs w:val="20"/>
                <w:lang w:val="fr-CA" w:eastAsia="en-CA"/>
              </w:rPr>
              <w:t xml:space="preserve">Code du </w:t>
            </w:r>
            <w:r w:rsidR="00A95667">
              <w:rPr>
                <w:b/>
                <w:bCs/>
                <w:sz w:val="20"/>
                <w:szCs w:val="20"/>
                <w:lang w:val="fr-CA" w:eastAsia="en-CA"/>
              </w:rPr>
              <w:t>projet</w:t>
            </w:r>
            <w:r w:rsidR="000E133D"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4AC4ED89" w14:textId="6C3000F8" w:rsidR="000E133D" w:rsidRPr="000E133D" w:rsidRDefault="00B37E76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Titre du p</w:t>
            </w:r>
            <w:r w:rsidR="00A95667">
              <w:rPr>
                <w:b/>
                <w:bCs/>
                <w:sz w:val="20"/>
                <w:szCs w:val="20"/>
                <w:lang w:val="fr-CA" w:eastAsia="en-CA"/>
              </w:rPr>
              <w:t>rojet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7FD98AF0" w14:textId="0E823976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D</w:t>
            </w:r>
            <w:r w:rsidR="00B37E76">
              <w:rPr>
                <w:b/>
                <w:bCs/>
                <w:sz w:val="20"/>
                <w:szCs w:val="20"/>
                <w:lang w:val="fr-CA" w:eastAsia="en-CA"/>
              </w:rPr>
              <w:t>écais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sement (%)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57B42826" w14:textId="558E0F4E" w:rsidR="000E133D" w:rsidRPr="000E133D" w:rsidRDefault="00B37E76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État</w:t>
            </w:r>
            <w:r w:rsidR="000E133D" w:rsidRPr="000E133D">
              <w:rPr>
                <w:b/>
                <w:bCs/>
                <w:sz w:val="20"/>
                <w:szCs w:val="20"/>
                <w:lang w:val="fr-CA" w:eastAsia="en-CA"/>
              </w:rPr>
              <w:t>/</w:t>
            </w:r>
            <w:r>
              <w:rPr>
                <w:b/>
                <w:bCs/>
                <w:sz w:val="20"/>
                <w:szCs w:val="20"/>
                <w:lang w:val="fr-CA" w:eastAsia="en-CA"/>
              </w:rPr>
              <w:t>Problèmes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35752986" w14:textId="039A03E4" w:rsidR="000E133D" w:rsidRPr="000E133D" w:rsidRDefault="00D0488E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Recommandation</w:t>
            </w:r>
          </w:p>
        </w:tc>
      </w:tr>
      <w:tr w:rsidR="000E133D" w:rsidRPr="0087100D" w14:paraId="36F8B711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7AD927F" w14:textId="579D676E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Algérie</w:t>
            </w:r>
          </w:p>
          <w:p w14:paraId="08DA011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ALG/PHA/66/INV/76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E694306" w14:textId="5DB9E888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A5426">
              <w:rPr>
                <w:sz w:val="20"/>
                <w:szCs w:val="20"/>
                <w:lang w:val="fr-CA" w:eastAsia="en-CA"/>
              </w:rPr>
              <w:t>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conversion </w:t>
            </w:r>
            <w:r w:rsidR="008A5426">
              <w:rPr>
                <w:sz w:val="20"/>
                <w:szCs w:val="20"/>
                <w:lang w:val="fr-CA" w:eastAsia="en-CA"/>
              </w:rPr>
              <w:t xml:space="preserve">du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HCFC-22</w:t>
            </w:r>
            <w:r w:rsidR="008A5426">
              <w:rPr>
                <w:sz w:val="20"/>
                <w:szCs w:val="20"/>
                <w:lang w:val="fr-CA" w:eastAsia="en-CA"/>
              </w:rPr>
              <w:t xml:space="preserve"> dans la fabrication de climatiseurs de salle à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Condor)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73D0B55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64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BE880AA" w14:textId="6BDE867A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19CC9DB" w14:textId="00EE3E3A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497AECAB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E93DF37" w14:textId="2A3FF10F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Algérie</w:t>
            </w:r>
          </w:p>
          <w:p w14:paraId="09E72B3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ALG/PHA/66/INV/77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4723FCB" w14:textId="170BF5CC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A5426">
              <w:rPr>
                <w:sz w:val="20"/>
                <w:szCs w:val="20"/>
                <w:lang w:val="fr-CA" w:eastAsia="en-CA"/>
              </w:rPr>
              <w:t>activités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8A5426">
              <w:rPr>
                <w:sz w:val="20"/>
                <w:szCs w:val="20"/>
                <w:lang w:val="fr-CA" w:eastAsia="en-CA"/>
              </w:rPr>
              <w:t xml:space="preserve">dans le 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8A5426">
              <w:rPr>
                <w:sz w:val="20"/>
                <w:szCs w:val="20"/>
                <w:lang w:val="fr-CA" w:eastAsia="en-CA"/>
              </w:rPr>
              <w:t xml:space="preserve">, incluant l’élimination du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HCFC-141b u</w:t>
            </w:r>
            <w:r w:rsidR="008A5426">
              <w:rPr>
                <w:sz w:val="20"/>
                <w:szCs w:val="20"/>
                <w:lang w:val="fr-CA" w:eastAsia="en-CA"/>
              </w:rPr>
              <w:t>tilisé pour le rinçage et surveillance du projet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E05FB8E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41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69041E4" w14:textId="0D07591F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73C905C" w14:textId="2B5706A3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61345DAB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BD62E65" w14:textId="7CB1ECB5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Argentine</w:t>
            </w:r>
          </w:p>
          <w:p w14:paraId="32BE9D1A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ARG/PHA/74/INV/174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59DC210" w14:textId="4F9121C1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02AD4ED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58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6375E44" w14:textId="0A77A204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5282C33" w14:textId="1CE5B752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75906370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0FA4B5A" w14:textId="42A3AAE4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Argentine</w:t>
            </w:r>
          </w:p>
          <w:p w14:paraId="0D299A8F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ARG/PHA/80/INV/184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01B11C8" w14:textId="403D61D6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A5426">
              <w:rPr>
                <w:sz w:val="20"/>
                <w:szCs w:val="20"/>
                <w:lang w:val="fr-CA" w:eastAsia="en-CA"/>
              </w:rPr>
              <w:t>secteur des mousses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985D11D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DB42CDD" w14:textId="4EEF7FFD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429E058" w14:textId="0D3C33B5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3C474FBF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1654AC6" w14:textId="6AFFFB27" w:rsidR="000E133D" w:rsidRPr="000E133D" w:rsidRDefault="000E133D" w:rsidP="00B37E76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Bahamas BHA/PHA/80/INV/25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5F24347" w14:textId="3F90E83C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A0BE137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4CC06CC" w14:textId="6457F388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(i) </w:t>
            </w:r>
            <w:r w:rsidR="00F63681">
              <w:rPr>
                <w:sz w:val="20"/>
                <w:szCs w:val="20"/>
                <w:lang w:val="fr-CA" w:eastAsia="en-CA"/>
              </w:rPr>
              <w:t xml:space="preserve">Retards de </w:t>
            </w:r>
            <w:r w:rsidRPr="000E133D">
              <w:rPr>
                <w:sz w:val="20"/>
                <w:szCs w:val="20"/>
                <w:lang w:val="fr-CA" w:eastAsia="en-CA"/>
              </w:rPr>
              <w:t>18 mo</w:t>
            </w:r>
            <w:r w:rsidR="00F63681">
              <w:rPr>
                <w:sz w:val="20"/>
                <w:szCs w:val="20"/>
                <w:lang w:val="fr-CA" w:eastAsia="en-CA"/>
              </w:rPr>
              <w:t>is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122D97DB" w14:textId="3009D339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(ii) </w:t>
            </w:r>
            <w:r w:rsidR="00F63681">
              <w:rPr>
                <w:sz w:val="20"/>
                <w:szCs w:val="20"/>
                <w:lang w:val="fr-CA" w:eastAsia="en-CA"/>
              </w:rPr>
              <w:t xml:space="preserve">Aucun décaissement en raison des modifications dans le plan de mise en œuvre 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A275491" w14:textId="7810EC53" w:rsidR="000E133D" w:rsidRPr="000E133D" w:rsidRDefault="000E133D" w:rsidP="000E133D">
            <w:pPr>
              <w:jc w:val="left"/>
              <w:rPr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Cs/>
                <w:sz w:val="20"/>
                <w:szCs w:val="20"/>
                <w:lang w:val="fr-CA" w:eastAsia="en-CA"/>
              </w:rPr>
              <w:t xml:space="preserve">(i) </w:t>
            </w:r>
            <w:r w:rsidR="00014F20" w:rsidRPr="00014F20">
              <w:rPr>
                <w:bCs/>
                <w:sz w:val="20"/>
                <w:szCs w:val="20"/>
                <w:lang w:val="fr-CA" w:eastAsia="en-CA"/>
              </w:rPr>
              <w:t>Demander à l’ONUDI de rendre compte à la 87</w:t>
            </w:r>
            <w:r w:rsidR="00014F20" w:rsidRPr="00014F20">
              <w:rPr>
                <w:bCs/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014F20" w:rsidRPr="00014F20">
              <w:rPr>
                <w:bCs/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  <w:r w:rsidRPr="000E133D">
              <w:rPr>
                <w:bCs/>
                <w:sz w:val="20"/>
                <w:szCs w:val="20"/>
                <w:lang w:val="fr-CA" w:eastAsia="en-CA"/>
              </w:rPr>
              <w:t>;</w:t>
            </w:r>
          </w:p>
          <w:p w14:paraId="51E43EBA" w14:textId="480947BB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bCs/>
                <w:sz w:val="20"/>
                <w:szCs w:val="20"/>
                <w:lang w:val="fr-CA" w:eastAsia="en-CA"/>
              </w:rPr>
              <w:t xml:space="preserve">(ii) </w:t>
            </w:r>
            <w:r w:rsidR="000A5A0B">
              <w:rPr>
                <w:bCs/>
                <w:sz w:val="20"/>
                <w:szCs w:val="20"/>
                <w:lang w:val="fr-CA" w:eastAsia="en-CA"/>
              </w:rPr>
              <w:t>Demander un rapport de situation sur l’avancement de la mise en œuvre et sur le niveau de décaissement des fonds, pour la 87</w:t>
            </w:r>
            <w:r w:rsidR="000A5A0B" w:rsidRPr="000A5A0B">
              <w:rPr>
                <w:bCs/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0A5A0B">
              <w:rPr>
                <w:bCs/>
                <w:sz w:val="20"/>
                <w:szCs w:val="20"/>
                <w:lang w:val="fr-CA" w:eastAsia="en-CA"/>
              </w:rPr>
              <w:t xml:space="preserve"> réunion </w:t>
            </w:r>
          </w:p>
        </w:tc>
      </w:tr>
      <w:tr w:rsidR="000E133D" w:rsidRPr="0087100D" w14:paraId="39330942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6CB14A0" w14:textId="1FDF4DD5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 xml:space="preserve">Bosnie-Herzégovine </w:t>
            </w:r>
          </w:p>
          <w:p w14:paraId="07E3077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BHE/PHA/72/INV/29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BA2CCDB" w14:textId="56D1D60A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A5426">
              <w:rPr>
                <w:sz w:val="20"/>
                <w:szCs w:val="20"/>
                <w:lang w:val="fr-CA" w:eastAsia="en-CA"/>
              </w:rPr>
              <w:t>activités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8A5426">
              <w:rPr>
                <w:sz w:val="20"/>
                <w:szCs w:val="20"/>
                <w:lang w:val="fr-CA" w:eastAsia="en-CA"/>
              </w:rPr>
              <w:t>dans le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8A5426">
              <w:rPr>
                <w:sz w:val="20"/>
                <w:szCs w:val="20"/>
                <w:lang w:val="fr-CA" w:eastAsia="en-CA"/>
              </w:rPr>
              <w:t>, incluant des mesures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8A5426">
              <w:rPr>
                <w:sz w:val="20"/>
                <w:szCs w:val="20"/>
                <w:lang w:val="fr-CA" w:eastAsia="en-CA"/>
              </w:rPr>
              <w:t>de politique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F99B8DD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755BED0" w14:textId="122BFBFC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F862B2B" w14:textId="329F5502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 xml:space="preserve">e </w:t>
            </w:r>
            <w:r w:rsidRPr="00014F20">
              <w:rPr>
                <w:sz w:val="20"/>
                <w:szCs w:val="20"/>
                <w:lang w:val="fr-CA" w:eastAsia="en-CA"/>
              </w:rPr>
              <w:t>réunion de ce projet avec des retards de mise en œuvre</w:t>
            </w:r>
          </w:p>
        </w:tc>
      </w:tr>
      <w:tr w:rsidR="000E133D" w:rsidRPr="0087100D" w14:paraId="64A2727B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5F6ED62" w14:textId="0AE8277A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 xml:space="preserve">Bosnie-Herzégovine </w:t>
            </w:r>
          </w:p>
          <w:p w14:paraId="1CFDC29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BHE/PHA/76/INV/33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E1EC33E" w14:textId="06473A6C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A5426">
              <w:rPr>
                <w:sz w:val="20"/>
                <w:szCs w:val="20"/>
                <w:lang w:val="fr-CA" w:eastAsia="en-CA"/>
              </w:rPr>
              <w:t>activités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8A5426">
              <w:rPr>
                <w:sz w:val="20"/>
                <w:szCs w:val="20"/>
                <w:lang w:val="fr-CA" w:eastAsia="en-CA"/>
              </w:rPr>
              <w:t>dans le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8A5426">
              <w:rPr>
                <w:sz w:val="20"/>
                <w:szCs w:val="20"/>
                <w:lang w:val="fr-CA" w:eastAsia="en-CA"/>
              </w:rPr>
              <w:t>,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8A5426">
              <w:rPr>
                <w:sz w:val="20"/>
                <w:szCs w:val="20"/>
                <w:lang w:val="fr-CA" w:eastAsia="en-CA"/>
              </w:rPr>
              <w:t>incluant des mesures de politique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D34F7B2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86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40F16CB" w14:textId="7CBB9C26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1EA4D41" w14:textId="7BC5E813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4B61617F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70EB78B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Burundi</w:t>
            </w:r>
          </w:p>
          <w:p w14:paraId="1AA427B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BDI/PHA/81/INV/37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6935CC3" w14:textId="4B4B2E8A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E5A65CD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D0055D1" w14:textId="130E4ECC" w:rsidR="000E133D" w:rsidRPr="000E133D" w:rsidRDefault="00F63681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Aucun décaissement car le paiement dû à la livraison des 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quip</w:t>
            </w:r>
            <w:r>
              <w:rPr>
                <w:sz w:val="20"/>
                <w:szCs w:val="20"/>
                <w:lang w:val="fr-CA" w:eastAsia="en-CA"/>
              </w:rPr>
              <w:t>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ment</w:t>
            </w:r>
            <w:r>
              <w:rPr>
                <w:sz w:val="20"/>
                <w:szCs w:val="20"/>
                <w:lang w:val="fr-CA" w:eastAsia="en-CA"/>
              </w:rPr>
              <w:t>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 xml:space="preserve">est attendu en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2020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0E925F1" w14:textId="4D58C9DF" w:rsidR="000E133D" w:rsidRPr="000E133D" w:rsidRDefault="00763FD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bCs/>
                <w:sz w:val="20"/>
                <w:szCs w:val="20"/>
                <w:lang w:val="fr-CA" w:eastAsia="en-CA"/>
              </w:rPr>
              <w:t xml:space="preserve">Demander un rapport de situation </w:t>
            </w:r>
            <w:r>
              <w:rPr>
                <w:sz w:val="20"/>
                <w:szCs w:val="20"/>
                <w:lang w:val="fr-CA" w:eastAsia="en-CA"/>
              </w:rPr>
              <w:t>sur le niveau de décaissement des fonds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0A5A0B" w:rsidRPr="000A5A0B">
              <w:rPr>
                <w:sz w:val="20"/>
                <w:szCs w:val="20"/>
                <w:lang w:val="fr-CA" w:eastAsia="en-CA"/>
              </w:rPr>
              <w:t>pour la 87</w:t>
            </w:r>
            <w:r w:rsidR="000A5A0B" w:rsidRPr="000A5A0B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0A5A0B" w:rsidRPr="000A5A0B">
              <w:rPr>
                <w:sz w:val="20"/>
                <w:szCs w:val="20"/>
                <w:lang w:val="fr-CA" w:eastAsia="en-CA"/>
              </w:rPr>
              <w:t xml:space="preserve"> réunion</w:t>
            </w:r>
          </w:p>
        </w:tc>
      </w:tr>
      <w:tr w:rsidR="000E133D" w:rsidRPr="0087100D" w14:paraId="5B234C33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1E621E5" w14:textId="15E5F715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Camero</w:t>
            </w:r>
            <w:r w:rsidR="00B37E76">
              <w:rPr>
                <w:sz w:val="20"/>
                <w:szCs w:val="20"/>
                <w:lang w:val="fr-CA" w:eastAsia="en-CA"/>
              </w:rPr>
              <w:t>u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n </w:t>
            </w:r>
          </w:p>
          <w:p w14:paraId="24AF497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CMR/PHA/82/INV/45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3A192F9" w14:textId="2D42F726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8903E44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0B16814" w14:textId="0C58A8EE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0F2BC01" w14:textId="6FC996FA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2CFA510B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42F388F" w14:textId="6FBB75F3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Chine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5299C5B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CPR/PHA/64/INV/513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04258B0" w14:textId="25E82729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 w:rsidR="008A5426">
              <w:rPr>
                <w:sz w:val="20"/>
                <w:szCs w:val="20"/>
                <w:lang w:val="fr-CA" w:eastAsia="en-CA"/>
              </w:rPr>
              <w:t>plan pour le secteur de la fabrication de climatiseurs de salle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C515106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69E1B0A" w14:textId="25C1AA8B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A800987" w14:textId="046E067F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4442FFE9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A03D409" w14:textId="3D0557EE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Chine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1FEA2A39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CPR/PHA/68/INV/524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5629516" w14:textId="4911B7F3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A5426">
              <w:rPr>
                <w:sz w:val="20"/>
                <w:szCs w:val="20"/>
                <w:lang w:val="fr-CA" w:eastAsia="en-CA"/>
              </w:rPr>
              <w:t>plan pour le secteur de la fabrication de climatiseurs de salle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1FE58AA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59C4C58" w14:textId="6AD74F21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829BCF7" w14:textId="3F8BF65E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523B1336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9605F9D" w14:textId="726382A7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Chine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6140FF4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CPR/PHA/71/INV/536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58EEAB7" w14:textId="48F0099D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A5426">
              <w:rPr>
                <w:sz w:val="20"/>
                <w:szCs w:val="20"/>
                <w:lang w:val="fr-CA" w:eastAsia="en-CA"/>
              </w:rPr>
              <w:t>plan pour le secteur de la fabrication de climatiseurs de salle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6CF3BBC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733592F" w14:textId="60DFDD69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7F161A1" w14:textId="4A0190A4" w:rsidR="000E133D" w:rsidRPr="00014F20" w:rsidRDefault="00014F20" w:rsidP="000E133D">
            <w:pPr>
              <w:jc w:val="left"/>
              <w:rPr>
                <w:sz w:val="20"/>
                <w:szCs w:val="20"/>
                <w:vertAlign w:val="superscript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295B0E5D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F5CE186" w14:textId="5E1249F7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Chine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6944A28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CPR/PHA/73/INV/548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91BEE83" w14:textId="217DF6EF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8A5426">
              <w:rPr>
                <w:sz w:val="20"/>
                <w:szCs w:val="20"/>
                <w:lang w:val="fr-CA" w:eastAsia="en-CA"/>
              </w:rPr>
              <w:t>quatrième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A5426">
              <w:rPr>
                <w:sz w:val="20"/>
                <w:szCs w:val="20"/>
                <w:lang w:val="fr-CA" w:eastAsia="en-CA"/>
              </w:rPr>
              <w:t>plan pour le secteur de la fabrication de climatiseurs de salle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F99C66C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95DE4DE" w14:textId="6D0D4ACB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221E500" w14:textId="0FFB24FE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7921296D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542C5B3" w14:textId="3B2814D8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Chine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0DA73B8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CPR/PHA/75/INV/564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3A42354" w14:textId="3F431FF2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8A5426">
              <w:rPr>
                <w:sz w:val="20"/>
                <w:szCs w:val="20"/>
                <w:lang w:val="fr-CA" w:eastAsia="en-CA"/>
              </w:rPr>
              <w:t>cinquième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A5426">
              <w:rPr>
                <w:sz w:val="20"/>
                <w:szCs w:val="20"/>
                <w:lang w:val="fr-CA" w:eastAsia="en-CA"/>
              </w:rPr>
              <w:t>plan pour le secteur de la fabrication de climatiseurs de salle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AEC3392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2832AA7" w14:textId="0D274047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D080E80" w14:textId="67F7DB36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18F9A275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83F2E24" w14:textId="23B04FCA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Chine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7AD9D22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CPR/PRO/73/INV/552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15FE90E" w14:textId="167154A0" w:rsidR="000E133D" w:rsidRPr="000E133D" w:rsidRDefault="000D60BC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lan </w:t>
            </w:r>
            <w:r>
              <w:rPr>
                <w:sz w:val="20"/>
                <w:szCs w:val="20"/>
                <w:lang w:val="fr-CA" w:eastAsia="en-CA"/>
              </w:rPr>
              <w:t>pour le secteur de la production de bromure de méthyle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 w:rsidR="008A5426">
              <w:rPr>
                <w:sz w:val="20"/>
                <w:szCs w:val="20"/>
                <w:lang w:val="fr-CA" w:eastAsia="en-CA"/>
              </w:rPr>
              <w:t>quatrième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77C6B45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B2BFDD8" w14:textId="7767A56B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1B64820" w14:textId="139333F8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7A300761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BDA2A23" w14:textId="0D4E71D6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</w:t>
            </w:r>
            <w:r w:rsidR="00B37E76">
              <w:rPr>
                <w:sz w:val="20"/>
                <w:szCs w:val="20"/>
                <w:lang w:val="fr-CA" w:eastAsia="en-CA"/>
              </w:rPr>
              <w:t>ô</w:t>
            </w:r>
            <w:r w:rsidRPr="000E133D">
              <w:rPr>
                <w:sz w:val="20"/>
                <w:szCs w:val="20"/>
                <w:lang w:val="fr-CA" w:eastAsia="en-CA"/>
              </w:rPr>
              <w:t>te d’Ivoire</w:t>
            </w:r>
          </w:p>
          <w:p w14:paraId="3B8F4D11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IVC/PHA/66/INV/36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38C628A" w14:textId="6FB28560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BAD080C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81A8BDF" w14:textId="62D34560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D74F036" w14:textId="09CB023E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57988735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F98042F" w14:textId="4FFC4EBE" w:rsidR="000E133D" w:rsidRPr="000E133D" w:rsidRDefault="00B37E76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République populaire démocratique de Corée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25E540F0" w14:textId="77777777" w:rsidR="000E133D" w:rsidRPr="000E133D" w:rsidRDefault="000E133D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DRK/PHA/73/INV/59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6F90410" w14:textId="067C40AF" w:rsidR="000E133D" w:rsidRPr="000E133D" w:rsidRDefault="004B456E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0D60BC">
              <w:rPr>
                <w:sz w:val="20"/>
                <w:szCs w:val="20"/>
                <w:lang w:val="fr-CA" w:eastAsia="en-CA"/>
              </w:rPr>
              <w:t xml:space="preserve">élimination du 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HCFC-141b </w:t>
            </w:r>
            <w:r w:rsidR="000D60BC">
              <w:rPr>
                <w:sz w:val="20"/>
                <w:szCs w:val="20"/>
                <w:lang w:val="fr-CA" w:eastAsia="en-CA"/>
              </w:rPr>
              <w:t xml:space="preserve">dans le secteur des mousses de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polyur</w:t>
            </w:r>
            <w:r w:rsidR="000D60BC"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thane </w:t>
            </w:r>
            <w:r w:rsidR="000D60BC">
              <w:rPr>
                <w:sz w:val="20"/>
                <w:szCs w:val="20"/>
                <w:lang w:val="fr-CA" w:eastAsia="en-CA"/>
              </w:rPr>
              <w:t>à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Pyongyang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Sonbong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0D60BC">
              <w:rPr>
                <w:sz w:val="20"/>
                <w:szCs w:val="20"/>
                <w:lang w:val="fr-CA" w:eastAsia="en-CA"/>
              </w:rPr>
              <w:t>et à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Puhung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Building Materials)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A1DC196" w14:textId="77777777" w:rsidR="000E133D" w:rsidRPr="000E133D" w:rsidRDefault="000E133D" w:rsidP="000E133D">
            <w:pPr>
              <w:keepNext/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</w:t>
            </w:r>
          </w:p>
        </w:tc>
        <w:tc>
          <w:tcPr>
            <w:tcW w:w="340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62988749" w14:textId="209A0550" w:rsidR="000E133D" w:rsidRPr="000E133D" w:rsidRDefault="000E133D" w:rsidP="000E133D">
            <w:pPr>
              <w:keepNext/>
              <w:jc w:val="left"/>
              <w:rPr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Cs/>
                <w:sz w:val="20"/>
                <w:szCs w:val="20"/>
                <w:lang w:val="fr-CA" w:eastAsia="en-CA"/>
              </w:rPr>
              <w:t xml:space="preserve">(i) </w:t>
            </w:r>
            <w:r w:rsidR="008A5426">
              <w:rPr>
                <w:bCs/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bCs/>
                <w:sz w:val="20"/>
                <w:szCs w:val="20"/>
                <w:lang w:val="fr-CA" w:eastAsia="en-CA"/>
              </w:rPr>
              <w:t>etards de 12 mois</w:t>
            </w:r>
            <w:r w:rsidRPr="000E133D">
              <w:rPr>
                <w:bCs/>
                <w:sz w:val="20"/>
                <w:szCs w:val="20"/>
                <w:lang w:val="fr-CA" w:eastAsia="en-CA"/>
              </w:rPr>
              <w:t>;</w:t>
            </w:r>
          </w:p>
          <w:p w14:paraId="108AD5A9" w14:textId="4D299000" w:rsidR="000E133D" w:rsidRPr="000E133D" w:rsidRDefault="000E133D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bCs/>
                <w:sz w:val="20"/>
                <w:szCs w:val="20"/>
                <w:lang w:val="fr-CA" w:eastAsia="en-CA"/>
              </w:rPr>
              <w:t xml:space="preserve">(ii) </w:t>
            </w:r>
            <w:r w:rsidR="00F63681">
              <w:rPr>
                <w:bCs/>
                <w:sz w:val="20"/>
                <w:szCs w:val="20"/>
                <w:lang w:val="fr-CA" w:eastAsia="en-CA"/>
              </w:rPr>
              <w:t>Mise en œuvre sujette à des résolutions du Conseil de sécurité des Nations Unies (CSNU)</w:t>
            </w:r>
          </w:p>
        </w:tc>
        <w:tc>
          <w:tcPr>
            <w:tcW w:w="396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39337B94" w14:textId="7AA8FF56" w:rsidR="000E133D" w:rsidRPr="000E133D" w:rsidRDefault="000E133D" w:rsidP="000E133D">
            <w:pPr>
              <w:keepNext/>
              <w:jc w:val="left"/>
              <w:rPr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Cs/>
                <w:sz w:val="20"/>
                <w:szCs w:val="20"/>
                <w:lang w:val="fr-CA" w:eastAsia="en-CA"/>
              </w:rPr>
              <w:t xml:space="preserve">(i) </w:t>
            </w:r>
            <w:r w:rsidR="00014F20" w:rsidRPr="00014F20">
              <w:rPr>
                <w:bCs/>
                <w:sz w:val="20"/>
                <w:szCs w:val="20"/>
                <w:lang w:val="fr-CA" w:eastAsia="en-CA"/>
              </w:rPr>
              <w:t>Demander à l’ONUDI de rendre compte à la 87</w:t>
            </w:r>
            <w:r w:rsidR="00014F20" w:rsidRPr="00014F20">
              <w:rPr>
                <w:bCs/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014F20" w:rsidRPr="00014F20">
              <w:rPr>
                <w:bCs/>
                <w:sz w:val="20"/>
                <w:szCs w:val="20"/>
                <w:lang w:val="fr-CA" w:eastAsia="en-CA"/>
              </w:rPr>
              <w:t xml:space="preserve"> réunion de ce</w:t>
            </w:r>
            <w:r w:rsidR="00014F20">
              <w:rPr>
                <w:bCs/>
                <w:sz w:val="20"/>
                <w:szCs w:val="20"/>
                <w:lang w:val="fr-CA" w:eastAsia="en-CA"/>
              </w:rPr>
              <w:t>s</w:t>
            </w:r>
            <w:r w:rsidR="00014F20" w:rsidRPr="00014F20">
              <w:rPr>
                <w:bCs/>
                <w:sz w:val="20"/>
                <w:szCs w:val="20"/>
                <w:lang w:val="fr-CA" w:eastAsia="en-CA"/>
              </w:rPr>
              <w:t xml:space="preserve"> projet</w:t>
            </w:r>
            <w:r w:rsidR="00014F20">
              <w:rPr>
                <w:bCs/>
                <w:sz w:val="20"/>
                <w:szCs w:val="20"/>
                <w:lang w:val="fr-CA" w:eastAsia="en-CA"/>
              </w:rPr>
              <w:t>s</w:t>
            </w:r>
            <w:r w:rsidR="00014F20" w:rsidRPr="00014F20">
              <w:rPr>
                <w:bCs/>
                <w:sz w:val="20"/>
                <w:szCs w:val="20"/>
                <w:lang w:val="fr-CA" w:eastAsia="en-CA"/>
              </w:rPr>
              <w:t xml:space="preserve"> avec des retards de mise en œuvre</w:t>
            </w:r>
            <w:r w:rsidRPr="000E133D">
              <w:rPr>
                <w:bCs/>
                <w:sz w:val="20"/>
                <w:szCs w:val="20"/>
                <w:lang w:val="fr-CA" w:eastAsia="en-CA"/>
              </w:rPr>
              <w:t>;</w:t>
            </w:r>
          </w:p>
          <w:p w14:paraId="0718A5AD" w14:textId="5245DF1C" w:rsidR="000E133D" w:rsidRPr="000E133D" w:rsidRDefault="000E133D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bCs/>
                <w:sz w:val="20"/>
                <w:szCs w:val="20"/>
                <w:lang w:val="fr-CA" w:eastAsia="en-CA"/>
              </w:rPr>
              <w:t xml:space="preserve">(ii) </w:t>
            </w:r>
            <w:r w:rsidR="00763FDD" w:rsidRPr="00763FDD">
              <w:rPr>
                <w:bCs/>
                <w:sz w:val="20"/>
                <w:szCs w:val="20"/>
                <w:lang w:val="fr-CA" w:eastAsia="en-CA"/>
              </w:rPr>
              <w:t xml:space="preserve">Demander un rapport de situation </w:t>
            </w:r>
            <w:r w:rsidR="000A5A0B" w:rsidRPr="000A5A0B">
              <w:rPr>
                <w:bCs/>
                <w:sz w:val="20"/>
                <w:szCs w:val="20"/>
                <w:lang w:val="fr-CA" w:eastAsia="en-CA"/>
              </w:rPr>
              <w:t>sur l’avancement de la mise en œuvre, incluant les mises à jour sur la reprise des activités</w:t>
            </w:r>
            <w:r w:rsidR="000A5A0B">
              <w:rPr>
                <w:bCs/>
                <w:sz w:val="20"/>
                <w:szCs w:val="20"/>
                <w:lang w:val="fr-CA" w:eastAsia="en-CA"/>
              </w:rPr>
              <w:t>,</w:t>
            </w:r>
            <w:r w:rsidR="000A5A0B" w:rsidRPr="000A5A0B">
              <w:rPr>
                <w:bCs/>
                <w:sz w:val="20"/>
                <w:szCs w:val="20"/>
                <w:lang w:val="fr-CA" w:eastAsia="en-CA"/>
              </w:rPr>
              <w:t xml:space="preserve"> </w:t>
            </w:r>
            <w:r w:rsidR="00763FDD" w:rsidRPr="00763FDD">
              <w:rPr>
                <w:bCs/>
                <w:sz w:val="20"/>
                <w:szCs w:val="20"/>
                <w:lang w:val="fr-CA" w:eastAsia="en-CA"/>
              </w:rPr>
              <w:t xml:space="preserve">pour la 87e réunion </w:t>
            </w:r>
          </w:p>
        </w:tc>
      </w:tr>
      <w:tr w:rsidR="000E133D" w:rsidRPr="000E133D" w14:paraId="7D888598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187E049" w14:textId="5DCB0143" w:rsidR="000E133D" w:rsidRPr="000E133D" w:rsidRDefault="00B37E76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République populaire démocratique de Corée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24B416CE" w14:textId="77777777" w:rsidR="000E133D" w:rsidRPr="000E133D" w:rsidRDefault="000E133D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DRK/PHA/73/TAS/60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BDB9ED9" w14:textId="5A7254E5" w:rsidR="000E133D" w:rsidRPr="000E133D" w:rsidRDefault="004B456E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B37E76">
              <w:rPr>
                <w:sz w:val="20"/>
                <w:szCs w:val="20"/>
                <w:lang w:val="fr-CA" w:eastAsia="en-CA"/>
              </w:rPr>
              <w:t>entretien en réfrigération et surveillance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369C5A6" w14:textId="77777777" w:rsidR="000E133D" w:rsidRPr="000E133D" w:rsidRDefault="000E133D" w:rsidP="000E133D">
            <w:pPr>
              <w:keepNext/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89</w:t>
            </w:r>
          </w:p>
        </w:tc>
        <w:tc>
          <w:tcPr>
            <w:tcW w:w="340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2BD02A7A" w14:textId="77777777" w:rsidR="000E133D" w:rsidRPr="000E133D" w:rsidRDefault="000E133D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396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6BFA547F" w14:textId="77777777" w:rsidR="000E133D" w:rsidRPr="000E133D" w:rsidRDefault="000E133D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</w:p>
        </w:tc>
      </w:tr>
      <w:tr w:rsidR="000E133D" w:rsidRPr="000E133D" w14:paraId="4A8B98E5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97A02FD" w14:textId="0772E515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République populaire démocratique de Corée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58D19DF8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DRK/PHA/75/INV/62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CA608E2" w14:textId="407FF1FA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0D60BC" w:rsidRPr="000D60BC">
              <w:rPr>
                <w:sz w:val="20"/>
                <w:szCs w:val="20"/>
                <w:lang w:val="fr-CA" w:eastAsia="en-CA"/>
              </w:rPr>
              <w:t xml:space="preserve">élimination du HCFC-141b dans le secteur des mousses de polyuréthane à Pyongyang </w:t>
            </w:r>
            <w:proofErr w:type="spellStart"/>
            <w:r w:rsidR="000D60BC" w:rsidRPr="000D60BC">
              <w:rPr>
                <w:sz w:val="20"/>
                <w:szCs w:val="20"/>
                <w:lang w:val="fr-CA" w:eastAsia="en-CA"/>
              </w:rPr>
              <w:t>Sonbong</w:t>
            </w:r>
            <w:proofErr w:type="spellEnd"/>
            <w:r w:rsidR="000D60BC" w:rsidRPr="000D60BC">
              <w:rPr>
                <w:sz w:val="20"/>
                <w:szCs w:val="20"/>
                <w:lang w:val="fr-CA" w:eastAsia="en-CA"/>
              </w:rPr>
              <w:t xml:space="preserve"> et à </w:t>
            </w:r>
            <w:proofErr w:type="spellStart"/>
            <w:r w:rsidR="000D60BC" w:rsidRPr="000D60BC">
              <w:rPr>
                <w:sz w:val="20"/>
                <w:szCs w:val="20"/>
                <w:lang w:val="fr-CA" w:eastAsia="en-CA"/>
              </w:rPr>
              <w:t>Puhung</w:t>
            </w:r>
            <w:proofErr w:type="spellEnd"/>
            <w:r w:rsidR="000D60BC" w:rsidRPr="000D60BC">
              <w:rPr>
                <w:sz w:val="20"/>
                <w:szCs w:val="20"/>
                <w:lang w:val="fr-CA" w:eastAsia="en-CA"/>
              </w:rPr>
              <w:t xml:space="preserve"> Building Materials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8AFC57C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24</w:t>
            </w:r>
          </w:p>
        </w:tc>
        <w:tc>
          <w:tcPr>
            <w:tcW w:w="340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5A37D16E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396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2A6A4952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</w:tr>
      <w:tr w:rsidR="000E133D" w:rsidRPr="000E133D" w14:paraId="1DAB782B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8755551" w14:textId="1D659BFA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République populaire démocratique de Corée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7856F33E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DRK/PHA/77/INV/64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ABE842A" w14:textId="55A3D7A0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(poli</w:t>
            </w:r>
            <w:r w:rsidR="000D60BC">
              <w:rPr>
                <w:sz w:val="20"/>
                <w:szCs w:val="20"/>
                <w:lang w:val="fr-CA" w:eastAsia="en-CA"/>
              </w:rPr>
              <w:t>tique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, </w:t>
            </w:r>
            <w:r w:rsidR="00B37E76">
              <w:rPr>
                <w:sz w:val="20"/>
                <w:szCs w:val="20"/>
                <w:lang w:val="fr-CA" w:eastAsia="en-CA"/>
              </w:rPr>
              <w:t>entretien en réfrigération et surveillance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9E115CD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340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0B0E2B7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396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39A5835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</w:tr>
      <w:tr w:rsidR="000E133D" w:rsidRPr="0087100D" w14:paraId="4DCE04D2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62DD6DF" w14:textId="7B8AEC3F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Égypte</w:t>
            </w:r>
          </w:p>
          <w:p w14:paraId="37990D4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EGY/PHA/79/INV/133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59EC4E5" w14:textId="25BD002D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0D60BC">
              <w:rPr>
                <w:sz w:val="20"/>
                <w:szCs w:val="20"/>
                <w:lang w:val="fr-CA" w:eastAsia="en-CA"/>
              </w:rPr>
              <w:t xml:space="preserve">secteur des mousses de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polyur</w:t>
            </w:r>
            <w:r w:rsidR="000D60BC"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thane)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6F43AD7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282260B" w14:textId="2D918375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A5426">
              <w:rPr>
                <w:sz w:val="20"/>
                <w:szCs w:val="20"/>
                <w:lang w:val="fr-CA" w:eastAsia="en-CA"/>
              </w:rPr>
              <w:t>Retards de 1</w:t>
            </w:r>
            <w:r>
              <w:rPr>
                <w:sz w:val="20"/>
                <w:szCs w:val="20"/>
                <w:lang w:val="fr-CA" w:eastAsia="en-CA"/>
              </w:rPr>
              <w:t>8</w:t>
            </w:r>
            <w:r w:rsidRPr="008A5426">
              <w:rPr>
                <w:sz w:val="20"/>
                <w:szCs w:val="20"/>
                <w:lang w:val="fr-CA" w:eastAsia="en-CA"/>
              </w:rPr>
              <w:t xml:space="preserve">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5FA48F6" w14:textId="1CBE7073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1295A665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39BC500" w14:textId="6C85EEEE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Égypte</w:t>
            </w:r>
          </w:p>
          <w:p w14:paraId="39E1939A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EGY/PHA/82/INV/140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DE84580" w14:textId="13FD90D6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8A5426">
              <w:rPr>
                <w:sz w:val="20"/>
                <w:szCs w:val="20"/>
                <w:lang w:val="fr-CA" w:eastAsia="en-CA"/>
              </w:rPr>
              <w:t>activités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0D60BC">
              <w:rPr>
                <w:sz w:val="20"/>
                <w:szCs w:val="20"/>
                <w:lang w:val="fr-CA" w:eastAsia="en-CA"/>
              </w:rPr>
              <w:t xml:space="preserve">de facilitation dans le secteur de la </w:t>
            </w:r>
            <w:r w:rsidR="000D60BC" w:rsidRPr="000E133D">
              <w:rPr>
                <w:sz w:val="20"/>
                <w:szCs w:val="20"/>
                <w:lang w:val="fr-CA" w:eastAsia="en-CA"/>
              </w:rPr>
              <w:t>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0D60BC">
              <w:rPr>
                <w:sz w:val="20"/>
                <w:szCs w:val="20"/>
                <w:lang w:val="fr-CA" w:eastAsia="en-CA"/>
              </w:rPr>
              <w:t>et de la climatisation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2BF0F12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37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6B221FF" w14:textId="2B98461A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ACF023D" w14:textId="32C38DB7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2C9F6859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21D2811" w14:textId="1C79C603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Érythrée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0396D092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ERI/PHA/84/PRP/18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BCC33F3" w14:textId="12BF285E" w:rsidR="000E133D" w:rsidRPr="000E133D" w:rsidRDefault="000D60BC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Préparation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d’un p</w:t>
            </w:r>
            <w:r w:rsidR="004B456E">
              <w:rPr>
                <w:sz w:val="20"/>
                <w:szCs w:val="20"/>
                <w:lang w:val="fr-CA" w:eastAsia="en-CA"/>
              </w:rPr>
              <w:t>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 w:rsidR="004B456E"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3F1D2FB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F37E1FE" w14:textId="5BC19E02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Activités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F63681">
              <w:rPr>
                <w:sz w:val="20"/>
                <w:szCs w:val="20"/>
                <w:lang w:val="fr-CA" w:eastAsia="en-CA"/>
              </w:rPr>
              <w:t xml:space="preserve">retardées dû à l’absence de réponse de l’unité nationale de l’ozone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(</w:t>
            </w:r>
            <w:r w:rsidR="00F63681">
              <w:rPr>
                <w:sz w:val="20"/>
                <w:szCs w:val="20"/>
                <w:lang w:val="fr-CA" w:eastAsia="en-CA"/>
              </w:rPr>
              <w:t>U</w:t>
            </w:r>
            <w:r w:rsidR="000E133D" w:rsidRPr="000E133D">
              <w:rPr>
                <w:sz w:val="20"/>
                <w:szCs w:val="20"/>
                <w:lang w:val="fr-CA" w:eastAsia="en-CA"/>
              </w:rPr>
              <w:t>NO)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DE59C06" w14:textId="607DC2BC" w:rsidR="000E133D" w:rsidRPr="000E133D" w:rsidRDefault="00763FD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bCs/>
                <w:sz w:val="20"/>
                <w:szCs w:val="20"/>
                <w:lang w:val="fr-CA" w:eastAsia="en-CA"/>
              </w:rPr>
              <w:t xml:space="preserve">Demander un rapport de situation </w:t>
            </w:r>
            <w:r w:rsidR="000A5A0B" w:rsidRPr="000A5A0B">
              <w:rPr>
                <w:bCs/>
                <w:sz w:val="20"/>
                <w:szCs w:val="20"/>
                <w:lang w:val="fr-CA" w:eastAsia="en-CA"/>
              </w:rPr>
              <w:t>sur l’avancement de la préparation de la phase II</w:t>
            </w:r>
            <w:r w:rsidR="000A5A0B">
              <w:rPr>
                <w:bCs/>
                <w:sz w:val="20"/>
                <w:szCs w:val="20"/>
                <w:lang w:val="fr-CA" w:eastAsia="en-CA"/>
              </w:rPr>
              <w:t>,</w:t>
            </w:r>
            <w:r w:rsidR="000A5A0B" w:rsidRPr="000A5A0B">
              <w:rPr>
                <w:bCs/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bCs/>
                <w:sz w:val="20"/>
                <w:szCs w:val="20"/>
                <w:lang w:val="fr-CA" w:eastAsia="en-CA"/>
              </w:rPr>
              <w:t xml:space="preserve">pour la </w:t>
            </w:r>
            <w:r w:rsidR="000E133D" w:rsidRPr="000E133D">
              <w:rPr>
                <w:bCs/>
                <w:sz w:val="20"/>
                <w:szCs w:val="20"/>
                <w:lang w:val="fr-CA" w:eastAsia="en-CA"/>
              </w:rPr>
              <w:t>87</w:t>
            </w:r>
            <w:r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D0488E">
              <w:rPr>
                <w:sz w:val="20"/>
                <w:szCs w:val="20"/>
                <w:lang w:val="fr-CA" w:eastAsia="en-CA"/>
              </w:rPr>
              <w:t>réunion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</w:tc>
      </w:tr>
      <w:tr w:rsidR="000E133D" w:rsidRPr="0087100D" w14:paraId="26D97B96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A72F3D2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Gabon </w:t>
            </w:r>
          </w:p>
          <w:p w14:paraId="2700C929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GAB/PHA/79/INV/34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431E5C3" w14:textId="3EB3A3B9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94848B2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519D339" w14:textId="5CD6697F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A5426">
              <w:rPr>
                <w:sz w:val="20"/>
                <w:szCs w:val="20"/>
                <w:lang w:val="fr-CA" w:eastAsia="en-CA"/>
              </w:rPr>
              <w:t>Retards de 1</w:t>
            </w:r>
            <w:r>
              <w:rPr>
                <w:sz w:val="20"/>
                <w:szCs w:val="20"/>
                <w:lang w:val="fr-CA" w:eastAsia="en-CA"/>
              </w:rPr>
              <w:t>8</w:t>
            </w:r>
            <w:r w:rsidRPr="008A5426">
              <w:rPr>
                <w:sz w:val="20"/>
                <w:szCs w:val="20"/>
                <w:lang w:val="fr-CA" w:eastAsia="en-CA"/>
              </w:rPr>
              <w:t xml:space="preserve">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AC8DD2B" w14:textId="609ED299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2DE0ECC2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066EF7B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Iraq</w:t>
            </w:r>
          </w:p>
          <w:p w14:paraId="07FDE7D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IRQ/PHA/58/INV/09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2B34E97" w14:textId="4682C33F" w:rsidR="000E133D" w:rsidRPr="000E133D" w:rsidRDefault="000D60BC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national d’élimination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3DABCE8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89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98DD482" w14:textId="4A2C1911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11E2E3E" w14:textId="45F60BB0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086C3F0B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8E7A3D2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Iraq</w:t>
            </w:r>
          </w:p>
          <w:p w14:paraId="598484DB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IRQ/PHA/73/PRP/19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BE9B008" w14:textId="7F8FD115" w:rsidR="000E133D" w:rsidRPr="000E133D" w:rsidRDefault="000D60BC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Préparation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d’un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p</w:t>
            </w:r>
            <w:r w:rsidR="004B456E">
              <w:rPr>
                <w:sz w:val="20"/>
                <w:szCs w:val="20"/>
                <w:lang w:val="fr-CA" w:eastAsia="en-CA"/>
              </w:rPr>
              <w:t>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 w:rsidR="004B456E"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F130104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48</w:t>
            </w:r>
          </w:p>
        </w:tc>
        <w:tc>
          <w:tcPr>
            <w:tcW w:w="340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771AD5AF" w14:textId="790DFBD8" w:rsidR="000E133D" w:rsidRPr="000E133D" w:rsidRDefault="00F63681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bCs/>
                <w:sz w:val="20"/>
                <w:szCs w:val="20"/>
                <w:lang w:val="fr-CA" w:eastAsia="en-CA"/>
              </w:rPr>
              <w:t>La p</w:t>
            </w:r>
            <w:r w:rsidR="004B456E">
              <w:rPr>
                <w:bCs/>
                <w:sz w:val="20"/>
                <w:szCs w:val="20"/>
                <w:lang w:val="fr-CA" w:eastAsia="en-CA"/>
              </w:rPr>
              <w:t>hase</w:t>
            </w:r>
            <w:r w:rsidR="000E133D" w:rsidRPr="000E133D">
              <w:rPr>
                <w:bCs/>
                <w:sz w:val="20"/>
                <w:szCs w:val="20"/>
                <w:lang w:val="fr-CA" w:eastAsia="en-CA"/>
              </w:rPr>
              <w:t xml:space="preserve"> II </w:t>
            </w:r>
            <w:r>
              <w:rPr>
                <w:bCs/>
                <w:sz w:val="20"/>
                <w:szCs w:val="20"/>
                <w:lang w:val="fr-CA" w:eastAsia="en-CA"/>
              </w:rPr>
              <w:t xml:space="preserve">a été soumise à la </w:t>
            </w:r>
            <w:r w:rsidR="000E133D" w:rsidRPr="000E133D">
              <w:rPr>
                <w:bCs/>
                <w:sz w:val="20"/>
                <w:szCs w:val="20"/>
                <w:lang w:val="fr-CA" w:eastAsia="en-CA"/>
              </w:rPr>
              <w:t>85</w:t>
            </w:r>
            <w:r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 </w:t>
            </w:r>
            <w:r w:rsidR="00D0488E">
              <w:rPr>
                <w:sz w:val="20"/>
                <w:szCs w:val="20"/>
                <w:lang w:val="fr-CA" w:eastAsia="en-CA"/>
              </w:rPr>
              <w:t>réunion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 xml:space="preserve">puis retirée par la suite aux fins de soumission après l’achèvement de la </w:t>
            </w:r>
            <w:r w:rsidR="004B456E"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</w:t>
            </w:r>
          </w:p>
        </w:tc>
        <w:tc>
          <w:tcPr>
            <w:tcW w:w="396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5B84959B" w14:textId="359617C7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bCs/>
                <w:sz w:val="20"/>
                <w:szCs w:val="20"/>
                <w:lang w:val="fr-CA" w:eastAsia="en-CA"/>
              </w:rPr>
              <w:t xml:space="preserve">) Demander un rapport de situation </w:t>
            </w:r>
            <w:r w:rsidR="000A5A0B" w:rsidRPr="000A5A0B">
              <w:rPr>
                <w:bCs/>
                <w:sz w:val="20"/>
                <w:szCs w:val="20"/>
                <w:lang w:val="fr-CA" w:eastAsia="en-CA"/>
              </w:rPr>
              <w:t xml:space="preserve">sur la soumission de la phase II </w:t>
            </w:r>
            <w:r w:rsidRPr="00014F20">
              <w:rPr>
                <w:bCs/>
                <w:sz w:val="20"/>
                <w:szCs w:val="20"/>
                <w:lang w:val="fr-CA" w:eastAsia="en-CA"/>
              </w:rPr>
              <w:t>pour la 87</w:t>
            </w:r>
            <w:r w:rsidRPr="00014F20">
              <w:rPr>
                <w:bCs/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bCs/>
                <w:sz w:val="20"/>
                <w:szCs w:val="20"/>
                <w:lang w:val="fr-CA" w:eastAsia="en-CA"/>
              </w:rPr>
              <w:t xml:space="preserve"> réunion </w:t>
            </w:r>
          </w:p>
        </w:tc>
      </w:tr>
      <w:tr w:rsidR="000E133D" w:rsidRPr="000E133D" w14:paraId="4C4C6D5F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BBB3368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Iraq</w:t>
            </w:r>
          </w:p>
          <w:p w14:paraId="17AFEF48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IRQ/REF/73/PRP/20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37B501B" w14:textId="34DBCC0C" w:rsidR="000E133D" w:rsidRPr="000E133D" w:rsidRDefault="000D60BC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Préparation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 xml:space="preserve">d’activités d’investissement pour l’élimination de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HCFC (</w:t>
            </w:r>
            <w:r w:rsidR="004B456E"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II) (</w:t>
            </w:r>
            <w:r>
              <w:rPr>
                <w:sz w:val="20"/>
                <w:szCs w:val="20"/>
                <w:lang w:val="fr-CA" w:eastAsia="en-CA"/>
              </w:rPr>
              <w:t>secteur de la climatisation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CBD096E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3B1F90D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396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45042D58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</w:tr>
      <w:tr w:rsidR="000E133D" w:rsidRPr="0087100D" w14:paraId="14D7476B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B0CBEA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Iraq</w:t>
            </w:r>
          </w:p>
          <w:p w14:paraId="22FA46FD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IRQ/PHA/74/INV/23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6820E3B" w14:textId="75D4D8A4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668E1B8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0A84C73" w14:textId="3B1B3330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389B450" w14:textId="052B9394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5611D39B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1DB8BFF" w14:textId="642EB89B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Jordanie</w:t>
            </w:r>
          </w:p>
          <w:p w14:paraId="7E966AFB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JOR/PHA/77/INV/100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B932BF9" w14:textId="4ADF4A34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0D60BC">
              <w:rPr>
                <w:sz w:val="20"/>
                <w:szCs w:val="20"/>
                <w:lang w:val="fr-CA" w:eastAsia="en-CA"/>
              </w:rPr>
              <w:t xml:space="preserve">secteur des mousses de vaporisation en </w:t>
            </w:r>
            <w:r w:rsidR="000D60BC" w:rsidRPr="000E133D">
              <w:rPr>
                <w:sz w:val="20"/>
                <w:szCs w:val="20"/>
                <w:lang w:val="fr-CA" w:eastAsia="en-CA"/>
              </w:rPr>
              <w:t>polyuréthane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80AD4FD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64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299A62F" w14:textId="731235D6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B891C5B" w14:textId="68E3FA27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44CA18E0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4EFC797" w14:textId="44A2F1D3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Jordanie</w:t>
            </w:r>
          </w:p>
          <w:p w14:paraId="7DC89D01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JOR/PHA/77/INV/101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43C3590" w14:textId="02973ABF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4DF9513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066E9D8" w14:textId="7E0D5BE8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725EB8C" w14:textId="12327A6C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77AD35C3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8291A00" w14:textId="3B3D4C45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Koweït</w:t>
            </w:r>
          </w:p>
          <w:p w14:paraId="7BD7368E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KUW/PHA/66/INV/21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A54ED82" w14:textId="73631191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0D60BC">
              <w:rPr>
                <w:sz w:val="20"/>
                <w:szCs w:val="20"/>
                <w:lang w:val="fr-CA" w:eastAsia="en-CA"/>
              </w:rPr>
              <w:t xml:space="preserve">élimination du secteur de mousses de </w:t>
            </w:r>
            <w:r w:rsidR="000D60BC" w:rsidRPr="000E133D">
              <w:rPr>
                <w:sz w:val="20"/>
                <w:szCs w:val="20"/>
                <w:lang w:val="fr-CA" w:eastAsia="en-CA"/>
              </w:rPr>
              <w:t>polystyrène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0D60BC">
              <w:rPr>
                <w:sz w:val="20"/>
                <w:szCs w:val="20"/>
                <w:lang w:val="fr-CA" w:eastAsia="en-CA"/>
              </w:rPr>
              <w:t>extrudé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: Gulf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Insulating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Materials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Manufacturing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and Trading;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Isofoam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Insulating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Materials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Plants; </w:t>
            </w:r>
            <w:r w:rsidR="000D60BC">
              <w:rPr>
                <w:sz w:val="20"/>
                <w:szCs w:val="20"/>
                <w:lang w:val="fr-CA" w:eastAsia="en-CA"/>
              </w:rPr>
              <w:t>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Al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Masaha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Company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7285AE2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87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23374F4" w14:textId="49714E12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B1AA15C" w14:textId="5FED9A5C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0669FC3F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AF4770B" w14:textId="5D4EC290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Koweït</w:t>
            </w:r>
          </w:p>
          <w:p w14:paraId="1F87CEEB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KUW/PHA/74/INV/24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819D2C1" w14:textId="3D97E330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0D60BC" w:rsidRPr="000D60BC">
              <w:rPr>
                <w:sz w:val="20"/>
                <w:szCs w:val="20"/>
                <w:lang w:val="fr-CA" w:eastAsia="en-CA"/>
              </w:rPr>
              <w:t xml:space="preserve">élimination du secteur de mousses de </w:t>
            </w:r>
            <w:r w:rsidR="000D60BC" w:rsidRPr="000E133D">
              <w:rPr>
                <w:sz w:val="20"/>
                <w:szCs w:val="20"/>
                <w:lang w:val="fr-CA" w:eastAsia="en-CA"/>
              </w:rPr>
              <w:t>polyuréthane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: </w:t>
            </w:r>
            <w:r w:rsidR="00B37E76">
              <w:rPr>
                <w:sz w:val="20"/>
                <w:szCs w:val="20"/>
                <w:lang w:val="fr-CA" w:eastAsia="en-CA"/>
              </w:rPr>
              <w:t>Koweït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polyurethane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Industry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Co.; Kirby Building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Systems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, assistance </w:t>
            </w:r>
            <w:r w:rsidR="00981ABA">
              <w:rPr>
                <w:sz w:val="20"/>
                <w:szCs w:val="20"/>
                <w:lang w:val="fr-CA" w:eastAsia="en-CA"/>
              </w:rPr>
              <w:t>technique aux utilisateurs de mousses de vaporisation et autres petits utilisateurs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1B71798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340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7811081E" w14:textId="41A80E51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(i) </w:t>
            </w:r>
            <w:r w:rsidR="008A5426"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  <w:r w:rsidRPr="000E133D">
              <w:rPr>
                <w:sz w:val="20"/>
                <w:szCs w:val="20"/>
                <w:lang w:val="fr-CA" w:eastAsia="en-CA"/>
              </w:rPr>
              <w:t>;</w:t>
            </w:r>
          </w:p>
          <w:p w14:paraId="4071684D" w14:textId="45C6E902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(ii) </w:t>
            </w:r>
            <w:r w:rsidR="008A5426">
              <w:rPr>
                <w:sz w:val="20"/>
                <w:szCs w:val="20"/>
                <w:lang w:val="fr-CA" w:eastAsia="en-CA"/>
              </w:rPr>
              <w:t>Activités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F63681">
              <w:rPr>
                <w:sz w:val="20"/>
                <w:szCs w:val="20"/>
                <w:lang w:val="fr-CA" w:eastAsia="en-CA"/>
              </w:rPr>
              <w:t>d’installation et de mise en service des équipements retardées en raison des restrictions du au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COVID-19 </w:t>
            </w:r>
          </w:p>
        </w:tc>
        <w:tc>
          <w:tcPr>
            <w:tcW w:w="396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59BB201F" w14:textId="0C01BD6D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(i) </w:t>
            </w:r>
            <w:r w:rsidR="00014F20"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="00014F20"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014F20" w:rsidRPr="00014F20">
              <w:rPr>
                <w:sz w:val="20"/>
                <w:szCs w:val="20"/>
                <w:lang w:val="fr-CA" w:eastAsia="en-CA"/>
              </w:rPr>
              <w:t xml:space="preserve"> réunion de ce</w:t>
            </w:r>
            <w:r w:rsidR="00014F20">
              <w:rPr>
                <w:sz w:val="20"/>
                <w:szCs w:val="20"/>
                <w:lang w:val="fr-CA" w:eastAsia="en-CA"/>
              </w:rPr>
              <w:t>s</w:t>
            </w:r>
            <w:r w:rsidR="00014F20" w:rsidRPr="00014F20">
              <w:rPr>
                <w:sz w:val="20"/>
                <w:szCs w:val="20"/>
                <w:lang w:val="fr-CA" w:eastAsia="en-CA"/>
              </w:rPr>
              <w:t xml:space="preserve"> projet</w:t>
            </w:r>
            <w:r w:rsidR="00014F20">
              <w:rPr>
                <w:sz w:val="20"/>
                <w:szCs w:val="20"/>
                <w:lang w:val="fr-CA" w:eastAsia="en-CA"/>
              </w:rPr>
              <w:t>s</w:t>
            </w:r>
            <w:r w:rsidR="00014F20" w:rsidRPr="00014F20">
              <w:rPr>
                <w:sz w:val="20"/>
                <w:szCs w:val="20"/>
                <w:lang w:val="fr-CA" w:eastAsia="en-CA"/>
              </w:rPr>
              <w:t xml:space="preserve"> avec des retards de mise en œuvre</w:t>
            </w:r>
            <w:r w:rsidRPr="000E133D">
              <w:rPr>
                <w:sz w:val="20"/>
                <w:szCs w:val="20"/>
                <w:lang w:val="fr-CA" w:eastAsia="en-CA"/>
              </w:rPr>
              <w:t>;</w:t>
            </w:r>
          </w:p>
          <w:p w14:paraId="7ACC3068" w14:textId="339674DA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(ii) </w:t>
            </w:r>
            <w:r w:rsidR="00014F20">
              <w:rPr>
                <w:sz w:val="20"/>
                <w:szCs w:val="20"/>
                <w:lang w:val="fr-CA" w:eastAsia="en-CA"/>
              </w:rPr>
              <w:t xml:space="preserve">Demander un rapport de situation </w:t>
            </w:r>
            <w:r w:rsidR="000A5A0B" w:rsidRPr="000A5A0B">
              <w:rPr>
                <w:sz w:val="20"/>
                <w:szCs w:val="20"/>
                <w:lang w:val="fr-CA" w:eastAsia="en-CA"/>
              </w:rPr>
              <w:t>sur l’avancement de la mise en œuvre été sur le niveau de décaissement des fonds</w:t>
            </w:r>
            <w:r w:rsidR="000A5A0B">
              <w:rPr>
                <w:sz w:val="20"/>
                <w:szCs w:val="20"/>
                <w:lang w:val="fr-CA" w:eastAsia="en-CA"/>
              </w:rPr>
              <w:t>,</w:t>
            </w:r>
            <w:r w:rsidR="000A5A0B" w:rsidRPr="000A5A0B">
              <w:rPr>
                <w:sz w:val="20"/>
                <w:szCs w:val="20"/>
                <w:lang w:val="fr-CA" w:eastAsia="en-CA"/>
              </w:rPr>
              <w:t xml:space="preserve"> </w:t>
            </w:r>
            <w:r w:rsidR="00014F20">
              <w:rPr>
                <w:sz w:val="20"/>
                <w:szCs w:val="20"/>
                <w:lang w:val="fr-CA" w:eastAsia="en-CA"/>
              </w:rPr>
              <w:t xml:space="preserve">pour la </w:t>
            </w:r>
            <w:r w:rsidRPr="000E133D">
              <w:rPr>
                <w:sz w:val="20"/>
                <w:szCs w:val="20"/>
                <w:lang w:val="fr-CA" w:eastAsia="en-CA"/>
              </w:rPr>
              <w:t>87</w:t>
            </w:r>
            <w:r w:rsid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E133D">
              <w:rPr>
                <w:sz w:val="20"/>
                <w:szCs w:val="20"/>
                <w:lang w:val="fr-CA" w:eastAsia="en-CA"/>
              </w:rPr>
              <w:t> </w:t>
            </w:r>
            <w:r w:rsidR="00D0488E">
              <w:rPr>
                <w:sz w:val="20"/>
                <w:szCs w:val="20"/>
                <w:lang w:val="fr-CA" w:eastAsia="en-CA"/>
              </w:rPr>
              <w:t>réunion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</w:tc>
      </w:tr>
      <w:tr w:rsidR="000E133D" w:rsidRPr="000E133D" w14:paraId="4F9A5F3A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AFEB71C" w14:textId="59B421A7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Koweït</w:t>
            </w:r>
          </w:p>
          <w:p w14:paraId="08C365D2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KUW/PHA/74/INV/25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B25E90D" w14:textId="734961E7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981ABA" w:rsidRPr="00981ABA">
              <w:rPr>
                <w:sz w:val="20"/>
                <w:szCs w:val="20"/>
                <w:lang w:val="fr-CA" w:eastAsia="en-CA"/>
              </w:rPr>
              <w:t>élimination du secteur de mousses de polystyrène extrudé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: Gulf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Insulating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Materials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Manufacturing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and Trading;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Isofoam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Insulating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Materials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Plants; </w:t>
            </w:r>
            <w:r w:rsidR="00981ABA">
              <w:rPr>
                <w:sz w:val="20"/>
                <w:szCs w:val="20"/>
                <w:lang w:val="fr-CA" w:eastAsia="en-CA"/>
              </w:rPr>
              <w:t>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Al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Masaha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="000E133D" w:rsidRPr="000E133D">
              <w:rPr>
                <w:sz w:val="20"/>
                <w:szCs w:val="20"/>
                <w:lang w:val="fr-CA" w:eastAsia="en-CA"/>
              </w:rPr>
              <w:t>Company</w:t>
            </w:r>
            <w:proofErr w:type="spellEnd"/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86A87AB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340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79E36CD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396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24D30CAF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</w:tr>
      <w:tr w:rsidR="000E133D" w:rsidRPr="0087100D" w14:paraId="099DE563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044231D" w14:textId="20E7D629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Koweït</w:t>
            </w:r>
          </w:p>
          <w:p w14:paraId="0103F0B9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KUW/PHA/83/INV/36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F368CF3" w14:textId="033B4B14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981ABA" w:rsidRPr="00981ABA">
              <w:rPr>
                <w:sz w:val="20"/>
                <w:szCs w:val="20"/>
                <w:lang w:val="fr-CA" w:eastAsia="en-CA"/>
              </w:rPr>
              <w:t>élimination du secteur de mousses de polyuréthane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ACA1268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7530F3BC" w14:textId="269C1E80" w:rsidR="000E133D" w:rsidRPr="000E133D" w:rsidRDefault="00F63681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 xml:space="preserve">Mise en œuvre retardée en raison du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COVID</w:t>
            </w:r>
            <w:r w:rsidR="000E133D" w:rsidRPr="000E133D">
              <w:rPr>
                <w:sz w:val="20"/>
                <w:szCs w:val="20"/>
                <w:lang w:val="fr-CA" w:eastAsia="en-CA"/>
              </w:rPr>
              <w:noBreakHyphen/>
              <w:t xml:space="preserve">19 restrictions; </w:t>
            </w:r>
            <w:r>
              <w:rPr>
                <w:sz w:val="20"/>
                <w:szCs w:val="20"/>
                <w:lang w:val="fr-CA" w:eastAsia="en-CA"/>
              </w:rPr>
              <w:t xml:space="preserve">les travaux reprendront </w:t>
            </w:r>
            <w:r w:rsidR="002F5045">
              <w:rPr>
                <w:sz w:val="20"/>
                <w:szCs w:val="20"/>
                <w:lang w:val="fr-CA" w:eastAsia="en-CA"/>
              </w:rPr>
              <w:t>en s</w:t>
            </w:r>
            <w:r w:rsidR="000E133D" w:rsidRPr="000E133D">
              <w:rPr>
                <w:sz w:val="20"/>
                <w:szCs w:val="20"/>
                <w:lang w:val="fr-CA" w:eastAsia="en-CA"/>
              </w:rPr>
              <w:t>eptemb</w:t>
            </w:r>
            <w:r w:rsidR="002F5045">
              <w:rPr>
                <w:sz w:val="20"/>
                <w:szCs w:val="20"/>
                <w:lang w:val="fr-CA" w:eastAsia="en-CA"/>
              </w:rPr>
              <w:t>r</w:t>
            </w:r>
            <w:r w:rsidR="000E133D" w:rsidRPr="000E133D">
              <w:rPr>
                <w:sz w:val="20"/>
                <w:szCs w:val="20"/>
                <w:lang w:val="fr-CA" w:eastAsia="en-CA"/>
              </w:rPr>
              <w:t>e 2020</w:t>
            </w:r>
          </w:p>
        </w:tc>
        <w:tc>
          <w:tcPr>
            <w:tcW w:w="396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7203749F" w14:textId="525BFDC1" w:rsidR="000E133D" w:rsidRPr="000E133D" w:rsidRDefault="00763FD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763FDD">
              <w:rPr>
                <w:sz w:val="20"/>
                <w:szCs w:val="20"/>
                <w:lang w:val="fr-CA" w:eastAsia="en-CA"/>
              </w:rPr>
              <w:t xml:space="preserve">Demander un rapport de situation </w:t>
            </w:r>
            <w:r w:rsidR="000A5A0B" w:rsidRPr="000A5A0B">
              <w:rPr>
                <w:sz w:val="20"/>
                <w:szCs w:val="20"/>
                <w:lang w:val="fr-CA" w:eastAsia="en-CA"/>
              </w:rPr>
              <w:t>sur l’avancement de la mise en œuvre été sur le niveau de décaissement des fonds</w:t>
            </w:r>
            <w:r w:rsidR="000A5A0B">
              <w:rPr>
                <w:sz w:val="20"/>
                <w:szCs w:val="20"/>
                <w:lang w:val="fr-CA" w:eastAsia="en-CA"/>
              </w:rPr>
              <w:t>,</w:t>
            </w:r>
            <w:r w:rsidR="000A5A0B" w:rsidRPr="000A5A0B">
              <w:rPr>
                <w:sz w:val="20"/>
                <w:szCs w:val="20"/>
                <w:lang w:val="fr-CA" w:eastAsia="en-CA"/>
              </w:rPr>
              <w:t xml:space="preserve"> </w:t>
            </w:r>
            <w:r w:rsidRPr="00763FDD">
              <w:rPr>
                <w:sz w:val="20"/>
                <w:szCs w:val="20"/>
                <w:lang w:val="fr-CA" w:eastAsia="en-CA"/>
              </w:rPr>
              <w:t>pour la 87</w:t>
            </w:r>
            <w:r w:rsidRPr="00763FDD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763FDD">
              <w:rPr>
                <w:sz w:val="20"/>
                <w:szCs w:val="20"/>
                <w:lang w:val="fr-CA" w:eastAsia="en-CA"/>
              </w:rPr>
              <w:t xml:space="preserve"> réunion </w:t>
            </w:r>
          </w:p>
        </w:tc>
      </w:tr>
      <w:tr w:rsidR="000E133D" w:rsidRPr="000E133D" w14:paraId="7040F566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975B08E" w14:textId="67337EBB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Koweït</w:t>
            </w:r>
          </w:p>
          <w:p w14:paraId="0302E3C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KUW/PHA/83/TAS/35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0E9C308" w14:textId="4F3993DF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981ABA" w:rsidRPr="00981ABA">
              <w:rPr>
                <w:sz w:val="20"/>
                <w:szCs w:val="20"/>
                <w:lang w:val="fr-CA" w:eastAsia="en-CA"/>
              </w:rPr>
              <w:t>élimination du secteur de mousses de polystyrène extrudé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2EBCD0B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6B26063F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396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2CCA844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</w:tr>
      <w:tr w:rsidR="000E133D" w:rsidRPr="0087100D" w14:paraId="60D98B30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7133BF3" w14:textId="1C48B84A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Koweït</w:t>
            </w:r>
          </w:p>
          <w:p w14:paraId="07EF905A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KUW/PHA/83/TAS/37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C819395" w14:textId="6EFAAA64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2076829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133CD1A" w14:textId="41EEB517" w:rsidR="000E133D" w:rsidRPr="000E133D" w:rsidRDefault="00E23135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Les a</w:t>
            </w:r>
            <w:r w:rsidR="008A5426">
              <w:rPr>
                <w:sz w:val="20"/>
                <w:szCs w:val="20"/>
                <w:lang w:val="fr-CA" w:eastAsia="en-CA"/>
              </w:rPr>
              <w:t>ctivités</w:t>
            </w:r>
            <w:r w:rsidR="002F5045">
              <w:rPr>
                <w:sz w:val="20"/>
                <w:szCs w:val="20"/>
                <w:lang w:val="fr-CA" w:eastAsia="en-CA"/>
              </w:rPr>
              <w:t xml:space="preserve">, incluant le </w:t>
            </w:r>
            <w:r w:rsidR="002F5045" w:rsidRPr="002F5045">
              <w:rPr>
                <w:sz w:val="20"/>
                <w:szCs w:val="20"/>
                <w:lang w:val="fr-CA" w:eastAsia="en-CA"/>
              </w:rPr>
              <w:t xml:space="preserve">processus d'appel d'offres </w:t>
            </w:r>
            <w:r w:rsidR="002F5045">
              <w:rPr>
                <w:sz w:val="20"/>
                <w:szCs w:val="20"/>
                <w:lang w:val="fr-CA" w:eastAsia="en-CA"/>
              </w:rPr>
              <w:t>pour des équipements du centre de réhabilitation</w:t>
            </w:r>
            <w:r>
              <w:rPr>
                <w:sz w:val="20"/>
                <w:szCs w:val="20"/>
                <w:lang w:val="fr-CA" w:eastAsia="en-CA"/>
              </w:rPr>
              <w:t>,</w:t>
            </w:r>
            <w:r w:rsidR="002F5045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 xml:space="preserve">ont été retardées en raison des restrictions dues au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COVID</w:t>
            </w:r>
            <w:r w:rsidR="000E133D" w:rsidRPr="000E133D">
              <w:rPr>
                <w:sz w:val="20"/>
                <w:szCs w:val="20"/>
                <w:lang w:val="fr-CA" w:eastAsia="en-CA"/>
              </w:rPr>
              <w:noBreakHyphen/>
              <w:t>19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B5040FA" w14:textId="3A1E5135" w:rsidR="000E133D" w:rsidRPr="000E133D" w:rsidRDefault="00763FD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763FDD">
              <w:rPr>
                <w:sz w:val="20"/>
                <w:szCs w:val="20"/>
                <w:lang w:val="fr-CA" w:eastAsia="en-CA"/>
              </w:rPr>
              <w:t xml:space="preserve">Demander un rapport de situation </w:t>
            </w:r>
            <w:r w:rsidR="000A5A0B" w:rsidRPr="000A5A0B">
              <w:rPr>
                <w:sz w:val="20"/>
                <w:szCs w:val="20"/>
                <w:lang w:val="fr-CA" w:eastAsia="en-CA"/>
              </w:rPr>
              <w:t>sur l’avancement de la mise en œuvre et sur le niveau de décaissement des fonds</w:t>
            </w:r>
            <w:r w:rsidR="000A5A0B">
              <w:rPr>
                <w:sz w:val="20"/>
                <w:szCs w:val="20"/>
                <w:lang w:val="fr-CA" w:eastAsia="en-CA"/>
              </w:rPr>
              <w:t>,</w:t>
            </w:r>
            <w:r w:rsidR="000A5A0B" w:rsidRPr="000A5A0B">
              <w:rPr>
                <w:sz w:val="20"/>
                <w:szCs w:val="20"/>
                <w:lang w:val="fr-CA" w:eastAsia="en-CA"/>
              </w:rPr>
              <w:t xml:space="preserve"> </w:t>
            </w:r>
            <w:r w:rsidRPr="00763FDD">
              <w:rPr>
                <w:sz w:val="20"/>
                <w:szCs w:val="20"/>
                <w:lang w:val="fr-CA" w:eastAsia="en-CA"/>
              </w:rPr>
              <w:t>pour la 87</w:t>
            </w:r>
            <w:r w:rsidRPr="00763FDD">
              <w:rPr>
                <w:sz w:val="20"/>
                <w:szCs w:val="20"/>
                <w:vertAlign w:val="superscript"/>
                <w:lang w:val="fr-CA" w:eastAsia="en-CA"/>
              </w:rPr>
              <w:t xml:space="preserve">e </w:t>
            </w:r>
            <w:r w:rsidRPr="00763FDD">
              <w:rPr>
                <w:sz w:val="20"/>
                <w:szCs w:val="20"/>
                <w:lang w:val="fr-CA" w:eastAsia="en-CA"/>
              </w:rPr>
              <w:t xml:space="preserve">réunion </w:t>
            </w:r>
          </w:p>
        </w:tc>
      </w:tr>
      <w:tr w:rsidR="000E133D" w:rsidRPr="0087100D" w14:paraId="6D74E2E1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4BD9E83" w14:textId="17C2945B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Libye</w:t>
            </w:r>
          </w:p>
          <w:p w14:paraId="4976B48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LIB/FOA/82/PRP/41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9F93819" w14:textId="7F7CEEF6" w:rsidR="000E133D" w:rsidRPr="000E133D" w:rsidRDefault="00981ABA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981ABA">
              <w:rPr>
                <w:sz w:val="20"/>
                <w:szCs w:val="20"/>
                <w:lang w:val="fr-CA" w:eastAsia="en-CA"/>
              </w:rPr>
              <w:t xml:space="preserve">Préparation d’activités d’investissement pour l’élimination de HCFC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(</w:t>
            </w:r>
            <w:r w:rsidR="004B456E"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II) (</w:t>
            </w:r>
            <w:r>
              <w:rPr>
                <w:sz w:val="20"/>
                <w:szCs w:val="20"/>
                <w:lang w:val="fr-CA" w:eastAsia="en-CA"/>
              </w:rPr>
              <w:t>secteur des mousses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8E9FDBD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</w:t>
            </w:r>
          </w:p>
        </w:tc>
        <w:tc>
          <w:tcPr>
            <w:tcW w:w="340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63B7E94A" w14:textId="14826F86" w:rsidR="000E133D" w:rsidRPr="000E133D" w:rsidRDefault="00E23135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Ralentissement de la mise en œuvre en raison de la situation politique du pays</w:t>
            </w:r>
          </w:p>
        </w:tc>
        <w:tc>
          <w:tcPr>
            <w:tcW w:w="396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217DAD7A" w14:textId="45D4E15E" w:rsidR="000E133D" w:rsidRPr="000E133D" w:rsidRDefault="00763FD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763FDD">
              <w:rPr>
                <w:sz w:val="20"/>
                <w:szCs w:val="20"/>
                <w:lang w:val="fr-CA" w:eastAsia="en-CA"/>
              </w:rPr>
              <w:t xml:space="preserve">Demander un rapport de situation </w:t>
            </w:r>
            <w:r w:rsidR="000A5A0B" w:rsidRPr="000A5A0B">
              <w:rPr>
                <w:sz w:val="20"/>
                <w:szCs w:val="20"/>
                <w:lang w:val="fr-CA" w:eastAsia="en-CA"/>
              </w:rPr>
              <w:t>sur l’avancement de soumission de la phase II</w:t>
            </w:r>
            <w:r w:rsidR="000A5A0B">
              <w:rPr>
                <w:sz w:val="20"/>
                <w:szCs w:val="20"/>
                <w:lang w:val="fr-CA" w:eastAsia="en-CA"/>
              </w:rPr>
              <w:t>,</w:t>
            </w:r>
            <w:r w:rsidR="000A5A0B" w:rsidRPr="000A5A0B">
              <w:rPr>
                <w:sz w:val="20"/>
                <w:szCs w:val="20"/>
                <w:lang w:val="fr-CA" w:eastAsia="en-CA"/>
              </w:rPr>
              <w:t xml:space="preserve"> </w:t>
            </w:r>
            <w:r w:rsidRPr="00763FDD">
              <w:rPr>
                <w:sz w:val="20"/>
                <w:szCs w:val="20"/>
                <w:lang w:val="fr-CA" w:eastAsia="en-CA"/>
              </w:rPr>
              <w:t xml:space="preserve">pour la 87e réunion </w:t>
            </w:r>
          </w:p>
        </w:tc>
      </w:tr>
      <w:tr w:rsidR="000E133D" w:rsidRPr="000E133D" w14:paraId="24801980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830CF78" w14:textId="17474E08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Libye</w:t>
            </w:r>
          </w:p>
          <w:p w14:paraId="439400A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LIB/PHA/82/PRP/43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FE96973" w14:textId="5ED50490" w:rsidR="000E133D" w:rsidRPr="000E133D" w:rsidRDefault="00981ABA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Préparation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d’un p</w:t>
            </w:r>
            <w:r w:rsidR="004B456E">
              <w:rPr>
                <w:sz w:val="20"/>
                <w:szCs w:val="20"/>
                <w:lang w:val="fr-CA" w:eastAsia="en-CA"/>
              </w:rPr>
              <w:t>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 w:rsidR="004B456E"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87F1A65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1F2488AF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396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579C5BF1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</w:tr>
      <w:tr w:rsidR="000E133D" w:rsidRPr="0087100D" w14:paraId="11A980BD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15EFB05" w14:textId="1DA78439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Libye</w:t>
            </w:r>
          </w:p>
          <w:p w14:paraId="13D0DF8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LIB/PHA/75/INV/36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F1B5F42" w14:textId="71192118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981ABA" w:rsidRPr="00981ABA">
              <w:rPr>
                <w:sz w:val="20"/>
                <w:szCs w:val="20"/>
                <w:lang w:val="fr-CA" w:eastAsia="en-CA"/>
              </w:rPr>
              <w:t>secteur des mousses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822496E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71</w:t>
            </w:r>
          </w:p>
        </w:tc>
        <w:tc>
          <w:tcPr>
            <w:tcW w:w="340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0667F4BB" w14:textId="373069D6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(i) </w:t>
            </w:r>
            <w:r w:rsidR="008A5426"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5D244F65" w14:textId="5D39DFD9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(ii) </w:t>
            </w:r>
            <w:r w:rsidR="00E23135" w:rsidRPr="00E23135">
              <w:rPr>
                <w:sz w:val="20"/>
                <w:szCs w:val="20"/>
                <w:lang w:val="fr-CA" w:eastAsia="en-CA"/>
              </w:rPr>
              <w:t>Ralentissement de la mise en œuvre en raison de la situation politique du pays</w:t>
            </w:r>
          </w:p>
        </w:tc>
        <w:tc>
          <w:tcPr>
            <w:tcW w:w="396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5506CF00" w14:textId="6F284C6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(i) </w:t>
            </w:r>
            <w:r w:rsidR="00763FDD" w:rsidRPr="00763FDD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="00763FDD" w:rsidRPr="00763FDD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763FDD" w:rsidRPr="00763FDD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  <w:r w:rsidRPr="000E133D">
              <w:rPr>
                <w:sz w:val="20"/>
                <w:szCs w:val="20"/>
                <w:lang w:val="fr-CA" w:eastAsia="en-CA"/>
              </w:rPr>
              <w:t>;</w:t>
            </w:r>
          </w:p>
          <w:p w14:paraId="01400FC4" w14:textId="24FFF23A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(ii) </w:t>
            </w:r>
            <w:r w:rsidR="00763FDD" w:rsidRPr="00763FDD">
              <w:rPr>
                <w:sz w:val="20"/>
                <w:szCs w:val="20"/>
                <w:lang w:val="fr-CA" w:eastAsia="en-CA"/>
              </w:rPr>
              <w:t>Demander un rapport de situation</w:t>
            </w:r>
            <w:r w:rsidR="000A5A0B" w:rsidRPr="00DB1D38">
              <w:rPr>
                <w:lang w:val="fr-CA"/>
              </w:rPr>
              <w:t xml:space="preserve"> </w:t>
            </w:r>
            <w:r w:rsidR="000A5A0B" w:rsidRPr="000A5A0B">
              <w:rPr>
                <w:sz w:val="20"/>
                <w:szCs w:val="20"/>
                <w:lang w:val="fr-CA" w:eastAsia="en-CA"/>
              </w:rPr>
              <w:t>sur l’avancement de la mise en œuvre</w:t>
            </w:r>
            <w:r w:rsidR="000A5A0B">
              <w:rPr>
                <w:sz w:val="20"/>
                <w:szCs w:val="20"/>
                <w:lang w:val="fr-CA" w:eastAsia="en-CA"/>
              </w:rPr>
              <w:t>,</w:t>
            </w:r>
            <w:r w:rsidR="00763FDD" w:rsidRPr="00763FDD">
              <w:rPr>
                <w:sz w:val="20"/>
                <w:szCs w:val="20"/>
                <w:lang w:val="fr-CA" w:eastAsia="en-CA"/>
              </w:rPr>
              <w:t xml:space="preserve"> pour la 87</w:t>
            </w:r>
            <w:r w:rsidR="00763FDD" w:rsidRPr="00763FDD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763FDD" w:rsidRPr="00763FDD">
              <w:rPr>
                <w:sz w:val="20"/>
                <w:szCs w:val="20"/>
                <w:lang w:val="fr-CA" w:eastAsia="en-CA"/>
              </w:rPr>
              <w:t xml:space="preserve"> réunion </w:t>
            </w:r>
          </w:p>
        </w:tc>
      </w:tr>
      <w:tr w:rsidR="000E133D" w:rsidRPr="000E133D" w14:paraId="615F5FEE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EBC7E6C" w14:textId="0CABE7B6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Libye</w:t>
            </w:r>
          </w:p>
          <w:p w14:paraId="104AB73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LIB/PHA/75/INV/37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D6356C4" w14:textId="6B8E48A0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7046B9F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54</w:t>
            </w:r>
          </w:p>
        </w:tc>
        <w:tc>
          <w:tcPr>
            <w:tcW w:w="340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4FA1566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396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7B7C0F2E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</w:tr>
      <w:tr w:rsidR="000E133D" w:rsidRPr="000E133D" w14:paraId="0AE6B0E4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2F00FFE" w14:textId="1E531F2F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Libye</w:t>
            </w:r>
          </w:p>
          <w:p w14:paraId="6EA257A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LIB/PHA/82/INV/42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5091CA5" w14:textId="39CDC975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99CDFB4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023EB63D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396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3AE1FE5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</w:tr>
      <w:tr w:rsidR="000E133D" w:rsidRPr="0087100D" w14:paraId="640D57E7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F1CD32C" w14:textId="7B581033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Mexique</w:t>
            </w:r>
          </w:p>
          <w:p w14:paraId="1FDE2F9B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MEX/PHA/73/INV/173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9D50103" w14:textId="29075356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(phase-out of HCFC-22 and HCFC-141b in solvent)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B94904D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99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D70CD5D" w14:textId="0E96190A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B833823" w14:textId="70470E35" w:rsidR="000E133D" w:rsidRPr="000E133D" w:rsidRDefault="00763FD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763FDD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763FDD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763FDD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1F2DD323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EF213CE" w14:textId="4F39E412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Mexique</w:t>
            </w:r>
          </w:p>
          <w:p w14:paraId="57EEAC5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MEX/PHA/73/INV/174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A564BA9" w14:textId="7BCF609A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055C7B">
              <w:rPr>
                <w:sz w:val="20"/>
                <w:szCs w:val="20"/>
                <w:lang w:val="fr-CA" w:eastAsia="en-CA"/>
              </w:rPr>
              <w:t xml:space="preserve">élimination d’agent de nettoyage dans le 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BA18C3A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94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F8D7465" w14:textId="743A2170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0B73309" w14:textId="1EF4D823" w:rsidR="000E133D" w:rsidRPr="000E133D" w:rsidRDefault="00763FD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763FDD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763FDD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763FDD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7D92B204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C09AAA6" w14:textId="4B26485C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Mexique</w:t>
            </w:r>
          </w:p>
          <w:p w14:paraId="59E48057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MEX/PHA/81/INV/189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E1C61DF" w14:textId="20144679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1E380CE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FD11BAD" w14:textId="1FCC0F30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A</w:t>
            </w:r>
            <w:r w:rsidR="00E23135">
              <w:rPr>
                <w:sz w:val="20"/>
                <w:szCs w:val="20"/>
                <w:lang w:val="fr-CA" w:eastAsia="en-CA"/>
              </w:rPr>
              <w:t>ccord non signé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41FA891" w14:textId="6BFFFF52" w:rsidR="000E133D" w:rsidRPr="000E133D" w:rsidRDefault="00763FD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763FDD">
              <w:rPr>
                <w:sz w:val="20"/>
                <w:szCs w:val="20"/>
                <w:lang w:val="fr-CA" w:eastAsia="en-CA"/>
              </w:rPr>
              <w:t xml:space="preserve">Demander un rapport de situation </w:t>
            </w:r>
            <w:r w:rsidR="000A5A0B" w:rsidRPr="000A5A0B">
              <w:rPr>
                <w:sz w:val="20"/>
                <w:szCs w:val="20"/>
                <w:lang w:val="fr-CA" w:eastAsia="en-CA"/>
              </w:rPr>
              <w:t>sur la signature de l’accord et sur l’avancement de la mise en œuvre</w:t>
            </w:r>
            <w:r w:rsidR="000A5A0B">
              <w:rPr>
                <w:sz w:val="20"/>
                <w:szCs w:val="20"/>
                <w:lang w:val="fr-CA" w:eastAsia="en-CA"/>
              </w:rPr>
              <w:t>,</w:t>
            </w:r>
            <w:r w:rsidR="000A5A0B" w:rsidRPr="000A5A0B">
              <w:rPr>
                <w:sz w:val="20"/>
                <w:szCs w:val="20"/>
                <w:lang w:val="fr-CA" w:eastAsia="en-CA"/>
              </w:rPr>
              <w:t xml:space="preserve"> </w:t>
            </w:r>
            <w:r w:rsidRPr="00763FDD">
              <w:rPr>
                <w:sz w:val="20"/>
                <w:szCs w:val="20"/>
                <w:lang w:val="fr-CA" w:eastAsia="en-CA"/>
              </w:rPr>
              <w:t>pour la 87</w:t>
            </w:r>
            <w:r w:rsidRPr="00763FDD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763FDD">
              <w:rPr>
                <w:sz w:val="20"/>
                <w:szCs w:val="20"/>
                <w:lang w:val="fr-CA" w:eastAsia="en-CA"/>
              </w:rPr>
              <w:t xml:space="preserve"> réunion </w:t>
            </w:r>
          </w:p>
        </w:tc>
      </w:tr>
      <w:tr w:rsidR="000E133D" w:rsidRPr="0087100D" w14:paraId="370737C0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FC440A8" w14:textId="60F94471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Maroc</w:t>
            </w:r>
          </w:p>
          <w:p w14:paraId="26F15AF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MOR/PHA/65/INV/68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43B081A" w14:textId="54D0C47D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7B28F88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77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8393630" w14:textId="2B473270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5E0AADA" w14:textId="166BEC5F" w:rsidR="000E133D" w:rsidRPr="000E133D" w:rsidRDefault="00014F2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14F20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014F20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14F20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2FC04598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AF29053" w14:textId="495B7453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Maroc</w:t>
            </w:r>
          </w:p>
          <w:p w14:paraId="3697963F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MOR/PHA/68/INV/69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06BBD69" w14:textId="3C3A8893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04E4CC5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32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6E40380" w14:textId="2FE45534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467088F" w14:textId="39EBC532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72638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872638">
              <w:rPr>
                <w:sz w:val="20"/>
                <w:szCs w:val="20"/>
                <w:vertAlign w:val="superscript"/>
                <w:lang w:val="fr-CA" w:eastAsia="en-CA"/>
              </w:rPr>
              <w:t xml:space="preserve">e </w:t>
            </w:r>
            <w:r w:rsidRPr="00872638">
              <w:rPr>
                <w:sz w:val="20"/>
                <w:szCs w:val="20"/>
                <w:lang w:val="fr-CA" w:eastAsia="en-CA"/>
              </w:rPr>
              <w:t>réunion de ce projet avec des retards de mise en œuvre</w:t>
            </w:r>
          </w:p>
        </w:tc>
      </w:tr>
      <w:tr w:rsidR="000E133D" w:rsidRPr="0087100D" w14:paraId="6440548E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E3AA491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Mozambique</w:t>
            </w:r>
          </w:p>
          <w:p w14:paraId="2AC85267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MOZ/PHA/66/INV/23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20DF97B" w14:textId="1B73809B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D28C923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12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0B91B4F" w14:textId="19B1EC7D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(i) </w:t>
            </w:r>
            <w:r w:rsidR="008A5426"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  <w:r w:rsidRPr="000E133D">
              <w:rPr>
                <w:sz w:val="20"/>
                <w:szCs w:val="20"/>
                <w:lang w:val="fr-CA" w:eastAsia="en-CA"/>
              </w:rPr>
              <w:t>;</w:t>
            </w:r>
          </w:p>
          <w:p w14:paraId="48596623" w14:textId="73AC0E1E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(ii) Confirmation </w:t>
            </w:r>
            <w:r w:rsidR="00E23135">
              <w:rPr>
                <w:sz w:val="20"/>
                <w:szCs w:val="20"/>
                <w:lang w:val="fr-CA" w:eastAsia="en-CA"/>
              </w:rPr>
              <w:t>de l’UNO pour les acquisitions d’équipements en suspens depuis des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8B02EA6" w14:textId="7621AF7B" w:rsidR="000E133D" w:rsidRPr="000E133D" w:rsidRDefault="000E133D" w:rsidP="000E133D">
            <w:pPr>
              <w:jc w:val="left"/>
              <w:rPr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Cs/>
                <w:sz w:val="20"/>
                <w:szCs w:val="20"/>
                <w:lang w:val="fr-CA" w:eastAsia="en-CA"/>
              </w:rPr>
              <w:t xml:space="preserve">(i) </w:t>
            </w:r>
            <w:r w:rsidR="00872638" w:rsidRPr="00872638">
              <w:rPr>
                <w:bCs/>
                <w:sz w:val="20"/>
                <w:szCs w:val="20"/>
                <w:lang w:val="fr-CA" w:eastAsia="en-CA"/>
              </w:rPr>
              <w:t>Demander à l’ONUDI de rendre compte à la 87</w:t>
            </w:r>
            <w:r w:rsidR="00872638" w:rsidRPr="00872638">
              <w:rPr>
                <w:bCs/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872638" w:rsidRPr="00872638">
              <w:rPr>
                <w:bCs/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  <w:r w:rsidRPr="000E133D">
              <w:rPr>
                <w:bCs/>
                <w:sz w:val="20"/>
                <w:szCs w:val="20"/>
                <w:lang w:val="fr-CA" w:eastAsia="en-CA"/>
              </w:rPr>
              <w:t>;</w:t>
            </w:r>
          </w:p>
          <w:p w14:paraId="09FA594B" w14:textId="6B555003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bCs/>
                <w:sz w:val="20"/>
                <w:szCs w:val="20"/>
                <w:lang w:val="fr-CA" w:eastAsia="en-CA"/>
              </w:rPr>
              <w:t xml:space="preserve">(ii) </w:t>
            </w:r>
            <w:r w:rsidR="00872638">
              <w:rPr>
                <w:bCs/>
                <w:sz w:val="20"/>
                <w:szCs w:val="20"/>
                <w:lang w:val="fr-CA" w:eastAsia="en-CA"/>
              </w:rPr>
              <w:t xml:space="preserve">Demander un rapport périodique </w:t>
            </w:r>
            <w:r w:rsidR="000A5A0B" w:rsidRPr="000A5A0B">
              <w:rPr>
                <w:bCs/>
                <w:sz w:val="20"/>
                <w:szCs w:val="20"/>
                <w:lang w:val="fr-CA" w:eastAsia="en-CA"/>
              </w:rPr>
              <w:t>sur la confirmation de la réception des équipements par le Gouvernement</w:t>
            </w:r>
            <w:r w:rsidR="000A5A0B">
              <w:rPr>
                <w:bCs/>
                <w:sz w:val="20"/>
                <w:szCs w:val="20"/>
                <w:lang w:val="fr-CA" w:eastAsia="en-CA"/>
              </w:rPr>
              <w:t>,</w:t>
            </w:r>
            <w:r w:rsidR="000A5A0B" w:rsidRPr="000A5A0B">
              <w:rPr>
                <w:bCs/>
                <w:sz w:val="20"/>
                <w:szCs w:val="20"/>
                <w:lang w:val="fr-CA" w:eastAsia="en-CA"/>
              </w:rPr>
              <w:t xml:space="preserve"> </w:t>
            </w:r>
            <w:r w:rsidR="00014F20">
              <w:rPr>
                <w:bCs/>
                <w:sz w:val="20"/>
                <w:szCs w:val="20"/>
                <w:lang w:val="fr-CA" w:eastAsia="en-CA"/>
              </w:rPr>
              <w:t>pour</w:t>
            </w:r>
            <w:r w:rsidR="00872638">
              <w:rPr>
                <w:bCs/>
                <w:sz w:val="20"/>
                <w:szCs w:val="20"/>
                <w:lang w:val="fr-CA" w:eastAsia="en-CA"/>
              </w:rPr>
              <w:t xml:space="preserve"> la </w:t>
            </w:r>
            <w:r w:rsidRPr="000E133D">
              <w:rPr>
                <w:bCs/>
                <w:sz w:val="20"/>
                <w:szCs w:val="20"/>
                <w:lang w:val="fr-CA" w:eastAsia="en-CA"/>
              </w:rPr>
              <w:t>87</w:t>
            </w:r>
            <w:r w:rsid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E133D">
              <w:rPr>
                <w:sz w:val="20"/>
                <w:szCs w:val="20"/>
                <w:lang w:val="fr-CA" w:eastAsia="en-CA"/>
              </w:rPr>
              <w:t> </w:t>
            </w:r>
            <w:r w:rsidR="00D0488E">
              <w:rPr>
                <w:sz w:val="20"/>
                <w:szCs w:val="20"/>
                <w:lang w:val="fr-CA" w:eastAsia="en-CA"/>
              </w:rPr>
              <w:t>réunion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</w:tc>
      </w:tr>
      <w:tr w:rsidR="000E133D" w:rsidRPr="0087100D" w14:paraId="7AF25BC2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2F8C247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Mozambique</w:t>
            </w:r>
          </w:p>
          <w:p w14:paraId="6C41C67A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MOZ/PHA/83/INV/31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268285D" w14:textId="24C8FD98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and </w:t>
            </w:r>
            <w:r w:rsidR="008A5426">
              <w:rPr>
                <w:sz w:val="20"/>
                <w:szCs w:val="20"/>
                <w:lang w:val="fr-CA" w:eastAsia="en-CA"/>
              </w:rPr>
              <w:t>quatrième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tranches)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0E13CF1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BEBDC7E" w14:textId="65B5B6B4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</w:t>
            </w:r>
            <w:r w:rsidR="00E23135">
              <w:rPr>
                <w:sz w:val="20"/>
                <w:szCs w:val="20"/>
                <w:lang w:val="fr-CA" w:eastAsia="en-CA"/>
              </w:rPr>
              <w:t xml:space="preserve">lan d’acquisition non encore finalisé, en attendant la 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confirmation </w:t>
            </w:r>
            <w:r w:rsidR="00E23135">
              <w:rPr>
                <w:sz w:val="20"/>
                <w:szCs w:val="20"/>
                <w:lang w:val="fr-CA" w:eastAsia="en-CA"/>
              </w:rPr>
              <w:t xml:space="preserve">de la réception des équipements pour la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tranche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27699AD" w14:textId="73332743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bCs/>
                <w:sz w:val="20"/>
                <w:szCs w:val="20"/>
                <w:lang w:val="fr-CA" w:eastAsia="en-CA"/>
              </w:rPr>
              <w:t xml:space="preserve">Demander un rapport périodique </w:t>
            </w:r>
            <w:r w:rsidR="000A5A0B" w:rsidRPr="000A5A0B">
              <w:rPr>
                <w:bCs/>
                <w:sz w:val="20"/>
                <w:szCs w:val="20"/>
                <w:lang w:val="fr-CA" w:eastAsia="en-CA"/>
              </w:rPr>
              <w:t>sur le plan d’acquisition avec les fonds approuvés pour les troisième et quatrième tranches</w:t>
            </w:r>
            <w:r w:rsidR="000A5A0B">
              <w:rPr>
                <w:bCs/>
                <w:sz w:val="20"/>
                <w:szCs w:val="20"/>
                <w:lang w:val="fr-CA" w:eastAsia="en-CA"/>
              </w:rPr>
              <w:t>,</w:t>
            </w:r>
            <w:r w:rsidR="000A5A0B" w:rsidRPr="000A5A0B">
              <w:rPr>
                <w:bCs/>
                <w:sz w:val="20"/>
                <w:szCs w:val="20"/>
                <w:lang w:val="fr-CA" w:eastAsia="en-CA"/>
              </w:rPr>
              <w:t xml:space="preserve"> </w:t>
            </w:r>
            <w:r w:rsidR="00014F20">
              <w:rPr>
                <w:bCs/>
                <w:sz w:val="20"/>
                <w:szCs w:val="20"/>
                <w:lang w:val="fr-CA" w:eastAsia="en-CA"/>
              </w:rPr>
              <w:t>pour</w:t>
            </w:r>
            <w:r>
              <w:rPr>
                <w:bCs/>
                <w:sz w:val="20"/>
                <w:szCs w:val="20"/>
                <w:lang w:val="fr-CA" w:eastAsia="en-CA"/>
              </w:rPr>
              <w:t xml:space="preserve"> la </w:t>
            </w:r>
            <w:r w:rsidR="000E133D" w:rsidRPr="000E133D">
              <w:rPr>
                <w:bCs/>
                <w:sz w:val="20"/>
                <w:szCs w:val="20"/>
                <w:lang w:val="fr-CA" w:eastAsia="en-CA"/>
              </w:rPr>
              <w:t>87</w:t>
            </w:r>
            <w:r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D0488E">
              <w:rPr>
                <w:sz w:val="20"/>
                <w:szCs w:val="20"/>
                <w:lang w:val="fr-CA" w:eastAsia="en-CA"/>
              </w:rPr>
              <w:t>réunion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</w:tc>
      </w:tr>
      <w:tr w:rsidR="000E133D" w:rsidRPr="0087100D" w14:paraId="5592F2BF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EB7207B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Pakistan</w:t>
            </w:r>
          </w:p>
          <w:p w14:paraId="1265E408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PAK/PHA/76/INV/94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9E9B61C" w14:textId="6B96EDB8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E23135">
              <w:rPr>
                <w:sz w:val="20"/>
                <w:szCs w:val="20"/>
                <w:lang w:val="fr-CA" w:eastAsia="en-CA"/>
              </w:rPr>
              <w:t xml:space="preserve">secteur des mousses de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polyur</w:t>
            </w:r>
            <w:r w:rsidR="00E23135"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thane)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5FC3AA5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28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862AA0C" w14:textId="3D128A2C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C2293F4" w14:textId="4EACE25A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72638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872638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4100EA88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177740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Pakistan</w:t>
            </w:r>
          </w:p>
          <w:p w14:paraId="5EAA5CC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PAK/PHA/76/TAS/95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8B5EEEC" w14:textId="0692E29C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69BB49F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E6CE5EC" w14:textId="69EC3FEE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2BD3E03" w14:textId="2E843127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72638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872638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6162B3B5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B323D65" w14:textId="6A11281C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Afrique du Sud</w:t>
            </w:r>
          </w:p>
          <w:p w14:paraId="316A2B4D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SOA/FOA/67/INV/03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10BFA1F" w14:textId="583C8786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B968EB">
              <w:rPr>
                <w:sz w:val="20"/>
                <w:szCs w:val="20"/>
                <w:lang w:val="fr-CA" w:eastAsia="en-CA"/>
              </w:rPr>
              <w:t>p</w:t>
            </w:r>
            <w:r w:rsidR="00E23135">
              <w:rPr>
                <w:sz w:val="20"/>
                <w:szCs w:val="20"/>
                <w:lang w:val="fr-CA" w:eastAsia="en-CA"/>
              </w:rPr>
              <w:t xml:space="preserve">lan pour le secteur des mousses de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polyur</w:t>
            </w:r>
            <w:r w:rsidR="00E23135"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thane)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387463C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98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79E56E0" w14:textId="4972970D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0777224" w14:textId="395578DA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72638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872638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1A79D29D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294FE6C" w14:textId="47764A2B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Afrique du Sud</w:t>
            </w:r>
          </w:p>
          <w:p w14:paraId="48F13CA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SOA/PHA/67/TAS/04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9B03D63" w14:textId="7DB8D5E7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E23135">
              <w:rPr>
                <w:sz w:val="20"/>
                <w:szCs w:val="20"/>
                <w:lang w:val="fr-CA" w:eastAsia="en-CA"/>
              </w:rPr>
              <w:t xml:space="preserve">entretien </w:t>
            </w:r>
            <w:r w:rsidR="00B968EB">
              <w:rPr>
                <w:sz w:val="20"/>
                <w:szCs w:val="20"/>
                <w:lang w:val="fr-CA" w:eastAsia="en-CA"/>
              </w:rPr>
              <w:t xml:space="preserve">en </w:t>
            </w:r>
            <w:r w:rsidR="00B968EB" w:rsidRPr="000E133D">
              <w:rPr>
                <w:sz w:val="20"/>
                <w:szCs w:val="20"/>
                <w:lang w:val="fr-CA" w:eastAsia="en-CA"/>
              </w:rPr>
              <w:t>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, </w:t>
            </w:r>
            <w:r w:rsidR="00B968EB">
              <w:rPr>
                <w:sz w:val="20"/>
                <w:szCs w:val="20"/>
                <w:lang w:val="fr-CA" w:eastAsia="en-CA"/>
              </w:rPr>
              <w:t>formation d’agents des douanes et surveillance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92FE8B1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77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DFE8D18" w14:textId="11DEB2BA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9778D70" w14:textId="50EDED71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72638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872638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1EE476A2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E918B1B" w14:textId="74BF19CB" w:rsidR="000E133D" w:rsidRPr="000E133D" w:rsidRDefault="00B37E76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Afrique du Sud</w:t>
            </w:r>
          </w:p>
          <w:p w14:paraId="40925BE2" w14:textId="77777777" w:rsidR="000E133D" w:rsidRPr="000E133D" w:rsidRDefault="000E133D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SOA/PHA/71/INV/06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9DBB51B" w14:textId="75F6A8AF" w:rsidR="000E133D" w:rsidRPr="000E133D" w:rsidRDefault="004B456E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B968EB" w:rsidRPr="00B968EB">
              <w:rPr>
                <w:sz w:val="20"/>
                <w:szCs w:val="20"/>
                <w:lang w:val="fr-CA" w:eastAsia="en-CA"/>
              </w:rPr>
              <w:t>entretien en réfrigération, formation d’agents des douanes et surveillance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CBFBC01" w14:textId="77777777" w:rsidR="000E133D" w:rsidRPr="000E133D" w:rsidRDefault="000E133D" w:rsidP="000E133D">
            <w:pPr>
              <w:keepNext/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92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29C3B1F" w14:textId="3D0750DC" w:rsidR="000E133D" w:rsidRPr="000E133D" w:rsidRDefault="008A5426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E94D60D" w14:textId="29DD3C80" w:rsidR="000E133D" w:rsidRPr="000E133D" w:rsidRDefault="00872638" w:rsidP="000E133D">
            <w:pPr>
              <w:keepNext/>
              <w:jc w:val="left"/>
              <w:rPr>
                <w:sz w:val="20"/>
                <w:szCs w:val="20"/>
                <w:lang w:val="fr-CA" w:eastAsia="en-CA"/>
              </w:rPr>
            </w:pPr>
            <w:r w:rsidRPr="00872638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872638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49C0EE14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DA7EA63" w14:textId="5383AE93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Afrique du Sud</w:t>
            </w:r>
          </w:p>
          <w:p w14:paraId="6DD7A10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SOA/PHA/76/INV/10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4491A7B" w14:textId="55206D31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B968EB" w:rsidRPr="00B968EB">
              <w:rPr>
                <w:sz w:val="20"/>
                <w:szCs w:val="20"/>
                <w:lang w:val="fr-CA" w:eastAsia="en-CA"/>
              </w:rPr>
              <w:t>plan pour le secteur des mousses de polyuréthane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3899643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42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05636F2" w14:textId="4982FD6D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686BB02" w14:textId="47670338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72638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872638">
              <w:rPr>
                <w:sz w:val="20"/>
                <w:szCs w:val="20"/>
                <w:lang w:val="fr-CA" w:eastAsia="en-CA"/>
              </w:rPr>
              <w:t xml:space="preserve"> réunion de ce projet avec des retards de mise en œuvre</w:t>
            </w:r>
          </w:p>
        </w:tc>
      </w:tr>
      <w:tr w:rsidR="000E133D" w:rsidRPr="0087100D" w14:paraId="78AC96B1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97A5182" w14:textId="3FFE9753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Afrique du Sud</w:t>
            </w:r>
          </w:p>
          <w:p w14:paraId="34958C58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SOA/PHA/76/TAS/11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6835D492" w14:textId="6E1804CB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troisième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B968EB" w:rsidRPr="00B968EB">
              <w:rPr>
                <w:sz w:val="20"/>
                <w:szCs w:val="20"/>
                <w:lang w:val="fr-CA" w:eastAsia="en-CA"/>
              </w:rPr>
              <w:t>entretien en réfrigération, formation d’agents des douanes et surveillance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428E59D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28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5FFDAC8C" w14:textId="77146C39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1D16215" w14:textId="177AFA12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72638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872638">
              <w:rPr>
                <w:sz w:val="20"/>
                <w:szCs w:val="20"/>
                <w:lang w:val="fr-CA" w:eastAsia="en-CA"/>
              </w:rPr>
              <w:t xml:space="preserve"> réunion de ce projet </w:t>
            </w:r>
            <w:r>
              <w:rPr>
                <w:sz w:val="20"/>
                <w:szCs w:val="20"/>
                <w:lang w:val="fr-CA" w:eastAsia="en-CA"/>
              </w:rPr>
              <w:t>avec</w:t>
            </w:r>
            <w:r w:rsidRPr="00872638">
              <w:rPr>
                <w:sz w:val="20"/>
                <w:szCs w:val="20"/>
                <w:lang w:val="fr-CA" w:eastAsia="en-CA"/>
              </w:rPr>
              <w:t xml:space="preserve"> des retards de mise en œuvre</w:t>
            </w:r>
          </w:p>
        </w:tc>
      </w:tr>
      <w:tr w:rsidR="000E133D" w:rsidRPr="0087100D" w14:paraId="66971100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01E070E" w14:textId="0045CD7B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République arabe syrienne</w:t>
            </w:r>
          </w:p>
          <w:p w14:paraId="6B01563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SYR/SEV/73/INS/104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D554350" w14:textId="0C46A615" w:rsidR="000E133D" w:rsidRPr="000E133D" w:rsidRDefault="00B968EB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 xml:space="preserve">Prolongation du renforcement des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institution</w:t>
            </w:r>
            <w:r>
              <w:rPr>
                <w:sz w:val="20"/>
                <w:szCs w:val="20"/>
                <w:lang w:val="fr-CA" w:eastAsia="en-CA"/>
              </w:rPr>
              <w:t>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(phase V: 1/2015-12/2016)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B042AE8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29EECDC4" w14:textId="4874EA10" w:rsidR="000E133D" w:rsidRPr="000E133D" w:rsidRDefault="00B968EB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 xml:space="preserve">Retard dû à la situation de sécurité au pays 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958969E" w14:textId="0AE6FC86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72638">
              <w:rPr>
                <w:bCs/>
                <w:sz w:val="20"/>
                <w:szCs w:val="20"/>
                <w:lang w:val="fr-CA" w:eastAsia="en-CA"/>
              </w:rPr>
              <w:t>Demander un rapport périodique sur l’avancement de la mise en œuvre</w:t>
            </w:r>
            <w:r>
              <w:rPr>
                <w:bCs/>
                <w:sz w:val="20"/>
                <w:szCs w:val="20"/>
                <w:lang w:val="fr-CA" w:eastAsia="en-CA"/>
              </w:rPr>
              <w:t xml:space="preserve"> et sur le niveau de décaissement des fonds</w:t>
            </w:r>
            <w:r w:rsidRPr="00872638">
              <w:rPr>
                <w:bCs/>
                <w:sz w:val="20"/>
                <w:szCs w:val="20"/>
                <w:lang w:val="fr-CA" w:eastAsia="en-CA"/>
              </w:rPr>
              <w:t>, pour la 87</w:t>
            </w:r>
            <w:r w:rsidRPr="00872638">
              <w:rPr>
                <w:bCs/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872638">
              <w:rPr>
                <w:bCs/>
                <w:sz w:val="20"/>
                <w:szCs w:val="20"/>
                <w:lang w:val="fr-CA" w:eastAsia="en-CA"/>
              </w:rPr>
              <w:t xml:space="preserve"> réunion </w:t>
            </w:r>
          </w:p>
        </w:tc>
      </w:tr>
      <w:tr w:rsidR="000E133D" w:rsidRPr="0087100D" w14:paraId="4B0E7B56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C741287" w14:textId="4C8B5AAA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Turquie</w:t>
            </w:r>
          </w:p>
          <w:p w14:paraId="1BF7A39B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TUR/PHA/75/INV/107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64C2DA1" w14:textId="27A5CDAF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I, </w:t>
            </w:r>
            <w:r w:rsidR="00B37E76">
              <w:rPr>
                <w:sz w:val="20"/>
                <w:szCs w:val="20"/>
                <w:lang w:val="fr-CA" w:eastAsia="en-CA"/>
              </w:rPr>
              <w:t>deuxième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 w:rsidR="00B37E76">
              <w:rPr>
                <w:sz w:val="20"/>
                <w:szCs w:val="20"/>
                <w:lang w:val="fr-CA" w:eastAsia="en-CA"/>
              </w:rPr>
              <w:t>entretien en réfrigération et surveillance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37F356F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18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231A2CA" w14:textId="483B8D4F" w:rsidR="000E133D" w:rsidRPr="000E133D" w:rsidRDefault="008A542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53EF374" w14:textId="6EA7C7A9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872638">
              <w:rPr>
                <w:sz w:val="20"/>
                <w:szCs w:val="20"/>
                <w:lang w:val="fr-CA" w:eastAsia="en-CA"/>
              </w:rPr>
              <w:t>Demander à l’ONUDI de rendre compte à la 87</w:t>
            </w:r>
            <w:r w:rsidRP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872638">
              <w:rPr>
                <w:sz w:val="20"/>
                <w:szCs w:val="20"/>
                <w:lang w:val="fr-CA" w:eastAsia="en-CA"/>
              </w:rPr>
              <w:t xml:space="preserve"> réunion de ce projet a</w:t>
            </w:r>
            <w:r>
              <w:rPr>
                <w:sz w:val="20"/>
                <w:szCs w:val="20"/>
                <w:lang w:val="fr-CA" w:eastAsia="en-CA"/>
              </w:rPr>
              <w:t>vec</w:t>
            </w:r>
            <w:r w:rsidRPr="00872638">
              <w:rPr>
                <w:sz w:val="20"/>
                <w:szCs w:val="20"/>
                <w:lang w:val="fr-CA" w:eastAsia="en-CA"/>
              </w:rPr>
              <w:t xml:space="preserve"> des retards de mise en œuvre</w:t>
            </w:r>
          </w:p>
        </w:tc>
      </w:tr>
      <w:tr w:rsidR="000E133D" w:rsidRPr="0087100D" w14:paraId="56B542A2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59E760D" w14:textId="446D5E66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Venezuela (</w:t>
            </w:r>
            <w:r w:rsidR="00B37E76">
              <w:rPr>
                <w:sz w:val="20"/>
                <w:szCs w:val="20"/>
                <w:lang w:val="fr-CA" w:eastAsia="en-CA"/>
              </w:rPr>
              <w:t>République bolivarienne de</w:t>
            </w:r>
            <w:r w:rsidRPr="000E133D">
              <w:rPr>
                <w:sz w:val="20"/>
                <w:szCs w:val="20"/>
                <w:lang w:val="fr-CA" w:eastAsia="en-CA"/>
              </w:rPr>
              <w:t>)</w:t>
            </w:r>
          </w:p>
          <w:p w14:paraId="2B23821A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VEN/PHA/76/INV/134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C42EDD3" w14:textId="3F737F67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(assistance </w:t>
            </w:r>
            <w:r w:rsidR="00B968EB">
              <w:rPr>
                <w:sz w:val="20"/>
                <w:szCs w:val="20"/>
                <w:lang w:val="fr-CA" w:eastAsia="en-CA"/>
              </w:rPr>
              <w:t xml:space="preserve">technique au secteur de la production en </w:t>
            </w:r>
            <w:r w:rsidR="00B968EB" w:rsidRPr="000E133D">
              <w:rPr>
                <w:sz w:val="20"/>
                <w:szCs w:val="20"/>
                <w:lang w:val="fr-CA" w:eastAsia="en-CA"/>
              </w:rPr>
              <w:t>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B968EB">
              <w:rPr>
                <w:sz w:val="20"/>
                <w:szCs w:val="20"/>
                <w:lang w:val="fr-CA" w:eastAsia="en-CA"/>
              </w:rPr>
              <w:t>et climatisation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EAA6AFA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64</w:t>
            </w:r>
          </w:p>
        </w:tc>
        <w:tc>
          <w:tcPr>
            <w:tcW w:w="340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6AD6E2EB" w14:textId="7F13F94B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(i) </w:t>
            </w:r>
            <w:r w:rsidR="008A5426">
              <w:rPr>
                <w:sz w:val="20"/>
                <w:szCs w:val="20"/>
                <w:lang w:val="fr-CA" w:eastAsia="en-CA"/>
              </w:rPr>
              <w:t>R</w:t>
            </w:r>
            <w:r w:rsidR="00B37E76">
              <w:rPr>
                <w:sz w:val="20"/>
                <w:szCs w:val="20"/>
                <w:lang w:val="fr-CA" w:eastAsia="en-CA"/>
              </w:rPr>
              <w:t>etards de 12 mois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  <w:p w14:paraId="50CC3301" w14:textId="14228A0A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(ii) </w:t>
            </w:r>
            <w:r w:rsidR="00B968EB">
              <w:rPr>
                <w:sz w:val="20"/>
                <w:szCs w:val="20"/>
                <w:lang w:val="fr-CA" w:eastAsia="en-CA"/>
              </w:rPr>
              <w:t xml:space="preserve">Mise en œuvre ralentie en raison de la situation politique du pays </w:t>
            </w:r>
          </w:p>
        </w:tc>
        <w:tc>
          <w:tcPr>
            <w:tcW w:w="3967" w:type="dxa"/>
            <w:vMerge w:val="restart"/>
            <w:shd w:val="clear" w:color="auto" w:fill="auto"/>
            <w:tcMar>
              <w:left w:w="72" w:type="dxa"/>
              <w:right w:w="58" w:type="dxa"/>
            </w:tcMar>
            <w:vAlign w:val="center"/>
            <w:hideMark/>
          </w:tcPr>
          <w:p w14:paraId="44CD7AEA" w14:textId="7EEF3775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(i) </w:t>
            </w:r>
            <w:r w:rsidR="00872638">
              <w:rPr>
                <w:sz w:val="20"/>
                <w:szCs w:val="20"/>
                <w:lang w:val="fr-CA" w:eastAsia="en-CA"/>
              </w:rPr>
              <w:t>Demander à l’</w:t>
            </w:r>
            <w:r w:rsidR="00A95667">
              <w:rPr>
                <w:sz w:val="20"/>
                <w:szCs w:val="20"/>
                <w:lang w:val="fr-CA" w:eastAsia="en-CA"/>
              </w:rPr>
              <w:t>ONUDI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872638">
              <w:rPr>
                <w:sz w:val="20"/>
                <w:szCs w:val="20"/>
                <w:lang w:val="fr-CA" w:eastAsia="en-CA"/>
              </w:rPr>
              <w:t xml:space="preserve">de rendre compte à la </w:t>
            </w:r>
            <w:r w:rsidRPr="000E133D">
              <w:rPr>
                <w:sz w:val="20"/>
                <w:szCs w:val="20"/>
                <w:lang w:val="fr-CA" w:eastAsia="en-CA"/>
              </w:rPr>
              <w:t>87</w:t>
            </w:r>
            <w:r w:rsid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Pr="000E133D">
              <w:rPr>
                <w:sz w:val="20"/>
                <w:szCs w:val="20"/>
                <w:lang w:val="fr-CA" w:eastAsia="en-CA"/>
              </w:rPr>
              <w:t> </w:t>
            </w:r>
            <w:r w:rsidR="00D0488E">
              <w:rPr>
                <w:sz w:val="20"/>
                <w:szCs w:val="20"/>
                <w:lang w:val="fr-CA" w:eastAsia="en-CA"/>
              </w:rPr>
              <w:t>réunion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 w:rsidR="00872638">
              <w:rPr>
                <w:sz w:val="20"/>
                <w:szCs w:val="20"/>
                <w:lang w:val="fr-CA" w:eastAsia="en-CA"/>
              </w:rPr>
              <w:t>de ces projets avec des retards de mise en œuvre</w:t>
            </w:r>
            <w:r w:rsidRPr="000E133D">
              <w:rPr>
                <w:sz w:val="20"/>
                <w:szCs w:val="20"/>
                <w:lang w:val="fr-CA" w:eastAsia="en-CA"/>
              </w:rPr>
              <w:t>;</w:t>
            </w:r>
          </w:p>
          <w:p w14:paraId="19F13CC6" w14:textId="2C8F5714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(ii) </w:t>
            </w:r>
            <w:r w:rsidR="00872638" w:rsidRPr="00872638">
              <w:rPr>
                <w:sz w:val="20"/>
                <w:szCs w:val="20"/>
                <w:lang w:val="fr-CA" w:eastAsia="en-CA"/>
              </w:rPr>
              <w:t>Demander un rapport périodique sur l’avancement de la mise en œuvre, pour la 87</w:t>
            </w:r>
            <w:r w:rsidR="00872638" w:rsidRPr="00872638">
              <w:rPr>
                <w:sz w:val="20"/>
                <w:szCs w:val="20"/>
                <w:vertAlign w:val="superscript"/>
                <w:lang w:val="fr-CA" w:eastAsia="en-CA"/>
              </w:rPr>
              <w:t>e</w:t>
            </w:r>
            <w:r w:rsidR="00872638" w:rsidRPr="00872638">
              <w:rPr>
                <w:sz w:val="20"/>
                <w:szCs w:val="20"/>
                <w:lang w:val="fr-CA" w:eastAsia="en-CA"/>
              </w:rPr>
              <w:t xml:space="preserve"> réunion </w:t>
            </w:r>
          </w:p>
        </w:tc>
      </w:tr>
      <w:tr w:rsidR="000E133D" w:rsidRPr="000E133D" w14:paraId="14B1695A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02CA1E5E" w14:textId="3BA653B1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Venezuela (</w:t>
            </w:r>
            <w:r w:rsidR="00B37E76">
              <w:rPr>
                <w:sz w:val="20"/>
                <w:szCs w:val="20"/>
                <w:lang w:val="fr-CA" w:eastAsia="en-CA"/>
              </w:rPr>
              <w:t>République bolivarienne de</w:t>
            </w:r>
            <w:r w:rsidRPr="000E133D">
              <w:rPr>
                <w:sz w:val="20"/>
                <w:szCs w:val="20"/>
                <w:lang w:val="fr-CA" w:eastAsia="en-CA"/>
              </w:rPr>
              <w:t>)</w:t>
            </w:r>
          </w:p>
          <w:p w14:paraId="1EFBA3A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VEN/PHA/76/TAS/132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6C1737E" w14:textId="66470C84" w:rsidR="000E133D" w:rsidRPr="000E133D" w:rsidRDefault="004B456E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Plan de gestion de l’élimination de HCFC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phase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II, </w:t>
            </w:r>
            <w:r w:rsidR="00B37E76">
              <w:rPr>
                <w:sz w:val="20"/>
                <w:szCs w:val="20"/>
                <w:lang w:val="fr-CA" w:eastAsia="en-CA"/>
              </w:rPr>
              <w:t>première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tranche) (</w:t>
            </w:r>
            <w:r>
              <w:rPr>
                <w:sz w:val="20"/>
                <w:szCs w:val="20"/>
                <w:lang w:val="fr-CA" w:eastAsia="en-CA"/>
              </w:rPr>
              <w:t>secteur de l’entretien en réfrigération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67879FF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64</w:t>
            </w:r>
          </w:p>
        </w:tc>
        <w:tc>
          <w:tcPr>
            <w:tcW w:w="340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46ED019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  <w:tc>
          <w:tcPr>
            <w:tcW w:w="3967" w:type="dxa"/>
            <w:vMerge/>
            <w:tcMar>
              <w:left w:w="72" w:type="dxa"/>
              <w:right w:w="58" w:type="dxa"/>
            </w:tcMar>
            <w:vAlign w:val="center"/>
            <w:hideMark/>
          </w:tcPr>
          <w:p w14:paraId="0D6271B8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</w:p>
        </w:tc>
      </w:tr>
      <w:tr w:rsidR="000E133D" w:rsidRPr="0087100D" w14:paraId="4AD3BFE5" w14:textId="77777777" w:rsidTr="00A95667">
        <w:tc>
          <w:tcPr>
            <w:tcW w:w="2248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75235C70" w14:textId="0B6FDD20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Mondial</w:t>
            </w:r>
          </w:p>
          <w:p w14:paraId="689E1E1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GLO/REF/80/DEM/344</w:t>
            </w:r>
          </w:p>
        </w:tc>
        <w:tc>
          <w:tcPr>
            <w:tcW w:w="3371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14F607E5" w14:textId="7E2954C5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Mondial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chiller replacement </w:t>
            </w:r>
            <w:r w:rsidR="00A95667">
              <w:rPr>
                <w:sz w:val="20"/>
                <w:szCs w:val="20"/>
                <w:lang w:val="fr-CA" w:eastAsia="en-CA"/>
              </w:rPr>
              <w:t>projet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Argentine</w:t>
            </w:r>
            <w:r w:rsidR="000E133D"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319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3D998900" w14:textId="77777777" w:rsidR="000E133D" w:rsidRPr="000E133D" w:rsidRDefault="000E133D" w:rsidP="000E133D">
            <w:pPr>
              <w:jc w:val="center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9 </w:t>
            </w:r>
          </w:p>
        </w:tc>
        <w:tc>
          <w:tcPr>
            <w:tcW w:w="340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629904E" w14:textId="05F91D6C" w:rsidR="000E133D" w:rsidRPr="000E133D" w:rsidRDefault="00B968EB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Faible taux de décaissement des fonds approuvés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; </w:t>
            </w:r>
            <w:r>
              <w:rPr>
                <w:sz w:val="20"/>
                <w:szCs w:val="20"/>
                <w:lang w:val="fr-CA" w:eastAsia="en-CA"/>
              </w:rPr>
              <w:t xml:space="preserve">retards en raison de la situation politique du pays et délai supplémentaire nécessaire afin de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finali</w:t>
            </w:r>
            <w:r>
              <w:rPr>
                <w:sz w:val="20"/>
                <w:szCs w:val="20"/>
                <w:lang w:val="fr-CA" w:eastAsia="en-CA"/>
              </w:rPr>
              <w:t xml:space="preserve">ser </w:t>
            </w:r>
            <w:r w:rsidR="00872638">
              <w:rPr>
                <w:sz w:val="20"/>
                <w:szCs w:val="20"/>
                <w:lang w:val="fr-CA" w:eastAsia="en-CA"/>
              </w:rPr>
              <w:t>les conditions financières de la mise en œuvre avec les bénéficiaires, en raison des modifications des taux d’emprunt dans le pays</w:t>
            </w:r>
          </w:p>
        </w:tc>
        <w:tc>
          <w:tcPr>
            <w:tcW w:w="3967" w:type="dxa"/>
            <w:shd w:val="clear" w:color="auto" w:fill="auto"/>
            <w:tcMar>
              <w:left w:w="72" w:type="dxa"/>
              <w:right w:w="58" w:type="dxa"/>
            </w:tcMar>
            <w:hideMark/>
          </w:tcPr>
          <w:p w14:paraId="4391C8DE" w14:textId="428FD872" w:rsidR="000E133D" w:rsidRPr="000E133D" w:rsidRDefault="0087263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bCs/>
                <w:sz w:val="20"/>
                <w:szCs w:val="20"/>
                <w:lang w:val="fr-CA" w:eastAsia="en-CA"/>
              </w:rPr>
              <w:t xml:space="preserve">Demander un rapport périodique sur l’avancement de la mise en œuvre, pour la </w:t>
            </w:r>
            <w:r w:rsidR="000E133D" w:rsidRPr="000E133D">
              <w:rPr>
                <w:bCs/>
                <w:sz w:val="20"/>
                <w:szCs w:val="20"/>
                <w:lang w:val="fr-CA" w:eastAsia="en-CA"/>
              </w:rPr>
              <w:t>87</w:t>
            </w:r>
            <w:r>
              <w:rPr>
                <w:bCs/>
                <w:sz w:val="20"/>
                <w:szCs w:val="20"/>
                <w:vertAlign w:val="superscript"/>
                <w:lang w:val="fr-CA" w:eastAsia="en-CA"/>
              </w:rPr>
              <w:t>e </w:t>
            </w:r>
            <w:r w:rsidR="00D0488E">
              <w:rPr>
                <w:bCs/>
                <w:sz w:val="20"/>
                <w:szCs w:val="20"/>
                <w:lang w:val="fr-CA" w:eastAsia="en-CA"/>
              </w:rPr>
              <w:t>réunion</w:t>
            </w:r>
          </w:p>
        </w:tc>
      </w:tr>
    </w:tbl>
    <w:p w14:paraId="38758677" w14:textId="77777777" w:rsidR="000E133D" w:rsidRPr="000E133D" w:rsidRDefault="000E133D" w:rsidP="000E133D">
      <w:pPr>
        <w:tabs>
          <w:tab w:val="left" w:pos="5560"/>
        </w:tabs>
        <w:jc w:val="center"/>
        <w:rPr>
          <w:b/>
          <w:bCs/>
          <w:lang w:val="fr-CA"/>
        </w:rPr>
      </w:pPr>
    </w:p>
    <w:p w14:paraId="0FB447A5" w14:textId="77777777" w:rsidR="000E133D" w:rsidRPr="000E133D" w:rsidRDefault="000E133D" w:rsidP="000E133D">
      <w:pPr>
        <w:tabs>
          <w:tab w:val="left" w:pos="5560"/>
        </w:tabs>
        <w:jc w:val="center"/>
        <w:rPr>
          <w:b/>
          <w:bCs/>
          <w:lang w:val="fr-CA"/>
        </w:rPr>
        <w:sectPr w:rsidR="000E133D" w:rsidRPr="000E133D" w:rsidSect="00A95667">
          <w:headerReference w:type="even" r:id="rId16"/>
          <w:headerReference w:type="default" r:id="rId17"/>
          <w:headerReference w:type="first" r:id="rId18"/>
          <w:footerReference w:type="first" r:id="rId19"/>
          <w:pgSz w:w="15840" w:h="12240" w:orient="landscape" w:code="1"/>
          <w:pgMar w:top="1440" w:right="720" w:bottom="1170" w:left="864" w:header="720" w:footer="475" w:gutter="0"/>
          <w:pgNumType w:start="1"/>
          <w:cols w:space="720"/>
          <w:titlePg/>
          <w:docGrid w:linePitch="299"/>
        </w:sectPr>
      </w:pPr>
    </w:p>
    <w:p w14:paraId="122D3234" w14:textId="120C5576" w:rsidR="000E133D" w:rsidRPr="000E133D" w:rsidRDefault="000E133D" w:rsidP="000E133D">
      <w:pPr>
        <w:jc w:val="center"/>
        <w:outlineLvl w:val="0"/>
        <w:rPr>
          <w:b/>
          <w:lang w:val="fr-CA"/>
        </w:rPr>
      </w:pPr>
      <w:r w:rsidRPr="000E133D">
        <w:rPr>
          <w:b/>
          <w:lang w:val="fr-CA"/>
        </w:rPr>
        <w:t>Annex</w:t>
      </w:r>
      <w:r w:rsidR="000A5A0B">
        <w:rPr>
          <w:b/>
          <w:lang w:val="fr-CA"/>
        </w:rPr>
        <w:t>e</w:t>
      </w:r>
      <w:r w:rsidRPr="000E133D">
        <w:rPr>
          <w:b/>
          <w:lang w:val="fr-CA"/>
        </w:rPr>
        <w:t xml:space="preserve"> II</w:t>
      </w:r>
    </w:p>
    <w:p w14:paraId="6AEB9D46" w14:textId="77777777" w:rsidR="000E133D" w:rsidRPr="000E133D" w:rsidRDefault="000E133D" w:rsidP="000E133D">
      <w:pPr>
        <w:jc w:val="center"/>
        <w:outlineLvl w:val="0"/>
        <w:rPr>
          <w:b/>
          <w:lang w:val="fr-CA"/>
        </w:rPr>
      </w:pPr>
    </w:p>
    <w:p w14:paraId="6BFD82F5" w14:textId="3F0EB1AA" w:rsidR="000E133D" w:rsidRPr="000E133D" w:rsidRDefault="000E133D" w:rsidP="000E133D">
      <w:pPr>
        <w:jc w:val="center"/>
        <w:outlineLvl w:val="0"/>
        <w:rPr>
          <w:b/>
          <w:lang w:val="fr-CA"/>
        </w:rPr>
      </w:pPr>
      <w:r w:rsidRPr="000E133D">
        <w:rPr>
          <w:b/>
          <w:lang w:val="fr-CA"/>
        </w:rPr>
        <w:t>ANALYS</w:t>
      </w:r>
      <w:r w:rsidR="00305562">
        <w:rPr>
          <w:b/>
          <w:lang w:val="fr-CA"/>
        </w:rPr>
        <w:t xml:space="preserve">E DU </w:t>
      </w:r>
      <w:r w:rsidR="00D0488E">
        <w:rPr>
          <w:b/>
          <w:lang w:val="fr-CA"/>
        </w:rPr>
        <w:t>RAPPORT PÉRIODIQUE</w:t>
      </w:r>
      <w:r w:rsidRPr="000E133D">
        <w:rPr>
          <w:b/>
          <w:lang w:val="fr-CA"/>
        </w:rPr>
        <w:t xml:space="preserve"> </w:t>
      </w:r>
      <w:r w:rsidR="00305562">
        <w:rPr>
          <w:b/>
          <w:lang w:val="fr-CA"/>
        </w:rPr>
        <w:t>DE L’</w:t>
      </w:r>
      <w:r w:rsidR="00A95667">
        <w:rPr>
          <w:b/>
          <w:lang w:val="fr-CA"/>
        </w:rPr>
        <w:t>ONUDI</w:t>
      </w:r>
      <w:r w:rsidRPr="000E133D">
        <w:rPr>
          <w:b/>
          <w:lang w:val="fr-CA"/>
        </w:rPr>
        <w:t xml:space="preserve"> </w:t>
      </w:r>
      <w:r w:rsidR="00305562">
        <w:rPr>
          <w:b/>
          <w:lang w:val="fr-CA"/>
        </w:rPr>
        <w:t xml:space="preserve">AU </w:t>
      </w:r>
      <w:r w:rsidRPr="000E133D">
        <w:rPr>
          <w:b/>
          <w:lang w:val="fr-CA"/>
        </w:rPr>
        <w:t xml:space="preserve">31 </w:t>
      </w:r>
      <w:r w:rsidR="001D0731">
        <w:rPr>
          <w:b/>
          <w:lang w:val="fr-CA"/>
        </w:rPr>
        <w:t>DÉC</w:t>
      </w:r>
      <w:r w:rsidRPr="000E133D">
        <w:rPr>
          <w:b/>
          <w:lang w:val="fr-CA"/>
        </w:rPr>
        <w:t>EMB</w:t>
      </w:r>
      <w:r w:rsidR="00305562">
        <w:rPr>
          <w:b/>
          <w:lang w:val="fr-CA"/>
        </w:rPr>
        <w:t>RE</w:t>
      </w:r>
      <w:r w:rsidRPr="000E133D">
        <w:rPr>
          <w:b/>
          <w:lang w:val="fr-CA"/>
        </w:rPr>
        <w:t xml:space="preserve"> 2019</w:t>
      </w:r>
    </w:p>
    <w:p w14:paraId="7795ED02" w14:textId="736291F0" w:rsidR="000E133D" w:rsidRDefault="000E133D" w:rsidP="000E133D">
      <w:pPr>
        <w:jc w:val="center"/>
        <w:outlineLvl w:val="0"/>
        <w:rPr>
          <w:b/>
          <w:lang w:val="fr-CA"/>
        </w:rPr>
      </w:pPr>
    </w:p>
    <w:p w14:paraId="27858E4A" w14:textId="77777777" w:rsidR="00FD79D6" w:rsidRPr="000E133D" w:rsidRDefault="00FD79D6" w:rsidP="000E133D">
      <w:pPr>
        <w:jc w:val="center"/>
        <w:outlineLvl w:val="0"/>
        <w:rPr>
          <w:b/>
          <w:lang w:val="fr-CA"/>
        </w:rPr>
      </w:pPr>
    </w:p>
    <w:p w14:paraId="4DB2573E" w14:textId="4276D6AD" w:rsidR="000E133D" w:rsidRPr="000E133D" w:rsidRDefault="00305562" w:rsidP="000E133D">
      <w:pPr>
        <w:numPr>
          <w:ilvl w:val="0"/>
          <w:numId w:val="40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La présente </w:t>
      </w:r>
      <w:r w:rsidR="000E133D" w:rsidRPr="000E133D">
        <w:rPr>
          <w:lang w:val="fr-CA"/>
        </w:rPr>
        <w:t>Annex</w:t>
      </w:r>
      <w:r>
        <w:rPr>
          <w:lang w:val="fr-CA"/>
        </w:rPr>
        <w:t>e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se compose des deux parties ci-</w:t>
      </w:r>
      <w:proofErr w:type="gramStart"/>
      <w:r>
        <w:rPr>
          <w:lang w:val="fr-CA"/>
        </w:rPr>
        <w:t>après</w:t>
      </w:r>
      <w:r w:rsidR="000E133D" w:rsidRPr="000E133D">
        <w:rPr>
          <w:lang w:val="fr-CA"/>
        </w:rPr>
        <w:t>:</w:t>
      </w:r>
      <w:proofErr w:type="gramEnd"/>
    </w:p>
    <w:p w14:paraId="4DC9C68E" w14:textId="73E464CA" w:rsidR="000E133D" w:rsidRPr="000E133D" w:rsidRDefault="00A95667" w:rsidP="000E133D">
      <w:pPr>
        <w:keepNext/>
        <w:adjustRightInd w:val="0"/>
        <w:spacing w:after="240"/>
        <w:ind w:left="2160" w:hanging="1440"/>
        <w:textAlignment w:val="baseline"/>
        <w:outlineLvl w:val="1"/>
        <w:rPr>
          <w:szCs w:val="28"/>
          <w:lang w:val="fr-CA"/>
        </w:rPr>
      </w:pPr>
      <w:r>
        <w:rPr>
          <w:szCs w:val="28"/>
          <w:lang w:val="fr-CA"/>
        </w:rPr>
        <w:t xml:space="preserve">Partie </w:t>
      </w:r>
      <w:r w:rsidR="000E133D" w:rsidRPr="000E133D">
        <w:rPr>
          <w:szCs w:val="28"/>
          <w:lang w:val="fr-CA"/>
        </w:rPr>
        <w:t>I:</w:t>
      </w:r>
      <w:r w:rsidR="000E133D" w:rsidRPr="000E133D">
        <w:rPr>
          <w:szCs w:val="28"/>
          <w:lang w:val="fr-CA"/>
        </w:rPr>
        <w:tab/>
      </w:r>
      <w:r>
        <w:rPr>
          <w:szCs w:val="28"/>
          <w:lang w:val="fr-CA"/>
        </w:rPr>
        <w:t>Projet</w:t>
      </w:r>
      <w:r w:rsidR="000E133D" w:rsidRPr="000E133D">
        <w:rPr>
          <w:szCs w:val="28"/>
          <w:lang w:val="fr-CA"/>
        </w:rPr>
        <w:t xml:space="preserve">s </w:t>
      </w:r>
      <w:bookmarkStart w:id="1" w:name="_Hlk55684373"/>
      <w:r w:rsidR="000E133D" w:rsidRPr="000E133D">
        <w:rPr>
          <w:szCs w:val="28"/>
          <w:lang w:val="fr-CA"/>
        </w:rPr>
        <w:t>appro</w:t>
      </w:r>
      <w:r w:rsidR="00305562">
        <w:rPr>
          <w:szCs w:val="28"/>
          <w:lang w:val="fr-CA"/>
        </w:rPr>
        <w:t xml:space="preserve">uvés au titre des </w:t>
      </w:r>
      <w:r w:rsidR="000E133D" w:rsidRPr="000E133D">
        <w:rPr>
          <w:lang w:val="fr-CA"/>
        </w:rPr>
        <w:t xml:space="preserve">contributions </w:t>
      </w:r>
      <w:r w:rsidR="00305562">
        <w:rPr>
          <w:lang w:val="fr-CA"/>
        </w:rPr>
        <w:t xml:space="preserve">régulières au </w:t>
      </w:r>
      <w:bookmarkEnd w:id="1"/>
      <w:r>
        <w:rPr>
          <w:lang w:val="fr-CA"/>
        </w:rPr>
        <w:t>Fonds multilatéral</w:t>
      </w:r>
      <w:r w:rsidR="000E133D" w:rsidRPr="000E133D">
        <w:rPr>
          <w:lang w:val="fr-CA"/>
        </w:rPr>
        <w:t>.</w:t>
      </w:r>
    </w:p>
    <w:p w14:paraId="50D3180A" w14:textId="1612DE2F" w:rsidR="000E133D" w:rsidRPr="000E133D" w:rsidRDefault="00A95667" w:rsidP="000E133D">
      <w:pPr>
        <w:adjustRightInd w:val="0"/>
        <w:spacing w:after="240"/>
        <w:ind w:left="2160" w:hanging="1440"/>
        <w:textAlignment w:val="baseline"/>
        <w:outlineLvl w:val="1"/>
        <w:rPr>
          <w:szCs w:val="28"/>
          <w:lang w:val="fr-CA"/>
        </w:rPr>
      </w:pPr>
      <w:r>
        <w:rPr>
          <w:szCs w:val="28"/>
          <w:lang w:val="fr-CA"/>
        </w:rPr>
        <w:t xml:space="preserve">Partie </w:t>
      </w:r>
      <w:r w:rsidR="000E133D" w:rsidRPr="000E133D">
        <w:rPr>
          <w:szCs w:val="28"/>
          <w:lang w:val="fr-CA"/>
        </w:rPr>
        <w:t>II:</w:t>
      </w:r>
      <w:r w:rsidR="000E133D" w:rsidRPr="000E133D">
        <w:rPr>
          <w:szCs w:val="28"/>
          <w:lang w:val="fr-CA"/>
        </w:rPr>
        <w:tab/>
      </w:r>
      <w:r>
        <w:rPr>
          <w:szCs w:val="28"/>
          <w:lang w:val="fr-CA"/>
        </w:rPr>
        <w:t>Projet</w:t>
      </w:r>
      <w:r w:rsidR="000E133D" w:rsidRPr="000E133D">
        <w:rPr>
          <w:szCs w:val="28"/>
          <w:lang w:val="fr-CA"/>
        </w:rPr>
        <w:t xml:space="preserve">s </w:t>
      </w:r>
      <w:r w:rsidR="00305562" w:rsidRPr="00305562">
        <w:rPr>
          <w:szCs w:val="28"/>
          <w:lang w:val="fr-CA"/>
        </w:rPr>
        <w:t xml:space="preserve">approuvés au titre des </w:t>
      </w:r>
      <w:r w:rsidR="000E133D" w:rsidRPr="000E133D">
        <w:rPr>
          <w:szCs w:val="28"/>
          <w:lang w:val="fr-CA"/>
        </w:rPr>
        <w:t xml:space="preserve">contributions </w:t>
      </w:r>
      <w:r w:rsidR="00305562">
        <w:rPr>
          <w:szCs w:val="28"/>
          <w:lang w:val="fr-CA"/>
        </w:rPr>
        <w:t xml:space="preserve">volontaires supplémentaires pour apporter un soutien à mise en œuvre rapide à </w:t>
      </w:r>
      <w:r w:rsidR="006D6EA5">
        <w:rPr>
          <w:szCs w:val="28"/>
          <w:lang w:val="fr-CA"/>
        </w:rPr>
        <w:t xml:space="preserve">l’élimination graduelle des </w:t>
      </w:r>
      <w:r w:rsidR="000E133D" w:rsidRPr="000E133D">
        <w:rPr>
          <w:szCs w:val="28"/>
          <w:lang w:val="fr-CA"/>
        </w:rPr>
        <w:t>HFC.</w:t>
      </w:r>
    </w:p>
    <w:p w14:paraId="4D4E2B66" w14:textId="498C71E3" w:rsidR="000E133D" w:rsidRPr="000E133D" w:rsidRDefault="00A95667" w:rsidP="000E133D">
      <w:pPr>
        <w:keepNext/>
        <w:keepLines/>
        <w:ind w:left="1418" w:hanging="1418"/>
        <w:outlineLvl w:val="0"/>
        <w:rPr>
          <w:rFonts w:ascii="Times New Roman Bold" w:hAnsi="Times New Roman Bold"/>
          <w:b/>
          <w:caps/>
          <w:szCs w:val="28"/>
          <w:lang w:val="fr-CA"/>
        </w:rPr>
      </w:pPr>
      <w:r>
        <w:rPr>
          <w:rFonts w:ascii="Times New Roman Bold" w:hAnsi="Times New Roman Bold"/>
          <w:b/>
          <w:caps/>
          <w:szCs w:val="28"/>
          <w:lang w:val="fr-CA"/>
        </w:rPr>
        <w:t xml:space="preserve">Partie 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 xml:space="preserve">I: 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ab/>
      </w:r>
      <w:r>
        <w:rPr>
          <w:rFonts w:ascii="Times New Roman Bold" w:hAnsi="Times New Roman Bold"/>
          <w:b/>
          <w:caps/>
          <w:szCs w:val="28"/>
          <w:lang w:val="fr-CA"/>
        </w:rPr>
        <w:t>Projet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 xml:space="preserve">s </w:t>
      </w:r>
      <w:r w:rsidR="006D6EA5" w:rsidRPr="006D6EA5">
        <w:rPr>
          <w:rFonts w:ascii="Times New Roman Bold" w:hAnsi="Times New Roman Bold"/>
          <w:b/>
          <w:caps/>
          <w:szCs w:val="28"/>
          <w:lang w:val="fr-CA"/>
        </w:rPr>
        <w:t>approuvés au titre des contributions régulières</w:t>
      </w:r>
      <w:r w:rsidR="006D6EA5">
        <w:rPr>
          <w:rFonts w:ascii="Times New Roman Bold" w:hAnsi="Times New Roman Bold"/>
          <w:b/>
          <w:caps/>
          <w:szCs w:val="28"/>
          <w:lang w:val="fr-CA"/>
        </w:rPr>
        <w:t xml:space="preserve"> </w:t>
      </w:r>
      <w:r w:rsidR="006D6EA5" w:rsidRPr="006D6EA5">
        <w:rPr>
          <w:rFonts w:ascii="Times New Roman Bold" w:hAnsi="Times New Roman Bold"/>
          <w:b/>
          <w:caps/>
          <w:szCs w:val="28"/>
          <w:lang w:val="fr-CA"/>
        </w:rPr>
        <w:t>au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 xml:space="preserve"> </w:t>
      </w:r>
      <w:r>
        <w:rPr>
          <w:rFonts w:ascii="Times New Roman Bold" w:hAnsi="Times New Roman Bold"/>
          <w:b/>
          <w:caps/>
          <w:szCs w:val="28"/>
          <w:lang w:val="fr-CA"/>
        </w:rPr>
        <w:t>Fonds multilatéral</w:t>
      </w:r>
    </w:p>
    <w:p w14:paraId="4AE3B3E2" w14:textId="77777777" w:rsidR="000E133D" w:rsidRPr="000E133D" w:rsidRDefault="000E133D" w:rsidP="000E133D">
      <w:pPr>
        <w:jc w:val="center"/>
        <w:outlineLvl w:val="0"/>
        <w:rPr>
          <w:b/>
          <w:lang w:val="fr-CA"/>
        </w:rPr>
      </w:pPr>
    </w:p>
    <w:p w14:paraId="1C78B80D" w14:textId="51F4B1AA" w:rsidR="000E133D" w:rsidRPr="000E133D" w:rsidRDefault="006D6EA5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En date du </w:t>
      </w:r>
      <w:r w:rsidR="000E133D" w:rsidRPr="000E133D">
        <w:rPr>
          <w:lang w:val="fr-CA"/>
        </w:rPr>
        <w:t xml:space="preserve">31 </w:t>
      </w:r>
      <w:r>
        <w:rPr>
          <w:lang w:val="fr-CA"/>
        </w:rPr>
        <w:t>d</w:t>
      </w:r>
      <w:r w:rsidR="001D0731">
        <w:rPr>
          <w:lang w:val="fr-CA"/>
        </w:rPr>
        <w:t>éc</w:t>
      </w:r>
      <w:r w:rsidR="000E133D" w:rsidRPr="000E133D">
        <w:rPr>
          <w:lang w:val="fr-CA"/>
        </w:rPr>
        <w:t>emb</w:t>
      </w:r>
      <w:r>
        <w:rPr>
          <w:lang w:val="fr-CA"/>
        </w:rPr>
        <w:t>r</w:t>
      </w:r>
      <w:r w:rsidR="000E133D" w:rsidRPr="000E133D">
        <w:rPr>
          <w:lang w:val="fr-CA"/>
        </w:rPr>
        <w:t xml:space="preserve">e 2019, </w:t>
      </w:r>
      <w:r>
        <w:rPr>
          <w:lang w:val="fr-CA"/>
        </w:rPr>
        <w:t>l</w:t>
      </w:r>
      <w:r w:rsidR="000E133D" w:rsidRPr="000E133D">
        <w:rPr>
          <w:lang w:val="fr-CA"/>
        </w:rPr>
        <w:t xml:space="preserve">e </w:t>
      </w:r>
      <w:r w:rsidR="00A95667">
        <w:rPr>
          <w:lang w:val="fr-CA"/>
        </w:rPr>
        <w:t>Comité exécutif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avait approuvé </w:t>
      </w:r>
      <w:r w:rsidR="000E133D" w:rsidRPr="000E133D">
        <w:rPr>
          <w:lang w:val="fr-CA"/>
        </w:rPr>
        <w:t>949</w:t>
      </w:r>
      <w:r>
        <w:rPr>
          <w:lang w:val="fr-CA"/>
        </w:rPr>
        <w:t>,</w:t>
      </w:r>
      <w:r w:rsidR="000E133D" w:rsidRPr="000E133D">
        <w:rPr>
          <w:lang w:val="fr-CA"/>
        </w:rPr>
        <w:t>52 million</w:t>
      </w:r>
      <w:r>
        <w:rPr>
          <w:lang w:val="fr-CA"/>
        </w:rPr>
        <w:t>s $US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 xml:space="preserve">soit </w:t>
      </w:r>
      <w:r w:rsidR="000E133D" w:rsidRPr="000E133D">
        <w:rPr>
          <w:lang w:val="fr-CA"/>
        </w:rPr>
        <w:t>839</w:t>
      </w:r>
      <w:r>
        <w:rPr>
          <w:lang w:val="fr-CA"/>
        </w:rPr>
        <w:t>,</w:t>
      </w:r>
      <w:r w:rsidR="000E133D" w:rsidRPr="000E133D">
        <w:rPr>
          <w:lang w:val="fr-CA"/>
        </w:rPr>
        <w:t>66 million</w:t>
      </w:r>
      <w:r>
        <w:rPr>
          <w:lang w:val="fr-CA"/>
        </w:rPr>
        <w:t xml:space="preserve">s $US pour la mise en œuvre de projets d’investissement et de projets ne portant pas sur des investissements, et </w:t>
      </w:r>
      <w:r w:rsidR="000E133D" w:rsidRPr="000E133D">
        <w:rPr>
          <w:lang w:val="fr-CA"/>
        </w:rPr>
        <w:t>109</w:t>
      </w:r>
      <w:r>
        <w:rPr>
          <w:lang w:val="fr-CA"/>
        </w:rPr>
        <w:t>,</w:t>
      </w:r>
      <w:r w:rsidR="000E133D" w:rsidRPr="000E133D">
        <w:rPr>
          <w:lang w:val="fr-CA"/>
        </w:rPr>
        <w:t>86 million</w:t>
      </w:r>
      <w:r>
        <w:rPr>
          <w:lang w:val="fr-CA"/>
        </w:rPr>
        <w:t>s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$US de </w:t>
      </w:r>
      <w:r w:rsidR="00C84B88">
        <w:rPr>
          <w:lang w:val="fr-CA"/>
        </w:rPr>
        <w:t>coûts d’appui d’agence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 xml:space="preserve">comme indiqué au </w:t>
      </w:r>
      <w:r w:rsidR="000E133D" w:rsidRPr="000E133D">
        <w:rPr>
          <w:lang w:val="fr-CA"/>
        </w:rPr>
        <w:t>Table</w:t>
      </w:r>
      <w:r>
        <w:rPr>
          <w:lang w:val="fr-CA"/>
        </w:rPr>
        <w:t>au</w:t>
      </w:r>
      <w:r w:rsidR="000E133D" w:rsidRPr="000E133D">
        <w:rPr>
          <w:lang w:val="fr-CA"/>
        </w:rPr>
        <w:t xml:space="preserve"> 1. </w:t>
      </w:r>
      <w:r>
        <w:rPr>
          <w:lang w:val="fr-CA"/>
        </w:rPr>
        <w:t>E</w:t>
      </w:r>
      <w:r w:rsidR="000E133D" w:rsidRPr="000E133D">
        <w:rPr>
          <w:lang w:val="fr-CA"/>
        </w:rPr>
        <w:t>n 2019, 66 n</w:t>
      </w:r>
      <w:r>
        <w:rPr>
          <w:lang w:val="fr-CA"/>
        </w:rPr>
        <w:t xml:space="preserve">ouveaux projets et </w:t>
      </w:r>
      <w:r w:rsidR="008A5426">
        <w:rPr>
          <w:lang w:val="fr-CA"/>
        </w:rPr>
        <w:t>activités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ont été approuvés</w:t>
      </w:r>
      <w:r w:rsidR="000E133D" w:rsidRPr="000E133D">
        <w:rPr>
          <w:lang w:val="fr-CA"/>
        </w:rPr>
        <w:t xml:space="preserve">. </w:t>
      </w:r>
      <w:r>
        <w:rPr>
          <w:lang w:val="fr-CA"/>
        </w:rPr>
        <w:t xml:space="preserve">Ce niveau de financement devrait permettre l’élimination de </w:t>
      </w:r>
      <w:r w:rsidR="000E133D" w:rsidRPr="000E133D">
        <w:rPr>
          <w:lang w:val="fr-CA"/>
        </w:rPr>
        <w:t>81</w:t>
      </w:r>
      <w:r>
        <w:rPr>
          <w:lang w:val="fr-CA"/>
        </w:rPr>
        <w:t> </w:t>
      </w:r>
      <w:r w:rsidR="000E133D" w:rsidRPr="000E133D">
        <w:rPr>
          <w:lang w:val="fr-CA"/>
        </w:rPr>
        <w:t xml:space="preserve">941 </w:t>
      </w:r>
      <w:r>
        <w:rPr>
          <w:lang w:val="fr-CA"/>
        </w:rPr>
        <w:t>t</w:t>
      </w:r>
      <w:r w:rsidR="00591378">
        <w:rPr>
          <w:lang w:val="fr-CA"/>
        </w:rPr>
        <w:t>onnes PAO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de </w:t>
      </w:r>
      <w:r w:rsidR="00591378">
        <w:rPr>
          <w:lang w:val="fr-CA"/>
        </w:rPr>
        <w:t>consommation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et de </w:t>
      </w:r>
      <w:r w:rsidR="000E133D" w:rsidRPr="000E133D">
        <w:rPr>
          <w:lang w:val="fr-CA"/>
        </w:rPr>
        <w:t xml:space="preserve">production </w:t>
      </w:r>
      <w:r>
        <w:rPr>
          <w:lang w:val="fr-CA"/>
        </w:rPr>
        <w:t>de</w:t>
      </w:r>
      <w:r w:rsidR="000E133D" w:rsidRPr="000E133D">
        <w:rPr>
          <w:lang w:val="fr-CA"/>
        </w:rPr>
        <w:t xml:space="preserve"> </w:t>
      </w:r>
      <w:r w:rsidR="00FA4D4B">
        <w:rPr>
          <w:lang w:val="fr-CA"/>
        </w:rPr>
        <w:t>substances réglementées</w:t>
      </w:r>
      <w:r w:rsidR="000E133D" w:rsidRPr="000E133D">
        <w:rPr>
          <w:lang w:val="fr-CA"/>
        </w:rPr>
        <w:t xml:space="preserve">. </w:t>
      </w:r>
    </w:p>
    <w:p w14:paraId="5E39811E" w14:textId="1B6D1671" w:rsidR="000E133D" w:rsidRPr="000E133D" w:rsidRDefault="000E133D" w:rsidP="000E133D">
      <w:pPr>
        <w:keepNext/>
        <w:suppressAutoHyphens/>
        <w:outlineLvl w:val="0"/>
        <w:rPr>
          <w:b/>
          <w:lang w:val="fr-CA"/>
        </w:rPr>
      </w:pPr>
      <w:r w:rsidRPr="000E133D">
        <w:rPr>
          <w:b/>
          <w:spacing w:val="-3"/>
          <w:lang w:val="fr-CA"/>
        </w:rPr>
        <w:t>Table</w:t>
      </w:r>
      <w:r w:rsidR="006D6EA5">
        <w:rPr>
          <w:b/>
          <w:spacing w:val="-3"/>
          <w:lang w:val="fr-CA"/>
        </w:rPr>
        <w:t>au</w:t>
      </w:r>
      <w:r w:rsidRPr="000E133D">
        <w:rPr>
          <w:b/>
          <w:spacing w:val="-3"/>
          <w:lang w:val="fr-CA"/>
        </w:rPr>
        <w:t xml:space="preserve"> 1: </w:t>
      </w:r>
      <w:r w:rsidR="006D6EA5">
        <w:rPr>
          <w:b/>
          <w:spacing w:val="-3"/>
          <w:lang w:val="fr-CA"/>
        </w:rPr>
        <w:t>Financement approuvé par secteur pour l’</w:t>
      </w:r>
      <w:r w:rsidR="00A95667">
        <w:rPr>
          <w:b/>
          <w:spacing w:val="-3"/>
          <w:lang w:val="fr-CA"/>
        </w:rPr>
        <w:t>ONUDI</w:t>
      </w:r>
      <w:r w:rsidRPr="000E133D">
        <w:rPr>
          <w:b/>
          <w:spacing w:val="-3"/>
          <w:lang w:val="fr-CA"/>
        </w:rPr>
        <w:t xml:space="preserve"> a</w:t>
      </w:r>
      <w:r w:rsidR="006D6EA5">
        <w:rPr>
          <w:b/>
          <w:spacing w:val="-3"/>
          <w:lang w:val="fr-CA"/>
        </w:rPr>
        <w:t xml:space="preserve">u </w:t>
      </w:r>
      <w:r w:rsidRPr="000E133D">
        <w:rPr>
          <w:b/>
          <w:spacing w:val="-3"/>
          <w:lang w:val="fr-CA"/>
        </w:rPr>
        <w:t xml:space="preserve">31 </w:t>
      </w:r>
      <w:r w:rsidR="006D6EA5">
        <w:rPr>
          <w:b/>
          <w:spacing w:val="-3"/>
          <w:lang w:val="fr-CA"/>
        </w:rPr>
        <w:t>d</w:t>
      </w:r>
      <w:r w:rsidR="001D0731">
        <w:rPr>
          <w:b/>
          <w:spacing w:val="-3"/>
          <w:lang w:val="fr-CA"/>
        </w:rPr>
        <w:t>éc</w:t>
      </w:r>
      <w:r w:rsidRPr="000E133D">
        <w:rPr>
          <w:b/>
          <w:spacing w:val="-3"/>
          <w:lang w:val="fr-CA"/>
        </w:rPr>
        <w:t>emb</w:t>
      </w:r>
      <w:r w:rsidR="006D6EA5">
        <w:rPr>
          <w:b/>
          <w:spacing w:val="-3"/>
          <w:lang w:val="fr-CA"/>
        </w:rPr>
        <w:t>r</w:t>
      </w:r>
      <w:r w:rsidRPr="000E133D">
        <w:rPr>
          <w:b/>
          <w:spacing w:val="-3"/>
          <w:lang w:val="fr-CA"/>
        </w:rPr>
        <w:t xml:space="preserve">e </w:t>
      </w:r>
      <w:r w:rsidRPr="000E133D">
        <w:rPr>
          <w:b/>
          <w:lang w:val="fr-CA"/>
        </w:rPr>
        <w:t>2019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E133D" w:rsidRPr="000E133D" w14:paraId="008DC282" w14:textId="77777777" w:rsidTr="00A95667">
        <w:trPr>
          <w:trHeight w:val="20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5727" w14:textId="4C6C9466" w:rsidR="000E133D" w:rsidRPr="000E133D" w:rsidRDefault="000E133D" w:rsidP="000E133D">
            <w:pPr>
              <w:jc w:val="center"/>
              <w:rPr>
                <w:b/>
                <w:bCs/>
                <w:sz w:val="21"/>
                <w:szCs w:val="21"/>
                <w:lang w:val="fr-CA" w:eastAsia="en-CA"/>
              </w:rPr>
            </w:pPr>
            <w:r w:rsidRPr="000E133D">
              <w:rPr>
                <w:b/>
                <w:bCs/>
                <w:sz w:val="21"/>
                <w:szCs w:val="21"/>
                <w:lang w:val="fr-CA" w:eastAsia="en-CA"/>
              </w:rPr>
              <w:t>Sect</w:t>
            </w:r>
            <w:r w:rsidR="006D6EA5">
              <w:rPr>
                <w:b/>
                <w:bCs/>
                <w:sz w:val="21"/>
                <w:szCs w:val="21"/>
                <w:lang w:val="fr-CA" w:eastAsia="en-CA"/>
              </w:rPr>
              <w:t>eu</w:t>
            </w:r>
            <w:r w:rsidRPr="000E133D">
              <w:rPr>
                <w:b/>
                <w:bCs/>
                <w:sz w:val="21"/>
                <w:szCs w:val="21"/>
                <w:lang w:val="fr-CA" w:eastAsia="en-CA"/>
              </w:rPr>
              <w:t>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6BA7" w14:textId="62F3AB99" w:rsidR="000E133D" w:rsidRPr="000E133D" w:rsidRDefault="000E133D" w:rsidP="000E133D">
            <w:pPr>
              <w:jc w:val="center"/>
              <w:rPr>
                <w:b/>
                <w:bCs/>
                <w:sz w:val="21"/>
                <w:szCs w:val="21"/>
                <w:lang w:val="fr-CA" w:eastAsia="en-CA"/>
              </w:rPr>
            </w:pPr>
            <w:r w:rsidRPr="000E133D">
              <w:rPr>
                <w:b/>
                <w:bCs/>
                <w:sz w:val="21"/>
                <w:szCs w:val="21"/>
                <w:lang w:val="fr-CA" w:eastAsia="en-CA"/>
              </w:rPr>
              <w:t>F</w:t>
            </w:r>
            <w:r w:rsidR="006D6EA5">
              <w:rPr>
                <w:b/>
                <w:bCs/>
                <w:sz w:val="21"/>
                <w:szCs w:val="21"/>
                <w:lang w:val="fr-CA" w:eastAsia="en-CA"/>
              </w:rPr>
              <w:t>inancement</w:t>
            </w:r>
            <w:r w:rsidRPr="000E133D">
              <w:rPr>
                <w:b/>
                <w:bCs/>
                <w:sz w:val="21"/>
                <w:szCs w:val="21"/>
                <w:lang w:val="fr-CA" w:eastAsia="en-CA"/>
              </w:rPr>
              <w:t xml:space="preserve"> (</w:t>
            </w:r>
            <w:r w:rsidR="006D6EA5">
              <w:rPr>
                <w:b/>
                <w:bCs/>
                <w:sz w:val="21"/>
                <w:szCs w:val="21"/>
                <w:lang w:val="fr-CA" w:eastAsia="en-CA"/>
              </w:rPr>
              <w:t>$</w:t>
            </w:r>
            <w:r w:rsidRPr="000E133D">
              <w:rPr>
                <w:b/>
                <w:bCs/>
                <w:sz w:val="21"/>
                <w:szCs w:val="21"/>
                <w:lang w:val="fr-CA" w:eastAsia="en-CA"/>
              </w:rPr>
              <w:t>US)</w:t>
            </w:r>
          </w:p>
        </w:tc>
      </w:tr>
      <w:tr w:rsidR="000E133D" w:rsidRPr="000E133D" w14:paraId="0AA21CB8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AB9" w14:textId="06A91FE1" w:rsidR="000E133D" w:rsidRPr="000E133D" w:rsidRDefault="006D6EA5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Aérosols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12816F93" w14:textId="087AEFBA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34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413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701</w:t>
            </w:r>
          </w:p>
        </w:tc>
      </w:tr>
      <w:tr w:rsidR="000E133D" w:rsidRPr="000E133D" w14:paraId="2FA85125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68CF" w14:textId="77777777" w:rsidR="000E133D" w:rsidRPr="000E133D" w:rsidRDefault="000E133D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Destruction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5DA575E2" w14:textId="768EA75C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3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813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216</w:t>
            </w:r>
          </w:p>
        </w:tc>
      </w:tr>
      <w:tr w:rsidR="000E133D" w:rsidRPr="000E133D" w14:paraId="14DED1CE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D73" w14:textId="52BAD80C" w:rsidR="000E133D" w:rsidRPr="000E133D" w:rsidRDefault="006D6EA5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>
              <w:rPr>
                <w:sz w:val="21"/>
                <w:szCs w:val="21"/>
                <w:lang w:val="fr-CA" w:eastAsia="en-CA"/>
              </w:rPr>
              <w:t>Mousses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4699C9C8" w14:textId="20DA1EDE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89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362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746</w:t>
            </w:r>
          </w:p>
        </w:tc>
      </w:tr>
      <w:tr w:rsidR="000E133D" w:rsidRPr="000E133D" w14:paraId="6DE7D9AB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EA3" w14:textId="64FF1A26" w:rsidR="000E133D" w:rsidRPr="000E133D" w:rsidRDefault="000E133D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Halon</w:t>
            </w:r>
            <w:r w:rsidR="006D6EA5">
              <w:rPr>
                <w:sz w:val="21"/>
                <w:szCs w:val="21"/>
                <w:lang w:val="fr-CA" w:eastAsia="en-CA"/>
              </w:rPr>
              <w:t>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43BE12E6" w14:textId="219489A3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1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780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369</w:t>
            </w:r>
          </w:p>
        </w:tc>
      </w:tr>
      <w:tr w:rsidR="000E133D" w:rsidRPr="000E133D" w14:paraId="638217DA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656" w14:textId="7BB50D68" w:rsidR="000E133D" w:rsidRPr="000E133D" w:rsidRDefault="000E133D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Fumig</w:t>
            </w:r>
            <w:r w:rsidR="006D6EA5">
              <w:rPr>
                <w:sz w:val="21"/>
                <w:szCs w:val="21"/>
                <w:lang w:val="fr-CA" w:eastAsia="en-CA"/>
              </w:rPr>
              <w:t>ène</w:t>
            </w:r>
            <w:r w:rsidRPr="000E133D">
              <w:rPr>
                <w:sz w:val="21"/>
                <w:szCs w:val="21"/>
                <w:lang w:val="fr-CA" w:eastAsia="en-CA"/>
              </w:rPr>
              <w:t>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0EE0DCC5" w14:textId="0A1B40F2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78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028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741</w:t>
            </w:r>
          </w:p>
        </w:tc>
      </w:tr>
      <w:tr w:rsidR="000E133D" w:rsidRPr="000E133D" w14:paraId="3C426921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FF6F" w14:textId="32385D96" w:rsidR="000E133D" w:rsidRPr="000E133D" w:rsidRDefault="006D6EA5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>
              <w:rPr>
                <w:sz w:val="21"/>
                <w:szCs w:val="21"/>
                <w:lang w:val="fr-CA" w:eastAsia="en-CA"/>
              </w:rPr>
              <w:t>Secteurs multiples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1628F4C2" w14:textId="0FB037EF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139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440</w:t>
            </w:r>
          </w:p>
        </w:tc>
      </w:tr>
      <w:tr w:rsidR="000E133D" w:rsidRPr="000E133D" w14:paraId="06147B24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8BC" w14:textId="28C548C1" w:rsidR="000E133D" w:rsidRPr="000E133D" w:rsidRDefault="006D6EA5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>
              <w:rPr>
                <w:sz w:val="21"/>
                <w:szCs w:val="21"/>
                <w:lang w:val="fr-CA" w:eastAsia="en-CA"/>
              </w:rPr>
              <w:t>Divers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423854A8" w14:textId="3EBA2C3C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11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317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246</w:t>
            </w:r>
          </w:p>
        </w:tc>
      </w:tr>
      <w:tr w:rsidR="000E133D" w:rsidRPr="000E133D" w14:paraId="36455F60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B9D7" w14:textId="01F32B2C" w:rsidR="000E133D" w:rsidRPr="000E133D" w:rsidRDefault="000E133D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P</w:t>
            </w:r>
            <w:r w:rsidR="009B12E8">
              <w:rPr>
                <w:sz w:val="21"/>
                <w:szCs w:val="21"/>
                <w:lang w:val="fr-CA" w:eastAsia="en-CA"/>
              </w:rPr>
              <w:t>lan d’élimination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481A5BED" w14:textId="78792F41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340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083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408</w:t>
            </w:r>
          </w:p>
        </w:tc>
      </w:tr>
      <w:tr w:rsidR="000E133D" w:rsidRPr="000E133D" w14:paraId="577F2796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BC45" w14:textId="381A5E42" w:rsidR="000E133D" w:rsidRPr="000E133D" w:rsidRDefault="009B12E8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>
              <w:rPr>
                <w:sz w:val="21"/>
                <w:szCs w:val="21"/>
                <w:lang w:val="fr-CA" w:eastAsia="en-CA"/>
              </w:rPr>
              <w:t>A</w:t>
            </w:r>
            <w:r w:rsidR="000E133D" w:rsidRPr="000E133D">
              <w:rPr>
                <w:sz w:val="21"/>
                <w:szCs w:val="21"/>
                <w:lang w:val="fr-CA" w:eastAsia="en-CA"/>
              </w:rPr>
              <w:t>gent</w:t>
            </w:r>
            <w:r>
              <w:rPr>
                <w:sz w:val="21"/>
                <w:szCs w:val="21"/>
                <w:lang w:val="fr-CA" w:eastAsia="en-CA"/>
              </w:rPr>
              <w:t xml:space="preserve"> de traitement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330B671A" w14:textId="499FE947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6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337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359</w:t>
            </w:r>
          </w:p>
        </w:tc>
      </w:tr>
      <w:tr w:rsidR="000E133D" w:rsidRPr="000E133D" w14:paraId="3421CFBA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88D9" w14:textId="77777777" w:rsidR="000E133D" w:rsidRPr="000E133D" w:rsidRDefault="000E133D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Production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6274C120" w14:textId="732838C8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50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645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327</w:t>
            </w:r>
          </w:p>
        </w:tc>
      </w:tr>
      <w:tr w:rsidR="000E133D" w:rsidRPr="000E133D" w14:paraId="5E9B73D0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A04" w14:textId="74EAA4E2" w:rsidR="000E133D" w:rsidRPr="000E133D" w:rsidRDefault="009B12E8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Réfrigération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59604DF4" w14:textId="572F3366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182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330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122</w:t>
            </w:r>
          </w:p>
        </w:tc>
      </w:tr>
      <w:tr w:rsidR="000E133D" w:rsidRPr="000E133D" w14:paraId="264B9135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DB2A" w14:textId="583F697E" w:rsidR="000E133D" w:rsidRPr="000E133D" w:rsidRDefault="009B12E8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>
              <w:rPr>
                <w:sz w:val="21"/>
                <w:szCs w:val="21"/>
                <w:lang w:val="fr-CA" w:eastAsia="en-CA"/>
              </w:rPr>
              <w:t>Plusieurs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5E02A39C" w14:textId="588E1349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18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165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654</w:t>
            </w:r>
          </w:p>
        </w:tc>
      </w:tr>
      <w:tr w:rsidR="000E133D" w:rsidRPr="000E133D" w14:paraId="2C6650EE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98F" w14:textId="1FEC13FB" w:rsidR="000E133D" w:rsidRPr="000E133D" w:rsidRDefault="000E133D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Solv</w:t>
            </w:r>
            <w:r w:rsidR="009B12E8">
              <w:rPr>
                <w:sz w:val="21"/>
                <w:szCs w:val="21"/>
                <w:lang w:val="fr-CA" w:eastAsia="en-CA"/>
              </w:rPr>
              <w:t>a</w:t>
            </w:r>
            <w:r w:rsidRPr="000E133D">
              <w:rPr>
                <w:sz w:val="21"/>
                <w:szCs w:val="21"/>
                <w:lang w:val="fr-CA" w:eastAsia="en-CA"/>
              </w:rPr>
              <w:t>nts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0FF45B7C" w14:textId="340F8653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23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247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443</w:t>
            </w:r>
          </w:p>
        </w:tc>
      </w:tr>
      <w:tr w:rsidR="000E133D" w:rsidRPr="000E133D" w14:paraId="71C40F72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8CBB" w14:textId="09183476" w:rsidR="000E133D" w:rsidRPr="000E133D" w:rsidRDefault="009B12E8" w:rsidP="000E133D">
            <w:pPr>
              <w:jc w:val="left"/>
              <w:rPr>
                <w:b/>
                <w:bCs/>
                <w:sz w:val="21"/>
                <w:szCs w:val="21"/>
                <w:lang w:val="fr-CA" w:eastAsia="en-CA"/>
              </w:rPr>
            </w:pPr>
            <w:r>
              <w:rPr>
                <w:b/>
                <w:bCs/>
                <w:sz w:val="21"/>
                <w:szCs w:val="21"/>
                <w:lang w:val="fr-CA" w:eastAsia="en-CA"/>
              </w:rPr>
              <w:t>T</w:t>
            </w:r>
            <w:r w:rsidR="000E133D" w:rsidRPr="000E133D">
              <w:rPr>
                <w:b/>
                <w:bCs/>
                <w:sz w:val="21"/>
                <w:szCs w:val="21"/>
                <w:lang w:val="fr-CA" w:eastAsia="en-CA"/>
              </w:rPr>
              <w:t>otal</w:t>
            </w:r>
            <w:r>
              <w:rPr>
                <w:b/>
                <w:bCs/>
                <w:sz w:val="21"/>
                <w:szCs w:val="21"/>
                <w:lang w:val="fr-CA" w:eastAsia="en-CA"/>
              </w:rPr>
              <w:t xml:space="preserve"> partiel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4392CCB5" w14:textId="3A3B6731" w:rsidR="000E133D" w:rsidRPr="000E133D" w:rsidRDefault="000E133D" w:rsidP="000E133D">
            <w:pPr>
              <w:jc w:val="right"/>
              <w:rPr>
                <w:b/>
                <w:sz w:val="21"/>
                <w:szCs w:val="21"/>
                <w:lang w:val="fr-CA" w:eastAsia="en-CA"/>
              </w:rPr>
            </w:pPr>
            <w:r w:rsidRPr="000E133D">
              <w:rPr>
                <w:b/>
                <w:sz w:val="21"/>
                <w:szCs w:val="21"/>
                <w:lang w:val="fr-CA" w:eastAsia="en-CA"/>
              </w:rPr>
              <w:t>839</w:t>
            </w:r>
            <w:r w:rsidR="009B12E8">
              <w:rPr>
                <w:b/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b/>
                <w:sz w:val="21"/>
                <w:szCs w:val="21"/>
                <w:lang w:val="fr-CA" w:eastAsia="en-CA"/>
              </w:rPr>
              <w:t>664</w:t>
            </w:r>
            <w:r w:rsidR="009B12E8">
              <w:rPr>
                <w:b/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b/>
                <w:sz w:val="21"/>
                <w:szCs w:val="21"/>
                <w:lang w:val="fr-CA" w:eastAsia="en-CA"/>
              </w:rPr>
              <w:t>771</w:t>
            </w:r>
          </w:p>
        </w:tc>
      </w:tr>
      <w:tr w:rsidR="000E133D" w:rsidRPr="000E133D" w14:paraId="1DB6B6F2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8480" w14:textId="78601C0E" w:rsidR="000E133D" w:rsidRPr="000E133D" w:rsidRDefault="00C84B88" w:rsidP="000E133D">
            <w:pPr>
              <w:jc w:val="left"/>
              <w:rPr>
                <w:sz w:val="21"/>
                <w:szCs w:val="21"/>
                <w:lang w:val="fr-CA" w:eastAsia="en-CA"/>
              </w:rPr>
            </w:pPr>
            <w:r>
              <w:rPr>
                <w:sz w:val="21"/>
                <w:szCs w:val="21"/>
                <w:lang w:val="fr-CA" w:eastAsia="en-CA"/>
              </w:rPr>
              <w:t>Coûts d’appui d’agence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2E94CE2F" w14:textId="17EFB2EF" w:rsidR="000E133D" w:rsidRPr="000E133D" w:rsidRDefault="000E133D" w:rsidP="000E133D">
            <w:pPr>
              <w:jc w:val="right"/>
              <w:rPr>
                <w:sz w:val="21"/>
                <w:szCs w:val="21"/>
                <w:lang w:val="fr-CA" w:eastAsia="en-CA"/>
              </w:rPr>
            </w:pPr>
            <w:r w:rsidRPr="000E133D">
              <w:rPr>
                <w:sz w:val="21"/>
                <w:szCs w:val="21"/>
                <w:lang w:val="fr-CA" w:eastAsia="en-CA"/>
              </w:rPr>
              <w:t>109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857</w:t>
            </w:r>
            <w:r w:rsidR="009B12E8">
              <w:rPr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sz w:val="21"/>
                <w:szCs w:val="21"/>
                <w:lang w:val="fr-CA" w:eastAsia="en-CA"/>
              </w:rPr>
              <w:t>585</w:t>
            </w:r>
          </w:p>
        </w:tc>
      </w:tr>
      <w:tr w:rsidR="000E133D" w:rsidRPr="000E133D" w14:paraId="04D7176E" w14:textId="77777777" w:rsidTr="00A95667">
        <w:trPr>
          <w:trHeight w:val="2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1B8A" w14:textId="77777777" w:rsidR="000E133D" w:rsidRPr="000E133D" w:rsidRDefault="000E133D" w:rsidP="000E133D">
            <w:pPr>
              <w:jc w:val="left"/>
              <w:rPr>
                <w:b/>
                <w:bCs/>
                <w:sz w:val="21"/>
                <w:szCs w:val="21"/>
                <w:lang w:val="fr-CA" w:eastAsia="en-CA"/>
              </w:rPr>
            </w:pPr>
            <w:r w:rsidRPr="000E133D">
              <w:rPr>
                <w:b/>
                <w:bCs/>
                <w:sz w:val="21"/>
                <w:szCs w:val="21"/>
                <w:lang w:val="fr-CA" w:eastAsia="en-CA"/>
              </w:rPr>
              <w:t>Total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440" w:type="dxa"/>
            </w:tcMar>
            <w:vAlign w:val="bottom"/>
            <w:hideMark/>
          </w:tcPr>
          <w:p w14:paraId="444E2465" w14:textId="58C354E9" w:rsidR="000E133D" w:rsidRPr="000E133D" w:rsidRDefault="000E133D" w:rsidP="000E133D">
            <w:pPr>
              <w:jc w:val="right"/>
              <w:rPr>
                <w:b/>
                <w:sz w:val="21"/>
                <w:szCs w:val="21"/>
                <w:lang w:val="fr-CA" w:eastAsia="en-CA"/>
              </w:rPr>
            </w:pPr>
            <w:r w:rsidRPr="000E133D">
              <w:rPr>
                <w:b/>
                <w:sz w:val="21"/>
                <w:szCs w:val="21"/>
                <w:lang w:val="fr-CA" w:eastAsia="en-CA"/>
              </w:rPr>
              <w:t>949</w:t>
            </w:r>
            <w:r w:rsidR="009B12E8">
              <w:rPr>
                <w:b/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b/>
                <w:sz w:val="21"/>
                <w:szCs w:val="21"/>
                <w:lang w:val="fr-CA" w:eastAsia="en-CA"/>
              </w:rPr>
              <w:t>522</w:t>
            </w:r>
            <w:r w:rsidR="009B12E8">
              <w:rPr>
                <w:b/>
                <w:sz w:val="21"/>
                <w:szCs w:val="21"/>
                <w:lang w:val="fr-CA" w:eastAsia="en-CA"/>
              </w:rPr>
              <w:t> </w:t>
            </w:r>
            <w:r w:rsidRPr="000E133D">
              <w:rPr>
                <w:b/>
                <w:sz w:val="21"/>
                <w:szCs w:val="21"/>
                <w:lang w:val="fr-CA" w:eastAsia="en-CA"/>
              </w:rPr>
              <w:t>356</w:t>
            </w:r>
          </w:p>
        </w:tc>
      </w:tr>
    </w:tbl>
    <w:p w14:paraId="4AAA772E" w14:textId="77777777" w:rsidR="000E133D" w:rsidRPr="000E133D" w:rsidRDefault="000E133D" w:rsidP="000E133D">
      <w:pPr>
        <w:outlineLvl w:val="0"/>
        <w:rPr>
          <w:lang w:val="fr-CA"/>
        </w:rPr>
      </w:pPr>
    </w:p>
    <w:p w14:paraId="08AAFD9A" w14:textId="52E8E3C6" w:rsidR="000E133D" w:rsidRPr="000E133D" w:rsidRDefault="009B12E8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>Le Tableau 2 présente un résumé de l’état des projets mis en œuvre par catégorie</w:t>
      </w:r>
      <w:r w:rsidR="000E133D" w:rsidRPr="000E133D">
        <w:rPr>
          <w:lang w:val="fr-CA"/>
        </w:rPr>
        <w:t xml:space="preserve">. </w:t>
      </w:r>
    </w:p>
    <w:p w14:paraId="22CFA0EA" w14:textId="42E343CF" w:rsidR="000E133D" w:rsidRPr="000E133D" w:rsidRDefault="000E133D" w:rsidP="000E133D">
      <w:pPr>
        <w:keepNext/>
        <w:jc w:val="left"/>
        <w:rPr>
          <w:b/>
          <w:lang w:val="fr-CA"/>
        </w:rPr>
      </w:pPr>
      <w:r w:rsidRPr="000E133D">
        <w:rPr>
          <w:b/>
          <w:lang w:val="fr-CA"/>
        </w:rPr>
        <w:t xml:space="preserve">Table 2: </w:t>
      </w:r>
      <w:r w:rsidR="00EC4208">
        <w:rPr>
          <w:b/>
          <w:lang w:val="fr-CA"/>
        </w:rPr>
        <w:t>État de la mise en œuvre des projets par catégorie</w:t>
      </w:r>
    </w:p>
    <w:tbl>
      <w:tblPr>
        <w:tblW w:w="9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53"/>
        <w:gridCol w:w="1014"/>
        <w:gridCol w:w="1015"/>
        <w:gridCol w:w="1015"/>
        <w:gridCol w:w="1217"/>
        <w:gridCol w:w="1218"/>
        <w:gridCol w:w="1218"/>
        <w:gridCol w:w="933"/>
      </w:tblGrid>
      <w:tr w:rsidR="000E133D" w:rsidRPr="000E133D" w14:paraId="2350A57D" w14:textId="77777777" w:rsidTr="00A95667">
        <w:trPr>
          <w:tblHeader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14:paraId="125CEBAE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Type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CA2E4E" w14:textId="3EE86A96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N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o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mb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re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de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95667">
              <w:rPr>
                <w:b/>
                <w:bCs/>
                <w:sz w:val="20"/>
                <w:szCs w:val="20"/>
                <w:lang w:val="fr-CA" w:eastAsia="en-CA"/>
              </w:rPr>
              <w:t>projet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s*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5F33BD" w14:textId="512837C9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F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inancement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(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$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US)**</w:t>
            </w:r>
          </w:p>
        </w:tc>
      </w:tr>
      <w:tr w:rsidR="000E133D" w:rsidRPr="000E133D" w14:paraId="6B360697" w14:textId="77777777" w:rsidTr="00A95667">
        <w:trPr>
          <w:tblHeader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67E97F5B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C7A2D3" w14:textId="4AACD659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Appro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uvés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BE272F" w14:textId="456ADA2D" w:rsidR="000E133D" w:rsidRPr="000E133D" w:rsidRDefault="00EC4208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Achevés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F20832" w14:textId="3F4011B3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% 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achevés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3142FF" w14:textId="5364A5A3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Appro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uvé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E432DE" w14:textId="203174AE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D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écaissé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801670" w14:textId="483AD2EF" w:rsidR="000E133D" w:rsidRPr="000E133D" w:rsidRDefault="00EC4208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Solde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E98B78" w14:textId="77777777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%</w:t>
            </w:r>
          </w:p>
          <w:p w14:paraId="5898710E" w14:textId="4FC6629E" w:rsidR="000E133D" w:rsidRPr="000E133D" w:rsidRDefault="00EC4208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 xml:space="preserve">Décaissé </w:t>
            </w:r>
          </w:p>
        </w:tc>
      </w:tr>
      <w:tr w:rsidR="000E133D" w:rsidRPr="000E133D" w14:paraId="0FD9C6A3" w14:textId="77777777" w:rsidTr="00A95667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2A7CD43" w14:textId="0D3BB3D5" w:rsidR="000E133D" w:rsidRPr="000E133D" w:rsidRDefault="00EC420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</w:t>
            </w:r>
            <w:r w:rsidR="000E133D" w:rsidRPr="000E133D">
              <w:rPr>
                <w:sz w:val="20"/>
                <w:szCs w:val="20"/>
                <w:lang w:val="fr-CA" w:eastAsia="en-CA"/>
              </w:rPr>
              <w:t>rogramme</w:t>
            </w:r>
            <w:r>
              <w:rPr>
                <w:sz w:val="20"/>
                <w:szCs w:val="20"/>
                <w:lang w:val="fr-CA" w:eastAsia="en-CA"/>
              </w:rPr>
              <w:t xml:space="preserve"> de pays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4A7A474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500E252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49B3E3E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153B824B" w14:textId="6899F7E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722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27023B82" w14:textId="3140FCF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722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1BB1AFE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0AB654A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62DEED5E" w14:textId="77777777" w:rsidTr="00A95667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0A61164" w14:textId="3B2B4C1E" w:rsidR="000E133D" w:rsidRPr="000E133D" w:rsidRDefault="00EC420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Démonstration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6DF5E95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0E04A6E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6384146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5D10AD5B" w14:textId="231F276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743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63D75D63" w14:textId="1219C48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109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58269D4B" w14:textId="3BE9980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633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5C6D298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93</w:t>
            </w:r>
          </w:p>
        </w:tc>
      </w:tr>
      <w:tr w:rsidR="000E133D" w:rsidRPr="000E133D" w14:paraId="3596679E" w14:textId="77777777" w:rsidTr="00A95667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D451A60" w14:textId="01C1B3BF" w:rsidR="000E133D" w:rsidRPr="000E133D" w:rsidRDefault="00EC420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Renforcement des i</w:t>
            </w:r>
            <w:r w:rsidR="000E133D" w:rsidRPr="000E133D">
              <w:rPr>
                <w:sz w:val="20"/>
                <w:szCs w:val="20"/>
                <w:lang w:val="fr-CA" w:eastAsia="en-CA"/>
              </w:rPr>
              <w:t>nstitution</w:t>
            </w:r>
            <w:r>
              <w:rPr>
                <w:sz w:val="20"/>
                <w:szCs w:val="20"/>
                <w:lang w:val="fr-CA" w:eastAsia="en-CA"/>
              </w:rPr>
              <w:t>s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>
              <w:rPr>
                <w:sz w:val="20"/>
                <w:szCs w:val="20"/>
                <w:lang w:val="fr-CA" w:eastAsia="en-CA"/>
              </w:rPr>
              <w:t>R</w:t>
            </w:r>
            <w:r w:rsidR="000E133D" w:rsidRPr="000E133D">
              <w:rPr>
                <w:sz w:val="20"/>
                <w:szCs w:val="20"/>
                <w:lang w:val="fr-CA" w:eastAsia="en-CA"/>
              </w:rPr>
              <w:t>I)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7F11859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5E3E5B2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193BBFA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24347DBA" w14:textId="1552F88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13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567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0CC81F6A" w14:textId="0F1C9DD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519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7469ECFD" w14:textId="2FC70BB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047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1EB58AB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85</w:t>
            </w:r>
          </w:p>
        </w:tc>
      </w:tr>
      <w:tr w:rsidR="000E133D" w:rsidRPr="000E133D" w14:paraId="44C2E9D9" w14:textId="77777777" w:rsidTr="00A95667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611DE88" w14:textId="3A919F26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Invest</w:t>
            </w:r>
            <w:r w:rsidR="00EC4208">
              <w:rPr>
                <w:sz w:val="20"/>
                <w:szCs w:val="20"/>
                <w:lang w:val="fr-CA" w:eastAsia="en-CA"/>
              </w:rPr>
              <w:t>isse</w:t>
            </w:r>
            <w:r w:rsidRPr="000E133D">
              <w:rPr>
                <w:sz w:val="20"/>
                <w:szCs w:val="20"/>
                <w:lang w:val="fr-CA" w:eastAsia="en-CA"/>
              </w:rPr>
              <w:t>ment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5692E1D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5BEEFE8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7AA7397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7C545B73" w14:textId="3F7DBA1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754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270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4B454715" w14:textId="08C4722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666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192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3BC4D7A8" w14:textId="792BD2C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88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077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0992188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88</w:t>
            </w:r>
          </w:p>
        </w:tc>
      </w:tr>
      <w:tr w:rsidR="000E133D" w:rsidRPr="000E133D" w14:paraId="71DBEC58" w14:textId="77777777" w:rsidTr="00A95667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49213A2" w14:textId="065DAF90" w:rsidR="000E133D" w:rsidRPr="000E133D" w:rsidRDefault="00A95667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Pr</w:t>
            </w:r>
            <w:r w:rsidR="00EC4208"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paration</w:t>
            </w:r>
            <w:r w:rsidR="00EC4208">
              <w:rPr>
                <w:sz w:val="20"/>
                <w:szCs w:val="20"/>
                <w:lang w:val="fr-CA" w:eastAsia="en-CA"/>
              </w:rPr>
              <w:t xml:space="preserve"> de projets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7307F39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131985A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5528694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0A5C7376" w14:textId="1E8A5AE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300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17C62A18" w14:textId="1C84429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873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2849A559" w14:textId="596F467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427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2C591DE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94</w:t>
            </w:r>
          </w:p>
        </w:tc>
      </w:tr>
      <w:tr w:rsidR="000E133D" w:rsidRPr="000E133D" w14:paraId="5C0B0A9C" w14:textId="77777777" w:rsidTr="00A95667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D06E13C" w14:textId="3C043886" w:rsidR="000E133D" w:rsidRPr="000E133D" w:rsidRDefault="00EC420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</w:t>
            </w:r>
            <w:r w:rsidR="000E133D" w:rsidRPr="000E133D">
              <w:rPr>
                <w:sz w:val="20"/>
                <w:szCs w:val="20"/>
                <w:lang w:val="fr-CA" w:eastAsia="en-CA"/>
              </w:rPr>
              <w:t>ssistance</w:t>
            </w:r>
            <w:r>
              <w:rPr>
                <w:sz w:val="20"/>
                <w:szCs w:val="20"/>
                <w:lang w:val="fr-CA" w:eastAsia="en-CA"/>
              </w:rPr>
              <w:t xml:space="preserve"> technique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2BFB789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694EF34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14D6E4C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13124EF4" w14:textId="053E125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864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406B98C5" w14:textId="366D2C1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18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073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7AD084E5" w14:textId="04C70DD2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790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2C87426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76</w:t>
            </w:r>
          </w:p>
        </w:tc>
      </w:tr>
      <w:tr w:rsidR="000E133D" w:rsidRPr="000E133D" w14:paraId="786424E5" w14:textId="77777777" w:rsidTr="00A95667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EA2EE6C" w14:textId="5D91EEF0" w:rsidR="000E133D" w:rsidRPr="000E133D" w:rsidRDefault="00EC4208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Formation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3BA1605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38FA429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73D9C29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040C1BD7" w14:textId="09F35F9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196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5F94C512" w14:textId="3A07A20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196</w:t>
            </w:r>
            <w:r w:rsidR="00EC4208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695925B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1C07F58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674DA440" w14:textId="77777777" w:rsidTr="00A95667"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4E85D01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Total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173" w:type="dxa"/>
            </w:tcMar>
            <w:hideMark/>
          </w:tcPr>
          <w:p w14:paraId="5144B3EC" w14:textId="64D1B15E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1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793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173" w:type="dxa"/>
            </w:tcMar>
            <w:hideMark/>
          </w:tcPr>
          <w:p w14:paraId="53B7464A" w14:textId="7B1CC3B3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1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556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391071C1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hideMark/>
          </w:tcPr>
          <w:p w14:paraId="46E8D008" w14:textId="300C7850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839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664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771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C81915B" w14:textId="373E0AA1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740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687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41B230B7" w14:textId="09FAC4D3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98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977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173" w:type="dxa"/>
            </w:tcMar>
            <w:hideMark/>
          </w:tcPr>
          <w:p w14:paraId="6C03C29B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88</w:t>
            </w:r>
          </w:p>
        </w:tc>
      </w:tr>
    </w:tbl>
    <w:p w14:paraId="28A3137A" w14:textId="1F384345" w:rsidR="000E133D" w:rsidRPr="000E133D" w:rsidRDefault="000E133D" w:rsidP="000E133D">
      <w:pPr>
        <w:rPr>
          <w:sz w:val="18"/>
          <w:szCs w:val="18"/>
          <w:lang w:val="fr-CA"/>
        </w:rPr>
      </w:pPr>
      <w:r w:rsidRPr="000E133D">
        <w:rPr>
          <w:sz w:val="18"/>
          <w:szCs w:val="18"/>
          <w:lang w:val="fr-CA"/>
        </w:rPr>
        <w:t>*Exclu</w:t>
      </w:r>
      <w:r w:rsidR="00EC4208">
        <w:rPr>
          <w:sz w:val="18"/>
          <w:szCs w:val="18"/>
          <w:lang w:val="fr-CA"/>
        </w:rPr>
        <w:t>ant les projets clos ou transférés</w:t>
      </w:r>
      <w:r w:rsidRPr="000E133D">
        <w:rPr>
          <w:sz w:val="18"/>
          <w:szCs w:val="18"/>
          <w:lang w:val="fr-CA"/>
        </w:rPr>
        <w:t>.</w:t>
      </w:r>
    </w:p>
    <w:p w14:paraId="132EFC33" w14:textId="7D87C3C3" w:rsidR="000E133D" w:rsidRPr="000E133D" w:rsidRDefault="000E133D" w:rsidP="000E133D">
      <w:pPr>
        <w:spacing w:after="240"/>
        <w:rPr>
          <w:sz w:val="18"/>
          <w:szCs w:val="18"/>
          <w:lang w:val="fr-CA"/>
        </w:rPr>
      </w:pPr>
      <w:r w:rsidRPr="000E133D">
        <w:rPr>
          <w:sz w:val="18"/>
          <w:szCs w:val="18"/>
          <w:lang w:val="fr-CA"/>
        </w:rPr>
        <w:t>**Exclu</w:t>
      </w:r>
      <w:r w:rsidR="00EC4208">
        <w:rPr>
          <w:sz w:val="18"/>
          <w:szCs w:val="18"/>
          <w:lang w:val="fr-CA"/>
        </w:rPr>
        <w:t xml:space="preserve">ant les </w:t>
      </w:r>
      <w:r w:rsidR="00C84B88">
        <w:rPr>
          <w:sz w:val="18"/>
          <w:szCs w:val="18"/>
          <w:lang w:val="fr-CA"/>
        </w:rPr>
        <w:t>coûts d’appui d’agence</w:t>
      </w:r>
      <w:r w:rsidRPr="000E133D">
        <w:rPr>
          <w:sz w:val="18"/>
          <w:szCs w:val="18"/>
          <w:lang w:val="fr-CA"/>
        </w:rPr>
        <w:t>.</w:t>
      </w:r>
    </w:p>
    <w:p w14:paraId="0C8DF1F1" w14:textId="49EB100A" w:rsidR="000E133D" w:rsidRPr="000E133D" w:rsidRDefault="00EC4208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Le </w:t>
      </w:r>
      <w:r w:rsidR="000E133D" w:rsidRPr="000E133D">
        <w:rPr>
          <w:lang w:val="fr-CA"/>
        </w:rPr>
        <w:t>Table</w:t>
      </w:r>
      <w:r>
        <w:rPr>
          <w:lang w:val="fr-CA"/>
        </w:rPr>
        <w:t>au</w:t>
      </w:r>
      <w:r w:rsidR="000E133D" w:rsidRPr="000E133D">
        <w:rPr>
          <w:lang w:val="fr-CA"/>
        </w:rPr>
        <w:t xml:space="preserve"> 3 </w:t>
      </w:r>
      <w:r>
        <w:rPr>
          <w:lang w:val="fr-CA"/>
        </w:rPr>
        <w:t xml:space="preserve">présente un tableau d’ensemble de l’état de mise en œuvre des </w:t>
      </w:r>
      <w:r w:rsidR="00A95667">
        <w:rPr>
          <w:lang w:val="fr-CA"/>
        </w:rPr>
        <w:t>projet</w:t>
      </w:r>
      <w:r>
        <w:rPr>
          <w:lang w:val="fr-CA"/>
        </w:rPr>
        <w:t>s par année</w:t>
      </w:r>
      <w:r w:rsidR="000E133D" w:rsidRPr="000E133D">
        <w:rPr>
          <w:sz w:val="24"/>
          <w:szCs w:val="24"/>
          <w:vertAlign w:val="superscript"/>
          <w:lang w:val="fr-CA"/>
        </w:rPr>
        <w:footnoteReference w:id="36"/>
      </w:r>
      <w:r w:rsidR="000E133D" w:rsidRPr="000E133D">
        <w:rPr>
          <w:lang w:val="fr-CA"/>
        </w:rPr>
        <w:t xml:space="preserve">. </w:t>
      </w:r>
      <w:r>
        <w:rPr>
          <w:lang w:val="fr-CA"/>
        </w:rPr>
        <w:t xml:space="preserve">Tous les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>
        <w:rPr>
          <w:lang w:val="fr-CA"/>
        </w:rPr>
        <w:t xml:space="preserve">et </w:t>
      </w:r>
      <w:r w:rsidR="008A5426">
        <w:rPr>
          <w:lang w:val="fr-CA"/>
        </w:rPr>
        <w:t>activités</w:t>
      </w:r>
      <w:r w:rsidR="000E133D" w:rsidRPr="000E133D">
        <w:rPr>
          <w:lang w:val="fr-CA"/>
        </w:rPr>
        <w:t xml:space="preserve"> appro</w:t>
      </w:r>
      <w:r>
        <w:rPr>
          <w:lang w:val="fr-CA"/>
        </w:rPr>
        <w:t xml:space="preserve">uvés entre </w:t>
      </w:r>
      <w:r w:rsidR="000E133D" w:rsidRPr="000E133D">
        <w:rPr>
          <w:lang w:val="fr-CA"/>
        </w:rPr>
        <w:t xml:space="preserve">1993 </w:t>
      </w:r>
      <w:r>
        <w:rPr>
          <w:lang w:val="fr-CA"/>
        </w:rPr>
        <w:t xml:space="preserve">et la fin de </w:t>
      </w:r>
      <w:r w:rsidR="000E133D" w:rsidRPr="000E133D">
        <w:rPr>
          <w:lang w:val="fr-CA"/>
        </w:rPr>
        <w:t xml:space="preserve">2005, </w:t>
      </w:r>
      <w:r>
        <w:rPr>
          <w:lang w:val="fr-CA"/>
        </w:rPr>
        <w:t xml:space="preserve">et en </w:t>
      </w:r>
      <w:r w:rsidR="000E133D" w:rsidRPr="000E133D">
        <w:rPr>
          <w:lang w:val="fr-CA"/>
        </w:rPr>
        <w:t xml:space="preserve">2007, </w:t>
      </w:r>
      <w:r>
        <w:rPr>
          <w:lang w:val="fr-CA"/>
        </w:rPr>
        <w:t>sont désormais achevés</w:t>
      </w:r>
      <w:r w:rsidR="000E133D" w:rsidRPr="000E133D">
        <w:rPr>
          <w:lang w:val="fr-CA"/>
        </w:rPr>
        <w:t xml:space="preserve">. </w:t>
      </w:r>
    </w:p>
    <w:p w14:paraId="3C8773FB" w14:textId="1BCD2A77" w:rsidR="000E133D" w:rsidRPr="000E133D" w:rsidRDefault="000E133D" w:rsidP="000E133D">
      <w:pPr>
        <w:keepNext/>
        <w:suppressAutoHyphens/>
        <w:jc w:val="left"/>
        <w:rPr>
          <w:b/>
          <w:spacing w:val="-3"/>
          <w:lang w:val="fr-CA"/>
        </w:rPr>
      </w:pPr>
      <w:r w:rsidRPr="000E133D">
        <w:rPr>
          <w:b/>
          <w:spacing w:val="-3"/>
          <w:lang w:val="fr-CA"/>
        </w:rPr>
        <w:t>Table</w:t>
      </w:r>
      <w:r w:rsidR="00EC4208">
        <w:rPr>
          <w:b/>
          <w:spacing w:val="-3"/>
          <w:lang w:val="fr-CA"/>
        </w:rPr>
        <w:t>au</w:t>
      </w:r>
      <w:r w:rsidRPr="000E133D">
        <w:rPr>
          <w:b/>
          <w:spacing w:val="-3"/>
          <w:lang w:val="fr-CA"/>
        </w:rPr>
        <w:t xml:space="preserve"> 3: </w:t>
      </w:r>
      <w:r w:rsidR="00EC4208">
        <w:rPr>
          <w:b/>
          <w:spacing w:val="-3"/>
          <w:lang w:val="fr-CA"/>
        </w:rPr>
        <w:t xml:space="preserve">État de la mise en œuvre des </w:t>
      </w:r>
      <w:r w:rsidR="00A95667">
        <w:rPr>
          <w:b/>
          <w:spacing w:val="-3"/>
          <w:lang w:val="fr-CA"/>
        </w:rPr>
        <w:t>projet</w:t>
      </w:r>
      <w:r w:rsidR="00EC4208">
        <w:rPr>
          <w:b/>
          <w:spacing w:val="-3"/>
          <w:lang w:val="fr-CA"/>
        </w:rPr>
        <w:t>s par année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080"/>
        <w:gridCol w:w="1165"/>
        <w:gridCol w:w="1367"/>
        <w:gridCol w:w="1367"/>
        <w:gridCol w:w="1368"/>
        <w:gridCol w:w="1137"/>
      </w:tblGrid>
      <w:tr w:rsidR="000E133D" w:rsidRPr="000E133D" w14:paraId="04236288" w14:textId="77777777" w:rsidTr="00A95667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E53" w14:textId="648E6D0E" w:rsidR="000E133D" w:rsidRPr="000E133D" w:rsidRDefault="00EC4208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Année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BD55" w14:textId="6951FDB8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N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o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mb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re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de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95667">
              <w:rPr>
                <w:b/>
                <w:bCs/>
                <w:sz w:val="20"/>
                <w:szCs w:val="20"/>
                <w:lang w:val="fr-CA" w:eastAsia="en-CA"/>
              </w:rPr>
              <w:t>projet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s*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5525" w14:textId="0144FEDD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F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inancement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(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$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US)**</w:t>
            </w:r>
          </w:p>
        </w:tc>
      </w:tr>
      <w:tr w:rsidR="000E133D" w:rsidRPr="000E133D" w14:paraId="36DA8510" w14:textId="77777777" w:rsidTr="00EC420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B912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D3D42F" w14:textId="45B6D8DF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Appro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uvés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7FF774" w14:textId="5D9EEBF2" w:rsidR="000E133D" w:rsidRPr="000E133D" w:rsidRDefault="00EC4208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Achevés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44D198" w14:textId="769E3D05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% 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achevés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296D64" w14:textId="47B1DADB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Appro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uvé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565F81" w14:textId="0C3F29A5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D</w:t>
            </w:r>
            <w:r w:rsidR="00EC4208">
              <w:rPr>
                <w:b/>
                <w:bCs/>
                <w:sz w:val="20"/>
                <w:szCs w:val="20"/>
                <w:lang w:val="fr-CA" w:eastAsia="en-CA"/>
              </w:rPr>
              <w:t>écaissé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9AD152" w14:textId="3243BFBE" w:rsidR="000E133D" w:rsidRPr="000E133D" w:rsidRDefault="00186935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Solde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5D217C" w14:textId="61102DB4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% </w:t>
            </w:r>
            <w:r w:rsidR="00186935">
              <w:rPr>
                <w:b/>
                <w:bCs/>
                <w:sz w:val="20"/>
                <w:szCs w:val="20"/>
                <w:lang w:val="fr-CA" w:eastAsia="en-CA"/>
              </w:rPr>
              <w:t>décaissé</w:t>
            </w:r>
          </w:p>
        </w:tc>
      </w:tr>
      <w:tr w:rsidR="000E133D" w:rsidRPr="000E133D" w14:paraId="26F59E10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89AE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2C1D45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0FCF33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30C43E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894C49C" w14:textId="3A0067E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815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E478583" w14:textId="05AFBE5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815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8D9E1B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9B4C4F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42F746DD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8D6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DE5733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682E36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65B6E3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CA1095B" w14:textId="7EC44F2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645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899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8F0B0D1" w14:textId="5A89492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645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4BC03B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BE7496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2772EBD6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5558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7E4C84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EE3B47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0900CC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1481C2B" w14:textId="65E1AC6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662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66D7597" w14:textId="6DD3837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662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044DEC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D231F4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2E763DF8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47CE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AA5AC9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0DACEF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54360E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4E86E95" w14:textId="03D51FF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820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3E711AF" w14:textId="6609DB3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820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29E525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EC8F54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53ACEB71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2E2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1DA9C6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AAFE5C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90ED78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96E9CBA" w14:textId="291FEA4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083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37F40C4" w14:textId="4D01156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083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3E49E0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4906CD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772F0339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3EBF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560E00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0805B8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744B0E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1433362" w14:textId="3E5F012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638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A17098C" w14:textId="5D99990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638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0D61C9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114D4A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4ACC9312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ABE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C1D881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3FBB54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A66181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9B820FF" w14:textId="47FAF2F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34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140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7D6B844" w14:textId="31205D4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34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140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367FC8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750334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5C202B88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F6AD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F2E1C3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6FD743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4608D6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71E0C20" w14:textId="194DC1B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180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6C401B1" w14:textId="735D673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180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881A38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06ACBF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7D9047F1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E7F5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0F97CE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E391D5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0270BF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501C9A8" w14:textId="1A0E058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24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700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0A21935" w14:textId="7D9DD3F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24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700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5ADF32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D54E98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35E7C6FE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EF9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B079A2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DB22D3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77CE59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D812A40" w14:textId="11B4C1A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992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F3EA2E7" w14:textId="1A7D194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992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0FC66F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E06CCB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55224CBA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E18E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6DED1E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D27C2D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96B95B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F5B69DE" w14:textId="287452B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997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0F94211" w14:textId="3186F98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997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568468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C66F71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476CC145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62D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469F7A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04F2BB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84E02F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3D3DF79" w14:textId="78F1919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105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230EB76" w14:textId="7AFBC6C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105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9C60B2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DA67F4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1A95ED86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5A0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36E3A0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6B4025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2C9C1F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1238B08" w14:textId="22DF042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035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B998B73" w14:textId="5E70447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035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C87709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2F6A14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06AB6ECA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E129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65B8D3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144DD4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9E9E16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C78385B" w14:textId="575487B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760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B16C71C" w14:textId="5C7E5F1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642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3E16506" w14:textId="1EA7EA4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118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8ED679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99</w:t>
            </w:r>
          </w:p>
        </w:tc>
      </w:tr>
      <w:tr w:rsidR="000E133D" w:rsidRPr="000E133D" w14:paraId="7E6BC528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DC9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6ABDF2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A9C966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444142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2C66235" w14:textId="36F2098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24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186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FB241A7" w14:textId="733F4D5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24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186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48D788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256FE7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5DC10697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91C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11F8DA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2891E4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15B338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2D4A28F" w14:textId="0CC6D842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405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26CEA44" w14:textId="4AF4D22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103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76413E4" w14:textId="1F16B35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301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55BCC7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99</w:t>
            </w:r>
          </w:p>
        </w:tc>
      </w:tr>
      <w:tr w:rsidR="000E133D" w:rsidRPr="000E133D" w14:paraId="6B27BE37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2C5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70AD95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6405C9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E2C9DA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0A86A6F" w14:textId="24B6A78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409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807CD50" w14:textId="212EE45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695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E5C3740" w14:textId="178F71B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713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2C06D2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95</w:t>
            </w:r>
          </w:p>
        </w:tc>
      </w:tr>
      <w:tr w:rsidR="000E133D" w:rsidRPr="000E133D" w14:paraId="6DC4C06E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06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182B2F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E18759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B63DCC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11882C0" w14:textId="1117004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339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45CC0CA" w14:textId="78C4D70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44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462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55CD256" w14:textId="36E83C4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877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4FDF5A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96</w:t>
            </w:r>
          </w:p>
        </w:tc>
      </w:tr>
      <w:tr w:rsidR="000E133D" w:rsidRPr="000E133D" w14:paraId="26BB3B4E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3CD7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685C7C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54D84D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9EF0A3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268E550" w14:textId="7955CD12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639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D31DA0D" w14:textId="7299FF1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823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C86C9BD" w14:textId="1499CF42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815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9F63E2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95</w:t>
            </w:r>
          </w:p>
        </w:tc>
      </w:tr>
      <w:tr w:rsidR="000E133D" w:rsidRPr="000E133D" w14:paraId="413EA299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0B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EC533A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E5AACA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79DBA6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90630A2" w14:textId="46C026D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695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D847770" w14:textId="4A6999A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092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DE6F38F" w14:textId="3CD3525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603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01A6FC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92</w:t>
            </w:r>
          </w:p>
        </w:tc>
      </w:tr>
      <w:tr w:rsidR="000E133D" w:rsidRPr="000E133D" w14:paraId="55F7A925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CBE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954219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B99DCD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8BA4AB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DD25A07" w14:textId="358C898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31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118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9D493D0" w14:textId="5684CDC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212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B37612A" w14:textId="5127C42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906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697507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97</w:t>
            </w:r>
          </w:p>
        </w:tc>
      </w:tr>
      <w:tr w:rsidR="000E133D" w:rsidRPr="000E133D" w14:paraId="448D8DB9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D33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B530E7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C5DC06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3AAB72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7408864" w14:textId="387E19D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27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891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1BD3388" w14:textId="5140881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243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26E9BA8" w14:textId="62929C9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647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8565F2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91</w:t>
            </w:r>
          </w:p>
        </w:tc>
      </w:tr>
      <w:tr w:rsidR="000E133D" w:rsidRPr="000E133D" w14:paraId="51B2198A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C648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4FD63F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7F1C4B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114783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954F114" w14:textId="2CDBEB9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37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430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AB18C51" w14:textId="199CC89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991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860E987" w14:textId="0BBBC06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17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438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8EB9B5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53</w:t>
            </w:r>
          </w:p>
        </w:tc>
      </w:tr>
      <w:tr w:rsidR="000E133D" w:rsidRPr="000E133D" w14:paraId="391E3407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95EE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7A69A4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D79BFA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2BA616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337904D" w14:textId="2FF0FF1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070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5A79251" w14:textId="0D14AD0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343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8A51E0C" w14:textId="1A58DA4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726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17E661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54</w:t>
            </w:r>
          </w:p>
        </w:tc>
      </w:tr>
      <w:tr w:rsidR="000E133D" w:rsidRPr="000E133D" w14:paraId="69E22C54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BD91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E7B596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D21128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8D02CF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55ADA59" w14:textId="3D07FCE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476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9776C83" w14:textId="1ACEEFE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812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58AB1E3" w14:textId="44C042E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663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4D7123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60</w:t>
            </w:r>
          </w:p>
        </w:tc>
      </w:tr>
      <w:tr w:rsidR="000E133D" w:rsidRPr="000E133D" w14:paraId="6D0AC657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91BF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0A3103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AB136C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B8EC68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F642F32" w14:textId="180D672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27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913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1736383" w14:textId="07E5618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132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2BD63F8" w14:textId="4C7ABCF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780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6B0F09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</w:t>
            </w:r>
          </w:p>
        </w:tc>
      </w:tr>
      <w:tr w:rsidR="000E133D" w:rsidRPr="000E133D" w14:paraId="39BA85C2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F09D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B869E5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6761BC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C14211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B457479" w14:textId="1565B43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508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29223FD" w14:textId="56848C8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126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B7B9F89" w14:textId="2E1A2FC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382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00A44A1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</w:tr>
      <w:tr w:rsidR="000E133D" w:rsidRPr="000E133D" w14:paraId="0840A283" w14:textId="77777777" w:rsidTr="00EC4208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2890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1E2ED62" w14:textId="4E28051E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1</w:t>
            </w:r>
            <w:r w:rsidR="00186935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9B9B6F9" w14:textId="28E7DAB8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1</w:t>
            </w:r>
            <w:r w:rsidR="00186935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556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4AD375C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431BA83" w14:textId="6747E91C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839</w:t>
            </w:r>
            <w:r w:rsidR="00186935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664</w:t>
            </w:r>
            <w:r w:rsidR="00186935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771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2CCF141" w14:textId="0084BE32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740</w:t>
            </w:r>
            <w:r w:rsidR="00186935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687</w:t>
            </w:r>
            <w:r w:rsidR="00186935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B503743" w14:textId="1785267F" w:rsidR="000E133D" w:rsidRPr="000E133D" w:rsidRDefault="000E133D" w:rsidP="000E133D">
            <w:pPr>
              <w:jc w:val="right"/>
              <w:rPr>
                <w:b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sz w:val="20"/>
                <w:szCs w:val="20"/>
                <w:lang w:val="fr-CA" w:eastAsia="en-CA"/>
              </w:rPr>
              <w:t>98</w:t>
            </w:r>
            <w:r w:rsidR="00186935">
              <w:rPr>
                <w:b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sz w:val="20"/>
                <w:szCs w:val="20"/>
                <w:lang w:val="fr-CA" w:eastAsia="en-CA"/>
              </w:rPr>
              <w:t>977</w:t>
            </w:r>
            <w:r w:rsidR="00186935">
              <w:rPr>
                <w:b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sz w:val="20"/>
                <w:szCs w:val="20"/>
                <w:lang w:val="fr-CA" w:eastAsia="en-CA"/>
              </w:rPr>
              <w:t>090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6F64C759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88</w:t>
            </w:r>
          </w:p>
        </w:tc>
      </w:tr>
    </w:tbl>
    <w:p w14:paraId="32A734C3" w14:textId="3B08779E" w:rsidR="000E133D" w:rsidRPr="000E133D" w:rsidRDefault="000E133D" w:rsidP="000E133D">
      <w:pPr>
        <w:rPr>
          <w:sz w:val="19"/>
          <w:szCs w:val="19"/>
          <w:lang w:val="fr-CA"/>
        </w:rPr>
      </w:pPr>
      <w:r w:rsidRPr="000E133D">
        <w:rPr>
          <w:sz w:val="19"/>
          <w:szCs w:val="19"/>
          <w:lang w:val="fr-CA"/>
        </w:rPr>
        <w:t>*Exclu</w:t>
      </w:r>
      <w:r w:rsidR="00186935">
        <w:rPr>
          <w:sz w:val="19"/>
          <w:szCs w:val="19"/>
          <w:lang w:val="fr-CA"/>
        </w:rPr>
        <w:t>ant les projets clos ou transférés</w:t>
      </w:r>
      <w:r w:rsidRPr="000E133D">
        <w:rPr>
          <w:sz w:val="19"/>
          <w:szCs w:val="19"/>
          <w:lang w:val="fr-CA"/>
        </w:rPr>
        <w:t>.</w:t>
      </w:r>
    </w:p>
    <w:p w14:paraId="539FE705" w14:textId="02038BE8" w:rsidR="000E133D" w:rsidRPr="000E133D" w:rsidRDefault="000E133D" w:rsidP="000E133D">
      <w:pPr>
        <w:spacing w:after="240"/>
        <w:rPr>
          <w:sz w:val="19"/>
          <w:szCs w:val="19"/>
          <w:lang w:val="fr-CA"/>
        </w:rPr>
      </w:pPr>
      <w:r w:rsidRPr="000E133D">
        <w:rPr>
          <w:sz w:val="19"/>
          <w:szCs w:val="19"/>
          <w:lang w:val="fr-CA"/>
        </w:rPr>
        <w:t>**Exclu</w:t>
      </w:r>
      <w:r w:rsidR="00186935">
        <w:rPr>
          <w:sz w:val="19"/>
          <w:szCs w:val="19"/>
          <w:lang w:val="fr-CA"/>
        </w:rPr>
        <w:t xml:space="preserve">ant les </w:t>
      </w:r>
      <w:r w:rsidR="00C84B88">
        <w:rPr>
          <w:sz w:val="19"/>
          <w:szCs w:val="19"/>
          <w:lang w:val="fr-CA"/>
        </w:rPr>
        <w:t>coûts d’appui d’agence</w:t>
      </w:r>
      <w:r w:rsidRPr="000E133D">
        <w:rPr>
          <w:sz w:val="19"/>
          <w:szCs w:val="19"/>
          <w:lang w:val="fr-CA"/>
        </w:rPr>
        <w:t>.</w:t>
      </w:r>
    </w:p>
    <w:p w14:paraId="386E7DEA" w14:textId="605F97D1" w:rsidR="000E133D" w:rsidRPr="000E133D" w:rsidRDefault="00186935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Le </w:t>
      </w:r>
      <w:r w:rsidR="000E133D" w:rsidRPr="000E133D">
        <w:rPr>
          <w:lang w:val="fr-CA"/>
        </w:rPr>
        <w:t>Table</w:t>
      </w:r>
      <w:r>
        <w:rPr>
          <w:lang w:val="fr-CA"/>
        </w:rPr>
        <w:t>au</w:t>
      </w:r>
      <w:r w:rsidR="000E133D" w:rsidRPr="000E133D">
        <w:rPr>
          <w:lang w:val="fr-CA"/>
        </w:rPr>
        <w:t xml:space="preserve"> 4 </w:t>
      </w:r>
      <w:r w:rsidRPr="000E133D">
        <w:rPr>
          <w:lang w:val="fr-CA"/>
        </w:rPr>
        <w:t>présent</w:t>
      </w:r>
      <w:r>
        <w:rPr>
          <w:lang w:val="fr-CA"/>
        </w:rPr>
        <w:t>e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la mise en œuvre de </w:t>
      </w:r>
      <w:r w:rsidR="00A95667">
        <w:rPr>
          <w:lang w:val="fr-CA"/>
        </w:rPr>
        <w:t>projet</w:t>
      </w:r>
      <w:r>
        <w:rPr>
          <w:lang w:val="fr-CA"/>
        </w:rPr>
        <w:t>s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par pays en </w:t>
      </w:r>
      <w:r w:rsidR="000E133D" w:rsidRPr="000E133D">
        <w:rPr>
          <w:lang w:val="fr-CA"/>
        </w:rPr>
        <w:t>2019.</w:t>
      </w:r>
    </w:p>
    <w:p w14:paraId="01E13E59" w14:textId="37E1AE79" w:rsidR="000E133D" w:rsidRPr="000E133D" w:rsidRDefault="000E133D" w:rsidP="000E133D">
      <w:pPr>
        <w:keepNext/>
        <w:outlineLvl w:val="0"/>
        <w:rPr>
          <w:b/>
          <w:lang w:val="fr-CA"/>
        </w:rPr>
      </w:pPr>
      <w:r w:rsidRPr="000E133D">
        <w:rPr>
          <w:b/>
          <w:lang w:val="fr-CA"/>
        </w:rPr>
        <w:t>Table</w:t>
      </w:r>
      <w:r w:rsidR="00186935">
        <w:rPr>
          <w:b/>
          <w:lang w:val="fr-CA"/>
        </w:rPr>
        <w:t>au</w:t>
      </w:r>
      <w:r w:rsidRPr="000E133D">
        <w:rPr>
          <w:b/>
          <w:lang w:val="fr-CA"/>
        </w:rPr>
        <w:t xml:space="preserve"> 4. </w:t>
      </w:r>
      <w:r w:rsidR="00186935">
        <w:rPr>
          <w:b/>
          <w:lang w:val="fr-CA"/>
        </w:rPr>
        <w:t>Résumé de la mise en œuvre des projets par l’</w:t>
      </w:r>
      <w:r w:rsidR="00A95667">
        <w:rPr>
          <w:b/>
          <w:lang w:val="fr-CA"/>
        </w:rPr>
        <w:t>ONUDI</w:t>
      </w:r>
      <w:r w:rsidRPr="000E133D">
        <w:rPr>
          <w:b/>
          <w:lang w:val="fr-CA"/>
        </w:rPr>
        <w:t xml:space="preserve"> </w:t>
      </w:r>
      <w:r w:rsidR="00186935">
        <w:rPr>
          <w:b/>
          <w:lang w:val="fr-CA"/>
        </w:rPr>
        <w:t xml:space="preserve">en </w:t>
      </w:r>
      <w:r w:rsidRPr="000E133D">
        <w:rPr>
          <w:b/>
          <w:lang w:val="fr-CA"/>
        </w:rPr>
        <w:t>2019</w:t>
      </w:r>
    </w:p>
    <w:tbl>
      <w:tblPr>
        <w:tblW w:w="9501" w:type="dxa"/>
        <w:tblLook w:val="04A0" w:firstRow="1" w:lastRow="0" w:firstColumn="1" w:lastColumn="0" w:noHBand="0" w:noVBand="1"/>
      </w:tblPr>
      <w:tblGrid>
        <w:gridCol w:w="2547"/>
        <w:gridCol w:w="1118"/>
        <w:gridCol w:w="1238"/>
        <w:gridCol w:w="1231"/>
        <w:gridCol w:w="1188"/>
        <w:gridCol w:w="1308"/>
        <w:gridCol w:w="1175"/>
      </w:tblGrid>
      <w:tr w:rsidR="000E133D" w:rsidRPr="0087100D" w14:paraId="1E1927FB" w14:textId="77777777" w:rsidTr="00186935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14:paraId="3921829F" w14:textId="64E1BCB9" w:rsidR="000E133D" w:rsidRPr="000E133D" w:rsidRDefault="00186935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Pays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0A2" w14:textId="26A2E3AE" w:rsidR="000E133D" w:rsidRPr="000E133D" w:rsidRDefault="008F34C0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 xml:space="preserve">Éliminées en </w:t>
            </w:r>
            <w:r w:rsidR="000E133D" w:rsidRPr="000E133D">
              <w:rPr>
                <w:b/>
                <w:bCs/>
                <w:sz w:val="20"/>
                <w:szCs w:val="20"/>
                <w:lang w:val="fr-CA" w:eastAsia="en-CA"/>
              </w:rPr>
              <w:t>2019*</w:t>
            </w:r>
          </w:p>
          <w:p w14:paraId="7E6293A5" w14:textId="7CEFFA01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(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>t</w:t>
            </w:r>
            <w:r w:rsidR="00591378">
              <w:rPr>
                <w:b/>
                <w:bCs/>
                <w:sz w:val="20"/>
                <w:szCs w:val="20"/>
                <w:lang w:val="fr-CA" w:eastAsia="en-CA"/>
              </w:rPr>
              <w:t>onnes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 xml:space="preserve"> P</w:t>
            </w:r>
            <w:r w:rsidR="00591378">
              <w:rPr>
                <w:b/>
                <w:bCs/>
                <w:sz w:val="20"/>
                <w:szCs w:val="20"/>
                <w:lang w:val="fr-CA" w:eastAsia="en-CA"/>
              </w:rPr>
              <w:t>AO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1741" w14:textId="2C218E52" w:rsidR="000E133D" w:rsidRPr="000E133D" w:rsidRDefault="000E133D" w:rsidP="000E133D">
            <w:pPr>
              <w:ind w:left="-123" w:right="-75"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P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 xml:space="preserve">ourcentage d’élimination prévu atteint en 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EB42" w14:textId="2E39D106" w:rsidR="000E133D" w:rsidRPr="000E133D" w:rsidRDefault="008F34C0" w:rsidP="000E133D">
            <w:pPr>
              <w:ind w:left="-141" w:right="-102"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 xml:space="preserve">Décaissement estimatif des fonds en </w:t>
            </w:r>
            <w:r w:rsidR="000E133D" w:rsidRPr="000E133D">
              <w:rPr>
                <w:b/>
                <w:bCs/>
                <w:sz w:val="20"/>
                <w:szCs w:val="20"/>
                <w:lang w:val="fr-CA" w:eastAsia="en-CA"/>
              </w:rPr>
              <w:t>2019 (</w:t>
            </w:r>
            <w:r>
              <w:rPr>
                <w:b/>
                <w:bCs/>
                <w:sz w:val="20"/>
                <w:szCs w:val="20"/>
                <w:lang w:val="fr-CA" w:eastAsia="en-CA"/>
              </w:rPr>
              <w:t>$</w:t>
            </w:r>
            <w:r w:rsidR="000E133D" w:rsidRPr="000E133D">
              <w:rPr>
                <w:b/>
                <w:bCs/>
                <w:sz w:val="20"/>
                <w:szCs w:val="20"/>
                <w:lang w:val="fr-CA" w:eastAsia="en-CA"/>
              </w:rPr>
              <w:t>US)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A3A" w14:textId="6391C6BC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F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>o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nds 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>décaissés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>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n 2019 (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>$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US)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D872" w14:textId="159DA11C" w:rsidR="000E133D" w:rsidRPr="000E133D" w:rsidRDefault="000E133D" w:rsidP="000E133D">
            <w:pPr>
              <w:ind w:left="-110" w:right="-108"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P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>ou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rcentage 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 xml:space="preserve">de fonds 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d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 xml:space="preserve">écaissés supérieur aux 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estimation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>s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>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n 2019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467" w14:textId="06162CDD" w:rsidR="000E133D" w:rsidRPr="000E133D" w:rsidRDefault="000E133D" w:rsidP="000E133D">
            <w:pPr>
              <w:ind w:left="-108" w:right="-111"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P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>ou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rcentage 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 xml:space="preserve">de </w:t>
            </w:r>
            <w:r w:rsidR="00A95667">
              <w:rPr>
                <w:b/>
                <w:bCs/>
                <w:sz w:val="20"/>
                <w:szCs w:val="20"/>
                <w:lang w:val="fr-CA" w:eastAsia="en-CA"/>
              </w:rPr>
              <w:t>projet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s</w:t>
            </w:r>
            <w:r w:rsidR="008F34C0">
              <w:rPr>
                <w:b/>
                <w:bCs/>
                <w:sz w:val="20"/>
                <w:szCs w:val="20"/>
                <w:lang w:val="fr-CA" w:eastAsia="en-CA"/>
              </w:rPr>
              <w:t xml:space="preserve"> prévus achevés en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2019</w:t>
            </w:r>
          </w:p>
        </w:tc>
      </w:tr>
      <w:tr w:rsidR="000E133D" w:rsidRPr="000E133D" w14:paraId="4709E048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61F836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Afghanistan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1FFE6BF" w14:textId="3CEE03F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186935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144044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965F2C8" w14:textId="67FFFB1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71FE9AD" w14:textId="2E743D9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75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E5477F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98B7B6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5D9D3692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0EDF708" w14:textId="232498D0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Albani</w:t>
            </w:r>
            <w:r w:rsidR="00186935">
              <w:rPr>
                <w:sz w:val="20"/>
                <w:szCs w:val="20"/>
                <w:lang w:val="fr-CA" w:eastAsia="en-CA"/>
              </w:rPr>
              <w:t>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42AD5AF" w14:textId="59CAAB8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186935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A54640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28D5481" w14:textId="22F3842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57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2EFA00B" w14:textId="4763DC9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62</w:t>
            </w:r>
            <w:r w:rsidR="00186935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DDBB54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0C5C18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1C1D37EB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3436E88" w14:textId="33707262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Algérie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CF43C08" w14:textId="174584C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0AFFD0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A8A2A8A" w14:textId="5D49A9B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104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18ED0CA" w14:textId="5150DDF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EECBB5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ADC9A6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49ED6B24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27F6F090" w14:textId="5AA19B30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Argentine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7779503" w14:textId="0659747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19C5F9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70D0DD5" w14:textId="56324CF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471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AD891A0" w14:textId="7DC35D8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489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1577AA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409E04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</w:p>
        </w:tc>
      </w:tr>
      <w:tr w:rsidR="000E133D" w:rsidRPr="000E133D" w14:paraId="607A3C39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4342722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Armenia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FCE2223" w14:textId="0B36682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20069F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4ECF221" w14:textId="69B76CD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111C2F1" w14:textId="0D7F008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170610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F48373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5D09ED83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C65465A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Bahamas (the)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448B6E5" w14:textId="351FC71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49D64F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537B957" w14:textId="27CE2F8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5CE156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E16C46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A78F2D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3C556BD2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0E9A3A3" w14:textId="046165E6" w:rsidR="000E133D" w:rsidRPr="000E133D" w:rsidRDefault="00186935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Bahreïn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E379760" w14:textId="70AD1D0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5B7450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2E0AAE9" w14:textId="3E9FEB8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94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0098669" w14:textId="5CA7383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87634D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9D6465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7AC925F4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416269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Benin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0D242E5" w14:textId="0576883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D5D2A3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A28CCA7" w14:textId="67EEFD9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A40129D" w14:textId="0D3AAB4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52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496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716D2B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19FCEB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05DC1D40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1C1F0B0" w14:textId="7A7A9F63" w:rsidR="000E133D" w:rsidRPr="000E133D" w:rsidRDefault="000E133D" w:rsidP="000E133D">
            <w:pPr>
              <w:ind w:right="-104"/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Bolivi</w:t>
            </w:r>
            <w:r w:rsidR="00186935">
              <w:rPr>
                <w:sz w:val="20"/>
                <w:szCs w:val="20"/>
                <w:lang w:val="fr-CA" w:eastAsia="en-CA"/>
              </w:rPr>
              <w:t>e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(</w:t>
            </w:r>
            <w:r w:rsidR="00186935">
              <w:rPr>
                <w:sz w:val="20"/>
                <w:szCs w:val="20"/>
                <w:lang w:val="fr-CA" w:eastAsia="en-CA"/>
              </w:rPr>
              <w:t>État p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lurinational </w:t>
            </w:r>
            <w:r w:rsidR="00186935">
              <w:rPr>
                <w:sz w:val="20"/>
                <w:szCs w:val="20"/>
                <w:lang w:val="fr-CA" w:eastAsia="en-CA"/>
              </w:rPr>
              <w:t>de</w:t>
            </w:r>
            <w:r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83B4AE8" w14:textId="7BFFEB1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5B57E3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EB91A2B" w14:textId="60390FF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E2DB106" w14:textId="5104E96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9ECFF0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3FFC2A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47A2440D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85ACEC7" w14:textId="09608C0A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Bosni</w:t>
            </w:r>
            <w:r w:rsidR="00186935">
              <w:rPr>
                <w:sz w:val="20"/>
                <w:szCs w:val="20"/>
                <w:lang w:val="fr-CA" w:eastAsia="en-CA"/>
              </w:rPr>
              <w:t>e-</w:t>
            </w:r>
            <w:r w:rsidRPr="000E133D">
              <w:rPr>
                <w:sz w:val="20"/>
                <w:szCs w:val="20"/>
                <w:lang w:val="fr-CA" w:eastAsia="en-CA"/>
              </w:rPr>
              <w:t>Herz</w:t>
            </w:r>
            <w:r w:rsidR="00186935">
              <w:rPr>
                <w:sz w:val="20"/>
                <w:szCs w:val="20"/>
                <w:lang w:val="fr-CA" w:eastAsia="en-CA"/>
              </w:rPr>
              <w:t>é</w:t>
            </w:r>
            <w:r w:rsidRPr="000E133D">
              <w:rPr>
                <w:sz w:val="20"/>
                <w:szCs w:val="20"/>
                <w:lang w:val="fr-CA" w:eastAsia="en-CA"/>
              </w:rPr>
              <w:t>govin</w:t>
            </w:r>
            <w:r w:rsidR="00186935">
              <w:rPr>
                <w:sz w:val="20"/>
                <w:szCs w:val="20"/>
                <w:lang w:val="fr-CA" w:eastAsia="en-CA"/>
              </w:rPr>
              <w:t>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EBBA0C6" w14:textId="18EE09D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F13CF2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5FE00ED" w14:textId="2461D10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144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C765924" w14:textId="25A8491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177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3469A2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694057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7F29E592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7198BCD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Botswana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A151295" w14:textId="31D6F12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576D98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B843CD3" w14:textId="2DB0CE3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B1E659D" w14:textId="07CBF13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82CEE5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EC10D5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5D2BBFBF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055914F1" w14:textId="1C50CDB5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Br</w:t>
            </w:r>
            <w:r w:rsidR="00186935">
              <w:rPr>
                <w:sz w:val="20"/>
                <w:szCs w:val="20"/>
                <w:lang w:val="fr-CA" w:eastAsia="en-CA"/>
              </w:rPr>
              <w:t>és</w:t>
            </w:r>
            <w:r w:rsidRPr="000E133D">
              <w:rPr>
                <w:sz w:val="20"/>
                <w:szCs w:val="20"/>
                <w:lang w:val="fr-CA" w:eastAsia="en-CA"/>
              </w:rPr>
              <w:t>il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585219D" w14:textId="352AD20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F67697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D46B800" w14:textId="25BF7DF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932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D0DBECC" w14:textId="2E0E22E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818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35DA06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9DF78D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793E6CEE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267F4F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Burkina Faso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92D0411" w14:textId="2A31727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F01C85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26F3BA6" w14:textId="6FB46D5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0500FF7" w14:textId="39B32F4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A816D9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25530C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2DAA161C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AE5F0B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Burundi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250082E" w14:textId="390815B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35677A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738D1DA" w14:textId="0373D0C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9D77B0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A97856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1E65DD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4ADF0D89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11EFB53" w14:textId="380DE094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Camero</w:t>
            </w:r>
            <w:r w:rsidR="00186935">
              <w:rPr>
                <w:sz w:val="20"/>
                <w:szCs w:val="20"/>
                <w:lang w:val="fr-CA" w:eastAsia="en-CA"/>
              </w:rPr>
              <w:t>u</w:t>
            </w:r>
            <w:r w:rsidRPr="000E133D">
              <w:rPr>
                <w:sz w:val="20"/>
                <w:szCs w:val="20"/>
                <w:lang w:val="fr-CA" w:eastAsia="en-CA"/>
              </w:rPr>
              <w:t>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C9C801C" w14:textId="4B3A52C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AEB8DD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9AC1DA9" w14:textId="4C1EF29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166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AFA9F9B" w14:textId="6EBC6F0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BC9D48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8EB030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5CC91C13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A17283E" w14:textId="2A0BB9C8" w:rsidR="000E133D" w:rsidRPr="000E133D" w:rsidRDefault="00186935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Tc</w:t>
            </w:r>
            <w:r w:rsidR="000E133D" w:rsidRPr="000E133D">
              <w:rPr>
                <w:sz w:val="20"/>
                <w:szCs w:val="20"/>
                <w:lang w:val="fr-CA" w:eastAsia="en-CA"/>
              </w:rPr>
              <w:t>had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56FCCCF" w14:textId="3789CFD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D10E57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C3FA58E" w14:textId="4C01DEE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0BEE95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70B782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E0CD16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36E15E6B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2A46FAB1" w14:textId="05B7AF6B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Chil</w:t>
            </w:r>
            <w:r w:rsidR="00186935">
              <w:rPr>
                <w:sz w:val="20"/>
                <w:szCs w:val="20"/>
                <w:lang w:val="fr-CA" w:eastAsia="en-CA"/>
              </w:rPr>
              <w:t>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00C2076" w14:textId="67BA63B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C45FF4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45EE0F2" w14:textId="110007D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6E87429" w14:textId="3506DA3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EBD375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C00D46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2F0A8A57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EEFF107" w14:textId="56BFA60D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Chine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5FEA8A8" w14:textId="04FF32A2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186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5990C7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B8056D2" w14:textId="5E13937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140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58FA077" w14:textId="313325D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739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20BB78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68D1FD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14BE234B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269F749" w14:textId="55A17AFE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Congo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6407087" w14:textId="173CF892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129D00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C1F3081" w14:textId="409F85F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3949E07" w14:textId="0B795AD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77F523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A82533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5BBC974A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5D5CB954" w14:textId="03F3388A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C</w:t>
            </w:r>
            <w:r w:rsidR="00186935">
              <w:rPr>
                <w:sz w:val="20"/>
                <w:szCs w:val="20"/>
                <w:lang w:val="fr-CA" w:eastAsia="en-CA"/>
              </w:rPr>
              <w:t>ô</w:t>
            </w:r>
            <w:r w:rsidRPr="000E133D">
              <w:rPr>
                <w:sz w:val="20"/>
                <w:szCs w:val="20"/>
                <w:lang w:val="fr-CA" w:eastAsia="en-CA"/>
              </w:rPr>
              <w:t>te d’Ivoire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93EB77D" w14:textId="628256E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612067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C8DA9DC" w14:textId="3D4AB8E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1BA5F7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5EC827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D54DD5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2E505E61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D04EAAA" w14:textId="5FE2CEA1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République populaire démocratique de Corée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0AB7477" w14:textId="5A40982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C9FEB0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E0901E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A9ACCF7" w14:textId="6D54094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103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FB5F59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2062992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29BCE9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1B7A259D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5C417094" w14:textId="6C1F379E" w:rsidR="000E133D" w:rsidRPr="000E133D" w:rsidRDefault="00186935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Équateur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588B73B" w14:textId="299DFE2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8EA27A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9FF131F" w14:textId="3A574D2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246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98D589D" w14:textId="6810924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144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E8D5C6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01E74F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2766B601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801B182" w14:textId="5D39E7E1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Égypte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40387EB" w14:textId="7D964F0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68204F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505FD61" w14:textId="1E75D92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610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1D6572B" w14:textId="5D3B8D0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561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6DAD9C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4E2446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24581133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2A60F9A4" w14:textId="4943F343" w:rsidR="000E133D" w:rsidRPr="000E133D" w:rsidRDefault="00186935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Guinée équatoriale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555C1AC" w14:textId="5FAEF47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5F3CD0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50E8FAB" w14:textId="5342563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AAA5714" w14:textId="0DEE65E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3DB90C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94EEFF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31FC1E28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19895C9" w14:textId="6C349108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Érythrée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5B72C11" w14:textId="43780B2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F225F2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4A9CA09" w14:textId="2D7ABA2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17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0B8BE2C" w14:textId="54A5E53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A645E0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778D7D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0EE17661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01DA4F9" w14:textId="31E47EA2" w:rsidR="000E133D" w:rsidRPr="000E133D" w:rsidRDefault="00186935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thiopi</w:t>
            </w:r>
            <w:r>
              <w:rPr>
                <w:sz w:val="20"/>
                <w:szCs w:val="20"/>
                <w:lang w:val="fr-CA" w:eastAsia="en-CA"/>
              </w:rPr>
              <w:t>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C4EA006" w14:textId="7D73E9A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F5DEF8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1BAF6DF" w14:textId="3B4128B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C9D80F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16A115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D277C8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30C9DFB2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A871C3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Gabon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C522D91" w14:textId="2562BCC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7AAE78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280BCF9" w14:textId="485949D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FDE6643" w14:textId="0A60F2D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205EEF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8AD05F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3DA55671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B976DC7" w14:textId="0EF89C09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Gambi</w:t>
            </w:r>
            <w:r w:rsidR="00186935">
              <w:rPr>
                <w:sz w:val="20"/>
                <w:szCs w:val="20"/>
                <w:lang w:val="fr-CA" w:eastAsia="en-CA"/>
              </w:rPr>
              <w:t>e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B5B5B64" w14:textId="44C77F2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ACDB49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096C818" w14:textId="1764D462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387317C" w14:textId="7F4C3CF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4824A0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55F8CB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2CC4B541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0AF1F55C" w14:textId="34B53135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Grenad</w:t>
            </w:r>
            <w:r w:rsidR="00186935">
              <w:rPr>
                <w:sz w:val="20"/>
                <w:szCs w:val="20"/>
                <w:lang w:val="fr-CA" w:eastAsia="en-CA"/>
              </w:rPr>
              <w:t>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F5E88C2" w14:textId="4491FDE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8B17F7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C742EAD" w14:textId="6CD45D7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27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02FAE5E" w14:textId="023E652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27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041080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9DD605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0767F427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16A507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Guatemala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69C99A7" w14:textId="696F192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0BF61A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912102C" w14:textId="702F3E0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5032CEC" w14:textId="3F6D5E2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149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5DF116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9AB9B0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032F5E7C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A0E3903" w14:textId="00B76548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Guin</w:t>
            </w:r>
            <w:r w:rsidR="00186935">
              <w:rPr>
                <w:sz w:val="20"/>
                <w:szCs w:val="20"/>
                <w:lang w:val="fr-CA" w:eastAsia="en-CA"/>
              </w:rPr>
              <w:t>ée</w:t>
            </w:r>
            <w:r w:rsidRPr="000E133D">
              <w:rPr>
                <w:sz w:val="20"/>
                <w:szCs w:val="20"/>
                <w:lang w:val="fr-CA" w:eastAsia="en-CA"/>
              </w:rPr>
              <w:t>-Bissau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EADEE72" w14:textId="30E150A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1A17AC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AEF3B2C" w14:textId="7665E8A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6BDC088" w14:textId="50A4763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88FF39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57FCED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54172FAD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B4873FE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Honduras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596B2EA" w14:textId="56E237A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15A8B1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9976B51" w14:textId="7F58370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0FCDA78" w14:textId="01EB343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37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F55F17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F1DC4E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41E9CC02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88CD951" w14:textId="0FAC4BC0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Iran (</w:t>
            </w:r>
            <w:r w:rsidR="00186935">
              <w:rPr>
                <w:sz w:val="20"/>
                <w:szCs w:val="20"/>
                <w:lang w:val="fr-CA" w:eastAsia="en-CA"/>
              </w:rPr>
              <w:t>République i</w:t>
            </w:r>
            <w:r w:rsidRPr="000E133D">
              <w:rPr>
                <w:sz w:val="20"/>
                <w:szCs w:val="20"/>
                <w:lang w:val="fr-CA" w:eastAsia="en-CA"/>
              </w:rPr>
              <w:t>slami</w:t>
            </w:r>
            <w:r w:rsidR="00186935">
              <w:rPr>
                <w:sz w:val="20"/>
                <w:szCs w:val="20"/>
                <w:lang w:val="fr-CA" w:eastAsia="en-CA"/>
              </w:rPr>
              <w:t>que d’</w:t>
            </w:r>
            <w:r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E79A741" w14:textId="5C4665C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C12569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6916B05" w14:textId="18A2A5E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393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3C3A28A" w14:textId="0F2BF9E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561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33F6E8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381496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5529127E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1444F9A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Iraq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4AEAFD8" w14:textId="1F3FA7D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C9CD6B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7E553CA" w14:textId="3EC403F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3CC403B" w14:textId="3361426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DC8D4B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C95AD6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453DFAF3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23B744B7" w14:textId="02C10E5D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Jordanie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8D3EB42" w14:textId="22BE555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4F5277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BF77D3C" w14:textId="20D9C8A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105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08C3671" w14:textId="62516A4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526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E11907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2E062E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21082504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5D1125E" w14:textId="0D499A05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Koweït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0BA9509" w14:textId="1C78CEE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0F461E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A5C701F" w14:textId="40DCE5A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7463E9C" w14:textId="7F7F1CD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47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CDCCF7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E11196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233A72AF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5080BE87" w14:textId="626FE78B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L</w:t>
            </w:r>
            <w:r w:rsidR="00186935">
              <w:rPr>
                <w:sz w:val="20"/>
                <w:szCs w:val="20"/>
                <w:lang w:val="fr-CA" w:eastAsia="en-CA"/>
              </w:rPr>
              <w:t>iban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61A2418" w14:textId="5ED2285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3E7B1D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A9F62F2" w14:textId="0235F72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FA3BAD3" w14:textId="1F2416F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743137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34F45E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77A1067F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44E7865" w14:textId="7FD0A98B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Libye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16D85D9" w14:textId="1DEE749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1B4906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7158117" w14:textId="7B277E4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151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F05FA84" w14:textId="53E30C4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3687C6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A79398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29C0786F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7832C25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Madagascar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E418AF0" w14:textId="5B30862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37C110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9A4F18F" w14:textId="5E76236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7D3DC82" w14:textId="051F198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5BF2DB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24A5C3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35401726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57D8F4B1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Malawi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930173F" w14:textId="4FCC78B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4F8A9C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295DB42" w14:textId="53E71CA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A095402" w14:textId="0B802DE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2E8B32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42EDF7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388F3C33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6C4DFBF" w14:textId="37BADCF1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Mexique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9C8A582" w14:textId="73A2DBA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18267A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2CE91FD" w14:textId="35750F5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310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9C34C1B" w14:textId="6097EC1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456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44BA6A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5458F1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33</w:t>
            </w:r>
          </w:p>
        </w:tc>
      </w:tr>
      <w:tr w:rsidR="000E133D" w:rsidRPr="000E133D" w14:paraId="1551CAF6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A053802" w14:textId="39D2E469" w:rsidR="000E133D" w:rsidRPr="000E133D" w:rsidRDefault="00186935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Monténégro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5428981" w14:textId="2F269FD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4A1FF7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5D25DC3" w14:textId="51D710E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263BA09" w14:textId="5AE3979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6E4CDF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2BDC59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3E430107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DE3ED12" w14:textId="3856C97D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Maroc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C0AC41A" w14:textId="594705F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411D6F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B707A14" w14:textId="5037F8E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285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5081B86" w14:textId="681718A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314976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8004AD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50</w:t>
            </w:r>
          </w:p>
        </w:tc>
      </w:tr>
      <w:tr w:rsidR="000E133D" w:rsidRPr="000E133D" w14:paraId="4C56DFFB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2B8B3FF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Mozambique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8209E3A" w14:textId="42FE551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662C7D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699B331" w14:textId="5C9400B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17C0CB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F01490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F5BB5B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6BDF72B5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BDB8A5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Myanmar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057ADA8" w14:textId="356368E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EADF5B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2B999FF" w14:textId="49BF1E1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5559DFC" w14:textId="541F751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09A97E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5C32E9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0ED80467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64067DC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Nicaragua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FDD6885" w14:textId="02731A7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BFF8B1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586A8FF" w14:textId="114CDF5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A0E23B6" w14:textId="16BC08A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B7CFE9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53FE24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46BB5A77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02D91A7" w14:textId="110E930C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 xml:space="preserve">Niger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F3969EB" w14:textId="69155D7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8A1235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8D527E0" w14:textId="60BD7E7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467BED4" w14:textId="7BBEC58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B1087A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43029A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0E455F85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C8A5CCD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Nigeria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316E896" w14:textId="1DC632B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0E57A3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E8F5566" w14:textId="4BAF0A4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120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BCBEF5C" w14:textId="7A2F094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93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9AA9D4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16156A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61629946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66E1C8E" w14:textId="113D4664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Mac</w:t>
            </w:r>
            <w:r w:rsidR="00186935">
              <w:rPr>
                <w:sz w:val="20"/>
                <w:szCs w:val="20"/>
                <w:lang w:val="fr-CA" w:eastAsia="en-CA"/>
              </w:rPr>
              <w:t>é</w:t>
            </w:r>
            <w:r w:rsidRPr="000E133D">
              <w:rPr>
                <w:sz w:val="20"/>
                <w:szCs w:val="20"/>
                <w:lang w:val="fr-CA" w:eastAsia="en-CA"/>
              </w:rPr>
              <w:t>do</w:t>
            </w:r>
            <w:r w:rsidR="00186935">
              <w:rPr>
                <w:sz w:val="20"/>
                <w:szCs w:val="20"/>
                <w:lang w:val="fr-CA" w:eastAsia="en-CA"/>
              </w:rPr>
              <w:t>ine du Nord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94A2B26" w14:textId="4FA375B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D660B7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ED1937A" w14:textId="53F5F75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62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91391ED" w14:textId="6FB8197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ED20C6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B33E84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006856FF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E9EF61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Oman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35373CC" w14:textId="78E0E0E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38E2FB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0C9CB83" w14:textId="6B4A120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8912B5F" w14:textId="7FC05B8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62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43999A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0C77F3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2EFAE1F5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DDE2B56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Pakistan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F315826" w14:textId="7962BD5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30F65F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0C7D5D4" w14:textId="74FC7C0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540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D62EDDE" w14:textId="469979F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74C654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8D5D93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2EA75C37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9BB38B6" w14:textId="76C221D9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Philippines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E7B8D9C" w14:textId="273AB9A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4F47E4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29E27A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8638622" w14:textId="6605A6A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D1DB21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Over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7464A9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4827044B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5898504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Qatar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7C0DEE4" w14:textId="1C94E8E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D33B50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3B3E1F1" w14:textId="4F9D48D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6EFE10C" w14:textId="0204156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B9964F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6C46A1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0D106AA5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BDC8877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Rwanda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66C0130" w14:textId="0DEB7E62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87684F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5D82C15" w14:textId="43BE7AB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120037D" w14:textId="6DD4F3C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4328E6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28ED86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731B3083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9D7E826" w14:textId="328AF1AA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Saint</w:t>
            </w:r>
            <w:r w:rsidR="00186935">
              <w:rPr>
                <w:sz w:val="20"/>
                <w:szCs w:val="20"/>
                <w:lang w:val="fr-CA" w:eastAsia="en-CA"/>
              </w:rPr>
              <w:t>e-</w:t>
            </w:r>
            <w:r w:rsidRPr="000E133D">
              <w:rPr>
                <w:sz w:val="20"/>
                <w:szCs w:val="20"/>
                <w:lang w:val="fr-CA" w:eastAsia="en-CA"/>
              </w:rPr>
              <w:t>Luci</w:t>
            </w:r>
            <w:r w:rsidR="00186935">
              <w:rPr>
                <w:sz w:val="20"/>
                <w:szCs w:val="20"/>
                <w:lang w:val="fr-CA" w:eastAsia="en-CA"/>
              </w:rPr>
              <w:t>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AF1DA16" w14:textId="4F7E630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B48677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3B71D06" w14:textId="3C2B30F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2E13742" w14:textId="57E1981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511D52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82A8AC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762F57D2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520F637" w14:textId="48918DB8" w:rsidR="000E133D" w:rsidRPr="000E133D" w:rsidRDefault="00584873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Arabie saoudite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C929A17" w14:textId="6C720482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F2E0C7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4A02BB5" w14:textId="6E19D05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743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FB9A4E2" w14:textId="750ED05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302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FF73BA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AB96A4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</w:p>
        </w:tc>
      </w:tr>
      <w:tr w:rsidR="000E133D" w:rsidRPr="000E133D" w14:paraId="64CD8181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149034F" w14:textId="7C3EA4CB" w:rsidR="000E133D" w:rsidRPr="000E133D" w:rsidRDefault="00F63681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Sénégal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910B675" w14:textId="1618471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134684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291CB27" w14:textId="663495A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E2B831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64FEC3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326711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50</w:t>
            </w:r>
          </w:p>
        </w:tc>
      </w:tr>
      <w:tr w:rsidR="000E133D" w:rsidRPr="000E133D" w14:paraId="5A11DBF9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AEE1F42" w14:textId="1294F09E" w:rsidR="000E133D" w:rsidRPr="000E133D" w:rsidRDefault="00F63681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Serbie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C32084F" w14:textId="458D32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67596AB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821DB09" w14:textId="6C686A2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5DCDBF5" w14:textId="7B9BE67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233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4EF313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740553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0895EF56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A30B3C0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Sierra Leone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96CB3DA" w14:textId="2B34965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A3C89A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F790B15" w14:textId="253608E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1AAE871" w14:textId="2B2FC5C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4A3F94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19F553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4E238E86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B0B788D" w14:textId="0F2AD0DD" w:rsidR="000E133D" w:rsidRPr="000E133D" w:rsidRDefault="00F63681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Somalie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21CAFEA" w14:textId="1A556D6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1954CB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7AC1457" w14:textId="218D098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F954FFC" w14:textId="0A13CCB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E2A2C1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2EB763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340FA265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51F8378" w14:textId="36560EB3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Afrique du Sud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50375CC" w14:textId="47C4E29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0CAFFD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6C5575D" w14:textId="4C0FBE5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275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BB53B1E" w14:textId="0195612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298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2A9A77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189871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33</w:t>
            </w:r>
          </w:p>
        </w:tc>
      </w:tr>
      <w:tr w:rsidR="000E133D" w:rsidRPr="000E133D" w14:paraId="30A3C4B6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56D5C2E6" w14:textId="395DAB2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</w:t>
            </w:r>
            <w:r w:rsidR="00186935">
              <w:rPr>
                <w:sz w:val="20"/>
                <w:szCs w:val="20"/>
                <w:lang w:val="fr-CA" w:eastAsia="en-CA"/>
              </w:rPr>
              <w:t>o</w:t>
            </w:r>
            <w:r w:rsidRPr="000E133D">
              <w:rPr>
                <w:sz w:val="20"/>
                <w:szCs w:val="20"/>
                <w:lang w:val="fr-CA" w:eastAsia="en-CA"/>
              </w:rPr>
              <w:t xml:space="preserve">udan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1A2D2F6" w14:textId="2BD0663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E84064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9F29721" w14:textId="0C7791B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455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A9CC10E" w14:textId="26AF655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424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AA6F76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26ED30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2300B971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5BE40ED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Suriname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ECD9086" w14:textId="4B9594E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F2E490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DB3B3E2" w14:textId="01C3FF02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208BD24" w14:textId="3141F29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29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44CF85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7DF77B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24814CF4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DD6F798" w14:textId="7D5053EE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Syri</w:t>
            </w:r>
            <w:r w:rsidR="00186935">
              <w:rPr>
                <w:sz w:val="20"/>
                <w:szCs w:val="20"/>
                <w:lang w:val="fr-CA" w:eastAsia="en-CA"/>
              </w:rPr>
              <w:t>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AE5705C" w14:textId="597CE5E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F147A3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FA1BFD6" w14:textId="38F6534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57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B495A93" w14:textId="46DCB0D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12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824671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7946F5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775D0A68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0F720463" w14:textId="77777777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Togo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41EF1FB" w14:textId="060EB30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235DD8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77FAE52" w14:textId="196CBB6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29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84F87C8" w14:textId="6AFF925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20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E18F79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EDE75E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043B3BB3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7653789" w14:textId="53DB3355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Tunisi</w:t>
            </w:r>
            <w:r w:rsidR="00186935">
              <w:rPr>
                <w:sz w:val="20"/>
                <w:szCs w:val="20"/>
                <w:lang w:val="fr-CA" w:eastAsia="en-CA"/>
              </w:rPr>
              <w:t>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1105113" w14:textId="0209CF6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A02F24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E14BC33" w14:textId="0946DF9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395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C84AB6C" w14:textId="619E617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319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8B11F3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E0801D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4D59FFD0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F6DE40B" w14:textId="5664C264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Turquie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5D265AB" w14:textId="64AD40E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3932BB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000AFBF" w14:textId="0277429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417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56308EE" w14:textId="5629DFE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668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35A647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DCBC53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5CD02324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0B79BD1" w14:textId="77BF15EB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Turkm</w:t>
            </w:r>
            <w:r w:rsidR="00186935">
              <w:rPr>
                <w:sz w:val="20"/>
                <w:szCs w:val="20"/>
                <w:lang w:val="fr-CA" w:eastAsia="en-CA"/>
              </w:rPr>
              <w:t>é</w:t>
            </w:r>
            <w:r w:rsidRPr="000E133D">
              <w:rPr>
                <w:sz w:val="20"/>
                <w:szCs w:val="20"/>
                <w:lang w:val="fr-CA" w:eastAsia="en-CA"/>
              </w:rPr>
              <w:t>nistan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EE15ED0" w14:textId="42C569AA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6FF531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C245BA0" w14:textId="7E0A374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9DBC5AB" w14:textId="1458740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F3B01F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5C7608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</w:tr>
      <w:tr w:rsidR="000E133D" w:rsidRPr="000E133D" w14:paraId="534372DE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7E10A13" w14:textId="1567EB02" w:rsidR="000E133D" w:rsidRPr="000E133D" w:rsidRDefault="00186935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Ou</w:t>
            </w:r>
            <w:r w:rsidR="000E133D" w:rsidRPr="000E133D">
              <w:rPr>
                <w:sz w:val="20"/>
                <w:szCs w:val="20"/>
                <w:lang w:val="fr-CA" w:eastAsia="en-CA"/>
              </w:rPr>
              <w:t>ganda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F4C4741" w14:textId="2ACC786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C5665F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992E7BC" w14:textId="36CC810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3D0EECF" w14:textId="3FAA3D5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166816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47EE5D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30DE4A0D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5D9A96B9" w14:textId="11362B1C" w:rsidR="000E133D" w:rsidRPr="000E133D" w:rsidRDefault="00186935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 xml:space="preserve">République unie de </w:t>
            </w:r>
            <w:r w:rsidR="000E133D" w:rsidRPr="000E133D">
              <w:rPr>
                <w:sz w:val="20"/>
                <w:szCs w:val="20"/>
                <w:lang w:val="fr-CA" w:eastAsia="en-CA"/>
              </w:rPr>
              <w:t>Tanzani</w:t>
            </w:r>
            <w:r>
              <w:rPr>
                <w:sz w:val="20"/>
                <w:szCs w:val="20"/>
                <w:lang w:val="fr-CA" w:eastAsia="en-CA"/>
              </w:rPr>
              <w:t>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E951C83" w14:textId="55124CC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973973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27E1491" w14:textId="5871649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9E7DFDC" w14:textId="173AA8D9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F83C4F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D2789C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6B0235B0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5ACBA0A0" w14:textId="1AE8908F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Venezuela (</w:t>
            </w:r>
            <w:r w:rsidR="00B37E76">
              <w:rPr>
                <w:sz w:val="20"/>
                <w:szCs w:val="20"/>
                <w:lang w:val="fr-CA" w:eastAsia="en-CA"/>
              </w:rPr>
              <w:t>République bolivarienne de</w:t>
            </w:r>
            <w:r w:rsidRPr="000E133D">
              <w:rPr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0DDF40A" w14:textId="3C38A7F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DE7FC4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7C5DEB2" w14:textId="145363B8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CFD47C6" w14:textId="56607C7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BB7738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7D82B4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30784A1E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ED27F6C" w14:textId="0AE38B15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Y</w:t>
            </w:r>
            <w:r w:rsidR="00186935">
              <w:rPr>
                <w:sz w:val="20"/>
                <w:szCs w:val="20"/>
                <w:lang w:val="fr-CA" w:eastAsia="en-CA"/>
              </w:rPr>
              <w:t>é</w:t>
            </w:r>
            <w:r w:rsidRPr="000E133D">
              <w:rPr>
                <w:sz w:val="20"/>
                <w:szCs w:val="20"/>
                <w:lang w:val="fr-CA" w:eastAsia="en-CA"/>
              </w:rPr>
              <w:t>men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C6F2E05" w14:textId="09A87DE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045633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0FBEFF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C31153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208CEC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Over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6F28229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6B1433A0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1C037F8" w14:textId="0744AD06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Zambi</w:t>
            </w:r>
            <w:r w:rsidR="00186935">
              <w:rPr>
                <w:sz w:val="20"/>
                <w:szCs w:val="20"/>
                <w:lang w:val="fr-CA" w:eastAsia="en-CA"/>
              </w:rPr>
              <w:t>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62FDB1F" w14:textId="5DD4968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4F5E65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89171C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EC72D5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A23767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D838F0F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5D64D201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010D60AA" w14:textId="24499F7C" w:rsidR="000E133D" w:rsidRPr="000E133D" w:rsidRDefault="00B37E76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Mondial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941FDA5" w14:textId="1893C83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3ACA35E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1043F44" w14:textId="73E0EAC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AFBDFC1" w14:textId="675E263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258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173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BC3D6F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31A922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7E7D3D05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FD95E48" w14:textId="6CCB0739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R</w:t>
            </w:r>
            <w:r w:rsidR="00186935">
              <w:rPr>
                <w:sz w:val="20"/>
                <w:szCs w:val="20"/>
                <w:lang w:val="fr-CA" w:eastAsia="en-CA"/>
              </w:rPr>
              <w:t>é</w:t>
            </w:r>
            <w:r w:rsidRPr="000E133D">
              <w:rPr>
                <w:sz w:val="20"/>
                <w:szCs w:val="20"/>
                <w:lang w:val="fr-CA" w:eastAsia="en-CA"/>
              </w:rPr>
              <w:t>gion: ASP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102DBE7" w14:textId="57A9FA6D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5BB0E8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242A04B3" w14:textId="77FCCE41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75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B0319F8" w14:textId="5A9852B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86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108423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4E1336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17F8BE35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259AE3ED" w14:textId="294C88D9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R</w:t>
            </w:r>
            <w:r w:rsidR="00186935">
              <w:rPr>
                <w:sz w:val="20"/>
                <w:szCs w:val="20"/>
                <w:lang w:val="fr-CA" w:eastAsia="en-CA"/>
              </w:rPr>
              <w:t>é</w:t>
            </w:r>
            <w:r w:rsidRPr="000E133D">
              <w:rPr>
                <w:sz w:val="20"/>
                <w:szCs w:val="20"/>
                <w:lang w:val="fr-CA" w:eastAsia="en-CA"/>
              </w:rPr>
              <w:t>gion: EUR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226BF5C" w14:textId="220973B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  <w:r w:rsidR="00AC2152">
              <w:rPr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387F21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15FCCCC" w14:textId="2EE36BC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340A9E5" w14:textId="08C0362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AC2152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2C26C5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57C4122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 </w:t>
            </w:r>
          </w:p>
        </w:tc>
      </w:tr>
      <w:tr w:rsidR="000E133D" w:rsidRPr="000E133D" w14:paraId="1DD60B21" w14:textId="77777777" w:rsidTr="00186935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CA5A389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Total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97FA605" w14:textId="15D28878" w:rsidR="000E133D" w:rsidRPr="000E133D" w:rsidRDefault="000E133D" w:rsidP="000E133D">
            <w:pPr>
              <w:jc w:val="right"/>
              <w:rPr>
                <w:b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sz w:val="20"/>
                <w:szCs w:val="20"/>
                <w:lang w:val="fr-CA" w:eastAsia="en-CA"/>
              </w:rPr>
              <w:t>219</w:t>
            </w:r>
            <w:r w:rsidR="00AC2152">
              <w:rPr>
                <w:b/>
                <w:sz w:val="20"/>
                <w:szCs w:val="20"/>
                <w:lang w:val="fr-CA" w:eastAsia="en-CA"/>
              </w:rPr>
              <w:t>,</w:t>
            </w:r>
            <w:r w:rsidRPr="000E133D">
              <w:rPr>
                <w:b/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110F331" w14:textId="77777777" w:rsidR="000E133D" w:rsidRPr="000E133D" w:rsidRDefault="000E133D" w:rsidP="000E133D">
            <w:pPr>
              <w:jc w:val="right"/>
              <w:rPr>
                <w:b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24E95CA" w14:textId="5D4E966B" w:rsidR="000E133D" w:rsidRPr="000E133D" w:rsidRDefault="000E133D" w:rsidP="000E133D">
            <w:pPr>
              <w:jc w:val="right"/>
              <w:rPr>
                <w:b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sz w:val="20"/>
                <w:szCs w:val="20"/>
                <w:lang w:val="fr-CA" w:eastAsia="en-CA"/>
              </w:rPr>
              <w:t>23</w:t>
            </w:r>
            <w:r w:rsidR="00AC2152">
              <w:rPr>
                <w:b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sz w:val="20"/>
                <w:szCs w:val="20"/>
                <w:lang w:val="fr-CA" w:eastAsia="en-CA"/>
              </w:rPr>
              <w:t>582</w:t>
            </w:r>
            <w:r w:rsidR="00AC2152">
              <w:rPr>
                <w:b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sz w:val="20"/>
                <w:szCs w:val="20"/>
                <w:lang w:val="fr-CA" w:eastAsia="en-CA"/>
              </w:rPr>
              <w:t>315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BD52AF2" w14:textId="7A783FD6" w:rsidR="000E133D" w:rsidRPr="000E133D" w:rsidRDefault="000E133D" w:rsidP="000E133D">
            <w:pPr>
              <w:jc w:val="right"/>
              <w:rPr>
                <w:b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sz w:val="20"/>
                <w:szCs w:val="20"/>
                <w:lang w:val="fr-CA" w:eastAsia="en-CA"/>
              </w:rPr>
              <w:t>18</w:t>
            </w:r>
            <w:r w:rsidR="00AC2152">
              <w:rPr>
                <w:b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sz w:val="20"/>
                <w:szCs w:val="20"/>
                <w:lang w:val="fr-CA" w:eastAsia="en-CA"/>
              </w:rPr>
              <w:t>561</w:t>
            </w:r>
            <w:r w:rsidR="00AC2152">
              <w:rPr>
                <w:b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sz w:val="20"/>
                <w:szCs w:val="20"/>
                <w:lang w:val="fr-CA" w:eastAsia="en-CA"/>
              </w:rPr>
              <w:t>616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BDD411C" w14:textId="77777777" w:rsidR="000E133D" w:rsidRPr="000E133D" w:rsidRDefault="000E133D" w:rsidP="000E133D">
            <w:pPr>
              <w:jc w:val="right"/>
              <w:rPr>
                <w:b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sz w:val="20"/>
                <w:szCs w:val="20"/>
                <w:lang w:val="fr-CA" w:eastAsia="en-CA"/>
              </w:rPr>
              <w:t>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21795AE" w14:textId="77777777" w:rsidR="000E133D" w:rsidRPr="000E133D" w:rsidRDefault="000E133D" w:rsidP="000E133D">
            <w:pPr>
              <w:jc w:val="right"/>
              <w:rPr>
                <w:b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sz w:val="20"/>
                <w:szCs w:val="20"/>
                <w:lang w:val="fr-CA" w:eastAsia="en-CA"/>
              </w:rPr>
              <w:t>48</w:t>
            </w:r>
          </w:p>
        </w:tc>
      </w:tr>
    </w:tbl>
    <w:p w14:paraId="3775BF70" w14:textId="404480D1" w:rsidR="000E133D" w:rsidRPr="000E133D" w:rsidRDefault="000E133D" w:rsidP="000E133D">
      <w:pPr>
        <w:keepNext/>
        <w:outlineLvl w:val="0"/>
        <w:rPr>
          <w:sz w:val="20"/>
          <w:szCs w:val="20"/>
          <w:lang w:val="fr-CA"/>
        </w:rPr>
      </w:pPr>
      <w:r w:rsidRPr="000E133D">
        <w:rPr>
          <w:sz w:val="20"/>
          <w:szCs w:val="20"/>
          <w:lang w:val="fr-CA"/>
        </w:rPr>
        <w:t xml:space="preserve">* </w:t>
      </w:r>
      <w:r w:rsidR="00186935">
        <w:rPr>
          <w:sz w:val="20"/>
          <w:szCs w:val="20"/>
          <w:lang w:val="fr-CA"/>
        </w:rPr>
        <w:t>Aucune élimination en</w:t>
      </w:r>
      <w:r w:rsidRPr="000E133D">
        <w:rPr>
          <w:sz w:val="20"/>
          <w:szCs w:val="20"/>
          <w:lang w:val="fr-CA"/>
        </w:rPr>
        <w:t xml:space="preserve"> 2019 </w:t>
      </w:r>
      <w:r w:rsidR="00186935">
        <w:rPr>
          <w:sz w:val="20"/>
          <w:szCs w:val="20"/>
          <w:lang w:val="fr-CA"/>
        </w:rPr>
        <w:t xml:space="preserve">pour les projets liés aux </w:t>
      </w:r>
      <w:r w:rsidRPr="000E133D">
        <w:rPr>
          <w:sz w:val="20"/>
          <w:szCs w:val="20"/>
          <w:lang w:val="fr-CA"/>
        </w:rPr>
        <w:t>HFC.</w:t>
      </w:r>
    </w:p>
    <w:p w14:paraId="3B3E0C58" w14:textId="77777777" w:rsidR="000E133D" w:rsidRPr="000E133D" w:rsidRDefault="000E133D" w:rsidP="000E133D">
      <w:pPr>
        <w:outlineLvl w:val="0"/>
        <w:rPr>
          <w:b/>
          <w:lang w:val="fr-CA"/>
        </w:rPr>
      </w:pPr>
    </w:p>
    <w:p w14:paraId="566C71F2" w14:textId="343438A0" w:rsidR="000E133D" w:rsidRPr="000E133D" w:rsidRDefault="00F37667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Le </w:t>
      </w:r>
      <w:r w:rsidR="000E133D" w:rsidRPr="000E133D">
        <w:rPr>
          <w:lang w:val="fr-CA"/>
        </w:rPr>
        <w:t>Table</w:t>
      </w:r>
      <w:r>
        <w:rPr>
          <w:lang w:val="fr-CA"/>
        </w:rPr>
        <w:t>au</w:t>
      </w:r>
      <w:r w:rsidR="000E133D" w:rsidRPr="000E133D">
        <w:rPr>
          <w:lang w:val="fr-CA"/>
        </w:rPr>
        <w:t xml:space="preserve"> 5 pr</w:t>
      </w:r>
      <w:r>
        <w:rPr>
          <w:lang w:val="fr-CA"/>
        </w:rPr>
        <w:t>é</w:t>
      </w:r>
      <w:r w:rsidR="000E133D" w:rsidRPr="000E133D">
        <w:rPr>
          <w:lang w:val="fr-CA"/>
        </w:rPr>
        <w:t>sent</w:t>
      </w:r>
      <w:r>
        <w:rPr>
          <w:lang w:val="fr-CA"/>
        </w:rPr>
        <w:t xml:space="preserve">e un résumé des projets liés aux </w:t>
      </w:r>
      <w:r w:rsidR="000E133D" w:rsidRPr="000E133D">
        <w:rPr>
          <w:lang w:val="fr-CA"/>
        </w:rPr>
        <w:t>HFC</w:t>
      </w:r>
      <w:r>
        <w:rPr>
          <w:lang w:val="fr-CA"/>
        </w:rPr>
        <w:t xml:space="preserve"> approuvés au titre des </w:t>
      </w:r>
      <w:r w:rsidR="000E133D" w:rsidRPr="000E133D">
        <w:rPr>
          <w:lang w:val="fr-CA"/>
        </w:rPr>
        <w:t>contributions</w:t>
      </w:r>
      <w:r>
        <w:rPr>
          <w:lang w:val="fr-CA"/>
        </w:rPr>
        <w:t xml:space="preserve"> régulières</w:t>
      </w:r>
      <w:r w:rsidR="000E133D" w:rsidRPr="000E133D">
        <w:rPr>
          <w:lang w:val="fr-CA"/>
        </w:rPr>
        <w:t>.</w:t>
      </w:r>
    </w:p>
    <w:p w14:paraId="195C32EC" w14:textId="317E11E2" w:rsidR="000E133D" w:rsidRPr="000E133D" w:rsidRDefault="000E133D" w:rsidP="000E133D">
      <w:pPr>
        <w:keepNext/>
        <w:rPr>
          <w:b/>
          <w:lang w:val="fr-CA"/>
        </w:rPr>
      </w:pPr>
      <w:r w:rsidRPr="000E133D">
        <w:rPr>
          <w:b/>
          <w:lang w:val="fr-CA"/>
        </w:rPr>
        <w:t>Table</w:t>
      </w:r>
      <w:r w:rsidR="00F37667">
        <w:rPr>
          <w:b/>
          <w:lang w:val="fr-CA"/>
        </w:rPr>
        <w:t>au</w:t>
      </w:r>
      <w:r w:rsidRPr="000E133D">
        <w:rPr>
          <w:b/>
          <w:lang w:val="fr-CA"/>
        </w:rPr>
        <w:t xml:space="preserve"> 5. </w:t>
      </w:r>
      <w:r w:rsidR="00F37667">
        <w:rPr>
          <w:b/>
          <w:lang w:val="fr-CA"/>
        </w:rPr>
        <w:t xml:space="preserve">Projets liés aux </w:t>
      </w:r>
      <w:r w:rsidRPr="000E133D">
        <w:rPr>
          <w:b/>
          <w:lang w:val="fr-CA"/>
        </w:rPr>
        <w:t>HFC</w:t>
      </w:r>
      <w:r w:rsidR="00F37667">
        <w:rPr>
          <w:b/>
          <w:lang w:val="fr-CA"/>
        </w:rPr>
        <w:t xml:space="preserve"> approuvés au titre des </w:t>
      </w:r>
      <w:r w:rsidRPr="000E133D">
        <w:rPr>
          <w:b/>
          <w:lang w:val="fr-CA"/>
        </w:rPr>
        <w:t>contributions</w:t>
      </w:r>
      <w:r w:rsidR="00F37667">
        <w:rPr>
          <w:b/>
          <w:lang w:val="fr-CA"/>
        </w:rPr>
        <w:t xml:space="preserve"> régulières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1890"/>
        <w:gridCol w:w="1000"/>
        <w:gridCol w:w="1078"/>
        <w:gridCol w:w="1162"/>
        <w:gridCol w:w="1080"/>
        <w:gridCol w:w="1011"/>
        <w:gridCol w:w="1045"/>
        <w:gridCol w:w="1170"/>
      </w:tblGrid>
      <w:tr w:rsidR="000E133D" w:rsidRPr="000E133D" w14:paraId="0CE29BF4" w14:textId="77777777" w:rsidTr="00A95667">
        <w:trPr>
          <w:tblHeader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011A51B1" w14:textId="77777777" w:rsidR="000E133D" w:rsidRPr="000E133D" w:rsidRDefault="000E133D" w:rsidP="000E133D">
            <w:pPr>
              <w:keepNext/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Type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69BCB17D" w14:textId="783C044E" w:rsidR="000E133D" w:rsidRPr="000E133D" w:rsidRDefault="000E13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N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o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mb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re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 xml:space="preserve">de </w:t>
            </w:r>
            <w:r w:rsidR="00A95667">
              <w:rPr>
                <w:b/>
                <w:bCs/>
                <w:sz w:val="20"/>
                <w:szCs w:val="20"/>
                <w:lang w:val="fr-CA" w:eastAsia="en-CA"/>
              </w:rPr>
              <w:t>projet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s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06F1FF7A" w14:textId="280D8E4E" w:rsidR="000E133D" w:rsidRPr="000E133D" w:rsidRDefault="000E133D" w:rsidP="000E133D">
            <w:pPr>
              <w:keepNext/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F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inancement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(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$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US)*</w:t>
            </w:r>
          </w:p>
        </w:tc>
      </w:tr>
      <w:tr w:rsidR="000E133D" w:rsidRPr="000E133D" w14:paraId="07476461" w14:textId="77777777" w:rsidTr="00A95667">
        <w:trPr>
          <w:tblHeader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hideMark/>
          </w:tcPr>
          <w:p w14:paraId="6C858EB1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AC01F33" w14:textId="46DA3C22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Appro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uvés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779CDF5" w14:textId="243A65AF" w:rsidR="000E133D" w:rsidRPr="000E133D" w:rsidRDefault="00F37667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Achevés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6DEEF18" w14:textId="06E3953A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% 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 xml:space="preserve">achevés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21874350" w14:textId="4374E7CE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Appr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ouvé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D2E1480" w14:textId="3ECF169A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D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écaissé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4BD5546E" w14:textId="59B0F7A2" w:rsidR="000E133D" w:rsidRPr="000E133D" w:rsidRDefault="00F37667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Solde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214E94F" w14:textId="213670B3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% d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écaissé</w:t>
            </w:r>
          </w:p>
        </w:tc>
      </w:tr>
      <w:tr w:rsidR="000E133D" w:rsidRPr="000E133D" w14:paraId="6130EEEE" w14:textId="77777777" w:rsidTr="00A95667"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58E28732" w14:textId="74148740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Invest</w:t>
            </w:r>
            <w:r w:rsidR="00F37667">
              <w:rPr>
                <w:sz w:val="20"/>
                <w:szCs w:val="20"/>
                <w:lang w:val="fr-CA" w:eastAsia="en-CA"/>
              </w:rPr>
              <w:t>isse</w:t>
            </w:r>
            <w:r w:rsidRPr="000E133D">
              <w:rPr>
                <w:sz w:val="20"/>
                <w:szCs w:val="20"/>
                <w:lang w:val="fr-CA" w:eastAsia="en-CA"/>
              </w:rPr>
              <w:t>ment**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05697E9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3B29BF7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4BA23D6C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2A1B3D3D" w14:textId="6DEDC05B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F37667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637</w:t>
            </w:r>
            <w:r w:rsidR="00F37667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610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7209214D" w14:textId="7B20389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403</w:t>
            </w:r>
            <w:r w:rsidR="00F37667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401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634F8680" w14:textId="2A751AAF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F37667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234</w:t>
            </w:r>
            <w:r w:rsidR="00F37667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7CE7BC5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25</w:t>
            </w:r>
          </w:p>
        </w:tc>
      </w:tr>
      <w:tr w:rsidR="000E133D" w:rsidRPr="000E133D" w14:paraId="6F2F459B" w14:textId="77777777" w:rsidTr="00A95667"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2D4B0996" w14:textId="727B33F4" w:rsidR="000E133D" w:rsidRPr="000E133D" w:rsidRDefault="00A95667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Pr</w:t>
            </w:r>
            <w:r w:rsidR="00F37667"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paration</w:t>
            </w:r>
            <w:r w:rsidR="00F37667">
              <w:rPr>
                <w:sz w:val="20"/>
                <w:szCs w:val="20"/>
                <w:lang w:val="fr-CA" w:eastAsia="en-CA"/>
              </w:rPr>
              <w:t xml:space="preserve"> de projets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32BB9343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610D4E0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5677307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358B41D6" w14:textId="7466AF2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130</w:t>
            </w:r>
            <w:r w:rsidR="00F37667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3A698B34" w14:textId="6695870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129</w:t>
            </w:r>
            <w:r w:rsidR="00F37667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7E0E294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0052450A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100</w:t>
            </w:r>
          </w:p>
        </w:tc>
      </w:tr>
      <w:tr w:rsidR="000E133D" w:rsidRPr="000E133D" w14:paraId="178FDC22" w14:textId="77777777" w:rsidTr="00A95667"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14:paraId="038E3543" w14:textId="649B0C32" w:rsidR="000E133D" w:rsidRPr="000E133D" w:rsidRDefault="00F37667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</w:t>
            </w:r>
            <w:r w:rsidR="000E133D" w:rsidRPr="000E133D">
              <w:rPr>
                <w:sz w:val="20"/>
                <w:szCs w:val="20"/>
                <w:lang w:val="fr-CA" w:eastAsia="en-CA"/>
              </w:rPr>
              <w:t>ssistance</w:t>
            </w:r>
            <w:r>
              <w:rPr>
                <w:sz w:val="20"/>
                <w:szCs w:val="20"/>
                <w:lang w:val="fr-CA" w:eastAsia="en-CA"/>
              </w:rPr>
              <w:t xml:space="preserve"> technique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–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A</w:t>
            </w:r>
            <w:r w:rsidR="008A5426">
              <w:rPr>
                <w:sz w:val="20"/>
                <w:szCs w:val="20"/>
                <w:lang w:val="fr-CA" w:eastAsia="en-CA"/>
              </w:rPr>
              <w:t>ctivités</w:t>
            </w:r>
            <w:r>
              <w:rPr>
                <w:sz w:val="20"/>
                <w:szCs w:val="20"/>
                <w:lang w:val="fr-CA" w:eastAsia="en-CA"/>
              </w:rPr>
              <w:t xml:space="preserve"> de facilitation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019E071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26819B6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55326BF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0A63FF7E" w14:textId="54A4305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400</w:t>
            </w:r>
            <w:r w:rsidR="00F37667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394D3507" w14:textId="4A00D20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22</w:t>
            </w:r>
            <w:r w:rsidR="00F37667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216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61F8267B" w14:textId="5B60E8D3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377</w:t>
            </w:r>
            <w:r w:rsidR="00F37667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07E92DD4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6</w:t>
            </w:r>
          </w:p>
        </w:tc>
      </w:tr>
      <w:tr w:rsidR="000E133D" w:rsidRPr="000E133D" w14:paraId="355C6085" w14:textId="77777777" w:rsidTr="00A95667"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04FCCE16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717ACB46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0ED53FDB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25FF7F1D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55BC4B1C" w14:textId="1F4BC839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2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167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339A4744" w14:textId="58F8EA49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555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215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40ACCA3A" w14:textId="41CD2C08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1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612</w:t>
            </w:r>
            <w:r w:rsidR="00F37667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395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3FD6FAB2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26</w:t>
            </w:r>
          </w:p>
        </w:tc>
      </w:tr>
    </w:tbl>
    <w:p w14:paraId="33EFB0B3" w14:textId="73CBB9D0" w:rsidR="000E133D" w:rsidRPr="000E133D" w:rsidRDefault="000E133D" w:rsidP="000E133D">
      <w:pPr>
        <w:rPr>
          <w:sz w:val="19"/>
          <w:szCs w:val="19"/>
          <w:lang w:val="fr-CA"/>
        </w:rPr>
      </w:pPr>
      <w:r w:rsidRPr="000E133D">
        <w:rPr>
          <w:sz w:val="19"/>
          <w:szCs w:val="19"/>
          <w:lang w:val="fr-CA"/>
        </w:rPr>
        <w:t>*Exclu</w:t>
      </w:r>
      <w:r w:rsidR="00F37667">
        <w:rPr>
          <w:sz w:val="19"/>
          <w:szCs w:val="19"/>
          <w:lang w:val="fr-CA"/>
        </w:rPr>
        <w:t>ant l</w:t>
      </w:r>
      <w:r w:rsidRPr="000E133D">
        <w:rPr>
          <w:sz w:val="19"/>
          <w:szCs w:val="19"/>
          <w:lang w:val="fr-CA"/>
        </w:rPr>
        <w:t xml:space="preserve">es </w:t>
      </w:r>
      <w:r w:rsidR="00C84B88">
        <w:rPr>
          <w:sz w:val="19"/>
          <w:szCs w:val="19"/>
          <w:lang w:val="fr-CA"/>
        </w:rPr>
        <w:t>coûts d’appui d’agence</w:t>
      </w:r>
      <w:r w:rsidRPr="000E133D">
        <w:rPr>
          <w:sz w:val="19"/>
          <w:szCs w:val="19"/>
          <w:lang w:val="fr-CA"/>
        </w:rPr>
        <w:t xml:space="preserve">. </w:t>
      </w:r>
    </w:p>
    <w:p w14:paraId="0D5A8977" w14:textId="73F40404" w:rsidR="000E133D" w:rsidRPr="000E133D" w:rsidRDefault="000E133D" w:rsidP="000E133D">
      <w:pPr>
        <w:rPr>
          <w:sz w:val="20"/>
          <w:szCs w:val="20"/>
          <w:lang w:val="fr-CA"/>
        </w:rPr>
      </w:pPr>
      <w:r w:rsidRPr="000E133D">
        <w:rPr>
          <w:sz w:val="20"/>
          <w:szCs w:val="20"/>
          <w:lang w:val="fr-CA"/>
        </w:rPr>
        <w:t>** 118</w:t>
      </w:r>
      <w:r w:rsidR="00F37667">
        <w:rPr>
          <w:sz w:val="20"/>
          <w:szCs w:val="20"/>
          <w:lang w:val="fr-CA"/>
        </w:rPr>
        <w:t>,</w:t>
      </w:r>
      <w:r w:rsidRPr="000E133D">
        <w:rPr>
          <w:sz w:val="20"/>
          <w:szCs w:val="20"/>
          <w:lang w:val="fr-CA"/>
        </w:rPr>
        <w:t xml:space="preserve">7 </w:t>
      </w:r>
      <w:r w:rsidR="00F37667">
        <w:rPr>
          <w:sz w:val="20"/>
          <w:szCs w:val="20"/>
          <w:lang w:val="fr-CA"/>
        </w:rPr>
        <w:t>t</w:t>
      </w:r>
      <w:r w:rsidRPr="000E133D">
        <w:rPr>
          <w:sz w:val="20"/>
          <w:szCs w:val="20"/>
          <w:lang w:val="fr-CA"/>
        </w:rPr>
        <w:t>m (211</w:t>
      </w:r>
      <w:r w:rsidR="00F37667">
        <w:rPr>
          <w:sz w:val="20"/>
          <w:szCs w:val="20"/>
          <w:lang w:val="fr-CA"/>
        </w:rPr>
        <w:t> </w:t>
      </w:r>
      <w:r w:rsidRPr="000E133D">
        <w:rPr>
          <w:sz w:val="20"/>
          <w:szCs w:val="20"/>
          <w:lang w:val="fr-CA"/>
        </w:rPr>
        <w:t xml:space="preserve">512 </w:t>
      </w:r>
      <w:r w:rsidR="00F37667">
        <w:rPr>
          <w:sz w:val="20"/>
          <w:szCs w:val="20"/>
          <w:lang w:val="fr-CA"/>
        </w:rPr>
        <w:t>t</w:t>
      </w:r>
      <w:r w:rsidRPr="000E133D">
        <w:rPr>
          <w:sz w:val="20"/>
          <w:szCs w:val="20"/>
          <w:lang w:val="fr-CA"/>
        </w:rPr>
        <w:t>m</w:t>
      </w:r>
      <w:r w:rsidR="00F37667">
        <w:rPr>
          <w:sz w:val="20"/>
          <w:szCs w:val="20"/>
          <w:lang w:val="fr-CA"/>
        </w:rPr>
        <w:t xml:space="preserve"> équivalent de</w:t>
      </w:r>
      <w:r w:rsidRPr="000E133D">
        <w:rPr>
          <w:sz w:val="20"/>
          <w:szCs w:val="20"/>
          <w:lang w:val="fr-CA"/>
        </w:rPr>
        <w:t xml:space="preserve"> CO</w:t>
      </w:r>
      <w:r w:rsidRPr="000E133D">
        <w:rPr>
          <w:sz w:val="20"/>
          <w:szCs w:val="20"/>
          <w:vertAlign w:val="subscript"/>
          <w:lang w:val="fr-CA"/>
        </w:rPr>
        <w:t>2</w:t>
      </w:r>
      <w:r w:rsidRPr="000E133D">
        <w:rPr>
          <w:sz w:val="20"/>
          <w:szCs w:val="20"/>
          <w:lang w:val="fr-CA"/>
        </w:rPr>
        <w:t xml:space="preserve">) </w:t>
      </w:r>
      <w:r w:rsidR="00F37667">
        <w:rPr>
          <w:sz w:val="20"/>
          <w:szCs w:val="20"/>
          <w:lang w:val="fr-CA"/>
        </w:rPr>
        <w:t xml:space="preserve">ont été approuvées pour des </w:t>
      </w:r>
      <w:r w:rsidR="00A95667">
        <w:rPr>
          <w:sz w:val="20"/>
          <w:szCs w:val="20"/>
          <w:lang w:val="fr-CA"/>
        </w:rPr>
        <w:t>projet</w:t>
      </w:r>
      <w:r w:rsidRPr="000E133D">
        <w:rPr>
          <w:sz w:val="20"/>
          <w:szCs w:val="20"/>
          <w:lang w:val="fr-CA"/>
        </w:rPr>
        <w:t>s</w:t>
      </w:r>
      <w:r w:rsidR="00F37667">
        <w:rPr>
          <w:sz w:val="20"/>
          <w:szCs w:val="20"/>
          <w:lang w:val="fr-CA"/>
        </w:rPr>
        <w:t xml:space="preserve"> d’investissement</w:t>
      </w:r>
      <w:r w:rsidRPr="000E133D">
        <w:rPr>
          <w:sz w:val="20"/>
          <w:szCs w:val="20"/>
          <w:lang w:val="fr-CA"/>
        </w:rPr>
        <w:t>.</w:t>
      </w:r>
    </w:p>
    <w:p w14:paraId="655843D0" w14:textId="77777777" w:rsidR="000E133D" w:rsidRPr="000E133D" w:rsidRDefault="000E133D" w:rsidP="000E133D">
      <w:pPr>
        <w:rPr>
          <w:sz w:val="20"/>
          <w:szCs w:val="20"/>
          <w:lang w:val="fr-CA"/>
        </w:rPr>
      </w:pPr>
    </w:p>
    <w:p w14:paraId="062E7B80" w14:textId="2A64E3AA" w:rsidR="000E133D" w:rsidRPr="000E133D" w:rsidRDefault="00F37667" w:rsidP="003F3D48">
      <w:pPr>
        <w:keepNext/>
        <w:keepLines/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Il y a actuellement </w:t>
      </w:r>
      <w:r w:rsidR="000E133D" w:rsidRPr="000E133D">
        <w:rPr>
          <w:lang w:val="fr-CA"/>
        </w:rPr>
        <w:t xml:space="preserve">six </w:t>
      </w:r>
      <w:r>
        <w:rPr>
          <w:lang w:val="fr-CA"/>
        </w:rPr>
        <w:t xml:space="preserve">projets liés aux </w:t>
      </w:r>
      <w:r w:rsidR="000E133D" w:rsidRPr="000E133D">
        <w:rPr>
          <w:lang w:val="fr-CA"/>
        </w:rPr>
        <w:t>HFC (</w:t>
      </w:r>
      <w:r>
        <w:rPr>
          <w:lang w:val="fr-CA"/>
        </w:rPr>
        <w:t xml:space="preserve">dont un projet d’investissement, deux activités de </w:t>
      </w:r>
      <w:r w:rsidR="000E133D" w:rsidRPr="000E133D">
        <w:rPr>
          <w:lang w:val="fr-CA"/>
        </w:rPr>
        <w:t>pr</w:t>
      </w:r>
      <w:r>
        <w:rPr>
          <w:lang w:val="fr-CA"/>
        </w:rPr>
        <w:t>é</w:t>
      </w:r>
      <w:r w:rsidR="000E133D" w:rsidRPr="000E133D">
        <w:rPr>
          <w:lang w:val="fr-CA"/>
        </w:rPr>
        <w:t xml:space="preserve">paration </w:t>
      </w:r>
      <w:r>
        <w:rPr>
          <w:lang w:val="fr-CA"/>
        </w:rPr>
        <w:t>et trois activités de facilitation</w:t>
      </w:r>
      <w:r w:rsidR="000E133D" w:rsidRPr="000E133D">
        <w:rPr>
          <w:lang w:val="fr-CA"/>
        </w:rPr>
        <w:t xml:space="preserve">). </w:t>
      </w:r>
      <w:r>
        <w:rPr>
          <w:lang w:val="fr-CA"/>
        </w:rPr>
        <w:t xml:space="preserve">Sur ces </w:t>
      </w:r>
      <w:r w:rsidR="000E133D" w:rsidRPr="000E133D">
        <w:rPr>
          <w:lang w:val="fr-CA"/>
        </w:rPr>
        <w:t xml:space="preserve">six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s, </w:t>
      </w:r>
      <w:r>
        <w:rPr>
          <w:lang w:val="fr-CA"/>
        </w:rPr>
        <w:t xml:space="preserve">la préparation de </w:t>
      </w:r>
      <w:r w:rsidR="00A95667">
        <w:rPr>
          <w:lang w:val="fr-CA"/>
        </w:rPr>
        <w:t>projet</w:t>
      </w:r>
      <w:r>
        <w:rPr>
          <w:lang w:val="fr-CA"/>
        </w:rPr>
        <w:t xml:space="preserve"> a été achevée et les cinq autres projets sont en cours</w:t>
      </w:r>
      <w:r w:rsidR="000E133D" w:rsidRPr="000E133D">
        <w:rPr>
          <w:lang w:val="fr-CA"/>
        </w:rPr>
        <w:t xml:space="preserve">. </w:t>
      </w:r>
      <w:r>
        <w:rPr>
          <w:lang w:val="fr-CA"/>
        </w:rPr>
        <w:t>Le report de la date d’achèvement de deux ac</w:t>
      </w:r>
      <w:r w:rsidR="000E133D" w:rsidRPr="000E133D">
        <w:rPr>
          <w:lang w:val="fr-CA"/>
        </w:rPr>
        <w:t>t</w:t>
      </w:r>
      <w:r>
        <w:rPr>
          <w:lang w:val="fr-CA"/>
        </w:rPr>
        <w:t xml:space="preserve">ivités de facilitation a été approuvé à la </w:t>
      </w:r>
      <w:r w:rsidR="000E133D" w:rsidRPr="000E133D">
        <w:rPr>
          <w:lang w:val="fr-CA"/>
        </w:rPr>
        <w:t>85</w:t>
      </w:r>
      <w:r>
        <w:rPr>
          <w:vertAlign w:val="superscript"/>
          <w:lang w:val="fr-CA"/>
        </w:rPr>
        <w:t>e</w:t>
      </w:r>
      <w:r w:rsidR="000E133D" w:rsidRPr="000E133D">
        <w:rPr>
          <w:vertAlign w:val="superscript"/>
          <w:lang w:val="fr-CA"/>
        </w:rPr>
        <w:t xml:space="preserve"> 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; </w:t>
      </w:r>
      <w:r>
        <w:rPr>
          <w:lang w:val="fr-CA"/>
        </w:rPr>
        <w:t xml:space="preserve">ces activités se trouvent à diverses 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s </w:t>
      </w:r>
      <w:r>
        <w:rPr>
          <w:lang w:val="fr-CA"/>
        </w:rPr>
        <w:t>de mise en œuvre</w:t>
      </w:r>
      <w:r w:rsidR="000E133D" w:rsidRPr="000E133D">
        <w:rPr>
          <w:lang w:val="fr-CA"/>
        </w:rPr>
        <w:t>.</w:t>
      </w:r>
    </w:p>
    <w:p w14:paraId="4044976B" w14:textId="70E01A26" w:rsidR="000E133D" w:rsidRPr="000E133D" w:rsidRDefault="00A852A0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Le projet d’investissement </w:t>
      </w:r>
      <w:r w:rsidR="000E133D" w:rsidRPr="000E133D">
        <w:rPr>
          <w:lang w:val="fr-CA"/>
        </w:rPr>
        <w:t xml:space="preserve">HFC </w:t>
      </w:r>
      <w:r>
        <w:rPr>
          <w:lang w:val="fr-CA"/>
        </w:rPr>
        <w:t xml:space="preserve">portant sur le secteur de la </w:t>
      </w:r>
      <w:r w:rsidRPr="000E133D">
        <w:rPr>
          <w:lang w:val="fr-CA"/>
        </w:rPr>
        <w:t>réfrigération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e</w:t>
      </w:r>
      <w:r w:rsidR="000E133D" w:rsidRPr="000E133D">
        <w:rPr>
          <w:lang w:val="fr-CA"/>
        </w:rPr>
        <w:t xml:space="preserve">n </w:t>
      </w:r>
      <w:r w:rsidR="00B37E76">
        <w:rPr>
          <w:lang w:val="fr-CA"/>
        </w:rPr>
        <w:t>Jordanie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et approuvé en juin </w:t>
      </w:r>
      <w:r w:rsidR="000E133D" w:rsidRPr="000E133D">
        <w:rPr>
          <w:lang w:val="fr-CA"/>
        </w:rPr>
        <w:t xml:space="preserve">2018 </w:t>
      </w:r>
      <w:r>
        <w:rPr>
          <w:lang w:val="fr-CA"/>
        </w:rPr>
        <w:t>progresse bien et l’</w:t>
      </w:r>
      <w:r w:rsidR="00A95667">
        <w:rPr>
          <w:lang w:val="fr-CA"/>
        </w:rPr>
        <w:t>ONUDI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a indiqué qu’il sera terminé à temps</w:t>
      </w:r>
      <w:r w:rsidR="000E133D" w:rsidRPr="000E133D">
        <w:rPr>
          <w:lang w:val="fr-CA"/>
        </w:rPr>
        <w:t xml:space="preserve">. </w:t>
      </w:r>
    </w:p>
    <w:p w14:paraId="2271CD5F" w14:textId="447F09D5" w:rsidR="000E133D" w:rsidRPr="000E133D" w:rsidRDefault="00A852A0" w:rsidP="000E133D">
      <w:pPr>
        <w:numPr>
          <w:ilvl w:val="0"/>
          <w:numId w:val="1"/>
        </w:numPr>
        <w:tabs>
          <w:tab w:val="clear" w:pos="0"/>
        </w:tabs>
        <w:spacing w:after="240"/>
        <w:outlineLvl w:val="0"/>
        <w:rPr>
          <w:lang w:val="fr-CA"/>
        </w:rPr>
      </w:pPr>
      <w:r>
        <w:rPr>
          <w:lang w:val="fr-CA"/>
        </w:rPr>
        <w:t xml:space="preserve">Sur un total cumulatif de fonds approuvés de </w:t>
      </w:r>
      <w:r w:rsidR="000E133D" w:rsidRPr="000E133D">
        <w:rPr>
          <w:lang w:val="fr-CA"/>
        </w:rPr>
        <w:t>2</w:t>
      </w:r>
      <w:r>
        <w:rPr>
          <w:lang w:val="fr-CA"/>
        </w:rPr>
        <w:t> </w:t>
      </w:r>
      <w:r w:rsidR="000E133D" w:rsidRPr="000E133D">
        <w:rPr>
          <w:lang w:val="fr-CA"/>
        </w:rPr>
        <w:t>167</w:t>
      </w:r>
      <w:r>
        <w:rPr>
          <w:lang w:val="fr-CA"/>
        </w:rPr>
        <w:t> </w:t>
      </w:r>
      <w:r w:rsidR="000E133D" w:rsidRPr="000E133D">
        <w:rPr>
          <w:lang w:val="fr-CA"/>
        </w:rPr>
        <w:t>610</w:t>
      </w:r>
      <w:r>
        <w:rPr>
          <w:lang w:val="fr-CA"/>
        </w:rPr>
        <w:t> $US</w:t>
      </w:r>
      <w:r w:rsidR="000E133D" w:rsidRPr="000E133D">
        <w:rPr>
          <w:lang w:val="fr-CA"/>
        </w:rPr>
        <w:t xml:space="preserve"> (exclu</w:t>
      </w:r>
      <w:r>
        <w:rPr>
          <w:lang w:val="fr-CA"/>
        </w:rPr>
        <w:t xml:space="preserve">ant les </w:t>
      </w:r>
      <w:r w:rsidR="00C84B88">
        <w:rPr>
          <w:lang w:val="fr-CA"/>
        </w:rPr>
        <w:t>coûts d’appui d’agence</w:t>
      </w:r>
      <w:r w:rsidR="000E133D" w:rsidRPr="000E133D">
        <w:rPr>
          <w:lang w:val="fr-CA"/>
        </w:rPr>
        <w:t xml:space="preserve">), </w:t>
      </w:r>
      <w:r>
        <w:rPr>
          <w:lang w:val="fr-CA"/>
        </w:rPr>
        <w:t xml:space="preserve">un montant de </w:t>
      </w:r>
      <w:r w:rsidR="000E133D" w:rsidRPr="000E133D">
        <w:rPr>
          <w:lang w:val="fr-CA"/>
        </w:rPr>
        <w:t>555</w:t>
      </w:r>
      <w:r>
        <w:rPr>
          <w:lang w:val="fr-CA"/>
        </w:rPr>
        <w:t> </w:t>
      </w:r>
      <w:r w:rsidR="000E133D" w:rsidRPr="000E133D">
        <w:rPr>
          <w:lang w:val="fr-CA"/>
        </w:rPr>
        <w:t>215</w:t>
      </w:r>
      <w:r>
        <w:rPr>
          <w:lang w:val="fr-CA"/>
        </w:rPr>
        <w:t xml:space="preserve"> $US a été décaissé, représentant un taux de décaissement de </w:t>
      </w:r>
      <w:r w:rsidR="000E133D" w:rsidRPr="000E133D">
        <w:rPr>
          <w:lang w:val="fr-CA"/>
        </w:rPr>
        <w:t>26</w:t>
      </w:r>
      <w:r w:rsidR="00631EA2">
        <w:rPr>
          <w:lang w:val="fr-CA"/>
        </w:rPr>
        <w:t> pour cent</w:t>
      </w:r>
      <w:r w:rsidR="000E133D" w:rsidRPr="000E133D">
        <w:rPr>
          <w:lang w:val="fr-CA"/>
        </w:rPr>
        <w:t>.</w:t>
      </w:r>
    </w:p>
    <w:p w14:paraId="02E085C4" w14:textId="507EF737" w:rsidR="000E133D" w:rsidRPr="000E133D" w:rsidRDefault="00A95667" w:rsidP="000E133D">
      <w:pPr>
        <w:keepNext/>
        <w:keepLines/>
        <w:spacing w:after="240"/>
        <w:ind w:left="1418" w:hanging="1418"/>
        <w:outlineLvl w:val="0"/>
        <w:rPr>
          <w:rFonts w:ascii="Times New Roman Bold" w:hAnsi="Times New Roman Bold"/>
          <w:b/>
          <w:caps/>
          <w:szCs w:val="28"/>
          <w:lang w:val="fr-CA"/>
        </w:rPr>
      </w:pPr>
      <w:r>
        <w:rPr>
          <w:rFonts w:ascii="Times New Roman Bold" w:hAnsi="Times New Roman Bold"/>
          <w:b/>
          <w:caps/>
          <w:szCs w:val="28"/>
          <w:lang w:val="fr-CA"/>
        </w:rPr>
        <w:t xml:space="preserve">Partie 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>II: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ab/>
      </w:r>
      <w:r>
        <w:rPr>
          <w:rFonts w:ascii="Times New Roman Bold" w:hAnsi="Times New Roman Bold"/>
          <w:b/>
          <w:caps/>
          <w:szCs w:val="28"/>
          <w:lang w:val="fr-CA"/>
        </w:rPr>
        <w:t>Projet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>s appro</w:t>
      </w:r>
      <w:r w:rsidR="006D6EA5">
        <w:rPr>
          <w:rFonts w:ascii="Times New Roman Bold" w:hAnsi="Times New Roman Bold"/>
          <w:b/>
          <w:caps/>
          <w:szCs w:val="28"/>
          <w:lang w:val="fr-CA"/>
        </w:rPr>
        <w:t xml:space="preserve">UVÉS AU TITRE DES 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 xml:space="preserve">contributions </w:t>
      </w:r>
      <w:r w:rsidR="006D6EA5">
        <w:rPr>
          <w:rFonts w:ascii="Times New Roman Bold" w:hAnsi="Times New Roman Bold"/>
          <w:b/>
          <w:caps/>
          <w:szCs w:val="28"/>
          <w:lang w:val="fr-CA"/>
        </w:rPr>
        <w:t>VOLONTAIRES SUPPLÉMENTAIRES POUR APPORTER UN SOUTIEN À MISE EN œuvre RAPIDE À L’ÉLIM</w:t>
      </w:r>
      <w:r w:rsidR="00807EB8">
        <w:rPr>
          <w:rFonts w:ascii="Times New Roman Bold" w:hAnsi="Times New Roman Bold"/>
          <w:b/>
          <w:caps/>
          <w:szCs w:val="28"/>
          <w:lang w:val="fr-CA"/>
        </w:rPr>
        <w:t>I</w:t>
      </w:r>
      <w:r w:rsidR="006D6EA5">
        <w:rPr>
          <w:rFonts w:ascii="Times New Roman Bold" w:hAnsi="Times New Roman Bold"/>
          <w:b/>
          <w:caps/>
          <w:szCs w:val="28"/>
          <w:lang w:val="fr-CA"/>
        </w:rPr>
        <w:t xml:space="preserve">NATION GRADUELLE DES </w:t>
      </w:r>
      <w:r w:rsidR="000E133D" w:rsidRPr="000E133D">
        <w:rPr>
          <w:rFonts w:ascii="Times New Roman Bold" w:hAnsi="Times New Roman Bold"/>
          <w:b/>
          <w:caps/>
          <w:szCs w:val="28"/>
          <w:lang w:val="fr-CA"/>
        </w:rPr>
        <w:t xml:space="preserve">HFC </w:t>
      </w:r>
    </w:p>
    <w:p w14:paraId="7A7851EB" w14:textId="579B3EDE" w:rsidR="000E133D" w:rsidRPr="000E133D" w:rsidRDefault="00A852A0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>Au</w:t>
      </w:r>
      <w:r w:rsidR="000E133D" w:rsidRPr="000E133D">
        <w:rPr>
          <w:lang w:val="fr-CA"/>
        </w:rPr>
        <w:t xml:space="preserve"> 31 </w:t>
      </w:r>
      <w:r>
        <w:rPr>
          <w:lang w:val="fr-CA"/>
        </w:rPr>
        <w:t>d</w:t>
      </w:r>
      <w:r w:rsidR="001D0731">
        <w:rPr>
          <w:lang w:val="fr-CA"/>
        </w:rPr>
        <w:t>éc</w:t>
      </w:r>
      <w:r w:rsidR="000E133D" w:rsidRPr="000E133D">
        <w:rPr>
          <w:lang w:val="fr-CA"/>
        </w:rPr>
        <w:t>emb</w:t>
      </w:r>
      <w:r>
        <w:rPr>
          <w:lang w:val="fr-CA"/>
        </w:rPr>
        <w:t>r</w:t>
      </w:r>
      <w:r w:rsidR="000E133D" w:rsidRPr="000E133D">
        <w:rPr>
          <w:lang w:val="fr-CA"/>
        </w:rPr>
        <w:t xml:space="preserve">e 2019, </w:t>
      </w:r>
      <w:r>
        <w:rPr>
          <w:lang w:val="fr-CA"/>
        </w:rPr>
        <w:t>l</w:t>
      </w:r>
      <w:r w:rsidR="000E133D" w:rsidRPr="000E133D">
        <w:rPr>
          <w:lang w:val="fr-CA"/>
        </w:rPr>
        <w:t xml:space="preserve">e </w:t>
      </w:r>
      <w:r w:rsidR="00A95667">
        <w:rPr>
          <w:lang w:val="fr-CA"/>
        </w:rPr>
        <w:t>Comité exécutif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avait approuvé</w:t>
      </w:r>
      <w:r w:rsidR="000E133D" w:rsidRPr="000E133D">
        <w:rPr>
          <w:lang w:val="fr-CA"/>
        </w:rPr>
        <w:t xml:space="preserve"> 35 </w:t>
      </w:r>
      <w:r>
        <w:rPr>
          <w:lang w:val="fr-CA"/>
        </w:rPr>
        <w:t xml:space="preserve">projets de </w:t>
      </w:r>
      <w:r w:rsidR="000E133D" w:rsidRPr="000E133D">
        <w:rPr>
          <w:lang w:val="fr-CA"/>
        </w:rPr>
        <w:t>HFC</w:t>
      </w:r>
      <w:r>
        <w:rPr>
          <w:lang w:val="fr-CA"/>
        </w:rPr>
        <w:t xml:space="preserve"> au titre des </w:t>
      </w:r>
      <w:r w:rsidR="000E133D" w:rsidRPr="000E133D">
        <w:rPr>
          <w:lang w:val="fr-CA"/>
        </w:rPr>
        <w:t xml:space="preserve">contributions </w:t>
      </w:r>
      <w:r>
        <w:rPr>
          <w:lang w:val="fr-CA"/>
        </w:rPr>
        <w:t xml:space="preserve">volontaires supplémentaires d’une valeur de </w:t>
      </w:r>
      <w:r w:rsidR="000E133D" w:rsidRPr="000E133D">
        <w:rPr>
          <w:lang w:val="fr-CA"/>
        </w:rPr>
        <w:t>8</w:t>
      </w:r>
      <w:r>
        <w:rPr>
          <w:lang w:val="fr-CA"/>
        </w:rPr>
        <w:t> </w:t>
      </w:r>
      <w:r w:rsidR="000E133D" w:rsidRPr="000E133D">
        <w:rPr>
          <w:lang w:val="fr-CA"/>
        </w:rPr>
        <w:t>089</w:t>
      </w:r>
      <w:r>
        <w:rPr>
          <w:lang w:val="fr-CA"/>
        </w:rPr>
        <w:t> </w:t>
      </w:r>
      <w:r w:rsidR="000E133D" w:rsidRPr="000E133D">
        <w:rPr>
          <w:lang w:val="fr-CA"/>
        </w:rPr>
        <w:t>434</w:t>
      </w:r>
      <w:r>
        <w:rPr>
          <w:lang w:val="fr-CA"/>
        </w:rPr>
        <w:t> $US</w:t>
      </w:r>
      <w:r w:rsidR="000E133D" w:rsidRPr="000E133D">
        <w:rPr>
          <w:lang w:val="fr-CA"/>
        </w:rPr>
        <w:t xml:space="preserve"> (exclu</w:t>
      </w:r>
      <w:r>
        <w:rPr>
          <w:lang w:val="fr-CA"/>
        </w:rPr>
        <w:t xml:space="preserve">ant les </w:t>
      </w:r>
      <w:r w:rsidR="00C84B88">
        <w:rPr>
          <w:lang w:val="fr-CA"/>
        </w:rPr>
        <w:t>coûts d’appui d’agence</w:t>
      </w:r>
      <w:r w:rsidR="000E133D" w:rsidRPr="000E133D">
        <w:rPr>
          <w:lang w:val="fr-CA"/>
        </w:rPr>
        <w:t xml:space="preserve">). </w:t>
      </w:r>
      <w:r>
        <w:rPr>
          <w:lang w:val="fr-CA"/>
        </w:rPr>
        <w:t>Le Tableau 6 contient un résumé de l’état de ces projets</w:t>
      </w:r>
      <w:r w:rsidR="000E133D" w:rsidRPr="000E133D">
        <w:rPr>
          <w:lang w:val="fr-CA"/>
        </w:rPr>
        <w:t xml:space="preserve">. </w:t>
      </w:r>
    </w:p>
    <w:p w14:paraId="74EB9A88" w14:textId="509FB1AD" w:rsidR="000E133D" w:rsidRPr="000E133D" w:rsidRDefault="000E133D" w:rsidP="000E133D">
      <w:pPr>
        <w:outlineLvl w:val="0"/>
        <w:rPr>
          <w:b/>
          <w:lang w:val="fr-CA"/>
        </w:rPr>
      </w:pPr>
      <w:r w:rsidRPr="000E133D">
        <w:rPr>
          <w:b/>
          <w:lang w:val="fr-CA"/>
        </w:rPr>
        <w:t>Table</w:t>
      </w:r>
      <w:r w:rsidR="00A852A0">
        <w:rPr>
          <w:b/>
          <w:lang w:val="fr-CA"/>
        </w:rPr>
        <w:t>au</w:t>
      </w:r>
      <w:r w:rsidRPr="000E133D">
        <w:rPr>
          <w:b/>
          <w:lang w:val="fr-CA"/>
        </w:rPr>
        <w:t xml:space="preserve"> 6.</w:t>
      </w:r>
      <w:r w:rsidR="00A852A0">
        <w:rPr>
          <w:b/>
          <w:lang w:val="fr-CA"/>
        </w:rPr>
        <w:t xml:space="preserve"> État des projets HFC approuvés à la fin de </w:t>
      </w:r>
      <w:r w:rsidRPr="000E133D">
        <w:rPr>
          <w:b/>
          <w:lang w:val="fr-CA"/>
        </w:rPr>
        <w:t>2019</w:t>
      </w:r>
    </w:p>
    <w:tbl>
      <w:tblPr>
        <w:tblW w:w="9408" w:type="dxa"/>
        <w:tblLook w:val="04A0" w:firstRow="1" w:lastRow="0" w:firstColumn="1" w:lastColumn="0" w:noHBand="0" w:noVBand="1"/>
      </w:tblPr>
      <w:tblGrid>
        <w:gridCol w:w="1861"/>
        <w:gridCol w:w="1065"/>
        <w:gridCol w:w="1080"/>
        <w:gridCol w:w="1052"/>
        <w:gridCol w:w="1142"/>
        <w:gridCol w:w="1094"/>
        <w:gridCol w:w="1047"/>
        <w:gridCol w:w="1067"/>
      </w:tblGrid>
      <w:tr w:rsidR="000E133D" w:rsidRPr="000E133D" w14:paraId="7266AC67" w14:textId="77777777" w:rsidTr="00A95667">
        <w:trPr>
          <w:trHeight w:val="2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14:paraId="0D945569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Type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0E9D5651" w14:textId="78DF37B6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N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o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mb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re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de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</w:t>
            </w:r>
            <w:r w:rsidR="00A95667">
              <w:rPr>
                <w:b/>
                <w:bCs/>
                <w:sz w:val="20"/>
                <w:szCs w:val="20"/>
                <w:lang w:val="fr-CA" w:eastAsia="en-CA"/>
              </w:rPr>
              <w:t>projet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s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45052B9B" w14:textId="3489EAD5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F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inancement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 (US $)*</w:t>
            </w:r>
          </w:p>
        </w:tc>
      </w:tr>
      <w:tr w:rsidR="000E133D" w:rsidRPr="000E133D" w14:paraId="6E7E7B71" w14:textId="77777777" w:rsidTr="00A95667">
        <w:trPr>
          <w:trHeight w:val="2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hideMark/>
          </w:tcPr>
          <w:p w14:paraId="67F0D61D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53098D" w14:textId="6D924E0E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Appro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uvés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5A23919" w14:textId="37843FB3" w:rsidR="000E133D" w:rsidRPr="000E133D" w:rsidRDefault="00A852A0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Achevés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752384" w14:textId="13DD9600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 xml:space="preserve">% 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achevés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E0319B" w14:textId="6C81B7B8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Appro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uvé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DBD90E" w14:textId="5BCD0595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D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écaissé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22CE72" w14:textId="7FF75CDF" w:rsidR="000E133D" w:rsidRPr="000E133D" w:rsidRDefault="00A852A0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>
              <w:rPr>
                <w:b/>
                <w:bCs/>
                <w:sz w:val="20"/>
                <w:szCs w:val="20"/>
                <w:lang w:val="fr-CA" w:eastAsia="en-CA"/>
              </w:rPr>
              <w:t>Solde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56B584" w14:textId="1A453C47" w:rsidR="000E133D" w:rsidRPr="000E133D" w:rsidRDefault="000E133D" w:rsidP="000E133D">
            <w:pPr>
              <w:jc w:val="center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% d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écaissé</w:t>
            </w:r>
          </w:p>
        </w:tc>
      </w:tr>
      <w:tr w:rsidR="000E133D" w:rsidRPr="000E133D" w14:paraId="17054EE0" w14:textId="77777777" w:rsidTr="00A95667">
        <w:trPr>
          <w:trHeight w:val="2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05528CE0" w14:textId="3F2EC589" w:rsidR="000E133D" w:rsidRPr="000E133D" w:rsidRDefault="000E133D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Invest</w:t>
            </w:r>
            <w:r w:rsidR="00A852A0">
              <w:rPr>
                <w:sz w:val="20"/>
                <w:szCs w:val="20"/>
                <w:lang w:val="fr-CA" w:eastAsia="en-CA"/>
              </w:rPr>
              <w:t>isse</w:t>
            </w:r>
            <w:r w:rsidRPr="000E133D">
              <w:rPr>
                <w:sz w:val="20"/>
                <w:szCs w:val="20"/>
                <w:lang w:val="fr-CA" w:eastAsia="en-CA"/>
              </w:rPr>
              <w:t>ment**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4AF3135D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6A3AB42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691DD5B7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389CCB5C" w14:textId="06F4F4E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912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72326841" w14:textId="5150615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522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12D66BAB" w14:textId="6951CA10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389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46ED41E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39</w:t>
            </w:r>
          </w:p>
        </w:tc>
      </w:tr>
      <w:tr w:rsidR="000E133D" w:rsidRPr="000E133D" w14:paraId="41BA13B7" w14:textId="77777777" w:rsidTr="00A95667">
        <w:trPr>
          <w:trHeight w:val="2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41AF9DB3" w14:textId="09E23BC0" w:rsidR="000E133D" w:rsidRPr="000E133D" w:rsidRDefault="00A95667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Pr</w:t>
            </w:r>
            <w:r w:rsidR="00A852A0">
              <w:rPr>
                <w:sz w:val="20"/>
                <w:szCs w:val="20"/>
                <w:lang w:val="fr-CA" w:eastAsia="en-CA"/>
              </w:rPr>
              <w:t>é</w:t>
            </w:r>
            <w:r w:rsidR="000E133D" w:rsidRPr="000E133D">
              <w:rPr>
                <w:sz w:val="20"/>
                <w:szCs w:val="20"/>
                <w:lang w:val="fr-CA" w:eastAsia="en-CA"/>
              </w:rPr>
              <w:t>paration</w:t>
            </w:r>
            <w:r w:rsidR="00A852A0">
              <w:rPr>
                <w:sz w:val="20"/>
                <w:szCs w:val="20"/>
                <w:lang w:val="fr-CA" w:eastAsia="en-CA"/>
              </w:rPr>
              <w:t xml:space="preserve"> de projets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0941A9F5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3721CBE2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26977991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1C1F68B3" w14:textId="00F82094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119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755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7C005744" w14:textId="7784C59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95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3420CD68" w14:textId="0FA62225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23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6974D27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80</w:t>
            </w:r>
          </w:p>
        </w:tc>
      </w:tr>
      <w:tr w:rsidR="000E133D" w:rsidRPr="000E133D" w14:paraId="0A6EB73D" w14:textId="77777777" w:rsidTr="00A95667">
        <w:trPr>
          <w:trHeight w:val="2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1A932514" w14:textId="247C1111" w:rsidR="000E133D" w:rsidRPr="000E133D" w:rsidRDefault="00A852A0" w:rsidP="000E133D">
            <w:pPr>
              <w:jc w:val="left"/>
              <w:rPr>
                <w:sz w:val="20"/>
                <w:szCs w:val="20"/>
                <w:lang w:val="fr-CA" w:eastAsia="en-CA"/>
              </w:rPr>
            </w:pPr>
            <w:r>
              <w:rPr>
                <w:sz w:val="20"/>
                <w:szCs w:val="20"/>
                <w:lang w:val="fr-CA" w:eastAsia="en-CA"/>
              </w:rPr>
              <w:t>A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ssistance </w:t>
            </w:r>
            <w:r>
              <w:rPr>
                <w:sz w:val="20"/>
                <w:szCs w:val="20"/>
                <w:lang w:val="fr-CA" w:eastAsia="en-CA"/>
              </w:rPr>
              <w:t>technique –</w:t>
            </w:r>
            <w:r w:rsidR="000E133D" w:rsidRPr="000E133D">
              <w:rPr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sz w:val="20"/>
                <w:szCs w:val="20"/>
                <w:lang w:val="fr-CA" w:eastAsia="en-CA"/>
              </w:rPr>
              <w:t>A</w:t>
            </w:r>
            <w:r w:rsidR="008A5426">
              <w:rPr>
                <w:sz w:val="20"/>
                <w:szCs w:val="20"/>
                <w:lang w:val="fr-CA" w:eastAsia="en-CA"/>
              </w:rPr>
              <w:t>ctivités</w:t>
            </w:r>
            <w:r>
              <w:rPr>
                <w:sz w:val="20"/>
                <w:szCs w:val="20"/>
                <w:lang w:val="fr-CA" w:eastAsia="en-CA"/>
              </w:rPr>
              <w:t xml:space="preserve"> de facilitation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1A0242B0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63C52C48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1E40B7E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73" w:type="dxa"/>
            </w:tcMar>
            <w:hideMark/>
          </w:tcPr>
          <w:p w14:paraId="33DBC20E" w14:textId="3C83FEAE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4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056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73" w:type="dxa"/>
            </w:tcMar>
            <w:hideMark/>
          </w:tcPr>
          <w:p w14:paraId="10B06237" w14:textId="1071E3A6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2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072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872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73" w:type="dxa"/>
            </w:tcMar>
            <w:hideMark/>
          </w:tcPr>
          <w:p w14:paraId="59B48443" w14:textId="7086971C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1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984</w:t>
            </w:r>
            <w:r w:rsidR="00A852A0">
              <w:rPr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sz w:val="20"/>
                <w:szCs w:val="20"/>
                <w:lang w:val="fr-CA" w:eastAsia="en-CA"/>
              </w:rPr>
              <w:t>071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7D42E596" w14:textId="77777777" w:rsidR="000E133D" w:rsidRPr="000E133D" w:rsidRDefault="000E133D" w:rsidP="000E133D">
            <w:pPr>
              <w:jc w:val="right"/>
              <w:rPr>
                <w:sz w:val="20"/>
                <w:szCs w:val="20"/>
                <w:lang w:val="fr-CA" w:eastAsia="en-CA"/>
              </w:rPr>
            </w:pPr>
            <w:r w:rsidRPr="000E133D">
              <w:rPr>
                <w:sz w:val="20"/>
                <w:szCs w:val="20"/>
                <w:lang w:val="fr-CA" w:eastAsia="en-CA"/>
              </w:rPr>
              <w:t>51</w:t>
            </w:r>
          </w:p>
        </w:tc>
      </w:tr>
      <w:tr w:rsidR="000E133D" w:rsidRPr="000E133D" w14:paraId="6ED8A178" w14:textId="77777777" w:rsidTr="00A95667">
        <w:trPr>
          <w:trHeight w:val="2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hideMark/>
          </w:tcPr>
          <w:p w14:paraId="5478497E" w14:textId="77777777" w:rsidR="000E133D" w:rsidRPr="000E133D" w:rsidRDefault="000E133D" w:rsidP="000E133D">
            <w:pPr>
              <w:jc w:val="lef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25A858AB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465E4F31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2B10F80C" w14:textId="77777777" w:rsidR="000E133D" w:rsidRPr="000E133D" w:rsidRDefault="000E133D" w:rsidP="000E133D">
            <w:pPr>
              <w:jc w:val="right"/>
              <w:rPr>
                <w:b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sz w:val="20"/>
                <w:szCs w:val="20"/>
                <w:lang w:val="fr-CA" w:eastAsia="en-CA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4508B7C1" w14:textId="5CB1551A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8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089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434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7A7E4751" w14:textId="5051F6DE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3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691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631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5982F752" w14:textId="587F0B71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4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397</w:t>
            </w:r>
            <w:r w:rsidR="00A852A0">
              <w:rPr>
                <w:b/>
                <w:bCs/>
                <w:sz w:val="20"/>
                <w:szCs w:val="20"/>
                <w:lang w:val="fr-CA" w:eastAsia="en-CA"/>
              </w:rPr>
              <w:t> </w:t>
            </w: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803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173" w:type="dxa"/>
            </w:tcMar>
            <w:hideMark/>
          </w:tcPr>
          <w:p w14:paraId="1056D93D" w14:textId="77777777" w:rsidR="000E133D" w:rsidRPr="000E133D" w:rsidRDefault="000E133D" w:rsidP="000E133D">
            <w:pPr>
              <w:jc w:val="right"/>
              <w:rPr>
                <w:b/>
                <w:bCs/>
                <w:sz w:val="20"/>
                <w:szCs w:val="20"/>
                <w:lang w:val="fr-CA" w:eastAsia="en-CA"/>
              </w:rPr>
            </w:pPr>
            <w:r w:rsidRPr="000E133D">
              <w:rPr>
                <w:b/>
                <w:bCs/>
                <w:sz w:val="20"/>
                <w:szCs w:val="20"/>
                <w:lang w:val="fr-CA" w:eastAsia="en-CA"/>
              </w:rPr>
              <w:t>46</w:t>
            </w:r>
          </w:p>
        </w:tc>
      </w:tr>
    </w:tbl>
    <w:p w14:paraId="07B76E29" w14:textId="5C25FD45" w:rsidR="000E133D" w:rsidRPr="000E133D" w:rsidRDefault="000E133D" w:rsidP="000E133D">
      <w:pPr>
        <w:rPr>
          <w:sz w:val="19"/>
          <w:szCs w:val="19"/>
          <w:lang w:val="fr-CA"/>
        </w:rPr>
      </w:pPr>
      <w:r w:rsidRPr="000E133D">
        <w:rPr>
          <w:sz w:val="19"/>
          <w:szCs w:val="19"/>
          <w:lang w:val="fr-CA"/>
        </w:rPr>
        <w:t>*Exclu</w:t>
      </w:r>
      <w:r w:rsidR="00A852A0">
        <w:rPr>
          <w:sz w:val="19"/>
          <w:szCs w:val="19"/>
          <w:lang w:val="fr-CA"/>
        </w:rPr>
        <w:t>ant les</w:t>
      </w:r>
      <w:r w:rsidRPr="000E133D">
        <w:rPr>
          <w:sz w:val="19"/>
          <w:szCs w:val="19"/>
          <w:lang w:val="fr-CA"/>
        </w:rPr>
        <w:t xml:space="preserve"> </w:t>
      </w:r>
      <w:r w:rsidR="00C84B88">
        <w:rPr>
          <w:sz w:val="19"/>
          <w:szCs w:val="19"/>
          <w:lang w:val="fr-CA"/>
        </w:rPr>
        <w:t>coûts d’appui d’agence</w:t>
      </w:r>
      <w:r w:rsidRPr="000E133D">
        <w:rPr>
          <w:sz w:val="19"/>
          <w:szCs w:val="19"/>
          <w:lang w:val="fr-CA"/>
        </w:rPr>
        <w:t>.</w:t>
      </w:r>
    </w:p>
    <w:p w14:paraId="2309CE39" w14:textId="6A5048FE" w:rsidR="000E133D" w:rsidRPr="000E133D" w:rsidRDefault="000E133D" w:rsidP="000E133D">
      <w:pPr>
        <w:rPr>
          <w:sz w:val="20"/>
          <w:szCs w:val="20"/>
          <w:lang w:val="fr-CA"/>
        </w:rPr>
      </w:pPr>
      <w:r w:rsidRPr="000E133D">
        <w:rPr>
          <w:sz w:val="19"/>
          <w:szCs w:val="19"/>
          <w:lang w:val="fr-CA"/>
        </w:rPr>
        <w:t xml:space="preserve">** </w:t>
      </w:r>
      <w:r w:rsidR="00A852A0">
        <w:rPr>
          <w:sz w:val="19"/>
          <w:szCs w:val="19"/>
          <w:lang w:val="fr-CA"/>
        </w:rPr>
        <w:t xml:space="preserve">Élimination de </w:t>
      </w:r>
      <w:r w:rsidRPr="000E133D">
        <w:rPr>
          <w:sz w:val="19"/>
          <w:szCs w:val="19"/>
          <w:lang w:val="fr-CA"/>
        </w:rPr>
        <w:t>265</w:t>
      </w:r>
      <w:r w:rsidR="00A852A0">
        <w:rPr>
          <w:sz w:val="19"/>
          <w:szCs w:val="19"/>
          <w:lang w:val="fr-CA"/>
        </w:rPr>
        <w:t>,</w:t>
      </w:r>
      <w:r w:rsidRPr="000E133D">
        <w:rPr>
          <w:sz w:val="19"/>
          <w:szCs w:val="19"/>
          <w:lang w:val="fr-CA"/>
        </w:rPr>
        <w:t xml:space="preserve">1 </w:t>
      </w:r>
      <w:r w:rsidR="00A852A0">
        <w:rPr>
          <w:sz w:val="19"/>
          <w:szCs w:val="19"/>
          <w:lang w:val="fr-CA"/>
        </w:rPr>
        <w:t>t</w:t>
      </w:r>
      <w:r w:rsidRPr="000E133D">
        <w:rPr>
          <w:sz w:val="19"/>
          <w:szCs w:val="19"/>
          <w:lang w:val="fr-CA"/>
        </w:rPr>
        <w:t>m (508</w:t>
      </w:r>
      <w:r w:rsidR="00A852A0">
        <w:rPr>
          <w:sz w:val="19"/>
          <w:szCs w:val="19"/>
          <w:lang w:val="fr-CA"/>
        </w:rPr>
        <w:t> </w:t>
      </w:r>
      <w:r w:rsidRPr="000E133D">
        <w:rPr>
          <w:sz w:val="19"/>
          <w:szCs w:val="19"/>
          <w:lang w:val="fr-CA"/>
        </w:rPr>
        <w:t xml:space="preserve">586 </w:t>
      </w:r>
      <w:r w:rsidR="00A852A0">
        <w:rPr>
          <w:sz w:val="19"/>
          <w:szCs w:val="19"/>
          <w:lang w:val="fr-CA"/>
        </w:rPr>
        <w:t>t</w:t>
      </w:r>
      <w:r w:rsidRPr="000E133D">
        <w:rPr>
          <w:sz w:val="19"/>
          <w:szCs w:val="19"/>
          <w:lang w:val="fr-CA"/>
        </w:rPr>
        <w:t xml:space="preserve">m </w:t>
      </w:r>
      <w:r w:rsidR="00A852A0">
        <w:rPr>
          <w:sz w:val="19"/>
          <w:szCs w:val="19"/>
          <w:lang w:val="fr-CA"/>
        </w:rPr>
        <w:t xml:space="preserve">équivalent de </w:t>
      </w:r>
      <w:r w:rsidRPr="000E133D">
        <w:rPr>
          <w:sz w:val="19"/>
          <w:szCs w:val="19"/>
          <w:lang w:val="fr-CA"/>
        </w:rPr>
        <w:t>CO</w:t>
      </w:r>
      <w:r w:rsidRPr="000E133D">
        <w:rPr>
          <w:sz w:val="19"/>
          <w:szCs w:val="19"/>
          <w:vertAlign w:val="subscript"/>
          <w:lang w:val="fr-CA"/>
        </w:rPr>
        <w:t>2</w:t>
      </w:r>
      <w:r w:rsidRPr="000E133D">
        <w:rPr>
          <w:sz w:val="19"/>
          <w:szCs w:val="19"/>
          <w:lang w:val="fr-CA"/>
        </w:rPr>
        <w:t xml:space="preserve">) </w:t>
      </w:r>
      <w:r w:rsidR="00A852A0">
        <w:rPr>
          <w:sz w:val="19"/>
          <w:szCs w:val="19"/>
          <w:lang w:val="fr-CA"/>
        </w:rPr>
        <w:t>de</w:t>
      </w:r>
      <w:r w:rsidRPr="000E133D">
        <w:rPr>
          <w:sz w:val="19"/>
          <w:szCs w:val="19"/>
          <w:lang w:val="fr-CA"/>
        </w:rPr>
        <w:t xml:space="preserve"> HFC.</w:t>
      </w:r>
    </w:p>
    <w:p w14:paraId="4A392471" w14:textId="77777777" w:rsidR="000E133D" w:rsidRPr="000E133D" w:rsidRDefault="000E133D" w:rsidP="000E133D">
      <w:pPr>
        <w:rPr>
          <w:lang w:val="fr-CA"/>
        </w:rPr>
      </w:pPr>
    </w:p>
    <w:p w14:paraId="0D37E4B0" w14:textId="56A607A0" w:rsidR="000E133D" w:rsidRPr="000E133D" w:rsidRDefault="00A852A0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À la fin de </w:t>
      </w:r>
      <w:r w:rsidR="000E133D" w:rsidRPr="000E133D">
        <w:rPr>
          <w:lang w:val="fr-CA"/>
        </w:rPr>
        <w:t xml:space="preserve">2019, </w:t>
      </w:r>
      <w:r>
        <w:rPr>
          <w:lang w:val="fr-CA"/>
        </w:rPr>
        <w:t xml:space="preserve">sur les </w:t>
      </w:r>
      <w:r w:rsidR="000E133D" w:rsidRPr="000E133D">
        <w:rPr>
          <w:lang w:val="fr-CA"/>
        </w:rPr>
        <w:t xml:space="preserve">35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>s appro</w:t>
      </w:r>
      <w:r>
        <w:rPr>
          <w:lang w:val="fr-CA"/>
        </w:rPr>
        <w:t>uvés</w:t>
      </w:r>
      <w:r w:rsidR="000E133D" w:rsidRPr="000E133D">
        <w:rPr>
          <w:lang w:val="fr-CA"/>
        </w:rPr>
        <w:t>, t</w:t>
      </w:r>
      <w:r>
        <w:rPr>
          <w:lang w:val="fr-CA"/>
        </w:rPr>
        <w:t xml:space="preserve">rois </w:t>
      </w:r>
      <w:r w:rsidR="00DC1F14">
        <w:rPr>
          <w:lang w:val="fr-CA"/>
        </w:rPr>
        <w:t xml:space="preserve">activités de </w:t>
      </w:r>
      <w:r w:rsidR="00DC1F14" w:rsidRPr="000E133D">
        <w:rPr>
          <w:lang w:val="fr-CA"/>
        </w:rPr>
        <w:t>préparation</w:t>
      </w:r>
      <w:r w:rsidR="000E133D" w:rsidRPr="000E133D">
        <w:rPr>
          <w:lang w:val="fr-CA"/>
        </w:rPr>
        <w:t xml:space="preserve"> </w:t>
      </w:r>
      <w:r w:rsidR="00DC1F14">
        <w:rPr>
          <w:lang w:val="fr-CA"/>
        </w:rPr>
        <w:t xml:space="preserve">et quatre </w:t>
      </w:r>
      <w:r w:rsidR="008A5426">
        <w:rPr>
          <w:lang w:val="fr-CA"/>
        </w:rPr>
        <w:t>activités</w:t>
      </w:r>
      <w:r w:rsidR="000E133D" w:rsidRPr="000E133D">
        <w:rPr>
          <w:lang w:val="fr-CA"/>
        </w:rPr>
        <w:t xml:space="preserve"> </w:t>
      </w:r>
      <w:r w:rsidR="00DC1F14">
        <w:rPr>
          <w:lang w:val="fr-CA"/>
        </w:rPr>
        <w:t xml:space="preserve">de facilitation avaient été achevées, ce qui laissait </w:t>
      </w:r>
      <w:r w:rsidR="000E133D" w:rsidRPr="000E133D">
        <w:rPr>
          <w:lang w:val="fr-CA"/>
        </w:rPr>
        <w:t xml:space="preserve">28 </w:t>
      </w:r>
      <w:r w:rsidR="00DC1F14">
        <w:rPr>
          <w:lang w:val="fr-CA"/>
        </w:rPr>
        <w:t>projets en cours</w:t>
      </w:r>
      <w:r w:rsidR="000E133D" w:rsidRPr="000E133D">
        <w:rPr>
          <w:lang w:val="fr-CA"/>
        </w:rPr>
        <w:t xml:space="preserve">. </w:t>
      </w:r>
      <w:r w:rsidR="00DC1F14">
        <w:rPr>
          <w:lang w:val="fr-CA"/>
        </w:rPr>
        <w:t xml:space="preserve">Le report des dates d’achèvement de </w:t>
      </w:r>
      <w:r w:rsidR="000E133D" w:rsidRPr="000E133D">
        <w:rPr>
          <w:lang w:val="fr-CA"/>
        </w:rPr>
        <w:t>22</w:t>
      </w:r>
      <w:r w:rsidR="00DC1F14">
        <w:rPr>
          <w:lang w:val="fr-CA"/>
        </w:rPr>
        <w:t xml:space="preserve"> activités de facilitation sur les </w:t>
      </w:r>
      <w:r w:rsidR="000E133D" w:rsidRPr="000E133D">
        <w:rPr>
          <w:lang w:val="fr-CA"/>
        </w:rPr>
        <w:t>24 </w:t>
      </w:r>
      <w:r w:rsidR="00DC1F14">
        <w:rPr>
          <w:lang w:val="fr-CA"/>
        </w:rPr>
        <w:t xml:space="preserve">en cours avait été approuvé à la </w:t>
      </w:r>
      <w:r w:rsidR="000E133D" w:rsidRPr="000E133D">
        <w:rPr>
          <w:lang w:val="fr-CA"/>
        </w:rPr>
        <w:t>83</w:t>
      </w:r>
      <w:r w:rsidR="00DC1F14">
        <w:rPr>
          <w:vertAlign w:val="superscript"/>
          <w:lang w:val="fr-CA"/>
        </w:rPr>
        <w:t>e</w:t>
      </w:r>
      <w:r w:rsidR="000E133D" w:rsidRPr="000E133D">
        <w:rPr>
          <w:lang w:val="fr-CA"/>
        </w:rPr>
        <w:t xml:space="preserve"> 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 (15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s) </w:t>
      </w:r>
      <w:r w:rsidR="00DC1F14">
        <w:rPr>
          <w:lang w:val="fr-CA"/>
        </w:rPr>
        <w:t xml:space="preserve">et à la </w:t>
      </w:r>
      <w:r w:rsidR="000E133D" w:rsidRPr="000E133D">
        <w:rPr>
          <w:lang w:val="fr-CA"/>
        </w:rPr>
        <w:t>84</w:t>
      </w:r>
      <w:r w:rsidR="00DC1F14">
        <w:rPr>
          <w:vertAlign w:val="superscript"/>
          <w:lang w:val="fr-CA"/>
        </w:rPr>
        <w:t>e</w:t>
      </w:r>
      <w:r w:rsidR="000E133D" w:rsidRPr="000E133D">
        <w:rPr>
          <w:lang w:val="fr-CA"/>
        </w:rPr>
        <w:t xml:space="preserve"> 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 (se</w:t>
      </w:r>
      <w:r w:rsidR="00DC1F14">
        <w:rPr>
          <w:lang w:val="fr-CA"/>
        </w:rPr>
        <w:t>pt</w:t>
      </w:r>
      <w:r w:rsidR="000E133D" w:rsidRPr="000E133D">
        <w:rPr>
          <w:lang w:val="fr-CA"/>
        </w:rPr>
        <w:t xml:space="preserve">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s); </w:t>
      </w:r>
      <w:r w:rsidR="00DC1F14">
        <w:rPr>
          <w:lang w:val="fr-CA"/>
        </w:rPr>
        <w:t xml:space="preserve">ces </w:t>
      </w:r>
      <w:r w:rsidR="008A5426">
        <w:rPr>
          <w:lang w:val="fr-CA"/>
        </w:rPr>
        <w:t>activités</w:t>
      </w:r>
      <w:r w:rsidR="000E133D" w:rsidRPr="000E133D">
        <w:rPr>
          <w:lang w:val="fr-CA"/>
        </w:rPr>
        <w:t xml:space="preserve"> </w:t>
      </w:r>
      <w:r w:rsidR="00DC1F14">
        <w:rPr>
          <w:lang w:val="fr-CA"/>
        </w:rPr>
        <w:t xml:space="preserve">se trouvaient à diverses </w:t>
      </w:r>
      <w:r w:rsidR="004B456E">
        <w:rPr>
          <w:lang w:val="fr-CA"/>
        </w:rPr>
        <w:t>phase</w:t>
      </w:r>
      <w:r w:rsidR="000E133D" w:rsidRPr="000E133D">
        <w:rPr>
          <w:lang w:val="fr-CA"/>
        </w:rPr>
        <w:t xml:space="preserve">s </w:t>
      </w:r>
      <w:r w:rsidR="00DC1F14">
        <w:rPr>
          <w:lang w:val="fr-CA"/>
        </w:rPr>
        <w:t>de mise en œuvre</w:t>
      </w:r>
      <w:r w:rsidR="000E133D" w:rsidRPr="000E133D">
        <w:rPr>
          <w:lang w:val="fr-CA"/>
        </w:rPr>
        <w:t>.</w:t>
      </w:r>
    </w:p>
    <w:p w14:paraId="344CDB0D" w14:textId="4270F714" w:rsidR="000E133D" w:rsidRPr="000E133D" w:rsidRDefault="00DC1F14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Les projets d’investissement en cours comprennent trois projets dans le secteur de la </w:t>
      </w:r>
      <w:r w:rsidRPr="000E133D">
        <w:rPr>
          <w:lang w:val="fr-CA"/>
        </w:rPr>
        <w:t>réfrigération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>e</w:t>
      </w:r>
      <w:r w:rsidR="000E133D" w:rsidRPr="000E133D">
        <w:rPr>
          <w:lang w:val="fr-CA"/>
        </w:rPr>
        <w:t xml:space="preserve">n </w:t>
      </w:r>
      <w:r w:rsidR="00B37E76">
        <w:rPr>
          <w:lang w:val="fr-CA"/>
        </w:rPr>
        <w:t>Argentine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 xml:space="preserve">au Liban et au </w:t>
      </w:r>
      <w:r w:rsidR="00B37E76">
        <w:rPr>
          <w:lang w:val="fr-CA"/>
        </w:rPr>
        <w:t>Mexique</w:t>
      </w:r>
      <w:r w:rsidR="000E133D" w:rsidRPr="000E133D">
        <w:rPr>
          <w:lang w:val="fr-CA"/>
        </w:rPr>
        <w:t xml:space="preserve">, </w:t>
      </w:r>
      <w:r>
        <w:rPr>
          <w:lang w:val="fr-CA"/>
        </w:rPr>
        <w:t xml:space="preserve">qui avaient été approuvés à la </w:t>
      </w:r>
      <w:r w:rsidR="000E133D" w:rsidRPr="000E133D">
        <w:rPr>
          <w:lang w:val="fr-CA"/>
        </w:rPr>
        <w:t>81</w:t>
      </w:r>
      <w:r w:rsidR="000E133D" w:rsidRPr="000E133D">
        <w:rPr>
          <w:vertAlign w:val="superscript"/>
          <w:lang w:val="fr-CA"/>
        </w:rPr>
        <w:t>st</w:t>
      </w:r>
      <w:r w:rsidR="000E133D" w:rsidRPr="000E133D">
        <w:rPr>
          <w:lang w:val="fr-CA"/>
        </w:rPr>
        <w:t xml:space="preserve"> </w:t>
      </w:r>
      <w:r w:rsidR="00D0488E">
        <w:rPr>
          <w:lang w:val="fr-CA"/>
        </w:rPr>
        <w:t>réunion</w:t>
      </w:r>
      <w:r w:rsidR="000E133D" w:rsidRPr="000E133D">
        <w:rPr>
          <w:lang w:val="fr-CA"/>
        </w:rPr>
        <w:t xml:space="preserve"> </w:t>
      </w:r>
      <w:r>
        <w:rPr>
          <w:lang w:val="fr-CA"/>
        </w:rPr>
        <w:t xml:space="preserve">avec des décaissements de fonds pour deux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s; </w:t>
      </w:r>
      <w:r>
        <w:rPr>
          <w:lang w:val="fr-CA"/>
        </w:rPr>
        <w:t xml:space="preserve">ces </w:t>
      </w:r>
      <w:r w:rsidR="00A95667">
        <w:rPr>
          <w:lang w:val="fr-CA"/>
        </w:rPr>
        <w:t>projet</w:t>
      </w:r>
      <w:r w:rsidR="000E133D" w:rsidRPr="000E133D">
        <w:rPr>
          <w:lang w:val="fr-CA"/>
        </w:rPr>
        <w:t xml:space="preserve">s </w:t>
      </w:r>
      <w:r>
        <w:rPr>
          <w:lang w:val="fr-CA"/>
        </w:rPr>
        <w:t xml:space="preserve">seront achevés en </w:t>
      </w:r>
      <w:r w:rsidR="000E133D" w:rsidRPr="000E133D">
        <w:rPr>
          <w:lang w:val="fr-CA"/>
        </w:rPr>
        <w:t xml:space="preserve">2020 </w:t>
      </w:r>
      <w:r>
        <w:rPr>
          <w:lang w:val="fr-CA"/>
        </w:rPr>
        <w:t xml:space="preserve">et en </w:t>
      </w:r>
      <w:r w:rsidR="000E133D" w:rsidRPr="000E133D">
        <w:rPr>
          <w:lang w:val="fr-CA"/>
        </w:rPr>
        <w:t>2021.</w:t>
      </w:r>
    </w:p>
    <w:p w14:paraId="037C5486" w14:textId="7FD65D4E" w:rsidR="000E133D" w:rsidRPr="000E133D" w:rsidRDefault="00DC1F14" w:rsidP="000E133D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Sur le total cumulatif de fonds approuvés de </w:t>
      </w:r>
      <w:r w:rsidR="000E133D" w:rsidRPr="000E133D">
        <w:rPr>
          <w:lang w:val="fr-CA"/>
        </w:rPr>
        <w:t>8</w:t>
      </w:r>
      <w:r>
        <w:rPr>
          <w:lang w:val="fr-CA"/>
        </w:rPr>
        <w:t> </w:t>
      </w:r>
      <w:r w:rsidR="000E133D" w:rsidRPr="000E133D">
        <w:rPr>
          <w:lang w:val="fr-CA"/>
        </w:rPr>
        <w:t>089</w:t>
      </w:r>
      <w:r>
        <w:rPr>
          <w:lang w:val="fr-CA"/>
        </w:rPr>
        <w:t> </w:t>
      </w:r>
      <w:r w:rsidR="000E133D" w:rsidRPr="000E133D">
        <w:rPr>
          <w:lang w:val="fr-CA"/>
        </w:rPr>
        <w:t>434</w:t>
      </w:r>
      <w:r>
        <w:rPr>
          <w:lang w:val="fr-CA"/>
        </w:rPr>
        <w:t> $US</w:t>
      </w:r>
      <w:r w:rsidR="000E133D" w:rsidRPr="000E133D">
        <w:rPr>
          <w:lang w:val="fr-CA"/>
        </w:rPr>
        <w:t>, 3</w:t>
      </w:r>
      <w:r>
        <w:rPr>
          <w:lang w:val="fr-CA"/>
        </w:rPr>
        <w:t> </w:t>
      </w:r>
      <w:r w:rsidR="000E133D" w:rsidRPr="000E133D">
        <w:rPr>
          <w:lang w:val="fr-CA"/>
        </w:rPr>
        <w:t>691</w:t>
      </w:r>
      <w:r>
        <w:rPr>
          <w:lang w:val="fr-CA"/>
        </w:rPr>
        <w:t> </w:t>
      </w:r>
      <w:r w:rsidR="000E133D" w:rsidRPr="000E133D">
        <w:rPr>
          <w:lang w:val="fr-CA"/>
        </w:rPr>
        <w:t>631</w:t>
      </w:r>
      <w:r>
        <w:rPr>
          <w:lang w:val="fr-CA"/>
        </w:rPr>
        <w:t xml:space="preserve"> $US avaient été décaissés, représentant un taux de décaissement de </w:t>
      </w:r>
      <w:r w:rsidR="000E133D" w:rsidRPr="000E133D">
        <w:rPr>
          <w:lang w:val="fr-CA"/>
        </w:rPr>
        <w:t>46</w:t>
      </w:r>
      <w:r>
        <w:rPr>
          <w:lang w:val="fr-CA"/>
        </w:rPr>
        <w:t> </w:t>
      </w:r>
      <w:r w:rsidR="00631EA2">
        <w:rPr>
          <w:lang w:val="fr-CA"/>
        </w:rPr>
        <w:t>pour cent</w:t>
      </w:r>
      <w:r w:rsidR="000E133D" w:rsidRPr="000E133D">
        <w:rPr>
          <w:lang w:val="fr-C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0E133D" w:rsidRPr="0087100D" w14:paraId="2D8E6ACA" w14:textId="77777777" w:rsidTr="00A95667">
        <w:tc>
          <w:tcPr>
            <w:tcW w:w="1871" w:type="dxa"/>
          </w:tcPr>
          <w:p w14:paraId="53C34124" w14:textId="77777777" w:rsidR="000E133D" w:rsidRPr="000E133D" w:rsidRDefault="000E133D" w:rsidP="000E133D">
            <w:pPr>
              <w:rPr>
                <w:lang w:val="fr-CA"/>
              </w:rPr>
            </w:pPr>
            <w:bookmarkStart w:id="2" w:name="_GoBack"/>
          </w:p>
        </w:tc>
        <w:tc>
          <w:tcPr>
            <w:tcW w:w="1872" w:type="dxa"/>
          </w:tcPr>
          <w:p w14:paraId="04A6DF38" w14:textId="77777777" w:rsidR="000E133D" w:rsidRPr="000E133D" w:rsidRDefault="000E133D" w:rsidP="000E133D">
            <w:pPr>
              <w:rPr>
                <w:lang w:val="fr-C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0CE125B" w14:textId="77777777" w:rsidR="000E133D" w:rsidRPr="000E133D" w:rsidRDefault="000E133D" w:rsidP="000E133D">
            <w:pPr>
              <w:rPr>
                <w:lang w:val="fr-CA"/>
              </w:rPr>
            </w:pPr>
          </w:p>
        </w:tc>
        <w:tc>
          <w:tcPr>
            <w:tcW w:w="1872" w:type="dxa"/>
          </w:tcPr>
          <w:p w14:paraId="4CA2EA93" w14:textId="77777777" w:rsidR="000E133D" w:rsidRPr="000E133D" w:rsidRDefault="000E133D" w:rsidP="000E133D">
            <w:pPr>
              <w:rPr>
                <w:lang w:val="fr-CA"/>
              </w:rPr>
            </w:pPr>
          </w:p>
        </w:tc>
        <w:tc>
          <w:tcPr>
            <w:tcW w:w="1873" w:type="dxa"/>
          </w:tcPr>
          <w:p w14:paraId="210DE81D" w14:textId="77777777" w:rsidR="000E133D" w:rsidRPr="000E133D" w:rsidRDefault="000E133D" w:rsidP="000E133D">
            <w:pPr>
              <w:rPr>
                <w:lang w:val="fr-CA"/>
              </w:rPr>
            </w:pPr>
          </w:p>
        </w:tc>
      </w:tr>
    </w:tbl>
    <w:p w14:paraId="4BA3A172" w14:textId="77777777" w:rsidR="000E133D" w:rsidRPr="000E133D" w:rsidRDefault="000E133D" w:rsidP="000E133D">
      <w:pPr>
        <w:rPr>
          <w:lang w:val="fr-CA"/>
        </w:rPr>
      </w:pPr>
    </w:p>
    <w:bookmarkEnd w:id="2"/>
    <w:p w14:paraId="1297DAF4" w14:textId="77777777" w:rsidR="00441083" w:rsidRPr="00A95667" w:rsidRDefault="00441083">
      <w:pPr>
        <w:rPr>
          <w:lang w:val="fr-CA"/>
        </w:rPr>
      </w:pPr>
    </w:p>
    <w:sectPr w:rsidR="00441083" w:rsidRPr="00A95667">
      <w:headerReference w:type="even" r:id="rId20"/>
      <w:headerReference w:type="default" r:id="rId21"/>
      <w:headerReference w:type="first" r:id="rId22"/>
      <w:footerReference w:type="first" r:id="rId23"/>
      <w:footnotePr>
        <w:numRestart w:val="eachSect"/>
      </w:footnotePr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757" w14:textId="77777777" w:rsidR="00BD7631" w:rsidRDefault="00BD7631">
      <w:r>
        <w:separator/>
      </w:r>
    </w:p>
  </w:endnote>
  <w:endnote w:type="continuationSeparator" w:id="0">
    <w:p w14:paraId="1C1384D4" w14:textId="77777777" w:rsidR="00BD7631" w:rsidRDefault="00B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BF60" w14:textId="7DF31CAF" w:rsidR="00752B73" w:rsidRPr="0033525D" w:rsidRDefault="00752B73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7100D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3F3B" w14:textId="5888EEEE" w:rsidR="00752B73" w:rsidRPr="0033525D" w:rsidRDefault="00752B73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7100D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CA"/>
      </w:rPr>
      <w:id w:val="779228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C6116" w14:textId="77777777" w:rsidR="00752B73" w:rsidRPr="00FA4D4B" w:rsidRDefault="00752B73" w:rsidP="00A95667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  <w:rPr>
            <w:sz w:val="18"/>
            <w:szCs w:val="18"/>
            <w:lang w:val="fr-CA"/>
          </w:rPr>
        </w:pPr>
        <w:r w:rsidRPr="00FA4D4B">
          <w:rPr>
            <w:sz w:val="18"/>
            <w:szCs w:val="18"/>
            <w:lang w:val="fr-CA"/>
          </w:rPr>
          <w:t xml:space="preserve">Les documents de présession du Comité exécutif du Fonds multilatéral aux fins d’application du Protocole de </w:t>
        </w:r>
      </w:p>
      <w:p w14:paraId="4B5CC255" w14:textId="6C0578A2" w:rsidR="00752B73" w:rsidRPr="00FA4D4B" w:rsidRDefault="00752B73" w:rsidP="00A95667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  <w:rPr>
            <w:lang w:val="fr-CA"/>
          </w:rPr>
        </w:pPr>
        <w:r w:rsidRPr="00FA4D4B">
          <w:rPr>
            <w:sz w:val="18"/>
            <w:szCs w:val="18"/>
            <w:lang w:val="fr-CA"/>
          </w:rPr>
          <w:t>Montréal sont présentés sous réserve des décisions pouvant être prises par le Comité exécutif après leur publication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727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6EE73" w14:textId="22B2A467" w:rsidR="00752B73" w:rsidRDefault="00752B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A6A970" w14:textId="77777777" w:rsidR="00752B73" w:rsidRPr="00830C0F" w:rsidRDefault="00752B73" w:rsidP="00A9566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191B7" w14:textId="6AAD27F8" w:rsidR="00752B73" w:rsidRDefault="00752B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EFE1CA" w14:textId="77777777" w:rsidR="00752B73" w:rsidRDefault="00752B7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C271" w14:textId="77777777" w:rsidR="00BD7631" w:rsidRDefault="00BD7631">
      <w:r>
        <w:separator/>
      </w:r>
    </w:p>
  </w:footnote>
  <w:footnote w:type="continuationSeparator" w:id="0">
    <w:p w14:paraId="28C1A2C6" w14:textId="77777777" w:rsidR="00BD7631" w:rsidRDefault="00BD7631">
      <w:r>
        <w:continuationSeparator/>
      </w:r>
    </w:p>
  </w:footnote>
  <w:footnote w:id="1">
    <w:p w14:paraId="63AD4089" w14:textId="49C9878F" w:rsidR="00752B73" w:rsidRPr="00DB1D38" w:rsidRDefault="00752B73" w:rsidP="00DB1D38">
      <w:pPr>
        <w:pStyle w:val="FootnoteText"/>
        <w:spacing w:after="0"/>
        <w:contextualSpacing/>
        <w:rPr>
          <w:lang w:val="fr-CA"/>
        </w:rPr>
      </w:pPr>
      <w:r>
        <w:rPr>
          <w:rStyle w:val="FootnoteReference"/>
        </w:rPr>
        <w:footnoteRef/>
      </w:r>
      <w:r w:rsidRPr="00DB1D38">
        <w:rPr>
          <w:lang w:val="fr-CA"/>
        </w:rPr>
        <w:t xml:space="preserve"> </w:t>
      </w:r>
      <w:r w:rsidRPr="00FA4D4B">
        <w:rPr>
          <w:lang w:val="fr-CA"/>
        </w:rPr>
        <w:t>A cause du coronavirus (COVID-19)</w:t>
      </w:r>
    </w:p>
  </w:footnote>
  <w:footnote w:id="2">
    <w:p w14:paraId="5F7578FD" w14:textId="13F17EC2" w:rsidR="00752B73" w:rsidRPr="00FA4D4B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FA4D4B">
        <w:rPr>
          <w:rStyle w:val="FootnoteReference"/>
          <w:lang w:val="fr-CA"/>
        </w:rPr>
        <w:footnoteRef/>
      </w:r>
      <w:r w:rsidRPr="00FA4D4B">
        <w:rPr>
          <w:lang w:val="fr-CA"/>
        </w:rPr>
        <w:t xml:space="preserve"> Le rapport périodique est annexé au pr</w:t>
      </w:r>
      <w:r>
        <w:rPr>
          <w:lang w:val="fr-CA"/>
        </w:rPr>
        <w:t>é</w:t>
      </w:r>
      <w:r w:rsidRPr="00FA4D4B">
        <w:rPr>
          <w:lang w:val="fr-CA"/>
        </w:rPr>
        <w:t xml:space="preserve">sent document. </w:t>
      </w:r>
      <w:r>
        <w:rPr>
          <w:lang w:val="fr-CA"/>
        </w:rPr>
        <w:t>Les données ont été incluses dans la base de données du r</w:t>
      </w:r>
      <w:r w:rsidRPr="00FA4D4B">
        <w:rPr>
          <w:lang w:val="fr-CA"/>
        </w:rPr>
        <w:t xml:space="preserve">apport périodique </w:t>
      </w:r>
      <w:r>
        <w:rPr>
          <w:lang w:val="fr-CA"/>
        </w:rPr>
        <w:t>Mondial, disponible sur demande</w:t>
      </w:r>
      <w:r w:rsidRPr="00FA4D4B">
        <w:rPr>
          <w:lang w:val="fr-CA"/>
        </w:rPr>
        <w:t>.</w:t>
      </w:r>
    </w:p>
  </w:footnote>
  <w:footnote w:id="3">
    <w:p w14:paraId="38AF754D" w14:textId="2D6059E7" w:rsidR="00752B73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FA4D4B">
        <w:rPr>
          <w:rStyle w:val="FootnoteReference"/>
          <w:lang w:val="fr-CA"/>
        </w:rPr>
        <w:footnoteRef/>
      </w:r>
      <w:r w:rsidRPr="00FA4D4B">
        <w:rPr>
          <w:lang w:val="fr-CA"/>
        </w:rPr>
        <w:t xml:space="preserve"> </w:t>
      </w:r>
      <w:r>
        <w:rPr>
          <w:lang w:val="fr-CA"/>
        </w:rPr>
        <w:t xml:space="preserve">Conformément à la </w:t>
      </w:r>
      <w:r w:rsidRPr="00FA4D4B">
        <w:rPr>
          <w:lang w:val="fr-CA"/>
        </w:rPr>
        <w:t>d</w:t>
      </w:r>
      <w:r>
        <w:rPr>
          <w:lang w:val="fr-CA"/>
        </w:rPr>
        <w:t>é</w:t>
      </w:r>
      <w:r w:rsidRPr="00FA4D4B">
        <w:rPr>
          <w:lang w:val="fr-CA"/>
        </w:rPr>
        <w:t xml:space="preserve">cision 84/12(a)(iv), </w:t>
      </w:r>
      <w:r>
        <w:rPr>
          <w:lang w:val="fr-CA"/>
        </w:rPr>
        <w:t xml:space="preserve">la mesure des </w:t>
      </w:r>
      <w:r w:rsidRPr="00FA4D4B">
        <w:rPr>
          <w:lang w:val="fr-CA"/>
        </w:rPr>
        <w:t xml:space="preserve">HFC </w:t>
      </w:r>
      <w:r>
        <w:rPr>
          <w:lang w:val="fr-CA"/>
        </w:rPr>
        <w:t>en t</w:t>
      </w:r>
      <w:r w:rsidRPr="00FA4D4B">
        <w:rPr>
          <w:lang w:val="fr-CA"/>
        </w:rPr>
        <w:t>m</w:t>
      </w:r>
      <w:r>
        <w:rPr>
          <w:lang w:val="fr-CA"/>
        </w:rPr>
        <w:t xml:space="preserve"> de</w:t>
      </w:r>
      <w:r w:rsidRPr="00FA4D4B">
        <w:rPr>
          <w:lang w:val="fr-CA"/>
        </w:rPr>
        <w:t xml:space="preserve"> CO</w:t>
      </w:r>
      <w:r w:rsidRPr="00FA4D4B">
        <w:rPr>
          <w:vertAlign w:val="subscript"/>
          <w:lang w:val="fr-CA"/>
        </w:rPr>
        <w:t>2</w:t>
      </w:r>
      <w:r w:rsidRPr="00FA4D4B">
        <w:rPr>
          <w:lang w:val="fr-CA"/>
        </w:rPr>
        <w:t xml:space="preserve">-eq. </w:t>
      </w:r>
      <w:proofErr w:type="gramStart"/>
      <w:r>
        <w:rPr>
          <w:lang w:val="fr-CA"/>
        </w:rPr>
        <w:t>serait</w:t>
      </w:r>
      <w:proofErr w:type="gramEnd"/>
      <w:r>
        <w:rPr>
          <w:lang w:val="fr-CA"/>
        </w:rPr>
        <w:t xml:space="preserve"> incluse dans les </w:t>
      </w:r>
      <w:r w:rsidRPr="00FA4D4B">
        <w:rPr>
          <w:lang w:val="fr-CA"/>
        </w:rPr>
        <w:t>rapport</w:t>
      </w:r>
      <w:r>
        <w:rPr>
          <w:lang w:val="fr-CA"/>
        </w:rPr>
        <w:t>s</w:t>
      </w:r>
      <w:r w:rsidRPr="00FA4D4B">
        <w:rPr>
          <w:lang w:val="fr-CA"/>
        </w:rPr>
        <w:t xml:space="preserve"> périodiques </w:t>
      </w:r>
      <w:r>
        <w:rPr>
          <w:lang w:val="fr-CA"/>
        </w:rPr>
        <w:t xml:space="preserve">soumis à compter de la </w:t>
      </w:r>
      <w:r w:rsidRPr="00FA4D4B">
        <w:rPr>
          <w:lang w:val="fr-CA"/>
        </w:rPr>
        <w:t>88</w:t>
      </w:r>
      <w:r>
        <w:rPr>
          <w:vertAlign w:val="superscript"/>
          <w:lang w:val="fr-CA"/>
        </w:rPr>
        <w:t>e</w:t>
      </w:r>
      <w:r w:rsidRPr="00FA4D4B">
        <w:rPr>
          <w:lang w:val="fr-CA"/>
        </w:rPr>
        <w:t xml:space="preserve"> </w:t>
      </w:r>
      <w:r>
        <w:rPr>
          <w:lang w:val="fr-CA"/>
        </w:rPr>
        <w:t>réunion</w:t>
      </w:r>
      <w:r w:rsidRPr="00FA4D4B">
        <w:rPr>
          <w:lang w:val="fr-CA"/>
        </w:rPr>
        <w:t xml:space="preserve">. </w:t>
      </w:r>
      <w:r>
        <w:rPr>
          <w:lang w:val="fr-CA"/>
        </w:rPr>
        <w:t xml:space="preserve">La question est abordée dans le </w:t>
      </w:r>
      <w:r w:rsidRPr="00FA4D4B">
        <w:rPr>
          <w:lang w:val="fr-CA"/>
        </w:rPr>
        <w:t>rapport périodique</w:t>
      </w:r>
      <w:r>
        <w:rPr>
          <w:lang w:val="fr-CA"/>
        </w:rPr>
        <w:t xml:space="preserve"> Mondial </w:t>
      </w:r>
      <w:r w:rsidRPr="00FA4D4B">
        <w:rPr>
          <w:lang w:val="fr-CA"/>
        </w:rPr>
        <w:t>(UNEP/</w:t>
      </w:r>
      <w:proofErr w:type="spellStart"/>
      <w:r w:rsidRPr="00FA4D4B">
        <w:rPr>
          <w:lang w:val="fr-CA"/>
        </w:rPr>
        <w:t>OzL.Pro</w:t>
      </w:r>
      <w:proofErr w:type="spellEnd"/>
      <w:r w:rsidRPr="00FA4D4B">
        <w:rPr>
          <w:lang w:val="fr-CA"/>
        </w:rPr>
        <w:t>/</w:t>
      </w:r>
      <w:proofErr w:type="spellStart"/>
      <w:r w:rsidRPr="00FA4D4B">
        <w:rPr>
          <w:lang w:val="fr-CA"/>
        </w:rPr>
        <w:t>ExCom</w:t>
      </w:r>
      <w:proofErr w:type="spellEnd"/>
      <w:r w:rsidRPr="00FA4D4B">
        <w:rPr>
          <w:lang w:val="fr-CA"/>
        </w:rPr>
        <w:t>/86/15).</w:t>
      </w:r>
    </w:p>
    <w:p w14:paraId="6465BB72" w14:textId="76B19065" w:rsidR="003F3D48" w:rsidRDefault="003F3D48" w:rsidP="000E133D">
      <w:pPr>
        <w:pStyle w:val="FootnoteText"/>
        <w:spacing w:after="0"/>
        <w:ind w:left="0" w:firstLine="0"/>
        <w:jc w:val="both"/>
        <w:rPr>
          <w:lang w:val="fr-CA"/>
        </w:rPr>
      </w:pPr>
    </w:p>
    <w:p w14:paraId="14FD75AB" w14:textId="44CA979B" w:rsidR="003F3D48" w:rsidRDefault="003F3D48" w:rsidP="000E133D">
      <w:pPr>
        <w:pStyle w:val="FootnoteText"/>
        <w:spacing w:after="0"/>
        <w:ind w:left="0" w:firstLine="0"/>
        <w:jc w:val="both"/>
        <w:rPr>
          <w:lang w:val="fr-CA"/>
        </w:rPr>
      </w:pPr>
    </w:p>
    <w:p w14:paraId="2B26E2B6" w14:textId="77777777" w:rsidR="003F3D48" w:rsidRPr="00FA4D4B" w:rsidRDefault="003F3D48" w:rsidP="000E133D">
      <w:pPr>
        <w:pStyle w:val="FootnoteText"/>
        <w:spacing w:after="0"/>
        <w:ind w:left="0" w:firstLine="0"/>
        <w:jc w:val="both"/>
        <w:rPr>
          <w:lang w:val="fr-CA"/>
        </w:rPr>
      </w:pPr>
    </w:p>
  </w:footnote>
  <w:footnote w:id="4">
    <w:p w14:paraId="71439968" w14:textId="2930EFAB" w:rsidR="00752B73" w:rsidRPr="00055C7B" w:rsidRDefault="00752B73" w:rsidP="005E3C44">
      <w:pPr>
        <w:pStyle w:val="FootnoteText"/>
        <w:spacing w:after="0"/>
        <w:ind w:left="0" w:firstLine="0"/>
        <w:jc w:val="both"/>
        <w:rPr>
          <w:lang w:val="fr-CA"/>
        </w:rPr>
      </w:pPr>
      <w:r w:rsidRPr="00055C7B">
        <w:rPr>
          <w:rStyle w:val="FootnoteReference"/>
          <w:lang w:val="fr-CA"/>
        </w:rPr>
        <w:footnoteRef/>
      </w:r>
      <w:r w:rsidRPr="00055C7B">
        <w:rPr>
          <w:lang w:val="fr-CA"/>
        </w:rPr>
        <w:t xml:space="preserve"> </w:t>
      </w:r>
      <w:r>
        <w:rPr>
          <w:lang w:val="fr-CA"/>
        </w:rPr>
        <w:t xml:space="preserve">Les projets en cours sont tous les projets qui étaient en cours de mise en œuvre au </w:t>
      </w:r>
      <w:r w:rsidRPr="00055C7B">
        <w:rPr>
          <w:lang w:val="fr-CA"/>
        </w:rPr>
        <w:t xml:space="preserve">31 </w:t>
      </w:r>
      <w:r>
        <w:rPr>
          <w:lang w:val="fr-CA"/>
        </w:rPr>
        <w:t>d</w:t>
      </w:r>
      <w:r w:rsidRPr="00055C7B">
        <w:rPr>
          <w:lang w:val="fr-CA"/>
        </w:rPr>
        <w:t>écemb</w:t>
      </w:r>
      <w:r>
        <w:rPr>
          <w:lang w:val="fr-CA"/>
        </w:rPr>
        <w:t>r</w:t>
      </w:r>
      <w:r w:rsidRPr="00055C7B">
        <w:rPr>
          <w:lang w:val="fr-CA"/>
        </w:rPr>
        <w:t xml:space="preserve">e 2019. </w:t>
      </w:r>
      <w:r>
        <w:rPr>
          <w:lang w:val="fr-CA"/>
        </w:rPr>
        <w:t>Les indicateurs de progrès clés sont les suivants</w:t>
      </w:r>
      <w:r w:rsidRPr="00055C7B">
        <w:rPr>
          <w:lang w:val="fr-CA"/>
        </w:rPr>
        <w:t xml:space="preserve">: </w:t>
      </w:r>
      <w:r>
        <w:rPr>
          <w:lang w:val="fr-CA"/>
        </w:rPr>
        <w:t>le pourcentage de fonds décaissés et le pourcentage de projets qui ont commencé à décaisser des fonds</w:t>
      </w:r>
      <w:r w:rsidRPr="00055C7B">
        <w:rPr>
          <w:lang w:val="fr-CA"/>
        </w:rPr>
        <w:t xml:space="preserve">; </w:t>
      </w:r>
      <w:r>
        <w:rPr>
          <w:lang w:val="fr-CA"/>
        </w:rPr>
        <w:t>les fonds qu’il est prévu de décaisser d’ici à la fin de l’année en pourcentage des fonds approuvés</w:t>
      </w:r>
      <w:r w:rsidRPr="00055C7B">
        <w:rPr>
          <w:lang w:val="fr-CA"/>
        </w:rPr>
        <w:t xml:space="preserve">; </w:t>
      </w:r>
      <w:r>
        <w:rPr>
          <w:lang w:val="fr-CA"/>
        </w:rPr>
        <w:t>la durée moyenne des retards prévus dans la mise en œuvre</w:t>
      </w:r>
      <w:r w:rsidRPr="00055C7B">
        <w:rPr>
          <w:lang w:val="fr-CA"/>
        </w:rPr>
        <w:t xml:space="preserve">; </w:t>
      </w:r>
      <w:r>
        <w:rPr>
          <w:lang w:val="fr-CA"/>
        </w:rPr>
        <w:t xml:space="preserve">et les </w:t>
      </w:r>
      <w:r w:rsidRPr="00055C7B">
        <w:rPr>
          <w:lang w:val="fr-CA"/>
        </w:rPr>
        <w:t>information</w:t>
      </w:r>
      <w:r>
        <w:rPr>
          <w:lang w:val="fr-CA"/>
        </w:rPr>
        <w:t>s</w:t>
      </w:r>
      <w:r w:rsidRPr="00055C7B">
        <w:rPr>
          <w:lang w:val="fr-CA"/>
        </w:rPr>
        <w:t xml:space="preserve"> </w:t>
      </w:r>
      <w:r>
        <w:rPr>
          <w:lang w:val="fr-CA"/>
        </w:rPr>
        <w:t xml:space="preserve">indiquées dans la colonne des observations dans la base de données du </w:t>
      </w:r>
      <w:r w:rsidRPr="00055C7B">
        <w:rPr>
          <w:lang w:val="fr-CA"/>
        </w:rPr>
        <w:t>rapport périodique.</w:t>
      </w:r>
    </w:p>
  </w:footnote>
  <w:footnote w:id="5">
    <w:p w14:paraId="664B6357" w14:textId="75CC0201" w:rsidR="00752B73" w:rsidRPr="00055C7B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055C7B">
        <w:rPr>
          <w:rStyle w:val="FootnoteReference"/>
          <w:lang w:val="fr-CA"/>
        </w:rPr>
        <w:footnoteRef/>
      </w:r>
      <w:r w:rsidRPr="00055C7B">
        <w:rPr>
          <w:lang w:val="fr-CA"/>
        </w:rPr>
        <w:t xml:space="preserve"> </w:t>
      </w:r>
      <w:r>
        <w:rPr>
          <w:lang w:val="fr-CA"/>
        </w:rPr>
        <w:t xml:space="preserve">Conformément à la </w:t>
      </w:r>
      <w:r w:rsidRPr="00055C7B">
        <w:rPr>
          <w:lang w:val="fr-CA"/>
        </w:rPr>
        <w:t xml:space="preserve">décision 84/12(b), </w:t>
      </w:r>
      <w:r>
        <w:rPr>
          <w:lang w:val="fr-CA"/>
        </w:rPr>
        <w:t xml:space="preserve">un </w:t>
      </w:r>
      <w:r w:rsidRPr="00055C7B">
        <w:rPr>
          <w:lang w:val="fr-CA"/>
        </w:rPr>
        <w:t xml:space="preserve">rapport périodique </w:t>
      </w:r>
      <w:r>
        <w:rPr>
          <w:lang w:val="fr-CA"/>
        </w:rPr>
        <w:t>détaillé brossant un tableau général des objectifs</w:t>
      </w:r>
      <w:r w:rsidRPr="00055C7B">
        <w:rPr>
          <w:lang w:val="fr-CA"/>
        </w:rPr>
        <w:t xml:space="preserve">, </w:t>
      </w:r>
      <w:r>
        <w:rPr>
          <w:lang w:val="fr-CA"/>
        </w:rPr>
        <w:t>de l’état de mise en œuvre, des principales conclusions et des leçons retenues</w:t>
      </w:r>
      <w:r w:rsidRPr="00055C7B">
        <w:rPr>
          <w:lang w:val="fr-CA"/>
        </w:rPr>
        <w:t xml:space="preserve">, </w:t>
      </w:r>
      <w:r>
        <w:rPr>
          <w:lang w:val="fr-CA"/>
        </w:rPr>
        <w:t xml:space="preserve">les quantités de </w:t>
      </w:r>
      <w:r w:rsidRPr="00055C7B">
        <w:rPr>
          <w:lang w:val="fr-CA"/>
        </w:rPr>
        <w:t xml:space="preserve">HFC </w:t>
      </w:r>
      <w:r>
        <w:rPr>
          <w:lang w:val="fr-CA"/>
        </w:rPr>
        <w:t>éliminées le cas échéant</w:t>
      </w:r>
      <w:r w:rsidRPr="00055C7B">
        <w:rPr>
          <w:lang w:val="fr-CA"/>
        </w:rPr>
        <w:t xml:space="preserve">, </w:t>
      </w:r>
      <w:r>
        <w:rPr>
          <w:lang w:val="fr-CA"/>
        </w:rPr>
        <w:t xml:space="preserve">le niveau de financement approuvé et décaissé et les obstacles potentiels à l’achèvement des </w:t>
      </w:r>
      <w:r w:rsidRPr="00055C7B">
        <w:rPr>
          <w:lang w:val="fr-CA"/>
        </w:rPr>
        <w:t xml:space="preserve">projets </w:t>
      </w:r>
      <w:r>
        <w:rPr>
          <w:lang w:val="fr-CA"/>
        </w:rPr>
        <w:t xml:space="preserve">et des </w:t>
      </w:r>
      <w:r w:rsidRPr="00055C7B">
        <w:rPr>
          <w:lang w:val="fr-CA"/>
        </w:rPr>
        <w:t xml:space="preserve">activités, </w:t>
      </w:r>
      <w:r>
        <w:rPr>
          <w:lang w:val="fr-CA"/>
        </w:rPr>
        <w:t xml:space="preserve">est présenté dans le </w:t>
      </w:r>
      <w:r w:rsidRPr="00055C7B">
        <w:rPr>
          <w:lang w:val="fr-CA"/>
        </w:rPr>
        <w:t>rapport périodique</w:t>
      </w:r>
      <w:r>
        <w:rPr>
          <w:lang w:val="fr-CA"/>
        </w:rPr>
        <w:t xml:space="preserve"> global</w:t>
      </w:r>
      <w:r w:rsidRPr="00055C7B">
        <w:rPr>
          <w:lang w:val="fr-CA"/>
        </w:rPr>
        <w:t xml:space="preserve"> (UNEP/</w:t>
      </w:r>
      <w:proofErr w:type="spellStart"/>
      <w:r w:rsidRPr="00055C7B">
        <w:rPr>
          <w:lang w:val="fr-CA"/>
        </w:rPr>
        <w:t>OzL.Pro</w:t>
      </w:r>
      <w:proofErr w:type="spellEnd"/>
      <w:r w:rsidRPr="00055C7B">
        <w:rPr>
          <w:lang w:val="fr-CA"/>
        </w:rPr>
        <w:t>/</w:t>
      </w:r>
      <w:proofErr w:type="spellStart"/>
      <w:r w:rsidRPr="00055C7B">
        <w:rPr>
          <w:lang w:val="fr-CA"/>
        </w:rPr>
        <w:t>ExCom</w:t>
      </w:r>
      <w:proofErr w:type="spellEnd"/>
      <w:r w:rsidRPr="00055C7B">
        <w:rPr>
          <w:lang w:val="fr-CA"/>
        </w:rPr>
        <w:t>/86/15).</w:t>
      </w:r>
    </w:p>
  </w:footnote>
  <w:footnote w:id="6">
    <w:p w14:paraId="0C0651C1" w14:textId="26E8BB64" w:rsidR="00752B73" w:rsidRPr="00055C7B" w:rsidRDefault="00752B73" w:rsidP="008202EA">
      <w:pPr>
        <w:pStyle w:val="FootnoteText"/>
        <w:spacing w:after="0"/>
        <w:ind w:left="0" w:firstLine="0"/>
        <w:rPr>
          <w:lang w:val="fr-CA"/>
        </w:rPr>
      </w:pPr>
      <w:r w:rsidRPr="00055C7B">
        <w:rPr>
          <w:rStyle w:val="FootnoteReference"/>
          <w:lang w:val="fr-CA"/>
        </w:rPr>
        <w:footnoteRef/>
      </w:r>
      <w:r w:rsidRPr="00055C7B">
        <w:rPr>
          <w:lang w:val="fr-CA"/>
        </w:rPr>
        <w:t xml:space="preserve"> L’ONUDI est devenue une agence d’exécution en 1993.</w:t>
      </w:r>
    </w:p>
  </w:footnote>
  <w:footnote w:id="7">
    <w:p w14:paraId="21A75747" w14:textId="0620D7B9" w:rsidR="00752B73" w:rsidRPr="00055C7B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055C7B">
        <w:rPr>
          <w:rStyle w:val="FootnoteReference"/>
          <w:lang w:val="fr-CA"/>
        </w:rPr>
        <w:footnoteRef/>
      </w:r>
      <w:r w:rsidRPr="00055C7B">
        <w:rPr>
          <w:lang w:val="fr-CA"/>
        </w:rPr>
        <w:t xml:space="preserve"> </w:t>
      </w:r>
      <w:r>
        <w:rPr>
          <w:lang w:val="fr-CA"/>
        </w:rPr>
        <w:t xml:space="preserve">L’élimination comprend les approbations des projets d’investissement de </w:t>
      </w:r>
      <w:r w:rsidRPr="00055C7B">
        <w:rPr>
          <w:lang w:val="fr-CA"/>
        </w:rPr>
        <w:t xml:space="preserve">HFC </w:t>
      </w:r>
      <w:r>
        <w:rPr>
          <w:lang w:val="fr-CA"/>
        </w:rPr>
        <w:t xml:space="preserve">de </w:t>
      </w:r>
      <w:r w:rsidRPr="00055C7B">
        <w:rPr>
          <w:lang w:val="fr-CA"/>
        </w:rPr>
        <w:t>118</w:t>
      </w:r>
      <w:r>
        <w:rPr>
          <w:lang w:val="fr-CA"/>
        </w:rPr>
        <w:t>,</w:t>
      </w:r>
      <w:r w:rsidRPr="00055C7B">
        <w:rPr>
          <w:lang w:val="fr-CA"/>
        </w:rPr>
        <w:t xml:space="preserve">7 </w:t>
      </w:r>
      <w:r>
        <w:rPr>
          <w:lang w:val="fr-CA"/>
        </w:rPr>
        <w:t>t</w:t>
      </w:r>
      <w:r w:rsidRPr="00055C7B">
        <w:rPr>
          <w:lang w:val="fr-CA"/>
        </w:rPr>
        <w:t>m (211</w:t>
      </w:r>
      <w:r>
        <w:rPr>
          <w:lang w:val="fr-CA"/>
        </w:rPr>
        <w:t> </w:t>
      </w:r>
      <w:r w:rsidRPr="00055C7B">
        <w:rPr>
          <w:lang w:val="fr-CA"/>
        </w:rPr>
        <w:t xml:space="preserve">512 </w:t>
      </w:r>
      <w:r>
        <w:rPr>
          <w:lang w:val="fr-CA"/>
        </w:rPr>
        <w:t>tm</w:t>
      </w:r>
      <w:r w:rsidRPr="00055C7B">
        <w:rPr>
          <w:lang w:val="fr-CA"/>
        </w:rPr>
        <w:t xml:space="preserve"> </w:t>
      </w:r>
      <w:r>
        <w:rPr>
          <w:lang w:val="fr-CA"/>
        </w:rPr>
        <w:t xml:space="preserve">équivalent de </w:t>
      </w:r>
      <w:r w:rsidRPr="00055C7B">
        <w:rPr>
          <w:lang w:val="fr-CA"/>
        </w:rPr>
        <w:t>CO</w:t>
      </w:r>
      <w:r w:rsidRPr="00055C7B">
        <w:rPr>
          <w:vertAlign w:val="subscript"/>
          <w:lang w:val="fr-CA"/>
        </w:rPr>
        <w:t>2</w:t>
      </w:r>
      <w:r w:rsidRPr="00055C7B">
        <w:rPr>
          <w:lang w:val="fr-CA"/>
        </w:rPr>
        <w:t>).</w:t>
      </w:r>
    </w:p>
  </w:footnote>
  <w:footnote w:id="8">
    <w:p w14:paraId="2BCC04DA" w14:textId="683BBC92" w:rsidR="00752B73" w:rsidRPr="00646205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</w:t>
      </w:r>
      <w:r w:rsidRPr="00646205">
        <w:rPr>
          <w:lang w:val="fr-CA"/>
        </w:rPr>
        <w:t>Incluant 118</w:t>
      </w:r>
      <w:r>
        <w:rPr>
          <w:lang w:val="fr-CA"/>
        </w:rPr>
        <w:t>,</w:t>
      </w:r>
      <w:r w:rsidRPr="00646205">
        <w:rPr>
          <w:lang w:val="fr-CA"/>
        </w:rPr>
        <w:t xml:space="preserve">7 </w:t>
      </w:r>
      <w:proofErr w:type="spellStart"/>
      <w:r>
        <w:rPr>
          <w:lang w:val="fr-CA"/>
        </w:rPr>
        <w:t>t</w:t>
      </w:r>
      <w:r w:rsidRPr="00646205">
        <w:rPr>
          <w:lang w:val="fr-CA"/>
        </w:rPr>
        <w:t>m</w:t>
      </w:r>
      <w:proofErr w:type="spellEnd"/>
      <w:r>
        <w:rPr>
          <w:lang w:val="fr-CA"/>
        </w:rPr>
        <w:t xml:space="preserve"> de </w:t>
      </w:r>
      <w:r w:rsidRPr="00646205">
        <w:rPr>
          <w:lang w:val="fr-CA"/>
        </w:rPr>
        <w:t xml:space="preserve">HFC </w:t>
      </w:r>
      <w:r>
        <w:rPr>
          <w:lang w:val="fr-CA"/>
        </w:rPr>
        <w:t xml:space="preserve">liées à des </w:t>
      </w:r>
      <w:r w:rsidRPr="00646205">
        <w:rPr>
          <w:lang w:val="fr-CA"/>
        </w:rPr>
        <w:t>projets</w:t>
      </w:r>
      <w:r>
        <w:rPr>
          <w:lang w:val="fr-CA"/>
        </w:rPr>
        <w:t xml:space="preserve"> d’investissement</w:t>
      </w:r>
      <w:r w:rsidRPr="00646205">
        <w:rPr>
          <w:lang w:val="fr-CA"/>
        </w:rPr>
        <w:t>.</w:t>
      </w:r>
    </w:p>
  </w:footnote>
  <w:footnote w:id="9">
    <w:p w14:paraId="4CE2F2AA" w14:textId="49D862BC" w:rsidR="00752B73" w:rsidRPr="00646205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646205">
        <w:rPr>
          <w:rStyle w:val="FootnoteReference"/>
          <w:lang w:val="fr-CA"/>
        </w:rPr>
        <w:footnoteRef/>
      </w:r>
      <w:r w:rsidRPr="00646205">
        <w:rPr>
          <w:lang w:val="fr-CA"/>
        </w:rPr>
        <w:t xml:space="preserve"> </w:t>
      </w:r>
      <w:r>
        <w:rPr>
          <w:lang w:val="fr-CA"/>
        </w:rPr>
        <w:t>Le rapport coût-efficacité plus élevé des projets en cours s’explique en grande partie par les valeurs PAO plus faibles des HCFC, mais aussi par les façons d’attribuer l’élimination par les agences</w:t>
      </w:r>
      <w:r w:rsidRPr="00646205">
        <w:rPr>
          <w:lang w:val="fr-CA"/>
        </w:rPr>
        <w:t xml:space="preserve">. </w:t>
      </w:r>
    </w:p>
  </w:footnote>
  <w:footnote w:id="10">
    <w:p w14:paraId="39844AEF" w14:textId="282F55D3" w:rsidR="00752B73" w:rsidRPr="00646205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646205">
        <w:rPr>
          <w:rStyle w:val="FootnoteReference"/>
          <w:lang w:val="fr-CA"/>
        </w:rPr>
        <w:footnoteRef/>
      </w:r>
      <w:r w:rsidRPr="00646205">
        <w:rPr>
          <w:lang w:val="fr-CA"/>
        </w:rPr>
        <w:t xml:space="preserve"> </w:t>
      </w:r>
      <w:r>
        <w:rPr>
          <w:lang w:val="fr-CA"/>
        </w:rPr>
        <w:t xml:space="preserve">Les projets approuvés depuis plus de </w:t>
      </w:r>
      <w:r w:rsidRPr="00646205">
        <w:rPr>
          <w:lang w:val="fr-CA"/>
        </w:rPr>
        <w:t>18 mo</w:t>
      </w:r>
      <w:r>
        <w:rPr>
          <w:lang w:val="fr-CA"/>
        </w:rPr>
        <w:t xml:space="preserve">is avec des taux de décaissement inférieurs à 1 %, ou les projets qui n’ont pas pris fin 12 mois après la date d’achèvement proposée dans le </w:t>
      </w:r>
      <w:r w:rsidRPr="00646205">
        <w:rPr>
          <w:lang w:val="fr-CA"/>
        </w:rPr>
        <w:t>rapport périodique (décision 22/61) (</w:t>
      </w:r>
      <w:r>
        <w:rPr>
          <w:lang w:val="fr-CA"/>
        </w:rPr>
        <w:t>tels que les projets de dé</w:t>
      </w:r>
      <w:r w:rsidRPr="00646205">
        <w:rPr>
          <w:lang w:val="fr-CA"/>
        </w:rPr>
        <w:t xml:space="preserve">monstration, </w:t>
      </w:r>
      <w:r>
        <w:rPr>
          <w:lang w:val="fr-CA"/>
        </w:rPr>
        <w:t xml:space="preserve">la préparation de </w:t>
      </w:r>
      <w:r w:rsidRPr="00646205">
        <w:rPr>
          <w:lang w:val="fr-CA"/>
        </w:rPr>
        <w:t>projet</w:t>
      </w:r>
      <w:r>
        <w:rPr>
          <w:lang w:val="fr-CA"/>
        </w:rPr>
        <w:t>s et le renforcement des i</w:t>
      </w:r>
      <w:r w:rsidRPr="00646205">
        <w:rPr>
          <w:lang w:val="fr-CA"/>
        </w:rPr>
        <w:t>nstitution</w:t>
      </w:r>
      <w:r>
        <w:rPr>
          <w:lang w:val="fr-CA"/>
        </w:rPr>
        <w:t>s</w:t>
      </w:r>
      <w:r w:rsidRPr="00646205">
        <w:rPr>
          <w:lang w:val="fr-CA"/>
        </w:rPr>
        <w:t xml:space="preserve"> (</w:t>
      </w:r>
      <w:r>
        <w:rPr>
          <w:lang w:val="fr-CA"/>
        </w:rPr>
        <w:t>R</w:t>
      </w:r>
      <w:r w:rsidRPr="00646205">
        <w:rPr>
          <w:lang w:val="fr-CA"/>
        </w:rPr>
        <w:t>I)</w:t>
      </w:r>
      <w:r>
        <w:rPr>
          <w:lang w:val="fr-CA"/>
        </w:rPr>
        <w:t>)</w:t>
      </w:r>
      <w:r w:rsidRPr="00646205">
        <w:rPr>
          <w:lang w:val="fr-CA"/>
        </w:rPr>
        <w:t xml:space="preserve"> </w:t>
      </w:r>
      <w:r>
        <w:rPr>
          <w:lang w:val="fr-CA"/>
        </w:rPr>
        <w:t>ne sont pas soumis à de telles procédures</w:t>
      </w:r>
      <w:r w:rsidRPr="00646205">
        <w:rPr>
          <w:lang w:val="fr-CA"/>
        </w:rPr>
        <w:t xml:space="preserve">. </w:t>
      </w:r>
    </w:p>
  </w:footnote>
  <w:footnote w:id="11">
    <w:p w14:paraId="233B913C" w14:textId="77777777" w:rsidR="00752B73" w:rsidRPr="00DB1D38" w:rsidRDefault="00752B73" w:rsidP="000E133D">
      <w:pPr>
        <w:pStyle w:val="FootnoteText"/>
        <w:spacing w:after="0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/86/39</w:t>
      </w:r>
    </w:p>
  </w:footnote>
  <w:footnote w:id="12">
    <w:p w14:paraId="3F3F7F8B" w14:textId="77777777" w:rsidR="00752B73" w:rsidRPr="00DB1D38" w:rsidRDefault="00752B73" w:rsidP="000E133D">
      <w:pPr>
        <w:pStyle w:val="FootnoteText"/>
        <w:spacing w:after="0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/86/41</w:t>
      </w:r>
    </w:p>
  </w:footnote>
  <w:footnote w:id="13">
    <w:p w14:paraId="020CBBAF" w14:textId="77777777" w:rsidR="00752B73" w:rsidRPr="00DB1D38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/86/47</w:t>
      </w:r>
    </w:p>
  </w:footnote>
  <w:footnote w:id="14">
    <w:p w14:paraId="3D88E74A" w14:textId="77777777" w:rsidR="00752B73" w:rsidRPr="00DB1D38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/86/51</w:t>
      </w:r>
    </w:p>
  </w:footnote>
  <w:footnote w:id="15">
    <w:p w14:paraId="481DDCFF" w14:textId="77777777" w:rsidR="00752B73" w:rsidRPr="00DB1D38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/86/52</w:t>
      </w:r>
    </w:p>
  </w:footnote>
  <w:footnote w:id="16">
    <w:p w14:paraId="3CB40EAF" w14:textId="77777777" w:rsidR="00752B73" w:rsidRPr="00DB1D38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/86/53</w:t>
      </w:r>
    </w:p>
  </w:footnote>
  <w:footnote w:id="17">
    <w:p w14:paraId="62A42690" w14:textId="77777777" w:rsidR="00752B73" w:rsidRPr="00DB1D38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/86/55</w:t>
      </w:r>
    </w:p>
  </w:footnote>
  <w:footnote w:id="18">
    <w:p w14:paraId="4E685E18" w14:textId="77777777" w:rsidR="00752B73" w:rsidRPr="00DB1D38" w:rsidRDefault="00752B73" w:rsidP="000E133D">
      <w:pPr>
        <w:pStyle w:val="FootnoteText"/>
        <w:spacing w:after="0"/>
        <w:ind w:left="431" w:hanging="431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/86/62</w:t>
      </w:r>
    </w:p>
  </w:footnote>
  <w:footnote w:id="19">
    <w:p w14:paraId="14EE9B42" w14:textId="77777777" w:rsidR="00752B73" w:rsidRPr="00DB1D38" w:rsidRDefault="00752B73" w:rsidP="000E133D">
      <w:pPr>
        <w:pStyle w:val="FootnoteText"/>
        <w:spacing w:after="0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/86/64</w:t>
      </w:r>
    </w:p>
  </w:footnote>
  <w:footnote w:id="20">
    <w:p w14:paraId="20C6F2F8" w14:textId="77777777" w:rsidR="00752B73" w:rsidRPr="00DB1D38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/86/65</w:t>
      </w:r>
    </w:p>
  </w:footnote>
  <w:footnote w:id="21">
    <w:p w14:paraId="0B63CC38" w14:textId="77777777" w:rsidR="00752B73" w:rsidRPr="00DB1D38" w:rsidRDefault="00752B73" w:rsidP="000E133D">
      <w:pPr>
        <w:pStyle w:val="FootnoteText"/>
        <w:spacing w:after="0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/86/66</w:t>
      </w:r>
    </w:p>
  </w:footnote>
  <w:footnote w:id="22">
    <w:p w14:paraId="0E9E35B2" w14:textId="77777777" w:rsidR="00752B73" w:rsidRPr="00DB1D38" w:rsidRDefault="00752B73" w:rsidP="000E133D">
      <w:pPr>
        <w:pStyle w:val="FootnoteText"/>
        <w:spacing w:after="0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/86/70</w:t>
      </w:r>
    </w:p>
  </w:footnote>
  <w:footnote w:id="23">
    <w:p w14:paraId="667EADBA" w14:textId="77777777" w:rsidR="00752B73" w:rsidRPr="00DB1D38" w:rsidRDefault="00752B73" w:rsidP="000E133D">
      <w:pPr>
        <w:pStyle w:val="FootnoteText"/>
        <w:spacing w:after="0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/86/72</w:t>
      </w:r>
    </w:p>
  </w:footnote>
  <w:footnote w:id="24">
    <w:p w14:paraId="24DB9E06" w14:textId="77777777" w:rsidR="00752B73" w:rsidRPr="00DB1D38" w:rsidRDefault="00752B73" w:rsidP="000E133D">
      <w:pPr>
        <w:pStyle w:val="FootnoteText"/>
        <w:spacing w:after="0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/86/75</w:t>
      </w:r>
    </w:p>
  </w:footnote>
  <w:footnote w:id="25">
    <w:p w14:paraId="184A23C6" w14:textId="77777777" w:rsidR="00752B73" w:rsidRPr="00DB1D38" w:rsidRDefault="00752B73" w:rsidP="000E133D">
      <w:pPr>
        <w:pStyle w:val="FootnoteText"/>
        <w:spacing w:after="0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/86/78</w:t>
      </w:r>
    </w:p>
  </w:footnote>
  <w:footnote w:id="26">
    <w:p w14:paraId="6F4B235E" w14:textId="77777777" w:rsidR="00752B73" w:rsidRPr="00DB1D38" w:rsidRDefault="00752B73" w:rsidP="000E133D">
      <w:pPr>
        <w:pStyle w:val="FootnoteText"/>
        <w:spacing w:after="0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/86/79</w:t>
      </w:r>
    </w:p>
  </w:footnote>
  <w:footnote w:id="27">
    <w:p w14:paraId="3098AF15" w14:textId="77777777" w:rsidR="00752B73" w:rsidRPr="00DB1D38" w:rsidRDefault="00752B73" w:rsidP="000E133D">
      <w:pPr>
        <w:pStyle w:val="FootnoteText"/>
        <w:spacing w:after="0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/86/81</w:t>
      </w:r>
    </w:p>
  </w:footnote>
  <w:footnote w:id="28">
    <w:p w14:paraId="6C817BB0" w14:textId="77777777" w:rsidR="00752B73" w:rsidRPr="00DB1D38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/86/21</w:t>
      </w:r>
    </w:p>
  </w:footnote>
  <w:footnote w:id="29">
    <w:p w14:paraId="3E72FE95" w14:textId="77777777" w:rsidR="00752B73" w:rsidRPr="00E03F2D" w:rsidRDefault="00752B73" w:rsidP="000E133D">
      <w:pPr>
        <w:pStyle w:val="FootnoteText"/>
        <w:spacing w:after="0"/>
        <w:ind w:left="0" w:firstLine="0"/>
        <w:jc w:val="both"/>
        <w:rPr>
          <w:lang w:val="en-CA"/>
        </w:rPr>
      </w:pPr>
      <w:r w:rsidRPr="00E03F2D">
        <w:rPr>
          <w:rStyle w:val="FootnoteReference"/>
          <w:lang w:val="en-CA"/>
        </w:rPr>
        <w:footnoteRef/>
      </w:r>
      <w:r w:rsidRPr="00E03F2D">
        <w:rPr>
          <w:lang w:val="en-CA"/>
        </w:rPr>
        <w:t xml:space="preserve"> UNEP/</w:t>
      </w:r>
      <w:proofErr w:type="spellStart"/>
      <w:r w:rsidRPr="00E03F2D">
        <w:rPr>
          <w:lang w:val="en-CA"/>
        </w:rPr>
        <w:t>OzL.Pro</w:t>
      </w:r>
      <w:proofErr w:type="spellEnd"/>
      <w:r w:rsidRPr="00E03F2D">
        <w:rPr>
          <w:lang w:val="en-CA"/>
        </w:rPr>
        <w:t>/</w:t>
      </w:r>
      <w:proofErr w:type="spellStart"/>
      <w:r w:rsidRPr="00E03F2D">
        <w:rPr>
          <w:lang w:val="en-CA"/>
        </w:rPr>
        <w:t>ExCom</w:t>
      </w:r>
      <w:proofErr w:type="spellEnd"/>
      <w:r w:rsidRPr="00E03F2D">
        <w:rPr>
          <w:lang w:val="en-CA"/>
        </w:rPr>
        <w:t>/86/21/Add.1</w:t>
      </w:r>
    </w:p>
  </w:footnote>
  <w:footnote w:id="30">
    <w:p w14:paraId="5C9D667B" w14:textId="77777777" w:rsidR="00752B73" w:rsidRPr="00DB1D38" w:rsidRDefault="00752B73" w:rsidP="000E133D">
      <w:pPr>
        <w:pStyle w:val="FootnoteText"/>
        <w:spacing w:after="0"/>
        <w:ind w:left="0" w:firstLine="0"/>
        <w:jc w:val="both"/>
        <w:rPr>
          <w:rStyle w:val="FootnoteReference"/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UNEP/</w:t>
      </w:r>
      <w:proofErr w:type="spellStart"/>
      <w:r w:rsidRPr="00DB1D38">
        <w:rPr>
          <w:lang w:val="fr-CA"/>
        </w:rPr>
        <w:t>OzL.Pro</w:t>
      </w:r>
      <w:proofErr w:type="spellEnd"/>
      <w:r w:rsidRPr="00DB1D38">
        <w:rPr>
          <w:lang w:val="fr-CA"/>
        </w:rPr>
        <w:t>/</w:t>
      </w:r>
      <w:proofErr w:type="spellStart"/>
      <w:r w:rsidRPr="00DB1D38">
        <w:rPr>
          <w:lang w:val="fr-CA"/>
        </w:rPr>
        <w:t>ExCom</w:t>
      </w:r>
      <w:proofErr w:type="spellEnd"/>
      <w:r w:rsidRPr="00DB1D38">
        <w:rPr>
          <w:lang w:val="fr-CA"/>
        </w:rPr>
        <w:t>/86/24</w:t>
      </w:r>
    </w:p>
  </w:footnote>
  <w:footnote w:id="31">
    <w:p w14:paraId="1D715A0C" w14:textId="1E11C136" w:rsidR="00752B73" w:rsidRPr="007F5D19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</w:t>
      </w:r>
      <w:r w:rsidRPr="007F5D19">
        <w:rPr>
          <w:lang w:val="fr-CA"/>
        </w:rPr>
        <w:t>Toute dema</w:t>
      </w:r>
      <w:r>
        <w:rPr>
          <w:lang w:val="fr-CA"/>
        </w:rPr>
        <w:t>n</w:t>
      </w:r>
      <w:r w:rsidRPr="007F5D19">
        <w:rPr>
          <w:lang w:val="fr-CA"/>
        </w:rPr>
        <w:t>de de prolongation devrait être soumise à l’approbation du Comité exécutif</w:t>
      </w:r>
      <w:r>
        <w:rPr>
          <w:lang w:val="fr-CA"/>
        </w:rPr>
        <w:t>,</w:t>
      </w:r>
      <w:r w:rsidRPr="007F5D19">
        <w:rPr>
          <w:lang w:val="fr-CA"/>
        </w:rPr>
        <w:t xml:space="preserve"> préalablement à la date d’achèvement du projet, </w:t>
      </w:r>
      <w:r>
        <w:rPr>
          <w:lang w:val="fr-CA"/>
        </w:rPr>
        <w:t>en notant qu’aucun nouvel engagement ne devrait être pris avant l’approbation de la demande de prolongation</w:t>
      </w:r>
      <w:r w:rsidRPr="007F5D19">
        <w:rPr>
          <w:lang w:val="fr-CA"/>
        </w:rPr>
        <w:t>.</w:t>
      </w:r>
    </w:p>
    <w:p w14:paraId="20983E47" w14:textId="77777777" w:rsidR="00752B73" w:rsidRPr="007F5D19" w:rsidRDefault="00752B73" w:rsidP="000E133D">
      <w:pPr>
        <w:pStyle w:val="FootnoteText"/>
        <w:spacing w:after="0"/>
        <w:rPr>
          <w:lang w:val="fr-CA"/>
        </w:rPr>
      </w:pPr>
    </w:p>
  </w:footnote>
  <w:footnote w:id="32">
    <w:p w14:paraId="0B99DAF3" w14:textId="22BA01B0" w:rsidR="00752B73" w:rsidRPr="00807EB8" w:rsidRDefault="00752B73" w:rsidP="000E133D">
      <w:pPr>
        <w:pStyle w:val="FootnoteText"/>
        <w:spacing w:after="0"/>
        <w:ind w:left="0" w:firstLine="0"/>
        <w:jc w:val="both"/>
        <w:rPr>
          <w:rStyle w:val="FootnoteReference"/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rStyle w:val="FootnoteReference"/>
          <w:lang w:val="fr-CA"/>
        </w:rPr>
        <w:t xml:space="preserve"> </w:t>
      </w:r>
      <w:r w:rsidRPr="00807EB8">
        <w:rPr>
          <w:lang w:val="fr-CA"/>
        </w:rPr>
        <w:t>Quatre projets autonomes de mousse de polystyr</w:t>
      </w:r>
      <w:r>
        <w:rPr>
          <w:lang w:val="fr-CA"/>
        </w:rPr>
        <w:t>è</w:t>
      </w:r>
      <w:r w:rsidRPr="00807EB8">
        <w:rPr>
          <w:lang w:val="fr-CA"/>
        </w:rPr>
        <w:t>ne extrud</w:t>
      </w:r>
      <w:r>
        <w:rPr>
          <w:lang w:val="fr-CA"/>
        </w:rPr>
        <w:t>é</w:t>
      </w:r>
      <w:r w:rsidRPr="00807EB8">
        <w:rPr>
          <w:lang w:val="fr-CA"/>
        </w:rPr>
        <w:t xml:space="preserve"> </w:t>
      </w:r>
      <w:r>
        <w:rPr>
          <w:lang w:val="fr-CA"/>
        </w:rPr>
        <w:t>avaient été approuvés à la 62</w:t>
      </w:r>
      <w:r w:rsidRPr="00807EB8">
        <w:rPr>
          <w:vertAlign w:val="superscript"/>
          <w:lang w:val="fr-CA"/>
        </w:rPr>
        <w:t>e</w:t>
      </w:r>
      <w:r>
        <w:rPr>
          <w:lang w:val="fr-CA"/>
        </w:rPr>
        <w:t> réunion et soumis par la suite dans la phase I du PGRH</w:t>
      </w:r>
    </w:p>
  </w:footnote>
  <w:footnote w:id="33">
    <w:p w14:paraId="287155C0" w14:textId="182B8378" w:rsidR="00752B73" w:rsidRPr="005B19ED" w:rsidRDefault="00752B73" w:rsidP="000E133D">
      <w:pPr>
        <w:pStyle w:val="FootnoteText"/>
        <w:spacing w:after="0"/>
        <w:ind w:left="0" w:firstLine="0"/>
        <w:jc w:val="both"/>
        <w:rPr>
          <w:rStyle w:val="FootnoteReference"/>
          <w:sz w:val="20"/>
          <w:szCs w:val="20"/>
          <w:vertAlign w:val="baseline"/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rStyle w:val="FootnoteReference"/>
          <w:lang w:val="fr-CA"/>
        </w:rPr>
        <w:t xml:space="preserve">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>L</w:t>
      </w:r>
      <w:r w:rsidRPr="005B19ED">
        <w:rPr>
          <w:lang w:val="fr-CA"/>
        </w:rPr>
        <w:t>es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 conditions</w:t>
      </w:r>
      <w:r w:rsidRPr="005B19ED">
        <w:rPr>
          <w:lang w:val="fr-CA"/>
        </w:rPr>
        <w:t xml:space="preserve"> indiquées dans l’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Appendice 8-A </w:t>
      </w:r>
      <w:r>
        <w:rPr>
          <w:rStyle w:val="FootnoteReference"/>
          <w:sz w:val="20"/>
          <w:szCs w:val="20"/>
          <w:vertAlign w:val="baseline"/>
          <w:lang w:val="fr-CA"/>
        </w:rPr>
        <w:t>s</w:t>
      </w:r>
      <w:r>
        <w:rPr>
          <w:lang w:val="fr-CA"/>
        </w:rPr>
        <w:t>ont les suivantes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: </w:t>
      </w:r>
      <w:r w:rsidRPr="005B19ED">
        <w:rPr>
          <w:lang w:val="fr-CA"/>
        </w:rPr>
        <w:t xml:space="preserve">(a) </w:t>
      </w:r>
      <w:r>
        <w:rPr>
          <w:lang w:val="fr-CA"/>
        </w:rPr>
        <w:t xml:space="preserve">interdiction de conteneurs jetables de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>frigorigène</w:t>
      </w:r>
      <w:r>
        <w:rPr>
          <w:lang w:val="fr-CA"/>
        </w:rPr>
        <w:t xml:space="preserve">s à base de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HCFC; </w:t>
      </w:r>
      <w:r w:rsidRPr="005B19ED">
        <w:rPr>
          <w:lang w:val="fr-CA"/>
        </w:rPr>
        <w:t xml:space="preserve">(b)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>introduc</w:t>
      </w:r>
      <w:r>
        <w:rPr>
          <w:rStyle w:val="FootnoteReference"/>
          <w:sz w:val="20"/>
          <w:szCs w:val="20"/>
          <w:vertAlign w:val="baseline"/>
          <w:lang w:val="fr-CA"/>
        </w:rPr>
        <w:t>tion d’un syst</w:t>
      </w:r>
      <w:r>
        <w:rPr>
          <w:lang w:val="fr-CA"/>
        </w:rPr>
        <w:t xml:space="preserve">ème de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certification </w:t>
      </w:r>
      <w:r>
        <w:rPr>
          <w:rStyle w:val="FootnoteReference"/>
          <w:sz w:val="20"/>
          <w:szCs w:val="20"/>
          <w:vertAlign w:val="baseline"/>
          <w:lang w:val="fr-CA"/>
        </w:rPr>
        <w:t>des techniciens</w:t>
      </w:r>
      <w:r>
        <w:rPr>
          <w:lang w:val="fr-CA"/>
        </w:rPr>
        <w:t xml:space="preserve"> de la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>réfrigération,</w:t>
      </w:r>
      <w:r>
        <w:rPr>
          <w:rStyle w:val="FootnoteReference"/>
          <w:sz w:val="20"/>
          <w:szCs w:val="20"/>
          <w:vertAlign w:val="baseline"/>
          <w:lang w:val="fr-CA"/>
        </w:rPr>
        <w:t xml:space="preserve"> basé sur certaines normes de formation et d’équipements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; </w:t>
      </w:r>
      <w:r w:rsidRPr="005B19ED">
        <w:rPr>
          <w:lang w:val="fr-CA"/>
        </w:rPr>
        <w:t xml:space="preserve">(c)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>introduc</w:t>
      </w:r>
      <w:r>
        <w:rPr>
          <w:rStyle w:val="FootnoteReference"/>
          <w:sz w:val="20"/>
          <w:szCs w:val="20"/>
          <w:vertAlign w:val="baseline"/>
          <w:lang w:val="fr-CA"/>
        </w:rPr>
        <w:t xml:space="preserve">tion d’un système de réglementation de l’accès aux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>frigorigène</w:t>
      </w:r>
      <w:r>
        <w:rPr>
          <w:rStyle w:val="FootnoteReference"/>
          <w:sz w:val="20"/>
          <w:szCs w:val="20"/>
          <w:vertAlign w:val="baseline"/>
          <w:lang w:val="fr-CA"/>
        </w:rPr>
        <w:t xml:space="preserve">s réservé uniquement aux entités dans lesquelles des techniciens certifiés assurent des services d’entretien et de supervision des activités d’entretien des systèmes de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réfrigération </w:t>
      </w:r>
      <w:r>
        <w:rPr>
          <w:lang w:val="fr-CA"/>
        </w:rPr>
        <w:t>et de climatisation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, </w:t>
      </w:r>
      <w:r w:rsidRPr="005B19ED">
        <w:rPr>
          <w:lang w:val="fr-CA"/>
        </w:rPr>
        <w:t xml:space="preserve">(i) </w:t>
      </w:r>
      <w:r>
        <w:rPr>
          <w:lang w:val="fr-CA"/>
        </w:rPr>
        <w:t>en tenant compte du taux de croissance du personnel certifié et en veillant à ce que les activités de formation soient organisées régulièrement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; </w:t>
      </w:r>
      <w:r>
        <w:rPr>
          <w:rStyle w:val="FootnoteReference"/>
          <w:sz w:val="20"/>
          <w:szCs w:val="20"/>
          <w:vertAlign w:val="baseline"/>
          <w:lang w:val="fr-CA"/>
        </w:rPr>
        <w:t>e</w:t>
      </w:r>
      <w:r>
        <w:rPr>
          <w:lang w:val="fr-CA"/>
        </w:rPr>
        <w:t>t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 </w:t>
      </w:r>
      <w:r w:rsidRPr="005B19ED">
        <w:rPr>
          <w:lang w:val="fr-CA"/>
        </w:rPr>
        <w:t>(ii) </w:t>
      </w:r>
      <w:r>
        <w:rPr>
          <w:lang w:val="fr-CA"/>
        </w:rPr>
        <w:t>en appliquant des mesures de dissuasion pour éviter une supervision superficielle du personnel non qualifié par des techniciens certifiés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; </w:t>
      </w:r>
      <w:r>
        <w:rPr>
          <w:rStyle w:val="FootnoteReference"/>
          <w:sz w:val="20"/>
          <w:szCs w:val="20"/>
          <w:vertAlign w:val="baseline"/>
          <w:lang w:val="fr-CA"/>
        </w:rPr>
        <w:t>e</w:t>
      </w:r>
      <w:r>
        <w:rPr>
          <w:lang w:val="fr-CA"/>
        </w:rPr>
        <w:t>t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 </w:t>
      </w:r>
      <w:r w:rsidRPr="005B19ED">
        <w:rPr>
          <w:lang w:val="fr-CA"/>
        </w:rPr>
        <w:t xml:space="preserve">(d) </w:t>
      </w:r>
      <w:r>
        <w:rPr>
          <w:lang w:val="fr-CA"/>
        </w:rPr>
        <w:t xml:space="preserve">élaboration et soumission avec la demande de la tranche de 2015 une stratégie pour encourager fermement les utilisateurs ultimes d’équipements de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réfrigération </w:t>
      </w:r>
      <w:r>
        <w:rPr>
          <w:lang w:val="fr-CA"/>
        </w:rPr>
        <w:t xml:space="preserve">et de climatisation </w:t>
      </w:r>
      <w:r>
        <w:rPr>
          <w:rStyle w:val="FootnoteReference"/>
          <w:sz w:val="20"/>
          <w:szCs w:val="20"/>
          <w:vertAlign w:val="baseline"/>
          <w:lang w:val="fr-CA"/>
        </w:rPr>
        <w:t xml:space="preserve">à effectuer des </w:t>
      </w:r>
      <w:r>
        <w:rPr>
          <w:lang w:val="fr-CA"/>
        </w:rPr>
        <w:t xml:space="preserve">mesures de </w:t>
      </w:r>
      <w:r>
        <w:rPr>
          <w:rStyle w:val="FootnoteReference"/>
          <w:sz w:val="20"/>
          <w:szCs w:val="20"/>
          <w:vertAlign w:val="baseline"/>
          <w:lang w:val="fr-CA"/>
        </w:rPr>
        <w:t>vérification de fuites et de réparation e</w:t>
      </w:r>
      <w:r>
        <w:rPr>
          <w:lang w:val="fr-CA"/>
        </w:rPr>
        <w:t xml:space="preserve">n cas de perte de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frigorigène </w:t>
      </w:r>
      <w:r>
        <w:rPr>
          <w:rStyle w:val="FootnoteReference"/>
          <w:sz w:val="20"/>
          <w:szCs w:val="20"/>
          <w:vertAlign w:val="baseline"/>
          <w:lang w:val="fr-CA"/>
        </w:rPr>
        <w:t xml:space="preserve">dans les équipements de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réfrigération </w:t>
      </w:r>
      <w:r>
        <w:rPr>
          <w:lang w:val="fr-CA"/>
        </w:rPr>
        <w:t>et de climatisation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, </w:t>
      </w:r>
      <w:r>
        <w:rPr>
          <w:rStyle w:val="FootnoteReference"/>
          <w:sz w:val="20"/>
          <w:szCs w:val="20"/>
          <w:vertAlign w:val="baseline"/>
          <w:lang w:val="fr-CA"/>
        </w:rPr>
        <w:t xml:space="preserve">et à s’engager à appliquer la stratégie durant le reste du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PGEH </w:t>
      </w:r>
      <w:r>
        <w:rPr>
          <w:rStyle w:val="FootnoteReference"/>
          <w:sz w:val="20"/>
          <w:szCs w:val="20"/>
          <w:vertAlign w:val="baseline"/>
          <w:lang w:val="fr-CA"/>
        </w:rPr>
        <w:t>sans autres coûts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>.</w:t>
      </w:r>
    </w:p>
  </w:footnote>
  <w:footnote w:id="34">
    <w:p w14:paraId="1EF36671" w14:textId="32135DA0" w:rsidR="00752B73" w:rsidRPr="00DB1D38" w:rsidRDefault="00752B73" w:rsidP="000E133D">
      <w:pPr>
        <w:pStyle w:val="FootnoteText"/>
        <w:spacing w:after="0"/>
        <w:ind w:left="0" w:firstLine="0"/>
        <w:jc w:val="both"/>
        <w:rPr>
          <w:rStyle w:val="FootnoteReference"/>
          <w:sz w:val="20"/>
          <w:szCs w:val="20"/>
          <w:vertAlign w:val="baseline"/>
          <w:lang w:val="es-419"/>
        </w:rPr>
      </w:pPr>
      <w:r w:rsidRPr="00631EA2">
        <w:rPr>
          <w:rStyle w:val="FootnoteReference"/>
          <w:sz w:val="20"/>
          <w:szCs w:val="20"/>
          <w:lang w:val="fr-CA"/>
        </w:rPr>
        <w:footnoteRef/>
      </w:r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L</w:t>
      </w:r>
      <w:r w:rsidRPr="00DB1D38">
        <w:rPr>
          <w:lang w:val="es-419"/>
        </w:rPr>
        <w:t>a</w:t>
      </w:r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décision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s</w:t>
      </w:r>
      <w:r w:rsidRPr="00DB1D38">
        <w:rPr>
          <w:lang w:val="es-419"/>
        </w:rPr>
        <w:t>ur la</w:t>
      </w:r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phase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I d</w:t>
      </w:r>
      <w:r w:rsidRPr="00DB1D38">
        <w:rPr>
          <w:lang w:val="es-419"/>
        </w:rPr>
        <w:t>u</w:t>
      </w:r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PGEH de 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l’Arabie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saoudite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est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reproduite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à 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l’Annex</w:t>
      </w:r>
      <w:r w:rsidRPr="00DB1D38">
        <w:rPr>
          <w:lang w:val="es-419"/>
        </w:rPr>
        <w:t>e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IX 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au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Rapport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de la 84</w:t>
      </w:r>
      <w:r w:rsidRPr="00DB1D38">
        <w:rPr>
          <w:rStyle w:val="FootnoteReference"/>
          <w:sz w:val="20"/>
          <w:szCs w:val="20"/>
          <w:lang w:val="es-419"/>
        </w:rPr>
        <w:t>e</w:t>
      </w:r>
      <w:r w:rsidRPr="00DB1D38">
        <w:rPr>
          <w:lang w:val="es-419"/>
        </w:rPr>
        <w:t xml:space="preserve"> </w:t>
      </w:r>
      <w:proofErr w:type="spellStart"/>
      <w:r w:rsidRPr="00DB1D38">
        <w:rPr>
          <w:lang w:val="es-419"/>
        </w:rPr>
        <w:t>réunion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 xml:space="preserve"> (UNEP/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OzL.Pro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>/</w:t>
      </w:r>
      <w:proofErr w:type="spellStart"/>
      <w:r w:rsidRPr="00DB1D38">
        <w:rPr>
          <w:rStyle w:val="FootnoteReference"/>
          <w:sz w:val="20"/>
          <w:szCs w:val="20"/>
          <w:vertAlign w:val="baseline"/>
          <w:lang w:val="es-419"/>
        </w:rPr>
        <w:t>ExCom</w:t>
      </w:r>
      <w:proofErr w:type="spellEnd"/>
      <w:r w:rsidRPr="00DB1D38">
        <w:rPr>
          <w:rStyle w:val="FootnoteReference"/>
          <w:sz w:val="20"/>
          <w:szCs w:val="20"/>
          <w:vertAlign w:val="baseline"/>
          <w:lang w:val="es-419"/>
        </w:rPr>
        <w:t>/84/75).</w:t>
      </w:r>
    </w:p>
  </w:footnote>
  <w:footnote w:id="35">
    <w:p w14:paraId="7AADBFA9" w14:textId="4AEAF059" w:rsidR="00752B73" w:rsidRPr="005B19ED" w:rsidRDefault="00752B73" w:rsidP="000E133D">
      <w:pPr>
        <w:pStyle w:val="FootnoteText"/>
        <w:spacing w:after="0"/>
        <w:ind w:left="0" w:firstLine="0"/>
        <w:jc w:val="both"/>
        <w:rPr>
          <w:rStyle w:val="FootnoteReference"/>
          <w:sz w:val="20"/>
          <w:szCs w:val="20"/>
          <w:vertAlign w:val="baseline"/>
          <w:lang w:val="fr-CA"/>
        </w:rPr>
      </w:pPr>
      <w:r w:rsidRPr="00631EA2">
        <w:rPr>
          <w:rStyle w:val="FootnoteReference"/>
          <w:sz w:val="20"/>
          <w:szCs w:val="20"/>
          <w:lang w:val="fr-CA"/>
        </w:rPr>
        <w:footnoteRef/>
      </w:r>
      <w:r w:rsidRPr="005B19ED">
        <w:rPr>
          <w:rStyle w:val="FootnoteReference"/>
          <w:sz w:val="20"/>
          <w:szCs w:val="20"/>
          <w:vertAlign w:val="baseline"/>
          <w:lang w:val="fr-CA"/>
        </w:rPr>
        <w:t xml:space="preserve"> </w:t>
      </w:r>
      <w:r>
        <w:rPr>
          <w:lang w:val="fr-CA"/>
        </w:rPr>
        <w:t xml:space="preserve">Les questions soulevées dans les trois éléments mis en œuvre par le PNUE sont présentées dans le </w:t>
      </w:r>
      <w:r w:rsidRPr="005B19ED">
        <w:rPr>
          <w:rStyle w:val="FootnoteReference"/>
          <w:sz w:val="20"/>
          <w:szCs w:val="20"/>
          <w:vertAlign w:val="baseline"/>
          <w:lang w:val="fr-CA"/>
        </w:rPr>
        <w:t>document UNEP/</w:t>
      </w:r>
      <w:proofErr w:type="spellStart"/>
      <w:r w:rsidRPr="005B19ED">
        <w:rPr>
          <w:rStyle w:val="FootnoteReference"/>
          <w:sz w:val="20"/>
          <w:szCs w:val="20"/>
          <w:vertAlign w:val="baseline"/>
          <w:lang w:val="fr-CA"/>
        </w:rPr>
        <w:t>OzL.Pro</w:t>
      </w:r>
      <w:proofErr w:type="spellEnd"/>
      <w:r w:rsidRPr="005B19ED">
        <w:rPr>
          <w:rStyle w:val="FootnoteReference"/>
          <w:sz w:val="20"/>
          <w:szCs w:val="20"/>
          <w:vertAlign w:val="baseline"/>
          <w:lang w:val="fr-CA"/>
        </w:rPr>
        <w:t>/</w:t>
      </w:r>
      <w:proofErr w:type="spellStart"/>
      <w:r w:rsidRPr="005B19ED">
        <w:rPr>
          <w:rStyle w:val="FootnoteReference"/>
          <w:sz w:val="20"/>
          <w:szCs w:val="20"/>
          <w:vertAlign w:val="baseline"/>
          <w:lang w:val="fr-CA"/>
        </w:rPr>
        <w:t>ExCom</w:t>
      </w:r>
      <w:proofErr w:type="spellEnd"/>
      <w:r w:rsidRPr="005B19ED">
        <w:rPr>
          <w:rStyle w:val="FootnoteReference"/>
          <w:sz w:val="20"/>
          <w:szCs w:val="20"/>
          <w:vertAlign w:val="baseline"/>
          <w:lang w:val="fr-CA"/>
        </w:rPr>
        <w:t>/86/18</w:t>
      </w:r>
      <w:r w:rsidRPr="005B19ED">
        <w:rPr>
          <w:lang w:val="fr-CA"/>
        </w:rPr>
        <w:t>.</w:t>
      </w:r>
    </w:p>
  </w:footnote>
  <w:footnote w:id="36">
    <w:p w14:paraId="769EA297" w14:textId="409FB8A0" w:rsidR="00752B73" w:rsidRPr="008F34C0" w:rsidRDefault="00752B73" w:rsidP="000E133D">
      <w:pPr>
        <w:pStyle w:val="FootnoteText"/>
        <w:spacing w:after="0"/>
        <w:ind w:left="0" w:firstLine="0"/>
        <w:jc w:val="both"/>
        <w:rPr>
          <w:lang w:val="fr-CA"/>
        </w:rPr>
      </w:pPr>
      <w:r w:rsidRPr="00E03F2D">
        <w:rPr>
          <w:rStyle w:val="FootnoteReference"/>
          <w:lang w:val="en-CA"/>
        </w:rPr>
        <w:footnoteRef/>
      </w:r>
      <w:r w:rsidRPr="00DB1D38">
        <w:rPr>
          <w:lang w:val="fr-CA"/>
        </w:rPr>
        <w:t xml:space="preserve"> </w:t>
      </w:r>
      <w:r w:rsidRPr="008F34C0">
        <w:rPr>
          <w:lang w:val="fr-CA"/>
        </w:rPr>
        <w:t xml:space="preserve">Les données sont présentées </w:t>
      </w:r>
      <w:r>
        <w:rPr>
          <w:lang w:val="fr-CA"/>
        </w:rPr>
        <w:t>selon l’</w:t>
      </w:r>
      <w:r w:rsidRPr="008F34C0">
        <w:rPr>
          <w:lang w:val="fr-CA"/>
        </w:rPr>
        <w:t xml:space="preserve">année </w:t>
      </w:r>
      <w:r w:rsidRPr="002E2617">
        <w:rPr>
          <w:lang w:val="fr-CA"/>
        </w:rPr>
        <w:t>où</w:t>
      </w:r>
      <w:r>
        <w:rPr>
          <w:lang w:val="fr-CA"/>
        </w:rPr>
        <w:t xml:space="preserve"> un </w:t>
      </w:r>
      <w:r w:rsidRPr="008F34C0">
        <w:rPr>
          <w:lang w:val="fr-CA"/>
        </w:rPr>
        <w:t xml:space="preserve">projet </w:t>
      </w:r>
      <w:r>
        <w:rPr>
          <w:lang w:val="fr-CA"/>
        </w:rPr>
        <w:t>a été approuvé par le Comité exécutif</w:t>
      </w:r>
      <w:r w:rsidRPr="008F34C0">
        <w:rPr>
          <w:lang w:val="fr-CA"/>
        </w:rPr>
        <w:t xml:space="preserve">. </w:t>
      </w:r>
      <w:r>
        <w:rPr>
          <w:lang w:val="fr-CA"/>
        </w:rPr>
        <w:t xml:space="preserve">Tous les projets approuvés </w:t>
      </w:r>
      <w:r w:rsidRPr="008F34C0">
        <w:rPr>
          <w:lang w:val="fr-CA"/>
        </w:rPr>
        <w:t>(</w:t>
      </w:r>
      <w:r>
        <w:rPr>
          <w:lang w:val="fr-CA"/>
        </w:rPr>
        <w:t>projets d’</w:t>
      </w:r>
      <w:r w:rsidRPr="008F34C0">
        <w:rPr>
          <w:lang w:val="fr-CA"/>
        </w:rPr>
        <w:t>invest</w:t>
      </w:r>
      <w:r>
        <w:rPr>
          <w:lang w:val="fr-CA"/>
        </w:rPr>
        <w:t>isse</w:t>
      </w:r>
      <w:r w:rsidRPr="008F34C0">
        <w:rPr>
          <w:lang w:val="fr-CA"/>
        </w:rPr>
        <w:t xml:space="preserve">ment </w:t>
      </w:r>
      <w:r>
        <w:rPr>
          <w:lang w:val="fr-CA"/>
        </w:rPr>
        <w:t>et projets non liés aux investissements</w:t>
      </w:r>
      <w:r w:rsidRPr="008F34C0">
        <w:rPr>
          <w:lang w:val="fr-CA"/>
        </w:rPr>
        <w:t>)</w:t>
      </w:r>
      <w:r>
        <w:rPr>
          <w:lang w:val="fr-CA"/>
        </w:rPr>
        <w:t xml:space="preserve"> sont traités de façon égale</w:t>
      </w:r>
      <w:r w:rsidRPr="008F34C0">
        <w:rPr>
          <w:lang w:val="fr-CA"/>
        </w:rPr>
        <w:t xml:space="preserve"> (</w:t>
      </w:r>
      <w:r>
        <w:rPr>
          <w:lang w:val="fr-CA"/>
        </w:rPr>
        <w:t>c’est-à-dire un projet d’</w:t>
      </w:r>
      <w:r w:rsidRPr="008F34C0">
        <w:rPr>
          <w:lang w:val="fr-CA"/>
        </w:rPr>
        <w:t>i</w:t>
      </w:r>
      <w:r>
        <w:rPr>
          <w:lang w:val="fr-CA"/>
        </w:rPr>
        <w:t xml:space="preserve">nvestissement ou une tranche de financement d’un APA de </w:t>
      </w:r>
      <w:r w:rsidRPr="008F34C0">
        <w:rPr>
          <w:lang w:val="fr-CA"/>
        </w:rPr>
        <w:t>1 million</w:t>
      </w:r>
      <w:r>
        <w:rPr>
          <w:lang w:val="fr-CA"/>
        </w:rPr>
        <w:t> $US est considéré</w:t>
      </w:r>
      <w:r w:rsidRPr="008F34C0">
        <w:rPr>
          <w:lang w:val="fr-CA"/>
        </w:rPr>
        <w:t xml:space="preserve"> </w:t>
      </w:r>
      <w:r>
        <w:rPr>
          <w:lang w:val="fr-CA"/>
        </w:rPr>
        <w:t xml:space="preserve">comme un projet, tout comme une préparation de programme de pays de </w:t>
      </w:r>
      <w:r w:rsidRPr="008F34C0">
        <w:rPr>
          <w:lang w:val="fr-CA"/>
        </w:rPr>
        <w:t>30</w:t>
      </w:r>
      <w:r>
        <w:rPr>
          <w:lang w:val="fr-CA"/>
        </w:rPr>
        <w:t> </w:t>
      </w:r>
      <w:r w:rsidRPr="008F34C0">
        <w:rPr>
          <w:lang w:val="fr-CA"/>
        </w:rPr>
        <w:t>000</w:t>
      </w:r>
      <w:r>
        <w:rPr>
          <w:lang w:val="fr-CA"/>
        </w:rPr>
        <w:t> $US</w:t>
      </w:r>
      <w:r w:rsidRPr="008F34C0">
        <w:rPr>
          <w:lang w:val="fr-CA"/>
        </w:rPr>
        <w:t xml:space="preserve">). </w:t>
      </w:r>
      <w:r>
        <w:rPr>
          <w:lang w:val="fr-CA"/>
        </w:rPr>
        <w:t>Les indicateurs clés du résumé annuel sont les suivants</w:t>
      </w:r>
      <w:r w:rsidRPr="008F34C0">
        <w:rPr>
          <w:lang w:val="fr-CA"/>
        </w:rPr>
        <w:t xml:space="preserve">: </w:t>
      </w:r>
      <w:r>
        <w:rPr>
          <w:lang w:val="fr-CA"/>
        </w:rPr>
        <w:t>le pourcentage de projets achevés</w:t>
      </w:r>
      <w:r w:rsidRPr="008F34C0">
        <w:rPr>
          <w:lang w:val="fr-CA"/>
        </w:rPr>
        <w:t xml:space="preserve">, </w:t>
      </w:r>
      <w:r>
        <w:rPr>
          <w:lang w:val="fr-CA"/>
        </w:rPr>
        <w:t>les SAO éliminées</w:t>
      </w:r>
      <w:r w:rsidRPr="008F34C0">
        <w:rPr>
          <w:lang w:val="fr-CA"/>
        </w:rPr>
        <w:t xml:space="preserve">, </w:t>
      </w:r>
      <w:r>
        <w:rPr>
          <w:lang w:val="fr-CA"/>
        </w:rPr>
        <w:t>et le pourcentage de fonds décaissés</w:t>
      </w:r>
      <w:r w:rsidRPr="008F34C0">
        <w:rPr>
          <w:lang w:val="fr-CA"/>
        </w:rPr>
        <w:t xml:space="preserve">. </w:t>
      </w:r>
      <w:r>
        <w:rPr>
          <w:lang w:val="fr-CA"/>
        </w:rPr>
        <w:t>Il existe trois types de décaissement</w:t>
      </w:r>
      <w:r w:rsidRPr="008F34C0">
        <w:rPr>
          <w:lang w:val="fr-CA"/>
        </w:rPr>
        <w:t>: dur</w:t>
      </w:r>
      <w:r>
        <w:rPr>
          <w:lang w:val="fr-CA"/>
        </w:rPr>
        <w:t>ant la mise en œuvre, après la mise en œuvre et financement rétroactif</w:t>
      </w:r>
      <w:r w:rsidRPr="008F34C0">
        <w:rPr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5FC9" w14:textId="77777777" w:rsidR="00752B73" w:rsidRPr="0033525D" w:rsidRDefault="00752B73"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/86/19</w:t>
    </w:r>
    <w:r>
      <w:fldChar w:fldCharType="end"/>
    </w:r>
  </w:p>
  <w:p w14:paraId="5AF76F45" w14:textId="77777777" w:rsidR="00752B73" w:rsidRPr="0033525D" w:rsidRDefault="00752B73"/>
  <w:p w14:paraId="61748E52" w14:textId="77777777" w:rsidR="00752B73" w:rsidRPr="0033525D" w:rsidRDefault="00752B7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4D5" w14:textId="77777777" w:rsidR="00752B73" w:rsidRPr="0033525D" w:rsidRDefault="00752B7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/86/19</w:t>
    </w:r>
    <w:r>
      <w:fldChar w:fldCharType="end"/>
    </w:r>
  </w:p>
  <w:p w14:paraId="27289B51" w14:textId="77777777" w:rsidR="00752B73" w:rsidRPr="0033525D" w:rsidRDefault="00752B73" w:rsidP="00A95667">
    <w:pPr>
      <w:jc w:val="right"/>
    </w:pPr>
  </w:p>
  <w:p w14:paraId="5BDB4765" w14:textId="77777777" w:rsidR="00752B73" w:rsidRPr="0033525D" w:rsidRDefault="00752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ACAF" w14:textId="77777777" w:rsidR="0081060C" w:rsidRDefault="008106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8554" w14:textId="54A8B962" w:rsidR="00752B73" w:rsidRPr="0033525D" w:rsidRDefault="00752B73"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/86/19</w:t>
    </w:r>
    <w:r>
      <w:fldChar w:fldCharType="end"/>
    </w:r>
  </w:p>
  <w:p w14:paraId="211C94D6" w14:textId="2B41BE24" w:rsidR="00752B73" w:rsidRDefault="00752B73">
    <w:r>
      <w:t>Annexe I</w:t>
    </w:r>
  </w:p>
  <w:p w14:paraId="60869EF2" w14:textId="77777777" w:rsidR="00752B73" w:rsidRPr="0033525D" w:rsidRDefault="00752B7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09622" w14:textId="77777777" w:rsidR="00752B73" w:rsidRPr="0033525D" w:rsidRDefault="00752B7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/86/19</w:t>
    </w:r>
    <w:r>
      <w:fldChar w:fldCharType="end"/>
    </w:r>
  </w:p>
  <w:p w14:paraId="499C847F" w14:textId="555362A8" w:rsidR="00752B73" w:rsidRDefault="00752B73" w:rsidP="00A95667">
    <w:pPr>
      <w:jc w:val="right"/>
    </w:pPr>
    <w:r>
      <w:t>Annexe I</w:t>
    </w:r>
  </w:p>
  <w:p w14:paraId="0695E8B8" w14:textId="7D1142B8" w:rsidR="00752B73" w:rsidRPr="0033525D" w:rsidRDefault="00752B7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9AB3" w14:textId="548EF0C4" w:rsidR="00752B73" w:rsidRPr="0033525D" w:rsidRDefault="00752B73" w:rsidP="00A95667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/86/19</w:t>
    </w:r>
    <w:r>
      <w:fldChar w:fldCharType="end"/>
    </w:r>
  </w:p>
  <w:p w14:paraId="3C22A204" w14:textId="1EC18C2C" w:rsidR="00752B73" w:rsidRPr="0033525D" w:rsidRDefault="00752B73" w:rsidP="00A95667">
    <w:pPr>
      <w:jc w:val="right"/>
    </w:pPr>
    <w:r>
      <w:t>Annexe I</w:t>
    </w:r>
  </w:p>
  <w:p w14:paraId="17AE36E4" w14:textId="77777777" w:rsidR="00752B73" w:rsidRDefault="00752B73" w:rsidP="00A95667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15FD" w14:textId="77777777" w:rsidR="00752B73" w:rsidRPr="0033525D" w:rsidRDefault="00752B73"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/86/19</w:t>
    </w:r>
    <w:r>
      <w:fldChar w:fldCharType="end"/>
    </w:r>
  </w:p>
  <w:p w14:paraId="2C63710A" w14:textId="47D818DE" w:rsidR="00752B73" w:rsidRDefault="00752B73">
    <w:r>
      <w:t>Annexe II</w:t>
    </w:r>
  </w:p>
  <w:p w14:paraId="7DF45649" w14:textId="77777777" w:rsidR="00752B73" w:rsidRPr="0033525D" w:rsidRDefault="00752B73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03B3" w14:textId="5118B99D" w:rsidR="00752B73" w:rsidRPr="0033525D" w:rsidRDefault="00752B7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/86/19</w:t>
    </w:r>
    <w:r>
      <w:fldChar w:fldCharType="end"/>
    </w:r>
  </w:p>
  <w:p w14:paraId="448D66CD" w14:textId="34F6F4A1" w:rsidR="00752B73" w:rsidRPr="0033525D" w:rsidRDefault="00752B73" w:rsidP="00631EA2">
    <w:pPr>
      <w:jc w:val="right"/>
    </w:pPr>
    <w:r>
      <w:t>Annexe II</w:t>
    </w:r>
  </w:p>
  <w:p w14:paraId="7FADA939" w14:textId="77777777" w:rsidR="00752B73" w:rsidRPr="0033525D" w:rsidRDefault="00752B7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14680" w14:textId="29DF0AFC" w:rsidR="00752B73" w:rsidRDefault="00752B73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/86/19</w:t>
    </w:r>
    <w:r>
      <w:fldChar w:fldCharType="end"/>
    </w:r>
  </w:p>
  <w:p w14:paraId="283A408B" w14:textId="0ECC1371" w:rsidR="00752B73" w:rsidRDefault="00752B73">
    <w:pPr>
      <w:jc w:val="right"/>
    </w:pPr>
    <w:r>
      <w:t>Annexe II</w:t>
    </w:r>
  </w:p>
  <w:p w14:paraId="5DCAD622" w14:textId="77777777" w:rsidR="00752B73" w:rsidRDefault="00752B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986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58BD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C213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DE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F25B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FE33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A74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2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56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06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03C1F7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659A0"/>
    <w:multiLevelType w:val="hybridMultilevel"/>
    <w:tmpl w:val="364C6D04"/>
    <w:lvl w:ilvl="0" w:tplc="0409001B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F5B39"/>
    <w:multiLevelType w:val="hybridMultilevel"/>
    <w:tmpl w:val="69F696DA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A67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15258F2"/>
    <w:multiLevelType w:val="multilevel"/>
    <w:tmpl w:val="F4F26F7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8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9" w15:restartNumberingAfterBreak="0">
    <w:nsid w:val="36481901"/>
    <w:multiLevelType w:val="multilevel"/>
    <w:tmpl w:val="F4F26F7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20" w15:restartNumberingAfterBreak="0">
    <w:nsid w:val="38AC57AE"/>
    <w:multiLevelType w:val="hybridMultilevel"/>
    <w:tmpl w:val="CB9EE472"/>
    <w:lvl w:ilvl="0" w:tplc="AF4EB31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414F23EA"/>
    <w:multiLevelType w:val="hybridMultilevel"/>
    <w:tmpl w:val="26804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C15EE6"/>
    <w:multiLevelType w:val="hybridMultilevel"/>
    <w:tmpl w:val="D9763666"/>
    <w:lvl w:ilvl="0" w:tplc="6832E58A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BE06D9F"/>
    <w:multiLevelType w:val="hybridMultilevel"/>
    <w:tmpl w:val="6A047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FA4157"/>
    <w:multiLevelType w:val="hybridMultilevel"/>
    <w:tmpl w:val="B3D6CE9C"/>
    <w:lvl w:ilvl="0" w:tplc="1B086A2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E79AE"/>
    <w:multiLevelType w:val="hybridMultilevel"/>
    <w:tmpl w:val="6ADE4D38"/>
    <w:lvl w:ilvl="0" w:tplc="E4AC52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3D4ADA"/>
    <w:multiLevelType w:val="hybridMultilevel"/>
    <w:tmpl w:val="325092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27CE2"/>
    <w:multiLevelType w:val="hybridMultilevel"/>
    <w:tmpl w:val="CB9EE472"/>
    <w:lvl w:ilvl="0" w:tplc="AF4EB31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7B6B0342"/>
    <w:multiLevelType w:val="hybridMultilevel"/>
    <w:tmpl w:val="4E127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24"/>
  </w:num>
  <w:num w:numId="19">
    <w:abstractNumId w:val="31"/>
  </w:num>
  <w:num w:numId="20">
    <w:abstractNumId w:val="18"/>
  </w:num>
  <w:num w:numId="21">
    <w:abstractNumId w:val="11"/>
  </w:num>
  <w:num w:numId="22">
    <w:abstractNumId w:val="13"/>
  </w:num>
  <w:num w:numId="23">
    <w:abstractNumId w:val="27"/>
  </w:num>
  <w:num w:numId="24">
    <w:abstractNumId w:val="23"/>
  </w:num>
  <w:num w:numId="25">
    <w:abstractNumId w:val="15"/>
  </w:num>
  <w:num w:numId="26">
    <w:abstractNumId w:val="25"/>
  </w:num>
  <w:num w:numId="27">
    <w:abstractNumId w:val="30"/>
  </w:num>
  <w:num w:numId="28">
    <w:abstractNumId w:val="26"/>
  </w:num>
  <w:num w:numId="29">
    <w:abstractNumId w:val="18"/>
    <w:lvlOverride w:ilvl="0">
      <w:startOverride w:val="1"/>
    </w:lvlOverride>
  </w:num>
  <w:num w:numId="30">
    <w:abstractNumId w:val="19"/>
  </w:num>
  <w:num w:numId="31">
    <w:abstractNumId w:val="17"/>
  </w:num>
  <w:num w:numId="32">
    <w:abstractNumId w:val="12"/>
  </w:num>
  <w:num w:numId="33">
    <w:abstractNumId w:val="29"/>
  </w:num>
  <w:num w:numId="34">
    <w:abstractNumId w:val="20"/>
  </w:num>
  <w:num w:numId="3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8"/>
    <w:rsid w:val="00014F20"/>
    <w:rsid w:val="0002410D"/>
    <w:rsid w:val="00055C7B"/>
    <w:rsid w:val="00085BAD"/>
    <w:rsid w:val="000A3C95"/>
    <w:rsid w:val="000A5A0B"/>
    <w:rsid w:val="000D0524"/>
    <w:rsid w:val="000D60BC"/>
    <w:rsid w:val="000E133D"/>
    <w:rsid w:val="000F6C8E"/>
    <w:rsid w:val="00125F83"/>
    <w:rsid w:val="00180937"/>
    <w:rsid w:val="00186935"/>
    <w:rsid w:val="001C3D0C"/>
    <w:rsid w:val="001D0731"/>
    <w:rsid w:val="001D4CE7"/>
    <w:rsid w:val="00230694"/>
    <w:rsid w:val="00265AF0"/>
    <w:rsid w:val="002857C1"/>
    <w:rsid w:val="002E1435"/>
    <w:rsid w:val="002E2617"/>
    <w:rsid w:val="002F0B57"/>
    <w:rsid w:val="002F5045"/>
    <w:rsid w:val="00305562"/>
    <w:rsid w:val="00305A80"/>
    <w:rsid w:val="003A0CA4"/>
    <w:rsid w:val="003A2969"/>
    <w:rsid w:val="003B4BAA"/>
    <w:rsid w:val="003F3D48"/>
    <w:rsid w:val="004368B1"/>
    <w:rsid w:val="00441083"/>
    <w:rsid w:val="004B2F21"/>
    <w:rsid w:val="004B456E"/>
    <w:rsid w:val="004C2C87"/>
    <w:rsid w:val="004E3A36"/>
    <w:rsid w:val="004F784B"/>
    <w:rsid w:val="005117C2"/>
    <w:rsid w:val="00523289"/>
    <w:rsid w:val="00524711"/>
    <w:rsid w:val="005632D7"/>
    <w:rsid w:val="005802EB"/>
    <w:rsid w:val="00584873"/>
    <w:rsid w:val="00591378"/>
    <w:rsid w:val="005B19ED"/>
    <w:rsid w:val="005B3CAD"/>
    <w:rsid w:val="005C278F"/>
    <w:rsid w:val="005E3C44"/>
    <w:rsid w:val="00605093"/>
    <w:rsid w:val="00631EA2"/>
    <w:rsid w:val="00646205"/>
    <w:rsid w:val="006A3A75"/>
    <w:rsid w:val="006B6E38"/>
    <w:rsid w:val="006D6EA5"/>
    <w:rsid w:val="00701316"/>
    <w:rsid w:val="007034FA"/>
    <w:rsid w:val="00717D3D"/>
    <w:rsid w:val="00752B73"/>
    <w:rsid w:val="0075750B"/>
    <w:rsid w:val="00763FDD"/>
    <w:rsid w:val="00787839"/>
    <w:rsid w:val="007D0F69"/>
    <w:rsid w:val="007D3649"/>
    <w:rsid w:val="007F102B"/>
    <w:rsid w:val="007F5D19"/>
    <w:rsid w:val="0080306B"/>
    <w:rsid w:val="00807EB8"/>
    <w:rsid w:val="0081060C"/>
    <w:rsid w:val="00812387"/>
    <w:rsid w:val="008202EA"/>
    <w:rsid w:val="008542F5"/>
    <w:rsid w:val="0087100D"/>
    <w:rsid w:val="00872638"/>
    <w:rsid w:val="008A31BD"/>
    <w:rsid w:val="008A5426"/>
    <w:rsid w:val="008E3A0C"/>
    <w:rsid w:val="008E4692"/>
    <w:rsid w:val="008F34C0"/>
    <w:rsid w:val="0091161A"/>
    <w:rsid w:val="009568BB"/>
    <w:rsid w:val="009666A1"/>
    <w:rsid w:val="00972E99"/>
    <w:rsid w:val="00981ABA"/>
    <w:rsid w:val="00983215"/>
    <w:rsid w:val="009A5180"/>
    <w:rsid w:val="009B12E8"/>
    <w:rsid w:val="009B6406"/>
    <w:rsid w:val="00A852A0"/>
    <w:rsid w:val="00A95667"/>
    <w:rsid w:val="00A96D92"/>
    <w:rsid w:val="00AC013C"/>
    <w:rsid w:val="00AC2152"/>
    <w:rsid w:val="00AE63D8"/>
    <w:rsid w:val="00AF6B9D"/>
    <w:rsid w:val="00B15D17"/>
    <w:rsid w:val="00B37E76"/>
    <w:rsid w:val="00B7636F"/>
    <w:rsid w:val="00B811F2"/>
    <w:rsid w:val="00B968EB"/>
    <w:rsid w:val="00BC3C7D"/>
    <w:rsid w:val="00BD7631"/>
    <w:rsid w:val="00BE7D87"/>
    <w:rsid w:val="00C27322"/>
    <w:rsid w:val="00C55280"/>
    <w:rsid w:val="00C6443E"/>
    <w:rsid w:val="00C84B88"/>
    <w:rsid w:val="00D0488E"/>
    <w:rsid w:val="00D21233"/>
    <w:rsid w:val="00D53E14"/>
    <w:rsid w:val="00D73876"/>
    <w:rsid w:val="00D7654A"/>
    <w:rsid w:val="00DB1D38"/>
    <w:rsid w:val="00DB4E64"/>
    <w:rsid w:val="00DB5177"/>
    <w:rsid w:val="00DC1F14"/>
    <w:rsid w:val="00DD3433"/>
    <w:rsid w:val="00DE2219"/>
    <w:rsid w:val="00E15C69"/>
    <w:rsid w:val="00E23135"/>
    <w:rsid w:val="00E348C6"/>
    <w:rsid w:val="00E54871"/>
    <w:rsid w:val="00E60D9C"/>
    <w:rsid w:val="00EB2067"/>
    <w:rsid w:val="00EC4208"/>
    <w:rsid w:val="00EE082B"/>
    <w:rsid w:val="00F21458"/>
    <w:rsid w:val="00F37667"/>
    <w:rsid w:val="00F37A42"/>
    <w:rsid w:val="00F557F5"/>
    <w:rsid w:val="00F63681"/>
    <w:rsid w:val="00FA4D4B"/>
    <w:rsid w:val="00FC0D87"/>
    <w:rsid w:val="00FC5578"/>
    <w:rsid w:val="00FD22FE"/>
    <w:rsid w:val="00FD79D6"/>
    <w:rsid w:val="00FE431D"/>
    <w:rsid w:val="00FE7F35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5B2D4D"/>
  <w15:docId w15:val="{CA563605-F001-4346-B6C6-12FD779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link w:val="Heading3Char3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link w:val="Heading4Char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pPr>
      <w:numPr>
        <w:numId w:val="16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uiPriority w:val="99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uiPriority w:val="99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uiPriority w:val="99"/>
    <w:semiHidden/>
    <w:pPr>
      <w:numPr>
        <w:numId w:val="17"/>
      </w:numPr>
    </w:pPr>
  </w:style>
  <w:style w:type="numbering" w:styleId="ArticleSection">
    <w:name w:val="Outline List 3"/>
    <w:basedOn w:val="NoList"/>
    <w:uiPriority w:val="99"/>
    <w:semiHidden/>
    <w:pPr>
      <w:numPr>
        <w:numId w:val="18"/>
      </w:numPr>
    </w:pPr>
  </w:style>
  <w:style w:type="paragraph" w:styleId="BlockText">
    <w:name w:val="Block Text"/>
    <w:basedOn w:val="Normal"/>
    <w:uiPriority w:val="99"/>
    <w:semiHidden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uiPriority w:val="99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link w:val="DateCha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uiPriority w:val="99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rsid w:val="000E133D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0E13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133D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0E13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133D"/>
    <w:rPr>
      <w:sz w:val="22"/>
      <w:szCs w:val="22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E133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133D"/>
    <w:rPr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0E13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133D"/>
    <w:rPr>
      <w:sz w:val="22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E133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133D"/>
    <w:rPr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0E13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133D"/>
    <w:rPr>
      <w:sz w:val="22"/>
      <w:szCs w:val="22"/>
      <w:lang w:val="en-GB"/>
    </w:rPr>
  </w:style>
  <w:style w:type="paragraph" w:styleId="Closing">
    <w:name w:val="Closing"/>
    <w:basedOn w:val="Normal"/>
    <w:link w:val="ClosingChar"/>
    <w:uiPriority w:val="99"/>
    <w:semiHidden/>
    <w:rsid w:val="000E133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133D"/>
    <w:rPr>
      <w:sz w:val="22"/>
      <w:szCs w:val="22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0E133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133D"/>
    <w:rPr>
      <w:sz w:val="22"/>
      <w:szCs w:val="22"/>
      <w:lang w:val="en-GB"/>
    </w:rPr>
  </w:style>
  <w:style w:type="character" w:styleId="Emphasis">
    <w:name w:val="Emphasis"/>
    <w:basedOn w:val="DefaultParagraphFont"/>
    <w:uiPriority w:val="99"/>
    <w:qFormat/>
    <w:rsid w:val="000E133D"/>
    <w:rPr>
      <w:i/>
      <w:iCs/>
    </w:rPr>
  </w:style>
  <w:style w:type="paragraph" w:styleId="EnvelopeAddress">
    <w:name w:val="envelope address"/>
    <w:basedOn w:val="Normal"/>
    <w:uiPriority w:val="99"/>
    <w:semiHidden/>
    <w:rsid w:val="000E133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semiHidden/>
    <w:rsid w:val="000E133D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0E133D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E133D"/>
  </w:style>
  <w:style w:type="paragraph" w:styleId="HTMLAddress">
    <w:name w:val="HTML Address"/>
    <w:basedOn w:val="Normal"/>
    <w:link w:val="HTMLAddressChar"/>
    <w:uiPriority w:val="99"/>
    <w:semiHidden/>
    <w:rsid w:val="000E13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133D"/>
    <w:rPr>
      <w:i/>
      <w:iCs/>
      <w:sz w:val="22"/>
      <w:szCs w:val="22"/>
      <w:lang w:val="en-GB"/>
    </w:rPr>
  </w:style>
  <w:style w:type="character" w:styleId="HTMLCite">
    <w:name w:val="HTML Cite"/>
    <w:basedOn w:val="DefaultParagraphFont"/>
    <w:uiPriority w:val="99"/>
    <w:semiHidden/>
    <w:rsid w:val="000E133D"/>
    <w:rPr>
      <w:i/>
      <w:iCs/>
    </w:rPr>
  </w:style>
  <w:style w:type="character" w:styleId="HTMLCode">
    <w:name w:val="HTML Code"/>
    <w:basedOn w:val="DefaultParagraphFont"/>
    <w:uiPriority w:val="99"/>
    <w:semiHidden/>
    <w:rsid w:val="000E133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E133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E133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E133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33D"/>
    <w:rPr>
      <w:rFonts w:ascii="Courier New" w:hAnsi="Courier New" w:cs="Courier New"/>
      <w:szCs w:val="22"/>
      <w:lang w:val="en-GB"/>
    </w:rPr>
  </w:style>
  <w:style w:type="character" w:styleId="HTMLSample">
    <w:name w:val="HTML Sample"/>
    <w:basedOn w:val="DefaultParagraphFont"/>
    <w:uiPriority w:val="99"/>
    <w:semiHidden/>
    <w:rsid w:val="000E133D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E133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E133D"/>
    <w:rPr>
      <w:i/>
      <w:iCs/>
    </w:rPr>
  </w:style>
  <w:style w:type="character" w:styleId="Hyperlink">
    <w:name w:val="Hyperlink"/>
    <w:basedOn w:val="DefaultParagraphFont"/>
    <w:uiPriority w:val="99"/>
    <w:semiHidden/>
    <w:rsid w:val="000E133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0E133D"/>
  </w:style>
  <w:style w:type="paragraph" w:styleId="List">
    <w:name w:val="List"/>
    <w:basedOn w:val="Normal"/>
    <w:uiPriority w:val="99"/>
    <w:semiHidden/>
    <w:rsid w:val="000E133D"/>
    <w:pPr>
      <w:ind w:left="360" w:hanging="360"/>
    </w:pPr>
  </w:style>
  <w:style w:type="paragraph" w:styleId="List2">
    <w:name w:val="List 2"/>
    <w:basedOn w:val="Normal"/>
    <w:uiPriority w:val="99"/>
    <w:semiHidden/>
    <w:rsid w:val="000E133D"/>
    <w:pPr>
      <w:ind w:left="720" w:hanging="360"/>
    </w:pPr>
  </w:style>
  <w:style w:type="paragraph" w:styleId="List3">
    <w:name w:val="List 3"/>
    <w:basedOn w:val="Normal"/>
    <w:uiPriority w:val="99"/>
    <w:semiHidden/>
    <w:rsid w:val="000E133D"/>
    <w:pPr>
      <w:ind w:left="1080" w:hanging="360"/>
    </w:pPr>
  </w:style>
  <w:style w:type="paragraph" w:styleId="List4">
    <w:name w:val="List 4"/>
    <w:basedOn w:val="Normal"/>
    <w:uiPriority w:val="99"/>
    <w:semiHidden/>
    <w:rsid w:val="000E133D"/>
    <w:pPr>
      <w:ind w:left="1440" w:hanging="360"/>
    </w:pPr>
  </w:style>
  <w:style w:type="paragraph" w:styleId="List5">
    <w:name w:val="List 5"/>
    <w:basedOn w:val="Normal"/>
    <w:uiPriority w:val="99"/>
    <w:semiHidden/>
    <w:rsid w:val="000E133D"/>
    <w:pPr>
      <w:ind w:left="1800" w:hanging="360"/>
    </w:pPr>
  </w:style>
  <w:style w:type="paragraph" w:styleId="ListBullet">
    <w:name w:val="List Bullet"/>
    <w:basedOn w:val="Normal"/>
    <w:autoRedefine/>
    <w:uiPriority w:val="99"/>
    <w:semiHidden/>
    <w:rsid w:val="000E133D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rsid w:val="000E133D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semiHidden/>
    <w:rsid w:val="000E133D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semiHidden/>
    <w:rsid w:val="000E133D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semiHidden/>
    <w:rsid w:val="000E133D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0E133D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0E133D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0E133D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0E133D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0E133D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0E133D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0E133D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0E133D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semiHidden/>
    <w:rsid w:val="000E133D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semiHidden/>
    <w:rsid w:val="000E133D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uiPriority w:val="99"/>
    <w:semiHidden/>
    <w:rsid w:val="000E1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133D"/>
    <w:rPr>
      <w:rFonts w:ascii="Arial" w:hAnsi="Arial" w:cs="Arial"/>
      <w:sz w:val="22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0E133D"/>
    <w:rPr>
      <w:szCs w:val="24"/>
    </w:rPr>
  </w:style>
  <w:style w:type="paragraph" w:styleId="NormalIndent">
    <w:name w:val="Normal Indent"/>
    <w:basedOn w:val="Normal"/>
    <w:uiPriority w:val="99"/>
    <w:semiHidden/>
    <w:rsid w:val="000E133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E13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133D"/>
    <w:rPr>
      <w:sz w:val="22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E13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133D"/>
    <w:rPr>
      <w:sz w:val="22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0E133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133D"/>
    <w:rPr>
      <w:sz w:val="22"/>
      <w:szCs w:val="22"/>
      <w:lang w:val="en-GB"/>
    </w:rPr>
  </w:style>
  <w:style w:type="character" w:styleId="Strong">
    <w:name w:val="Strong"/>
    <w:basedOn w:val="DefaultParagraphFont"/>
    <w:uiPriority w:val="99"/>
    <w:qFormat/>
    <w:rsid w:val="000E133D"/>
    <w:rPr>
      <w:b/>
      <w:bCs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0E133D"/>
    <w:rPr>
      <w:sz w:val="22"/>
      <w:szCs w:val="22"/>
      <w:lang w:val="en-GB"/>
    </w:rPr>
  </w:style>
  <w:style w:type="character" w:customStyle="1" w:styleId="Heading3Char3">
    <w:name w:val="Heading 3 Char3"/>
    <w:aliases w:val="Char Char3,Heading 3 Char Char2,Char Char Char2,Heading 3 Char1 Char1,Heading 3 Char Char Char1,Char Char Char Char1,Char Char1 Char1,Heading 3 Char1 Char Char,Heading 3 Char Char Char Char,Char Char Char Char Char,Char Char1 Char Char"/>
    <w:basedOn w:val="DefaultParagraphFont"/>
    <w:link w:val="Heading3"/>
    <w:rsid w:val="000E133D"/>
    <w:rPr>
      <w:sz w:val="22"/>
      <w:szCs w:val="22"/>
      <w:lang w:val="en-GB"/>
    </w:rPr>
  </w:style>
  <w:style w:type="character" w:customStyle="1" w:styleId="Heading4Char">
    <w:name w:val="Heading 4 Char"/>
    <w:aliases w:val="Heading 11 Char,para 4 Char,Título 41 Char,heading 4 Char,Heading 41 Char"/>
    <w:basedOn w:val="DefaultParagraphFont"/>
    <w:link w:val="Heading4"/>
    <w:rsid w:val="000E133D"/>
    <w:rPr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0E133D"/>
    <w:rPr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E133D"/>
    <w:rPr>
      <w:rFonts w:ascii="Arial" w:hAnsi="Arial"/>
      <w:i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E133D"/>
    <w:rPr>
      <w:rFonts w:ascii="Arial" w:hAnsi="Arial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0E133D"/>
    <w:rPr>
      <w:b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0E133D"/>
    <w:rPr>
      <w:rFonts w:ascii="Arial" w:hAnsi="Arial"/>
      <w:i/>
      <w:sz w:val="18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0E133D"/>
    <w:rPr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133D"/>
    <w:rPr>
      <w:sz w:val="16"/>
      <w:szCs w:val="16"/>
      <w:lang w:val="en-GB"/>
    </w:rPr>
  </w:style>
  <w:style w:type="character" w:customStyle="1" w:styleId="BodyText2Char1">
    <w:name w:val="Body Text 2 Char1"/>
    <w:basedOn w:val="DefaultParagraphFont"/>
    <w:uiPriority w:val="99"/>
    <w:semiHidden/>
    <w:rsid w:val="000E133D"/>
    <w:rPr>
      <w:lang w:val="en-GB"/>
    </w:rPr>
  </w:style>
  <w:style w:type="character" w:customStyle="1" w:styleId="BodyText2Char2">
    <w:name w:val="Body Text 2 Char2"/>
    <w:basedOn w:val="DefaultParagraphFont"/>
    <w:uiPriority w:val="99"/>
    <w:semiHidden/>
    <w:rsid w:val="000E133D"/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133D"/>
    <w:rPr>
      <w:sz w:val="16"/>
      <w:szCs w:val="16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33D"/>
    <w:rPr>
      <w:rFonts w:ascii="Courier New" w:hAnsi="Courier New" w:cs="Courier New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0E133D"/>
    <w:rPr>
      <w:rFonts w:ascii="Arial" w:hAnsi="Arial" w:cs="Arial"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0E133D"/>
    <w:rPr>
      <w:rFonts w:ascii="Arial" w:hAnsi="Arial" w:cs="Arial"/>
      <w:b/>
      <w:bCs/>
      <w:kern w:val="28"/>
      <w:sz w:val="22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0E133D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E133D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en-CA"/>
    </w:rPr>
  </w:style>
  <w:style w:type="paragraph" w:customStyle="1" w:styleId="xl74">
    <w:name w:val="xl74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75">
    <w:name w:val="xl75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76">
    <w:name w:val="xl76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77">
    <w:name w:val="xl77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78">
    <w:name w:val="xl78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79">
    <w:name w:val="xl79"/>
    <w:basedOn w:val="Normal"/>
    <w:rsid w:val="000E1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/>
    </w:rPr>
  </w:style>
  <w:style w:type="paragraph" w:customStyle="1" w:styleId="xl80">
    <w:name w:val="xl80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81">
    <w:name w:val="xl81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82">
    <w:name w:val="xl82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83">
    <w:name w:val="xl83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84">
    <w:name w:val="xl84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  <w:lang w:val="en-US"/>
    </w:rPr>
  </w:style>
  <w:style w:type="paragraph" w:customStyle="1" w:styleId="xl85">
    <w:name w:val="xl85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16"/>
      <w:szCs w:val="16"/>
      <w:lang w:val="en-US"/>
    </w:rPr>
  </w:style>
  <w:style w:type="paragraph" w:customStyle="1" w:styleId="xl86">
    <w:name w:val="xl86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  <w:lang w:val="en-US"/>
    </w:rPr>
  </w:style>
  <w:style w:type="paragraph" w:customStyle="1" w:styleId="xl87">
    <w:name w:val="xl87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  <w:lang w:val="en-US"/>
    </w:rPr>
  </w:style>
  <w:style w:type="paragraph" w:customStyle="1" w:styleId="xl88">
    <w:name w:val="xl88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  <w:lang w:val="en-US"/>
    </w:rPr>
  </w:style>
  <w:style w:type="paragraph" w:customStyle="1" w:styleId="xl89">
    <w:name w:val="xl89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16"/>
      <w:szCs w:val="16"/>
      <w:lang w:val="en-US"/>
    </w:rPr>
  </w:style>
  <w:style w:type="paragraph" w:customStyle="1" w:styleId="xl73">
    <w:name w:val="xl73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US"/>
    </w:rPr>
  </w:style>
  <w:style w:type="paragraph" w:customStyle="1" w:styleId="xl91">
    <w:name w:val="xl91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  <w:lang w:val="en-US"/>
    </w:rPr>
  </w:style>
  <w:style w:type="paragraph" w:customStyle="1" w:styleId="xl92">
    <w:name w:val="xl92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  <w:lang w:val="en-US"/>
    </w:rPr>
  </w:style>
  <w:style w:type="paragraph" w:customStyle="1" w:styleId="xl71">
    <w:name w:val="xl71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  <w:lang w:val="en-CA" w:eastAsia="en-CA"/>
    </w:rPr>
  </w:style>
  <w:style w:type="paragraph" w:customStyle="1" w:styleId="xl72">
    <w:name w:val="xl72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CA" w:eastAsia="en-CA"/>
    </w:rPr>
  </w:style>
  <w:style w:type="paragraph" w:customStyle="1" w:styleId="xl93">
    <w:name w:val="xl93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  <w:lang w:val="en-CA" w:eastAsia="en-CA"/>
    </w:rPr>
  </w:style>
  <w:style w:type="paragraph" w:customStyle="1" w:styleId="xl94">
    <w:name w:val="xl94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16"/>
      <w:szCs w:val="16"/>
      <w:lang w:val="en-CA" w:eastAsia="en-CA"/>
    </w:rPr>
  </w:style>
  <w:style w:type="paragraph" w:customStyle="1" w:styleId="xl95">
    <w:name w:val="xl95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  <w:lang w:val="en-CA" w:eastAsia="en-CA"/>
    </w:rPr>
  </w:style>
  <w:style w:type="paragraph" w:customStyle="1" w:styleId="xl96">
    <w:name w:val="xl96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  <w:lang w:val="en-CA" w:eastAsia="en-CA"/>
    </w:rPr>
  </w:style>
  <w:style w:type="paragraph" w:customStyle="1" w:styleId="xl97">
    <w:name w:val="xl97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  <w:lang w:val="en-CA" w:eastAsia="en-CA"/>
    </w:rPr>
  </w:style>
  <w:style w:type="paragraph" w:customStyle="1" w:styleId="xl98">
    <w:name w:val="xl98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  <w:lang w:val="en-CA" w:eastAsia="en-CA"/>
    </w:rPr>
  </w:style>
  <w:style w:type="paragraph" w:customStyle="1" w:styleId="xl99">
    <w:name w:val="xl99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  <w:lang w:val="en-CA" w:eastAsia="en-CA"/>
    </w:rPr>
  </w:style>
  <w:style w:type="paragraph" w:customStyle="1" w:styleId="xl100">
    <w:name w:val="xl100"/>
    <w:basedOn w:val="Normal"/>
    <w:rsid w:val="000E1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  <w:lang w:val="en-CA" w:eastAsia="en-CA"/>
    </w:rPr>
  </w:style>
  <w:style w:type="character" w:styleId="FootnoteReference">
    <w:name w:val="footnote reference"/>
    <w:aliases w:val="Footnote text,16 Point,Superscript 6 Point,Footnote Text1,Footnote Text2"/>
    <w:rsid w:val="000E133D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FootnoteText">
    <w:name w:val="footnote text"/>
    <w:aliases w:val="Fußnotentextf, Char1, Char1 Char Char,Char1,Char1 Char Char"/>
    <w:basedOn w:val="Normal"/>
    <w:link w:val="FootnoteTextChar"/>
    <w:qFormat/>
    <w:rsid w:val="000E133D"/>
    <w:pPr>
      <w:spacing w:after="120"/>
      <w:ind w:left="432" w:hanging="432"/>
      <w:jc w:val="left"/>
    </w:pPr>
    <w:rPr>
      <w:sz w:val="20"/>
      <w:szCs w:val="20"/>
      <w:lang w:val="en-US" w:eastAsia="fr-FR"/>
    </w:rPr>
  </w:style>
  <w:style w:type="character" w:customStyle="1" w:styleId="FootnoteTextChar">
    <w:name w:val="Footnote Text Char"/>
    <w:aliases w:val="Fußnotentextf Char, Char1 Char, Char1 Char Char Char,Char1 Char,Char1 Char Char Char"/>
    <w:basedOn w:val="DefaultParagraphFont"/>
    <w:link w:val="FootnoteText"/>
    <w:rsid w:val="000E133D"/>
    <w:rPr>
      <w:lang w:eastAsia="fr-FR"/>
    </w:rPr>
  </w:style>
  <w:style w:type="paragraph" w:customStyle="1" w:styleId="Heading">
    <w:name w:val="Heading"/>
    <w:basedOn w:val="Header"/>
    <w:next w:val="Header"/>
    <w:rsid w:val="000E133D"/>
    <w:pPr>
      <w:tabs>
        <w:tab w:val="clear" w:pos="4320"/>
        <w:tab w:val="clear" w:pos="8640"/>
      </w:tabs>
    </w:pPr>
    <w:rPr>
      <w:b/>
      <w:bCs/>
      <w:sz w:val="24"/>
      <w:szCs w:val="24"/>
      <w:u w:val="single"/>
      <w:lang w:val="en-US"/>
    </w:rPr>
  </w:style>
  <w:style w:type="paragraph" w:customStyle="1" w:styleId="a--">
    <w:name w:val="a-(-)"/>
    <w:basedOn w:val="Normal"/>
    <w:rsid w:val="000E133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</w:pPr>
    <w:rPr>
      <w:b/>
      <w:bCs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0E133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UYEN\AppData\Local\Temp\F86-Template-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UNEP/OzL.Pro/ExCom/86/19</Document_x0020_Number>
    <Posted_x0020_after_x0020_IAP xmlns="5ee7b459-7658-46de-b3a9-b270cabc2a0e">true</Posted_x0020_after_x0020_IAP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75DA1A9724F448487545E7E03A732" ma:contentTypeVersion="3" ma:contentTypeDescription="Create a new document." ma:contentTypeScope="" ma:versionID="da5691930c19fb9c2ca01aa0b69eb0c3">
  <xsd:schema xmlns:xsd="http://www.w3.org/2001/XMLSchema" xmlns:p="http://schemas.microsoft.com/office/2006/metadata/properties" xmlns:ns2="8662b4aa-cf42-4f00-a3f0-9d3b4acad230" xmlns:ns3="310e179b-1379-4e79-9b74-d5a32b1812d3" xmlns:ns4="5ee7b459-7658-46de-b3a9-b270cabc2a0e" targetNamespace="http://schemas.microsoft.com/office/2006/metadata/properties" ma:root="true" ma:fieldsID="1405f2c8d337e7b86d2f79585a06f983" ns2:_="" ns3:_="" ns4:_="">
    <xsd:import namespace="8662b4aa-cf42-4f00-a3f0-9d3b4acad230"/>
    <xsd:import namespace="310e179b-1379-4e79-9b74-d5a32b1812d3"/>
    <xsd:import namespace="5ee7b459-7658-46de-b3a9-b270cabc2a0e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6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5ee7b459-7658-46de-b3a9-b270cabc2a0e" elementFormDefault="qualified">
    <xsd:import namespace="http://schemas.microsoft.com/office/2006/documentManagement/types"/>
    <xsd:element name="Posted_x0020_after_x0020_IAP" ma:index="10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D3368-08D9-4ADB-AAAF-41100701F7D0}"/>
</file>

<file path=customXml/itemProps2.xml><?xml version="1.0" encoding="utf-8"?>
<ds:datastoreItem xmlns:ds="http://schemas.openxmlformats.org/officeDocument/2006/customXml" ds:itemID="{2AC83603-0464-4979-81CB-A6FDCEC21D83}"/>
</file>

<file path=customXml/itemProps3.xml><?xml version="1.0" encoding="utf-8"?>
<ds:datastoreItem xmlns:ds="http://schemas.openxmlformats.org/officeDocument/2006/customXml" ds:itemID="{836F6B11-4045-4701-925F-B67925F9D0B5}"/>
</file>

<file path=customXml/itemProps4.xml><?xml version="1.0" encoding="utf-8"?>
<ds:datastoreItem xmlns:ds="http://schemas.openxmlformats.org/officeDocument/2006/customXml" ds:itemID="{777A97D2-E537-420B-BF4C-07BD1503F433}"/>
</file>

<file path=docProps/app.xml><?xml version="1.0" encoding="utf-8"?>
<Properties xmlns="http://schemas.openxmlformats.org/officeDocument/2006/extended-properties" xmlns:vt="http://schemas.openxmlformats.org/officeDocument/2006/docPropsVTypes">
  <Template>F86-Template-1</Template>
  <TotalTime>141</TotalTime>
  <Pages>25</Pages>
  <Words>8828</Words>
  <Characters>44574</Characters>
  <Application>Microsoft Office Word</Application>
  <DocSecurity>0</DocSecurity>
  <Lines>371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périodique de l’ONUDI au 31 décembre 2019</vt:lpstr>
      <vt:lpstr>Ordre du jour provisoire</vt:lpstr>
    </vt:vector>
  </TitlesOfParts>
  <Company>UNMFS</Company>
  <LinksUpToDate>false</LinksUpToDate>
  <CharactersWithSpaces>53296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périodique de l’ONUDI au 31 décembre 2019</dc:title>
  <dc:creator/>
  <cp:lastModifiedBy>HB</cp:lastModifiedBy>
  <cp:revision>13</cp:revision>
  <cp:lastPrinted>2001-05-26T16:40:00Z</cp:lastPrinted>
  <dcterms:created xsi:type="dcterms:W3CDTF">2020-11-08T06:35:00Z</dcterms:created>
  <dcterms:modified xsi:type="dcterms:W3CDTF">2020-11-18T04:09:00Z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UNEP/OzL.Pro/ExCom/86/19</vt:lpwstr>
  </property>
  <property fmtid="{D5CDD505-2E9C-101B-9397-08002B2CF9AE}" pid="3" name="Revision date">
    <vt:lpwstr>10/23/2020</vt:lpwstr>
  </property>
  <property fmtid="{D5CDD505-2E9C-101B-9397-08002B2CF9AE}" pid="4" name="ContentTypeId">
    <vt:lpwstr>0x01010021475DA1A9724F448487545E7E03A732</vt:lpwstr>
  </property>
</Properties>
</file>