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7B7C04" w14:paraId="573F6042" w14:textId="77777777" w:rsidTr="007B7C04">
        <w:trPr>
          <w:trHeight w:val="720"/>
        </w:trPr>
        <w:tc>
          <w:tcPr>
            <w:tcW w:w="7061" w:type="dxa"/>
            <w:gridSpan w:val="2"/>
            <w:tcBorders>
              <w:bottom w:val="single" w:sz="18" w:space="0" w:color="auto"/>
            </w:tcBorders>
          </w:tcPr>
          <w:p w14:paraId="08BDFA37" w14:textId="77777777" w:rsidR="007B7C04" w:rsidRDefault="007B7C04" w:rsidP="007B7C0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rPr>
            </w:pPr>
            <w:r>
              <w:rPr>
                <w:rFonts w:ascii="Univers" w:hAnsi="Univers"/>
                <w:b/>
                <w:sz w:val="28"/>
                <w:szCs w:val="28"/>
              </w:rPr>
              <w:t>NATIONS</w:t>
            </w:r>
          </w:p>
          <w:p w14:paraId="7B34BBA9" w14:textId="77777777" w:rsidR="007B7C04" w:rsidRDefault="007B7C04" w:rsidP="007B7C0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 xml:space="preserve">UNIES </w:t>
            </w:r>
          </w:p>
        </w:tc>
        <w:tc>
          <w:tcPr>
            <w:tcW w:w="3544" w:type="dxa"/>
            <w:tcBorders>
              <w:bottom w:val="single" w:sz="18" w:space="0" w:color="auto"/>
            </w:tcBorders>
          </w:tcPr>
          <w:p w14:paraId="31103EA0" w14:textId="77777777" w:rsidR="007B7C04" w:rsidRDefault="007B7C04" w:rsidP="007B7C04">
            <w:pPr>
              <w:tabs>
                <w:tab w:val="left" w:pos="3010"/>
              </w:tabs>
              <w:jc w:val="center"/>
              <w:rPr>
                <w:sz w:val="52"/>
                <w:szCs w:val="52"/>
              </w:rPr>
            </w:pPr>
            <w:r>
              <w:rPr>
                <w:rFonts w:ascii="Univers Bold" w:hAnsi="Univers Bold"/>
                <w:b/>
                <w:sz w:val="72"/>
                <w:lang w:val="fr-CA"/>
              </w:rPr>
              <w:t xml:space="preserve"> EP</w:t>
            </w:r>
          </w:p>
        </w:tc>
      </w:tr>
      <w:tr w:rsidR="007B7C04" w14:paraId="24A1AC07" w14:textId="77777777" w:rsidTr="007B7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355C9F8A" w14:textId="77777777" w:rsidR="007B7C04" w:rsidRDefault="007B7C04" w:rsidP="007B7C04">
            <w:pPr>
              <w:spacing w:before="120"/>
            </w:pPr>
            <w:r>
              <w:rPr>
                <w:noProof/>
                <w:lang w:val="en-US"/>
              </w:rPr>
              <w:drawing>
                <wp:anchor distT="0" distB="0" distL="114300" distR="114300" simplePos="0" relativeHeight="251659264" behindDoc="0" locked="0" layoutInCell="1" allowOverlap="1" wp14:anchorId="37BD5C6A" wp14:editId="7E3AFD33">
                  <wp:simplePos x="0" y="0"/>
                  <wp:positionH relativeFrom="column">
                    <wp:posOffset>348070</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Pr>
                <w:noProof/>
                <w:lang w:val="en-US"/>
              </w:rPr>
              <w:drawing>
                <wp:anchor distT="0" distB="0" distL="114300" distR="114300" simplePos="0" relativeHeight="251660288" behindDoc="1" locked="0" layoutInCell="0" allowOverlap="1" wp14:anchorId="6D117B35" wp14:editId="52B08FD2">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14:paraId="0E9B2325" w14:textId="77777777" w:rsidR="002867A7" w:rsidRDefault="002867A7" w:rsidP="007B7C0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14:paraId="3D6149A0" w14:textId="5B0FF79D" w:rsidR="007B7C04" w:rsidRDefault="007B7C04" w:rsidP="007B7C0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Pr>
                <w:rFonts w:ascii="Univers" w:hAnsi="Univers"/>
                <w:b/>
                <w:sz w:val="32"/>
                <w:lang w:val="fr-CA"/>
              </w:rPr>
              <w:t>Programme des</w:t>
            </w:r>
          </w:p>
          <w:p w14:paraId="58524675" w14:textId="77777777" w:rsidR="007B7C04" w:rsidRDefault="007B7C04" w:rsidP="007B7C04">
            <w:pPr>
              <w:rPr>
                <w:rFonts w:ascii="Univers" w:hAnsi="Univers"/>
                <w:b/>
                <w:sz w:val="32"/>
                <w:lang w:val="fr-CA"/>
              </w:rPr>
            </w:pPr>
            <w:r>
              <w:rPr>
                <w:rFonts w:ascii="Univers" w:hAnsi="Univers"/>
                <w:b/>
                <w:sz w:val="32"/>
                <w:lang w:val="fr-CA"/>
              </w:rPr>
              <w:t>Nations Unies pour</w:t>
            </w:r>
          </w:p>
          <w:p w14:paraId="6765CD58" w14:textId="77777777" w:rsidR="007B7C04" w:rsidRDefault="007B7C04" w:rsidP="007B7C04">
            <w:pPr>
              <w:rPr>
                <w:rFonts w:ascii="Univers" w:hAnsi="Univers"/>
                <w:b/>
                <w:sz w:val="32"/>
                <w:lang w:val="fr-CA"/>
              </w:rPr>
            </w:pPr>
            <w:r>
              <w:rPr>
                <w:rFonts w:ascii="Univers" w:hAnsi="Univers"/>
                <w:b/>
                <w:sz w:val="32"/>
                <w:lang w:val="fr-CA"/>
              </w:rPr>
              <w:t>l’environnement</w:t>
            </w:r>
          </w:p>
          <w:p w14:paraId="478396D0" w14:textId="77777777" w:rsidR="007B7C04" w:rsidRDefault="007B7C04" w:rsidP="007B7C04">
            <w:pPr>
              <w:spacing w:before="720"/>
              <w:ind w:left="158"/>
              <w:rPr>
                <w:lang w:val="fr-FR"/>
              </w:rPr>
            </w:pPr>
            <w:r>
              <w:rPr>
                <w:lang w:val="fr-FR"/>
              </w:rPr>
              <w:t xml:space="preserve"> </w:t>
            </w:r>
          </w:p>
        </w:tc>
        <w:tc>
          <w:tcPr>
            <w:tcW w:w="3544" w:type="dxa"/>
            <w:tcBorders>
              <w:top w:val="nil"/>
              <w:left w:val="nil"/>
              <w:bottom w:val="single" w:sz="36" w:space="0" w:color="auto"/>
              <w:right w:val="nil"/>
            </w:tcBorders>
          </w:tcPr>
          <w:p w14:paraId="1E3D8E58" w14:textId="77777777" w:rsidR="007B7C04" w:rsidRPr="00C22A06" w:rsidRDefault="007B7C04" w:rsidP="007B7C04">
            <w:pPr>
              <w:rPr>
                <w:lang w:val="fr-FR"/>
              </w:rPr>
            </w:pPr>
          </w:p>
          <w:p w14:paraId="3A8A8535" w14:textId="77777777" w:rsidR="007B7C04" w:rsidRPr="00C22A06" w:rsidRDefault="007B7C04" w:rsidP="007B7C04">
            <w:pPr>
              <w:rPr>
                <w:lang w:val="fr-FR"/>
              </w:rPr>
            </w:pPr>
            <w:r w:rsidRPr="00C22A06">
              <w:rPr>
                <w:lang w:val="fr-FR"/>
              </w:rPr>
              <w:t>Distr.</w:t>
            </w:r>
          </w:p>
          <w:p w14:paraId="6F2527C7" w14:textId="77777777" w:rsidR="007B7C04" w:rsidRPr="00C22A06" w:rsidRDefault="007B7C04" w:rsidP="007B7C04">
            <w:pPr>
              <w:rPr>
                <w:lang w:val="fr-FR"/>
              </w:rPr>
            </w:pPr>
            <w:r w:rsidRPr="00C22A06">
              <w:rPr>
                <w:lang w:val="fr-FR"/>
              </w:rPr>
              <w:t>GÉNÉRALE</w:t>
            </w:r>
          </w:p>
          <w:p w14:paraId="7F740236" w14:textId="77777777" w:rsidR="007B7C04" w:rsidRPr="00C22A06" w:rsidRDefault="007B7C04" w:rsidP="007B7C04">
            <w:pPr>
              <w:rPr>
                <w:lang w:val="fr-FR"/>
              </w:rPr>
            </w:pPr>
          </w:p>
          <w:p w14:paraId="4A282784" w14:textId="3F83A2C3" w:rsidR="007B7C04" w:rsidRPr="00C22A06" w:rsidRDefault="007B7C04" w:rsidP="007B7C04">
            <w:pPr>
              <w:rPr>
                <w:lang w:val="fr-FR"/>
              </w:rPr>
            </w:pPr>
            <w:r w:rsidRPr="00C22A06">
              <w:rPr>
                <w:lang w:val="fr-FR"/>
              </w:rPr>
              <w:fldChar w:fldCharType="begin"/>
            </w:r>
            <w:r w:rsidRPr="00C22A06">
              <w:rPr>
                <w:lang w:val="fr-FR"/>
              </w:rPr>
              <w:instrText xml:space="preserve"> DOCPROPERTY "Document number"  \* MERGEFORMAT </w:instrText>
            </w:r>
            <w:r w:rsidRPr="00C22A06">
              <w:rPr>
                <w:lang w:val="fr-FR"/>
              </w:rPr>
              <w:fldChar w:fldCharType="separate"/>
            </w:r>
            <w:r w:rsidRPr="00C22A06">
              <w:rPr>
                <w:lang w:val="fr-FR"/>
              </w:rPr>
              <w:t>UNEP/OzL.Pro/ExCom/86/</w:t>
            </w:r>
            <w:r>
              <w:rPr>
                <w:lang w:val="fr-FR"/>
              </w:rPr>
              <w:t>20</w:t>
            </w:r>
            <w:r w:rsidRPr="00C22A06">
              <w:rPr>
                <w:lang w:val="fr-FR"/>
              </w:rPr>
              <w:fldChar w:fldCharType="end"/>
            </w:r>
          </w:p>
          <w:p w14:paraId="0180D783" w14:textId="77777777" w:rsidR="007B7C04" w:rsidRPr="00C22A06" w:rsidRDefault="007B7C04" w:rsidP="007B7C04">
            <w:pPr>
              <w:rPr>
                <w:lang w:val="fr-FR"/>
              </w:rPr>
            </w:pPr>
            <w:r w:rsidRPr="00C22A06">
              <w:rPr>
                <w:lang w:val="fr-FR"/>
              </w:rPr>
              <w:fldChar w:fldCharType="begin"/>
            </w:r>
            <w:r w:rsidRPr="00C22A06">
              <w:rPr>
                <w:lang w:val="fr-FR"/>
              </w:rPr>
              <w:instrText xml:space="preserve"> DOCPROPERTY "Revision date" \@ "d MMMM YYYY"  \* MERGEFORMAT </w:instrText>
            </w:r>
            <w:r w:rsidRPr="00C22A06">
              <w:rPr>
                <w:lang w:val="fr-FR"/>
              </w:rPr>
              <w:fldChar w:fldCharType="separate"/>
            </w:r>
            <w:r w:rsidRPr="00C22A06">
              <w:rPr>
                <w:lang w:val="fr-FR"/>
              </w:rPr>
              <w:t>2</w:t>
            </w:r>
            <w:r>
              <w:rPr>
                <w:lang w:val="fr-FR"/>
              </w:rPr>
              <w:t>3</w:t>
            </w:r>
            <w:r w:rsidRPr="00C22A06">
              <w:rPr>
                <w:lang w:val="fr-FR"/>
              </w:rPr>
              <w:t xml:space="preserve"> octobre 2020</w:t>
            </w:r>
            <w:r w:rsidRPr="00C22A06">
              <w:rPr>
                <w:lang w:val="fr-FR"/>
              </w:rPr>
              <w:fldChar w:fldCharType="end"/>
            </w:r>
          </w:p>
          <w:p w14:paraId="46D866ED" w14:textId="77777777" w:rsidR="007B7C04" w:rsidRPr="00C22A06" w:rsidRDefault="007B7C04" w:rsidP="007B7C04">
            <w:pPr>
              <w:rPr>
                <w:caps/>
                <w:lang w:val="fr-FR"/>
              </w:rPr>
            </w:pPr>
            <w:r w:rsidRPr="00C22A06">
              <w:rPr>
                <w:caps/>
                <w:lang w:val="fr-FR"/>
              </w:rPr>
              <w:br/>
              <w:t>FRANÇAIS</w:t>
            </w:r>
          </w:p>
          <w:p w14:paraId="76F15DA0" w14:textId="77777777" w:rsidR="007B7C04" w:rsidRPr="00C22A06" w:rsidRDefault="007B7C04" w:rsidP="007B7C04">
            <w:pPr>
              <w:rPr>
                <w:lang w:val="fr-FR"/>
              </w:rPr>
            </w:pPr>
            <w:r w:rsidRPr="00C22A06">
              <w:rPr>
                <w:lang w:val="fr-FR"/>
              </w:rPr>
              <w:t>ORIGINAL : ANGLAIS</w:t>
            </w:r>
          </w:p>
        </w:tc>
      </w:tr>
    </w:tbl>
    <w:p w14:paraId="69514768" w14:textId="77777777" w:rsidR="007B7C04" w:rsidRDefault="007B7C04" w:rsidP="007B7C04">
      <w:pPr>
        <w:jc w:val="left"/>
        <w:rPr>
          <w:lang w:val="fr-CA"/>
        </w:rPr>
      </w:pPr>
    </w:p>
    <w:p w14:paraId="6E2D49D4" w14:textId="77777777" w:rsidR="007B7C04" w:rsidRPr="00C52326" w:rsidRDefault="007B7C04" w:rsidP="007B7C04">
      <w:pPr>
        <w:jc w:val="left"/>
        <w:rPr>
          <w:lang w:val="fr-CA"/>
        </w:rPr>
      </w:pPr>
      <w:r w:rsidRPr="0067149D">
        <w:rPr>
          <w:lang w:val="fr-FR"/>
        </w:rPr>
        <w:t xml:space="preserve">COMITÉ EXÉCUTIF </w:t>
      </w:r>
      <w:r w:rsidRPr="0067149D">
        <w:rPr>
          <w:lang w:val="fr-FR"/>
        </w:rPr>
        <w:br/>
      </w:r>
      <w:r>
        <w:rPr>
          <w:lang w:val="fr-FR"/>
        </w:rPr>
        <w:t> </w:t>
      </w:r>
      <w:r w:rsidRPr="0067149D">
        <w:rPr>
          <w:lang w:val="fr-FR"/>
        </w:rPr>
        <w:t xml:space="preserve">DU FONDS MULTILATÉRAL AUX FINS </w:t>
      </w:r>
      <w:r w:rsidRPr="0067149D">
        <w:rPr>
          <w:lang w:val="fr-FR"/>
        </w:rPr>
        <w:br/>
      </w:r>
      <w:r>
        <w:rPr>
          <w:lang w:val="fr-FR"/>
        </w:rPr>
        <w:t> </w:t>
      </w:r>
      <w:r w:rsidRPr="0067149D">
        <w:rPr>
          <w:lang w:val="fr-FR"/>
        </w:rPr>
        <w:t>D</w:t>
      </w:r>
      <w:r>
        <w:rPr>
          <w:lang w:val="fr-FR"/>
        </w:rPr>
        <w:t>’</w:t>
      </w:r>
      <w:r w:rsidRPr="0067149D">
        <w:rPr>
          <w:lang w:val="fr-FR"/>
        </w:rPr>
        <w:t>APPLICATION DU PROTOCOLE DE MONTRÉAL</w:t>
      </w:r>
      <w:r w:rsidRPr="0067149D">
        <w:rPr>
          <w:lang w:val="fr-FR"/>
        </w:rPr>
        <w:br/>
        <w:t>Quatre-vingt-sixième réunion</w:t>
      </w:r>
    </w:p>
    <w:p w14:paraId="5A763D2E" w14:textId="77777777" w:rsidR="007B7C04" w:rsidRPr="00C52326" w:rsidRDefault="007B7C04" w:rsidP="007B7C04">
      <w:pPr>
        <w:jc w:val="left"/>
        <w:rPr>
          <w:lang w:val="fr-CA"/>
        </w:rPr>
      </w:pPr>
      <w:r w:rsidRPr="0067149D">
        <w:rPr>
          <w:lang w:val="fr-FR"/>
        </w:rPr>
        <w:t>Montréal, 2 – 6 novembre 2020</w:t>
      </w:r>
    </w:p>
    <w:p w14:paraId="0515EE99" w14:textId="77777777" w:rsidR="007B7C04" w:rsidRPr="00C52326" w:rsidRDefault="007B7C04" w:rsidP="007B7C04">
      <w:pPr>
        <w:tabs>
          <w:tab w:val="left" w:pos="8280"/>
        </w:tabs>
        <w:rPr>
          <w:lang w:val="fr-CA"/>
        </w:rPr>
      </w:pPr>
      <w:r w:rsidRPr="0067149D">
        <w:rPr>
          <w:lang w:val="fr-FR"/>
        </w:rPr>
        <w:t>Reportée : 8 – 12 mars 2021</w:t>
      </w:r>
      <w:r w:rsidRPr="0067149D">
        <w:rPr>
          <w:rStyle w:val="FootnoteReference"/>
          <w:lang w:val="fr-FR"/>
        </w:rPr>
        <w:footnoteReference w:id="1"/>
      </w:r>
    </w:p>
    <w:p w14:paraId="356F11BD" w14:textId="72C3DB7A" w:rsidR="007B7C04" w:rsidRDefault="007B7C04" w:rsidP="007B7C04">
      <w:pPr>
        <w:tabs>
          <w:tab w:val="left" w:pos="8280"/>
        </w:tabs>
        <w:rPr>
          <w:lang w:val="fr-CA"/>
        </w:rPr>
      </w:pPr>
    </w:p>
    <w:p w14:paraId="5EC7CCF5" w14:textId="77777777" w:rsidR="002867A7" w:rsidRPr="00C52326" w:rsidRDefault="002867A7" w:rsidP="007B7C04">
      <w:pPr>
        <w:tabs>
          <w:tab w:val="left" w:pos="8280"/>
        </w:tabs>
        <w:rPr>
          <w:lang w:val="fr-CA"/>
        </w:rPr>
      </w:pPr>
    </w:p>
    <w:p w14:paraId="4811B221" w14:textId="77777777" w:rsidR="00C15867" w:rsidRPr="00C52326" w:rsidRDefault="00C15867" w:rsidP="00857077">
      <w:pPr>
        <w:jc w:val="left"/>
        <w:rPr>
          <w:lang w:val="fr-CA"/>
        </w:rPr>
      </w:pPr>
    </w:p>
    <w:p w14:paraId="7A1B4239" w14:textId="77777777" w:rsidR="002867A7" w:rsidRDefault="00AB73CF" w:rsidP="00AB73CF">
      <w:pPr>
        <w:jc w:val="center"/>
        <w:rPr>
          <w:b/>
          <w:bCs/>
          <w:lang w:val="fr-FR"/>
        </w:rPr>
      </w:pPr>
      <w:r w:rsidRPr="00AB73CF">
        <w:rPr>
          <w:b/>
          <w:bCs/>
          <w:lang w:val="fr-FR"/>
        </w:rPr>
        <w:t xml:space="preserve">RAPPORT PÉRIODIQUE DE LA BANQUE MONDIALE </w:t>
      </w:r>
    </w:p>
    <w:p w14:paraId="69EB8A21" w14:textId="26112092" w:rsidR="00E433C6" w:rsidRDefault="00AB73CF" w:rsidP="00AB73CF">
      <w:pPr>
        <w:jc w:val="center"/>
        <w:rPr>
          <w:b/>
          <w:bCs/>
          <w:lang w:val="fr-FR"/>
        </w:rPr>
      </w:pPr>
      <w:r w:rsidRPr="00AB73CF">
        <w:rPr>
          <w:b/>
          <w:bCs/>
          <w:lang w:val="fr-FR"/>
        </w:rPr>
        <w:t>AU 31 DÉCEMBRE 2019</w:t>
      </w:r>
    </w:p>
    <w:p w14:paraId="1D3F0708" w14:textId="0D5ABD13" w:rsidR="002867A7" w:rsidRDefault="002867A7" w:rsidP="00AB73CF">
      <w:pPr>
        <w:jc w:val="center"/>
        <w:rPr>
          <w:b/>
          <w:bCs/>
          <w:lang w:val="fr-CA"/>
        </w:rPr>
      </w:pPr>
    </w:p>
    <w:p w14:paraId="0C1F14A5" w14:textId="77777777" w:rsidR="00E433C6" w:rsidRPr="00C52326" w:rsidRDefault="00E433C6" w:rsidP="00E433C6">
      <w:pPr>
        <w:jc w:val="center"/>
        <w:rPr>
          <w:b/>
          <w:bCs/>
          <w:lang w:val="fr-CA"/>
        </w:rPr>
      </w:pPr>
    </w:p>
    <w:p w14:paraId="2F4F0064" w14:textId="2FD98B9E" w:rsidR="00AB73CF" w:rsidRPr="00C52326" w:rsidRDefault="00AB73CF" w:rsidP="00AB73CF">
      <w:pPr>
        <w:pStyle w:val="Heading1"/>
        <w:rPr>
          <w:lang w:val="fr-CA"/>
        </w:rPr>
      </w:pPr>
      <w:r w:rsidRPr="00AB73CF">
        <w:rPr>
          <w:lang w:val="fr-FR"/>
        </w:rPr>
        <w:t xml:space="preserve">Le présent document contient le rapport périodique de la </w:t>
      </w:r>
      <w:r w:rsidR="00C11F7B">
        <w:rPr>
          <w:lang w:val="fr-FR"/>
        </w:rPr>
        <w:t>Banque mondiale</w:t>
      </w:r>
      <w:r w:rsidRPr="00AB73CF">
        <w:rPr>
          <w:lang w:val="fr-FR"/>
        </w:rPr>
        <w:t xml:space="preserve"> au 31 décembre 2019</w:t>
      </w:r>
      <w:r w:rsidRPr="00AB73CF">
        <w:rPr>
          <w:rStyle w:val="FootnoteReference"/>
          <w:sz w:val="22"/>
          <w:lang w:val="en-CA"/>
        </w:rPr>
        <w:footnoteReference w:id="2"/>
      </w:r>
      <w:r w:rsidR="007B7C04">
        <w:rPr>
          <w:lang w:val="fr-FR"/>
        </w:rPr>
        <w:t>.</w:t>
      </w:r>
    </w:p>
    <w:p w14:paraId="305AECDD" w14:textId="2C6818F2" w:rsidR="00940E24" w:rsidRPr="00AB73CF" w:rsidRDefault="00AB73CF" w:rsidP="00940E24">
      <w:pPr>
        <w:rPr>
          <w:b/>
          <w:lang w:val="en-CA"/>
        </w:rPr>
      </w:pPr>
      <w:r w:rsidRPr="00AB73CF">
        <w:rPr>
          <w:b/>
          <w:lang w:val="fr-FR"/>
        </w:rPr>
        <w:t>Introduction </w:t>
      </w:r>
    </w:p>
    <w:p w14:paraId="2B3DB4A6" w14:textId="77777777" w:rsidR="00940E24" w:rsidRPr="00E44C3F" w:rsidRDefault="00940E24" w:rsidP="00940E24">
      <w:pPr>
        <w:rPr>
          <w:lang w:val="en-CA"/>
        </w:rPr>
      </w:pPr>
    </w:p>
    <w:p w14:paraId="51F44BE8" w14:textId="32931C34" w:rsidR="00AB73CF" w:rsidRPr="00C52326" w:rsidRDefault="00AB73CF" w:rsidP="00AB73CF">
      <w:pPr>
        <w:pStyle w:val="Heading1"/>
        <w:rPr>
          <w:lang w:val="fr-CA"/>
        </w:rPr>
      </w:pPr>
      <w:r w:rsidRPr="00AB73CF">
        <w:rPr>
          <w:lang w:val="fr-FR"/>
        </w:rPr>
        <w:t xml:space="preserve">Le rapport périodique de la </w:t>
      </w:r>
      <w:r w:rsidR="00C11F7B">
        <w:rPr>
          <w:lang w:val="fr-FR"/>
        </w:rPr>
        <w:t>Banque mondiale</w:t>
      </w:r>
      <w:r w:rsidRPr="00AB73CF">
        <w:rPr>
          <w:lang w:val="fr-FR"/>
        </w:rPr>
        <w:t xml:space="preserve"> inclut l</w:t>
      </w:r>
      <w:r w:rsidR="007B7C04">
        <w:rPr>
          <w:lang w:val="fr-FR"/>
        </w:rPr>
        <w:t>’</w:t>
      </w:r>
      <w:r w:rsidRPr="00AB73CF">
        <w:rPr>
          <w:lang w:val="fr-FR"/>
        </w:rPr>
        <w:t>état de mise en œuvre des projets, notamment 5 projets portant sur les HFC</w:t>
      </w:r>
      <w:r w:rsidR="007B7C04">
        <w:rPr>
          <w:lang w:val="fr-FR"/>
        </w:rPr>
        <w:t xml:space="preserve"> </w:t>
      </w:r>
      <w:r w:rsidRPr="00AB73CF">
        <w:rPr>
          <w:lang w:val="fr-FR"/>
        </w:rPr>
        <w:t>qui ont été financés dans le cadre de contributions volontaires supplémentaires allouées par 17 parties ne relevant pas de l</w:t>
      </w:r>
      <w:r w:rsidR="007B7C04">
        <w:rPr>
          <w:lang w:val="fr-FR"/>
        </w:rPr>
        <w:t>’</w:t>
      </w:r>
      <w:r w:rsidRPr="00AB73CF">
        <w:rPr>
          <w:lang w:val="fr-FR"/>
        </w:rPr>
        <w:t>article 5 afin de soutenir le démarrage rapide de la mise en œuvre de l</w:t>
      </w:r>
      <w:r w:rsidR="007B7C04">
        <w:rPr>
          <w:lang w:val="fr-FR"/>
        </w:rPr>
        <w:t>’</w:t>
      </w:r>
      <w:r w:rsidRPr="00AB73CF">
        <w:rPr>
          <w:lang w:val="fr-FR"/>
        </w:rPr>
        <w:t>Amendement de Kigali.</w:t>
      </w:r>
    </w:p>
    <w:p w14:paraId="37323799" w14:textId="42348D7A" w:rsidR="00AB73CF" w:rsidRPr="00AB73CF" w:rsidRDefault="00AB73CF" w:rsidP="00AB73CF">
      <w:pPr>
        <w:pStyle w:val="Heading1"/>
        <w:rPr>
          <w:lang w:val="en-CA"/>
        </w:rPr>
      </w:pPr>
      <w:r w:rsidRPr="00AB73CF">
        <w:rPr>
          <w:lang w:val="fr-FR"/>
        </w:rPr>
        <w:t>Le Secrétariat a examiné pays par pays l</w:t>
      </w:r>
      <w:r w:rsidR="007B7C04">
        <w:rPr>
          <w:lang w:val="fr-FR"/>
        </w:rPr>
        <w:t>’</w:t>
      </w:r>
      <w:r w:rsidRPr="00AB73CF">
        <w:rPr>
          <w:lang w:val="fr-FR"/>
        </w:rPr>
        <w:t>état d</w:t>
      </w:r>
      <w:r w:rsidR="007B7C04">
        <w:rPr>
          <w:lang w:val="fr-FR"/>
        </w:rPr>
        <w:t>’</w:t>
      </w:r>
      <w:r w:rsidRPr="00AB73CF">
        <w:rPr>
          <w:lang w:val="fr-FR"/>
        </w:rPr>
        <w:t>avancement de la mise en œuvre de chaque projet en cours, prenant en compte les retards de mise en œuvre survenus par rapport aux dates d</w:t>
      </w:r>
      <w:r w:rsidR="007B7C04">
        <w:rPr>
          <w:lang w:val="fr-FR"/>
        </w:rPr>
        <w:t>’</w:t>
      </w:r>
      <w:r w:rsidRPr="00AB73CF">
        <w:rPr>
          <w:lang w:val="fr-FR"/>
        </w:rPr>
        <w:t>achèvement prévues notifiées en 2019, l</w:t>
      </w:r>
      <w:r w:rsidR="007B7C04">
        <w:rPr>
          <w:lang w:val="fr-FR"/>
        </w:rPr>
        <w:t>’</w:t>
      </w:r>
      <w:r w:rsidRPr="00AB73CF">
        <w:rPr>
          <w:lang w:val="fr-FR"/>
        </w:rPr>
        <w:t>impact potentiel de ces retards sur l</w:t>
      </w:r>
      <w:r w:rsidR="007B7C04">
        <w:rPr>
          <w:lang w:val="fr-FR"/>
        </w:rPr>
        <w:t>’</w:t>
      </w:r>
      <w:r w:rsidRPr="00AB73CF">
        <w:rPr>
          <w:lang w:val="fr-FR"/>
        </w:rPr>
        <w:t>élimination des substances réglementées et le taux des décaissements prévus.</w:t>
      </w:r>
      <w:r w:rsidRPr="00C52326">
        <w:rPr>
          <w:lang w:val="fr-CA"/>
        </w:rPr>
        <w:t xml:space="preserve"> </w:t>
      </w:r>
      <w:r w:rsidRPr="00AB73CF">
        <w:rPr>
          <w:lang w:val="fr-FR"/>
        </w:rPr>
        <w:t>L</w:t>
      </w:r>
      <w:r w:rsidR="007B7C04">
        <w:rPr>
          <w:lang w:val="fr-FR"/>
        </w:rPr>
        <w:t>’</w:t>
      </w:r>
      <w:r w:rsidRPr="00AB73CF">
        <w:rPr>
          <w:lang w:val="fr-FR"/>
        </w:rPr>
        <w:t>analyse contenue dans le présent document s</w:t>
      </w:r>
      <w:r w:rsidR="007B7C04">
        <w:rPr>
          <w:lang w:val="fr-FR"/>
        </w:rPr>
        <w:t>’</w:t>
      </w:r>
      <w:r w:rsidRPr="00AB73CF">
        <w:rPr>
          <w:lang w:val="fr-FR"/>
        </w:rPr>
        <w:t>appuie sur les quantités exprimées en tonnes PAO pour toutes les substances réglementées (y compris les HFC qui devraient être mesurés en tm éq. CO</w:t>
      </w:r>
      <w:r w:rsidRPr="00AB73CF">
        <w:rPr>
          <w:sz w:val="14"/>
          <w:szCs w:val="14"/>
          <w:lang w:val="fr-FR"/>
        </w:rPr>
        <w:t>2</w:t>
      </w:r>
      <w:r w:rsidRPr="00AB73CF">
        <w:rPr>
          <w:lang w:val="fr-FR"/>
        </w:rPr>
        <w:t>)</w:t>
      </w:r>
      <w:r w:rsidRPr="00AB73CF">
        <w:rPr>
          <w:rStyle w:val="FootnoteReference"/>
          <w:sz w:val="22"/>
          <w:lang w:val="en-CA"/>
        </w:rPr>
        <w:footnoteReference w:id="3"/>
      </w:r>
      <w:r w:rsidR="007B7C04">
        <w:rPr>
          <w:lang w:val="fr-FR"/>
        </w:rPr>
        <w:t>.</w:t>
      </w:r>
    </w:p>
    <w:p w14:paraId="67590FB0" w14:textId="1A6B46BA" w:rsidR="00E433C6" w:rsidRPr="00AB73CF" w:rsidRDefault="00AB73CF" w:rsidP="002867A7">
      <w:pPr>
        <w:keepNext/>
        <w:keepLines/>
        <w:widowControl w:val="0"/>
        <w:rPr>
          <w:u w:val="single"/>
          <w:lang w:val="en-CA"/>
        </w:rPr>
      </w:pPr>
      <w:r w:rsidRPr="00AB73CF">
        <w:rPr>
          <w:u w:val="single"/>
          <w:lang w:val="fr-FR"/>
        </w:rPr>
        <w:lastRenderedPageBreak/>
        <w:t>Portée du document</w:t>
      </w:r>
    </w:p>
    <w:p w14:paraId="5EBBC9C6" w14:textId="77777777" w:rsidR="00E433C6" w:rsidRPr="00E44C3F" w:rsidRDefault="00E433C6" w:rsidP="002867A7">
      <w:pPr>
        <w:keepNext/>
        <w:keepLines/>
        <w:widowControl w:val="0"/>
        <w:rPr>
          <w:lang w:val="en-CA"/>
        </w:rPr>
      </w:pPr>
    </w:p>
    <w:p w14:paraId="195A7469" w14:textId="3B1E1289" w:rsidR="00AB73CF" w:rsidRPr="00C52326" w:rsidRDefault="00AB73CF" w:rsidP="002867A7">
      <w:pPr>
        <w:pStyle w:val="Heading1"/>
        <w:keepNext/>
        <w:keepLines/>
        <w:widowControl w:val="0"/>
        <w:rPr>
          <w:lang w:val="fr-CA"/>
        </w:rPr>
      </w:pPr>
      <w:r w:rsidRPr="00AB73CF">
        <w:rPr>
          <w:lang w:val="fr-FR"/>
        </w:rPr>
        <w:t>Il comprend les parties suivantes :</w:t>
      </w:r>
    </w:p>
    <w:p w14:paraId="45A933CE" w14:textId="14082E21" w:rsidR="00E433C6" w:rsidRPr="00C52326" w:rsidRDefault="00AB73CF" w:rsidP="002867A7">
      <w:pPr>
        <w:pStyle w:val="Heading2"/>
        <w:keepNext/>
        <w:keepLines/>
        <w:widowControl/>
        <w:numPr>
          <w:ilvl w:val="0"/>
          <w:numId w:val="0"/>
        </w:numPr>
        <w:adjustRightInd w:val="0"/>
        <w:ind w:left="2160" w:hanging="1440"/>
        <w:textAlignment w:val="baseline"/>
        <w:rPr>
          <w:szCs w:val="28"/>
          <w:lang w:val="fr-CA"/>
        </w:rPr>
      </w:pPr>
      <w:r w:rsidRPr="00AB73CF">
        <w:rPr>
          <w:szCs w:val="28"/>
          <w:lang w:val="fr-FR"/>
        </w:rPr>
        <w:t>PARTIE I :</w:t>
      </w:r>
      <w:r w:rsidR="00E433C6" w:rsidRPr="00C52326">
        <w:rPr>
          <w:szCs w:val="28"/>
          <w:lang w:val="fr-CA"/>
        </w:rPr>
        <w:tab/>
      </w:r>
      <w:r w:rsidRPr="00AB73CF">
        <w:rPr>
          <w:szCs w:val="28"/>
          <w:lang w:val="fr-FR"/>
        </w:rPr>
        <w:t>Projets approuvés au titre des contributions ordinaires au Fonds multilatéral.</w:t>
      </w:r>
      <w:r w:rsidR="00E433C6" w:rsidRPr="00C52326">
        <w:rPr>
          <w:lang w:val="fr-CA"/>
        </w:rPr>
        <w:t xml:space="preserve"> </w:t>
      </w:r>
      <w:r w:rsidRPr="00AB73CF">
        <w:rPr>
          <w:lang w:val="fr-FR"/>
        </w:rPr>
        <w:t>Cette partie récapitule l</w:t>
      </w:r>
      <w:r w:rsidR="007B7C04">
        <w:rPr>
          <w:lang w:val="fr-FR"/>
        </w:rPr>
        <w:t>’</w:t>
      </w:r>
      <w:r w:rsidRPr="00AB73CF">
        <w:rPr>
          <w:lang w:val="fr-FR"/>
        </w:rPr>
        <w:t>état d</w:t>
      </w:r>
      <w:r w:rsidR="007B7C04">
        <w:rPr>
          <w:lang w:val="fr-FR"/>
        </w:rPr>
        <w:t>’</w:t>
      </w:r>
      <w:r w:rsidRPr="00AB73CF">
        <w:rPr>
          <w:lang w:val="fr-FR"/>
        </w:rPr>
        <w:t>avancement des projets pour 2019 et les progrès cumulatifs depuis 1991, tenant compte de toutes les substances réglementées en vertu du Protocole de Montréal, y compris les substances figurant à l</w:t>
      </w:r>
      <w:r w:rsidR="007B7C04">
        <w:rPr>
          <w:lang w:val="fr-FR"/>
        </w:rPr>
        <w:t>’</w:t>
      </w:r>
      <w:r w:rsidRPr="00AB73CF">
        <w:rPr>
          <w:lang w:val="fr-FR"/>
        </w:rPr>
        <w:t>annexe F (HFC) ; elle examine l</w:t>
      </w:r>
      <w:r w:rsidR="007B7C04">
        <w:rPr>
          <w:lang w:val="fr-FR"/>
        </w:rPr>
        <w:t>’</w:t>
      </w:r>
      <w:r w:rsidRPr="00AB73CF">
        <w:rPr>
          <w:lang w:val="fr-FR"/>
        </w:rPr>
        <w:t>état d</w:t>
      </w:r>
      <w:r w:rsidR="007B7C04">
        <w:rPr>
          <w:lang w:val="fr-FR"/>
        </w:rPr>
        <w:t>’</w:t>
      </w:r>
      <w:r w:rsidRPr="00AB73CF">
        <w:rPr>
          <w:lang w:val="fr-FR"/>
        </w:rPr>
        <w:t>avancement de chaque projet en cours</w:t>
      </w:r>
      <w:r w:rsidRPr="00AB73CF">
        <w:rPr>
          <w:rStyle w:val="FootnoteReference"/>
          <w:lang w:val="fr-FR"/>
        </w:rPr>
        <w:footnoteReference w:id="4"/>
      </w:r>
      <w:r w:rsidRPr="00AB73CF">
        <w:rPr>
          <w:lang w:val="fr-FR"/>
        </w:rPr>
        <w:t xml:space="preserve"> au niveau des pays ; </w:t>
      </w:r>
      <w:r w:rsidR="001E204E">
        <w:rPr>
          <w:lang w:val="fr-FR"/>
        </w:rPr>
        <w:t xml:space="preserve">et </w:t>
      </w:r>
      <w:r w:rsidRPr="00AB73CF">
        <w:rPr>
          <w:lang w:val="fr-FR"/>
        </w:rPr>
        <w:t>elle recense les projets présentant des retards dans la mise en œuvre et l</w:t>
      </w:r>
      <w:r w:rsidR="007B7C04">
        <w:rPr>
          <w:lang w:val="fr-FR"/>
        </w:rPr>
        <w:t>’</w:t>
      </w:r>
      <w:r w:rsidRPr="00AB73CF">
        <w:rPr>
          <w:lang w:val="fr-FR"/>
        </w:rPr>
        <w:t>impact potentiel sur l</w:t>
      </w:r>
      <w:r w:rsidR="007B7C04">
        <w:rPr>
          <w:lang w:val="fr-FR"/>
        </w:rPr>
        <w:t>’</w:t>
      </w:r>
      <w:r w:rsidRPr="00AB73CF">
        <w:rPr>
          <w:lang w:val="fr-FR"/>
        </w:rPr>
        <w:t xml:space="preserve">élimination des substances réglementées, ainsi que les projets comportant des questions en suspens </w:t>
      </w:r>
      <w:r w:rsidR="001E204E" w:rsidRPr="00AB73CF">
        <w:rPr>
          <w:lang w:val="fr-FR"/>
        </w:rPr>
        <w:t xml:space="preserve">qui seront examinées </w:t>
      </w:r>
      <w:r w:rsidRPr="00AB73CF">
        <w:rPr>
          <w:lang w:val="fr-FR"/>
        </w:rPr>
        <w:t>par le Comité exécutif.</w:t>
      </w:r>
      <w:r w:rsidR="00E433C6" w:rsidRPr="00C52326">
        <w:rPr>
          <w:lang w:val="fr-CA"/>
        </w:rPr>
        <w:t xml:space="preserve"> </w:t>
      </w:r>
    </w:p>
    <w:p w14:paraId="073551F6" w14:textId="0C5D2181" w:rsidR="00E433C6" w:rsidRPr="00C52326" w:rsidRDefault="00AB73CF" w:rsidP="00AB73CF">
      <w:pPr>
        <w:pStyle w:val="Heading2"/>
        <w:widowControl/>
        <w:numPr>
          <w:ilvl w:val="0"/>
          <w:numId w:val="0"/>
        </w:numPr>
        <w:adjustRightInd w:val="0"/>
        <w:ind w:left="2160" w:hanging="1440"/>
        <w:textAlignment w:val="baseline"/>
        <w:rPr>
          <w:szCs w:val="28"/>
          <w:lang w:val="fr-CA"/>
        </w:rPr>
      </w:pPr>
      <w:r w:rsidRPr="00AB73CF">
        <w:rPr>
          <w:szCs w:val="28"/>
          <w:lang w:val="fr-FR"/>
        </w:rPr>
        <w:t>PARTIE II :</w:t>
      </w:r>
      <w:r w:rsidR="00E433C6" w:rsidRPr="00C52326">
        <w:rPr>
          <w:szCs w:val="28"/>
          <w:lang w:val="fr-CA"/>
        </w:rPr>
        <w:tab/>
      </w:r>
      <w:r w:rsidRPr="00AB73CF">
        <w:rPr>
          <w:szCs w:val="28"/>
          <w:lang w:val="fr-FR"/>
        </w:rPr>
        <w:t>Projets approuvés au titre des contributions volontaires supplémentaires afin de soutenir le démarrage rapide du processus d</w:t>
      </w:r>
      <w:r w:rsidR="007B7C04">
        <w:rPr>
          <w:szCs w:val="28"/>
          <w:lang w:val="fr-FR"/>
        </w:rPr>
        <w:t>’</w:t>
      </w:r>
      <w:r w:rsidRPr="00AB73CF">
        <w:rPr>
          <w:szCs w:val="28"/>
          <w:lang w:val="fr-FR"/>
        </w:rPr>
        <w:t>élimination progressive des HFC.</w:t>
      </w:r>
      <w:r w:rsidR="00E433C6" w:rsidRPr="00C52326">
        <w:rPr>
          <w:szCs w:val="28"/>
          <w:lang w:val="fr-CA"/>
        </w:rPr>
        <w:t xml:space="preserve"> </w:t>
      </w:r>
      <w:r w:rsidRPr="00AB73CF">
        <w:rPr>
          <w:szCs w:val="28"/>
          <w:lang w:val="fr-FR"/>
        </w:rPr>
        <w:t>Cette partie récapitule l</w:t>
      </w:r>
      <w:r w:rsidR="007B7C04">
        <w:rPr>
          <w:szCs w:val="28"/>
          <w:lang w:val="fr-FR"/>
        </w:rPr>
        <w:t>’</w:t>
      </w:r>
      <w:r w:rsidRPr="00AB73CF">
        <w:rPr>
          <w:szCs w:val="28"/>
          <w:lang w:val="fr-FR"/>
        </w:rPr>
        <w:t>état d</w:t>
      </w:r>
      <w:r w:rsidR="007B7C04">
        <w:rPr>
          <w:szCs w:val="28"/>
          <w:lang w:val="fr-FR"/>
        </w:rPr>
        <w:t>’</w:t>
      </w:r>
      <w:r w:rsidRPr="00AB73CF">
        <w:rPr>
          <w:szCs w:val="28"/>
          <w:lang w:val="fr-FR"/>
        </w:rPr>
        <w:t>avancement des projets d</w:t>
      </w:r>
      <w:r w:rsidR="007B7C04">
        <w:rPr>
          <w:szCs w:val="28"/>
          <w:lang w:val="fr-FR"/>
        </w:rPr>
        <w:t>’</w:t>
      </w:r>
      <w:r w:rsidRPr="00AB73CF">
        <w:rPr>
          <w:szCs w:val="28"/>
          <w:lang w:val="fr-FR"/>
        </w:rPr>
        <w:t>élimination progressive des HFC financés dans le cadre des contributions volontaires</w:t>
      </w:r>
      <w:r w:rsidR="00557FB9" w:rsidRPr="00AB73CF">
        <w:rPr>
          <w:rStyle w:val="FootnoteReference"/>
          <w:sz w:val="22"/>
          <w:lang w:val="en-CA"/>
        </w:rPr>
        <w:footnoteReference w:id="5"/>
      </w:r>
      <w:r w:rsidR="007B7C04">
        <w:rPr>
          <w:szCs w:val="28"/>
          <w:lang w:val="fr-FR"/>
        </w:rPr>
        <w:t>.</w:t>
      </w:r>
    </w:p>
    <w:p w14:paraId="239601F7" w14:textId="7590B7CD" w:rsidR="00E433C6" w:rsidRPr="00AB73CF" w:rsidRDefault="00AB73CF" w:rsidP="00E433C6">
      <w:pPr>
        <w:ind w:firstLine="720"/>
        <w:rPr>
          <w:lang w:val="en-CA"/>
        </w:rPr>
      </w:pPr>
      <w:r w:rsidRPr="00AB73CF">
        <w:rPr>
          <w:lang w:val="fr-FR"/>
        </w:rPr>
        <w:t>Recommandation.</w:t>
      </w:r>
    </w:p>
    <w:p w14:paraId="4CD63207" w14:textId="77777777" w:rsidR="00E433C6" w:rsidRPr="00E44C3F" w:rsidRDefault="00E433C6" w:rsidP="00E433C6">
      <w:pPr>
        <w:rPr>
          <w:lang w:val="en-CA"/>
        </w:rPr>
      </w:pPr>
    </w:p>
    <w:p w14:paraId="7406E8E3" w14:textId="6BEADF6E" w:rsidR="00AB73CF" w:rsidRPr="00C52326" w:rsidRDefault="00AB73CF" w:rsidP="00AB73CF">
      <w:pPr>
        <w:pStyle w:val="Heading1"/>
        <w:rPr>
          <w:lang w:val="fr-CA"/>
        </w:rPr>
      </w:pPr>
      <w:r w:rsidRPr="00AB73CF">
        <w:rPr>
          <w:lang w:val="fr-FR"/>
        </w:rPr>
        <w:t>Le présent document comprend aussi les annexes suivantes :</w:t>
      </w:r>
    </w:p>
    <w:p w14:paraId="7975EDE3" w14:textId="5612F2B5" w:rsidR="00A87487" w:rsidRPr="00C52326" w:rsidRDefault="00AB73CF" w:rsidP="00A87487">
      <w:pPr>
        <w:widowControl w:val="0"/>
        <w:ind w:left="2131" w:hanging="1411"/>
        <w:rPr>
          <w:lang w:val="fr-CA"/>
        </w:rPr>
      </w:pPr>
      <w:r w:rsidRPr="00AB73CF">
        <w:rPr>
          <w:lang w:val="fr-FR"/>
        </w:rPr>
        <w:t>Annexe I :</w:t>
      </w:r>
      <w:r w:rsidR="00A87487" w:rsidRPr="00C52326">
        <w:rPr>
          <w:lang w:val="fr-CA"/>
        </w:rPr>
        <w:t xml:space="preserve"> </w:t>
      </w:r>
      <w:r w:rsidR="00A87487" w:rsidRPr="00C52326">
        <w:rPr>
          <w:lang w:val="fr-CA"/>
        </w:rPr>
        <w:tab/>
      </w:r>
      <w:r w:rsidRPr="00AB73CF">
        <w:rPr>
          <w:lang w:val="fr-FR"/>
        </w:rPr>
        <w:t>État récapitulatif accompagné d</w:t>
      </w:r>
      <w:r w:rsidR="007B7C04">
        <w:rPr>
          <w:lang w:val="fr-FR"/>
        </w:rPr>
        <w:t>’</w:t>
      </w:r>
      <w:r w:rsidRPr="00AB73CF">
        <w:rPr>
          <w:lang w:val="fr-FR"/>
        </w:rPr>
        <w:t>une recommandation pour chaque projet en cours comportant des questions en suspens qui seront examinées par le Comité exécutif.</w:t>
      </w:r>
    </w:p>
    <w:p w14:paraId="3C341D98" w14:textId="77777777" w:rsidR="00A87487" w:rsidRPr="00C52326" w:rsidRDefault="00A87487" w:rsidP="00A87487">
      <w:pPr>
        <w:ind w:left="2127" w:hanging="1407"/>
        <w:rPr>
          <w:lang w:val="fr-CA"/>
        </w:rPr>
      </w:pPr>
    </w:p>
    <w:p w14:paraId="36601B13" w14:textId="69161312" w:rsidR="00A87487" w:rsidRPr="00C52326" w:rsidRDefault="00AB73CF" w:rsidP="00A87487">
      <w:pPr>
        <w:ind w:left="2127" w:hanging="1407"/>
        <w:rPr>
          <w:lang w:val="fr-CA"/>
        </w:rPr>
      </w:pPr>
      <w:r w:rsidRPr="00AB73CF">
        <w:rPr>
          <w:lang w:val="fr-FR"/>
        </w:rPr>
        <w:t>Annexe II :</w:t>
      </w:r>
      <w:r w:rsidR="00A87487" w:rsidRPr="00C52326">
        <w:rPr>
          <w:lang w:val="fr-CA"/>
        </w:rPr>
        <w:t xml:space="preserve"> </w:t>
      </w:r>
      <w:r w:rsidR="00A87487" w:rsidRPr="00C52326">
        <w:rPr>
          <w:lang w:val="fr-CA"/>
        </w:rPr>
        <w:tab/>
      </w:r>
      <w:r w:rsidRPr="00AB73CF">
        <w:rPr>
          <w:lang w:val="fr-FR"/>
        </w:rPr>
        <w:t>Analyse du rapport périodique.</w:t>
      </w:r>
    </w:p>
    <w:p w14:paraId="5DA351C0" w14:textId="77777777" w:rsidR="00A87487" w:rsidRPr="00C52326" w:rsidRDefault="00A87487" w:rsidP="00A87487">
      <w:pPr>
        <w:ind w:left="2127" w:hanging="1407"/>
        <w:rPr>
          <w:lang w:val="fr-CA"/>
        </w:rPr>
      </w:pPr>
    </w:p>
    <w:p w14:paraId="30545DC4" w14:textId="481C2684" w:rsidR="00E433C6" w:rsidRPr="00C52326" w:rsidRDefault="00AB73CF" w:rsidP="00E433C6">
      <w:pPr>
        <w:pStyle w:val="sub-title"/>
        <w:keepNext/>
        <w:keepLines/>
        <w:ind w:left="1418" w:hanging="1418"/>
        <w:rPr>
          <w:rFonts w:ascii="Times New Roman Bold" w:hAnsi="Times New Roman Bold"/>
          <w:caps/>
          <w:noProof w:val="0"/>
          <w:szCs w:val="28"/>
          <w:lang w:val="fr-CA"/>
        </w:rPr>
      </w:pPr>
      <w:r w:rsidRPr="00AB73CF">
        <w:rPr>
          <w:rFonts w:ascii="Times New Roman Bold" w:hAnsi="Times New Roman Bold"/>
          <w:caps/>
          <w:noProof w:val="0"/>
          <w:szCs w:val="28"/>
          <w:lang w:val="fr-FR"/>
        </w:rPr>
        <w:t>PARTIE I</w:t>
      </w:r>
      <w:r w:rsidRPr="00AB73CF">
        <w:rPr>
          <w:rFonts w:ascii="Times New Roman Bold" w:hAnsi="Times New Roman Bold" w:hint="eastAsia"/>
          <w:caps/>
          <w:noProof w:val="0"/>
          <w:szCs w:val="28"/>
          <w:lang w:val="fr-FR"/>
        </w:rPr>
        <w:t> </w:t>
      </w:r>
      <w:r w:rsidRPr="00AB73CF">
        <w:rPr>
          <w:rFonts w:ascii="Times New Roman Bold" w:hAnsi="Times New Roman Bold"/>
          <w:caps/>
          <w:noProof w:val="0"/>
          <w:szCs w:val="28"/>
          <w:lang w:val="fr-FR"/>
        </w:rPr>
        <w:t>:</w:t>
      </w:r>
      <w:r w:rsidR="00E433C6" w:rsidRPr="00C52326">
        <w:rPr>
          <w:rFonts w:ascii="Times New Roman Bold" w:hAnsi="Times New Roman Bold"/>
          <w:caps/>
          <w:noProof w:val="0"/>
          <w:szCs w:val="28"/>
          <w:lang w:val="fr-CA"/>
        </w:rPr>
        <w:t xml:space="preserve"> </w:t>
      </w:r>
      <w:r w:rsidR="00E433C6" w:rsidRPr="00C52326">
        <w:rPr>
          <w:rFonts w:ascii="Times New Roman Bold" w:hAnsi="Times New Roman Bold"/>
          <w:caps/>
          <w:noProof w:val="0"/>
          <w:szCs w:val="28"/>
          <w:lang w:val="fr-CA"/>
        </w:rPr>
        <w:tab/>
      </w:r>
      <w:r w:rsidRPr="00AB73CF">
        <w:rPr>
          <w:rFonts w:ascii="Times New Roman Bold" w:hAnsi="Times New Roman Bold"/>
          <w:caps/>
          <w:noProof w:val="0"/>
          <w:szCs w:val="28"/>
          <w:lang w:val="fr-FR"/>
        </w:rPr>
        <w:t>PROJETS APPROUV</w:t>
      </w:r>
      <w:r w:rsidRPr="00AB73CF">
        <w:rPr>
          <w:rFonts w:ascii="Times New Roman Bold" w:hAnsi="Times New Roman Bold" w:hint="eastAsia"/>
          <w:caps/>
          <w:noProof w:val="0"/>
          <w:szCs w:val="28"/>
          <w:lang w:val="fr-FR"/>
        </w:rPr>
        <w:t>É</w:t>
      </w:r>
      <w:r w:rsidRPr="00AB73CF">
        <w:rPr>
          <w:rFonts w:ascii="Times New Roman Bold" w:hAnsi="Times New Roman Bold"/>
          <w:caps/>
          <w:noProof w:val="0"/>
          <w:szCs w:val="28"/>
          <w:lang w:val="fr-FR"/>
        </w:rPr>
        <w:t>S AU TITRE DES CONTRIBUTIONS ORDINAIRES AU FONDS MULTILATERAL.</w:t>
      </w:r>
    </w:p>
    <w:p w14:paraId="2F9DEEDD" w14:textId="77777777" w:rsidR="00E433C6" w:rsidRPr="00C52326" w:rsidRDefault="00E433C6" w:rsidP="00E433C6">
      <w:pPr>
        <w:keepNext/>
        <w:rPr>
          <w:lang w:val="fr-CA"/>
        </w:rPr>
      </w:pPr>
    </w:p>
    <w:p w14:paraId="58E152C6" w14:textId="18924D34" w:rsidR="00E433C6" w:rsidRPr="00C52326" w:rsidRDefault="00AB73CF" w:rsidP="00E433C6">
      <w:pPr>
        <w:keepNext/>
        <w:rPr>
          <w:b/>
          <w:lang w:val="fr-CA"/>
        </w:rPr>
      </w:pPr>
      <w:r w:rsidRPr="00AB73CF">
        <w:rPr>
          <w:b/>
          <w:lang w:val="fr-FR"/>
        </w:rPr>
        <w:t>Sommaire de l</w:t>
      </w:r>
      <w:r w:rsidR="007B7C04">
        <w:rPr>
          <w:b/>
          <w:lang w:val="fr-FR"/>
        </w:rPr>
        <w:t>’</w:t>
      </w:r>
      <w:r w:rsidRPr="00AB73CF">
        <w:rPr>
          <w:b/>
          <w:lang w:val="fr-FR"/>
        </w:rPr>
        <w:t>état d</w:t>
      </w:r>
      <w:r w:rsidR="007B7C04">
        <w:rPr>
          <w:b/>
          <w:lang w:val="fr-FR"/>
        </w:rPr>
        <w:t>’</w:t>
      </w:r>
      <w:r w:rsidRPr="00AB73CF">
        <w:rPr>
          <w:b/>
          <w:lang w:val="fr-FR"/>
        </w:rPr>
        <w:t>avancement des projets pour 2019 et des progrès cumulatifs</w:t>
      </w:r>
    </w:p>
    <w:p w14:paraId="57316280" w14:textId="77777777" w:rsidR="00E433C6" w:rsidRPr="00C52326" w:rsidRDefault="00E433C6" w:rsidP="00E433C6">
      <w:pPr>
        <w:keepNext/>
        <w:rPr>
          <w:b/>
          <w:lang w:val="fr-CA"/>
        </w:rPr>
      </w:pPr>
    </w:p>
    <w:p w14:paraId="2B6F1108" w14:textId="3EC41C7F" w:rsidR="00AB73CF" w:rsidRPr="00C52326" w:rsidRDefault="00AB73CF" w:rsidP="00AB73CF">
      <w:pPr>
        <w:pStyle w:val="Heading1"/>
        <w:keepNext/>
        <w:rPr>
          <w:lang w:val="fr-CA"/>
        </w:rPr>
      </w:pPr>
      <w:r w:rsidRPr="00AB73CF">
        <w:rPr>
          <w:lang w:val="fr-FR"/>
        </w:rPr>
        <w:t xml:space="preserve">La mise en œuvre des projets et des activités par la </w:t>
      </w:r>
      <w:r w:rsidR="00C11F7B">
        <w:rPr>
          <w:lang w:val="fr-FR"/>
        </w:rPr>
        <w:t>Banque mondiale</w:t>
      </w:r>
      <w:r w:rsidRPr="00AB73CF">
        <w:rPr>
          <w:lang w:val="fr-FR"/>
        </w:rPr>
        <w:t xml:space="preserve"> pour 2019 et les progrès cumulatifs depuis 1991 jusqu</w:t>
      </w:r>
      <w:r w:rsidR="007B7C04">
        <w:rPr>
          <w:lang w:val="fr-FR"/>
        </w:rPr>
        <w:t>’</w:t>
      </w:r>
      <w:r w:rsidRPr="00AB73CF">
        <w:rPr>
          <w:lang w:val="fr-FR"/>
        </w:rPr>
        <w:t>au 31 décembre 2019 sont récapitulés comme suit :</w:t>
      </w:r>
    </w:p>
    <w:p w14:paraId="2F1CDAA4" w14:textId="15BE4D57" w:rsidR="00AB73CF" w:rsidRPr="00C52326" w:rsidRDefault="00AB73CF" w:rsidP="00347577">
      <w:pPr>
        <w:pStyle w:val="Heading2"/>
        <w:rPr>
          <w:lang w:val="fr-CA"/>
        </w:rPr>
      </w:pPr>
      <w:r w:rsidRPr="00AB73CF">
        <w:rPr>
          <w:b/>
          <w:bCs/>
          <w:lang w:val="fr-FR"/>
        </w:rPr>
        <w:t>Élimination</w:t>
      </w:r>
      <w:r w:rsidRPr="00AB73CF">
        <w:rPr>
          <w:rStyle w:val="FootnoteReference"/>
          <w:bCs/>
          <w:sz w:val="22"/>
          <w:lang w:val="en-CA"/>
        </w:rPr>
        <w:footnoteReference w:id="6"/>
      </w:r>
      <w:r w:rsidR="007B7C04">
        <w:rPr>
          <w:b/>
          <w:bCs/>
          <w:lang w:val="fr-FR"/>
        </w:rPr>
        <w:t> :</w:t>
      </w:r>
      <w:r w:rsidRPr="00C52326">
        <w:rPr>
          <w:lang w:val="fr-CA"/>
        </w:rPr>
        <w:t xml:space="preserve"> </w:t>
      </w:r>
      <w:r w:rsidRPr="00AB73CF">
        <w:rPr>
          <w:lang w:val="fr-FR"/>
        </w:rPr>
        <w:t>En 2019, 1 922,1 tonnes PAO de consommation de substances réglementées ont été éliminées, et 61,4 tonnes PAO supplémentaires ont été approuvées aux fins d</w:t>
      </w:r>
      <w:r w:rsidR="007B7C04">
        <w:rPr>
          <w:lang w:val="fr-FR"/>
        </w:rPr>
        <w:t>’</w:t>
      </w:r>
      <w:r w:rsidRPr="00AB73CF">
        <w:rPr>
          <w:lang w:val="fr-FR"/>
        </w:rPr>
        <w:t>élimination.</w:t>
      </w:r>
      <w:r w:rsidRPr="00C52326">
        <w:rPr>
          <w:lang w:val="fr-CA"/>
        </w:rPr>
        <w:t xml:space="preserve"> </w:t>
      </w:r>
      <w:r w:rsidR="00347577" w:rsidRPr="00347577">
        <w:rPr>
          <w:lang w:val="fr-FR"/>
        </w:rPr>
        <w:t>Depuis 1991, 146 740</w:t>
      </w:r>
      <w:r w:rsidR="007B7C04">
        <w:rPr>
          <w:lang w:val="fr-FR"/>
        </w:rPr>
        <w:t xml:space="preserve"> </w:t>
      </w:r>
      <w:r w:rsidR="00347577" w:rsidRPr="00347577">
        <w:rPr>
          <w:lang w:val="fr-FR"/>
        </w:rPr>
        <w:t>tonnes PAO de consommation de substances réglementées et 187 996 tonnes PAO de production de ces substances ont été éliminées, sur un total prévu de 304 639 tonnes PAO lié aux projets approuvés (à l</w:t>
      </w:r>
      <w:r w:rsidR="007B7C04">
        <w:rPr>
          <w:lang w:val="fr-FR"/>
        </w:rPr>
        <w:t>’</w:t>
      </w:r>
      <w:r w:rsidR="00347577" w:rsidRPr="00347577">
        <w:rPr>
          <w:lang w:val="fr-FR"/>
        </w:rPr>
        <w:t>exclusion des projets annulés ou transférés).</w:t>
      </w:r>
    </w:p>
    <w:p w14:paraId="5FFA4F33" w14:textId="15938C12" w:rsidR="00347577" w:rsidRPr="00C52326" w:rsidRDefault="00347577" w:rsidP="00347577">
      <w:pPr>
        <w:pStyle w:val="Heading2"/>
        <w:numPr>
          <w:ilvl w:val="1"/>
          <w:numId w:val="1"/>
        </w:numPr>
        <w:rPr>
          <w:lang w:val="fr-CA"/>
        </w:rPr>
      </w:pPr>
      <w:r w:rsidRPr="00347577">
        <w:rPr>
          <w:b/>
          <w:bCs/>
          <w:lang w:val="fr-FR"/>
        </w:rPr>
        <w:lastRenderedPageBreak/>
        <w:t>Décaissements/approbations :</w:t>
      </w:r>
      <w:r w:rsidRPr="00C52326">
        <w:rPr>
          <w:lang w:val="fr-CA"/>
        </w:rPr>
        <w:t xml:space="preserve"> </w:t>
      </w:r>
      <w:r w:rsidRPr="00347577">
        <w:rPr>
          <w:lang w:val="fr-FR"/>
        </w:rPr>
        <w:t>En 2019, 9,37 millions $US ont été décaissés et 11,73 millions $US devaient faire l</w:t>
      </w:r>
      <w:r w:rsidR="007B7C04">
        <w:rPr>
          <w:lang w:val="fr-FR"/>
        </w:rPr>
        <w:t>’</w:t>
      </w:r>
      <w:r w:rsidRPr="00347577">
        <w:rPr>
          <w:lang w:val="fr-FR"/>
        </w:rPr>
        <w:t>objet d</w:t>
      </w:r>
      <w:r w:rsidR="007B7C04">
        <w:rPr>
          <w:lang w:val="fr-FR"/>
        </w:rPr>
        <w:t>’</w:t>
      </w:r>
      <w:r w:rsidRPr="00347577">
        <w:rPr>
          <w:lang w:val="fr-FR"/>
        </w:rPr>
        <w:t>un décaissement selon le rapport périodique de 2018, ce qui représentait un taux de décaissement de 80 pour cent par rapport à ce qui était prévu.</w:t>
      </w:r>
      <w:r w:rsidRPr="00C52326">
        <w:rPr>
          <w:lang w:val="fr-CA"/>
        </w:rPr>
        <w:t xml:space="preserve"> </w:t>
      </w:r>
      <w:r w:rsidRPr="00347577">
        <w:rPr>
          <w:lang w:val="fr-FR"/>
        </w:rPr>
        <w:t>Cumulativement, 1,14 milliard $US a été décaissé sur un total de 1,16 milliard $US approuvé pour décaissement (coûts d</w:t>
      </w:r>
      <w:r w:rsidR="007B7C04">
        <w:rPr>
          <w:lang w:val="fr-FR"/>
        </w:rPr>
        <w:t>’</w:t>
      </w:r>
      <w:r w:rsidRPr="00347577">
        <w:rPr>
          <w:lang w:val="fr-FR"/>
        </w:rPr>
        <w:t>appui d</w:t>
      </w:r>
      <w:r w:rsidR="007B7C04">
        <w:rPr>
          <w:lang w:val="fr-FR"/>
        </w:rPr>
        <w:t>’</w:t>
      </w:r>
      <w:r w:rsidRPr="00347577">
        <w:rPr>
          <w:lang w:val="fr-FR"/>
        </w:rPr>
        <w:t>agence non compris), soit un taux de décaissement de 98 </w:t>
      </w:r>
      <w:r w:rsidR="00C52326">
        <w:rPr>
          <w:lang w:val="fr-FR"/>
        </w:rPr>
        <w:t>pour cent</w:t>
      </w:r>
      <w:r w:rsidRPr="00347577">
        <w:rPr>
          <w:lang w:val="fr-FR"/>
        </w:rPr>
        <w:t>.</w:t>
      </w:r>
      <w:r w:rsidRPr="00C52326">
        <w:rPr>
          <w:lang w:val="fr-CA"/>
        </w:rPr>
        <w:t xml:space="preserve"> </w:t>
      </w:r>
      <w:r w:rsidRPr="00347577">
        <w:rPr>
          <w:lang w:val="fr-FR"/>
        </w:rPr>
        <w:t>En 2019, 3,19 millions $US ont été approuvés pour la mise en œuvre de projets ;</w:t>
      </w:r>
    </w:p>
    <w:p w14:paraId="408FCAE6" w14:textId="5EDDAFA3" w:rsidR="00347577" w:rsidRPr="00C52326" w:rsidRDefault="00347577" w:rsidP="00347577">
      <w:pPr>
        <w:pStyle w:val="Heading2"/>
        <w:numPr>
          <w:ilvl w:val="1"/>
          <w:numId w:val="1"/>
        </w:numPr>
        <w:rPr>
          <w:lang w:val="fr-CA"/>
        </w:rPr>
      </w:pPr>
      <w:r w:rsidRPr="00347577">
        <w:rPr>
          <w:b/>
          <w:lang w:val="fr-FR"/>
        </w:rPr>
        <w:t>Coût-efficacité (en tonnes PAO)</w:t>
      </w:r>
      <w:r w:rsidRPr="00347577">
        <w:rPr>
          <w:rStyle w:val="FootnoteReference"/>
          <w:bCs/>
          <w:sz w:val="22"/>
          <w:lang w:val="en-CA"/>
        </w:rPr>
        <w:footnoteReference w:id="7"/>
      </w:r>
      <w:r w:rsidR="007B7C04">
        <w:rPr>
          <w:b/>
          <w:lang w:val="fr-FR"/>
        </w:rPr>
        <w:t> :</w:t>
      </w:r>
      <w:r w:rsidRPr="00C52326">
        <w:rPr>
          <w:lang w:val="fr-CA"/>
        </w:rPr>
        <w:t xml:space="preserve"> </w:t>
      </w:r>
      <w:r w:rsidRPr="00347577">
        <w:rPr>
          <w:lang w:val="fr-FR"/>
        </w:rPr>
        <w:t>Depuis</w:t>
      </w:r>
      <w:r w:rsidR="007B7C04">
        <w:rPr>
          <w:lang w:val="fr-FR"/>
        </w:rPr>
        <w:t xml:space="preserve"> </w:t>
      </w:r>
      <w:r w:rsidRPr="00347577">
        <w:rPr>
          <w:lang w:val="fr-FR"/>
        </w:rPr>
        <w:t>1991, le rapport coût-efficacité moyen des projets d</w:t>
      </w:r>
      <w:r w:rsidR="007B7C04">
        <w:rPr>
          <w:lang w:val="fr-FR"/>
        </w:rPr>
        <w:t>’</w:t>
      </w:r>
      <w:r w:rsidRPr="00347577">
        <w:rPr>
          <w:lang w:val="fr-FR"/>
        </w:rPr>
        <w:t>investissement approuvés entraînant une réduction permanente de la consommation a été de 5,47$US/kg</w:t>
      </w:r>
      <w:r w:rsidR="001E204E">
        <w:rPr>
          <w:lang w:val="fr-FR"/>
        </w:rPr>
        <w:t>,</w:t>
      </w:r>
      <w:r w:rsidRPr="00347577">
        <w:rPr>
          <w:lang w:val="fr-FR"/>
        </w:rPr>
        <w:t xml:space="preserve"> et </w:t>
      </w:r>
      <w:r w:rsidR="001E204E" w:rsidRPr="00347577">
        <w:rPr>
          <w:lang w:val="fr-FR"/>
        </w:rPr>
        <w:t>de 4,86$US/kg</w:t>
      </w:r>
      <w:r w:rsidR="001E204E">
        <w:rPr>
          <w:lang w:val="fr-FR"/>
        </w:rPr>
        <w:t xml:space="preserve"> </w:t>
      </w:r>
      <w:r w:rsidRPr="00347577">
        <w:rPr>
          <w:lang w:val="fr-FR"/>
        </w:rPr>
        <w:t>pour le secteur de production .</w:t>
      </w:r>
      <w:r w:rsidRPr="00C52326">
        <w:rPr>
          <w:lang w:val="fr-CA"/>
        </w:rPr>
        <w:t xml:space="preserve"> </w:t>
      </w:r>
      <w:r w:rsidRPr="00347577">
        <w:rPr>
          <w:lang w:val="fr-FR"/>
        </w:rPr>
        <w:t>Le rapport coût-efficacité moyen des projets d</w:t>
      </w:r>
      <w:r w:rsidR="007B7C04">
        <w:rPr>
          <w:lang w:val="fr-FR"/>
        </w:rPr>
        <w:t>’</w:t>
      </w:r>
      <w:r w:rsidRPr="00347577">
        <w:rPr>
          <w:lang w:val="fr-FR"/>
        </w:rPr>
        <w:t>investissement par tonne PAO a été de 3,20</w:t>
      </w:r>
      <w:r w:rsidR="001E204E">
        <w:rPr>
          <w:lang w:val="fr-FR"/>
        </w:rPr>
        <w:t> </w:t>
      </w:r>
      <w:r w:rsidRPr="00347577">
        <w:rPr>
          <w:lang w:val="fr-FR"/>
        </w:rPr>
        <w:t>$US/kg pour les projets achevés et de 125,08 $US/kg pour les projets en cours</w:t>
      </w:r>
      <w:r w:rsidRPr="00347577">
        <w:rPr>
          <w:rStyle w:val="FootnoteReference"/>
          <w:lang w:val="fr-FR"/>
        </w:rPr>
        <w:footnoteReference w:id="8"/>
      </w:r>
      <w:r w:rsidRPr="00347577">
        <w:rPr>
          <w:lang w:val="fr-FR"/>
        </w:rPr>
        <w:t xml:space="preserve"> ;</w:t>
      </w:r>
      <w:r w:rsidRPr="00C52326">
        <w:rPr>
          <w:lang w:val="fr-CA"/>
        </w:rPr>
        <w:t xml:space="preserve"> </w:t>
      </w:r>
    </w:p>
    <w:p w14:paraId="1D7FA567" w14:textId="73DDDFBC" w:rsidR="00347577" w:rsidRPr="00C52326" w:rsidRDefault="00347577" w:rsidP="00347577">
      <w:pPr>
        <w:pStyle w:val="Heading2"/>
        <w:rPr>
          <w:lang w:val="fr-CA"/>
        </w:rPr>
      </w:pPr>
      <w:r w:rsidRPr="00347577">
        <w:rPr>
          <w:b/>
          <w:bCs/>
          <w:lang w:val="fr-FR"/>
        </w:rPr>
        <w:t>Nombre de projets achevés :</w:t>
      </w:r>
      <w:r w:rsidRPr="00C52326">
        <w:rPr>
          <w:lang w:val="fr-CA"/>
        </w:rPr>
        <w:t xml:space="preserve"> </w:t>
      </w:r>
      <w:r w:rsidRPr="00347577">
        <w:rPr>
          <w:lang w:val="fr-FR"/>
        </w:rPr>
        <w:t>En</w:t>
      </w:r>
      <w:r w:rsidR="007B7C04">
        <w:rPr>
          <w:lang w:val="fr-FR"/>
        </w:rPr>
        <w:t xml:space="preserve"> </w:t>
      </w:r>
      <w:r w:rsidRPr="00347577">
        <w:rPr>
          <w:lang w:val="fr-FR"/>
        </w:rPr>
        <w:t>2019, 12 projets ont été achevés.</w:t>
      </w:r>
      <w:r w:rsidRPr="00C52326">
        <w:rPr>
          <w:lang w:val="fr-CA"/>
        </w:rPr>
        <w:t xml:space="preserve"> </w:t>
      </w:r>
      <w:r w:rsidRPr="00347577">
        <w:rPr>
          <w:lang w:val="fr-FR"/>
        </w:rPr>
        <w:t>Depuis 1991, sur les 1 088 projets approuvés, 1 076 ont été achevés</w:t>
      </w:r>
      <w:r w:rsidR="004D4052">
        <w:rPr>
          <w:lang w:val="fr-FR"/>
        </w:rPr>
        <w:t xml:space="preserve"> </w:t>
      </w:r>
      <w:r w:rsidR="004D4052" w:rsidRPr="00347577">
        <w:rPr>
          <w:lang w:val="fr-FR"/>
        </w:rPr>
        <w:t>(à l</w:t>
      </w:r>
      <w:r w:rsidR="007B7C04">
        <w:rPr>
          <w:lang w:val="fr-FR"/>
        </w:rPr>
        <w:t>’</w:t>
      </w:r>
      <w:r w:rsidR="004D4052" w:rsidRPr="00347577">
        <w:rPr>
          <w:lang w:val="fr-FR"/>
        </w:rPr>
        <w:t>exclusion des projets clôturés ou transférés)</w:t>
      </w:r>
      <w:r w:rsidRPr="00347577">
        <w:rPr>
          <w:lang w:val="fr-FR"/>
        </w:rPr>
        <w:t>, représentant un taux d</w:t>
      </w:r>
      <w:r w:rsidR="007B7C04">
        <w:rPr>
          <w:lang w:val="fr-FR"/>
        </w:rPr>
        <w:t>’</w:t>
      </w:r>
      <w:r w:rsidRPr="00347577">
        <w:rPr>
          <w:lang w:val="fr-FR"/>
        </w:rPr>
        <w:t>achèvement de 99 pour cent</w:t>
      </w:r>
      <w:r w:rsidR="007B7C04">
        <w:rPr>
          <w:lang w:val="fr-FR"/>
        </w:rPr>
        <w:t> ;</w:t>
      </w:r>
      <w:r w:rsidRPr="00C52326">
        <w:rPr>
          <w:lang w:val="fr-CA"/>
        </w:rPr>
        <w:t xml:space="preserve"> </w:t>
      </w:r>
    </w:p>
    <w:p w14:paraId="1800DA0F" w14:textId="485D15E2" w:rsidR="00347577" w:rsidRPr="00C52326" w:rsidRDefault="00347577" w:rsidP="00347577">
      <w:pPr>
        <w:pStyle w:val="Heading2"/>
        <w:numPr>
          <w:ilvl w:val="1"/>
          <w:numId w:val="1"/>
        </w:numPr>
        <w:rPr>
          <w:lang w:val="fr-CA"/>
        </w:rPr>
      </w:pPr>
      <w:r w:rsidRPr="00347577">
        <w:rPr>
          <w:b/>
          <w:lang w:val="fr-FR"/>
        </w:rPr>
        <w:t>Vitesse de réalisation – projets d</w:t>
      </w:r>
      <w:r w:rsidR="007B7C04">
        <w:rPr>
          <w:b/>
          <w:lang w:val="fr-FR"/>
        </w:rPr>
        <w:t>’</w:t>
      </w:r>
      <w:r w:rsidRPr="00347577">
        <w:rPr>
          <w:b/>
          <w:lang w:val="fr-FR"/>
        </w:rPr>
        <w:t>investissement :</w:t>
      </w:r>
      <w:r w:rsidRPr="00C52326">
        <w:rPr>
          <w:b/>
          <w:lang w:val="fr-CA"/>
        </w:rPr>
        <w:t xml:space="preserve"> </w:t>
      </w:r>
      <w:r w:rsidRPr="00347577">
        <w:rPr>
          <w:lang w:val="fr-FR"/>
        </w:rPr>
        <w:t>Les</w:t>
      </w:r>
      <w:r w:rsidR="007B7C04">
        <w:rPr>
          <w:lang w:val="fr-FR"/>
        </w:rPr>
        <w:t xml:space="preserve"> </w:t>
      </w:r>
      <w:r w:rsidRPr="00347577">
        <w:rPr>
          <w:lang w:val="fr-FR"/>
        </w:rPr>
        <w:t>projets achevés en 2019 ont été terminés en moyenne 70 mois après leur approbation.</w:t>
      </w:r>
      <w:r w:rsidRPr="00C52326">
        <w:rPr>
          <w:lang w:val="fr-CA"/>
        </w:rPr>
        <w:t xml:space="preserve"> </w:t>
      </w:r>
      <w:r w:rsidRPr="00347577">
        <w:rPr>
          <w:lang w:val="fr-FR"/>
        </w:rPr>
        <w:t xml:space="preserve">Depuis 1991, la durée moyenne </w:t>
      </w:r>
      <w:r>
        <w:rPr>
          <w:lang w:val="fr-FR"/>
        </w:rPr>
        <w:t xml:space="preserve">de réalisation </w:t>
      </w:r>
      <w:r w:rsidRPr="00347577">
        <w:rPr>
          <w:lang w:val="fr-FR"/>
        </w:rPr>
        <w:t>des projets d</w:t>
      </w:r>
      <w:r w:rsidR="007B7C04">
        <w:rPr>
          <w:lang w:val="fr-FR"/>
        </w:rPr>
        <w:t>’</w:t>
      </w:r>
      <w:r w:rsidRPr="00347577">
        <w:rPr>
          <w:lang w:val="fr-FR"/>
        </w:rPr>
        <w:t>investissement a été de 40 mois après leur approbation.</w:t>
      </w:r>
      <w:r w:rsidRPr="00C52326">
        <w:rPr>
          <w:lang w:val="fr-CA"/>
        </w:rPr>
        <w:t xml:space="preserve"> </w:t>
      </w:r>
      <w:r w:rsidRPr="00347577">
        <w:rPr>
          <w:lang w:val="fr-FR"/>
        </w:rPr>
        <w:t>Les premiers décaissements pour ces projets ont été effectués en moyenne 24 mois après leur approbation ;</w:t>
      </w:r>
    </w:p>
    <w:p w14:paraId="421353AF" w14:textId="6D0A78F8" w:rsidR="00347577" w:rsidRPr="00C52326" w:rsidRDefault="00347577" w:rsidP="00347577">
      <w:pPr>
        <w:pStyle w:val="Heading2"/>
        <w:numPr>
          <w:ilvl w:val="1"/>
          <w:numId w:val="1"/>
        </w:numPr>
        <w:rPr>
          <w:lang w:val="fr-CA"/>
        </w:rPr>
      </w:pPr>
      <w:r w:rsidRPr="00347577">
        <w:rPr>
          <w:b/>
          <w:lang w:val="fr-FR"/>
        </w:rPr>
        <w:t>Rapidité de réalisation – projets ne portant pas sur des investissements</w:t>
      </w:r>
      <w:r w:rsidR="007B7C04">
        <w:rPr>
          <w:b/>
          <w:lang w:val="fr-FR"/>
        </w:rPr>
        <w:t xml:space="preserve"> </w:t>
      </w:r>
      <w:r w:rsidRPr="00347577">
        <w:rPr>
          <w:b/>
          <w:lang w:val="fr-FR"/>
        </w:rPr>
        <w:t>:</w:t>
      </w:r>
      <w:r w:rsidRPr="00C52326">
        <w:rPr>
          <w:lang w:val="fr-CA"/>
        </w:rPr>
        <w:t xml:space="preserve"> </w:t>
      </w:r>
      <w:r w:rsidRPr="00347577">
        <w:rPr>
          <w:lang w:val="fr-FR"/>
        </w:rPr>
        <w:t>Les</w:t>
      </w:r>
      <w:r w:rsidR="007B7C04">
        <w:rPr>
          <w:lang w:val="fr-FR"/>
        </w:rPr>
        <w:t xml:space="preserve"> </w:t>
      </w:r>
      <w:r w:rsidRPr="00347577">
        <w:rPr>
          <w:lang w:val="fr-FR"/>
        </w:rPr>
        <w:t>projets achevés en 2019 ont été terminés en moyenne 25 mois après leur approbation.</w:t>
      </w:r>
      <w:r w:rsidRPr="00C52326">
        <w:rPr>
          <w:lang w:val="fr-CA"/>
        </w:rPr>
        <w:t xml:space="preserve"> </w:t>
      </w:r>
      <w:r w:rsidRPr="00347577">
        <w:rPr>
          <w:lang w:val="fr-FR"/>
        </w:rPr>
        <w:t>Depuis 1991, la durée moyenne de réalisation des projets ne portant pas sur des investissements a été de 36 mois après leur approbation.</w:t>
      </w:r>
      <w:r w:rsidRPr="00C52326">
        <w:rPr>
          <w:lang w:val="fr-CA"/>
        </w:rPr>
        <w:t xml:space="preserve"> </w:t>
      </w:r>
      <w:r w:rsidRPr="00347577">
        <w:rPr>
          <w:lang w:val="fr-FR"/>
        </w:rPr>
        <w:t>Les premiers décaissements pour ces projets ont été effectués en moyenne 22 mois après leur approbation ;</w:t>
      </w:r>
    </w:p>
    <w:p w14:paraId="0D441C57" w14:textId="730934B7" w:rsidR="00347577" w:rsidRPr="00C52326" w:rsidRDefault="00347577" w:rsidP="00347577">
      <w:pPr>
        <w:pStyle w:val="Heading2"/>
        <w:widowControl/>
        <w:numPr>
          <w:ilvl w:val="1"/>
          <w:numId w:val="1"/>
        </w:numPr>
        <w:rPr>
          <w:b/>
          <w:bCs/>
          <w:lang w:val="fr-CA"/>
        </w:rPr>
      </w:pPr>
      <w:r w:rsidRPr="00347577">
        <w:rPr>
          <w:b/>
          <w:bCs/>
          <w:lang w:val="fr-FR"/>
        </w:rPr>
        <w:t>Préparation de projet :</w:t>
      </w:r>
      <w:r w:rsidRPr="00C52326">
        <w:rPr>
          <w:b/>
          <w:bCs/>
          <w:lang w:val="fr-CA"/>
        </w:rPr>
        <w:t xml:space="preserve"> </w:t>
      </w:r>
      <w:r w:rsidRPr="00347577">
        <w:rPr>
          <w:lang w:val="fr-FR"/>
        </w:rPr>
        <w:t>L</w:t>
      </w:r>
      <w:r w:rsidR="007B7C04">
        <w:rPr>
          <w:lang w:val="fr-FR"/>
        </w:rPr>
        <w:t>’</w:t>
      </w:r>
      <w:r w:rsidRPr="00347577">
        <w:rPr>
          <w:lang w:val="fr-FR"/>
        </w:rPr>
        <w:t>ensemble des 291 activités de préparation de projet approuvées ont été achevées à la fin de 2019</w:t>
      </w:r>
      <w:r w:rsidR="007B7C04">
        <w:rPr>
          <w:lang w:val="fr-FR"/>
        </w:rPr>
        <w:t> ;</w:t>
      </w:r>
      <w:r w:rsidRPr="00C52326">
        <w:rPr>
          <w:lang w:val="fr-CA"/>
        </w:rPr>
        <w:t xml:space="preserve"> </w:t>
      </w:r>
    </w:p>
    <w:p w14:paraId="7BF396C3" w14:textId="34FE08D1" w:rsidR="00347577" w:rsidRPr="00C52326" w:rsidRDefault="00347577" w:rsidP="00347577">
      <w:pPr>
        <w:pStyle w:val="Heading2"/>
        <w:widowControl/>
        <w:numPr>
          <w:ilvl w:val="1"/>
          <w:numId w:val="1"/>
        </w:numPr>
        <w:rPr>
          <w:lang w:val="fr-CA"/>
        </w:rPr>
      </w:pPr>
      <w:r w:rsidRPr="00347577">
        <w:rPr>
          <w:b/>
          <w:bCs/>
          <w:lang w:val="fr-FR"/>
        </w:rPr>
        <w:t>Retards dans la mise en œuvre :</w:t>
      </w:r>
      <w:r w:rsidRPr="00C52326">
        <w:rPr>
          <w:lang w:val="fr-CA"/>
        </w:rPr>
        <w:t xml:space="preserve"> </w:t>
      </w:r>
      <w:r w:rsidRPr="00347577">
        <w:rPr>
          <w:lang w:val="fr-FR"/>
        </w:rPr>
        <w:t>En tout, 12 projets d</w:t>
      </w:r>
      <w:r w:rsidR="007B7C04">
        <w:rPr>
          <w:lang w:val="fr-FR"/>
        </w:rPr>
        <w:t>’</w:t>
      </w:r>
      <w:r w:rsidRPr="00347577">
        <w:rPr>
          <w:lang w:val="fr-FR"/>
        </w:rPr>
        <w:t>investissement étaient en cours de mise en œuvre à la fin de 2019, connaissant en moyenne un retard de 38 mois.</w:t>
      </w:r>
      <w:r w:rsidRPr="00C52326">
        <w:rPr>
          <w:lang w:val="fr-CA"/>
        </w:rPr>
        <w:t xml:space="preserve"> </w:t>
      </w:r>
      <w:r w:rsidRPr="00347577">
        <w:rPr>
          <w:lang w:val="fr-FR"/>
        </w:rPr>
        <w:t>Trois d</w:t>
      </w:r>
      <w:r w:rsidR="007B7C04">
        <w:rPr>
          <w:lang w:val="fr-FR"/>
        </w:rPr>
        <w:t>’</w:t>
      </w:r>
      <w:r w:rsidRPr="00347577">
        <w:rPr>
          <w:lang w:val="fr-FR"/>
        </w:rPr>
        <w:t>entre eux étaient classés comme « projets ayant un retard dans la mise en œuvre »</w:t>
      </w:r>
      <w:r w:rsidRPr="00347577">
        <w:rPr>
          <w:rStyle w:val="FootnoteReference"/>
          <w:lang w:val="fr-FR"/>
        </w:rPr>
        <w:footnoteReference w:id="9"/>
      </w:r>
      <w:r w:rsidRPr="00347577">
        <w:rPr>
          <w:lang w:val="fr-FR"/>
        </w:rPr>
        <w:t xml:space="preserve"> soumis à des procédures d</w:t>
      </w:r>
      <w:r w:rsidR="007B7C04">
        <w:rPr>
          <w:lang w:val="fr-FR"/>
        </w:rPr>
        <w:t>’</w:t>
      </w:r>
      <w:r w:rsidRPr="00347577">
        <w:rPr>
          <w:lang w:val="fr-FR"/>
        </w:rPr>
        <w:t>annulation (les activités de préparation de projet, les accords pluriannuels et les activités de renforcement des institutions n</w:t>
      </w:r>
      <w:r w:rsidR="007B7C04">
        <w:rPr>
          <w:lang w:val="fr-FR"/>
        </w:rPr>
        <w:t>’</w:t>
      </w:r>
      <w:r w:rsidRPr="00347577">
        <w:rPr>
          <w:lang w:val="fr-FR"/>
        </w:rPr>
        <w:t>étant pas soumis à de telles procédures) ; et</w:t>
      </w:r>
    </w:p>
    <w:p w14:paraId="3573471B" w14:textId="4B2D5416" w:rsidR="00347577" w:rsidRPr="00C52326" w:rsidRDefault="00347577" w:rsidP="00041D59">
      <w:pPr>
        <w:pStyle w:val="Heading2"/>
        <w:widowControl/>
        <w:numPr>
          <w:ilvl w:val="1"/>
          <w:numId w:val="1"/>
        </w:numPr>
        <w:rPr>
          <w:lang w:val="fr-CA"/>
        </w:rPr>
      </w:pPr>
      <w:r w:rsidRPr="00347577">
        <w:rPr>
          <w:b/>
          <w:lang w:val="fr-FR"/>
        </w:rPr>
        <w:t>Accords pluriannuels (MYA) :</w:t>
      </w:r>
      <w:r w:rsidRPr="00C52326">
        <w:rPr>
          <w:lang w:val="fr-CA"/>
        </w:rPr>
        <w:t xml:space="preserve"> </w:t>
      </w:r>
      <w:r w:rsidRPr="00347577">
        <w:rPr>
          <w:lang w:val="fr-FR"/>
        </w:rPr>
        <w:t>En 2019, cinq accords pluriannuels</w:t>
      </w:r>
      <w:r w:rsidR="007B7C04">
        <w:rPr>
          <w:lang w:val="fr-FR"/>
        </w:rPr>
        <w:t xml:space="preserve"> </w:t>
      </w:r>
      <w:r w:rsidRPr="00347577">
        <w:rPr>
          <w:lang w:val="fr-FR"/>
        </w:rPr>
        <w:t>pour les plans de gestion de l</w:t>
      </w:r>
      <w:r w:rsidR="007B7C04">
        <w:rPr>
          <w:lang w:val="fr-FR"/>
        </w:rPr>
        <w:t>’</w:t>
      </w:r>
      <w:r w:rsidRPr="00347577">
        <w:rPr>
          <w:lang w:val="fr-FR"/>
        </w:rPr>
        <w:t>élimination des HCFC (PGEH) étaient en cours de mise en œuvre.</w:t>
      </w:r>
      <w:r w:rsidRPr="00C52326">
        <w:rPr>
          <w:lang w:val="fr-CA"/>
        </w:rPr>
        <w:t xml:space="preserve"> </w:t>
      </w:r>
      <w:r w:rsidRPr="00347577">
        <w:rPr>
          <w:lang w:val="fr-FR"/>
        </w:rPr>
        <w:t>Depuis 1991, 39 accords pluriannuels ont été approuvés et 34 ont été achevées, représentant un taux d</w:t>
      </w:r>
      <w:r w:rsidR="007B7C04">
        <w:rPr>
          <w:lang w:val="fr-FR"/>
        </w:rPr>
        <w:t>’</w:t>
      </w:r>
      <w:r w:rsidRPr="00347577">
        <w:rPr>
          <w:lang w:val="fr-FR"/>
        </w:rPr>
        <w:t>achèvement de 87 pour cent.</w:t>
      </w:r>
      <w:r w:rsidRPr="00C52326">
        <w:rPr>
          <w:lang w:val="fr-CA"/>
        </w:rPr>
        <w:t xml:space="preserve"> </w:t>
      </w:r>
    </w:p>
    <w:p w14:paraId="2939F42C" w14:textId="7DBBC1EE" w:rsidR="00E433C6" w:rsidRPr="00041D59" w:rsidRDefault="00A45958" w:rsidP="00041D59">
      <w:pPr>
        <w:pStyle w:val="a--"/>
        <w:keepNext/>
        <w:keepLines/>
        <w:tabs>
          <w:tab w:val="left" w:pos="5055"/>
        </w:tabs>
        <w:suppressAutoHyphens w:val="0"/>
        <w:spacing w:after="240"/>
        <w:rPr>
          <w:sz w:val="22"/>
          <w:szCs w:val="22"/>
          <w:lang w:val="fr-FR"/>
        </w:rPr>
      </w:pPr>
      <w:r w:rsidRPr="00A45958">
        <w:rPr>
          <w:sz w:val="22"/>
          <w:szCs w:val="22"/>
          <w:lang w:val="fr-FR"/>
        </w:rPr>
        <w:lastRenderedPageBreak/>
        <w:t>A</w:t>
      </w:r>
      <w:r w:rsidR="00347577" w:rsidRPr="00A45958">
        <w:rPr>
          <w:sz w:val="22"/>
          <w:szCs w:val="22"/>
          <w:lang w:val="fr-FR"/>
        </w:rPr>
        <w:t xml:space="preserve">vancement </w:t>
      </w:r>
      <w:r w:rsidRPr="00A45958">
        <w:rPr>
          <w:sz w:val="22"/>
          <w:szCs w:val="22"/>
          <w:lang w:val="fr-FR"/>
        </w:rPr>
        <w:t xml:space="preserve">de la mise en œuvre </w:t>
      </w:r>
      <w:r w:rsidR="00347577" w:rsidRPr="00A45958">
        <w:rPr>
          <w:sz w:val="22"/>
          <w:szCs w:val="22"/>
          <w:lang w:val="fr-FR"/>
        </w:rPr>
        <w:t>des projets en 2019</w:t>
      </w:r>
    </w:p>
    <w:p w14:paraId="6E20F6CE" w14:textId="0421FB74" w:rsidR="00A45958" w:rsidRPr="00C52326" w:rsidRDefault="00A45958" w:rsidP="00A45958">
      <w:pPr>
        <w:pStyle w:val="Heading1"/>
        <w:rPr>
          <w:lang w:val="fr-CA"/>
        </w:rPr>
      </w:pPr>
      <w:r w:rsidRPr="00A45958">
        <w:rPr>
          <w:lang w:val="fr-FR"/>
        </w:rPr>
        <w:t>À l</w:t>
      </w:r>
      <w:r w:rsidR="007B7C04">
        <w:rPr>
          <w:lang w:val="fr-FR"/>
        </w:rPr>
        <w:t>’</w:t>
      </w:r>
      <w:r w:rsidRPr="00A45958">
        <w:rPr>
          <w:lang w:val="fr-FR"/>
        </w:rPr>
        <w:t>issue du processus d</w:t>
      </w:r>
      <w:r w:rsidR="007B7C04">
        <w:rPr>
          <w:lang w:val="fr-FR"/>
        </w:rPr>
        <w:t>’</w:t>
      </w:r>
      <w:r w:rsidRPr="00A45958">
        <w:rPr>
          <w:lang w:val="fr-FR"/>
        </w:rPr>
        <w:t>examen, un certain nombre de questions avaient été discuté</w:t>
      </w:r>
      <w:r w:rsidR="001E204E">
        <w:rPr>
          <w:lang w:val="fr-FR"/>
        </w:rPr>
        <w:t>e</w:t>
      </w:r>
      <w:r w:rsidRPr="00A45958">
        <w:rPr>
          <w:lang w:val="fr-FR"/>
        </w:rPr>
        <w:t>s et résolues de manière satisfaisante, exceptés trois projets se rapportant à des éléments d</w:t>
      </w:r>
      <w:r w:rsidR="007B7C04">
        <w:rPr>
          <w:lang w:val="fr-FR"/>
        </w:rPr>
        <w:t>’</w:t>
      </w:r>
      <w:r w:rsidRPr="00A45958">
        <w:rPr>
          <w:lang w:val="fr-FR"/>
        </w:rPr>
        <w:t>accords pluriannuels comportant des retards de mise en œuvre qui sont soumis aux procédures d</w:t>
      </w:r>
      <w:r w:rsidR="007B7C04">
        <w:rPr>
          <w:lang w:val="fr-FR"/>
        </w:rPr>
        <w:t>’</w:t>
      </w:r>
      <w:r w:rsidRPr="00A45958">
        <w:rPr>
          <w:lang w:val="fr-FR"/>
        </w:rPr>
        <w:t>annulation de projet, conformément à la décision 84/45(c).</w:t>
      </w:r>
      <w:r w:rsidRPr="00C52326">
        <w:rPr>
          <w:lang w:val="fr-CA"/>
        </w:rPr>
        <w:t xml:space="preserve"> </w:t>
      </w:r>
      <w:r w:rsidRPr="00A45958">
        <w:rPr>
          <w:lang w:val="fr-FR"/>
        </w:rPr>
        <w:t>Ces projets classés comme ayant des retards de mise en œuvre figurent à l</w:t>
      </w:r>
      <w:r w:rsidR="007B7C04">
        <w:rPr>
          <w:lang w:val="fr-FR"/>
        </w:rPr>
        <w:t>’</w:t>
      </w:r>
      <w:r w:rsidRPr="00A45958">
        <w:rPr>
          <w:lang w:val="fr-FR"/>
        </w:rPr>
        <w:t>Annexe I au présent document, ainsi que la recommandation du Secrétariat demandant la présentation d</w:t>
      </w:r>
      <w:r w:rsidR="007B7C04">
        <w:rPr>
          <w:lang w:val="fr-FR"/>
        </w:rPr>
        <w:t>’</w:t>
      </w:r>
      <w:r w:rsidRPr="00A45958">
        <w:rPr>
          <w:lang w:val="fr-FR"/>
        </w:rPr>
        <w:t>un rapport à la 87</w:t>
      </w:r>
      <w:r w:rsidRPr="00A45958">
        <w:rPr>
          <w:vertAlign w:val="superscript"/>
          <w:lang w:val="fr-FR"/>
        </w:rPr>
        <w:t>e</w:t>
      </w:r>
      <w:r w:rsidRPr="00A45958">
        <w:rPr>
          <w:lang w:val="fr-FR"/>
        </w:rPr>
        <w:t xml:space="preserve"> réunion.</w:t>
      </w:r>
    </w:p>
    <w:p w14:paraId="3F2AB7C6" w14:textId="26380F39" w:rsidR="00A45958" w:rsidRPr="00C52326" w:rsidRDefault="001E204E" w:rsidP="00A45958">
      <w:pPr>
        <w:pStyle w:val="Heading1"/>
        <w:rPr>
          <w:lang w:val="fr-CA"/>
        </w:rPr>
      </w:pPr>
      <w:r>
        <w:rPr>
          <w:lang w:val="fr-FR"/>
        </w:rPr>
        <w:t>L</w:t>
      </w:r>
      <w:r w:rsidR="00A45958" w:rsidRPr="00A45958">
        <w:rPr>
          <w:lang w:val="fr-FR"/>
        </w:rPr>
        <w:t>es détails de</w:t>
      </w:r>
      <w:r>
        <w:rPr>
          <w:lang w:val="fr-FR"/>
        </w:rPr>
        <w:t xml:space="preserve"> l’avancement de la</w:t>
      </w:r>
      <w:r w:rsidR="00A45958" w:rsidRPr="00A45958">
        <w:rPr>
          <w:lang w:val="fr-FR"/>
        </w:rPr>
        <w:t xml:space="preserve"> mise en œuvre des projets associés au plan de gestion de l</w:t>
      </w:r>
      <w:r w:rsidR="007B7C04">
        <w:rPr>
          <w:lang w:val="fr-FR"/>
        </w:rPr>
        <w:t>’</w:t>
      </w:r>
      <w:r w:rsidR="00A45958" w:rsidRPr="00A45958">
        <w:rPr>
          <w:lang w:val="fr-FR"/>
        </w:rPr>
        <w:t>élimination pour la production de HCFC pour la Chine</w:t>
      </w:r>
      <w:r w:rsidR="00A45958" w:rsidRPr="00A45958">
        <w:rPr>
          <w:rStyle w:val="FootnoteReference"/>
          <w:sz w:val="22"/>
          <w:szCs w:val="22"/>
          <w:lang w:val="fr-FR"/>
        </w:rPr>
        <w:footnoteReference w:id="10"/>
      </w:r>
      <w:r w:rsidR="00A45958" w:rsidRPr="00A45958">
        <w:rPr>
          <w:lang w:val="fr-FR"/>
        </w:rPr>
        <w:t xml:space="preserve"> et les rapports sur les projets comportant des exigences particulières pour la remise de rapports liés à la Chine (PGEH)</w:t>
      </w:r>
      <w:r w:rsidR="00A45958" w:rsidRPr="00A45958">
        <w:rPr>
          <w:rStyle w:val="FootnoteReference"/>
          <w:sz w:val="22"/>
          <w:szCs w:val="22"/>
          <w:lang w:val="fr-FR"/>
        </w:rPr>
        <w:footnoteReference w:id="11"/>
      </w:r>
      <w:r w:rsidR="00A45958" w:rsidRPr="00A45958">
        <w:rPr>
          <w:lang w:val="fr-FR"/>
        </w:rPr>
        <w:t xml:space="preserve"> et à la Jordanie (PGEH)</w:t>
      </w:r>
      <w:r w:rsidR="00A45958" w:rsidRPr="00A45958">
        <w:rPr>
          <w:rStyle w:val="FootnoteReference"/>
          <w:sz w:val="22"/>
          <w:szCs w:val="22"/>
          <w:lang w:val="fr-FR"/>
        </w:rPr>
        <w:footnoteReference w:id="12"/>
      </w:r>
      <w:r w:rsidR="00A45958" w:rsidRPr="00A45958">
        <w:rPr>
          <w:lang w:val="fr-FR"/>
        </w:rPr>
        <w:t xml:space="preserve"> ont été soumis à la 86</w:t>
      </w:r>
      <w:r w:rsidR="00A45958" w:rsidRPr="00A45958">
        <w:rPr>
          <w:vertAlign w:val="superscript"/>
          <w:lang w:val="fr-FR"/>
        </w:rPr>
        <w:t>e</w:t>
      </w:r>
      <w:r w:rsidR="00A45958" w:rsidRPr="00A45958">
        <w:rPr>
          <w:lang w:val="fr-FR"/>
        </w:rPr>
        <w:t xml:space="preserve"> réunion.</w:t>
      </w:r>
      <w:r w:rsidR="00A45958" w:rsidRPr="00C52326">
        <w:rPr>
          <w:lang w:val="fr-CA"/>
        </w:rPr>
        <w:t xml:space="preserve"> </w:t>
      </w:r>
      <w:r w:rsidR="00A45958" w:rsidRPr="00A45958">
        <w:rPr>
          <w:lang w:val="fr-FR"/>
        </w:rPr>
        <w:t>Les recommandations relatives aux questions en suspens se rapportant à ces projets, y compris l</w:t>
      </w:r>
      <w:r w:rsidR="007B7C04">
        <w:rPr>
          <w:lang w:val="fr-FR"/>
        </w:rPr>
        <w:t>’</w:t>
      </w:r>
      <w:r w:rsidR="00A45958" w:rsidRPr="00A45958">
        <w:rPr>
          <w:lang w:val="fr-FR"/>
        </w:rPr>
        <w:t>approbation des demandes de prolongation, le cas échéant, sont traitées dans les sections correspondantes de ces documents.</w:t>
      </w:r>
      <w:r w:rsidR="00A45958" w:rsidRPr="00C52326">
        <w:rPr>
          <w:lang w:val="fr-CA"/>
        </w:rPr>
        <w:t xml:space="preserve"> </w:t>
      </w:r>
      <w:r w:rsidR="00A45958" w:rsidRPr="00A45958">
        <w:rPr>
          <w:lang w:val="fr-FR"/>
        </w:rPr>
        <w:t xml:space="preserve">Les questions </w:t>
      </w:r>
      <w:r w:rsidR="00424963">
        <w:rPr>
          <w:lang w:val="fr-FR"/>
        </w:rPr>
        <w:t xml:space="preserve">concernant le </w:t>
      </w:r>
      <w:r w:rsidR="00A45958" w:rsidRPr="00A45958">
        <w:rPr>
          <w:lang w:val="fr-FR"/>
        </w:rPr>
        <w:t xml:space="preserve">PGEH de la Thaïlande et celui du </w:t>
      </w:r>
      <w:r w:rsidR="00424963">
        <w:rPr>
          <w:lang w:val="fr-FR"/>
        </w:rPr>
        <w:t xml:space="preserve">Viet </w:t>
      </w:r>
      <w:r w:rsidR="00A45958" w:rsidRPr="00A45958">
        <w:rPr>
          <w:lang w:val="fr-FR"/>
        </w:rPr>
        <w:t>Nam qui devaient être présentées à la 86</w:t>
      </w:r>
      <w:r w:rsidR="00A45958" w:rsidRPr="00A45958">
        <w:rPr>
          <w:vertAlign w:val="superscript"/>
          <w:lang w:val="fr-FR"/>
        </w:rPr>
        <w:t>e</w:t>
      </w:r>
      <w:r w:rsidR="00A45958" w:rsidRPr="00A45958">
        <w:rPr>
          <w:lang w:val="fr-FR"/>
        </w:rPr>
        <w:t xml:space="preserve"> réunion mais n</w:t>
      </w:r>
      <w:r w:rsidR="007B7C04">
        <w:rPr>
          <w:lang w:val="fr-FR"/>
        </w:rPr>
        <w:t>’</w:t>
      </w:r>
      <w:r w:rsidR="00A45958" w:rsidRPr="00A45958">
        <w:rPr>
          <w:lang w:val="fr-FR"/>
        </w:rPr>
        <w:t>ont pas été soumises, sont abordées dans le document sur les retards de soumission de tranches</w:t>
      </w:r>
      <w:r w:rsidR="00A45958" w:rsidRPr="00A45958">
        <w:rPr>
          <w:rStyle w:val="FootnoteReference"/>
          <w:sz w:val="22"/>
          <w:lang w:val="en-CA"/>
        </w:rPr>
        <w:footnoteReference w:id="13"/>
      </w:r>
      <w:r w:rsidR="003762DD">
        <w:rPr>
          <w:lang w:val="fr-FR"/>
        </w:rPr>
        <w:t>.</w:t>
      </w:r>
    </w:p>
    <w:p w14:paraId="68509FF1" w14:textId="35F5D62F" w:rsidR="00A45958" w:rsidRPr="00C52326" w:rsidRDefault="00A45958" w:rsidP="00A45958">
      <w:pPr>
        <w:pStyle w:val="Heading1"/>
        <w:rPr>
          <w:lang w:val="fr-CA"/>
        </w:rPr>
      </w:pPr>
      <w:r w:rsidRPr="00A45958">
        <w:rPr>
          <w:lang w:val="fr-FR"/>
        </w:rPr>
        <w:t>Sur les 10 projets en cours, à l</w:t>
      </w:r>
      <w:r w:rsidR="007B7C04">
        <w:rPr>
          <w:lang w:val="fr-FR"/>
        </w:rPr>
        <w:t>’</w:t>
      </w:r>
      <w:r w:rsidRPr="00A45958">
        <w:rPr>
          <w:lang w:val="fr-FR"/>
        </w:rPr>
        <w:t>exclusion des projets de renforcement des institutions et de préparation de projet, 2 projets présentaient des dates prévues d</w:t>
      </w:r>
      <w:r w:rsidR="007B7C04">
        <w:rPr>
          <w:lang w:val="fr-FR"/>
        </w:rPr>
        <w:t>’</w:t>
      </w:r>
      <w:r w:rsidRPr="00A45958">
        <w:rPr>
          <w:lang w:val="fr-FR"/>
        </w:rPr>
        <w:t>achèvement révisées depuis le rapport périodique de 2018.</w:t>
      </w:r>
      <w:r w:rsidRPr="00C52326">
        <w:rPr>
          <w:lang w:val="fr-CA"/>
        </w:rPr>
        <w:t xml:space="preserve"> </w:t>
      </w:r>
    </w:p>
    <w:p w14:paraId="72A02236" w14:textId="77777777" w:rsidR="00347577" w:rsidRPr="00C52326" w:rsidRDefault="00347577" w:rsidP="003F02B2">
      <w:pPr>
        <w:pStyle w:val="Heading1"/>
        <w:numPr>
          <w:ilvl w:val="0"/>
          <w:numId w:val="0"/>
        </w:numPr>
        <w:ind w:left="1418" w:hanging="1418"/>
        <w:rPr>
          <w:rFonts w:ascii="Times New Roman Bold" w:hAnsi="Times New Roman Bold"/>
          <w:caps/>
          <w:szCs w:val="28"/>
          <w:lang w:val="fr-CA"/>
        </w:rPr>
      </w:pPr>
    </w:p>
    <w:p w14:paraId="077ED323" w14:textId="4FACB767" w:rsidR="00E433C6" w:rsidRPr="00C52326" w:rsidRDefault="00A45958" w:rsidP="00A45958">
      <w:pPr>
        <w:pStyle w:val="Heading1"/>
        <w:numPr>
          <w:ilvl w:val="0"/>
          <w:numId w:val="0"/>
        </w:numPr>
        <w:ind w:left="1418" w:hanging="1418"/>
        <w:rPr>
          <w:rFonts w:ascii="Times New Roman Bold" w:hAnsi="Times New Roman Bold"/>
          <w:b/>
          <w:caps/>
          <w:szCs w:val="28"/>
          <w:lang w:val="fr-CA"/>
        </w:rPr>
      </w:pPr>
      <w:r w:rsidRPr="001E204E">
        <w:rPr>
          <w:rFonts w:ascii="Times New Roman Bold" w:hAnsi="Times New Roman Bold"/>
          <w:b/>
          <w:caps/>
          <w:szCs w:val="28"/>
          <w:lang w:val="fr-FR"/>
        </w:rPr>
        <w:t>PARTIE II</w:t>
      </w:r>
      <w:r w:rsidRPr="001E204E">
        <w:rPr>
          <w:rFonts w:ascii="Times New Roman Bold" w:hAnsi="Times New Roman Bold" w:hint="eastAsia"/>
          <w:b/>
          <w:caps/>
          <w:szCs w:val="28"/>
          <w:lang w:val="fr-FR"/>
        </w:rPr>
        <w:t> </w:t>
      </w:r>
      <w:r w:rsidRPr="001E204E">
        <w:rPr>
          <w:rFonts w:ascii="Times New Roman Bold" w:hAnsi="Times New Roman Bold"/>
          <w:b/>
          <w:caps/>
          <w:szCs w:val="28"/>
          <w:lang w:val="fr-FR"/>
        </w:rPr>
        <w:t>:</w:t>
      </w:r>
      <w:r w:rsidR="00E433C6" w:rsidRPr="00C52326">
        <w:rPr>
          <w:rFonts w:ascii="Times New Roman Bold" w:hAnsi="Times New Roman Bold"/>
          <w:b/>
          <w:caps/>
          <w:szCs w:val="28"/>
          <w:lang w:val="fr-CA"/>
        </w:rPr>
        <w:tab/>
      </w:r>
      <w:r w:rsidRPr="001E204E">
        <w:rPr>
          <w:rFonts w:ascii="Times New Roman Bold" w:hAnsi="Times New Roman Bold"/>
          <w:b/>
          <w:caps/>
          <w:szCs w:val="28"/>
          <w:lang w:val="fr-FR"/>
        </w:rPr>
        <w:t>PROJETS APPROUV</w:t>
      </w:r>
      <w:r w:rsidRPr="001E204E">
        <w:rPr>
          <w:rFonts w:ascii="Times New Roman Bold" w:hAnsi="Times New Roman Bold" w:hint="eastAsia"/>
          <w:b/>
          <w:caps/>
          <w:szCs w:val="28"/>
          <w:lang w:val="fr-FR"/>
        </w:rPr>
        <w:t>É</w:t>
      </w:r>
      <w:r w:rsidRPr="001E204E">
        <w:rPr>
          <w:rFonts w:ascii="Times New Roman Bold" w:hAnsi="Times New Roman Bold"/>
          <w:b/>
          <w:caps/>
          <w:szCs w:val="28"/>
          <w:lang w:val="fr-FR"/>
        </w:rPr>
        <w:t>S AU TITRE DES CONTRIBUTIONS VOLONTAIRES SUPPLÉMENTAIRES AFIN DE SOUTENIR LE D</w:t>
      </w:r>
      <w:r w:rsidRPr="001E204E">
        <w:rPr>
          <w:rFonts w:ascii="Times New Roman Bold" w:hAnsi="Times New Roman Bold" w:hint="eastAsia"/>
          <w:b/>
          <w:caps/>
          <w:szCs w:val="28"/>
          <w:lang w:val="fr-FR"/>
        </w:rPr>
        <w:t>É</w:t>
      </w:r>
      <w:r w:rsidRPr="001E204E">
        <w:rPr>
          <w:rFonts w:ascii="Times New Roman Bold" w:hAnsi="Times New Roman Bold"/>
          <w:b/>
          <w:caps/>
          <w:szCs w:val="28"/>
          <w:lang w:val="fr-FR"/>
        </w:rPr>
        <w:t>MARRAGE RAPIDE DU PROCESSUS D</w:t>
      </w:r>
      <w:r w:rsidR="007B7C04" w:rsidRPr="001E204E">
        <w:rPr>
          <w:rFonts w:ascii="Times New Roman Bold" w:hAnsi="Times New Roman Bold" w:hint="eastAsia"/>
          <w:b/>
          <w:caps/>
          <w:szCs w:val="28"/>
          <w:lang w:val="fr-FR"/>
        </w:rPr>
        <w:t>’</w:t>
      </w:r>
      <w:r w:rsidRPr="001E204E">
        <w:rPr>
          <w:rFonts w:ascii="Times New Roman Bold" w:hAnsi="Times New Roman Bold" w:hint="eastAsia"/>
          <w:b/>
          <w:caps/>
          <w:szCs w:val="28"/>
          <w:lang w:val="fr-FR"/>
        </w:rPr>
        <w:t>É</w:t>
      </w:r>
      <w:r w:rsidRPr="001E204E">
        <w:rPr>
          <w:rFonts w:ascii="Times New Roman Bold" w:hAnsi="Times New Roman Bold"/>
          <w:b/>
          <w:caps/>
          <w:szCs w:val="28"/>
          <w:lang w:val="fr-FR"/>
        </w:rPr>
        <w:t>LIMINATION PROGRESSIVE DES HFC</w:t>
      </w:r>
    </w:p>
    <w:p w14:paraId="44B173D0" w14:textId="71046BAF" w:rsidR="00A45958" w:rsidRPr="00C52326" w:rsidRDefault="00A45958" w:rsidP="00A45958">
      <w:pPr>
        <w:pStyle w:val="Heading1"/>
        <w:rPr>
          <w:lang w:val="fr-CA"/>
        </w:rPr>
      </w:pPr>
      <w:r w:rsidRPr="00A45958">
        <w:rPr>
          <w:lang w:val="fr-FR"/>
        </w:rPr>
        <w:t>Au 31 décembre 2019, le Comité exécutif avait approuvé cinq projets portant sur les HFC comme le récapitule le tableau 1.</w:t>
      </w:r>
      <w:r w:rsidRPr="00C52326">
        <w:rPr>
          <w:lang w:val="fr-CA"/>
        </w:rPr>
        <w:t xml:space="preserve"> </w:t>
      </w:r>
    </w:p>
    <w:p w14:paraId="0EB41DE3" w14:textId="7D1B36D9" w:rsidR="004C43AE" w:rsidRPr="00C52326" w:rsidRDefault="00A45958" w:rsidP="003F02B2">
      <w:pPr>
        <w:pStyle w:val="Heading1"/>
        <w:keepNext/>
        <w:keepLines/>
        <w:numPr>
          <w:ilvl w:val="0"/>
          <w:numId w:val="0"/>
        </w:numPr>
        <w:spacing w:after="0"/>
        <w:rPr>
          <w:b/>
          <w:lang w:val="fr-CA"/>
        </w:rPr>
      </w:pPr>
      <w:r w:rsidRPr="00A45958">
        <w:rPr>
          <w:b/>
          <w:lang w:val="fr-FR"/>
        </w:rPr>
        <w:t>Tableau 1. État d</w:t>
      </w:r>
      <w:r w:rsidR="007B7C04">
        <w:rPr>
          <w:b/>
          <w:lang w:val="fr-FR"/>
        </w:rPr>
        <w:t>’</w:t>
      </w:r>
      <w:r w:rsidRPr="00A45958">
        <w:rPr>
          <w:b/>
          <w:lang w:val="fr-FR"/>
        </w:rPr>
        <w:t>avancement des projets approuvés relatifs aux HFC à la fin de 2019</w:t>
      </w:r>
    </w:p>
    <w:tbl>
      <w:tblPr>
        <w:tblW w:w="9481" w:type="dxa"/>
        <w:tblInd w:w="-5" w:type="dxa"/>
        <w:tblLook w:val="04A0" w:firstRow="1" w:lastRow="0" w:firstColumn="1" w:lastColumn="0" w:noHBand="0" w:noVBand="1"/>
      </w:tblPr>
      <w:tblGrid>
        <w:gridCol w:w="1741"/>
        <w:gridCol w:w="1157"/>
        <w:gridCol w:w="978"/>
        <w:gridCol w:w="1192"/>
        <w:gridCol w:w="1124"/>
        <w:gridCol w:w="1153"/>
        <w:gridCol w:w="990"/>
        <w:gridCol w:w="1146"/>
      </w:tblGrid>
      <w:tr w:rsidR="00E44C3F" w:rsidRPr="00E44C3F" w14:paraId="539F9FCA" w14:textId="77777777" w:rsidTr="003762DD">
        <w:tc>
          <w:tcPr>
            <w:tcW w:w="1741" w:type="dxa"/>
            <w:vMerge w:val="restart"/>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hideMark/>
          </w:tcPr>
          <w:p w14:paraId="2EEB3DCC" w14:textId="2E4DD7A7" w:rsidR="004C43AE" w:rsidRPr="00A45958" w:rsidRDefault="00A45958" w:rsidP="003171CE">
            <w:pPr>
              <w:keepNext/>
              <w:keepLines/>
              <w:jc w:val="left"/>
              <w:rPr>
                <w:b/>
                <w:bCs/>
                <w:sz w:val="20"/>
                <w:szCs w:val="20"/>
                <w:lang w:val="en-CA" w:eastAsia="en-CA"/>
              </w:rPr>
            </w:pPr>
            <w:r w:rsidRPr="00A45958">
              <w:rPr>
                <w:b/>
                <w:bCs/>
                <w:sz w:val="20"/>
                <w:szCs w:val="20"/>
                <w:lang w:val="fr-FR" w:eastAsia="en-CA"/>
              </w:rPr>
              <w:t>Type</w:t>
            </w:r>
          </w:p>
        </w:tc>
        <w:tc>
          <w:tcPr>
            <w:tcW w:w="3327" w:type="dxa"/>
            <w:gridSpan w:val="3"/>
            <w:tcBorders>
              <w:top w:val="single" w:sz="4" w:space="0" w:color="auto"/>
              <w:left w:val="nil"/>
              <w:bottom w:val="single" w:sz="4" w:space="0" w:color="auto"/>
              <w:right w:val="single" w:sz="4" w:space="0" w:color="auto"/>
            </w:tcBorders>
            <w:shd w:val="clear" w:color="auto" w:fill="auto"/>
            <w:noWrap/>
            <w:tcMar>
              <w:left w:w="58" w:type="dxa"/>
              <w:right w:w="58" w:type="dxa"/>
            </w:tcMar>
            <w:hideMark/>
          </w:tcPr>
          <w:p w14:paraId="11AE74A8" w14:textId="7D48D763" w:rsidR="004C43AE" w:rsidRPr="00A45958" w:rsidRDefault="00A45958" w:rsidP="003171CE">
            <w:pPr>
              <w:keepNext/>
              <w:keepLines/>
              <w:jc w:val="center"/>
              <w:rPr>
                <w:b/>
                <w:bCs/>
                <w:sz w:val="20"/>
                <w:szCs w:val="20"/>
                <w:lang w:val="en-CA" w:eastAsia="en-CA"/>
              </w:rPr>
            </w:pPr>
            <w:r w:rsidRPr="00A45958">
              <w:rPr>
                <w:b/>
                <w:bCs/>
                <w:sz w:val="20"/>
                <w:szCs w:val="20"/>
                <w:lang w:val="fr-FR" w:eastAsia="en-CA"/>
              </w:rPr>
              <w:t>Nombre de</w:t>
            </w:r>
            <w:r w:rsidR="007B7C04">
              <w:rPr>
                <w:b/>
                <w:bCs/>
                <w:sz w:val="20"/>
                <w:szCs w:val="20"/>
                <w:lang w:val="fr-FR" w:eastAsia="en-CA"/>
              </w:rPr>
              <w:t xml:space="preserve"> </w:t>
            </w:r>
            <w:r w:rsidRPr="00A45958">
              <w:rPr>
                <w:b/>
                <w:bCs/>
                <w:sz w:val="20"/>
                <w:szCs w:val="20"/>
                <w:lang w:val="fr-FR" w:eastAsia="en-CA"/>
              </w:rPr>
              <w:t>projets*</w:t>
            </w:r>
          </w:p>
        </w:tc>
        <w:tc>
          <w:tcPr>
            <w:tcW w:w="4413" w:type="dxa"/>
            <w:gridSpan w:val="4"/>
            <w:tcBorders>
              <w:top w:val="single" w:sz="4" w:space="0" w:color="auto"/>
              <w:left w:val="nil"/>
              <w:bottom w:val="single" w:sz="4" w:space="0" w:color="auto"/>
              <w:right w:val="single" w:sz="4" w:space="0" w:color="auto"/>
            </w:tcBorders>
            <w:shd w:val="clear" w:color="auto" w:fill="auto"/>
            <w:noWrap/>
            <w:tcMar>
              <w:left w:w="58" w:type="dxa"/>
              <w:right w:w="58" w:type="dxa"/>
            </w:tcMar>
            <w:hideMark/>
          </w:tcPr>
          <w:p w14:paraId="6CBE17B0" w14:textId="4BD69902" w:rsidR="004C43AE" w:rsidRPr="00A45958" w:rsidRDefault="00A45958" w:rsidP="003171CE">
            <w:pPr>
              <w:keepNext/>
              <w:keepLines/>
              <w:jc w:val="center"/>
              <w:rPr>
                <w:b/>
                <w:bCs/>
                <w:sz w:val="20"/>
                <w:szCs w:val="20"/>
                <w:lang w:val="en-CA" w:eastAsia="en-CA"/>
              </w:rPr>
            </w:pPr>
            <w:r w:rsidRPr="00A45958">
              <w:rPr>
                <w:b/>
                <w:bCs/>
                <w:sz w:val="20"/>
                <w:szCs w:val="20"/>
                <w:lang w:val="fr-FR" w:eastAsia="en-CA"/>
              </w:rPr>
              <w:t>Financement ($US)**</w:t>
            </w:r>
          </w:p>
        </w:tc>
      </w:tr>
      <w:tr w:rsidR="00A45958" w:rsidRPr="00E44C3F" w14:paraId="541D5753" w14:textId="77777777" w:rsidTr="003762DD">
        <w:tc>
          <w:tcPr>
            <w:tcW w:w="1741" w:type="dxa"/>
            <w:vMerge/>
            <w:tcBorders>
              <w:top w:val="single" w:sz="4" w:space="0" w:color="auto"/>
              <w:left w:val="single" w:sz="4" w:space="0" w:color="auto"/>
              <w:bottom w:val="single" w:sz="4" w:space="0" w:color="auto"/>
              <w:right w:val="single" w:sz="4" w:space="0" w:color="auto"/>
            </w:tcBorders>
            <w:tcMar>
              <w:left w:w="58" w:type="dxa"/>
              <w:right w:w="58" w:type="dxa"/>
            </w:tcMar>
            <w:hideMark/>
          </w:tcPr>
          <w:p w14:paraId="2DC1F51B" w14:textId="77777777" w:rsidR="004C43AE" w:rsidRPr="00E44C3F" w:rsidRDefault="004C43AE" w:rsidP="003F02B2">
            <w:pPr>
              <w:keepNext/>
              <w:keepLines/>
              <w:jc w:val="left"/>
              <w:rPr>
                <w:b/>
                <w:bCs/>
                <w:sz w:val="20"/>
                <w:szCs w:val="20"/>
                <w:lang w:val="en-CA" w:eastAsia="en-CA"/>
              </w:rPr>
            </w:pPr>
          </w:p>
        </w:tc>
        <w:tc>
          <w:tcPr>
            <w:tcW w:w="1157"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4E4D5CB" w14:textId="068FDDDD" w:rsidR="004C43AE" w:rsidRPr="00A45958" w:rsidRDefault="00A45958" w:rsidP="003171CE">
            <w:pPr>
              <w:keepNext/>
              <w:keepLines/>
              <w:jc w:val="center"/>
              <w:rPr>
                <w:b/>
                <w:bCs/>
                <w:sz w:val="20"/>
                <w:szCs w:val="20"/>
                <w:lang w:val="en-CA" w:eastAsia="en-CA"/>
              </w:rPr>
            </w:pPr>
            <w:r w:rsidRPr="00A45958">
              <w:rPr>
                <w:b/>
                <w:bCs/>
                <w:sz w:val="20"/>
                <w:szCs w:val="20"/>
                <w:lang w:val="fr-FR" w:eastAsia="en-CA"/>
              </w:rPr>
              <w:t>Approuvés</w:t>
            </w:r>
          </w:p>
        </w:tc>
        <w:tc>
          <w:tcPr>
            <w:tcW w:w="978"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59EA7D13" w14:textId="0ACCB2A9" w:rsidR="004C43AE" w:rsidRPr="00A45958" w:rsidRDefault="00A45958" w:rsidP="003171CE">
            <w:pPr>
              <w:keepNext/>
              <w:keepLines/>
              <w:jc w:val="center"/>
              <w:rPr>
                <w:b/>
                <w:bCs/>
                <w:sz w:val="20"/>
                <w:szCs w:val="20"/>
                <w:lang w:val="en-CA" w:eastAsia="en-CA"/>
              </w:rPr>
            </w:pPr>
            <w:r w:rsidRPr="00A45958">
              <w:rPr>
                <w:b/>
                <w:bCs/>
                <w:sz w:val="20"/>
                <w:szCs w:val="20"/>
                <w:lang w:val="fr-FR" w:eastAsia="en-CA"/>
              </w:rPr>
              <w:t>Achevés</w:t>
            </w:r>
          </w:p>
        </w:tc>
        <w:tc>
          <w:tcPr>
            <w:tcW w:w="1192"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3CD21D0" w14:textId="0568C829" w:rsidR="004C43AE" w:rsidRPr="00A45958" w:rsidRDefault="00A45958" w:rsidP="003171CE">
            <w:pPr>
              <w:keepNext/>
              <w:keepLines/>
              <w:ind w:left="-125" w:right="-107"/>
              <w:jc w:val="center"/>
              <w:rPr>
                <w:b/>
                <w:bCs/>
                <w:sz w:val="20"/>
                <w:szCs w:val="20"/>
                <w:lang w:val="en-CA" w:eastAsia="en-CA"/>
              </w:rPr>
            </w:pPr>
            <w:r w:rsidRPr="00A45958">
              <w:rPr>
                <w:b/>
                <w:bCs/>
                <w:sz w:val="20"/>
                <w:szCs w:val="20"/>
                <w:lang w:val="fr-FR" w:eastAsia="en-CA"/>
              </w:rPr>
              <w:t>Achevés (%)</w:t>
            </w:r>
          </w:p>
        </w:tc>
        <w:tc>
          <w:tcPr>
            <w:tcW w:w="1124"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3F96EF38" w14:textId="1140DF0E" w:rsidR="004C43AE" w:rsidRPr="00A45958" w:rsidRDefault="00A45958" w:rsidP="003171CE">
            <w:pPr>
              <w:keepNext/>
              <w:keepLines/>
              <w:jc w:val="center"/>
              <w:rPr>
                <w:b/>
                <w:bCs/>
                <w:sz w:val="20"/>
                <w:szCs w:val="20"/>
                <w:lang w:val="en-CA" w:eastAsia="en-CA"/>
              </w:rPr>
            </w:pPr>
            <w:r w:rsidRPr="00A45958">
              <w:rPr>
                <w:b/>
                <w:bCs/>
                <w:sz w:val="20"/>
                <w:szCs w:val="20"/>
                <w:lang w:val="fr-FR" w:eastAsia="en-CA"/>
              </w:rPr>
              <w:t>Approuvé</w:t>
            </w:r>
          </w:p>
        </w:tc>
        <w:tc>
          <w:tcPr>
            <w:tcW w:w="1153"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C641C33" w14:textId="75C69D2D" w:rsidR="004C43AE" w:rsidRPr="00A45958" w:rsidRDefault="00A45958" w:rsidP="003171CE">
            <w:pPr>
              <w:keepNext/>
              <w:keepLines/>
              <w:jc w:val="center"/>
              <w:rPr>
                <w:b/>
                <w:bCs/>
                <w:sz w:val="20"/>
                <w:szCs w:val="20"/>
                <w:lang w:val="en-CA" w:eastAsia="en-CA"/>
              </w:rPr>
            </w:pPr>
            <w:r w:rsidRPr="00A45958">
              <w:rPr>
                <w:b/>
                <w:bCs/>
                <w:sz w:val="20"/>
                <w:szCs w:val="20"/>
                <w:lang w:val="fr-FR" w:eastAsia="en-CA"/>
              </w:rPr>
              <w:t>Décaissé</w:t>
            </w:r>
          </w:p>
        </w:tc>
        <w:tc>
          <w:tcPr>
            <w:tcW w:w="99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79A96BC" w14:textId="1CBE308D" w:rsidR="004C43AE" w:rsidRPr="00A45958" w:rsidRDefault="00A45958" w:rsidP="003171CE">
            <w:pPr>
              <w:keepNext/>
              <w:keepLines/>
              <w:jc w:val="center"/>
              <w:rPr>
                <w:b/>
                <w:bCs/>
                <w:sz w:val="20"/>
                <w:szCs w:val="20"/>
                <w:lang w:val="en-CA" w:eastAsia="en-CA"/>
              </w:rPr>
            </w:pPr>
            <w:r w:rsidRPr="00A45958">
              <w:rPr>
                <w:b/>
                <w:bCs/>
                <w:sz w:val="20"/>
                <w:szCs w:val="20"/>
                <w:lang w:val="fr-FR" w:eastAsia="en-CA"/>
              </w:rPr>
              <w:t>Solde</w:t>
            </w:r>
          </w:p>
        </w:tc>
        <w:tc>
          <w:tcPr>
            <w:tcW w:w="114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0958BB5" w14:textId="45ECC15D" w:rsidR="004C43AE" w:rsidRPr="00A45958" w:rsidRDefault="00A45958" w:rsidP="003171CE">
            <w:pPr>
              <w:keepNext/>
              <w:keepLines/>
              <w:ind w:left="-175" w:right="-107"/>
              <w:jc w:val="center"/>
              <w:rPr>
                <w:b/>
                <w:bCs/>
                <w:sz w:val="20"/>
                <w:szCs w:val="20"/>
                <w:lang w:val="en-CA" w:eastAsia="en-CA"/>
              </w:rPr>
            </w:pPr>
            <w:r w:rsidRPr="00A45958">
              <w:rPr>
                <w:b/>
                <w:bCs/>
                <w:sz w:val="20"/>
                <w:szCs w:val="20"/>
                <w:lang w:val="fr-FR" w:eastAsia="en-CA"/>
              </w:rPr>
              <w:t xml:space="preserve"> Décaissé (%)</w:t>
            </w:r>
          </w:p>
        </w:tc>
      </w:tr>
      <w:tr w:rsidR="00A45958" w:rsidRPr="00E44C3F" w14:paraId="076DD3D1" w14:textId="77777777" w:rsidTr="003762DD">
        <w:tc>
          <w:tcPr>
            <w:tcW w:w="1741"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04ABEA51" w14:textId="1F276D83" w:rsidR="004C43AE" w:rsidRPr="00A45958" w:rsidRDefault="00A45958" w:rsidP="003171CE">
            <w:pPr>
              <w:jc w:val="left"/>
              <w:rPr>
                <w:sz w:val="20"/>
                <w:szCs w:val="20"/>
                <w:lang w:val="en-CA" w:eastAsia="en-CA"/>
              </w:rPr>
            </w:pPr>
            <w:r w:rsidRPr="00A45958">
              <w:rPr>
                <w:sz w:val="20"/>
                <w:szCs w:val="20"/>
                <w:lang w:val="fr-FR" w:eastAsia="en-CA"/>
              </w:rPr>
              <w:t>Investissement</w:t>
            </w:r>
          </w:p>
        </w:tc>
        <w:tc>
          <w:tcPr>
            <w:tcW w:w="1157"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5248CCC3" w14:textId="77777777" w:rsidR="004C43AE" w:rsidRPr="00E44C3F" w:rsidRDefault="004C43AE" w:rsidP="00477BE6">
            <w:pPr>
              <w:jc w:val="right"/>
              <w:rPr>
                <w:sz w:val="20"/>
                <w:szCs w:val="20"/>
                <w:lang w:val="en-CA" w:eastAsia="en-CA"/>
              </w:rPr>
            </w:pPr>
            <w:r w:rsidRPr="00E44C3F">
              <w:rPr>
                <w:sz w:val="20"/>
                <w:szCs w:val="20"/>
                <w:lang w:val="en-CA" w:eastAsia="en-CA"/>
              </w:rPr>
              <w:t>1</w:t>
            </w:r>
          </w:p>
        </w:tc>
        <w:tc>
          <w:tcPr>
            <w:tcW w:w="978"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4DE43C8A" w14:textId="77777777" w:rsidR="004C43AE" w:rsidRPr="00E44C3F" w:rsidRDefault="004C43AE" w:rsidP="00477BE6">
            <w:pPr>
              <w:jc w:val="right"/>
              <w:rPr>
                <w:sz w:val="20"/>
                <w:szCs w:val="20"/>
                <w:lang w:val="en-CA" w:eastAsia="en-CA"/>
              </w:rPr>
            </w:pPr>
            <w:r w:rsidRPr="00E44C3F">
              <w:rPr>
                <w:sz w:val="20"/>
                <w:szCs w:val="20"/>
                <w:lang w:val="en-CA" w:eastAsia="en-CA"/>
              </w:rPr>
              <w:t>0</w:t>
            </w:r>
          </w:p>
        </w:tc>
        <w:tc>
          <w:tcPr>
            <w:tcW w:w="1192"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47F362F5" w14:textId="7B3AB004" w:rsidR="004C43AE" w:rsidRPr="00E44C3F" w:rsidRDefault="004C43AE" w:rsidP="00477BE6">
            <w:pPr>
              <w:jc w:val="right"/>
              <w:rPr>
                <w:sz w:val="20"/>
                <w:szCs w:val="20"/>
                <w:lang w:val="en-CA" w:eastAsia="en-CA"/>
              </w:rPr>
            </w:pPr>
            <w:r w:rsidRPr="00E44C3F">
              <w:rPr>
                <w:sz w:val="20"/>
                <w:szCs w:val="20"/>
                <w:lang w:val="en-CA" w:eastAsia="en-CA"/>
              </w:rPr>
              <w:t>0</w:t>
            </w:r>
          </w:p>
        </w:tc>
        <w:tc>
          <w:tcPr>
            <w:tcW w:w="1124"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5F282F43" w14:textId="7E08D156" w:rsidR="004C43AE" w:rsidRPr="00E44C3F" w:rsidRDefault="004C43AE" w:rsidP="00477BE6">
            <w:pPr>
              <w:jc w:val="right"/>
              <w:rPr>
                <w:sz w:val="20"/>
                <w:szCs w:val="20"/>
                <w:lang w:val="en-CA"/>
              </w:rPr>
            </w:pPr>
            <w:r w:rsidRPr="00E44C3F">
              <w:rPr>
                <w:sz w:val="20"/>
                <w:szCs w:val="20"/>
              </w:rPr>
              <w:t>183</w:t>
            </w:r>
            <w:r w:rsidR="003762DD">
              <w:rPr>
                <w:sz w:val="20"/>
                <w:szCs w:val="20"/>
              </w:rPr>
              <w:t> </w:t>
            </w:r>
            <w:r w:rsidRPr="00E44C3F">
              <w:rPr>
                <w:sz w:val="20"/>
                <w:szCs w:val="20"/>
              </w:rPr>
              <w:t>514</w:t>
            </w:r>
          </w:p>
        </w:tc>
        <w:tc>
          <w:tcPr>
            <w:tcW w:w="1153"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23AA0A83" w14:textId="77777777" w:rsidR="004C43AE" w:rsidRPr="00E44C3F" w:rsidRDefault="004C43AE" w:rsidP="00477BE6">
            <w:pPr>
              <w:jc w:val="right"/>
              <w:rPr>
                <w:sz w:val="20"/>
                <w:szCs w:val="20"/>
              </w:rPr>
            </w:pPr>
            <w:r w:rsidRPr="00E44C3F">
              <w:rPr>
                <w:sz w:val="20"/>
                <w:szCs w:val="20"/>
              </w:rPr>
              <w:t>0</w:t>
            </w:r>
          </w:p>
        </w:tc>
        <w:tc>
          <w:tcPr>
            <w:tcW w:w="990"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4D621004" w14:textId="2F2BDCD3" w:rsidR="004C43AE" w:rsidRPr="00E44C3F" w:rsidRDefault="004C43AE" w:rsidP="00477BE6">
            <w:pPr>
              <w:jc w:val="right"/>
              <w:rPr>
                <w:sz w:val="20"/>
                <w:szCs w:val="20"/>
              </w:rPr>
            </w:pPr>
            <w:r w:rsidRPr="00E44C3F">
              <w:rPr>
                <w:sz w:val="20"/>
                <w:szCs w:val="20"/>
              </w:rPr>
              <w:t>183</w:t>
            </w:r>
            <w:r w:rsidR="003762DD">
              <w:rPr>
                <w:sz w:val="20"/>
                <w:szCs w:val="20"/>
              </w:rPr>
              <w:t> </w:t>
            </w:r>
            <w:r w:rsidRPr="00E44C3F">
              <w:rPr>
                <w:sz w:val="20"/>
                <w:szCs w:val="20"/>
              </w:rPr>
              <w:t>514</w:t>
            </w:r>
          </w:p>
        </w:tc>
        <w:tc>
          <w:tcPr>
            <w:tcW w:w="1146"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460D4DC8" w14:textId="01FE6A92" w:rsidR="004C43AE" w:rsidRPr="00E44C3F" w:rsidRDefault="004C43AE" w:rsidP="00477BE6">
            <w:pPr>
              <w:jc w:val="right"/>
              <w:rPr>
                <w:sz w:val="20"/>
                <w:szCs w:val="20"/>
              </w:rPr>
            </w:pPr>
            <w:r w:rsidRPr="00E44C3F">
              <w:rPr>
                <w:sz w:val="20"/>
                <w:szCs w:val="20"/>
              </w:rPr>
              <w:t>0</w:t>
            </w:r>
          </w:p>
        </w:tc>
      </w:tr>
      <w:tr w:rsidR="00A45958" w:rsidRPr="00E44C3F" w14:paraId="3090C29C" w14:textId="77777777" w:rsidTr="003762DD">
        <w:tc>
          <w:tcPr>
            <w:tcW w:w="1741"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1B63AA75" w14:textId="2B5A7FFD" w:rsidR="004C43AE" w:rsidRPr="00A45958" w:rsidRDefault="00A45958" w:rsidP="003171CE">
            <w:pPr>
              <w:jc w:val="left"/>
              <w:rPr>
                <w:sz w:val="20"/>
                <w:szCs w:val="20"/>
                <w:lang w:val="en-CA" w:eastAsia="en-CA"/>
              </w:rPr>
            </w:pPr>
            <w:r w:rsidRPr="00A45958">
              <w:rPr>
                <w:sz w:val="20"/>
                <w:szCs w:val="20"/>
                <w:lang w:val="fr-FR" w:eastAsia="en-CA"/>
              </w:rPr>
              <w:t>Préparation de projet</w:t>
            </w:r>
          </w:p>
        </w:tc>
        <w:tc>
          <w:tcPr>
            <w:tcW w:w="1157"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598F0073" w14:textId="77777777" w:rsidR="004C43AE" w:rsidRPr="00E44C3F" w:rsidRDefault="004C43AE" w:rsidP="00477BE6">
            <w:pPr>
              <w:jc w:val="right"/>
              <w:rPr>
                <w:sz w:val="20"/>
                <w:szCs w:val="20"/>
                <w:lang w:val="en-CA" w:eastAsia="en-CA"/>
              </w:rPr>
            </w:pPr>
            <w:r w:rsidRPr="00E44C3F">
              <w:rPr>
                <w:sz w:val="20"/>
                <w:szCs w:val="20"/>
                <w:lang w:val="en-CA" w:eastAsia="en-CA"/>
              </w:rPr>
              <w:t>1</w:t>
            </w:r>
          </w:p>
        </w:tc>
        <w:tc>
          <w:tcPr>
            <w:tcW w:w="978"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5E113396" w14:textId="77777777" w:rsidR="004C43AE" w:rsidRPr="00E44C3F" w:rsidRDefault="004C43AE" w:rsidP="00477BE6">
            <w:pPr>
              <w:jc w:val="right"/>
              <w:rPr>
                <w:sz w:val="20"/>
                <w:szCs w:val="20"/>
                <w:lang w:val="en-CA" w:eastAsia="en-CA"/>
              </w:rPr>
            </w:pPr>
            <w:r w:rsidRPr="00E44C3F">
              <w:rPr>
                <w:sz w:val="20"/>
                <w:szCs w:val="20"/>
                <w:lang w:val="en-CA" w:eastAsia="en-CA"/>
              </w:rPr>
              <w:t>1</w:t>
            </w:r>
          </w:p>
        </w:tc>
        <w:tc>
          <w:tcPr>
            <w:tcW w:w="1192"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54F4EC57" w14:textId="1A4C8C08" w:rsidR="004C43AE" w:rsidRPr="00E44C3F" w:rsidRDefault="004C43AE" w:rsidP="00477BE6">
            <w:pPr>
              <w:jc w:val="right"/>
              <w:rPr>
                <w:sz w:val="20"/>
                <w:szCs w:val="20"/>
                <w:lang w:val="en-CA" w:eastAsia="en-CA"/>
              </w:rPr>
            </w:pPr>
            <w:r w:rsidRPr="00E44C3F">
              <w:rPr>
                <w:sz w:val="20"/>
                <w:szCs w:val="20"/>
                <w:lang w:val="en-CA" w:eastAsia="en-CA"/>
              </w:rPr>
              <w:t>100</w:t>
            </w:r>
          </w:p>
        </w:tc>
        <w:tc>
          <w:tcPr>
            <w:tcW w:w="1124"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531BA031" w14:textId="220A31EC" w:rsidR="004C43AE" w:rsidRPr="00E44C3F" w:rsidRDefault="004C43AE" w:rsidP="00477BE6">
            <w:pPr>
              <w:jc w:val="right"/>
              <w:rPr>
                <w:sz w:val="20"/>
                <w:szCs w:val="20"/>
              </w:rPr>
            </w:pPr>
            <w:r w:rsidRPr="00E44C3F">
              <w:rPr>
                <w:sz w:val="20"/>
                <w:szCs w:val="20"/>
              </w:rPr>
              <w:t>30</w:t>
            </w:r>
            <w:r w:rsidR="003762DD">
              <w:rPr>
                <w:sz w:val="20"/>
                <w:szCs w:val="20"/>
              </w:rPr>
              <w:t> </w:t>
            </w:r>
            <w:r w:rsidRPr="00E44C3F">
              <w:rPr>
                <w:sz w:val="20"/>
                <w:szCs w:val="20"/>
              </w:rPr>
              <w:t>000</w:t>
            </w:r>
          </w:p>
        </w:tc>
        <w:tc>
          <w:tcPr>
            <w:tcW w:w="1153"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65DD68CA" w14:textId="713541A2" w:rsidR="004C43AE" w:rsidRPr="00E44C3F" w:rsidRDefault="004C43AE" w:rsidP="00477BE6">
            <w:pPr>
              <w:jc w:val="right"/>
              <w:rPr>
                <w:sz w:val="20"/>
                <w:szCs w:val="20"/>
              </w:rPr>
            </w:pPr>
            <w:r w:rsidRPr="00E44C3F">
              <w:rPr>
                <w:sz w:val="20"/>
                <w:szCs w:val="20"/>
              </w:rPr>
              <w:t>30</w:t>
            </w:r>
            <w:r w:rsidR="003762DD">
              <w:rPr>
                <w:sz w:val="20"/>
                <w:szCs w:val="20"/>
              </w:rPr>
              <w:t> </w:t>
            </w:r>
            <w:r w:rsidRPr="00E44C3F">
              <w:rPr>
                <w:sz w:val="20"/>
                <w:szCs w:val="20"/>
              </w:rPr>
              <w:t>000</w:t>
            </w:r>
          </w:p>
        </w:tc>
        <w:tc>
          <w:tcPr>
            <w:tcW w:w="990"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7A0A0A49" w14:textId="77777777" w:rsidR="004C43AE" w:rsidRPr="00E44C3F" w:rsidRDefault="004C43AE" w:rsidP="00477BE6">
            <w:pPr>
              <w:jc w:val="right"/>
              <w:rPr>
                <w:sz w:val="20"/>
                <w:szCs w:val="20"/>
              </w:rPr>
            </w:pPr>
            <w:r w:rsidRPr="00E44C3F">
              <w:rPr>
                <w:sz w:val="20"/>
                <w:szCs w:val="20"/>
              </w:rPr>
              <w:t>0</w:t>
            </w:r>
          </w:p>
        </w:tc>
        <w:tc>
          <w:tcPr>
            <w:tcW w:w="1146"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6E398ADA" w14:textId="780FD2B2" w:rsidR="004C43AE" w:rsidRPr="00E44C3F" w:rsidRDefault="004C43AE" w:rsidP="00477BE6">
            <w:pPr>
              <w:jc w:val="right"/>
              <w:rPr>
                <w:sz w:val="20"/>
                <w:szCs w:val="20"/>
              </w:rPr>
            </w:pPr>
            <w:r w:rsidRPr="00E44C3F">
              <w:rPr>
                <w:sz w:val="20"/>
                <w:szCs w:val="20"/>
              </w:rPr>
              <w:t>100</w:t>
            </w:r>
          </w:p>
        </w:tc>
      </w:tr>
      <w:tr w:rsidR="00A45958" w:rsidRPr="00E44C3F" w14:paraId="3DEFE49A" w14:textId="77777777" w:rsidTr="003762DD">
        <w:tc>
          <w:tcPr>
            <w:tcW w:w="1741"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3C86A66D" w14:textId="1FDBCB3E" w:rsidR="005A7448" w:rsidRPr="00A45958" w:rsidRDefault="00A45958" w:rsidP="003171CE">
            <w:pPr>
              <w:jc w:val="left"/>
              <w:rPr>
                <w:sz w:val="20"/>
                <w:szCs w:val="20"/>
                <w:lang w:val="en-CA" w:eastAsia="en-CA"/>
              </w:rPr>
            </w:pPr>
            <w:r w:rsidRPr="00A45958">
              <w:rPr>
                <w:sz w:val="20"/>
                <w:szCs w:val="20"/>
                <w:lang w:val="fr-FR" w:eastAsia="en-CA"/>
              </w:rPr>
              <w:t>Activités de facilitation</w:t>
            </w:r>
          </w:p>
        </w:tc>
        <w:tc>
          <w:tcPr>
            <w:tcW w:w="1157" w:type="dxa"/>
            <w:tcBorders>
              <w:top w:val="nil"/>
              <w:left w:val="nil"/>
              <w:bottom w:val="single" w:sz="4" w:space="0" w:color="auto"/>
              <w:right w:val="single" w:sz="4" w:space="0" w:color="auto"/>
            </w:tcBorders>
            <w:shd w:val="clear" w:color="auto" w:fill="auto"/>
            <w:tcMar>
              <w:left w:w="58" w:type="dxa"/>
              <w:right w:w="173" w:type="dxa"/>
            </w:tcMar>
            <w:vAlign w:val="center"/>
            <w:hideMark/>
          </w:tcPr>
          <w:p w14:paraId="14AB6F94" w14:textId="77777777" w:rsidR="005A7448" w:rsidRPr="00E44C3F" w:rsidRDefault="005A7448" w:rsidP="005A7448">
            <w:pPr>
              <w:jc w:val="right"/>
              <w:rPr>
                <w:sz w:val="20"/>
                <w:szCs w:val="20"/>
                <w:lang w:val="en-CA" w:eastAsia="en-CA"/>
              </w:rPr>
            </w:pPr>
            <w:r w:rsidRPr="00E44C3F">
              <w:rPr>
                <w:sz w:val="20"/>
                <w:szCs w:val="20"/>
                <w:lang w:val="en-CA" w:eastAsia="en-CA"/>
              </w:rPr>
              <w:t>3</w:t>
            </w:r>
          </w:p>
        </w:tc>
        <w:tc>
          <w:tcPr>
            <w:tcW w:w="978" w:type="dxa"/>
            <w:tcBorders>
              <w:top w:val="nil"/>
              <w:left w:val="nil"/>
              <w:bottom w:val="single" w:sz="4" w:space="0" w:color="auto"/>
              <w:right w:val="single" w:sz="4" w:space="0" w:color="auto"/>
            </w:tcBorders>
            <w:shd w:val="clear" w:color="auto" w:fill="auto"/>
            <w:tcMar>
              <w:left w:w="58" w:type="dxa"/>
              <w:right w:w="173" w:type="dxa"/>
            </w:tcMar>
            <w:vAlign w:val="center"/>
            <w:hideMark/>
          </w:tcPr>
          <w:p w14:paraId="0FE43B4A" w14:textId="77777777" w:rsidR="005A7448" w:rsidRPr="00E44C3F" w:rsidRDefault="005A7448" w:rsidP="005A7448">
            <w:pPr>
              <w:jc w:val="right"/>
              <w:rPr>
                <w:sz w:val="20"/>
                <w:szCs w:val="20"/>
                <w:lang w:val="en-CA" w:eastAsia="en-CA"/>
              </w:rPr>
            </w:pPr>
            <w:r w:rsidRPr="00E44C3F">
              <w:rPr>
                <w:sz w:val="20"/>
                <w:szCs w:val="20"/>
                <w:lang w:val="en-CA" w:eastAsia="en-CA"/>
              </w:rPr>
              <w:t>0</w:t>
            </w:r>
          </w:p>
        </w:tc>
        <w:tc>
          <w:tcPr>
            <w:tcW w:w="1192"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41C3340A" w14:textId="606EBA79" w:rsidR="005A7448" w:rsidRPr="00E44C3F" w:rsidRDefault="005A7448" w:rsidP="005A7448">
            <w:pPr>
              <w:jc w:val="right"/>
              <w:rPr>
                <w:sz w:val="20"/>
                <w:szCs w:val="20"/>
                <w:lang w:val="en-CA" w:eastAsia="en-CA"/>
              </w:rPr>
            </w:pPr>
            <w:r w:rsidRPr="00E44C3F">
              <w:rPr>
                <w:sz w:val="20"/>
                <w:szCs w:val="20"/>
                <w:lang w:val="en-CA" w:eastAsia="en-CA"/>
              </w:rPr>
              <w:t>0</w:t>
            </w:r>
          </w:p>
        </w:tc>
        <w:tc>
          <w:tcPr>
            <w:tcW w:w="1124" w:type="dxa"/>
            <w:tcBorders>
              <w:top w:val="nil"/>
              <w:left w:val="nil"/>
              <w:bottom w:val="single" w:sz="4" w:space="0" w:color="auto"/>
              <w:right w:val="single" w:sz="4" w:space="0" w:color="auto"/>
            </w:tcBorders>
            <w:shd w:val="clear" w:color="auto" w:fill="auto"/>
            <w:tcMar>
              <w:left w:w="58" w:type="dxa"/>
              <w:right w:w="173" w:type="dxa"/>
            </w:tcMar>
            <w:hideMark/>
          </w:tcPr>
          <w:p w14:paraId="78B03946" w14:textId="33583A2E" w:rsidR="005A7448" w:rsidRPr="00E44C3F" w:rsidRDefault="005A7448" w:rsidP="005A7448">
            <w:pPr>
              <w:jc w:val="right"/>
              <w:rPr>
                <w:sz w:val="20"/>
                <w:szCs w:val="20"/>
              </w:rPr>
            </w:pPr>
            <w:r w:rsidRPr="00E44C3F">
              <w:rPr>
                <w:sz w:val="20"/>
                <w:szCs w:val="20"/>
              </w:rPr>
              <w:t>750</w:t>
            </w:r>
            <w:r w:rsidR="003762DD">
              <w:rPr>
                <w:sz w:val="20"/>
                <w:szCs w:val="20"/>
              </w:rPr>
              <w:t> </w:t>
            </w:r>
            <w:r w:rsidRPr="00E44C3F">
              <w:rPr>
                <w:sz w:val="20"/>
                <w:szCs w:val="20"/>
              </w:rPr>
              <w:t>000</w:t>
            </w:r>
          </w:p>
        </w:tc>
        <w:tc>
          <w:tcPr>
            <w:tcW w:w="1153" w:type="dxa"/>
            <w:tcBorders>
              <w:top w:val="nil"/>
              <w:left w:val="nil"/>
              <w:bottom w:val="single" w:sz="4" w:space="0" w:color="auto"/>
              <w:right w:val="single" w:sz="4" w:space="0" w:color="auto"/>
            </w:tcBorders>
            <w:shd w:val="clear" w:color="auto" w:fill="auto"/>
            <w:tcMar>
              <w:left w:w="58" w:type="dxa"/>
              <w:right w:w="173" w:type="dxa"/>
            </w:tcMar>
            <w:hideMark/>
          </w:tcPr>
          <w:p w14:paraId="1B9223E0" w14:textId="14975111" w:rsidR="005A7448" w:rsidRPr="00E44C3F" w:rsidRDefault="005A7448" w:rsidP="005A7448">
            <w:pPr>
              <w:jc w:val="right"/>
              <w:rPr>
                <w:sz w:val="20"/>
                <w:szCs w:val="20"/>
              </w:rPr>
            </w:pPr>
            <w:r w:rsidRPr="00E44C3F">
              <w:rPr>
                <w:sz w:val="20"/>
                <w:szCs w:val="20"/>
              </w:rPr>
              <w:t>240</w:t>
            </w:r>
            <w:r w:rsidR="003762DD">
              <w:rPr>
                <w:sz w:val="20"/>
                <w:szCs w:val="20"/>
              </w:rPr>
              <w:t> </w:t>
            </w:r>
            <w:r w:rsidRPr="00E44C3F">
              <w:rPr>
                <w:sz w:val="20"/>
                <w:szCs w:val="20"/>
              </w:rPr>
              <w:t>513</w:t>
            </w:r>
          </w:p>
        </w:tc>
        <w:tc>
          <w:tcPr>
            <w:tcW w:w="990" w:type="dxa"/>
            <w:tcBorders>
              <w:top w:val="nil"/>
              <w:left w:val="nil"/>
              <w:bottom w:val="single" w:sz="4" w:space="0" w:color="auto"/>
              <w:right w:val="single" w:sz="4" w:space="0" w:color="auto"/>
            </w:tcBorders>
            <w:shd w:val="clear" w:color="auto" w:fill="auto"/>
            <w:tcMar>
              <w:left w:w="58" w:type="dxa"/>
              <w:right w:w="173" w:type="dxa"/>
            </w:tcMar>
            <w:hideMark/>
          </w:tcPr>
          <w:p w14:paraId="5076FC26" w14:textId="05969DF8" w:rsidR="005A7448" w:rsidRPr="00E44C3F" w:rsidRDefault="005A7448" w:rsidP="005A7448">
            <w:pPr>
              <w:jc w:val="right"/>
              <w:rPr>
                <w:sz w:val="20"/>
                <w:szCs w:val="20"/>
              </w:rPr>
            </w:pPr>
            <w:r w:rsidRPr="00E44C3F">
              <w:rPr>
                <w:sz w:val="20"/>
                <w:szCs w:val="20"/>
              </w:rPr>
              <w:t>509</w:t>
            </w:r>
            <w:r w:rsidR="003762DD">
              <w:rPr>
                <w:sz w:val="20"/>
                <w:szCs w:val="20"/>
              </w:rPr>
              <w:t> </w:t>
            </w:r>
            <w:r w:rsidRPr="00E44C3F">
              <w:rPr>
                <w:sz w:val="20"/>
                <w:szCs w:val="20"/>
              </w:rPr>
              <w:t>487</w:t>
            </w:r>
          </w:p>
        </w:tc>
        <w:tc>
          <w:tcPr>
            <w:tcW w:w="1146"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7FB42B59" w14:textId="737C28F3" w:rsidR="005A7448" w:rsidRPr="00E44C3F" w:rsidRDefault="005A7448" w:rsidP="005A7448">
            <w:pPr>
              <w:jc w:val="right"/>
              <w:rPr>
                <w:sz w:val="20"/>
                <w:szCs w:val="20"/>
              </w:rPr>
            </w:pPr>
            <w:r w:rsidRPr="00E44C3F">
              <w:rPr>
                <w:sz w:val="20"/>
                <w:szCs w:val="20"/>
              </w:rPr>
              <w:t>32</w:t>
            </w:r>
          </w:p>
        </w:tc>
      </w:tr>
      <w:tr w:rsidR="00A45958" w:rsidRPr="00E44C3F" w14:paraId="0B07F2EE" w14:textId="77777777" w:rsidTr="003762DD">
        <w:tc>
          <w:tcPr>
            <w:tcW w:w="1741"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3721B7BF" w14:textId="77E9A439" w:rsidR="005A7448" w:rsidRPr="00A45958" w:rsidRDefault="00A45958" w:rsidP="003171CE">
            <w:pPr>
              <w:jc w:val="left"/>
              <w:rPr>
                <w:b/>
                <w:bCs/>
                <w:sz w:val="20"/>
                <w:szCs w:val="20"/>
                <w:lang w:val="en-CA" w:eastAsia="en-CA"/>
              </w:rPr>
            </w:pPr>
            <w:r w:rsidRPr="00A45958">
              <w:rPr>
                <w:b/>
                <w:bCs/>
                <w:sz w:val="20"/>
                <w:szCs w:val="20"/>
                <w:lang w:val="fr-FR" w:eastAsia="en-CA"/>
              </w:rPr>
              <w:t>Total</w:t>
            </w:r>
          </w:p>
        </w:tc>
        <w:tc>
          <w:tcPr>
            <w:tcW w:w="1157"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2392DF06" w14:textId="77777777" w:rsidR="005A7448" w:rsidRPr="00E44C3F" w:rsidRDefault="005A7448" w:rsidP="005A7448">
            <w:pPr>
              <w:jc w:val="right"/>
              <w:rPr>
                <w:b/>
                <w:bCs/>
                <w:sz w:val="20"/>
                <w:szCs w:val="20"/>
                <w:lang w:val="en-CA" w:eastAsia="en-CA"/>
              </w:rPr>
            </w:pPr>
            <w:r w:rsidRPr="00E44C3F">
              <w:rPr>
                <w:b/>
                <w:bCs/>
                <w:sz w:val="20"/>
                <w:szCs w:val="20"/>
                <w:lang w:val="en-CA" w:eastAsia="en-CA"/>
              </w:rPr>
              <w:t>5</w:t>
            </w:r>
          </w:p>
        </w:tc>
        <w:tc>
          <w:tcPr>
            <w:tcW w:w="978"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5482AB57" w14:textId="77777777" w:rsidR="005A7448" w:rsidRPr="00E44C3F" w:rsidRDefault="005A7448" w:rsidP="005A7448">
            <w:pPr>
              <w:jc w:val="right"/>
              <w:rPr>
                <w:b/>
                <w:bCs/>
                <w:sz w:val="20"/>
                <w:szCs w:val="20"/>
                <w:lang w:val="en-CA" w:eastAsia="en-CA"/>
              </w:rPr>
            </w:pPr>
            <w:r w:rsidRPr="00E44C3F">
              <w:rPr>
                <w:b/>
                <w:bCs/>
                <w:sz w:val="20"/>
                <w:szCs w:val="20"/>
                <w:lang w:val="en-CA" w:eastAsia="en-CA"/>
              </w:rPr>
              <w:t>1</w:t>
            </w:r>
          </w:p>
        </w:tc>
        <w:tc>
          <w:tcPr>
            <w:tcW w:w="1192"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33F4115B" w14:textId="1C789AE3" w:rsidR="005A7448" w:rsidRPr="00E44C3F" w:rsidRDefault="005A7448" w:rsidP="005A7448">
            <w:pPr>
              <w:jc w:val="right"/>
              <w:rPr>
                <w:b/>
                <w:sz w:val="20"/>
                <w:szCs w:val="20"/>
                <w:lang w:val="en-CA" w:eastAsia="en-CA"/>
              </w:rPr>
            </w:pPr>
            <w:r w:rsidRPr="00E44C3F">
              <w:rPr>
                <w:b/>
                <w:sz w:val="20"/>
                <w:szCs w:val="20"/>
                <w:lang w:val="en-CA" w:eastAsia="en-CA"/>
              </w:rPr>
              <w:t>20</w:t>
            </w:r>
          </w:p>
        </w:tc>
        <w:tc>
          <w:tcPr>
            <w:tcW w:w="1124" w:type="dxa"/>
            <w:tcBorders>
              <w:top w:val="nil"/>
              <w:left w:val="nil"/>
              <w:bottom w:val="single" w:sz="4" w:space="0" w:color="auto"/>
              <w:right w:val="single" w:sz="4" w:space="0" w:color="auto"/>
            </w:tcBorders>
            <w:shd w:val="clear" w:color="auto" w:fill="auto"/>
            <w:noWrap/>
            <w:tcMar>
              <w:left w:w="58" w:type="dxa"/>
              <w:right w:w="173" w:type="dxa"/>
            </w:tcMar>
            <w:hideMark/>
          </w:tcPr>
          <w:p w14:paraId="354AA75A" w14:textId="1D8B45F1" w:rsidR="005A7448" w:rsidRPr="00E44C3F" w:rsidRDefault="005A7448" w:rsidP="005A7448">
            <w:pPr>
              <w:jc w:val="right"/>
              <w:rPr>
                <w:b/>
                <w:bCs/>
                <w:sz w:val="20"/>
                <w:szCs w:val="20"/>
              </w:rPr>
            </w:pPr>
            <w:r w:rsidRPr="00E44C3F">
              <w:rPr>
                <w:b/>
                <w:sz w:val="20"/>
                <w:szCs w:val="20"/>
              </w:rPr>
              <w:t>963</w:t>
            </w:r>
            <w:r w:rsidR="003762DD">
              <w:rPr>
                <w:b/>
                <w:sz w:val="20"/>
                <w:szCs w:val="20"/>
              </w:rPr>
              <w:t> </w:t>
            </w:r>
            <w:r w:rsidRPr="00E44C3F">
              <w:rPr>
                <w:b/>
                <w:sz w:val="20"/>
                <w:szCs w:val="20"/>
              </w:rPr>
              <w:t>514</w:t>
            </w:r>
          </w:p>
        </w:tc>
        <w:tc>
          <w:tcPr>
            <w:tcW w:w="1153" w:type="dxa"/>
            <w:tcBorders>
              <w:top w:val="nil"/>
              <w:left w:val="nil"/>
              <w:bottom w:val="single" w:sz="4" w:space="0" w:color="auto"/>
              <w:right w:val="single" w:sz="4" w:space="0" w:color="auto"/>
            </w:tcBorders>
            <w:shd w:val="clear" w:color="auto" w:fill="auto"/>
            <w:noWrap/>
            <w:tcMar>
              <w:left w:w="58" w:type="dxa"/>
              <w:right w:w="173" w:type="dxa"/>
            </w:tcMar>
            <w:hideMark/>
          </w:tcPr>
          <w:p w14:paraId="0C02F2A1" w14:textId="3E6F864C" w:rsidR="005A7448" w:rsidRPr="00E44C3F" w:rsidRDefault="005A7448" w:rsidP="005A7448">
            <w:pPr>
              <w:jc w:val="right"/>
              <w:rPr>
                <w:b/>
                <w:bCs/>
                <w:sz w:val="20"/>
                <w:szCs w:val="20"/>
              </w:rPr>
            </w:pPr>
            <w:r w:rsidRPr="00E44C3F">
              <w:rPr>
                <w:b/>
                <w:sz w:val="20"/>
                <w:szCs w:val="20"/>
              </w:rPr>
              <w:t>270</w:t>
            </w:r>
            <w:r w:rsidR="003762DD">
              <w:rPr>
                <w:b/>
                <w:sz w:val="20"/>
                <w:szCs w:val="20"/>
              </w:rPr>
              <w:t> </w:t>
            </w:r>
            <w:r w:rsidRPr="00E44C3F">
              <w:rPr>
                <w:b/>
                <w:sz w:val="20"/>
                <w:szCs w:val="20"/>
              </w:rPr>
              <w:t>513</w:t>
            </w:r>
          </w:p>
        </w:tc>
        <w:tc>
          <w:tcPr>
            <w:tcW w:w="990" w:type="dxa"/>
            <w:tcBorders>
              <w:top w:val="nil"/>
              <w:left w:val="nil"/>
              <w:bottom w:val="single" w:sz="4" w:space="0" w:color="auto"/>
              <w:right w:val="single" w:sz="4" w:space="0" w:color="auto"/>
            </w:tcBorders>
            <w:shd w:val="clear" w:color="auto" w:fill="auto"/>
            <w:noWrap/>
            <w:tcMar>
              <w:left w:w="58" w:type="dxa"/>
              <w:right w:w="173" w:type="dxa"/>
            </w:tcMar>
            <w:hideMark/>
          </w:tcPr>
          <w:p w14:paraId="6822B02D" w14:textId="5EBB2302" w:rsidR="005A7448" w:rsidRPr="00E44C3F" w:rsidRDefault="005A7448" w:rsidP="005A7448">
            <w:pPr>
              <w:jc w:val="right"/>
              <w:rPr>
                <w:b/>
                <w:bCs/>
                <w:sz w:val="20"/>
                <w:szCs w:val="20"/>
              </w:rPr>
            </w:pPr>
            <w:r w:rsidRPr="00E44C3F">
              <w:rPr>
                <w:b/>
                <w:sz w:val="20"/>
                <w:szCs w:val="20"/>
              </w:rPr>
              <w:t>693</w:t>
            </w:r>
            <w:r w:rsidR="003762DD">
              <w:rPr>
                <w:b/>
                <w:sz w:val="20"/>
                <w:szCs w:val="20"/>
              </w:rPr>
              <w:t> </w:t>
            </w:r>
            <w:r w:rsidRPr="00E44C3F">
              <w:rPr>
                <w:b/>
                <w:sz w:val="20"/>
                <w:szCs w:val="20"/>
              </w:rPr>
              <w:t>001</w:t>
            </w:r>
          </w:p>
        </w:tc>
        <w:tc>
          <w:tcPr>
            <w:tcW w:w="1146"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15CD9633" w14:textId="514C8EBD" w:rsidR="005A7448" w:rsidRPr="00E44C3F" w:rsidRDefault="005A7448" w:rsidP="005A7448">
            <w:pPr>
              <w:jc w:val="right"/>
              <w:rPr>
                <w:b/>
                <w:sz w:val="20"/>
                <w:szCs w:val="20"/>
              </w:rPr>
            </w:pPr>
            <w:r w:rsidRPr="00E44C3F">
              <w:rPr>
                <w:b/>
                <w:sz w:val="20"/>
                <w:szCs w:val="20"/>
              </w:rPr>
              <w:t>28</w:t>
            </w:r>
          </w:p>
        </w:tc>
      </w:tr>
    </w:tbl>
    <w:p w14:paraId="4AFF441D" w14:textId="5831DAC6" w:rsidR="004C43AE" w:rsidRPr="00C52326" w:rsidRDefault="00A45958" w:rsidP="004C43AE">
      <w:pPr>
        <w:jc w:val="left"/>
        <w:rPr>
          <w:sz w:val="19"/>
          <w:szCs w:val="19"/>
          <w:lang w:val="fr-CA"/>
        </w:rPr>
      </w:pPr>
      <w:r w:rsidRPr="00A45958">
        <w:rPr>
          <w:sz w:val="19"/>
          <w:szCs w:val="19"/>
          <w:lang w:val="fr-FR"/>
        </w:rPr>
        <w:t>*À l</w:t>
      </w:r>
      <w:r w:rsidR="007B7C04">
        <w:rPr>
          <w:sz w:val="19"/>
          <w:szCs w:val="19"/>
          <w:lang w:val="fr-FR"/>
        </w:rPr>
        <w:t>’</w:t>
      </w:r>
      <w:r w:rsidRPr="00A45958">
        <w:rPr>
          <w:sz w:val="19"/>
          <w:szCs w:val="19"/>
          <w:lang w:val="fr-FR"/>
        </w:rPr>
        <w:t>exclusion des projets transférés.</w:t>
      </w:r>
    </w:p>
    <w:p w14:paraId="3DE4FA75" w14:textId="2239434E" w:rsidR="004C43AE" w:rsidRPr="00C52326" w:rsidRDefault="00A45958" w:rsidP="004C43AE">
      <w:pPr>
        <w:pStyle w:val="Title1"/>
        <w:jc w:val="left"/>
        <w:rPr>
          <w:caps w:val="0"/>
          <w:sz w:val="19"/>
          <w:szCs w:val="19"/>
          <w:lang w:val="fr-CA"/>
        </w:rPr>
      </w:pPr>
      <w:r w:rsidRPr="00424963">
        <w:rPr>
          <w:b w:val="0"/>
          <w:caps w:val="0"/>
          <w:sz w:val="19"/>
          <w:szCs w:val="19"/>
          <w:lang w:val="fr-FR"/>
        </w:rPr>
        <w:t>** Frais</w:t>
      </w:r>
      <w:r w:rsidR="007B7C04">
        <w:rPr>
          <w:b w:val="0"/>
          <w:caps w:val="0"/>
          <w:sz w:val="19"/>
          <w:szCs w:val="19"/>
          <w:lang w:val="fr-FR"/>
        </w:rPr>
        <w:t xml:space="preserve"> </w:t>
      </w:r>
      <w:r w:rsidRPr="00424963">
        <w:rPr>
          <w:b w:val="0"/>
          <w:caps w:val="0"/>
          <w:sz w:val="19"/>
          <w:szCs w:val="19"/>
          <w:lang w:val="fr-FR"/>
        </w:rPr>
        <w:t>d</w:t>
      </w:r>
      <w:r w:rsidR="007B7C04">
        <w:rPr>
          <w:b w:val="0"/>
          <w:caps w:val="0"/>
          <w:sz w:val="19"/>
          <w:szCs w:val="19"/>
          <w:lang w:val="fr-FR"/>
        </w:rPr>
        <w:t>’</w:t>
      </w:r>
      <w:r w:rsidRPr="00424963">
        <w:rPr>
          <w:b w:val="0"/>
          <w:caps w:val="0"/>
          <w:sz w:val="19"/>
          <w:szCs w:val="19"/>
          <w:lang w:val="fr-FR"/>
        </w:rPr>
        <w:t>appui d</w:t>
      </w:r>
      <w:r w:rsidR="007B7C04">
        <w:rPr>
          <w:b w:val="0"/>
          <w:caps w:val="0"/>
          <w:sz w:val="19"/>
          <w:szCs w:val="19"/>
          <w:lang w:val="fr-FR"/>
        </w:rPr>
        <w:t>’</w:t>
      </w:r>
      <w:r w:rsidRPr="00424963">
        <w:rPr>
          <w:b w:val="0"/>
          <w:caps w:val="0"/>
          <w:sz w:val="19"/>
          <w:szCs w:val="19"/>
          <w:lang w:val="fr-FR"/>
        </w:rPr>
        <w:t>agence non compris.</w:t>
      </w:r>
    </w:p>
    <w:p w14:paraId="14691FE4" w14:textId="77777777" w:rsidR="00E433C6" w:rsidRPr="00C52326" w:rsidRDefault="00E433C6" w:rsidP="00E433C6">
      <w:pPr>
        <w:pStyle w:val="a--"/>
        <w:suppressAutoHyphens w:val="0"/>
        <w:jc w:val="left"/>
        <w:rPr>
          <w:b w:val="0"/>
          <w:sz w:val="22"/>
          <w:szCs w:val="22"/>
          <w:lang w:val="fr-CA"/>
        </w:rPr>
      </w:pPr>
    </w:p>
    <w:p w14:paraId="336DC0DB" w14:textId="7203B2C4" w:rsidR="00A45958" w:rsidRPr="00C52326" w:rsidRDefault="00A45958" w:rsidP="005C3D8D">
      <w:pPr>
        <w:pStyle w:val="Heading1"/>
        <w:rPr>
          <w:lang w:val="fr-CA"/>
        </w:rPr>
      </w:pPr>
      <w:r w:rsidRPr="00A45958">
        <w:rPr>
          <w:lang w:val="fr-FR"/>
        </w:rPr>
        <w:t>À la fin de 2019, sur les cinq projets approuvés, une préparation de projet avait été achevée.</w:t>
      </w:r>
      <w:r w:rsidRPr="00C52326">
        <w:rPr>
          <w:lang w:val="fr-CA"/>
        </w:rPr>
        <w:t xml:space="preserve"> </w:t>
      </w:r>
      <w:r w:rsidR="005C3D8D" w:rsidRPr="005C3D8D">
        <w:rPr>
          <w:lang w:val="fr-FR"/>
        </w:rPr>
        <w:t>La prolongation des dates d</w:t>
      </w:r>
      <w:r w:rsidR="007B7C04">
        <w:rPr>
          <w:lang w:val="fr-FR"/>
        </w:rPr>
        <w:t>’</w:t>
      </w:r>
      <w:r w:rsidR="005C3D8D" w:rsidRPr="005C3D8D">
        <w:rPr>
          <w:lang w:val="fr-FR"/>
        </w:rPr>
        <w:t>achèvement de trois activités de facilitation en cours a été</w:t>
      </w:r>
      <w:r w:rsidR="007B7C04">
        <w:rPr>
          <w:lang w:val="fr-FR"/>
        </w:rPr>
        <w:t xml:space="preserve"> </w:t>
      </w:r>
      <w:r w:rsidR="005C3D8D" w:rsidRPr="005C3D8D">
        <w:rPr>
          <w:lang w:val="fr-FR"/>
        </w:rPr>
        <w:t>approuvé</w:t>
      </w:r>
      <w:r w:rsidR="003578D1">
        <w:rPr>
          <w:lang w:val="fr-FR"/>
        </w:rPr>
        <w:t>e</w:t>
      </w:r>
      <w:r w:rsidR="005C3D8D" w:rsidRPr="005C3D8D">
        <w:rPr>
          <w:lang w:val="fr-FR"/>
        </w:rPr>
        <w:t xml:space="preserve"> lors de la 83</w:t>
      </w:r>
      <w:r w:rsidR="005C3D8D" w:rsidRPr="005C3D8D">
        <w:rPr>
          <w:vertAlign w:val="superscript"/>
          <w:lang w:val="fr-FR"/>
        </w:rPr>
        <w:t>e</w:t>
      </w:r>
      <w:r w:rsidR="005C3D8D" w:rsidRPr="005C3D8D">
        <w:rPr>
          <w:lang w:val="fr-FR"/>
        </w:rPr>
        <w:t xml:space="preserve"> réunion (deux projets) et de la 84</w:t>
      </w:r>
      <w:r w:rsidR="005C3D8D" w:rsidRPr="005C3D8D">
        <w:rPr>
          <w:vertAlign w:val="superscript"/>
          <w:lang w:val="fr-FR"/>
        </w:rPr>
        <w:t>e</w:t>
      </w:r>
      <w:r w:rsidR="007B7C04">
        <w:rPr>
          <w:lang w:val="fr-FR"/>
        </w:rPr>
        <w:t xml:space="preserve"> </w:t>
      </w:r>
      <w:r w:rsidR="005C3D8D" w:rsidRPr="005C3D8D">
        <w:rPr>
          <w:lang w:val="fr-FR"/>
        </w:rPr>
        <w:t>réunion (un projet) ; ces activités se trouvent à différents stades de mise en œuvre.</w:t>
      </w:r>
    </w:p>
    <w:p w14:paraId="62F8C39F" w14:textId="506D3238" w:rsidR="005C3D8D" w:rsidRPr="00C52326" w:rsidRDefault="005C3D8D" w:rsidP="005C3D8D">
      <w:pPr>
        <w:pStyle w:val="Heading1"/>
        <w:rPr>
          <w:lang w:val="fr-CA"/>
        </w:rPr>
      </w:pPr>
      <w:r w:rsidRPr="005C3D8D">
        <w:rPr>
          <w:lang w:val="fr-FR"/>
        </w:rPr>
        <w:lastRenderedPageBreak/>
        <w:t>Le</w:t>
      </w:r>
      <w:r w:rsidR="007B7C04">
        <w:rPr>
          <w:lang w:val="fr-FR"/>
        </w:rPr>
        <w:t xml:space="preserve"> </w:t>
      </w:r>
      <w:r w:rsidRPr="005C3D8D">
        <w:rPr>
          <w:lang w:val="fr-FR"/>
        </w:rPr>
        <w:t>projet d</w:t>
      </w:r>
      <w:r w:rsidR="007B7C04">
        <w:rPr>
          <w:lang w:val="fr-FR"/>
        </w:rPr>
        <w:t>’</w:t>
      </w:r>
      <w:r w:rsidRPr="005C3D8D">
        <w:rPr>
          <w:lang w:val="fr-FR"/>
        </w:rPr>
        <w:t>investissement portant sur l</w:t>
      </w:r>
      <w:r w:rsidR="007B7C04">
        <w:rPr>
          <w:lang w:val="fr-FR"/>
        </w:rPr>
        <w:t>’</w:t>
      </w:r>
      <w:r w:rsidRPr="005C3D8D">
        <w:rPr>
          <w:lang w:val="fr-FR"/>
        </w:rPr>
        <w:t>élimination de 8,8 tm (12 555 tm éq. CO</w:t>
      </w:r>
      <w:r w:rsidRPr="005C3D8D">
        <w:rPr>
          <w:vertAlign w:val="subscript"/>
          <w:lang w:val="fr-FR"/>
        </w:rPr>
        <w:t>2</w:t>
      </w:r>
      <w:r w:rsidRPr="005C3D8D">
        <w:rPr>
          <w:lang w:val="fr-FR"/>
        </w:rPr>
        <w:t>)</w:t>
      </w:r>
      <w:r w:rsidRPr="00C52326">
        <w:rPr>
          <w:lang w:val="fr-CA"/>
        </w:rPr>
        <w:t xml:space="preserve"> </w:t>
      </w:r>
      <w:r w:rsidRPr="005C3D8D">
        <w:rPr>
          <w:lang w:val="fr-FR"/>
        </w:rPr>
        <w:t>de HFC est actuellement en cours mise en œuvre ; l</w:t>
      </w:r>
      <w:r w:rsidR="007B7C04">
        <w:rPr>
          <w:lang w:val="fr-FR"/>
        </w:rPr>
        <w:t>’</w:t>
      </w:r>
      <w:r w:rsidRPr="005C3D8D">
        <w:rPr>
          <w:lang w:val="fr-FR"/>
        </w:rPr>
        <w:t>équipement basé sur la technologie de remplacement est en cours de production ; les fonds seront rétroactivement décaissés d</w:t>
      </w:r>
      <w:r w:rsidR="007B7C04">
        <w:rPr>
          <w:lang w:val="fr-FR"/>
        </w:rPr>
        <w:t>’</w:t>
      </w:r>
      <w:r w:rsidRPr="005C3D8D">
        <w:rPr>
          <w:lang w:val="fr-FR"/>
        </w:rPr>
        <w:t>ici la fin de 2020 pour l</w:t>
      </w:r>
      <w:r w:rsidR="007B7C04">
        <w:rPr>
          <w:lang w:val="fr-FR"/>
        </w:rPr>
        <w:t>’</w:t>
      </w:r>
      <w:r w:rsidRPr="005C3D8D">
        <w:rPr>
          <w:lang w:val="fr-FR"/>
        </w:rPr>
        <w:t>entreprise bénéficiaire, après la signature de l</w:t>
      </w:r>
      <w:r w:rsidR="007B7C04">
        <w:rPr>
          <w:lang w:val="fr-FR"/>
        </w:rPr>
        <w:t>’</w:t>
      </w:r>
      <w:r w:rsidRPr="005C3D8D">
        <w:rPr>
          <w:lang w:val="fr-FR"/>
        </w:rPr>
        <w:t xml:space="preserve">accord </w:t>
      </w:r>
      <w:r w:rsidR="00424963">
        <w:rPr>
          <w:lang w:val="fr-FR"/>
        </w:rPr>
        <w:t xml:space="preserve">conclu </w:t>
      </w:r>
      <w:r w:rsidRPr="005C3D8D">
        <w:rPr>
          <w:lang w:val="fr-FR"/>
        </w:rPr>
        <w:t>entre l</w:t>
      </w:r>
      <w:r w:rsidR="007B7C04">
        <w:rPr>
          <w:lang w:val="fr-FR"/>
        </w:rPr>
        <w:t>’</w:t>
      </w:r>
      <w:r w:rsidRPr="005C3D8D">
        <w:rPr>
          <w:lang w:val="fr-FR"/>
        </w:rPr>
        <w:t>intermédiaire financier et le bénéficiaire.</w:t>
      </w:r>
    </w:p>
    <w:p w14:paraId="1D9C99A7" w14:textId="0E8B3D6A" w:rsidR="005C3D8D" w:rsidRPr="00C52326" w:rsidRDefault="005C3D8D" w:rsidP="005C3D8D">
      <w:pPr>
        <w:pStyle w:val="Heading1"/>
        <w:rPr>
          <w:lang w:val="fr-CA"/>
        </w:rPr>
      </w:pPr>
      <w:r w:rsidRPr="005C3D8D">
        <w:rPr>
          <w:lang w:val="fr-FR"/>
        </w:rPr>
        <w:t>Sur le total du financement cumulatif</w:t>
      </w:r>
      <w:r w:rsidR="00424963">
        <w:rPr>
          <w:lang w:val="fr-FR"/>
        </w:rPr>
        <w:t xml:space="preserve"> approuvé</w:t>
      </w:r>
      <w:r w:rsidRPr="005C3D8D">
        <w:rPr>
          <w:lang w:val="fr-FR"/>
        </w:rPr>
        <w:t xml:space="preserve"> d</w:t>
      </w:r>
      <w:r w:rsidR="007B7C04">
        <w:rPr>
          <w:lang w:val="fr-FR"/>
        </w:rPr>
        <w:t>’</w:t>
      </w:r>
      <w:r w:rsidRPr="005C3D8D">
        <w:rPr>
          <w:lang w:val="fr-FR"/>
        </w:rPr>
        <w:t>un montant de 963 514 $US, 270 513 $US ont été décaissés, représentant un taux de décaissement de 28 pour cent.</w:t>
      </w:r>
    </w:p>
    <w:p w14:paraId="34A4B1D1" w14:textId="6DA3ACE8" w:rsidR="00E433C6" w:rsidRPr="005C3D8D" w:rsidRDefault="005C3D8D" w:rsidP="005C3D8D">
      <w:pPr>
        <w:pStyle w:val="Heading1"/>
        <w:numPr>
          <w:ilvl w:val="0"/>
          <w:numId w:val="0"/>
        </w:numPr>
        <w:jc w:val="left"/>
        <w:rPr>
          <w:b/>
          <w:lang w:val="en-CA"/>
        </w:rPr>
      </w:pPr>
      <w:r w:rsidRPr="005C3D8D">
        <w:rPr>
          <w:b/>
          <w:lang w:val="fr-FR"/>
        </w:rPr>
        <w:t>Recommandation</w:t>
      </w:r>
    </w:p>
    <w:p w14:paraId="68DF4925" w14:textId="53854CA3" w:rsidR="005C3D8D" w:rsidRPr="00C52326" w:rsidRDefault="005C3D8D" w:rsidP="005C3D8D">
      <w:pPr>
        <w:pStyle w:val="Heading1"/>
        <w:rPr>
          <w:lang w:val="fr-CA"/>
        </w:rPr>
      </w:pPr>
      <w:r w:rsidRPr="005C3D8D">
        <w:rPr>
          <w:lang w:val="fr-FR"/>
        </w:rPr>
        <w:t>Le Comité exécutif pourrait envisager de :</w:t>
      </w:r>
    </w:p>
    <w:p w14:paraId="5B0BCA67" w14:textId="2A0D4B9A" w:rsidR="005C3D8D" w:rsidRPr="00C52326" w:rsidRDefault="005C3D8D" w:rsidP="005C3D8D">
      <w:pPr>
        <w:pStyle w:val="Heading2"/>
        <w:numPr>
          <w:ilvl w:val="1"/>
          <w:numId w:val="1"/>
        </w:numPr>
        <w:rPr>
          <w:lang w:val="fr-CA"/>
        </w:rPr>
      </w:pPr>
      <w:r w:rsidRPr="005C3D8D">
        <w:rPr>
          <w:lang w:val="fr-FR"/>
        </w:rPr>
        <w:t xml:space="preserve">Prendre note du rapport périodique de la </w:t>
      </w:r>
      <w:r w:rsidR="00C11F7B">
        <w:rPr>
          <w:lang w:val="fr-FR"/>
        </w:rPr>
        <w:t>Banque mondiale</w:t>
      </w:r>
      <w:r w:rsidRPr="005C3D8D">
        <w:rPr>
          <w:lang w:val="fr-FR"/>
        </w:rPr>
        <w:t xml:space="preserve"> au 31 décembre 2019 contenu dans le document</w:t>
      </w:r>
      <w:r w:rsidR="007B7C04">
        <w:rPr>
          <w:lang w:val="fr-FR"/>
        </w:rPr>
        <w:t xml:space="preserve"> </w:t>
      </w:r>
      <w:r w:rsidRPr="005C3D8D">
        <w:rPr>
          <w:lang w:val="fr-FR"/>
        </w:rPr>
        <w:t>UNEP/OzL.Pro/ExCom/86/20 ; et</w:t>
      </w:r>
    </w:p>
    <w:p w14:paraId="636D8155" w14:textId="146061C6" w:rsidR="005C3D8D" w:rsidRPr="00C52326" w:rsidRDefault="005C3D8D" w:rsidP="005C3D8D">
      <w:pPr>
        <w:pStyle w:val="Heading2"/>
        <w:numPr>
          <w:ilvl w:val="1"/>
          <w:numId w:val="1"/>
        </w:numPr>
        <w:rPr>
          <w:lang w:val="fr-CA"/>
        </w:rPr>
      </w:pPr>
      <w:r w:rsidRPr="005C3D8D">
        <w:rPr>
          <w:lang w:val="fr-FR"/>
        </w:rPr>
        <w:t>Approuver les recommandations relatives aux projets en cours comportant des</w:t>
      </w:r>
      <w:r w:rsidR="007B7C04">
        <w:rPr>
          <w:lang w:val="fr-FR"/>
        </w:rPr>
        <w:t xml:space="preserve"> </w:t>
      </w:r>
      <w:r w:rsidRPr="005C3D8D">
        <w:rPr>
          <w:lang w:val="fr-FR"/>
        </w:rPr>
        <w:t>questions spécifiques indiquées à l</w:t>
      </w:r>
      <w:r w:rsidR="007B7C04">
        <w:rPr>
          <w:lang w:val="fr-FR"/>
        </w:rPr>
        <w:t>’</w:t>
      </w:r>
      <w:r w:rsidRPr="005C3D8D">
        <w:rPr>
          <w:lang w:val="fr-FR"/>
        </w:rPr>
        <w:t>Annexe I du présent document.</w:t>
      </w:r>
    </w:p>
    <w:p w14:paraId="03C1C6CF" w14:textId="77777777" w:rsidR="00A73F29" w:rsidRPr="00C52326" w:rsidRDefault="00A73F29" w:rsidP="00311ABF">
      <w:pPr>
        <w:rPr>
          <w:lang w:val="fr-CA"/>
        </w:rPr>
      </w:pPr>
    </w:p>
    <w:p w14:paraId="3BF4B104" w14:textId="77777777" w:rsidR="00A73F29" w:rsidRPr="00C52326" w:rsidRDefault="00A73F29" w:rsidP="00A73F29">
      <w:pPr>
        <w:rPr>
          <w:lang w:val="fr-CA"/>
        </w:rPr>
      </w:pPr>
    </w:p>
    <w:p w14:paraId="3537BAAC" w14:textId="77777777" w:rsidR="00A73F29" w:rsidRPr="00C52326" w:rsidRDefault="00A73F29" w:rsidP="00A73F29">
      <w:pPr>
        <w:rPr>
          <w:lang w:val="fr-CA"/>
        </w:rPr>
        <w:sectPr w:rsidR="00A73F29" w:rsidRPr="00C52326"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14:paraId="72B2BFFD" w14:textId="11D10253" w:rsidR="00A87487" w:rsidRPr="00C52326" w:rsidRDefault="00311ABF" w:rsidP="00A87487">
      <w:pPr>
        <w:tabs>
          <w:tab w:val="left" w:pos="5560"/>
        </w:tabs>
        <w:jc w:val="center"/>
        <w:rPr>
          <w:b/>
          <w:bCs/>
          <w:lang w:val="fr-CA"/>
        </w:rPr>
      </w:pPr>
      <w:r w:rsidRPr="00311ABF">
        <w:rPr>
          <w:b/>
          <w:bCs/>
          <w:lang w:val="fr-FR"/>
        </w:rPr>
        <w:lastRenderedPageBreak/>
        <w:t>Annexe I</w:t>
      </w:r>
    </w:p>
    <w:p w14:paraId="4E7C4DB6" w14:textId="77777777" w:rsidR="00A87487" w:rsidRPr="00C52326" w:rsidRDefault="00A87487" w:rsidP="00A87487">
      <w:pPr>
        <w:tabs>
          <w:tab w:val="left" w:pos="5560"/>
        </w:tabs>
        <w:jc w:val="center"/>
        <w:rPr>
          <w:b/>
          <w:bCs/>
          <w:lang w:val="fr-CA"/>
        </w:rPr>
      </w:pPr>
    </w:p>
    <w:p w14:paraId="11BE2240" w14:textId="6984DBCD" w:rsidR="00A87487" w:rsidRPr="00C52326" w:rsidRDefault="00311ABF" w:rsidP="00311ABF">
      <w:pPr>
        <w:pStyle w:val="Heading2"/>
        <w:numPr>
          <w:ilvl w:val="0"/>
          <w:numId w:val="0"/>
        </w:numPr>
        <w:jc w:val="center"/>
        <w:rPr>
          <w:b/>
          <w:lang w:val="fr-CA"/>
        </w:rPr>
      </w:pPr>
      <w:r w:rsidRPr="00311ABF">
        <w:rPr>
          <w:b/>
          <w:lang w:val="fr-FR"/>
        </w:rPr>
        <w:t>PROJETS EN COURS COMPORTANT DES QUESTIONS EN SUSPENS DANS LE RAPPORT PÉRIODIQUE DE LA BANQUE MONDIALE</w:t>
      </w:r>
    </w:p>
    <w:tbl>
      <w:tblPr>
        <w:tblW w:w="14130" w:type="dxa"/>
        <w:jc w:val="center"/>
        <w:tblLayout w:type="fixed"/>
        <w:tblLook w:val="04A0" w:firstRow="1" w:lastRow="0" w:firstColumn="1" w:lastColumn="0" w:noHBand="0" w:noVBand="1"/>
      </w:tblPr>
      <w:tblGrid>
        <w:gridCol w:w="2072"/>
        <w:gridCol w:w="4223"/>
        <w:gridCol w:w="1443"/>
        <w:gridCol w:w="1710"/>
        <w:gridCol w:w="4682"/>
      </w:tblGrid>
      <w:tr w:rsidR="00E44C3F" w:rsidRPr="00E44C3F" w14:paraId="30286D9A" w14:textId="77777777" w:rsidTr="00311ABF">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1F2B8" w14:textId="29C1A404" w:rsidR="00177F04" w:rsidRPr="00311ABF" w:rsidRDefault="00A87487" w:rsidP="003171CE">
            <w:pPr>
              <w:jc w:val="left"/>
              <w:rPr>
                <w:b/>
                <w:bCs/>
                <w:sz w:val="20"/>
                <w:szCs w:val="20"/>
                <w:lang w:val="en-CA" w:eastAsia="en-CA"/>
              </w:rPr>
            </w:pPr>
            <w:r w:rsidRPr="00C52326">
              <w:rPr>
                <w:b/>
                <w:spacing w:val="-3"/>
                <w:lang w:val="fr-CA"/>
              </w:rPr>
              <w:br w:type="page"/>
            </w:r>
            <w:r w:rsidR="00311ABF" w:rsidRPr="00311ABF">
              <w:rPr>
                <w:b/>
                <w:bCs/>
                <w:sz w:val="20"/>
                <w:szCs w:val="20"/>
                <w:lang w:val="fr-FR" w:eastAsia="en-CA"/>
              </w:rPr>
              <w:t>Pays/code du projet</w:t>
            </w:r>
          </w:p>
        </w:tc>
        <w:tc>
          <w:tcPr>
            <w:tcW w:w="4223" w:type="dxa"/>
            <w:tcBorders>
              <w:top w:val="single" w:sz="4" w:space="0" w:color="auto"/>
              <w:left w:val="nil"/>
              <w:bottom w:val="single" w:sz="4" w:space="0" w:color="auto"/>
              <w:right w:val="single" w:sz="4" w:space="0" w:color="auto"/>
            </w:tcBorders>
            <w:shd w:val="clear" w:color="auto" w:fill="auto"/>
            <w:vAlign w:val="center"/>
            <w:hideMark/>
          </w:tcPr>
          <w:p w14:paraId="1CE96F43" w14:textId="0550A648" w:rsidR="00177F04" w:rsidRPr="00311ABF" w:rsidRDefault="00311ABF" w:rsidP="003171CE">
            <w:pPr>
              <w:jc w:val="center"/>
              <w:rPr>
                <w:b/>
                <w:bCs/>
                <w:sz w:val="20"/>
                <w:szCs w:val="20"/>
                <w:lang w:val="en-CA" w:eastAsia="en-CA"/>
              </w:rPr>
            </w:pPr>
            <w:r w:rsidRPr="00311ABF">
              <w:rPr>
                <w:b/>
                <w:bCs/>
                <w:sz w:val="20"/>
                <w:szCs w:val="20"/>
                <w:lang w:val="fr-FR" w:eastAsia="en-CA"/>
              </w:rPr>
              <w:t>Titre du projet</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14:paraId="3C6B106E" w14:textId="7F278283" w:rsidR="007F250E" w:rsidRPr="00311ABF" w:rsidRDefault="00311ABF" w:rsidP="00A13EC7">
            <w:pPr>
              <w:jc w:val="center"/>
              <w:rPr>
                <w:b/>
                <w:bCs/>
                <w:sz w:val="20"/>
                <w:szCs w:val="20"/>
                <w:lang w:eastAsia="en-CA"/>
              </w:rPr>
            </w:pPr>
            <w:r w:rsidRPr="00311ABF">
              <w:rPr>
                <w:b/>
                <w:bCs/>
                <w:sz w:val="20"/>
                <w:szCs w:val="20"/>
                <w:lang w:val="fr-FR" w:eastAsia="en-CA"/>
              </w:rPr>
              <w:t>Décaissement</w:t>
            </w:r>
          </w:p>
          <w:p w14:paraId="425E1ED4" w14:textId="3C81035E" w:rsidR="00177F04" w:rsidRPr="00E44C3F" w:rsidRDefault="00177F04" w:rsidP="00A13EC7">
            <w:pPr>
              <w:jc w:val="center"/>
              <w:rPr>
                <w:b/>
                <w:bCs/>
                <w:sz w:val="20"/>
                <w:szCs w:val="20"/>
                <w:lang w:val="en-CA" w:eastAsia="en-CA"/>
              </w:rPr>
            </w:pPr>
            <w:r w:rsidRPr="00E44C3F">
              <w:rPr>
                <w:b/>
                <w:bCs/>
                <w:sz w:val="20"/>
                <w:szCs w:val="20"/>
                <w:lang w:eastAsia="en-CA"/>
              </w:rPr>
              <w:t>(%)</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4120B2B4" w14:textId="77777777" w:rsidR="001E204E" w:rsidRDefault="00311ABF" w:rsidP="003171CE">
            <w:pPr>
              <w:jc w:val="center"/>
              <w:rPr>
                <w:b/>
                <w:bCs/>
                <w:sz w:val="20"/>
                <w:szCs w:val="20"/>
                <w:lang w:val="fr-FR" w:eastAsia="en-CA"/>
              </w:rPr>
            </w:pPr>
            <w:r w:rsidRPr="00311ABF">
              <w:rPr>
                <w:b/>
                <w:bCs/>
                <w:sz w:val="20"/>
                <w:szCs w:val="20"/>
                <w:lang w:val="fr-FR" w:eastAsia="en-CA"/>
              </w:rPr>
              <w:t>État d</w:t>
            </w:r>
            <w:r w:rsidR="007B7C04">
              <w:rPr>
                <w:b/>
                <w:bCs/>
                <w:sz w:val="20"/>
                <w:szCs w:val="20"/>
                <w:lang w:val="fr-FR" w:eastAsia="en-CA"/>
              </w:rPr>
              <w:t>’</w:t>
            </w:r>
            <w:r w:rsidRPr="00311ABF">
              <w:rPr>
                <w:b/>
                <w:bCs/>
                <w:sz w:val="20"/>
                <w:szCs w:val="20"/>
                <w:lang w:val="fr-FR" w:eastAsia="en-CA"/>
              </w:rPr>
              <w:t>avancement/</w:t>
            </w:r>
          </w:p>
          <w:p w14:paraId="2FD17B6A" w14:textId="3004BF03" w:rsidR="00177F04" w:rsidRPr="00311ABF" w:rsidRDefault="00311ABF" w:rsidP="003171CE">
            <w:pPr>
              <w:jc w:val="center"/>
              <w:rPr>
                <w:b/>
                <w:bCs/>
                <w:sz w:val="20"/>
                <w:szCs w:val="20"/>
                <w:lang w:val="en-CA" w:eastAsia="en-CA"/>
              </w:rPr>
            </w:pPr>
            <w:r w:rsidRPr="00311ABF">
              <w:rPr>
                <w:b/>
                <w:bCs/>
                <w:sz w:val="20"/>
                <w:szCs w:val="20"/>
                <w:lang w:val="fr-FR" w:eastAsia="en-CA"/>
              </w:rPr>
              <w:t>Questions</w:t>
            </w:r>
          </w:p>
        </w:tc>
        <w:tc>
          <w:tcPr>
            <w:tcW w:w="4682" w:type="dxa"/>
            <w:tcBorders>
              <w:top w:val="single" w:sz="4" w:space="0" w:color="auto"/>
              <w:left w:val="nil"/>
              <w:bottom w:val="single" w:sz="4" w:space="0" w:color="auto"/>
              <w:right w:val="single" w:sz="4" w:space="0" w:color="auto"/>
            </w:tcBorders>
            <w:shd w:val="clear" w:color="auto" w:fill="auto"/>
            <w:vAlign w:val="center"/>
            <w:hideMark/>
          </w:tcPr>
          <w:p w14:paraId="12786787" w14:textId="31203C64" w:rsidR="00177F04" w:rsidRPr="00311ABF" w:rsidRDefault="00311ABF" w:rsidP="003171CE">
            <w:pPr>
              <w:jc w:val="center"/>
              <w:rPr>
                <w:b/>
                <w:bCs/>
                <w:sz w:val="20"/>
                <w:szCs w:val="20"/>
                <w:lang w:val="en-CA" w:eastAsia="en-CA"/>
              </w:rPr>
            </w:pPr>
            <w:r w:rsidRPr="00311ABF">
              <w:rPr>
                <w:b/>
                <w:bCs/>
                <w:sz w:val="20"/>
                <w:szCs w:val="20"/>
                <w:lang w:val="fr-FR" w:eastAsia="en-CA"/>
              </w:rPr>
              <w:t>Recommandation</w:t>
            </w:r>
          </w:p>
        </w:tc>
      </w:tr>
      <w:tr w:rsidR="00E44C3F" w:rsidRPr="002867A7" w14:paraId="3BAA8584" w14:textId="77777777" w:rsidTr="00311ABF">
        <w:trPr>
          <w:jc w:val="center"/>
        </w:trPr>
        <w:tc>
          <w:tcPr>
            <w:tcW w:w="2072" w:type="dxa"/>
            <w:tcBorders>
              <w:top w:val="nil"/>
              <w:left w:val="single" w:sz="4" w:space="0" w:color="auto"/>
              <w:bottom w:val="single" w:sz="4" w:space="0" w:color="auto"/>
              <w:right w:val="single" w:sz="4" w:space="0" w:color="auto"/>
            </w:tcBorders>
            <w:shd w:val="clear" w:color="auto" w:fill="auto"/>
            <w:hideMark/>
          </w:tcPr>
          <w:p w14:paraId="27F1B7FB" w14:textId="3644B7AD" w:rsidR="007F250E" w:rsidRPr="00311ABF" w:rsidRDefault="00311ABF" w:rsidP="00AF778B">
            <w:pPr>
              <w:jc w:val="left"/>
              <w:rPr>
                <w:sz w:val="20"/>
                <w:szCs w:val="20"/>
                <w:lang w:val="en-CA" w:eastAsia="en-CA"/>
              </w:rPr>
            </w:pPr>
            <w:r w:rsidRPr="00311ABF">
              <w:rPr>
                <w:sz w:val="20"/>
                <w:szCs w:val="20"/>
                <w:lang w:val="fr-FR" w:eastAsia="en-CA"/>
              </w:rPr>
              <w:t>Chine</w:t>
            </w:r>
          </w:p>
          <w:p w14:paraId="64C897C8" w14:textId="7ED56186" w:rsidR="00AF778B" w:rsidRPr="00311ABF" w:rsidRDefault="00311ABF" w:rsidP="003171CE">
            <w:pPr>
              <w:jc w:val="left"/>
              <w:rPr>
                <w:sz w:val="20"/>
                <w:szCs w:val="20"/>
                <w:lang w:val="en-CA" w:eastAsia="en-CA"/>
              </w:rPr>
            </w:pPr>
            <w:r w:rsidRPr="00311ABF">
              <w:rPr>
                <w:sz w:val="20"/>
                <w:szCs w:val="20"/>
                <w:lang w:val="fr-FR" w:eastAsia="en-CA"/>
              </w:rPr>
              <w:t>CPR/PRO/81/INV/593</w:t>
            </w:r>
          </w:p>
        </w:tc>
        <w:tc>
          <w:tcPr>
            <w:tcW w:w="4223" w:type="dxa"/>
            <w:tcBorders>
              <w:top w:val="nil"/>
              <w:left w:val="nil"/>
              <w:bottom w:val="single" w:sz="4" w:space="0" w:color="auto"/>
              <w:right w:val="single" w:sz="4" w:space="0" w:color="auto"/>
            </w:tcBorders>
            <w:shd w:val="clear" w:color="auto" w:fill="auto"/>
            <w:hideMark/>
          </w:tcPr>
          <w:p w14:paraId="7E73BAC1" w14:textId="6A3D3CD5" w:rsidR="00AF778B" w:rsidRPr="00C52326" w:rsidRDefault="00311ABF" w:rsidP="003171CE">
            <w:pPr>
              <w:jc w:val="left"/>
              <w:rPr>
                <w:sz w:val="20"/>
                <w:szCs w:val="20"/>
                <w:lang w:val="fr-CA" w:eastAsia="en-CA"/>
              </w:rPr>
            </w:pPr>
            <w:r w:rsidRPr="00311ABF">
              <w:rPr>
                <w:sz w:val="20"/>
                <w:szCs w:val="20"/>
                <w:lang w:val="fr-FR" w:eastAsia="en-CA"/>
              </w:rPr>
              <w:t>Plan de gestion de l</w:t>
            </w:r>
            <w:r w:rsidR="007B7C04">
              <w:rPr>
                <w:sz w:val="20"/>
                <w:szCs w:val="20"/>
                <w:lang w:val="fr-FR" w:eastAsia="en-CA"/>
              </w:rPr>
              <w:t>’</w:t>
            </w:r>
            <w:r w:rsidRPr="00311ABF">
              <w:rPr>
                <w:sz w:val="20"/>
                <w:szCs w:val="20"/>
                <w:lang w:val="fr-FR" w:eastAsia="en-CA"/>
              </w:rPr>
              <w:t>élimination de la production de HCFC</w:t>
            </w:r>
          </w:p>
        </w:tc>
        <w:tc>
          <w:tcPr>
            <w:tcW w:w="1443" w:type="dxa"/>
            <w:tcBorders>
              <w:top w:val="single" w:sz="4" w:space="0" w:color="auto"/>
              <w:left w:val="nil"/>
              <w:bottom w:val="single" w:sz="4" w:space="0" w:color="auto"/>
              <w:right w:val="single" w:sz="4" w:space="0" w:color="auto"/>
            </w:tcBorders>
            <w:shd w:val="clear" w:color="auto" w:fill="auto"/>
            <w:hideMark/>
          </w:tcPr>
          <w:p w14:paraId="38D08A4E" w14:textId="6E085450" w:rsidR="00AF778B" w:rsidRPr="00E44C3F" w:rsidRDefault="00AF778B" w:rsidP="00AF778B">
            <w:pPr>
              <w:jc w:val="right"/>
              <w:rPr>
                <w:sz w:val="20"/>
                <w:szCs w:val="20"/>
                <w:lang w:val="en-CA" w:eastAsia="en-CA"/>
              </w:rPr>
            </w:pPr>
            <w:r w:rsidRPr="00E44C3F">
              <w:rPr>
                <w:sz w:val="20"/>
                <w:szCs w:val="20"/>
                <w:lang w:val="en-CA" w:eastAsia="en-CA"/>
              </w:rPr>
              <w:t>40</w:t>
            </w:r>
          </w:p>
        </w:tc>
        <w:tc>
          <w:tcPr>
            <w:tcW w:w="1710" w:type="dxa"/>
            <w:tcBorders>
              <w:top w:val="nil"/>
              <w:left w:val="nil"/>
              <w:bottom w:val="single" w:sz="4" w:space="0" w:color="auto"/>
              <w:right w:val="single" w:sz="4" w:space="0" w:color="auto"/>
            </w:tcBorders>
            <w:shd w:val="clear" w:color="auto" w:fill="auto"/>
            <w:hideMark/>
          </w:tcPr>
          <w:p w14:paraId="3356A67B" w14:textId="4816BE7E" w:rsidR="00AF778B" w:rsidRPr="00311ABF" w:rsidRDefault="00311ABF" w:rsidP="003171CE">
            <w:pPr>
              <w:jc w:val="left"/>
              <w:rPr>
                <w:sz w:val="20"/>
                <w:szCs w:val="20"/>
                <w:lang w:val="en-CA" w:eastAsia="en-CA"/>
              </w:rPr>
            </w:pPr>
            <w:r w:rsidRPr="00311ABF">
              <w:rPr>
                <w:sz w:val="20"/>
                <w:szCs w:val="20"/>
                <w:lang w:val="fr-FR" w:eastAsia="en-CA"/>
              </w:rPr>
              <w:t>12 mois de retard</w:t>
            </w:r>
          </w:p>
        </w:tc>
        <w:tc>
          <w:tcPr>
            <w:tcW w:w="4682" w:type="dxa"/>
            <w:tcBorders>
              <w:top w:val="nil"/>
              <w:left w:val="nil"/>
              <w:bottom w:val="single" w:sz="4" w:space="0" w:color="auto"/>
              <w:right w:val="single" w:sz="4" w:space="0" w:color="auto"/>
            </w:tcBorders>
            <w:shd w:val="clear" w:color="auto" w:fill="auto"/>
            <w:hideMark/>
          </w:tcPr>
          <w:p w14:paraId="1E3D95DA" w14:textId="4DFC6D56" w:rsidR="00AF778B" w:rsidRPr="00C52326" w:rsidRDefault="00311ABF" w:rsidP="003171CE">
            <w:pPr>
              <w:jc w:val="left"/>
              <w:rPr>
                <w:sz w:val="20"/>
                <w:szCs w:val="20"/>
                <w:lang w:val="fr-CA" w:eastAsia="en-CA"/>
              </w:rPr>
            </w:pPr>
            <w:r w:rsidRPr="00311ABF">
              <w:rPr>
                <w:sz w:val="20"/>
                <w:szCs w:val="20"/>
                <w:lang w:val="fr-FR" w:eastAsia="en-CA"/>
              </w:rPr>
              <w:t xml:space="preserve">Demander à la </w:t>
            </w:r>
            <w:r w:rsidR="00C11F7B">
              <w:rPr>
                <w:sz w:val="20"/>
                <w:szCs w:val="20"/>
                <w:lang w:val="fr-FR" w:eastAsia="en-CA"/>
              </w:rPr>
              <w:t>Banque mondiale</w:t>
            </w:r>
            <w:r w:rsidR="007B7C04">
              <w:rPr>
                <w:sz w:val="20"/>
                <w:szCs w:val="20"/>
                <w:lang w:val="fr-FR" w:eastAsia="en-CA"/>
              </w:rPr>
              <w:t xml:space="preserve"> </w:t>
            </w:r>
            <w:r w:rsidRPr="00311ABF">
              <w:rPr>
                <w:sz w:val="20"/>
                <w:szCs w:val="20"/>
                <w:lang w:val="fr-FR" w:eastAsia="en-CA"/>
              </w:rPr>
              <w:t>de faire le point</w:t>
            </w:r>
            <w:r w:rsidR="007B7C04">
              <w:rPr>
                <w:sz w:val="20"/>
                <w:szCs w:val="20"/>
                <w:lang w:val="fr-FR" w:eastAsia="en-CA"/>
              </w:rPr>
              <w:t xml:space="preserve"> </w:t>
            </w:r>
            <w:r w:rsidRPr="00311ABF">
              <w:rPr>
                <w:sz w:val="20"/>
                <w:szCs w:val="20"/>
                <w:lang w:val="fr-FR" w:eastAsia="en-CA"/>
              </w:rPr>
              <w:t>à la 87</w:t>
            </w:r>
            <w:r w:rsidRPr="00311ABF">
              <w:rPr>
                <w:sz w:val="20"/>
                <w:szCs w:val="20"/>
                <w:vertAlign w:val="superscript"/>
                <w:lang w:val="fr-FR" w:eastAsia="en-CA"/>
              </w:rPr>
              <w:t>e</w:t>
            </w:r>
            <w:r w:rsidRPr="00311ABF">
              <w:rPr>
                <w:sz w:val="20"/>
                <w:szCs w:val="20"/>
                <w:lang w:val="fr-FR" w:eastAsia="en-CA"/>
              </w:rPr>
              <w:t xml:space="preserve"> réunion sur ce projet ayant des retards de mise en œuvre</w:t>
            </w:r>
          </w:p>
        </w:tc>
      </w:tr>
      <w:tr w:rsidR="00E44C3F" w:rsidRPr="002867A7" w14:paraId="6BE3DA79" w14:textId="77777777" w:rsidTr="00311ABF">
        <w:trPr>
          <w:jc w:val="center"/>
        </w:trPr>
        <w:tc>
          <w:tcPr>
            <w:tcW w:w="2072" w:type="dxa"/>
            <w:tcBorders>
              <w:top w:val="nil"/>
              <w:left w:val="single" w:sz="4" w:space="0" w:color="auto"/>
              <w:bottom w:val="single" w:sz="4" w:space="0" w:color="auto"/>
              <w:right w:val="single" w:sz="4" w:space="0" w:color="auto"/>
            </w:tcBorders>
            <w:shd w:val="clear" w:color="auto" w:fill="auto"/>
            <w:hideMark/>
          </w:tcPr>
          <w:p w14:paraId="42D06032" w14:textId="48D96A07" w:rsidR="007F250E" w:rsidRPr="00311ABF" w:rsidRDefault="00311ABF" w:rsidP="00AF778B">
            <w:pPr>
              <w:jc w:val="left"/>
              <w:rPr>
                <w:sz w:val="20"/>
                <w:szCs w:val="20"/>
                <w:lang w:val="en-CA" w:eastAsia="en-CA"/>
              </w:rPr>
            </w:pPr>
            <w:r w:rsidRPr="00311ABF">
              <w:rPr>
                <w:sz w:val="20"/>
                <w:szCs w:val="20"/>
                <w:lang w:val="fr-FR" w:eastAsia="en-CA"/>
              </w:rPr>
              <w:t>Jordanie</w:t>
            </w:r>
          </w:p>
          <w:p w14:paraId="17D0F112" w14:textId="495F3324" w:rsidR="00AF778B" w:rsidRPr="00311ABF" w:rsidRDefault="00311ABF" w:rsidP="003171CE">
            <w:pPr>
              <w:jc w:val="left"/>
              <w:rPr>
                <w:sz w:val="20"/>
                <w:szCs w:val="20"/>
                <w:lang w:val="en-CA" w:eastAsia="en-CA"/>
              </w:rPr>
            </w:pPr>
            <w:r w:rsidRPr="00311ABF">
              <w:rPr>
                <w:sz w:val="20"/>
                <w:szCs w:val="20"/>
                <w:lang w:val="fr-FR" w:eastAsia="en-CA"/>
              </w:rPr>
              <w:t>JOR/PHA/77/INV/99</w:t>
            </w:r>
          </w:p>
        </w:tc>
        <w:tc>
          <w:tcPr>
            <w:tcW w:w="4223" w:type="dxa"/>
            <w:tcBorders>
              <w:top w:val="nil"/>
              <w:left w:val="nil"/>
              <w:bottom w:val="single" w:sz="4" w:space="0" w:color="auto"/>
              <w:right w:val="single" w:sz="4" w:space="0" w:color="auto"/>
            </w:tcBorders>
            <w:shd w:val="clear" w:color="auto" w:fill="auto"/>
            <w:hideMark/>
          </w:tcPr>
          <w:p w14:paraId="45BD0A64" w14:textId="08DEDEFE" w:rsidR="00AF778B" w:rsidRPr="00C52326" w:rsidRDefault="00311ABF" w:rsidP="003171CE">
            <w:pPr>
              <w:jc w:val="left"/>
              <w:rPr>
                <w:sz w:val="20"/>
                <w:szCs w:val="20"/>
                <w:lang w:val="fr-CA" w:eastAsia="en-CA"/>
              </w:rPr>
            </w:pPr>
            <w:r w:rsidRPr="00311ABF">
              <w:rPr>
                <w:sz w:val="20"/>
                <w:szCs w:val="20"/>
                <w:lang w:val="fr-FR" w:eastAsia="en-CA"/>
              </w:rPr>
              <w:t>Plan de gestion de l</w:t>
            </w:r>
            <w:r w:rsidR="007B7C04">
              <w:rPr>
                <w:sz w:val="20"/>
                <w:szCs w:val="20"/>
                <w:lang w:val="fr-FR" w:eastAsia="en-CA"/>
              </w:rPr>
              <w:t>’</w:t>
            </w:r>
            <w:r w:rsidRPr="00311ABF">
              <w:rPr>
                <w:sz w:val="20"/>
                <w:szCs w:val="20"/>
                <w:lang w:val="fr-FR" w:eastAsia="en-CA"/>
              </w:rPr>
              <w:t>élimination des HCFC (phase II, première tranche) (secteur des mousses polyuréthane</w:t>
            </w:r>
            <w:r>
              <w:rPr>
                <w:sz w:val="20"/>
                <w:szCs w:val="20"/>
                <w:lang w:val="fr-FR" w:eastAsia="en-CA"/>
              </w:rPr>
              <w:t>s</w:t>
            </w:r>
            <w:r w:rsidRPr="00311ABF">
              <w:rPr>
                <w:sz w:val="20"/>
                <w:szCs w:val="20"/>
                <w:lang w:val="fr-FR" w:eastAsia="en-CA"/>
              </w:rPr>
              <w:t>)</w:t>
            </w:r>
          </w:p>
        </w:tc>
        <w:tc>
          <w:tcPr>
            <w:tcW w:w="1443" w:type="dxa"/>
            <w:tcBorders>
              <w:top w:val="nil"/>
              <w:left w:val="nil"/>
              <w:bottom w:val="single" w:sz="4" w:space="0" w:color="auto"/>
              <w:right w:val="single" w:sz="4" w:space="0" w:color="auto"/>
            </w:tcBorders>
            <w:shd w:val="clear" w:color="auto" w:fill="auto"/>
            <w:hideMark/>
          </w:tcPr>
          <w:p w14:paraId="004489C8" w14:textId="1358C905" w:rsidR="00AF778B" w:rsidRPr="00E44C3F" w:rsidRDefault="00AF778B" w:rsidP="00AF778B">
            <w:pPr>
              <w:jc w:val="right"/>
              <w:rPr>
                <w:sz w:val="20"/>
                <w:szCs w:val="20"/>
                <w:lang w:val="en-CA" w:eastAsia="en-CA"/>
              </w:rPr>
            </w:pPr>
            <w:r w:rsidRPr="00E44C3F">
              <w:rPr>
                <w:sz w:val="20"/>
                <w:szCs w:val="20"/>
                <w:lang w:val="en-CA" w:eastAsia="en-CA"/>
              </w:rPr>
              <w:t>21</w:t>
            </w:r>
          </w:p>
        </w:tc>
        <w:tc>
          <w:tcPr>
            <w:tcW w:w="1710" w:type="dxa"/>
            <w:tcBorders>
              <w:top w:val="nil"/>
              <w:left w:val="nil"/>
              <w:bottom w:val="single" w:sz="4" w:space="0" w:color="auto"/>
              <w:right w:val="single" w:sz="4" w:space="0" w:color="auto"/>
            </w:tcBorders>
            <w:shd w:val="clear" w:color="auto" w:fill="auto"/>
            <w:hideMark/>
          </w:tcPr>
          <w:p w14:paraId="60665CE6" w14:textId="35057BB3" w:rsidR="00AF778B" w:rsidRPr="00311ABF" w:rsidRDefault="00311ABF" w:rsidP="003171CE">
            <w:pPr>
              <w:jc w:val="left"/>
              <w:rPr>
                <w:sz w:val="20"/>
                <w:szCs w:val="20"/>
                <w:lang w:val="en-CA" w:eastAsia="en-CA"/>
              </w:rPr>
            </w:pPr>
            <w:r w:rsidRPr="00311ABF">
              <w:rPr>
                <w:sz w:val="20"/>
                <w:szCs w:val="20"/>
                <w:lang w:val="fr-FR" w:eastAsia="en-CA"/>
              </w:rPr>
              <w:t>12 mois de retard</w:t>
            </w:r>
          </w:p>
        </w:tc>
        <w:tc>
          <w:tcPr>
            <w:tcW w:w="4682" w:type="dxa"/>
            <w:tcBorders>
              <w:top w:val="nil"/>
              <w:left w:val="nil"/>
              <w:bottom w:val="single" w:sz="4" w:space="0" w:color="auto"/>
              <w:right w:val="single" w:sz="4" w:space="0" w:color="auto"/>
            </w:tcBorders>
            <w:shd w:val="clear" w:color="auto" w:fill="auto"/>
            <w:hideMark/>
          </w:tcPr>
          <w:p w14:paraId="5206D9F1" w14:textId="23ED5955" w:rsidR="00AF778B" w:rsidRPr="00C52326" w:rsidRDefault="00311ABF" w:rsidP="003171CE">
            <w:pPr>
              <w:jc w:val="left"/>
              <w:rPr>
                <w:sz w:val="20"/>
                <w:szCs w:val="20"/>
                <w:lang w:val="fr-CA" w:eastAsia="en-CA"/>
              </w:rPr>
            </w:pPr>
            <w:r w:rsidRPr="00311ABF">
              <w:rPr>
                <w:sz w:val="20"/>
                <w:szCs w:val="20"/>
                <w:lang w:val="fr-FR" w:eastAsia="en-CA"/>
              </w:rPr>
              <w:t xml:space="preserve">Demander à la </w:t>
            </w:r>
            <w:r w:rsidR="00C11F7B">
              <w:rPr>
                <w:sz w:val="20"/>
                <w:szCs w:val="20"/>
                <w:lang w:val="fr-FR" w:eastAsia="en-CA"/>
              </w:rPr>
              <w:t>Banque mondiale</w:t>
            </w:r>
            <w:r w:rsidR="007B7C04">
              <w:rPr>
                <w:sz w:val="20"/>
                <w:szCs w:val="20"/>
                <w:lang w:val="fr-FR" w:eastAsia="en-CA"/>
              </w:rPr>
              <w:t xml:space="preserve"> </w:t>
            </w:r>
            <w:r w:rsidRPr="00311ABF">
              <w:rPr>
                <w:sz w:val="20"/>
                <w:szCs w:val="20"/>
                <w:lang w:val="fr-FR" w:eastAsia="en-CA"/>
              </w:rPr>
              <w:t>de faire le point</w:t>
            </w:r>
            <w:r w:rsidR="007B7C04">
              <w:rPr>
                <w:sz w:val="20"/>
                <w:szCs w:val="20"/>
                <w:lang w:val="fr-FR" w:eastAsia="en-CA"/>
              </w:rPr>
              <w:t xml:space="preserve"> </w:t>
            </w:r>
            <w:r w:rsidRPr="00311ABF">
              <w:rPr>
                <w:sz w:val="20"/>
                <w:szCs w:val="20"/>
                <w:lang w:val="fr-FR" w:eastAsia="en-CA"/>
              </w:rPr>
              <w:t>à la 87</w:t>
            </w:r>
            <w:r w:rsidRPr="00311ABF">
              <w:rPr>
                <w:sz w:val="20"/>
                <w:szCs w:val="20"/>
                <w:vertAlign w:val="superscript"/>
                <w:lang w:val="fr-FR" w:eastAsia="en-CA"/>
              </w:rPr>
              <w:t>e</w:t>
            </w:r>
            <w:r w:rsidRPr="00311ABF">
              <w:rPr>
                <w:sz w:val="20"/>
                <w:szCs w:val="20"/>
                <w:lang w:val="fr-FR" w:eastAsia="en-CA"/>
              </w:rPr>
              <w:t xml:space="preserve"> réunion sur ce projet ayant des retards de mise en œuvre</w:t>
            </w:r>
          </w:p>
        </w:tc>
      </w:tr>
      <w:tr w:rsidR="007F250E" w:rsidRPr="002867A7" w14:paraId="1B98E9A9" w14:textId="77777777" w:rsidTr="00311ABF">
        <w:trPr>
          <w:jc w:val="center"/>
        </w:trPr>
        <w:tc>
          <w:tcPr>
            <w:tcW w:w="2072" w:type="dxa"/>
            <w:tcBorders>
              <w:top w:val="nil"/>
              <w:left w:val="single" w:sz="4" w:space="0" w:color="auto"/>
              <w:bottom w:val="single" w:sz="4" w:space="0" w:color="auto"/>
              <w:right w:val="single" w:sz="4" w:space="0" w:color="auto"/>
            </w:tcBorders>
            <w:shd w:val="clear" w:color="auto" w:fill="auto"/>
            <w:hideMark/>
          </w:tcPr>
          <w:p w14:paraId="784639A3" w14:textId="6AC354D5" w:rsidR="007F250E" w:rsidRPr="00311ABF" w:rsidRDefault="00311ABF" w:rsidP="00AF778B">
            <w:pPr>
              <w:jc w:val="left"/>
              <w:rPr>
                <w:sz w:val="20"/>
                <w:szCs w:val="20"/>
                <w:lang w:val="fr-BE" w:eastAsia="en-CA"/>
              </w:rPr>
            </w:pPr>
            <w:r w:rsidRPr="00311ABF">
              <w:rPr>
                <w:sz w:val="20"/>
                <w:szCs w:val="20"/>
                <w:lang w:val="fr-FR" w:eastAsia="en-CA"/>
              </w:rPr>
              <w:t>Viet Nam</w:t>
            </w:r>
          </w:p>
          <w:p w14:paraId="1F4151B0" w14:textId="1478AE93" w:rsidR="00AF778B" w:rsidRPr="00311ABF" w:rsidRDefault="00311ABF" w:rsidP="003171CE">
            <w:pPr>
              <w:jc w:val="left"/>
              <w:rPr>
                <w:sz w:val="20"/>
                <w:szCs w:val="20"/>
                <w:lang w:val="fr-BE" w:eastAsia="en-CA"/>
              </w:rPr>
            </w:pPr>
            <w:r w:rsidRPr="00311ABF">
              <w:rPr>
                <w:sz w:val="20"/>
                <w:szCs w:val="20"/>
                <w:lang w:val="fr-FR" w:eastAsia="en-CA"/>
              </w:rPr>
              <w:t>VIE/PHA/76/INV/70</w:t>
            </w:r>
          </w:p>
        </w:tc>
        <w:tc>
          <w:tcPr>
            <w:tcW w:w="4223" w:type="dxa"/>
            <w:tcBorders>
              <w:top w:val="nil"/>
              <w:left w:val="nil"/>
              <w:bottom w:val="single" w:sz="4" w:space="0" w:color="auto"/>
              <w:right w:val="single" w:sz="4" w:space="0" w:color="auto"/>
            </w:tcBorders>
            <w:shd w:val="clear" w:color="auto" w:fill="auto"/>
            <w:hideMark/>
          </w:tcPr>
          <w:p w14:paraId="27E79EFC" w14:textId="2B379C5A" w:rsidR="00AF778B" w:rsidRPr="00C52326" w:rsidRDefault="00311ABF" w:rsidP="003171CE">
            <w:pPr>
              <w:jc w:val="left"/>
              <w:rPr>
                <w:sz w:val="20"/>
                <w:szCs w:val="20"/>
                <w:lang w:val="fr-CA" w:eastAsia="en-CA"/>
              </w:rPr>
            </w:pPr>
            <w:r w:rsidRPr="00311ABF">
              <w:rPr>
                <w:sz w:val="20"/>
                <w:szCs w:val="20"/>
                <w:lang w:val="fr-FR" w:eastAsia="en-CA"/>
              </w:rPr>
              <w:t>Plan de gestion de l</w:t>
            </w:r>
            <w:r w:rsidR="007B7C04">
              <w:rPr>
                <w:sz w:val="20"/>
                <w:szCs w:val="20"/>
                <w:lang w:val="fr-FR" w:eastAsia="en-CA"/>
              </w:rPr>
              <w:t>’</w:t>
            </w:r>
            <w:r w:rsidRPr="00311ABF">
              <w:rPr>
                <w:sz w:val="20"/>
                <w:szCs w:val="20"/>
                <w:lang w:val="fr-FR" w:eastAsia="en-CA"/>
              </w:rPr>
              <w:t>élimination des HCFC (phase II, première tranche) (secteur des mousses rigides de polyuréthane)</w:t>
            </w:r>
          </w:p>
        </w:tc>
        <w:tc>
          <w:tcPr>
            <w:tcW w:w="1443" w:type="dxa"/>
            <w:tcBorders>
              <w:top w:val="nil"/>
              <w:left w:val="nil"/>
              <w:bottom w:val="single" w:sz="4" w:space="0" w:color="auto"/>
              <w:right w:val="single" w:sz="4" w:space="0" w:color="auto"/>
            </w:tcBorders>
            <w:shd w:val="clear" w:color="auto" w:fill="auto"/>
            <w:hideMark/>
          </w:tcPr>
          <w:p w14:paraId="7BCAFF69" w14:textId="105DE620" w:rsidR="00AF778B" w:rsidRPr="00E44C3F" w:rsidRDefault="00AF778B" w:rsidP="00AF778B">
            <w:pPr>
              <w:jc w:val="right"/>
              <w:rPr>
                <w:sz w:val="20"/>
                <w:szCs w:val="20"/>
                <w:lang w:val="en-CA" w:eastAsia="en-CA"/>
              </w:rPr>
            </w:pPr>
            <w:r w:rsidRPr="00E44C3F">
              <w:rPr>
                <w:sz w:val="20"/>
                <w:szCs w:val="20"/>
                <w:lang w:val="en-CA" w:eastAsia="en-CA"/>
              </w:rPr>
              <w:t>55</w:t>
            </w:r>
          </w:p>
        </w:tc>
        <w:tc>
          <w:tcPr>
            <w:tcW w:w="1710" w:type="dxa"/>
            <w:tcBorders>
              <w:top w:val="nil"/>
              <w:left w:val="nil"/>
              <w:bottom w:val="single" w:sz="4" w:space="0" w:color="auto"/>
              <w:right w:val="single" w:sz="4" w:space="0" w:color="auto"/>
            </w:tcBorders>
            <w:shd w:val="clear" w:color="auto" w:fill="auto"/>
            <w:hideMark/>
          </w:tcPr>
          <w:p w14:paraId="35B5657E" w14:textId="53AB3AC2" w:rsidR="00AF778B" w:rsidRPr="00311ABF" w:rsidRDefault="00311ABF" w:rsidP="003171CE">
            <w:pPr>
              <w:jc w:val="left"/>
              <w:rPr>
                <w:sz w:val="20"/>
                <w:szCs w:val="20"/>
                <w:lang w:val="en-CA" w:eastAsia="en-CA"/>
              </w:rPr>
            </w:pPr>
            <w:r w:rsidRPr="00311ABF">
              <w:rPr>
                <w:sz w:val="20"/>
                <w:szCs w:val="20"/>
                <w:lang w:val="fr-FR" w:eastAsia="en-CA"/>
              </w:rPr>
              <w:t>12 mois de retard</w:t>
            </w:r>
          </w:p>
        </w:tc>
        <w:tc>
          <w:tcPr>
            <w:tcW w:w="4682" w:type="dxa"/>
            <w:tcBorders>
              <w:top w:val="nil"/>
              <w:left w:val="nil"/>
              <w:bottom w:val="single" w:sz="4" w:space="0" w:color="auto"/>
              <w:right w:val="single" w:sz="4" w:space="0" w:color="auto"/>
            </w:tcBorders>
            <w:shd w:val="clear" w:color="auto" w:fill="auto"/>
            <w:hideMark/>
          </w:tcPr>
          <w:p w14:paraId="0B03607A" w14:textId="10A9664A" w:rsidR="00AF778B" w:rsidRPr="00C52326" w:rsidRDefault="00311ABF" w:rsidP="003171CE">
            <w:pPr>
              <w:jc w:val="left"/>
              <w:rPr>
                <w:sz w:val="20"/>
                <w:szCs w:val="20"/>
                <w:lang w:val="fr-CA" w:eastAsia="en-CA"/>
              </w:rPr>
            </w:pPr>
            <w:r w:rsidRPr="00311ABF">
              <w:rPr>
                <w:sz w:val="20"/>
                <w:szCs w:val="20"/>
                <w:lang w:val="fr-FR" w:eastAsia="en-CA"/>
              </w:rPr>
              <w:t xml:space="preserve">Demander à la </w:t>
            </w:r>
            <w:r w:rsidR="00C11F7B">
              <w:rPr>
                <w:sz w:val="20"/>
                <w:szCs w:val="20"/>
                <w:lang w:val="fr-FR" w:eastAsia="en-CA"/>
              </w:rPr>
              <w:t>Banque mondiale</w:t>
            </w:r>
            <w:r w:rsidR="007B7C04">
              <w:rPr>
                <w:sz w:val="20"/>
                <w:szCs w:val="20"/>
                <w:lang w:val="fr-FR" w:eastAsia="en-CA"/>
              </w:rPr>
              <w:t xml:space="preserve"> </w:t>
            </w:r>
            <w:r w:rsidRPr="00311ABF">
              <w:rPr>
                <w:sz w:val="20"/>
                <w:szCs w:val="20"/>
                <w:lang w:val="fr-FR" w:eastAsia="en-CA"/>
              </w:rPr>
              <w:t>de faire le point</w:t>
            </w:r>
            <w:r w:rsidR="007B7C04">
              <w:rPr>
                <w:sz w:val="20"/>
                <w:szCs w:val="20"/>
                <w:lang w:val="fr-FR" w:eastAsia="en-CA"/>
              </w:rPr>
              <w:t xml:space="preserve"> </w:t>
            </w:r>
            <w:r w:rsidRPr="00311ABF">
              <w:rPr>
                <w:sz w:val="20"/>
                <w:szCs w:val="20"/>
                <w:lang w:val="fr-FR" w:eastAsia="en-CA"/>
              </w:rPr>
              <w:t>à la 87</w:t>
            </w:r>
            <w:r w:rsidRPr="00311ABF">
              <w:rPr>
                <w:sz w:val="20"/>
                <w:szCs w:val="20"/>
                <w:vertAlign w:val="superscript"/>
                <w:lang w:val="fr-FR" w:eastAsia="en-CA"/>
              </w:rPr>
              <w:t>e</w:t>
            </w:r>
            <w:r w:rsidRPr="00311ABF">
              <w:rPr>
                <w:sz w:val="20"/>
                <w:szCs w:val="20"/>
                <w:lang w:val="fr-FR" w:eastAsia="en-CA"/>
              </w:rPr>
              <w:t xml:space="preserve"> réunion sur ce projet ayant des retards de mise en œuvre</w:t>
            </w:r>
          </w:p>
        </w:tc>
      </w:tr>
    </w:tbl>
    <w:p w14:paraId="2EA30624" w14:textId="0C132AC6" w:rsidR="00A87487" w:rsidRPr="00C52326" w:rsidRDefault="00A87487">
      <w:pPr>
        <w:jc w:val="left"/>
        <w:rPr>
          <w:b/>
          <w:spacing w:val="-3"/>
          <w:lang w:val="fr-CA"/>
        </w:rPr>
      </w:pPr>
    </w:p>
    <w:p w14:paraId="565CB21D" w14:textId="1480B28C" w:rsidR="007F250E" w:rsidRPr="00C52326" w:rsidRDefault="007F250E">
      <w:pPr>
        <w:jc w:val="left"/>
        <w:rPr>
          <w:b/>
          <w:spacing w:val="-3"/>
          <w:lang w:val="fr-CA"/>
        </w:rPr>
      </w:pPr>
    </w:p>
    <w:p w14:paraId="284E5BEF" w14:textId="77777777" w:rsidR="007F250E" w:rsidRPr="00C52326" w:rsidRDefault="007F250E">
      <w:pPr>
        <w:jc w:val="left"/>
        <w:rPr>
          <w:b/>
          <w:spacing w:val="-3"/>
          <w:lang w:val="fr-CA"/>
        </w:rPr>
      </w:pPr>
    </w:p>
    <w:p w14:paraId="326074D7" w14:textId="77777777" w:rsidR="0036570A" w:rsidRPr="00C52326" w:rsidRDefault="0036570A">
      <w:pPr>
        <w:jc w:val="left"/>
        <w:rPr>
          <w:b/>
          <w:spacing w:val="-3"/>
          <w:lang w:val="fr-CA"/>
        </w:rPr>
        <w:sectPr w:rsidR="0036570A" w:rsidRPr="00C52326" w:rsidSect="007F250E">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5840" w:h="12240" w:orient="landscape" w:code="1"/>
          <w:pgMar w:top="1440" w:right="720" w:bottom="1440" w:left="864" w:header="720" w:footer="475" w:gutter="0"/>
          <w:pgNumType w:start="1"/>
          <w:cols w:space="720"/>
          <w:titlePg/>
          <w:docGrid w:linePitch="299"/>
        </w:sectPr>
      </w:pPr>
    </w:p>
    <w:p w14:paraId="3601389E" w14:textId="5674ED35" w:rsidR="00E433C6" w:rsidRPr="00C52326" w:rsidRDefault="00311ABF" w:rsidP="00E433C6">
      <w:pPr>
        <w:pStyle w:val="Heading1"/>
        <w:keepNext/>
        <w:numPr>
          <w:ilvl w:val="0"/>
          <w:numId w:val="0"/>
        </w:numPr>
        <w:suppressAutoHyphens/>
        <w:spacing w:after="0"/>
        <w:jc w:val="center"/>
        <w:rPr>
          <w:b/>
          <w:spacing w:val="-3"/>
          <w:lang w:val="fr-CA"/>
        </w:rPr>
      </w:pPr>
      <w:r w:rsidRPr="00311ABF">
        <w:rPr>
          <w:b/>
          <w:spacing w:val="-3"/>
          <w:lang w:val="fr-FR"/>
        </w:rPr>
        <w:lastRenderedPageBreak/>
        <w:t>Annexe II</w:t>
      </w:r>
    </w:p>
    <w:p w14:paraId="67E5E0F5" w14:textId="77777777" w:rsidR="00E433C6" w:rsidRPr="00C52326" w:rsidRDefault="00E433C6" w:rsidP="00E433C6">
      <w:pPr>
        <w:rPr>
          <w:lang w:val="fr-CA"/>
        </w:rPr>
      </w:pPr>
    </w:p>
    <w:p w14:paraId="78F415DB" w14:textId="324F8333" w:rsidR="00E433C6" w:rsidRPr="00C52326" w:rsidRDefault="00311ABF" w:rsidP="00E433C6">
      <w:pPr>
        <w:pStyle w:val="Title1"/>
        <w:rPr>
          <w:caps w:val="0"/>
          <w:lang w:val="fr-CA"/>
        </w:rPr>
      </w:pPr>
      <w:r w:rsidRPr="00311ABF">
        <w:rPr>
          <w:caps w:val="0"/>
          <w:lang w:val="fr-FR"/>
        </w:rPr>
        <w:t>ANALYSE DU RAPPORT PÉRIODIQUE DE LA BANQUE MONDIALE</w:t>
      </w:r>
      <w:r w:rsidR="00E433C6" w:rsidRPr="00C52326">
        <w:rPr>
          <w:caps w:val="0"/>
          <w:lang w:val="fr-CA"/>
        </w:rPr>
        <w:t xml:space="preserve"> </w:t>
      </w:r>
    </w:p>
    <w:p w14:paraId="46F76041" w14:textId="5F7809F9" w:rsidR="00E433C6" w:rsidRPr="00311ABF" w:rsidRDefault="00311ABF" w:rsidP="00E433C6">
      <w:pPr>
        <w:pStyle w:val="Title1"/>
        <w:rPr>
          <w:caps w:val="0"/>
          <w:lang w:val="en-CA"/>
        </w:rPr>
      </w:pPr>
      <w:r w:rsidRPr="00311ABF">
        <w:rPr>
          <w:caps w:val="0"/>
          <w:lang w:val="fr-FR"/>
        </w:rPr>
        <w:t>EN DATE DU 31 DÉCEMBRE 2019</w:t>
      </w:r>
    </w:p>
    <w:p w14:paraId="1B347475" w14:textId="5111586D" w:rsidR="00E433C6" w:rsidRDefault="00E433C6" w:rsidP="00E433C6">
      <w:pPr>
        <w:pStyle w:val="Title1"/>
        <w:rPr>
          <w:caps w:val="0"/>
          <w:lang w:val="en-CA"/>
        </w:rPr>
      </w:pPr>
    </w:p>
    <w:p w14:paraId="217A2C02" w14:textId="77777777" w:rsidR="00F61014" w:rsidRPr="00E44C3F" w:rsidRDefault="00F61014" w:rsidP="00E433C6">
      <w:pPr>
        <w:pStyle w:val="Title1"/>
        <w:rPr>
          <w:caps w:val="0"/>
          <w:lang w:val="en-CA"/>
        </w:rPr>
      </w:pPr>
    </w:p>
    <w:p w14:paraId="780A85C2" w14:textId="60D647FE" w:rsidR="00311ABF" w:rsidRPr="00C52326" w:rsidRDefault="00311ABF" w:rsidP="00311ABF">
      <w:pPr>
        <w:pStyle w:val="Heading1"/>
        <w:numPr>
          <w:ilvl w:val="0"/>
          <w:numId w:val="21"/>
        </w:numPr>
        <w:rPr>
          <w:lang w:val="fr-CA"/>
        </w:rPr>
      </w:pPr>
      <w:r w:rsidRPr="00311ABF">
        <w:rPr>
          <w:lang w:val="fr-FR"/>
        </w:rPr>
        <w:t>Cette Annexe comprend les deux parties suivantes :</w:t>
      </w:r>
    </w:p>
    <w:p w14:paraId="16C26F54" w14:textId="461A1846" w:rsidR="00E433C6" w:rsidRPr="00C52326" w:rsidRDefault="00311ABF" w:rsidP="00311ABF">
      <w:pPr>
        <w:pStyle w:val="Heading2"/>
        <w:keepNext/>
        <w:widowControl/>
        <w:numPr>
          <w:ilvl w:val="0"/>
          <w:numId w:val="0"/>
        </w:numPr>
        <w:adjustRightInd w:val="0"/>
        <w:ind w:left="2160" w:hanging="1440"/>
        <w:textAlignment w:val="baseline"/>
        <w:rPr>
          <w:szCs w:val="28"/>
          <w:lang w:val="fr-CA"/>
        </w:rPr>
      </w:pPr>
      <w:r w:rsidRPr="00311ABF">
        <w:rPr>
          <w:szCs w:val="28"/>
          <w:lang w:val="fr-FR"/>
        </w:rPr>
        <w:t>Partie I :</w:t>
      </w:r>
      <w:r w:rsidR="00E433C6" w:rsidRPr="00C52326">
        <w:rPr>
          <w:szCs w:val="28"/>
          <w:lang w:val="fr-CA"/>
        </w:rPr>
        <w:tab/>
      </w:r>
      <w:r w:rsidRPr="00311ABF">
        <w:rPr>
          <w:szCs w:val="28"/>
          <w:lang w:val="fr-FR"/>
        </w:rPr>
        <w:t>Projets approuvés au titre des contributions ordinaires au Fonds multilatéral.</w:t>
      </w:r>
    </w:p>
    <w:p w14:paraId="3C35A8C1" w14:textId="398BFEA3" w:rsidR="00E433C6" w:rsidRPr="00C52326" w:rsidRDefault="00311ABF" w:rsidP="00311ABF">
      <w:pPr>
        <w:pStyle w:val="Heading2"/>
        <w:widowControl/>
        <w:numPr>
          <w:ilvl w:val="0"/>
          <w:numId w:val="0"/>
        </w:numPr>
        <w:adjustRightInd w:val="0"/>
        <w:ind w:left="2160" w:hanging="1440"/>
        <w:textAlignment w:val="baseline"/>
        <w:rPr>
          <w:szCs w:val="28"/>
          <w:lang w:val="fr-CA"/>
        </w:rPr>
      </w:pPr>
      <w:r w:rsidRPr="00311ABF">
        <w:rPr>
          <w:szCs w:val="28"/>
          <w:lang w:val="fr-FR"/>
        </w:rPr>
        <w:t>Partie II :</w:t>
      </w:r>
      <w:r w:rsidR="00E433C6" w:rsidRPr="00C52326">
        <w:rPr>
          <w:szCs w:val="28"/>
          <w:lang w:val="fr-CA"/>
        </w:rPr>
        <w:tab/>
      </w:r>
      <w:r w:rsidRPr="00311ABF">
        <w:rPr>
          <w:szCs w:val="28"/>
          <w:lang w:val="fr-FR"/>
        </w:rPr>
        <w:t>Projets approuvés au titre des contributions volontaires supplémentaires afin de soutenir le démarrage rapide du processus d</w:t>
      </w:r>
      <w:r w:rsidR="007B7C04">
        <w:rPr>
          <w:szCs w:val="28"/>
          <w:lang w:val="fr-FR"/>
        </w:rPr>
        <w:t>’</w:t>
      </w:r>
      <w:r w:rsidRPr="00311ABF">
        <w:rPr>
          <w:szCs w:val="28"/>
          <w:lang w:val="fr-FR"/>
        </w:rPr>
        <w:t>élimination progressive des HFC.</w:t>
      </w:r>
    </w:p>
    <w:p w14:paraId="7197D9A3" w14:textId="6950699F" w:rsidR="00E433C6" w:rsidRPr="00C52326" w:rsidRDefault="00311ABF" w:rsidP="00E433C6">
      <w:pPr>
        <w:pStyle w:val="sub-title"/>
        <w:keepNext/>
        <w:keepLines/>
        <w:ind w:left="1418" w:hanging="1418"/>
        <w:rPr>
          <w:rFonts w:ascii="Times New Roman Bold" w:hAnsi="Times New Roman Bold"/>
          <w:caps/>
          <w:noProof w:val="0"/>
          <w:szCs w:val="28"/>
          <w:lang w:val="fr-CA"/>
        </w:rPr>
      </w:pPr>
      <w:r w:rsidRPr="00311ABF">
        <w:rPr>
          <w:rFonts w:ascii="Times New Roman Bold" w:hAnsi="Times New Roman Bold"/>
          <w:caps/>
          <w:noProof w:val="0"/>
          <w:szCs w:val="28"/>
          <w:lang w:val="fr-FR"/>
        </w:rPr>
        <w:t>Partie I</w:t>
      </w:r>
      <w:r w:rsidRPr="00311ABF">
        <w:rPr>
          <w:rFonts w:ascii="Times New Roman Bold" w:hAnsi="Times New Roman Bold" w:hint="eastAsia"/>
          <w:caps/>
          <w:noProof w:val="0"/>
          <w:szCs w:val="28"/>
          <w:lang w:val="fr-FR"/>
        </w:rPr>
        <w:t> </w:t>
      </w:r>
      <w:r w:rsidRPr="00311ABF">
        <w:rPr>
          <w:rFonts w:ascii="Times New Roman Bold" w:hAnsi="Times New Roman Bold"/>
          <w:caps/>
          <w:noProof w:val="0"/>
          <w:szCs w:val="28"/>
          <w:lang w:val="fr-FR"/>
        </w:rPr>
        <w:t>:</w:t>
      </w:r>
      <w:r w:rsidR="00E433C6" w:rsidRPr="00C52326">
        <w:rPr>
          <w:rFonts w:ascii="Times New Roman Bold" w:hAnsi="Times New Roman Bold"/>
          <w:caps/>
          <w:noProof w:val="0"/>
          <w:szCs w:val="28"/>
          <w:lang w:val="fr-CA"/>
        </w:rPr>
        <w:t xml:space="preserve"> </w:t>
      </w:r>
      <w:r w:rsidR="00E433C6" w:rsidRPr="00C52326">
        <w:rPr>
          <w:rFonts w:ascii="Times New Roman Bold" w:hAnsi="Times New Roman Bold"/>
          <w:caps/>
          <w:noProof w:val="0"/>
          <w:szCs w:val="28"/>
          <w:lang w:val="fr-CA"/>
        </w:rPr>
        <w:tab/>
      </w:r>
      <w:r w:rsidRPr="00311ABF">
        <w:rPr>
          <w:rFonts w:ascii="Times New Roman Bold" w:hAnsi="Times New Roman Bold"/>
          <w:caps/>
          <w:noProof w:val="0"/>
          <w:szCs w:val="28"/>
          <w:lang w:val="fr-FR"/>
        </w:rPr>
        <w:t>PROJETS APPROUV</w:t>
      </w:r>
      <w:r w:rsidRPr="00311ABF">
        <w:rPr>
          <w:rFonts w:ascii="Times New Roman Bold" w:hAnsi="Times New Roman Bold" w:hint="eastAsia"/>
          <w:caps/>
          <w:noProof w:val="0"/>
          <w:szCs w:val="28"/>
          <w:lang w:val="fr-FR"/>
        </w:rPr>
        <w:t>É</w:t>
      </w:r>
      <w:r w:rsidRPr="00311ABF">
        <w:rPr>
          <w:rFonts w:ascii="Times New Roman Bold" w:hAnsi="Times New Roman Bold"/>
          <w:caps/>
          <w:noProof w:val="0"/>
          <w:szCs w:val="28"/>
          <w:lang w:val="fr-FR"/>
        </w:rPr>
        <w:t>S AU TITRE DES CONTRIBUTIONS ORDINAIRES AU FONDS MULTILATÉRAL</w:t>
      </w:r>
    </w:p>
    <w:p w14:paraId="69854723" w14:textId="77777777" w:rsidR="00E433C6" w:rsidRPr="00C52326" w:rsidRDefault="00E433C6" w:rsidP="00E433C6">
      <w:pPr>
        <w:pStyle w:val="Title1"/>
        <w:jc w:val="both"/>
        <w:rPr>
          <w:caps w:val="0"/>
          <w:lang w:val="fr-CA"/>
        </w:rPr>
      </w:pPr>
    </w:p>
    <w:p w14:paraId="2358543A" w14:textId="43EDCAAB" w:rsidR="00311ABF" w:rsidRPr="00C52326" w:rsidRDefault="00311ABF" w:rsidP="00311ABF">
      <w:pPr>
        <w:pStyle w:val="Heading1"/>
        <w:keepNext/>
        <w:numPr>
          <w:ilvl w:val="0"/>
          <w:numId w:val="21"/>
        </w:numPr>
        <w:rPr>
          <w:lang w:val="fr-CA"/>
        </w:rPr>
      </w:pPr>
      <w:r w:rsidRPr="00311ABF">
        <w:rPr>
          <w:lang w:val="fr-FR"/>
        </w:rPr>
        <w:t>Au 31 décembre 2019, le Comité exécutif avait approuvé 1,28 milliard $US, soit 1,16 milliard $US pour la mise en œuvre de projets d</w:t>
      </w:r>
      <w:r w:rsidR="007B7C04">
        <w:rPr>
          <w:lang w:val="fr-FR"/>
        </w:rPr>
        <w:t>’</w:t>
      </w:r>
      <w:r w:rsidRPr="00311ABF">
        <w:rPr>
          <w:lang w:val="fr-FR"/>
        </w:rPr>
        <w:t>investissement et de projets ne portant pas sur des investissements, et 118,39 millions $US pour les coûts d</w:t>
      </w:r>
      <w:r w:rsidR="007B7C04">
        <w:rPr>
          <w:lang w:val="fr-FR"/>
        </w:rPr>
        <w:t>’</w:t>
      </w:r>
      <w:r w:rsidRPr="00311ABF">
        <w:rPr>
          <w:lang w:val="fr-FR"/>
        </w:rPr>
        <w:t>appui d</w:t>
      </w:r>
      <w:r w:rsidR="007B7C04">
        <w:rPr>
          <w:lang w:val="fr-FR"/>
        </w:rPr>
        <w:t>’</w:t>
      </w:r>
      <w:r w:rsidRPr="00311ABF">
        <w:rPr>
          <w:lang w:val="fr-FR"/>
        </w:rPr>
        <w:t>agence, comme l</w:t>
      </w:r>
      <w:r w:rsidR="007B7C04">
        <w:rPr>
          <w:lang w:val="fr-FR"/>
        </w:rPr>
        <w:t>’</w:t>
      </w:r>
      <w:r w:rsidRPr="00311ABF">
        <w:rPr>
          <w:lang w:val="fr-FR"/>
        </w:rPr>
        <w:t>indique le tableau 1. En 2019, 3 nouveaux projets et activités ont été approuvés.</w:t>
      </w:r>
      <w:r w:rsidRPr="00C52326">
        <w:rPr>
          <w:lang w:val="fr-CA"/>
        </w:rPr>
        <w:t xml:space="preserve"> </w:t>
      </w:r>
      <w:r w:rsidRPr="00311ABF">
        <w:rPr>
          <w:lang w:val="fr-FR"/>
        </w:rPr>
        <w:t>Ce niveau de financement devrait permettre d</w:t>
      </w:r>
      <w:r w:rsidR="007B7C04">
        <w:rPr>
          <w:lang w:val="fr-FR"/>
        </w:rPr>
        <w:t>’</w:t>
      </w:r>
      <w:r w:rsidRPr="00311ABF">
        <w:rPr>
          <w:lang w:val="fr-FR"/>
        </w:rPr>
        <w:t>éliminer 304,639 tonnes PAO de consommation et de production de substances réglementées.</w:t>
      </w:r>
      <w:r w:rsidRPr="00C52326">
        <w:rPr>
          <w:lang w:val="fr-CA"/>
        </w:rPr>
        <w:t xml:space="preserve"> </w:t>
      </w:r>
    </w:p>
    <w:p w14:paraId="59AD80BD" w14:textId="3A57AF9A" w:rsidR="00E433C6" w:rsidRPr="00C52326" w:rsidRDefault="00311ABF" w:rsidP="00E433C6">
      <w:pPr>
        <w:pStyle w:val="Heading1"/>
        <w:keepNext/>
        <w:numPr>
          <w:ilvl w:val="0"/>
          <w:numId w:val="0"/>
        </w:numPr>
        <w:suppressAutoHyphens/>
        <w:spacing w:after="0"/>
        <w:jc w:val="left"/>
        <w:rPr>
          <w:b/>
          <w:lang w:val="fr-CA"/>
        </w:rPr>
      </w:pPr>
      <w:r w:rsidRPr="00311ABF">
        <w:rPr>
          <w:b/>
          <w:spacing w:val="-3"/>
          <w:lang w:val="fr-FR"/>
        </w:rPr>
        <w:t>Tableau 1</w:t>
      </w:r>
      <w:r w:rsidR="003578D1">
        <w:rPr>
          <w:b/>
          <w:spacing w:val="-3"/>
          <w:lang w:val="fr-FR"/>
        </w:rPr>
        <w:t>.</w:t>
      </w:r>
      <w:r w:rsidRPr="00311ABF">
        <w:rPr>
          <w:b/>
          <w:spacing w:val="-3"/>
          <w:lang w:val="fr-FR"/>
        </w:rPr>
        <w:t xml:space="preserve"> Financement</w:t>
      </w:r>
      <w:r w:rsidR="007B7C04">
        <w:rPr>
          <w:b/>
          <w:spacing w:val="-3"/>
          <w:lang w:val="fr-FR"/>
        </w:rPr>
        <w:t xml:space="preserve"> </w:t>
      </w:r>
      <w:r w:rsidRPr="00311ABF">
        <w:rPr>
          <w:b/>
          <w:spacing w:val="-3"/>
          <w:lang w:val="fr-FR"/>
        </w:rPr>
        <w:t xml:space="preserve">approuvé par secteur pour la </w:t>
      </w:r>
      <w:r w:rsidR="00C11F7B">
        <w:rPr>
          <w:b/>
          <w:spacing w:val="-3"/>
          <w:lang w:val="fr-FR"/>
        </w:rPr>
        <w:t>Banque mondiale</w:t>
      </w:r>
      <w:r w:rsidRPr="00311ABF">
        <w:rPr>
          <w:b/>
          <w:spacing w:val="-3"/>
          <w:lang w:val="fr-FR"/>
        </w:rPr>
        <w:t xml:space="preserve"> au 31 décembre 2019</w:t>
      </w:r>
    </w:p>
    <w:tbl>
      <w:tblPr>
        <w:tblW w:w="9351" w:type="dxa"/>
        <w:tblLayout w:type="fixed"/>
        <w:tblLook w:val="04A0" w:firstRow="1" w:lastRow="0" w:firstColumn="1" w:lastColumn="0" w:noHBand="0" w:noVBand="1"/>
      </w:tblPr>
      <w:tblGrid>
        <w:gridCol w:w="4815"/>
        <w:gridCol w:w="4536"/>
      </w:tblGrid>
      <w:tr w:rsidR="00E44C3F" w:rsidRPr="00E44C3F" w14:paraId="18A72BE9" w14:textId="77777777" w:rsidTr="00311ABF">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0B03E" w14:textId="5439CCC3" w:rsidR="003E4EE0" w:rsidRPr="00311ABF" w:rsidRDefault="00311ABF" w:rsidP="003171CE">
            <w:pPr>
              <w:jc w:val="left"/>
              <w:rPr>
                <w:b/>
                <w:bCs/>
                <w:sz w:val="21"/>
                <w:szCs w:val="21"/>
                <w:lang w:val="en-CA" w:eastAsia="en-CA"/>
              </w:rPr>
            </w:pPr>
            <w:bookmarkStart w:id="1" w:name="tblHere"/>
            <w:r w:rsidRPr="00311ABF">
              <w:rPr>
                <w:b/>
                <w:bCs/>
                <w:sz w:val="21"/>
                <w:szCs w:val="21"/>
                <w:lang w:val="fr-FR" w:eastAsia="en-CA"/>
              </w:rPr>
              <w:t>Secteur</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16E635B5" w14:textId="380A670A" w:rsidR="003E4EE0" w:rsidRPr="00311ABF" w:rsidRDefault="00311ABF" w:rsidP="003171CE">
            <w:pPr>
              <w:jc w:val="center"/>
              <w:rPr>
                <w:b/>
                <w:bCs/>
                <w:sz w:val="21"/>
                <w:szCs w:val="21"/>
                <w:lang w:val="en-CA" w:eastAsia="en-CA"/>
              </w:rPr>
            </w:pPr>
            <w:r w:rsidRPr="00311ABF">
              <w:rPr>
                <w:b/>
                <w:bCs/>
                <w:sz w:val="21"/>
                <w:szCs w:val="21"/>
                <w:lang w:val="fr-FR" w:eastAsia="en-CA"/>
              </w:rPr>
              <w:t>Financement ($US)</w:t>
            </w:r>
          </w:p>
        </w:tc>
      </w:tr>
      <w:tr w:rsidR="00E44C3F" w:rsidRPr="00E44C3F" w14:paraId="5C12B8D3" w14:textId="77777777" w:rsidTr="00311ABF">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604C443D" w14:textId="183FA1F1" w:rsidR="003E4EE0" w:rsidRPr="00311ABF" w:rsidRDefault="00311ABF" w:rsidP="003171CE">
            <w:pPr>
              <w:jc w:val="left"/>
              <w:rPr>
                <w:sz w:val="21"/>
                <w:szCs w:val="21"/>
                <w:lang w:val="en-CA" w:eastAsia="en-CA"/>
              </w:rPr>
            </w:pPr>
            <w:r w:rsidRPr="00311ABF">
              <w:rPr>
                <w:sz w:val="21"/>
                <w:szCs w:val="21"/>
                <w:lang w:val="fr-FR" w:eastAsia="en-CA"/>
              </w:rPr>
              <w:t>Aérosol</w:t>
            </w:r>
            <w:r>
              <w:rPr>
                <w:sz w:val="21"/>
                <w:szCs w:val="21"/>
                <w:lang w:val="fr-FR" w:eastAsia="en-CA"/>
              </w:rPr>
              <w:t>s</w:t>
            </w:r>
          </w:p>
        </w:tc>
        <w:tc>
          <w:tcPr>
            <w:tcW w:w="4536" w:type="dxa"/>
            <w:tcBorders>
              <w:top w:val="nil"/>
              <w:left w:val="nil"/>
              <w:bottom w:val="single" w:sz="4" w:space="0" w:color="auto"/>
              <w:right w:val="single" w:sz="4" w:space="0" w:color="auto"/>
            </w:tcBorders>
            <w:shd w:val="clear" w:color="auto" w:fill="auto"/>
            <w:noWrap/>
            <w:tcMar>
              <w:left w:w="115" w:type="dxa"/>
              <w:right w:w="360" w:type="dxa"/>
            </w:tcMar>
            <w:vAlign w:val="bottom"/>
            <w:hideMark/>
          </w:tcPr>
          <w:p w14:paraId="68E2B3A5" w14:textId="7C45E394" w:rsidR="003E4EE0" w:rsidRPr="00E44C3F" w:rsidRDefault="003E4EE0" w:rsidP="003E4EE0">
            <w:pPr>
              <w:jc w:val="right"/>
              <w:rPr>
                <w:sz w:val="21"/>
                <w:szCs w:val="21"/>
                <w:lang w:val="en-CA" w:eastAsia="en-CA"/>
              </w:rPr>
            </w:pPr>
            <w:r w:rsidRPr="00E44C3F">
              <w:rPr>
                <w:sz w:val="21"/>
                <w:szCs w:val="21"/>
                <w:lang w:val="en-CA" w:eastAsia="en-CA"/>
              </w:rPr>
              <w:t>22</w:t>
            </w:r>
            <w:r w:rsidR="003762DD">
              <w:rPr>
                <w:sz w:val="21"/>
                <w:szCs w:val="21"/>
                <w:lang w:val="en-CA" w:eastAsia="en-CA"/>
              </w:rPr>
              <w:t> </w:t>
            </w:r>
            <w:r w:rsidRPr="00E44C3F">
              <w:rPr>
                <w:sz w:val="21"/>
                <w:szCs w:val="21"/>
                <w:lang w:val="en-CA" w:eastAsia="en-CA"/>
              </w:rPr>
              <w:t>984</w:t>
            </w:r>
            <w:r w:rsidR="003762DD">
              <w:rPr>
                <w:sz w:val="21"/>
                <w:szCs w:val="21"/>
                <w:lang w:val="en-CA" w:eastAsia="en-CA"/>
              </w:rPr>
              <w:t> </w:t>
            </w:r>
            <w:r w:rsidRPr="00E44C3F">
              <w:rPr>
                <w:sz w:val="21"/>
                <w:szCs w:val="21"/>
                <w:lang w:val="en-CA" w:eastAsia="en-CA"/>
              </w:rPr>
              <w:t>030</w:t>
            </w:r>
          </w:p>
        </w:tc>
      </w:tr>
      <w:tr w:rsidR="00E44C3F" w:rsidRPr="00E44C3F" w14:paraId="48D822D1" w14:textId="77777777" w:rsidTr="00311ABF">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55496878" w14:textId="5F2379E3" w:rsidR="003E4EE0" w:rsidRPr="00311ABF" w:rsidRDefault="00311ABF" w:rsidP="003171CE">
            <w:pPr>
              <w:jc w:val="left"/>
              <w:rPr>
                <w:sz w:val="21"/>
                <w:szCs w:val="21"/>
                <w:lang w:val="en-CA" w:eastAsia="en-CA"/>
              </w:rPr>
            </w:pPr>
            <w:r w:rsidRPr="00311ABF">
              <w:rPr>
                <w:sz w:val="21"/>
                <w:szCs w:val="21"/>
                <w:lang w:val="fr-FR" w:eastAsia="en-CA"/>
              </w:rPr>
              <w:t>Destruction</w:t>
            </w:r>
          </w:p>
        </w:tc>
        <w:tc>
          <w:tcPr>
            <w:tcW w:w="4536" w:type="dxa"/>
            <w:tcBorders>
              <w:top w:val="nil"/>
              <w:left w:val="nil"/>
              <w:bottom w:val="single" w:sz="4" w:space="0" w:color="auto"/>
              <w:right w:val="single" w:sz="4" w:space="0" w:color="auto"/>
            </w:tcBorders>
            <w:shd w:val="clear" w:color="auto" w:fill="auto"/>
            <w:noWrap/>
            <w:tcMar>
              <w:left w:w="115" w:type="dxa"/>
              <w:right w:w="360" w:type="dxa"/>
            </w:tcMar>
            <w:vAlign w:val="bottom"/>
            <w:hideMark/>
          </w:tcPr>
          <w:p w14:paraId="7C399A0F" w14:textId="34889906" w:rsidR="003E4EE0" w:rsidRPr="00E44C3F" w:rsidRDefault="003E4EE0" w:rsidP="003E4EE0">
            <w:pPr>
              <w:jc w:val="right"/>
              <w:rPr>
                <w:sz w:val="21"/>
                <w:szCs w:val="21"/>
                <w:lang w:val="en-CA" w:eastAsia="en-CA"/>
              </w:rPr>
            </w:pPr>
            <w:r w:rsidRPr="00E44C3F">
              <w:rPr>
                <w:sz w:val="21"/>
                <w:szCs w:val="21"/>
                <w:lang w:val="en-CA" w:eastAsia="en-CA"/>
              </w:rPr>
              <w:t>400</w:t>
            </w:r>
            <w:r w:rsidR="003762DD">
              <w:rPr>
                <w:sz w:val="21"/>
                <w:szCs w:val="21"/>
                <w:lang w:val="en-CA" w:eastAsia="en-CA"/>
              </w:rPr>
              <w:t> </w:t>
            </w:r>
            <w:r w:rsidRPr="00E44C3F">
              <w:rPr>
                <w:sz w:val="21"/>
                <w:szCs w:val="21"/>
                <w:lang w:val="en-CA" w:eastAsia="en-CA"/>
              </w:rPr>
              <w:t>000</w:t>
            </w:r>
          </w:p>
        </w:tc>
      </w:tr>
      <w:tr w:rsidR="00E44C3F" w:rsidRPr="00E44C3F" w14:paraId="4B160D9B" w14:textId="77777777" w:rsidTr="00311ABF">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26BC7F06" w14:textId="48647920" w:rsidR="003E4EE0" w:rsidRPr="00311ABF" w:rsidRDefault="00311ABF" w:rsidP="003171CE">
            <w:pPr>
              <w:jc w:val="left"/>
              <w:rPr>
                <w:sz w:val="21"/>
                <w:szCs w:val="21"/>
                <w:lang w:val="en-CA" w:eastAsia="en-CA"/>
              </w:rPr>
            </w:pPr>
            <w:r w:rsidRPr="00311ABF">
              <w:rPr>
                <w:sz w:val="21"/>
                <w:szCs w:val="21"/>
                <w:lang w:val="fr-FR" w:eastAsia="en-CA"/>
              </w:rPr>
              <w:t>Lutte contre l</w:t>
            </w:r>
            <w:r w:rsidR="007B7C04">
              <w:rPr>
                <w:sz w:val="21"/>
                <w:szCs w:val="21"/>
                <w:lang w:val="fr-FR" w:eastAsia="en-CA"/>
              </w:rPr>
              <w:t>’</w:t>
            </w:r>
            <w:r w:rsidRPr="00311ABF">
              <w:rPr>
                <w:sz w:val="21"/>
                <w:szCs w:val="21"/>
                <w:lang w:val="fr-FR" w:eastAsia="en-CA"/>
              </w:rPr>
              <w:t>incendie</w:t>
            </w:r>
          </w:p>
        </w:tc>
        <w:tc>
          <w:tcPr>
            <w:tcW w:w="4536" w:type="dxa"/>
            <w:tcBorders>
              <w:top w:val="nil"/>
              <w:left w:val="nil"/>
              <w:bottom w:val="single" w:sz="4" w:space="0" w:color="auto"/>
              <w:right w:val="single" w:sz="4" w:space="0" w:color="auto"/>
            </w:tcBorders>
            <w:shd w:val="clear" w:color="auto" w:fill="auto"/>
            <w:noWrap/>
            <w:tcMar>
              <w:left w:w="115" w:type="dxa"/>
              <w:right w:w="360" w:type="dxa"/>
            </w:tcMar>
            <w:vAlign w:val="bottom"/>
            <w:hideMark/>
          </w:tcPr>
          <w:p w14:paraId="2861CD84" w14:textId="77777777" w:rsidR="003E4EE0" w:rsidRPr="00E44C3F" w:rsidRDefault="003E4EE0" w:rsidP="003E4EE0">
            <w:pPr>
              <w:jc w:val="right"/>
              <w:rPr>
                <w:sz w:val="21"/>
                <w:szCs w:val="21"/>
                <w:lang w:val="en-CA" w:eastAsia="en-CA"/>
              </w:rPr>
            </w:pPr>
            <w:r w:rsidRPr="00E44C3F">
              <w:rPr>
                <w:sz w:val="21"/>
                <w:szCs w:val="21"/>
                <w:lang w:val="en-CA" w:eastAsia="en-CA"/>
              </w:rPr>
              <w:t>0</w:t>
            </w:r>
          </w:p>
        </w:tc>
      </w:tr>
      <w:tr w:rsidR="00E44C3F" w:rsidRPr="00E44C3F" w14:paraId="676435E0" w14:textId="77777777" w:rsidTr="00311ABF">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2814C62E" w14:textId="4B43811A" w:rsidR="003E4EE0" w:rsidRPr="00311ABF" w:rsidRDefault="00311ABF" w:rsidP="003171CE">
            <w:pPr>
              <w:jc w:val="left"/>
              <w:rPr>
                <w:sz w:val="21"/>
                <w:szCs w:val="21"/>
                <w:lang w:val="en-CA" w:eastAsia="en-CA"/>
              </w:rPr>
            </w:pPr>
            <w:r w:rsidRPr="00311ABF">
              <w:rPr>
                <w:sz w:val="21"/>
                <w:szCs w:val="21"/>
                <w:lang w:val="fr-FR" w:eastAsia="en-CA"/>
              </w:rPr>
              <w:t>Mousse</w:t>
            </w:r>
            <w:r>
              <w:rPr>
                <w:sz w:val="21"/>
                <w:szCs w:val="21"/>
                <w:lang w:val="fr-FR" w:eastAsia="en-CA"/>
              </w:rPr>
              <w:t>s</w:t>
            </w:r>
          </w:p>
        </w:tc>
        <w:tc>
          <w:tcPr>
            <w:tcW w:w="4536" w:type="dxa"/>
            <w:tcBorders>
              <w:top w:val="nil"/>
              <w:left w:val="nil"/>
              <w:bottom w:val="single" w:sz="4" w:space="0" w:color="auto"/>
              <w:right w:val="single" w:sz="4" w:space="0" w:color="auto"/>
            </w:tcBorders>
            <w:shd w:val="clear" w:color="auto" w:fill="auto"/>
            <w:noWrap/>
            <w:tcMar>
              <w:left w:w="115" w:type="dxa"/>
              <w:right w:w="360" w:type="dxa"/>
            </w:tcMar>
            <w:vAlign w:val="bottom"/>
            <w:hideMark/>
          </w:tcPr>
          <w:p w14:paraId="4003A881" w14:textId="2C184F51" w:rsidR="003E4EE0" w:rsidRPr="00E44C3F" w:rsidRDefault="003E4EE0" w:rsidP="003E4EE0">
            <w:pPr>
              <w:jc w:val="right"/>
              <w:rPr>
                <w:sz w:val="21"/>
                <w:szCs w:val="21"/>
                <w:lang w:val="en-CA" w:eastAsia="en-CA"/>
              </w:rPr>
            </w:pPr>
            <w:r w:rsidRPr="00E44C3F">
              <w:rPr>
                <w:sz w:val="21"/>
                <w:szCs w:val="21"/>
                <w:lang w:val="en-CA" w:eastAsia="en-CA"/>
              </w:rPr>
              <w:t>136</w:t>
            </w:r>
            <w:r w:rsidR="003762DD">
              <w:rPr>
                <w:sz w:val="21"/>
                <w:szCs w:val="21"/>
                <w:lang w:val="en-CA" w:eastAsia="en-CA"/>
              </w:rPr>
              <w:t> </w:t>
            </w:r>
            <w:r w:rsidRPr="00E44C3F">
              <w:rPr>
                <w:sz w:val="21"/>
                <w:szCs w:val="21"/>
                <w:lang w:val="en-CA" w:eastAsia="en-CA"/>
              </w:rPr>
              <w:t>339</w:t>
            </w:r>
            <w:r w:rsidR="003762DD">
              <w:rPr>
                <w:sz w:val="21"/>
                <w:szCs w:val="21"/>
                <w:lang w:val="en-CA" w:eastAsia="en-CA"/>
              </w:rPr>
              <w:t> </w:t>
            </w:r>
            <w:r w:rsidRPr="00E44C3F">
              <w:rPr>
                <w:sz w:val="21"/>
                <w:szCs w:val="21"/>
                <w:lang w:val="en-CA" w:eastAsia="en-CA"/>
              </w:rPr>
              <w:t>172</w:t>
            </w:r>
          </w:p>
        </w:tc>
      </w:tr>
      <w:tr w:rsidR="00E44C3F" w:rsidRPr="00E44C3F" w14:paraId="07F37AE4" w14:textId="77777777" w:rsidTr="00311ABF">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0A73CA7D" w14:textId="1832004D" w:rsidR="003E4EE0" w:rsidRPr="00311ABF" w:rsidRDefault="00311ABF" w:rsidP="003171CE">
            <w:pPr>
              <w:jc w:val="left"/>
              <w:rPr>
                <w:sz w:val="21"/>
                <w:szCs w:val="21"/>
                <w:lang w:val="en-CA" w:eastAsia="en-CA"/>
              </w:rPr>
            </w:pPr>
            <w:r w:rsidRPr="00311ABF">
              <w:rPr>
                <w:sz w:val="21"/>
                <w:szCs w:val="21"/>
                <w:lang w:val="fr-FR" w:eastAsia="en-CA"/>
              </w:rPr>
              <w:t>Halons</w:t>
            </w:r>
          </w:p>
        </w:tc>
        <w:tc>
          <w:tcPr>
            <w:tcW w:w="4536" w:type="dxa"/>
            <w:tcBorders>
              <w:top w:val="nil"/>
              <w:left w:val="nil"/>
              <w:bottom w:val="single" w:sz="4" w:space="0" w:color="auto"/>
              <w:right w:val="single" w:sz="4" w:space="0" w:color="auto"/>
            </w:tcBorders>
            <w:shd w:val="clear" w:color="auto" w:fill="auto"/>
            <w:noWrap/>
            <w:tcMar>
              <w:left w:w="115" w:type="dxa"/>
              <w:right w:w="360" w:type="dxa"/>
            </w:tcMar>
            <w:vAlign w:val="bottom"/>
            <w:hideMark/>
          </w:tcPr>
          <w:p w14:paraId="172BD768" w14:textId="2DE49906" w:rsidR="003E4EE0" w:rsidRPr="00E44C3F" w:rsidRDefault="003E4EE0" w:rsidP="003E4EE0">
            <w:pPr>
              <w:jc w:val="right"/>
              <w:rPr>
                <w:sz w:val="21"/>
                <w:szCs w:val="21"/>
                <w:lang w:val="en-CA" w:eastAsia="en-CA"/>
              </w:rPr>
            </w:pPr>
            <w:r w:rsidRPr="00E44C3F">
              <w:rPr>
                <w:sz w:val="21"/>
                <w:szCs w:val="21"/>
                <w:lang w:val="en-CA" w:eastAsia="en-CA"/>
              </w:rPr>
              <w:t>70</w:t>
            </w:r>
            <w:r w:rsidR="003762DD">
              <w:rPr>
                <w:sz w:val="21"/>
                <w:szCs w:val="21"/>
                <w:lang w:val="en-CA" w:eastAsia="en-CA"/>
              </w:rPr>
              <w:t> </w:t>
            </w:r>
            <w:r w:rsidRPr="00E44C3F">
              <w:rPr>
                <w:sz w:val="21"/>
                <w:szCs w:val="21"/>
                <w:lang w:val="en-CA" w:eastAsia="en-CA"/>
              </w:rPr>
              <w:t>221</w:t>
            </w:r>
            <w:r w:rsidR="003762DD">
              <w:rPr>
                <w:sz w:val="21"/>
                <w:szCs w:val="21"/>
                <w:lang w:val="en-CA" w:eastAsia="en-CA"/>
              </w:rPr>
              <w:t> </w:t>
            </w:r>
            <w:r w:rsidRPr="00E44C3F">
              <w:rPr>
                <w:sz w:val="21"/>
                <w:szCs w:val="21"/>
                <w:lang w:val="en-CA" w:eastAsia="en-CA"/>
              </w:rPr>
              <w:t>038</w:t>
            </w:r>
          </w:p>
        </w:tc>
      </w:tr>
      <w:tr w:rsidR="00E44C3F" w:rsidRPr="00E44C3F" w14:paraId="42AE5E20" w14:textId="77777777" w:rsidTr="00311ABF">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22BE2298" w14:textId="756A3461" w:rsidR="003E4EE0" w:rsidRPr="00311ABF" w:rsidRDefault="00311ABF" w:rsidP="003171CE">
            <w:pPr>
              <w:jc w:val="left"/>
              <w:rPr>
                <w:sz w:val="21"/>
                <w:szCs w:val="21"/>
                <w:lang w:val="en-CA" w:eastAsia="en-CA"/>
              </w:rPr>
            </w:pPr>
            <w:r w:rsidRPr="00311ABF">
              <w:rPr>
                <w:sz w:val="21"/>
                <w:szCs w:val="21"/>
                <w:lang w:val="fr-FR" w:eastAsia="en-CA"/>
              </w:rPr>
              <w:t>Fumigènes</w:t>
            </w:r>
          </w:p>
        </w:tc>
        <w:tc>
          <w:tcPr>
            <w:tcW w:w="4536" w:type="dxa"/>
            <w:tcBorders>
              <w:top w:val="nil"/>
              <w:left w:val="nil"/>
              <w:bottom w:val="single" w:sz="4" w:space="0" w:color="auto"/>
              <w:right w:val="single" w:sz="4" w:space="0" w:color="auto"/>
            </w:tcBorders>
            <w:shd w:val="clear" w:color="auto" w:fill="auto"/>
            <w:noWrap/>
            <w:tcMar>
              <w:left w:w="115" w:type="dxa"/>
              <w:right w:w="360" w:type="dxa"/>
            </w:tcMar>
            <w:vAlign w:val="bottom"/>
            <w:hideMark/>
          </w:tcPr>
          <w:p w14:paraId="7341E9AC" w14:textId="7469B2AB" w:rsidR="003E4EE0" w:rsidRPr="00E44C3F" w:rsidRDefault="003E4EE0" w:rsidP="003E4EE0">
            <w:pPr>
              <w:jc w:val="right"/>
              <w:rPr>
                <w:sz w:val="21"/>
                <w:szCs w:val="21"/>
                <w:lang w:val="en-CA" w:eastAsia="en-CA"/>
              </w:rPr>
            </w:pPr>
            <w:r w:rsidRPr="00E44C3F">
              <w:rPr>
                <w:sz w:val="21"/>
                <w:szCs w:val="21"/>
                <w:lang w:val="en-CA" w:eastAsia="en-CA"/>
              </w:rPr>
              <w:t>5</w:t>
            </w:r>
            <w:r w:rsidR="003762DD">
              <w:rPr>
                <w:sz w:val="21"/>
                <w:szCs w:val="21"/>
                <w:lang w:val="en-CA" w:eastAsia="en-CA"/>
              </w:rPr>
              <w:t> </w:t>
            </w:r>
            <w:r w:rsidRPr="00E44C3F">
              <w:rPr>
                <w:sz w:val="21"/>
                <w:szCs w:val="21"/>
                <w:lang w:val="en-CA" w:eastAsia="en-CA"/>
              </w:rPr>
              <w:t>837</w:t>
            </w:r>
            <w:r w:rsidR="003762DD">
              <w:rPr>
                <w:sz w:val="21"/>
                <w:szCs w:val="21"/>
                <w:lang w:val="en-CA" w:eastAsia="en-CA"/>
              </w:rPr>
              <w:t> </w:t>
            </w:r>
            <w:r w:rsidRPr="00E44C3F">
              <w:rPr>
                <w:sz w:val="21"/>
                <w:szCs w:val="21"/>
                <w:lang w:val="en-CA" w:eastAsia="en-CA"/>
              </w:rPr>
              <w:t>887</w:t>
            </w:r>
          </w:p>
        </w:tc>
      </w:tr>
      <w:tr w:rsidR="00E44C3F" w:rsidRPr="00E44C3F" w14:paraId="715EF51E" w14:textId="77777777" w:rsidTr="00311ABF">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365DC82B" w14:textId="6B084A2A" w:rsidR="003E4EE0" w:rsidRPr="00311ABF" w:rsidRDefault="00311ABF" w:rsidP="003171CE">
            <w:pPr>
              <w:jc w:val="left"/>
              <w:rPr>
                <w:sz w:val="21"/>
                <w:szCs w:val="21"/>
                <w:lang w:val="en-CA" w:eastAsia="en-CA"/>
              </w:rPr>
            </w:pPr>
            <w:r>
              <w:rPr>
                <w:sz w:val="21"/>
                <w:szCs w:val="21"/>
                <w:lang w:val="fr-FR" w:eastAsia="en-CA"/>
              </w:rPr>
              <w:t>Multi</w:t>
            </w:r>
            <w:r w:rsidRPr="00311ABF">
              <w:rPr>
                <w:sz w:val="21"/>
                <w:szCs w:val="21"/>
                <w:lang w:val="fr-FR" w:eastAsia="en-CA"/>
              </w:rPr>
              <w:t>-secteurs</w:t>
            </w:r>
          </w:p>
        </w:tc>
        <w:tc>
          <w:tcPr>
            <w:tcW w:w="4536" w:type="dxa"/>
            <w:tcBorders>
              <w:top w:val="nil"/>
              <w:left w:val="nil"/>
              <w:bottom w:val="single" w:sz="4" w:space="0" w:color="auto"/>
              <w:right w:val="single" w:sz="4" w:space="0" w:color="auto"/>
            </w:tcBorders>
            <w:shd w:val="clear" w:color="auto" w:fill="auto"/>
            <w:noWrap/>
            <w:tcMar>
              <w:left w:w="115" w:type="dxa"/>
              <w:right w:w="360" w:type="dxa"/>
            </w:tcMar>
            <w:vAlign w:val="bottom"/>
            <w:hideMark/>
          </w:tcPr>
          <w:p w14:paraId="46D4EB98" w14:textId="4DC53200" w:rsidR="003E4EE0" w:rsidRPr="00E44C3F" w:rsidRDefault="003E4EE0" w:rsidP="003E4EE0">
            <w:pPr>
              <w:jc w:val="right"/>
              <w:rPr>
                <w:sz w:val="21"/>
                <w:szCs w:val="21"/>
                <w:lang w:val="en-CA" w:eastAsia="en-CA"/>
              </w:rPr>
            </w:pPr>
            <w:r w:rsidRPr="00E44C3F">
              <w:rPr>
                <w:sz w:val="21"/>
                <w:szCs w:val="21"/>
                <w:lang w:val="en-CA" w:eastAsia="en-CA"/>
              </w:rPr>
              <w:t>2</w:t>
            </w:r>
            <w:r w:rsidR="003762DD">
              <w:rPr>
                <w:sz w:val="21"/>
                <w:szCs w:val="21"/>
                <w:lang w:val="en-CA" w:eastAsia="en-CA"/>
              </w:rPr>
              <w:t> </w:t>
            </w:r>
            <w:r w:rsidRPr="00E44C3F">
              <w:rPr>
                <w:sz w:val="21"/>
                <w:szCs w:val="21"/>
                <w:lang w:val="en-CA" w:eastAsia="en-CA"/>
              </w:rPr>
              <w:t>341</w:t>
            </w:r>
            <w:r w:rsidR="003762DD">
              <w:rPr>
                <w:sz w:val="21"/>
                <w:szCs w:val="21"/>
                <w:lang w:val="en-CA" w:eastAsia="en-CA"/>
              </w:rPr>
              <w:t> </w:t>
            </w:r>
            <w:r w:rsidRPr="00E44C3F">
              <w:rPr>
                <w:sz w:val="21"/>
                <w:szCs w:val="21"/>
                <w:lang w:val="en-CA" w:eastAsia="en-CA"/>
              </w:rPr>
              <w:t>168</w:t>
            </w:r>
          </w:p>
        </w:tc>
      </w:tr>
      <w:tr w:rsidR="00E44C3F" w:rsidRPr="00E44C3F" w14:paraId="23EB364B" w14:textId="77777777" w:rsidTr="00311ABF">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62EE6400" w14:textId="28A3E4DD" w:rsidR="003E4EE0" w:rsidRPr="00311ABF" w:rsidRDefault="00311ABF" w:rsidP="003171CE">
            <w:pPr>
              <w:jc w:val="left"/>
              <w:rPr>
                <w:sz w:val="21"/>
                <w:szCs w:val="21"/>
                <w:lang w:val="en-CA" w:eastAsia="en-CA"/>
              </w:rPr>
            </w:pPr>
            <w:r w:rsidRPr="00311ABF">
              <w:rPr>
                <w:sz w:val="21"/>
                <w:szCs w:val="21"/>
                <w:lang w:val="fr-FR" w:eastAsia="en-CA"/>
              </w:rPr>
              <w:t>Autres</w:t>
            </w:r>
          </w:p>
        </w:tc>
        <w:tc>
          <w:tcPr>
            <w:tcW w:w="4536" w:type="dxa"/>
            <w:tcBorders>
              <w:top w:val="nil"/>
              <w:left w:val="nil"/>
              <w:bottom w:val="single" w:sz="4" w:space="0" w:color="auto"/>
              <w:right w:val="single" w:sz="4" w:space="0" w:color="auto"/>
            </w:tcBorders>
            <w:shd w:val="clear" w:color="auto" w:fill="auto"/>
            <w:noWrap/>
            <w:tcMar>
              <w:left w:w="115" w:type="dxa"/>
              <w:right w:w="360" w:type="dxa"/>
            </w:tcMar>
            <w:vAlign w:val="bottom"/>
            <w:hideMark/>
          </w:tcPr>
          <w:p w14:paraId="6E7F479D" w14:textId="47F99219" w:rsidR="003E4EE0" w:rsidRPr="00E44C3F" w:rsidRDefault="003E4EE0" w:rsidP="003E4EE0">
            <w:pPr>
              <w:jc w:val="right"/>
              <w:rPr>
                <w:sz w:val="21"/>
                <w:szCs w:val="21"/>
                <w:lang w:val="en-CA" w:eastAsia="en-CA"/>
              </w:rPr>
            </w:pPr>
            <w:r w:rsidRPr="00E44C3F">
              <w:rPr>
                <w:sz w:val="21"/>
                <w:szCs w:val="21"/>
                <w:lang w:val="en-CA" w:eastAsia="en-CA"/>
              </w:rPr>
              <w:t>5</w:t>
            </w:r>
            <w:r w:rsidR="003762DD">
              <w:rPr>
                <w:sz w:val="21"/>
                <w:szCs w:val="21"/>
                <w:lang w:val="en-CA" w:eastAsia="en-CA"/>
              </w:rPr>
              <w:t> </w:t>
            </w:r>
            <w:r w:rsidRPr="00E44C3F">
              <w:rPr>
                <w:sz w:val="21"/>
                <w:szCs w:val="21"/>
                <w:lang w:val="en-CA" w:eastAsia="en-CA"/>
              </w:rPr>
              <w:t>059</w:t>
            </w:r>
            <w:r w:rsidR="003762DD">
              <w:rPr>
                <w:sz w:val="21"/>
                <w:szCs w:val="21"/>
                <w:lang w:val="en-CA" w:eastAsia="en-CA"/>
              </w:rPr>
              <w:t> </w:t>
            </w:r>
            <w:r w:rsidRPr="00E44C3F">
              <w:rPr>
                <w:sz w:val="21"/>
                <w:szCs w:val="21"/>
                <w:lang w:val="en-CA" w:eastAsia="en-CA"/>
              </w:rPr>
              <w:t>360</w:t>
            </w:r>
          </w:p>
        </w:tc>
      </w:tr>
      <w:tr w:rsidR="00E44C3F" w:rsidRPr="00E44C3F" w14:paraId="14A876F2" w14:textId="77777777" w:rsidTr="00311ABF">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118E9039" w14:textId="2CCBD2BB" w:rsidR="003E4EE0" w:rsidRPr="00311ABF" w:rsidRDefault="00311ABF" w:rsidP="001E204E">
            <w:pPr>
              <w:jc w:val="left"/>
              <w:rPr>
                <w:sz w:val="21"/>
                <w:szCs w:val="21"/>
                <w:lang w:val="en-CA" w:eastAsia="en-CA"/>
              </w:rPr>
            </w:pPr>
            <w:r w:rsidRPr="00311ABF">
              <w:rPr>
                <w:sz w:val="21"/>
                <w:szCs w:val="21"/>
                <w:lang w:val="fr-FR" w:eastAsia="en-CA"/>
              </w:rPr>
              <w:t>Plan d</w:t>
            </w:r>
            <w:r w:rsidR="007B7C04">
              <w:rPr>
                <w:sz w:val="21"/>
                <w:szCs w:val="21"/>
                <w:lang w:val="fr-FR" w:eastAsia="en-CA"/>
              </w:rPr>
              <w:t>’</w:t>
            </w:r>
            <w:r w:rsidRPr="00311ABF">
              <w:rPr>
                <w:sz w:val="21"/>
                <w:szCs w:val="21"/>
                <w:lang w:val="fr-FR" w:eastAsia="en-CA"/>
              </w:rPr>
              <w:t>élimination</w:t>
            </w:r>
          </w:p>
        </w:tc>
        <w:tc>
          <w:tcPr>
            <w:tcW w:w="4536" w:type="dxa"/>
            <w:tcBorders>
              <w:top w:val="nil"/>
              <w:left w:val="nil"/>
              <w:bottom w:val="single" w:sz="4" w:space="0" w:color="auto"/>
              <w:right w:val="single" w:sz="4" w:space="0" w:color="auto"/>
            </w:tcBorders>
            <w:shd w:val="clear" w:color="auto" w:fill="auto"/>
            <w:noWrap/>
            <w:tcMar>
              <w:left w:w="115" w:type="dxa"/>
              <w:right w:w="360" w:type="dxa"/>
            </w:tcMar>
            <w:vAlign w:val="bottom"/>
            <w:hideMark/>
          </w:tcPr>
          <w:p w14:paraId="253F9E4B" w14:textId="7ED693F5" w:rsidR="003E4EE0" w:rsidRPr="00E44C3F" w:rsidRDefault="003E4EE0" w:rsidP="003E4EE0">
            <w:pPr>
              <w:jc w:val="right"/>
              <w:rPr>
                <w:sz w:val="21"/>
                <w:szCs w:val="21"/>
                <w:lang w:val="en-CA" w:eastAsia="en-CA"/>
              </w:rPr>
            </w:pPr>
            <w:r w:rsidRPr="00E44C3F">
              <w:rPr>
                <w:sz w:val="21"/>
                <w:szCs w:val="21"/>
                <w:lang w:val="en-CA" w:eastAsia="en-CA"/>
              </w:rPr>
              <w:t>200</w:t>
            </w:r>
            <w:r w:rsidR="003762DD">
              <w:rPr>
                <w:sz w:val="21"/>
                <w:szCs w:val="21"/>
                <w:lang w:val="en-CA" w:eastAsia="en-CA"/>
              </w:rPr>
              <w:t> </w:t>
            </w:r>
            <w:r w:rsidRPr="00E44C3F">
              <w:rPr>
                <w:sz w:val="21"/>
                <w:szCs w:val="21"/>
                <w:lang w:val="en-CA" w:eastAsia="en-CA"/>
              </w:rPr>
              <w:t>687</w:t>
            </w:r>
            <w:r w:rsidR="003762DD">
              <w:rPr>
                <w:sz w:val="21"/>
                <w:szCs w:val="21"/>
                <w:lang w:val="en-CA" w:eastAsia="en-CA"/>
              </w:rPr>
              <w:t> </w:t>
            </w:r>
            <w:r w:rsidRPr="00E44C3F">
              <w:rPr>
                <w:sz w:val="21"/>
                <w:szCs w:val="21"/>
                <w:lang w:val="en-CA" w:eastAsia="en-CA"/>
              </w:rPr>
              <w:t>026</w:t>
            </w:r>
          </w:p>
        </w:tc>
      </w:tr>
      <w:tr w:rsidR="00E44C3F" w:rsidRPr="00E44C3F" w14:paraId="71E12C66" w14:textId="77777777" w:rsidTr="00311ABF">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1DE7D145" w14:textId="3DF52597" w:rsidR="003E4EE0" w:rsidRPr="00311ABF" w:rsidRDefault="00311ABF" w:rsidP="003171CE">
            <w:pPr>
              <w:jc w:val="left"/>
              <w:rPr>
                <w:sz w:val="21"/>
                <w:szCs w:val="21"/>
                <w:lang w:val="en-CA" w:eastAsia="en-CA"/>
              </w:rPr>
            </w:pPr>
            <w:r w:rsidRPr="00311ABF">
              <w:rPr>
                <w:sz w:val="21"/>
                <w:szCs w:val="21"/>
                <w:lang w:val="fr-FR" w:eastAsia="en-CA"/>
              </w:rPr>
              <w:t>Agent de transformation</w:t>
            </w:r>
          </w:p>
        </w:tc>
        <w:tc>
          <w:tcPr>
            <w:tcW w:w="4536" w:type="dxa"/>
            <w:tcBorders>
              <w:top w:val="nil"/>
              <w:left w:val="nil"/>
              <w:bottom w:val="single" w:sz="4" w:space="0" w:color="auto"/>
              <w:right w:val="single" w:sz="4" w:space="0" w:color="auto"/>
            </w:tcBorders>
            <w:shd w:val="clear" w:color="auto" w:fill="auto"/>
            <w:noWrap/>
            <w:tcMar>
              <w:left w:w="115" w:type="dxa"/>
              <w:right w:w="360" w:type="dxa"/>
            </w:tcMar>
            <w:vAlign w:val="bottom"/>
            <w:hideMark/>
          </w:tcPr>
          <w:p w14:paraId="6154161C" w14:textId="3AFBE218" w:rsidR="003E4EE0" w:rsidRPr="00E44C3F" w:rsidRDefault="003E4EE0" w:rsidP="003E4EE0">
            <w:pPr>
              <w:jc w:val="right"/>
              <w:rPr>
                <w:sz w:val="21"/>
                <w:szCs w:val="21"/>
                <w:lang w:val="en-CA" w:eastAsia="en-CA"/>
              </w:rPr>
            </w:pPr>
            <w:r w:rsidRPr="00E44C3F">
              <w:rPr>
                <w:sz w:val="21"/>
                <w:szCs w:val="21"/>
                <w:lang w:val="en-CA" w:eastAsia="en-CA"/>
              </w:rPr>
              <w:t>114</w:t>
            </w:r>
            <w:r w:rsidR="003762DD">
              <w:rPr>
                <w:sz w:val="21"/>
                <w:szCs w:val="21"/>
                <w:lang w:val="en-CA" w:eastAsia="en-CA"/>
              </w:rPr>
              <w:t> </w:t>
            </w:r>
            <w:r w:rsidRPr="00E44C3F">
              <w:rPr>
                <w:sz w:val="21"/>
                <w:szCs w:val="21"/>
                <w:lang w:val="en-CA" w:eastAsia="en-CA"/>
              </w:rPr>
              <w:t>342</w:t>
            </w:r>
            <w:r w:rsidR="003762DD">
              <w:rPr>
                <w:sz w:val="21"/>
                <w:szCs w:val="21"/>
                <w:lang w:val="en-CA" w:eastAsia="en-CA"/>
              </w:rPr>
              <w:t> </w:t>
            </w:r>
            <w:r w:rsidRPr="00E44C3F">
              <w:rPr>
                <w:sz w:val="21"/>
                <w:szCs w:val="21"/>
                <w:lang w:val="en-CA" w:eastAsia="en-CA"/>
              </w:rPr>
              <w:t>497</w:t>
            </w:r>
          </w:p>
        </w:tc>
      </w:tr>
      <w:tr w:rsidR="00E44C3F" w:rsidRPr="00E44C3F" w14:paraId="2DB4729A" w14:textId="77777777" w:rsidTr="00311ABF">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66714B66" w14:textId="76F208D8" w:rsidR="003E4EE0" w:rsidRPr="00311ABF" w:rsidRDefault="00311ABF" w:rsidP="003171CE">
            <w:pPr>
              <w:jc w:val="left"/>
              <w:rPr>
                <w:sz w:val="21"/>
                <w:szCs w:val="21"/>
                <w:lang w:val="en-CA" w:eastAsia="en-CA"/>
              </w:rPr>
            </w:pPr>
            <w:r w:rsidRPr="00311ABF">
              <w:rPr>
                <w:sz w:val="21"/>
                <w:szCs w:val="21"/>
                <w:lang w:val="fr-FR" w:eastAsia="en-CA"/>
              </w:rPr>
              <w:t>Production</w:t>
            </w:r>
          </w:p>
        </w:tc>
        <w:tc>
          <w:tcPr>
            <w:tcW w:w="4536" w:type="dxa"/>
            <w:tcBorders>
              <w:top w:val="nil"/>
              <w:left w:val="nil"/>
              <w:bottom w:val="single" w:sz="4" w:space="0" w:color="auto"/>
              <w:right w:val="single" w:sz="4" w:space="0" w:color="auto"/>
            </w:tcBorders>
            <w:shd w:val="clear" w:color="auto" w:fill="auto"/>
            <w:noWrap/>
            <w:tcMar>
              <w:left w:w="115" w:type="dxa"/>
              <w:right w:w="360" w:type="dxa"/>
            </w:tcMar>
            <w:vAlign w:val="bottom"/>
            <w:hideMark/>
          </w:tcPr>
          <w:p w14:paraId="23667C1F" w14:textId="666387B3" w:rsidR="003E4EE0" w:rsidRPr="00E44C3F" w:rsidRDefault="003E4EE0" w:rsidP="003E4EE0">
            <w:pPr>
              <w:jc w:val="right"/>
              <w:rPr>
                <w:sz w:val="21"/>
                <w:szCs w:val="21"/>
                <w:lang w:val="en-CA" w:eastAsia="en-CA"/>
              </w:rPr>
            </w:pPr>
            <w:r w:rsidRPr="00E44C3F">
              <w:rPr>
                <w:sz w:val="21"/>
                <w:szCs w:val="21"/>
                <w:lang w:val="en-CA" w:eastAsia="en-CA"/>
              </w:rPr>
              <w:t>378</w:t>
            </w:r>
            <w:r w:rsidR="003762DD">
              <w:rPr>
                <w:sz w:val="21"/>
                <w:szCs w:val="21"/>
                <w:lang w:val="en-CA" w:eastAsia="en-CA"/>
              </w:rPr>
              <w:t> </w:t>
            </w:r>
            <w:r w:rsidRPr="00E44C3F">
              <w:rPr>
                <w:sz w:val="21"/>
                <w:szCs w:val="21"/>
                <w:lang w:val="en-CA" w:eastAsia="en-CA"/>
              </w:rPr>
              <w:t>930</w:t>
            </w:r>
            <w:r w:rsidR="003762DD">
              <w:rPr>
                <w:sz w:val="21"/>
                <w:szCs w:val="21"/>
                <w:lang w:val="en-CA" w:eastAsia="en-CA"/>
              </w:rPr>
              <w:t> </w:t>
            </w:r>
            <w:r w:rsidRPr="00E44C3F">
              <w:rPr>
                <w:sz w:val="21"/>
                <w:szCs w:val="21"/>
                <w:lang w:val="en-CA" w:eastAsia="en-CA"/>
              </w:rPr>
              <w:t>190</w:t>
            </w:r>
          </w:p>
        </w:tc>
      </w:tr>
      <w:tr w:rsidR="00E44C3F" w:rsidRPr="00E44C3F" w14:paraId="6F53D0F3" w14:textId="77777777" w:rsidTr="00311ABF">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7E9D4067" w14:textId="3FEE0F92" w:rsidR="003E4EE0" w:rsidRPr="00311ABF" w:rsidRDefault="00311ABF" w:rsidP="003171CE">
            <w:pPr>
              <w:jc w:val="left"/>
              <w:rPr>
                <w:sz w:val="21"/>
                <w:szCs w:val="21"/>
                <w:lang w:val="en-CA" w:eastAsia="en-CA"/>
              </w:rPr>
            </w:pPr>
            <w:r w:rsidRPr="00311ABF">
              <w:rPr>
                <w:sz w:val="21"/>
                <w:szCs w:val="21"/>
                <w:lang w:val="fr-FR" w:eastAsia="en-CA"/>
              </w:rPr>
              <w:t>Réfrigération</w:t>
            </w:r>
          </w:p>
        </w:tc>
        <w:tc>
          <w:tcPr>
            <w:tcW w:w="4536" w:type="dxa"/>
            <w:tcBorders>
              <w:top w:val="nil"/>
              <w:left w:val="nil"/>
              <w:bottom w:val="single" w:sz="4" w:space="0" w:color="auto"/>
              <w:right w:val="single" w:sz="4" w:space="0" w:color="auto"/>
            </w:tcBorders>
            <w:shd w:val="clear" w:color="auto" w:fill="auto"/>
            <w:noWrap/>
            <w:tcMar>
              <w:left w:w="115" w:type="dxa"/>
              <w:right w:w="360" w:type="dxa"/>
            </w:tcMar>
            <w:vAlign w:val="bottom"/>
            <w:hideMark/>
          </w:tcPr>
          <w:p w14:paraId="71BCB40A" w14:textId="649D9C30" w:rsidR="003E4EE0" w:rsidRPr="00E44C3F" w:rsidRDefault="003E4EE0" w:rsidP="003E4EE0">
            <w:pPr>
              <w:jc w:val="right"/>
              <w:rPr>
                <w:sz w:val="21"/>
                <w:szCs w:val="21"/>
                <w:lang w:val="en-CA" w:eastAsia="en-CA"/>
              </w:rPr>
            </w:pPr>
            <w:r w:rsidRPr="00E44C3F">
              <w:rPr>
                <w:sz w:val="21"/>
                <w:szCs w:val="21"/>
                <w:lang w:val="en-CA" w:eastAsia="en-CA"/>
              </w:rPr>
              <w:t>180</w:t>
            </w:r>
            <w:r w:rsidR="003762DD">
              <w:rPr>
                <w:sz w:val="21"/>
                <w:szCs w:val="21"/>
                <w:lang w:val="en-CA" w:eastAsia="en-CA"/>
              </w:rPr>
              <w:t> </w:t>
            </w:r>
            <w:r w:rsidRPr="00E44C3F">
              <w:rPr>
                <w:sz w:val="21"/>
                <w:szCs w:val="21"/>
                <w:lang w:val="en-CA" w:eastAsia="en-CA"/>
              </w:rPr>
              <w:t>259</w:t>
            </w:r>
            <w:r w:rsidR="003762DD">
              <w:rPr>
                <w:sz w:val="21"/>
                <w:szCs w:val="21"/>
                <w:lang w:val="en-CA" w:eastAsia="en-CA"/>
              </w:rPr>
              <w:t> </w:t>
            </w:r>
            <w:r w:rsidRPr="00E44C3F">
              <w:rPr>
                <w:sz w:val="21"/>
                <w:szCs w:val="21"/>
                <w:lang w:val="en-CA" w:eastAsia="en-CA"/>
              </w:rPr>
              <w:t>970</w:t>
            </w:r>
          </w:p>
        </w:tc>
      </w:tr>
      <w:tr w:rsidR="00E44C3F" w:rsidRPr="00E44C3F" w14:paraId="0D5C3586" w14:textId="77777777" w:rsidTr="00311ABF">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7D83FB13" w14:textId="411A5148" w:rsidR="003E4EE0" w:rsidRPr="00311ABF" w:rsidRDefault="00311ABF" w:rsidP="003171CE">
            <w:pPr>
              <w:jc w:val="left"/>
              <w:rPr>
                <w:sz w:val="21"/>
                <w:szCs w:val="21"/>
                <w:lang w:val="en-CA" w:eastAsia="en-CA"/>
              </w:rPr>
            </w:pPr>
            <w:r w:rsidRPr="00311ABF">
              <w:rPr>
                <w:sz w:val="21"/>
                <w:szCs w:val="21"/>
                <w:lang w:val="fr-FR" w:eastAsia="en-CA"/>
              </w:rPr>
              <w:t>Divers secteurs</w:t>
            </w:r>
          </w:p>
        </w:tc>
        <w:tc>
          <w:tcPr>
            <w:tcW w:w="4536" w:type="dxa"/>
            <w:tcBorders>
              <w:top w:val="nil"/>
              <w:left w:val="nil"/>
              <w:bottom w:val="single" w:sz="4" w:space="0" w:color="auto"/>
              <w:right w:val="single" w:sz="4" w:space="0" w:color="auto"/>
            </w:tcBorders>
            <w:shd w:val="clear" w:color="auto" w:fill="auto"/>
            <w:noWrap/>
            <w:tcMar>
              <w:left w:w="115" w:type="dxa"/>
              <w:right w:w="360" w:type="dxa"/>
            </w:tcMar>
            <w:vAlign w:val="bottom"/>
            <w:hideMark/>
          </w:tcPr>
          <w:p w14:paraId="4B441165" w14:textId="52EF184D" w:rsidR="003E4EE0" w:rsidRPr="00E44C3F" w:rsidRDefault="003E4EE0" w:rsidP="003E4EE0">
            <w:pPr>
              <w:jc w:val="right"/>
              <w:rPr>
                <w:sz w:val="21"/>
                <w:szCs w:val="21"/>
                <w:lang w:val="en-CA" w:eastAsia="en-CA"/>
              </w:rPr>
            </w:pPr>
            <w:r w:rsidRPr="00E44C3F">
              <w:rPr>
                <w:sz w:val="21"/>
                <w:szCs w:val="21"/>
                <w:lang w:val="en-CA" w:eastAsia="en-CA"/>
              </w:rPr>
              <w:t>28</w:t>
            </w:r>
            <w:r w:rsidR="003762DD">
              <w:rPr>
                <w:sz w:val="21"/>
                <w:szCs w:val="21"/>
                <w:lang w:val="en-CA" w:eastAsia="en-CA"/>
              </w:rPr>
              <w:t> </w:t>
            </w:r>
            <w:r w:rsidRPr="00E44C3F">
              <w:rPr>
                <w:sz w:val="21"/>
                <w:szCs w:val="21"/>
                <w:lang w:val="en-CA" w:eastAsia="en-CA"/>
              </w:rPr>
              <w:t>969</w:t>
            </w:r>
            <w:r w:rsidR="003762DD">
              <w:rPr>
                <w:sz w:val="21"/>
                <w:szCs w:val="21"/>
                <w:lang w:val="en-CA" w:eastAsia="en-CA"/>
              </w:rPr>
              <w:t> </w:t>
            </w:r>
            <w:r w:rsidRPr="00E44C3F">
              <w:rPr>
                <w:sz w:val="21"/>
                <w:szCs w:val="21"/>
                <w:lang w:val="en-CA" w:eastAsia="en-CA"/>
              </w:rPr>
              <w:t>731</w:t>
            </w:r>
          </w:p>
        </w:tc>
      </w:tr>
      <w:tr w:rsidR="00E44C3F" w:rsidRPr="00E44C3F" w14:paraId="44366BB3" w14:textId="77777777" w:rsidTr="00311ABF">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257E0363" w14:textId="7168E1AD" w:rsidR="003E4EE0" w:rsidRPr="00311ABF" w:rsidRDefault="00311ABF" w:rsidP="003171CE">
            <w:pPr>
              <w:jc w:val="left"/>
              <w:rPr>
                <w:sz w:val="21"/>
                <w:szCs w:val="21"/>
                <w:lang w:val="en-CA" w:eastAsia="en-CA"/>
              </w:rPr>
            </w:pPr>
            <w:r w:rsidRPr="00311ABF">
              <w:rPr>
                <w:sz w:val="21"/>
                <w:szCs w:val="21"/>
                <w:lang w:val="fr-FR" w:eastAsia="en-CA"/>
              </w:rPr>
              <w:t>Solvants</w:t>
            </w:r>
          </w:p>
        </w:tc>
        <w:tc>
          <w:tcPr>
            <w:tcW w:w="4536" w:type="dxa"/>
            <w:tcBorders>
              <w:top w:val="nil"/>
              <w:left w:val="nil"/>
              <w:bottom w:val="single" w:sz="4" w:space="0" w:color="auto"/>
              <w:right w:val="single" w:sz="4" w:space="0" w:color="auto"/>
            </w:tcBorders>
            <w:shd w:val="clear" w:color="auto" w:fill="auto"/>
            <w:noWrap/>
            <w:tcMar>
              <w:left w:w="115" w:type="dxa"/>
              <w:right w:w="360" w:type="dxa"/>
            </w:tcMar>
            <w:vAlign w:val="bottom"/>
            <w:hideMark/>
          </w:tcPr>
          <w:p w14:paraId="6E54BF29" w14:textId="0CB149E9" w:rsidR="003E4EE0" w:rsidRPr="00E44C3F" w:rsidRDefault="003E4EE0" w:rsidP="003E4EE0">
            <w:pPr>
              <w:jc w:val="right"/>
              <w:rPr>
                <w:sz w:val="21"/>
                <w:szCs w:val="21"/>
                <w:lang w:val="en-CA" w:eastAsia="en-CA"/>
              </w:rPr>
            </w:pPr>
            <w:r w:rsidRPr="00E44C3F">
              <w:rPr>
                <w:sz w:val="21"/>
                <w:szCs w:val="21"/>
                <w:lang w:val="en-CA" w:eastAsia="en-CA"/>
              </w:rPr>
              <w:t>10</w:t>
            </w:r>
            <w:r w:rsidR="003762DD">
              <w:rPr>
                <w:sz w:val="21"/>
                <w:szCs w:val="21"/>
                <w:lang w:val="en-CA" w:eastAsia="en-CA"/>
              </w:rPr>
              <w:t> </w:t>
            </w:r>
            <w:r w:rsidRPr="00E44C3F">
              <w:rPr>
                <w:sz w:val="21"/>
                <w:szCs w:val="21"/>
                <w:lang w:val="en-CA" w:eastAsia="en-CA"/>
              </w:rPr>
              <w:t>237</w:t>
            </w:r>
            <w:r w:rsidR="003762DD">
              <w:rPr>
                <w:sz w:val="21"/>
                <w:szCs w:val="21"/>
                <w:lang w:val="en-CA" w:eastAsia="en-CA"/>
              </w:rPr>
              <w:t> </w:t>
            </w:r>
            <w:r w:rsidRPr="00E44C3F">
              <w:rPr>
                <w:sz w:val="21"/>
                <w:szCs w:val="21"/>
                <w:lang w:val="en-CA" w:eastAsia="en-CA"/>
              </w:rPr>
              <w:t>394</w:t>
            </w:r>
          </w:p>
        </w:tc>
      </w:tr>
      <w:tr w:rsidR="00E44C3F" w:rsidRPr="00E44C3F" w14:paraId="3C31AF64" w14:textId="77777777" w:rsidTr="00311ABF">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76CE89C4" w14:textId="132D9C11" w:rsidR="003E4EE0" w:rsidRPr="00311ABF" w:rsidRDefault="00311ABF" w:rsidP="003171CE">
            <w:pPr>
              <w:jc w:val="left"/>
              <w:rPr>
                <w:sz w:val="21"/>
                <w:szCs w:val="21"/>
                <w:lang w:val="en-CA" w:eastAsia="en-CA"/>
              </w:rPr>
            </w:pPr>
            <w:r w:rsidRPr="00311ABF">
              <w:rPr>
                <w:sz w:val="21"/>
                <w:szCs w:val="21"/>
                <w:lang w:val="fr-FR" w:eastAsia="en-CA"/>
              </w:rPr>
              <w:t>Agents de stérilisation</w:t>
            </w:r>
          </w:p>
        </w:tc>
        <w:tc>
          <w:tcPr>
            <w:tcW w:w="4536" w:type="dxa"/>
            <w:tcBorders>
              <w:top w:val="nil"/>
              <w:left w:val="nil"/>
              <w:bottom w:val="single" w:sz="4" w:space="0" w:color="auto"/>
              <w:right w:val="single" w:sz="4" w:space="0" w:color="auto"/>
            </w:tcBorders>
            <w:shd w:val="clear" w:color="auto" w:fill="auto"/>
            <w:noWrap/>
            <w:tcMar>
              <w:left w:w="115" w:type="dxa"/>
              <w:right w:w="360" w:type="dxa"/>
            </w:tcMar>
            <w:vAlign w:val="bottom"/>
            <w:hideMark/>
          </w:tcPr>
          <w:p w14:paraId="6C8818F0" w14:textId="5EDAA312" w:rsidR="003E4EE0" w:rsidRPr="00E44C3F" w:rsidRDefault="003E4EE0" w:rsidP="003E4EE0">
            <w:pPr>
              <w:jc w:val="right"/>
              <w:rPr>
                <w:sz w:val="21"/>
                <w:szCs w:val="21"/>
                <w:lang w:val="en-CA" w:eastAsia="en-CA"/>
              </w:rPr>
            </w:pPr>
            <w:r w:rsidRPr="00E44C3F">
              <w:rPr>
                <w:sz w:val="21"/>
                <w:szCs w:val="21"/>
                <w:lang w:val="en-CA" w:eastAsia="en-CA"/>
              </w:rPr>
              <w:t>661</w:t>
            </w:r>
            <w:r w:rsidR="003762DD">
              <w:rPr>
                <w:sz w:val="21"/>
                <w:szCs w:val="21"/>
                <w:lang w:val="en-CA" w:eastAsia="en-CA"/>
              </w:rPr>
              <w:t> </w:t>
            </w:r>
            <w:r w:rsidRPr="00E44C3F">
              <w:rPr>
                <w:sz w:val="21"/>
                <w:szCs w:val="21"/>
                <w:lang w:val="en-CA" w:eastAsia="en-CA"/>
              </w:rPr>
              <w:t>227</w:t>
            </w:r>
          </w:p>
        </w:tc>
      </w:tr>
      <w:tr w:rsidR="00E44C3F" w:rsidRPr="00E44C3F" w14:paraId="01DE3273" w14:textId="77777777" w:rsidTr="00311ABF">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59226113" w14:textId="5549B1B4" w:rsidR="003E4EE0" w:rsidRPr="00311ABF" w:rsidRDefault="00311ABF" w:rsidP="003171CE">
            <w:pPr>
              <w:jc w:val="left"/>
              <w:rPr>
                <w:b/>
                <w:bCs/>
                <w:sz w:val="21"/>
                <w:szCs w:val="21"/>
                <w:lang w:val="en-CA" w:eastAsia="en-CA"/>
              </w:rPr>
            </w:pPr>
            <w:r w:rsidRPr="00311ABF">
              <w:rPr>
                <w:b/>
                <w:bCs/>
                <w:sz w:val="21"/>
                <w:szCs w:val="21"/>
                <w:lang w:val="fr-FR" w:eastAsia="en-CA"/>
              </w:rPr>
              <w:t>Total partiel</w:t>
            </w:r>
          </w:p>
        </w:tc>
        <w:tc>
          <w:tcPr>
            <w:tcW w:w="4536" w:type="dxa"/>
            <w:tcBorders>
              <w:top w:val="nil"/>
              <w:left w:val="nil"/>
              <w:bottom w:val="single" w:sz="4" w:space="0" w:color="auto"/>
              <w:right w:val="single" w:sz="4" w:space="0" w:color="auto"/>
            </w:tcBorders>
            <w:shd w:val="clear" w:color="auto" w:fill="auto"/>
            <w:noWrap/>
            <w:tcMar>
              <w:left w:w="115" w:type="dxa"/>
              <w:right w:w="360" w:type="dxa"/>
            </w:tcMar>
            <w:vAlign w:val="bottom"/>
            <w:hideMark/>
          </w:tcPr>
          <w:p w14:paraId="16F2F643" w14:textId="60651D3B" w:rsidR="003E4EE0" w:rsidRPr="00E44C3F" w:rsidRDefault="003E4EE0" w:rsidP="003E4EE0">
            <w:pPr>
              <w:jc w:val="right"/>
              <w:rPr>
                <w:b/>
                <w:sz w:val="21"/>
                <w:szCs w:val="21"/>
                <w:lang w:val="en-CA" w:eastAsia="en-CA"/>
              </w:rPr>
            </w:pPr>
            <w:r w:rsidRPr="00E44C3F">
              <w:rPr>
                <w:b/>
                <w:sz w:val="21"/>
                <w:szCs w:val="21"/>
                <w:lang w:val="en-CA" w:eastAsia="en-CA"/>
              </w:rPr>
              <w:t>1</w:t>
            </w:r>
            <w:r w:rsidR="003762DD">
              <w:rPr>
                <w:b/>
                <w:sz w:val="21"/>
                <w:szCs w:val="21"/>
                <w:lang w:val="en-CA" w:eastAsia="en-CA"/>
              </w:rPr>
              <w:t> </w:t>
            </w:r>
            <w:r w:rsidRPr="00E44C3F">
              <w:rPr>
                <w:b/>
                <w:sz w:val="21"/>
                <w:szCs w:val="21"/>
                <w:lang w:val="en-CA" w:eastAsia="en-CA"/>
              </w:rPr>
              <w:t>157</w:t>
            </w:r>
            <w:r w:rsidR="003762DD">
              <w:rPr>
                <w:b/>
                <w:sz w:val="21"/>
                <w:szCs w:val="21"/>
                <w:lang w:val="en-CA" w:eastAsia="en-CA"/>
              </w:rPr>
              <w:t> </w:t>
            </w:r>
            <w:r w:rsidRPr="00E44C3F">
              <w:rPr>
                <w:b/>
                <w:sz w:val="21"/>
                <w:szCs w:val="21"/>
                <w:lang w:val="en-CA" w:eastAsia="en-CA"/>
              </w:rPr>
              <w:t>270</w:t>
            </w:r>
            <w:r w:rsidR="003762DD">
              <w:rPr>
                <w:b/>
                <w:sz w:val="21"/>
                <w:szCs w:val="21"/>
                <w:lang w:val="en-CA" w:eastAsia="en-CA"/>
              </w:rPr>
              <w:t> </w:t>
            </w:r>
            <w:r w:rsidRPr="00E44C3F">
              <w:rPr>
                <w:b/>
                <w:sz w:val="21"/>
                <w:szCs w:val="21"/>
                <w:lang w:val="en-CA" w:eastAsia="en-CA"/>
              </w:rPr>
              <w:t>690</w:t>
            </w:r>
          </w:p>
        </w:tc>
      </w:tr>
      <w:tr w:rsidR="00E44C3F" w:rsidRPr="00E44C3F" w14:paraId="0288C2ED" w14:textId="77777777" w:rsidTr="00311ABF">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44420B8B" w14:textId="0E0ACDAB" w:rsidR="003E4EE0" w:rsidRPr="00311ABF" w:rsidRDefault="00311ABF" w:rsidP="003171CE">
            <w:pPr>
              <w:jc w:val="left"/>
              <w:rPr>
                <w:sz w:val="21"/>
                <w:szCs w:val="21"/>
                <w:lang w:val="en-CA" w:eastAsia="en-CA"/>
              </w:rPr>
            </w:pPr>
            <w:r w:rsidRPr="00311ABF">
              <w:rPr>
                <w:sz w:val="21"/>
                <w:szCs w:val="21"/>
                <w:lang w:val="fr-FR" w:eastAsia="en-CA"/>
              </w:rPr>
              <w:t>Coût d</w:t>
            </w:r>
            <w:r w:rsidR="007B7C04">
              <w:rPr>
                <w:sz w:val="21"/>
                <w:szCs w:val="21"/>
                <w:lang w:val="fr-FR" w:eastAsia="en-CA"/>
              </w:rPr>
              <w:t>’</w:t>
            </w:r>
            <w:r w:rsidRPr="00311ABF">
              <w:rPr>
                <w:sz w:val="21"/>
                <w:szCs w:val="21"/>
                <w:lang w:val="fr-FR" w:eastAsia="en-CA"/>
              </w:rPr>
              <w:t>appui d</w:t>
            </w:r>
            <w:r w:rsidR="007B7C04">
              <w:rPr>
                <w:sz w:val="21"/>
                <w:szCs w:val="21"/>
                <w:lang w:val="fr-FR" w:eastAsia="en-CA"/>
              </w:rPr>
              <w:t>’</w:t>
            </w:r>
            <w:r w:rsidRPr="00311ABF">
              <w:rPr>
                <w:sz w:val="21"/>
                <w:szCs w:val="21"/>
                <w:lang w:val="fr-FR" w:eastAsia="en-CA"/>
              </w:rPr>
              <w:t>agence</w:t>
            </w:r>
          </w:p>
        </w:tc>
        <w:tc>
          <w:tcPr>
            <w:tcW w:w="4536" w:type="dxa"/>
            <w:tcBorders>
              <w:top w:val="nil"/>
              <w:left w:val="nil"/>
              <w:bottom w:val="single" w:sz="4" w:space="0" w:color="auto"/>
              <w:right w:val="single" w:sz="4" w:space="0" w:color="auto"/>
            </w:tcBorders>
            <w:shd w:val="clear" w:color="auto" w:fill="auto"/>
            <w:noWrap/>
            <w:tcMar>
              <w:left w:w="115" w:type="dxa"/>
              <w:right w:w="360" w:type="dxa"/>
            </w:tcMar>
            <w:vAlign w:val="bottom"/>
            <w:hideMark/>
          </w:tcPr>
          <w:p w14:paraId="34C19BF5" w14:textId="35CDC191" w:rsidR="003E4EE0" w:rsidRPr="00E44C3F" w:rsidRDefault="003E4EE0" w:rsidP="003E4EE0">
            <w:pPr>
              <w:jc w:val="right"/>
              <w:rPr>
                <w:sz w:val="21"/>
                <w:szCs w:val="21"/>
                <w:lang w:val="en-CA" w:eastAsia="en-CA"/>
              </w:rPr>
            </w:pPr>
            <w:r w:rsidRPr="00E44C3F">
              <w:rPr>
                <w:sz w:val="21"/>
                <w:szCs w:val="21"/>
                <w:lang w:val="en-CA" w:eastAsia="en-CA"/>
              </w:rPr>
              <w:t>118</w:t>
            </w:r>
            <w:r w:rsidR="003762DD">
              <w:rPr>
                <w:sz w:val="21"/>
                <w:szCs w:val="21"/>
                <w:lang w:val="en-CA" w:eastAsia="en-CA"/>
              </w:rPr>
              <w:t> </w:t>
            </w:r>
            <w:r w:rsidRPr="00E44C3F">
              <w:rPr>
                <w:sz w:val="21"/>
                <w:szCs w:val="21"/>
                <w:lang w:val="en-CA" w:eastAsia="en-CA"/>
              </w:rPr>
              <w:t>391</w:t>
            </w:r>
            <w:r w:rsidR="003762DD">
              <w:rPr>
                <w:sz w:val="21"/>
                <w:szCs w:val="21"/>
                <w:lang w:val="en-CA" w:eastAsia="en-CA"/>
              </w:rPr>
              <w:t> </w:t>
            </w:r>
            <w:r w:rsidRPr="00E44C3F">
              <w:rPr>
                <w:sz w:val="21"/>
                <w:szCs w:val="21"/>
                <w:lang w:val="en-CA" w:eastAsia="en-CA"/>
              </w:rPr>
              <w:t>340</w:t>
            </w:r>
          </w:p>
        </w:tc>
      </w:tr>
      <w:tr w:rsidR="00E44C3F" w:rsidRPr="00E44C3F" w14:paraId="77B1838D" w14:textId="77777777" w:rsidTr="00311ABF">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53AAA50F" w14:textId="0E2CD063" w:rsidR="003E4EE0" w:rsidRPr="00311ABF" w:rsidRDefault="00311ABF" w:rsidP="003171CE">
            <w:pPr>
              <w:jc w:val="left"/>
              <w:rPr>
                <w:b/>
                <w:bCs/>
                <w:sz w:val="21"/>
                <w:szCs w:val="21"/>
                <w:lang w:val="en-CA" w:eastAsia="en-CA"/>
              </w:rPr>
            </w:pPr>
            <w:r w:rsidRPr="00311ABF">
              <w:rPr>
                <w:b/>
                <w:bCs/>
                <w:sz w:val="21"/>
                <w:szCs w:val="21"/>
                <w:lang w:val="fr-FR" w:eastAsia="en-CA"/>
              </w:rPr>
              <w:t>Total</w:t>
            </w:r>
          </w:p>
        </w:tc>
        <w:tc>
          <w:tcPr>
            <w:tcW w:w="4536" w:type="dxa"/>
            <w:tcBorders>
              <w:top w:val="nil"/>
              <w:left w:val="nil"/>
              <w:bottom w:val="single" w:sz="4" w:space="0" w:color="auto"/>
              <w:right w:val="single" w:sz="4" w:space="0" w:color="auto"/>
            </w:tcBorders>
            <w:shd w:val="clear" w:color="auto" w:fill="auto"/>
            <w:noWrap/>
            <w:tcMar>
              <w:left w:w="115" w:type="dxa"/>
              <w:right w:w="360" w:type="dxa"/>
            </w:tcMar>
            <w:vAlign w:val="bottom"/>
            <w:hideMark/>
          </w:tcPr>
          <w:p w14:paraId="548B1BAC" w14:textId="2E7D6DCB" w:rsidR="003E4EE0" w:rsidRPr="00E44C3F" w:rsidRDefault="003E4EE0" w:rsidP="003E4EE0">
            <w:pPr>
              <w:jc w:val="right"/>
              <w:rPr>
                <w:b/>
                <w:sz w:val="21"/>
                <w:szCs w:val="21"/>
                <w:lang w:val="en-CA" w:eastAsia="en-CA"/>
              </w:rPr>
            </w:pPr>
            <w:r w:rsidRPr="00E44C3F">
              <w:rPr>
                <w:b/>
                <w:sz w:val="21"/>
                <w:szCs w:val="21"/>
                <w:lang w:val="en-CA" w:eastAsia="en-CA"/>
              </w:rPr>
              <w:t>1</w:t>
            </w:r>
            <w:r w:rsidR="003762DD">
              <w:rPr>
                <w:b/>
                <w:sz w:val="21"/>
                <w:szCs w:val="21"/>
                <w:lang w:val="en-CA" w:eastAsia="en-CA"/>
              </w:rPr>
              <w:t> </w:t>
            </w:r>
            <w:r w:rsidRPr="00E44C3F">
              <w:rPr>
                <w:b/>
                <w:sz w:val="21"/>
                <w:szCs w:val="21"/>
                <w:lang w:val="en-CA" w:eastAsia="en-CA"/>
              </w:rPr>
              <w:t>275</w:t>
            </w:r>
            <w:r w:rsidR="003762DD">
              <w:rPr>
                <w:b/>
                <w:sz w:val="21"/>
                <w:szCs w:val="21"/>
                <w:lang w:val="en-CA" w:eastAsia="en-CA"/>
              </w:rPr>
              <w:t> </w:t>
            </w:r>
            <w:r w:rsidRPr="00E44C3F">
              <w:rPr>
                <w:b/>
                <w:sz w:val="21"/>
                <w:szCs w:val="21"/>
                <w:lang w:val="en-CA" w:eastAsia="en-CA"/>
              </w:rPr>
              <w:t>662</w:t>
            </w:r>
            <w:r w:rsidR="003762DD">
              <w:rPr>
                <w:b/>
                <w:sz w:val="21"/>
                <w:szCs w:val="21"/>
                <w:lang w:val="en-CA" w:eastAsia="en-CA"/>
              </w:rPr>
              <w:t> </w:t>
            </w:r>
            <w:r w:rsidRPr="00E44C3F">
              <w:rPr>
                <w:b/>
                <w:sz w:val="21"/>
                <w:szCs w:val="21"/>
                <w:lang w:val="en-CA" w:eastAsia="en-CA"/>
              </w:rPr>
              <w:t>030</w:t>
            </w:r>
          </w:p>
        </w:tc>
      </w:tr>
      <w:bookmarkEnd w:id="1"/>
    </w:tbl>
    <w:p w14:paraId="7010B1E7" w14:textId="77777777" w:rsidR="00E433C6" w:rsidRPr="00E44C3F" w:rsidRDefault="00E433C6" w:rsidP="00E433C6">
      <w:pPr>
        <w:rPr>
          <w:lang w:val="en-CA"/>
        </w:rPr>
      </w:pPr>
    </w:p>
    <w:p w14:paraId="33090249" w14:textId="433211F6" w:rsidR="00311ABF" w:rsidRPr="00C52326" w:rsidRDefault="00311ABF" w:rsidP="00311ABF">
      <w:pPr>
        <w:pStyle w:val="Heading1"/>
        <w:rPr>
          <w:lang w:val="fr-CA"/>
        </w:rPr>
      </w:pPr>
      <w:r w:rsidRPr="00311ABF">
        <w:rPr>
          <w:lang w:val="fr-FR"/>
        </w:rPr>
        <w:t>Le tableau 2 récapitule l</w:t>
      </w:r>
      <w:r w:rsidR="007B7C04">
        <w:rPr>
          <w:lang w:val="fr-FR"/>
        </w:rPr>
        <w:t>’</w:t>
      </w:r>
      <w:r w:rsidRPr="00311ABF">
        <w:rPr>
          <w:lang w:val="fr-FR"/>
        </w:rPr>
        <w:t>état d</w:t>
      </w:r>
      <w:r w:rsidR="007B7C04">
        <w:rPr>
          <w:lang w:val="fr-FR"/>
        </w:rPr>
        <w:t>’</w:t>
      </w:r>
      <w:r w:rsidRPr="00311ABF">
        <w:rPr>
          <w:lang w:val="fr-FR"/>
        </w:rPr>
        <w:t>avancement des projets par catégorie.</w:t>
      </w:r>
      <w:r w:rsidRPr="00C52326">
        <w:rPr>
          <w:lang w:val="fr-CA"/>
        </w:rPr>
        <w:t xml:space="preserve"> </w:t>
      </w:r>
    </w:p>
    <w:p w14:paraId="6B82D70A" w14:textId="46164C52" w:rsidR="00E433C6" w:rsidRPr="00C52326" w:rsidRDefault="00311ABF" w:rsidP="00E433C6">
      <w:pPr>
        <w:keepNext/>
        <w:jc w:val="left"/>
        <w:rPr>
          <w:b/>
          <w:lang w:val="fr-CA"/>
        </w:rPr>
      </w:pPr>
      <w:r w:rsidRPr="00311ABF">
        <w:rPr>
          <w:b/>
          <w:lang w:val="fr-FR"/>
        </w:rPr>
        <w:t>Tableau 2</w:t>
      </w:r>
      <w:r w:rsidR="003578D1">
        <w:rPr>
          <w:b/>
          <w:lang w:val="fr-FR"/>
        </w:rPr>
        <w:t>.</w:t>
      </w:r>
      <w:r w:rsidRPr="00311ABF">
        <w:rPr>
          <w:b/>
          <w:lang w:val="fr-FR"/>
        </w:rPr>
        <w:t xml:space="preserve"> État d</w:t>
      </w:r>
      <w:r w:rsidR="007B7C04">
        <w:rPr>
          <w:b/>
          <w:lang w:val="fr-FR"/>
        </w:rPr>
        <w:t>’</w:t>
      </w:r>
      <w:r w:rsidRPr="00311ABF">
        <w:rPr>
          <w:b/>
          <w:lang w:val="fr-FR"/>
        </w:rPr>
        <w:t>avancement de la mise en œuvre de projet par catégorie</w:t>
      </w:r>
    </w:p>
    <w:tbl>
      <w:tblPr>
        <w:tblW w:w="9423" w:type="dxa"/>
        <w:tblInd w:w="-5" w:type="dxa"/>
        <w:tblLook w:val="04A0" w:firstRow="1" w:lastRow="0" w:firstColumn="1" w:lastColumn="0" w:noHBand="0" w:noVBand="1"/>
      </w:tblPr>
      <w:tblGrid>
        <w:gridCol w:w="1740"/>
        <w:gridCol w:w="1038"/>
        <w:gridCol w:w="997"/>
        <w:gridCol w:w="1145"/>
        <w:gridCol w:w="1181"/>
        <w:gridCol w:w="1181"/>
        <w:gridCol w:w="1039"/>
        <w:gridCol w:w="1102"/>
      </w:tblGrid>
      <w:tr w:rsidR="00E44C3F" w:rsidRPr="00E44C3F" w14:paraId="6F0EF89A" w14:textId="77777777" w:rsidTr="00401154">
        <w:trPr>
          <w:trHeight w:val="229"/>
          <w:tblHeader/>
        </w:trPr>
        <w:tc>
          <w:tcPr>
            <w:tcW w:w="1740" w:type="dxa"/>
            <w:vMerge w:val="restar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hideMark/>
          </w:tcPr>
          <w:p w14:paraId="15809BF6" w14:textId="28CC9364" w:rsidR="00336B3A" w:rsidRPr="00311ABF" w:rsidRDefault="00311ABF" w:rsidP="003171CE">
            <w:pPr>
              <w:jc w:val="center"/>
              <w:rPr>
                <w:b/>
                <w:bCs/>
                <w:sz w:val="18"/>
                <w:szCs w:val="18"/>
                <w:lang w:val="en-CA" w:eastAsia="en-CA"/>
              </w:rPr>
            </w:pPr>
            <w:r w:rsidRPr="00311ABF">
              <w:rPr>
                <w:b/>
                <w:bCs/>
                <w:sz w:val="18"/>
                <w:szCs w:val="18"/>
                <w:lang w:val="fr-FR" w:eastAsia="en-CA"/>
              </w:rPr>
              <w:t>Type</w:t>
            </w:r>
          </w:p>
        </w:tc>
        <w:tc>
          <w:tcPr>
            <w:tcW w:w="3180" w:type="dxa"/>
            <w:gridSpan w:val="3"/>
            <w:tcBorders>
              <w:top w:val="single" w:sz="4" w:space="0" w:color="auto"/>
              <w:left w:val="nil"/>
              <w:bottom w:val="single" w:sz="4" w:space="0" w:color="auto"/>
              <w:right w:val="single" w:sz="4" w:space="0" w:color="auto"/>
            </w:tcBorders>
            <w:shd w:val="clear" w:color="auto" w:fill="auto"/>
            <w:noWrap/>
            <w:tcMar>
              <w:left w:w="58" w:type="dxa"/>
              <w:right w:w="58" w:type="dxa"/>
            </w:tcMar>
            <w:hideMark/>
          </w:tcPr>
          <w:p w14:paraId="01EBF3A1" w14:textId="68F2CADF" w:rsidR="00336B3A" w:rsidRPr="00311ABF" w:rsidRDefault="00311ABF" w:rsidP="003171CE">
            <w:pPr>
              <w:jc w:val="center"/>
              <w:rPr>
                <w:b/>
                <w:bCs/>
                <w:sz w:val="18"/>
                <w:szCs w:val="18"/>
                <w:lang w:val="en-CA" w:eastAsia="en-CA"/>
              </w:rPr>
            </w:pPr>
            <w:r w:rsidRPr="00311ABF">
              <w:rPr>
                <w:b/>
                <w:bCs/>
                <w:sz w:val="18"/>
                <w:szCs w:val="18"/>
                <w:lang w:val="fr-FR" w:eastAsia="en-CA"/>
              </w:rPr>
              <w:t>Nombre de</w:t>
            </w:r>
            <w:r w:rsidR="007B7C04">
              <w:rPr>
                <w:b/>
                <w:bCs/>
                <w:sz w:val="18"/>
                <w:szCs w:val="18"/>
                <w:lang w:val="fr-FR" w:eastAsia="en-CA"/>
              </w:rPr>
              <w:t xml:space="preserve"> </w:t>
            </w:r>
            <w:r w:rsidRPr="00311ABF">
              <w:rPr>
                <w:b/>
                <w:bCs/>
                <w:sz w:val="18"/>
                <w:szCs w:val="18"/>
                <w:lang w:val="fr-FR" w:eastAsia="en-CA"/>
              </w:rPr>
              <w:t>projets*</w:t>
            </w:r>
          </w:p>
        </w:tc>
        <w:tc>
          <w:tcPr>
            <w:tcW w:w="4503" w:type="dxa"/>
            <w:gridSpan w:val="4"/>
            <w:tcBorders>
              <w:top w:val="single" w:sz="4" w:space="0" w:color="auto"/>
              <w:left w:val="nil"/>
              <w:bottom w:val="single" w:sz="4" w:space="0" w:color="auto"/>
              <w:right w:val="single" w:sz="4" w:space="0" w:color="auto"/>
            </w:tcBorders>
            <w:shd w:val="clear" w:color="auto" w:fill="auto"/>
            <w:noWrap/>
            <w:tcMar>
              <w:left w:w="58" w:type="dxa"/>
              <w:right w:w="58" w:type="dxa"/>
            </w:tcMar>
            <w:hideMark/>
          </w:tcPr>
          <w:p w14:paraId="53EE10FF" w14:textId="459F2778" w:rsidR="00336B3A" w:rsidRPr="00311ABF" w:rsidRDefault="00311ABF" w:rsidP="003171CE">
            <w:pPr>
              <w:jc w:val="center"/>
              <w:rPr>
                <w:b/>
                <w:bCs/>
                <w:sz w:val="18"/>
                <w:szCs w:val="18"/>
                <w:lang w:val="en-CA" w:eastAsia="en-CA"/>
              </w:rPr>
            </w:pPr>
            <w:r w:rsidRPr="00311ABF">
              <w:rPr>
                <w:b/>
                <w:bCs/>
                <w:sz w:val="18"/>
                <w:szCs w:val="18"/>
                <w:lang w:val="fr-FR" w:eastAsia="en-CA"/>
              </w:rPr>
              <w:t>Financement ($US)**</w:t>
            </w:r>
          </w:p>
        </w:tc>
      </w:tr>
      <w:tr w:rsidR="00E44C3F" w:rsidRPr="00E44C3F" w14:paraId="0556D230" w14:textId="77777777" w:rsidTr="00401154">
        <w:trPr>
          <w:trHeight w:val="159"/>
          <w:tblHeader/>
        </w:trPr>
        <w:tc>
          <w:tcPr>
            <w:tcW w:w="1740" w:type="dxa"/>
            <w:vMerge/>
            <w:tcBorders>
              <w:top w:val="single" w:sz="4" w:space="0" w:color="auto"/>
              <w:left w:val="single" w:sz="4" w:space="0" w:color="auto"/>
              <w:bottom w:val="single" w:sz="4" w:space="0" w:color="auto"/>
              <w:right w:val="single" w:sz="4" w:space="0" w:color="auto"/>
            </w:tcBorders>
            <w:tcMar>
              <w:left w:w="58" w:type="dxa"/>
              <w:right w:w="58" w:type="dxa"/>
            </w:tcMar>
            <w:hideMark/>
          </w:tcPr>
          <w:p w14:paraId="2C64275B" w14:textId="77777777" w:rsidR="00336B3A" w:rsidRPr="00E44C3F" w:rsidRDefault="00336B3A" w:rsidP="00336B3A">
            <w:pPr>
              <w:jc w:val="left"/>
              <w:rPr>
                <w:b/>
                <w:bCs/>
                <w:sz w:val="18"/>
                <w:szCs w:val="18"/>
                <w:lang w:val="en-CA" w:eastAsia="en-CA"/>
              </w:rPr>
            </w:pPr>
          </w:p>
        </w:tc>
        <w:tc>
          <w:tcPr>
            <w:tcW w:w="1038" w:type="dxa"/>
            <w:tcBorders>
              <w:top w:val="nil"/>
              <w:left w:val="nil"/>
              <w:bottom w:val="single" w:sz="4" w:space="0" w:color="auto"/>
              <w:right w:val="single" w:sz="4" w:space="0" w:color="auto"/>
            </w:tcBorders>
            <w:shd w:val="clear" w:color="auto" w:fill="auto"/>
            <w:tcMar>
              <w:left w:w="58" w:type="dxa"/>
              <w:right w:w="58" w:type="dxa"/>
            </w:tcMar>
            <w:hideMark/>
          </w:tcPr>
          <w:p w14:paraId="194687D5" w14:textId="4A0BC6E1" w:rsidR="00336B3A" w:rsidRPr="00311ABF" w:rsidRDefault="00311ABF" w:rsidP="003171CE">
            <w:pPr>
              <w:jc w:val="center"/>
              <w:rPr>
                <w:b/>
                <w:bCs/>
                <w:sz w:val="18"/>
                <w:szCs w:val="18"/>
                <w:lang w:val="en-CA" w:eastAsia="en-CA"/>
              </w:rPr>
            </w:pPr>
            <w:r w:rsidRPr="00311ABF">
              <w:rPr>
                <w:b/>
                <w:bCs/>
                <w:sz w:val="18"/>
                <w:szCs w:val="18"/>
                <w:lang w:val="fr-FR" w:eastAsia="en-CA"/>
              </w:rPr>
              <w:t>Approuvé</w:t>
            </w:r>
            <w:r>
              <w:rPr>
                <w:b/>
                <w:bCs/>
                <w:sz w:val="18"/>
                <w:szCs w:val="18"/>
                <w:lang w:val="fr-FR" w:eastAsia="en-CA"/>
              </w:rPr>
              <w:t>s</w:t>
            </w:r>
          </w:p>
        </w:tc>
        <w:tc>
          <w:tcPr>
            <w:tcW w:w="997" w:type="dxa"/>
            <w:tcBorders>
              <w:top w:val="nil"/>
              <w:left w:val="nil"/>
              <w:bottom w:val="single" w:sz="4" w:space="0" w:color="auto"/>
              <w:right w:val="single" w:sz="4" w:space="0" w:color="auto"/>
            </w:tcBorders>
            <w:shd w:val="clear" w:color="auto" w:fill="auto"/>
            <w:tcMar>
              <w:left w:w="58" w:type="dxa"/>
              <w:right w:w="58" w:type="dxa"/>
            </w:tcMar>
            <w:hideMark/>
          </w:tcPr>
          <w:p w14:paraId="41D5AB94" w14:textId="711D3829" w:rsidR="00336B3A" w:rsidRPr="00311ABF" w:rsidRDefault="00311ABF" w:rsidP="003171CE">
            <w:pPr>
              <w:jc w:val="center"/>
              <w:rPr>
                <w:b/>
                <w:bCs/>
                <w:sz w:val="18"/>
                <w:szCs w:val="18"/>
                <w:lang w:val="en-CA" w:eastAsia="en-CA"/>
              </w:rPr>
            </w:pPr>
            <w:r w:rsidRPr="00311ABF">
              <w:rPr>
                <w:b/>
                <w:bCs/>
                <w:sz w:val="18"/>
                <w:szCs w:val="18"/>
                <w:lang w:val="fr-FR" w:eastAsia="en-CA"/>
              </w:rPr>
              <w:t>Achevés</w:t>
            </w:r>
          </w:p>
        </w:tc>
        <w:tc>
          <w:tcPr>
            <w:tcW w:w="1144" w:type="dxa"/>
            <w:tcBorders>
              <w:top w:val="nil"/>
              <w:left w:val="nil"/>
              <w:bottom w:val="single" w:sz="4" w:space="0" w:color="auto"/>
              <w:right w:val="single" w:sz="4" w:space="0" w:color="auto"/>
            </w:tcBorders>
            <w:shd w:val="clear" w:color="auto" w:fill="auto"/>
            <w:tcMar>
              <w:left w:w="58" w:type="dxa"/>
              <w:right w:w="58" w:type="dxa"/>
            </w:tcMar>
            <w:hideMark/>
          </w:tcPr>
          <w:p w14:paraId="3D242542" w14:textId="72FFB780" w:rsidR="00336B3A" w:rsidRPr="00311ABF" w:rsidRDefault="00311ABF" w:rsidP="003171CE">
            <w:pPr>
              <w:ind w:left="-166" w:right="-114"/>
              <w:jc w:val="center"/>
              <w:rPr>
                <w:b/>
                <w:bCs/>
                <w:sz w:val="18"/>
                <w:szCs w:val="18"/>
                <w:lang w:val="en-CA" w:eastAsia="en-CA"/>
              </w:rPr>
            </w:pPr>
            <w:r w:rsidRPr="00311ABF">
              <w:rPr>
                <w:b/>
                <w:bCs/>
                <w:sz w:val="18"/>
                <w:szCs w:val="18"/>
                <w:lang w:val="fr-FR" w:eastAsia="en-CA"/>
              </w:rPr>
              <w:t>Achevés (%)</w:t>
            </w:r>
          </w:p>
        </w:tc>
        <w:tc>
          <w:tcPr>
            <w:tcW w:w="1181" w:type="dxa"/>
            <w:tcBorders>
              <w:top w:val="nil"/>
              <w:left w:val="nil"/>
              <w:bottom w:val="single" w:sz="4" w:space="0" w:color="auto"/>
              <w:right w:val="single" w:sz="4" w:space="0" w:color="auto"/>
            </w:tcBorders>
            <w:shd w:val="clear" w:color="auto" w:fill="auto"/>
            <w:tcMar>
              <w:left w:w="58" w:type="dxa"/>
              <w:right w:w="58" w:type="dxa"/>
            </w:tcMar>
            <w:hideMark/>
          </w:tcPr>
          <w:p w14:paraId="2EB61C4F" w14:textId="562A42A1" w:rsidR="00336B3A" w:rsidRPr="00311ABF" w:rsidRDefault="00311ABF" w:rsidP="003171CE">
            <w:pPr>
              <w:jc w:val="center"/>
              <w:rPr>
                <w:b/>
                <w:bCs/>
                <w:sz w:val="18"/>
                <w:szCs w:val="18"/>
                <w:lang w:val="en-CA" w:eastAsia="en-CA"/>
              </w:rPr>
            </w:pPr>
            <w:r w:rsidRPr="00311ABF">
              <w:rPr>
                <w:b/>
                <w:bCs/>
                <w:sz w:val="18"/>
                <w:szCs w:val="18"/>
                <w:lang w:val="fr-FR" w:eastAsia="en-CA"/>
              </w:rPr>
              <w:t>Approuvé</w:t>
            </w:r>
          </w:p>
        </w:tc>
        <w:tc>
          <w:tcPr>
            <w:tcW w:w="1181" w:type="dxa"/>
            <w:tcBorders>
              <w:top w:val="nil"/>
              <w:left w:val="nil"/>
              <w:bottom w:val="single" w:sz="4" w:space="0" w:color="auto"/>
              <w:right w:val="single" w:sz="4" w:space="0" w:color="auto"/>
            </w:tcBorders>
            <w:shd w:val="clear" w:color="auto" w:fill="auto"/>
            <w:tcMar>
              <w:left w:w="58" w:type="dxa"/>
              <w:right w:w="58" w:type="dxa"/>
            </w:tcMar>
            <w:hideMark/>
          </w:tcPr>
          <w:p w14:paraId="1B68D98B" w14:textId="0C7DACD6" w:rsidR="00336B3A" w:rsidRPr="00311ABF" w:rsidRDefault="00311ABF" w:rsidP="003171CE">
            <w:pPr>
              <w:jc w:val="center"/>
              <w:rPr>
                <w:b/>
                <w:bCs/>
                <w:sz w:val="18"/>
                <w:szCs w:val="18"/>
                <w:lang w:val="en-CA" w:eastAsia="en-CA"/>
              </w:rPr>
            </w:pPr>
            <w:r w:rsidRPr="00311ABF">
              <w:rPr>
                <w:b/>
                <w:bCs/>
                <w:sz w:val="18"/>
                <w:szCs w:val="18"/>
                <w:lang w:val="fr-FR" w:eastAsia="en-CA"/>
              </w:rPr>
              <w:t>Décaissé</w:t>
            </w:r>
          </w:p>
        </w:tc>
        <w:tc>
          <w:tcPr>
            <w:tcW w:w="1039" w:type="dxa"/>
            <w:tcBorders>
              <w:top w:val="nil"/>
              <w:left w:val="nil"/>
              <w:bottom w:val="single" w:sz="4" w:space="0" w:color="auto"/>
              <w:right w:val="single" w:sz="4" w:space="0" w:color="auto"/>
            </w:tcBorders>
            <w:shd w:val="clear" w:color="auto" w:fill="auto"/>
            <w:tcMar>
              <w:left w:w="58" w:type="dxa"/>
              <w:right w:w="58" w:type="dxa"/>
            </w:tcMar>
            <w:hideMark/>
          </w:tcPr>
          <w:p w14:paraId="206E70FB" w14:textId="0D44103B" w:rsidR="00336B3A" w:rsidRPr="00311ABF" w:rsidRDefault="00311ABF" w:rsidP="003171CE">
            <w:pPr>
              <w:jc w:val="center"/>
              <w:rPr>
                <w:b/>
                <w:bCs/>
                <w:sz w:val="18"/>
                <w:szCs w:val="18"/>
                <w:lang w:val="en-CA" w:eastAsia="en-CA"/>
              </w:rPr>
            </w:pPr>
            <w:r w:rsidRPr="00311ABF">
              <w:rPr>
                <w:b/>
                <w:bCs/>
                <w:sz w:val="18"/>
                <w:szCs w:val="18"/>
                <w:lang w:val="fr-FR" w:eastAsia="en-CA"/>
              </w:rPr>
              <w:t>Solde</w:t>
            </w:r>
          </w:p>
        </w:tc>
        <w:tc>
          <w:tcPr>
            <w:tcW w:w="1101" w:type="dxa"/>
            <w:tcBorders>
              <w:top w:val="nil"/>
              <w:left w:val="nil"/>
              <w:bottom w:val="single" w:sz="4" w:space="0" w:color="auto"/>
              <w:right w:val="single" w:sz="4" w:space="0" w:color="auto"/>
            </w:tcBorders>
            <w:shd w:val="clear" w:color="auto" w:fill="auto"/>
            <w:tcMar>
              <w:left w:w="58" w:type="dxa"/>
              <w:right w:w="58" w:type="dxa"/>
            </w:tcMar>
            <w:hideMark/>
          </w:tcPr>
          <w:p w14:paraId="47F10B99" w14:textId="3F46883D" w:rsidR="00336B3A" w:rsidRPr="00311ABF" w:rsidRDefault="00311ABF" w:rsidP="003171CE">
            <w:pPr>
              <w:ind w:left="-214" w:right="-243"/>
              <w:jc w:val="center"/>
              <w:rPr>
                <w:b/>
                <w:bCs/>
                <w:sz w:val="18"/>
                <w:szCs w:val="18"/>
                <w:lang w:val="en-CA" w:eastAsia="en-CA"/>
              </w:rPr>
            </w:pPr>
            <w:r w:rsidRPr="00311ABF">
              <w:rPr>
                <w:b/>
                <w:bCs/>
                <w:sz w:val="18"/>
                <w:szCs w:val="18"/>
                <w:lang w:val="fr-FR" w:eastAsia="en-CA"/>
              </w:rPr>
              <w:t>Décaissé (%)</w:t>
            </w:r>
          </w:p>
        </w:tc>
      </w:tr>
      <w:tr w:rsidR="00E44C3F" w:rsidRPr="00E44C3F" w14:paraId="26E73E5C" w14:textId="77777777" w:rsidTr="0093378F">
        <w:trPr>
          <w:trHeight w:val="58"/>
        </w:trPr>
        <w:tc>
          <w:tcPr>
            <w:tcW w:w="1740"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6ECA3A99" w14:textId="5DE1C618" w:rsidR="00336B3A" w:rsidRPr="00311ABF" w:rsidRDefault="00311ABF" w:rsidP="001E204E">
            <w:pPr>
              <w:jc w:val="left"/>
              <w:rPr>
                <w:sz w:val="18"/>
                <w:szCs w:val="18"/>
                <w:lang w:val="en-CA" w:eastAsia="en-CA"/>
              </w:rPr>
            </w:pPr>
            <w:r w:rsidRPr="00311ABF">
              <w:rPr>
                <w:sz w:val="18"/>
                <w:szCs w:val="18"/>
                <w:lang w:val="fr-FR" w:eastAsia="en-CA"/>
              </w:rPr>
              <w:t>Programme de pays</w:t>
            </w:r>
          </w:p>
        </w:tc>
        <w:tc>
          <w:tcPr>
            <w:tcW w:w="1038" w:type="dxa"/>
            <w:tcBorders>
              <w:top w:val="nil"/>
              <w:left w:val="nil"/>
              <w:bottom w:val="single" w:sz="4" w:space="0" w:color="auto"/>
              <w:right w:val="single" w:sz="4" w:space="0" w:color="auto"/>
            </w:tcBorders>
            <w:shd w:val="clear" w:color="auto" w:fill="auto"/>
            <w:noWrap/>
            <w:tcMar>
              <w:left w:w="0" w:type="dxa"/>
              <w:right w:w="144" w:type="dxa"/>
            </w:tcMar>
            <w:hideMark/>
          </w:tcPr>
          <w:p w14:paraId="5F370481" w14:textId="77777777" w:rsidR="00336B3A" w:rsidRPr="00E44C3F" w:rsidRDefault="00336B3A" w:rsidP="00336B3A">
            <w:pPr>
              <w:jc w:val="right"/>
              <w:rPr>
                <w:sz w:val="18"/>
                <w:szCs w:val="18"/>
                <w:lang w:val="en-CA" w:eastAsia="en-CA"/>
              </w:rPr>
            </w:pPr>
            <w:r w:rsidRPr="00E44C3F">
              <w:rPr>
                <w:sz w:val="18"/>
                <w:szCs w:val="18"/>
                <w:lang w:val="en-CA" w:eastAsia="en-CA"/>
              </w:rPr>
              <w:t>29</w:t>
            </w:r>
          </w:p>
        </w:tc>
        <w:tc>
          <w:tcPr>
            <w:tcW w:w="997" w:type="dxa"/>
            <w:tcBorders>
              <w:top w:val="nil"/>
              <w:left w:val="nil"/>
              <w:bottom w:val="single" w:sz="4" w:space="0" w:color="auto"/>
              <w:right w:val="single" w:sz="4" w:space="0" w:color="auto"/>
            </w:tcBorders>
            <w:shd w:val="clear" w:color="auto" w:fill="auto"/>
            <w:noWrap/>
            <w:tcMar>
              <w:left w:w="0" w:type="dxa"/>
              <w:right w:w="144" w:type="dxa"/>
            </w:tcMar>
            <w:hideMark/>
          </w:tcPr>
          <w:p w14:paraId="5CB4ABB1" w14:textId="77777777" w:rsidR="00336B3A" w:rsidRPr="00E44C3F" w:rsidRDefault="00336B3A" w:rsidP="00336B3A">
            <w:pPr>
              <w:jc w:val="right"/>
              <w:rPr>
                <w:sz w:val="18"/>
                <w:szCs w:val="18"/>
                <w:lang w:val="en-CA" w:eastAsia="en-CA"/>
              </w:rPr>
            </w:pPr>
            <w:r w:rsidRPr="00E44C3F">
              <w:rPr>
                <w:sz w:val="18"/>
                <w:szCs w:val="18"/>
                <w:lang w:val="en-CA" w:eastAsia="en-CA"/>
              </w:rPr>
              <w:t>29</w:t>
            </w:r>
          </w:p>
        </w:tc>
        <w:tc>
          <w:tcPr>
            <w:tcW w:w="1144" w:type="dxa"/>
            <w:tcBorders>
              <w:top w:val="nil"/>
              <w:left w:val="nil"/>
              <w:bottom w:val="single" w:sz="4" w:space="0" w:color="auto"/>
              <w:right w:val="single" w:sz="4" w:space="0" w:color="auto"/>
            </w:tcBorders>
            <w:shd w:val="clear" w:color="auto" w:fill="auto"/>
            <w:noWrap/>
            <w:tcMar>
              <w:left w:w="0" w:type="dxa"/>
              <w:right w:w="144" w:type="dxa"/>
            </w:tcMar>
            <w:hideMark/>
          </w:tcPr>
          <w:p w14:paraId="1A2B958C" w14:textId="77777777" w:rsidR="00336B3A" w:rsidRPr="00E44C3F" w:rsidRDefault="00336B3A" w:rsidP="00F6252F">
            <w:pPr>
              <w:jc w:val="right"/>
              <w:rPr>
                <w:sz w:val="18"/>
                <w:szCs w:val="18"/>
                <w:lang w:val="en-CA" w:eastAsia="en-CA"/>
              </w:rPr>
            </w:pPr>
            <w:r w:rsidRPr="00E44C3F">
              <w:rPr>
                <w:sz w:val="18"/>
                <w:szCs w:val="18"/>
                <w:lang w:val="en-CA" w:eastAsia="en-CA"/>
              </w:rPr>
              <w:t>100</w:t>
            </w:r>
          </w:p>
        </w:tc>
        <w:tc>
          <w:tcPr>
            <w:tcW w:w="1181" w:type="dxa"/>
            <w:tcBorders>
              <w:top w:val="nil"/>
              <w:left w:val="nil"/>
              <w:bottom w:val="single" w:sz="4" w:space="0" w:color="auto"/>
              <w:right w:val="single" w:sz="4" w:space="0" w:color="auto"/>
            </w:tcBorders>
            <w:shd w:val="clear" w:color="auto" w:fill="auto"/>
            <w:noWrap/>
            <w:tcMar>
              <w:left w:w="0" w:type="dxa"/>
              <w:right w:w="144" w:type="dxa"/>
            </w:tcMar>
            <w:hideMark/>
          </w:tcPr>
          <w:p w14:paraId="1514D316" w14:textId="39603ED6" w:rsidR="00336B3A" w:rsidRPr="00E44C3F" w:rsidRDefault="00336B3A" w:rsidP="00336B3A">
            <w:pPr>
              <w:jc w:val="right"/>
              <w:rPr>
                <w:sz w:val="18"/>
                <w:szCs w:val="18"/>
                <w:lang w:val="en-CA" w:eastAsia="en-CA"/>
              </w:rPr>
            </w:pPr>
            <w:r w:rsidRPr="00E44C3F">
              <w:rPr>
                <w:sz w:val="18"/>
                <w:szCs w:val="18"/>
                <w:lang w:val="en-CA" w:eastAsia="en-CA"/>
              </w:rPr>
              <w:t>1</w:t>
            </w:r>
            <w:r w:rsidR="003762DD">
              <w:rPr>
                <w:sz w:val="18"/>
                <w:szCs w:val="18"/>
                <w:lang w:val="en-CA" w:eastAsia="en-CA"/>
              </w:rPr>
              <w:t> </w:t>
            </w:r>
            <w:r w:rsidRPr="00E44C3F">
              <w:rPr>
                <w:sz w:val="18"/>
                <w:szCs w:val="18"/>
                <w:lang w:val="en-CA" w:eastAsia="en-CA"/>
              </w:rPr>
              <w:t>627</w:t>
            </w:r>
            <w:r w:rsidR="003762DD">
              <w:rPr>
                <w:sz w:val="18"/>
                <w:szCs w:val="18"/>
                <w:lang w:val="en-CA" w:eastAsia="en-CA"/>
              </w:rPr>
              <w:t> </w:t>
            </w:r>
            <w:r w:rsidRPr="00E44C3F">
              <w:rPr>
                <w:sz w:val="18"/>
                <w:szCs w:val="18"/>
                <w:lang w:val="en-CA" w:eastAsia="en-CA"/>
              </w:rPr>
              <w:t>732</w:t>
            </w:r>
          </w:p>
        </w:tc>
        <w:tc>
          <w:tcPr>
            <w:tcW w:w="1181" w:type="dxa"/>
            <w:tcBorders>
              <w:top w:val="nil"/>
              <w:left w:val="nil"/>
              <w:bottom w:val="single" w:sz="4" w:space="0" w:color="auto"/>
              <w:right w:val="single" w:sz="4" w:space="0" w:color="auto"/>
            </w:tcBorders>
            <w:shd w:val="clear" w:color="auto" w:fill="auto"/>
            <w:noWrap/>
            <w:tcMar>
              <w:left w:w="0" w:type="dxa"/>
              <w:right w:w="144" w:type="dxa"/>
            </w:tcMar>
            <w:hideMark/>
          </w:tcPr>
          <w:p w14:paraId="5AF2A172" w14:textId="56427316" w:rsidR="00336B3A" w:rsidRPr="00E44C3F" w:rsidRDefault="00336B3A" w:rsidP="00336B3A">
            <w:pPr>
              <w:jc w:val="right"/>
              <w:rPr>
                <w:sz w:val="18"/>
                <w:szCs w:val="18"/>
                <w:lang w:val="en-CA" w:eastAsia="en-CA"/>
              </w:rPr>
            </w:pPr>
            <w:r w:rsidRPr="00E44C3F">
              <w:rPr>
                <w:sz w:val="18"/>
                <w:szCs w:val="18"/>
                <w:lang w:val="en-CA" w:eastAsia="en-CA"/>
              </w:rPr>
              <w:t>1</w:t>
            </w:r>
            <w:r w:rsidR="003762DD">
              <w:rPr>
                <w:sz w:val="18"/>
                <w:szCs w:val="18"/>
                <w:lang w:val="en-CA" w:eastAsia="en-CA"/>
              </w:rPr>
              <w:t> </w:t>
            </w:r>
            <w:r w:rsidRPr="00E44C3F">
              <w:rPr>
                <w:sz w:val="18"/>
                <w:szCs w:val="18"/>
                <w:lang w:val="en-CA" w:eastAsia="en-CA"/>
              </w:rPr>
              <w:t>627</w:t>
            </w:r>
            <w:r w:rsidR="003762DD">
              <w:rPr>
                <w:sz w:val="18"/>
                <w:szCs w:val="18"/>
                <w:lang w:val="en-CA" w:eastAsia="en-CA"/>
              </w:rPr>
              <w:t> </w:t>
            </w:r>
            <w:r w:rsidRPr="00E44C3F">
              <w:rPr>
                <w:sz w:val="18"/>
                <w:szCs w:val="18"/>
                <w:lang w:val="en-CA" w:eastAsia="en-CA"/>
              </w:rPr>
              <w:t>732</w:t>
            </w:r>
          </w:p>
        </w:tc>
        <w:tc>
          <w:tcPr>
            <w:tcW w:w="1039" w:type="dxa"/>
            <w:tcBorders>
              <w:top w:val="nil"/>
              <w:left w:val="nil"/>
              <w:bottom w:val="single" w:sz="4" w:space="0" w:color="auto"/>
              <w:right w:val="single" w:sz="4" w:space="0" w:color="auto"/>
            </w:tcBorders>
            <w:shd w:val="clear" w:color="auto" w:fill="auto"/>
            <w:noWrap/>
            <w:tcMar>
              <w:left w:w="0" w:type="dxa"/>
              <w:right w:w="144" w:type="dxa"/>
            </w:tcMar>
            <w:hideMark/>
          </w:tcPr>
          <w:p w14:paraId="292883EF" w14:textId="77777777" w:rsidR="00336B3A" w:rsidRPr="00E44C3F" w:rsidRDefault="00336B3A" w:rsidP="00336B3A">
            <w:pPr>
              <w:jc w:val="right"/>
              <w:rPr>
                <w:sz w:val="18"/>
                <w:szCs w:val="18"/>
                <w:lang w:val="en-CA" w:eastAsia="en-CA"/>
              </w:rPr>
            </w:pPr>
            <w:r w:rsidRPr="00E44C3F">
              <w:rPr>
                <w:sz w:val="18"/>
                <w:szCs w:val="18"/>
                <w:lang w:val="en-CA" w:eastAsia="en-CA"/>
              </w:rPr>
              <w:t>0</w:t>
            </w:r>
          </w:p>
        </w:tc>
        <w:tc>
          <w:tcPr>
            <w:tcW w:w="1101" w:type="dxa"/>
            <w:tcBorders>
              <w:top w:val="nil"/>
              <w:left w:val="nil"/>
              <w:bottom w:val="single" w:sz="4" w:space="0" w:color="auto"/>
              <w:right w:val="single" w:sz="4" w:space="0" w:color="auto"/>
            </w:tcBorders>
            <w:shd w:val="clear" w:color="auto" w:fill="auto"/>
            <w:noWrap/>
            <w:tcMar>
              <w:left w:w="0" w:type="dxa"/>
              <w:right w:w="144" w:type="dxa"/>
            </w:tcMar>
            <w:hideMark/>
          </w:tcPr>
          <w:p w14:paraId="125A226C" w14:textId="77777777" w:rsidR="00336B3A" w:rsidRPr="00E44C3F" w:rsidRDefault="00336B3A" w:rsidP="00F6252F">
            <w:pPr>
              <w:jc w:val="right"/>
              <w:rPr>
                <w:sz w:val="18"/>
                <w:szCs w:val="18"/>
                <w:lang w:val="en-CA" w:eastAsia="en-CA"/>
              </w:rPr>
            </w:pPr>
            <w:r w:rsidRPr="00E44C3F">
              <w:rPr>
                <w:sz w:val="18"/>
                <w:szCs w:val="18"/>
                <w:lang w:val="en-CA" w:eastAsia="en-CA"/>
              </w:rPr>
              <w:t>100</w:t>
            </w:r>
          </w:p>
        </w:tc>
      </w:tr>
      <w:tr w:rsidR="00E44C3F" w:rsidRPr="00E44C3F" w14:paraId="7DE48CD2" w14:textId="77777777" w:rsidTr="0093378F">
        <w:trPr>
          <w:trHeight w:val="205"/>
        </w:trPr>
        <w:tc>
          <w:tcPr>
            <w:tcW w:w="1740"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105020F2" w14:textId="091A8378" w:rsidR="00336B3A" w:rsidRPr="00311ABF" w:rsidRDefault="00311ABF" w:rsidP="003171CE">
            <w:pPr>
              <w:jc w:val="left"/>
              <w:rPr>
                <w:sz w:val="18"/>
                <w:szCs w:val="18"/>
                <w:lang w:val="en-CA" w:eastAsia="en-CA"/>
              </w:rPr>
            </w:pPr>
            <w:r w:rsidRPr="00311ABF">
              <w:rPr>
                <w:sz w:val="18"/>
                <w:szCs w:val="18"/>
                <w:lang w:val="fr-FR" w:eastAsia="en-CA"/>
              </w:rPr>
              <w:t>Démonstration</w:t>
            </w:r>
          </w:p>
        </w:tc>
        <w:tc>
          <w:tcPr>
            <w:tcW w:w="1038" w:type="dxa"/>
            <w:tcBorders>
              <w:top w:val="nil"/>
              <w:left w:val="nil"/>
              <w:bottom w:val="single" w:sz="4" w:space="0" w:color="auto"/>
              <w:right w:val="single" w:sz="4" w:space="0" w:color="auto"/>
            </w:tcBorders>
            <w:shd w:val="clear" w:color="auto" w:fill="auto"/>
            <w:noWrap/>
            <w:tcMar>
              <w:left w:w="0" w:type="dxa"/>
              <w:right w:w="144" w:type="dxa"/>
            </w:tcMar>
            <w:hideMark/>
          </w:tcPr>
          <w:p w14:paraId="6D0CAF5D" w14:textId="77777777" w:rsidR="00336B3A" w:rsidRPr="00E44C3F" w:rsidRDefault="00336B3A" w:rsidP="00336B3A">
            <w:pPr>
              <w:jc w:val="right"/>
              <w:rPr>
                <w:sz w:val="18"/>
                <w:szCs w:val="18"/>
                <w:lang w:val="en-CA" w:eastAsia="en-CA"/>
              </w:rPr>
            </w:pPr>
            <w:r w:rsidRPr="00E44C3F">
              <w:rPr>
                <w:sz w:val="18"/>
                <w:szCs w:val="18"/>
                <w:lang w:val="en-CA" w:eastAsia="en-CA"/>
              </w:rPr>
              <w:t>8</w:t>
            </w:r>
          </w:p>
        </w:tc>
        <w:tc>
          <w:tcPr>
            <w:tcW w:w="997" w:type="dxa"/>
            <w:tcBorders>
              <w:top w:val="nil"/>
              <w:left w:val="nil"/>
              <w:bottom w:val="single" w:sz="4" w:space="0" w:color="auto"/>
              <w:right w:val="single" w:sz="4" w:space="0" w:color="auto"/>
            </w:tcBorders>
            <w:shd w:val="clear" w:color="auto" w:fill="auto"/>
            <w:noWrap/>
            <w:tcMar>
              <w:left w:w="0" w:type="dxa"/>
              <w:right w:w="144" w:type="dxa"/>
            </w:tcMar>
            <w:hideMark/>
          </w:tcPr>
          <w:p w14:paraId="1AB07F9E" w14:textId="77777777" w:rsidR="00336B3A" w:rsidRPr="00E44C3F" w:rsidRDefault="00336B3A" w:rsidP="00336B3A">
            <w:pPr>
              <w:jc w:val="right"/>
              <w:rPr>
                <w:sz w:val="18"/>
                <w:szCs w:val="18"/>
                <w:lang w:val="en-CA" w:eastAsia="en-CA"/>
              </w:rPr>
            </w:pPr>
            <w:r w:rsidRPr="00E44C3F">
              <w:rPr>
                <w:sz w:val="18"/>
                <w:szCs w:val="18"/>
                <w:lang w:val="en-CA" w:eastAsia="en-CA"/>
              </w:rPr>
              <w:t>8</w:t>
            </w:r>
          </w:p>
        </w:tc>
        <w:tc>
          <w:tcPr>
            <w:tcW w:w="1144" w:type="dxa"/>
            <w:tcBorders>
              <w:top w:val="nil"/>
              <w:left w:val="nil"/>
              <w:bottom w:val="single" w:sz="4" w:space="0" w:color="auto"/>
              <w:right w:val="single" w:sz="4" w:space="0" w:color="auto"/>
            </w:tcBorders>
            <w:shd w:val="clear" w:color="auto" w:fill="auto"/>
            <w:noWrap/>
            <w:tcMar>
              <w:left w:w="0" w:type="dxa"/>
              <w:right w:w="144" w:type="dxa"/>
            </w:tcMar>
            <w:hideMark/>
          </w:tcPr>
          <w:p w14:paraId="001C9B8E" w14:textId="77777777" w:rsidR="00336B3A" w:rsidRPr="00E44C3F" w:rsidRDefault="00336B3A" w:rsidP="00F6252F">
            <w:pPr>
              <w:jc w:val="right"/>
              <w:rPr>
                <w:sz w:val="18"/>
                <w:szCs w:val="18"/>
                <w:lang w:val="en-CA" w:eastAsia="en-CA"/>
              </w:rPr>
            </w:pPr>
            <w:r w:rsidRPr="00E44C3F">
              <w:rPr>
                <w:sz w:val="18"/>
                <w:szCs w:val="18"/>
                <w:lang w:val="en-CA" w:eastAsia="en-CA"/>
              </w:rPr>
              <w:t>100</w:t>
            </w:r>
          </w:p>
        </w:tc>
        <w:tc>
          <w:tcPr>
            <w:tcW w:w="1181" w:type="dxa"/>
            <w:tcBorders>
              <w:top w:val="nil"/>
              <w:left w:val="nil"/>
              <w:bottom w:val="single" w:sz="4" w:space="0" w:color="auto"/>
              <w:right w:val="single" w:sz="4" w:space="0" w:color="auto"/>
            </w:tcBorders>
            <w:shd w:val="clear" w:color="auto" w:fill="auto"/>
            <w:noWrap/>
            <w:tcMar>
              <w:left w:w="0" w:type="dxa"/>
              <w:right w:w="144" w:type="dxa"/>
            </w:tcMar>
            <w:hideMark/>
          </w:tcPr>
          <w:p w14:paraId="6488512E" w14:textId="2FD5B2D2" w:rsidR="00336B3A" w:rsidRPr="00E44C3F" w:rsidRDefault="00336B3A" w:rsidP="00336B3A">
            <w:pPr>
              <w:jc w:val="right"/>
              <w:rPr>
                <w:sz w:val="18"/>
                <w:szCs w:val="18"/>
                <w:lang w:val="en-CA" w:eastAsia="en-CA"/>
              </w:rPr>
            </w:pPr>
            <w:r w:rsidRPr="00E44C3F">
              <w:rPr>
                <w:sz w:val="18"/>
                <w:szCs w:val="18"/>
                <w:lang w:val="en-CA" w:eastAsia="en-CA"/>
              </w:rPr>
              <w:t>6</w:t>
            </w:r>
            <w:r w:rsidR="003762DD">
              <w:rPr>
                <w:sz w:val="18"/>
                <w:szCs w:val="18"/>
                <w:lang w:val="en-CA" w:eastAsia="en-CA"/>
              </w:rPr>
              <w:t> </w:t>
            </w:r>
            <w:r w:rsidRPr="00E44C3F">
              <w:rPr>
                <w:sz w:val="18"/>
                <w:szCs w:val="18"/>
                <w:lang w:val="en-CA" w:eastAsia="en-CA"/>
              </w:rPr>
              <w:t>172</w:t>
            </w:r>
            <w:r w:rsidR="003762DD">
              <w:rPr>
                <w:sz w:val="18"/>
                <w:szCs w:val="18"/>
                <w:lang w:val="en-CA" w:eastAsia="en-CA"/>
              </w:rPr>
              <w:t> </w:t>
            </w:r>
            <w:r w:rsidRPr="00E44C3F">
              <w:rPr>
                <w:sz w:val="18"/>
                <w:szCs w:val="18"/>
                <w:lang w:val="en-CA" w:eastAsia="en-CA"/>
              </w:rPr>
              <w:t>901</w:t>
            </w:r>
          </w:p>
        </w:tc>
        <w:tc>
          <w:tcPr>
            <w:tcW w:w="1181" w:type="dxa"/>
            <w:tcBorders>
              <w:top w:val="nil"/>
              <w:left w:val="nil"/>
              <w:bottom w:val="single" w:sz="4" w:space="0" w:color="auto"/>
              <w:right w:val="single" w:sz="4" w:space="0" w:color="auto"/>
            </w:tcBorders>
            <w:shd w:val="clear" w:color="auto" w:fill="auto"/>
            <w:noWrap/>
            <w:tcMar>
              <w:left w:w="0" w:type="dxa"/>
              <w:right w:w="144" w:type="dxa"/>
            </w:tcMar>
            <w:hideMark/>
          </w:tcPr>
          <w:p w14:paraId="5C9F2D33" w14:textId="114D68F8" w:rsidR="00336B3A" w:rsidRPr="00E44C3F" w:rsidRDefault="00336B3A" w:rsidP="00336B3A">
            <w:pPr>
              <w:jc w:val="right"/>
              <w:rPr>
                <w:sz w:val="18"/>
                <w:szCs w:val="18"/>
                <w:lang w:val="en-CA" w:eastAsia="en-CA"/>
              </w:rPr>
            </w:pPr>
            <w:r w:rsidRPr="00E44C3F">
              <w:rPr>
                <w:sz w:val="18"/>
                <w:szCs w:val="18"/>
                <w:lang w:val="en-CA" w:eastAsia="en-CA"/>
              </w:rPr>
              <w:t>6</w:t>
            </w:r>
            <w:r w:rsidR="003762DD">
              <w:rPr>
                <w:sz w:val="18"/>
                <w:szCs w:val="18"/>
                <w:lang w:val="en-CA" w:eastAsia="en-CA"/>
              </w:rPr>
              <w:t> </w:t>
            </w:r>
            <w:r w:rsidRPr="00E44C3F">
              <w:rPr>
                <w:sz w:val="18"/>
                <w:szCs w:val="18"/>
                <w:lang w:val="en-CA" w:eastAsia="en-CA"/>
              </w:rPr>
              <w:t>172</w:t>
            </w:r>
            <w:r w:rsidR="003762DD">
              <w:rPr>
                <w:sz w:val="18"/>
                <w:szCs w:val="18"/>
                <w:lang w:val="en-CA" w:eastAsia="en-CA"/>
              </w:rPr>
              <w:t> </w:t>
            </w:r>
            <w:r w:rsidRPr="00E44C3F">
              <w:rPr>
                <w:sz w:val="18"/>
                <w:szCs w:val="18"/>
                <w:lang w:val="en-CA" w:eastAsia="en-CA"/>
              </w:rPr>
              <w:t>901</w:t>
            </w:r>
          </w:p>
        </w:tc>
        <w:tc>
          <w:tcPr>
            <w:tcW w:w="1039" w:type="dxa"/>
            <w:tcBorders>
              <w:top w:val="nil"/>
              <w:left w:val="nil"/>
              <w:bottom w:val="single" w:sz="4" w:space="0" w:color="auto"/>
              <w:right w:val="single" w:sz="4" w:space="0" w:color="auto"/>
            </w:tcBorders>
            <w:shd w:val="clear" w:color="auto" w:fill="auto"/>
            <w:noWrap/>
            <w:tcMar>
              <w:left w:w="0" w:type="dxa"/>
              <w:right w:w="144" w:type="dxa"/>
            </w:tcMar>
            <w:hideMark/>
          </w:tcPr>
          <w:p w14:paraId="6195DD6F" w14:textId="77777777" w:rsidR="00336B3A" w:rsidRPr="00E44C3F" w:rsidRDefault="00336B3A" w:rsidP="00336B3A">
            <w:pPr>
              <w:jc w:val="right"/>
              <w:rPr>
                <w:sz w:val="18"/>
                <w:szCs w:val="18"/>
                <w:lang w:val="en-CA" w:eastAsia="en-CA"/>
              </w:rPr>
            </w:pPr>
            <w:r w:rsidRPr="00E44C3F">
              <w:rPr>
                <w:sz w:val="18"/>
                <w:szCs w:val="18"/>
                <w:lang w:val="en-CA" w:eastAsia="en-CA"/>
              </w:rPr>
              <w:t>0</w:t>
            </w:r>
          </w:p>
        </w:tc>
        <w:tc>
          <w:tcPr>
            <w:tcW w:w="1101" w:type="dxa"/>
            <w:tcBorders>
              <w:top w:val="nil"/>
              <w:left w:val="nil"/>
              <w:bottom w:val="single" w:sz="4" w:space="0" w:color="auto"/>
              <w:right w:val="single" w:sz="4" w:space="0" w:color="auto"/>
            </w:tcBorders>
            <w:shd w:val="clear" w:color="auto" w:fill="auto"/>
            <w:noWrap/>
            <w:tcMar>
              <w:left w:w="0" w:type="dxa"/>
              <w:right w:w="144" w:type="dxa"/>
            </w:tcMar>
            <w:hideMark/>
          </w:tcPr>
          <w:p w14:paraId="4D5CD858" w14:textId="77777777" w:rsidR="00336B3A" w:rsidRPr="00E44C3F" w:rsidRDefault="00336B3A" w:rsidP="00F6252F">
            <w:pPr>
              <w:jc w:val="right"/>
              <w:rPr>
                <w:sz w:val="18"/>
                <w:szCs w:val="18"/>
                <w:lang w:val="en-CA" w:eastAsia="en-CA"/>
              </w:rPr>
            </w:pPr>
            <w:r w:rsidRPr="00E44C3F">
              <w:rPr>
                <w:sz w:val="18"/>
                <w:szCs w:val="18"/>
                <w:lang w:val="en-CA" w:eastAsia="en-CA"/>
              </w:rPr>
              <w:t>100</w:t>
            </w:r>
          </w:p>
        </w:tc>
      </w:tr>
      <w:tr w:rsidR="00E44C3F" w:rsidRPr="00E44C3F" w14:paraId="3C2FB58F" w14:textId="77777777" w:rsidTr="0093378F">
        <w:trPr>
          <w:trHeight w:val="410"/>
        </w:trPr>
        <w:tc>
          <w:tcPr>
            <w:tcW w:w="1740"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43FB40DC" w14:textId="77D0FC8E" w:rsidR="00336B3A" w:rsidRPr="00311ABF" w:rsidRDefault="00311ABF" w:rsidP="003171CE">
            <w:pPr>
              <w:jc w:val="left"/>
              <w:rPr>
                <w:sz w:val="18"/>
                <w:szCs w:val="18"/>
                <w:lang w:val="en-CA" w:eastAsia="en-CA"/>
              </w:rPr>
            </w:pPr>
            <w:r w:rsidRPr="00311ABF">
              <w:rPr>
                <w:sz w:val="18"/>
                <w:szCs w:val="18"/>
                <w:lang w:val="fr-FR" w:eastAsia="en-CA"/>
              </w:rPr>
              <w:t>Renforcement des institutions </w:t>
            </w:r>
          </w:p>
        </w:tc>
        <w:tc>
          <w:tcPr>
            <w:tcW w:w="1038" w:type="dxa"/>
            <w:tcBorders>
              <w:top w:val="nil"/>
              <w:left w:val="nil"/>
              <w:bottom w:val="single" w:sz="4" w:space="0" w:color="auto"/>
              <w:right w:val="single" w:sz="4" w:space="0" w:color="auto"/>
            </w:tcBorders>
            <w:shd w:val="clear" w:color="auto" w:fill="auto"/>
            <w:noWrap/>
            <w:tcMar>
              <w:left w:w="0" w:type="dxa"/>
              <w:right w:w="144" w:type="dxa"/>
            </w:tcMar>
            <w:hideMark/>
          </w:tcPr>
          <w:p w14:paraId="18F41968" w14:textId="77777777" w:rsidR="00336B3A" w:rsidRPr="00E44C3F" w:rsidRDefault="00336B3A" w:rsidP="00336B3A">
            <w:pPr>
              <w:jc w:val="right"/>
              <w:rPr>
                <w:sz w:val="18"/>
                <w:szCs w:val="18"/>
                <w:lang w:val="en-CA" w:eastAsia="en-CA"/>
              </w:rPr>
            </w:pPr>
            <w:r w:rsidRPr="00E44C3F">
              <w:rPr>
                <w:sz w:val="18"/>
                <w:szCs w:val="18"/>
                <w:lang w:val="en-CA" w:eastAsia="en-CA"/>
              </w:rPr>
              <w:t>50</w:t>
            </w:r>
          </w:p>
        </w:tc>
        <w:tc>
          <w:tcPr>
            <w:tcW w:w="997" w:type="dxa"/>
            <w:tcBorders>
              <w:top w:val="nil"/>
              <w:left w:val="nil"/>
              <w:bottom w:val="single" w:sz="4" w:space="0" w:color="auto"/>
              <w:right w:val="single" w:sz="4" w:space="0" w:color="auto"/>
            </w:tcBorders>
            <w:shd w:val="clear" w:color="auto" w:fill="auto"/>
            <w:noWrap/>
            <w:tcMar>
              <w:left w:w="0" w:type="dxa"/>
              <w:right w:w="144" w:type="dxa"/>
            </w:tcMar>
            <w:hideMark/>
          </w:tcPr>
          <w:p w14:paraId="677F6A52" w14:textId="77777777" w:rsidR="00336B3A" w:rsidRPr="00E44C3F" w:rsidRDefault="00336B3A" w:rsidP="00336B3A">
            <w:pPr>
              <w:jc w:val="right"/>
              <w:rPr>
                <w:sz w:val="18"/>
                <w:szCs w:val="18"/>
                <w:lang w:val="en-CA" w:eastAsia="en-CA"/>
              </w:rPr>
            </w:pPr>
            <w:r w:rsidRPr="00E44C3F">
              <w:rPr>
                <w:sz w:val="18"/>
                <w:szCs w:val="18"/>
                <w:lang w:val="en-CA" w:eastAsia="en-CA"/>
              </w:rPr>
              <w:t>48</w:t>
            </w:r>
          </w:p>
        </w:tc>
        <w:tc>
          <w:tcPr>
            <w:tcW w:w="1144" w:type="dxa"/>
            <w:tcBorders>
              <w:top w:val="nil"/>
              <w:left w:val="nil"/>
              <w:bottom w:val="single" w:sz="4" w:space="0" w:color="auto"/>
              <w:right w:val="single" w:sz="4" w:space="0" w:color="auto"/>
            </w:tcBorders>
            <w:shd w:val="clear" w:color="auto" w:fill="auto"/>
            <w:noWrap/>
            <w:tcMar>
              <w:left w:w="0" w:type="dxa"/>
              <w:right w:w="144" w:type="dxa"/>
            </w:tcMar>
            <w:hideMark/>
          </w:tcPr>
          <w:p w14:paraId="1E1EA6D4" w14:textId="77777777" w:rsidR="00336B3A" w:rsidRPr="00E44C3F" w:rsidRDefault="00336B3A" w:rsidP="00F6252F">
            <w:pPr>
              <w:jc w:val="right"/>
              <w:rPr>
                <w:sz w:val="18"/>
                <w:szCs w:val="18"/>
                <w:lang w:val="en-CA" w:eastAsia="en-CA"/>
              </w:rPr>
            </w:pPr>
            <w:r w:rsidRPr="00E44C3F">
              <w:rPr>
                <w:sz w:val="18"/>
                <w:szCs w:val="18"/>
                <w:lang w:val="en-CA" w:eastAsia="en-CA"/>
              </w:rPr>
              <w:t>96</w:t>
            </w:r>
          </w:p>
        </w:tc>
        <w:tc>
          <w:tcPr>
            <w:tcW w:w="1181" w:type="dxa"/>
            <w:tcBorders>
              <w:top w:val="nil"/>
              <w:left w:val="nil"/>
              <w:bottom w:val="single" w:sz="4" w:space="0" w:color="auto"/>
              <w:right w:val="single" w:sz="4" w:space="0" w:color="auto"/>
            </w:tcBorders>
            <w:shd w:val="clear" w:color="auto" w:fill="auto"/>
            <w:noWrap/>
            <w:tcMar>
              <w:left w:w="0" w:type="dxa"/>
              <w:right w:w="144" w:type="dxa"/>
            </w:tcMar>
            <w:hideMark/>
          </w:tcPr>
          <w:p w14:paraId="18F2E118" w14:textId="7FEE6701" w:rsidR="00336B3A" w:rsidRPr="00E44C3F" w:rsidRDefault="00336B3A" w:rsidP="00336B3A">
            <w:pPr>
              <w:jc w:val="right"/>
              <w:rPr>
                <w:sz w:val="18"/>
                <w:szCs w:val="18"/>
                <w:lang w:val="en-CA" w:eastAsia="en-CA"/>
              </w:rPr>
            </w:pPr>
            <w:r w:rsidRPr="00E44C3F">
              <w:rPr>
                <w:sz w:val="18"/>
                <w:szCs w:val="18"/>
                <w:lang w:val="en-CA" w:eastAsia="en-CA"/>
              </w:rPr>
              <w:t>9</w:t>
            </w:r>
            <w:r w:rsidR="003762DD">
              <w:rPr>
                <w:sz w:val="18"/>
                <w:szCs w:val="18"/>
                <w:lang w:val="en-CA" w:eastAsia="en-CA"/>
              </w:rPr>
              <w:t> </w:t>
            </w:r>
            <w:r w:rsidRPr="00E44C3F">
              <w:rPr>
                <w:sz w:val="18"/>
                <w:szCs w:val="18"/>
                <w:lang w:val="en-CA" w:eastAsia="en-CA"/>
              </w:rPr>
              <w:t>569</w:t>
            </w:r>
            <w:r w:rsidR="003762DD">
              <w:rPr>
                <w:sz w:val="18"/>
                <w:szCs w:val="18"/>
                <w:lang w:val="en-CA" w:eastAsia="en-CA"/>
              </w:rPr>
              <w:t> </w:t>
            </w:r>
            <w:r w:rsidRPr="00E44C3F">
              <w:rPr>
                <w:sz w:val="18"/>
                <w:szCs w:val="18"/>
                <w:lang w:val="en-CA" w:eastAsia="en-CA"/>
              </w:rPr>
              <w:t>981</w:t>
            </w:r>
          </w:p>
        </w:tc>
        <w:tc>
          <w:tcPr>
            <w:tcW w:w="1181" w:type="dxa"/>
            <w:tcBorders>
              <w:top w:val="nil"/>
              <w:left w:val="nil"/>
              <w:bottom w:val="single" w:sz="4" w:space="0" w:color="auto"/>
              <w:right w:val="single" w:sz="4" w:space="0" w:color="auto"/>
            </w:tcBorders>
            <w:shd w:val="clear" w:color="auto" w:fill="auto"/>
            <w:noWrap/>
            <w:tcMar>
              <w:left w:w="0" w:type="dxa"/>
              <w:right w:w="144" w:type="dxa"/>
            </w:tcMar>
            <w:hideMark/>
          </w:tcPr>
          <w:p w14:paraId="38B21389" w14:textId="01530674" w:rsidR="00336B3A" w:rsidRPr="00E44C3F" w:rsidRDefault="00336B3A" w:rsidP="00336B3A">
            <w:pPr>
              <w:jc w:val="right"/>
              <w:rPr>
                <w:sz w:val="18"/>
                <w:szCs w:val="18"/>
                <w:lang w:val="en-CA" w:eastAsia="en-CA"/>
              </w:rPr>
            </w:pPr>
            <w:r w:rsidRPr="00E44C3F">
              <w:rPr>
                <w:sz w:val="18"/>
                <w:szCs w:val="18"/>
                <w:lang w:val="en-CA" w:eastAsia="en-CA"/>
              </w:rPr>
              <w:t>8</w:t>
            </w:r>
            <w:r w:rsidR="003762DD">
              <w:rPr>
                <w:sz w:val="18"/>
                <w:szCs w:val="18"/>
                <w:lang w:val="en-CA" w:eastAsia="en-CA"/>
              </w:rPr>
              <w:t> </w:t>
            </w:r>
            <w:r w:rsidRPr="00E44C3F">
              <w:rPr>
                <w:sz w:val="18"/>
                <w:szCs w:val="18"/>
                <w:lang w:val="en-CA" w:eastAsia="en-CA"/>
              </w:rPr>
              <w:t>939</w:t>
            </w:r>
            <w:r w:rsidR="003762DD">
              <w:rPr>
                <w:sz w:val="18"/>
                <w:szCs w:val="18"/>
                <w:lang w:val="en-CA" w:eastAsia="en-CA"/>
              </w:rPr>
              <w:t> </w:t>
            </w:r>
            <w:r w:rsidRPr="00E44C3F">
              <w:rPr>
                <w:sz w:val="18"/>
                <w:szCs w:val="18"/>
                <w:lang w:val="en-CA" w:eastAsia="en-CA"/>
              </w:rPr>
              <w:t>202</w:t>
            </w:r>
          </w:p>
        </w:tc>
        <w:tc>
          <w:tcPr>
            <w:tcW w:w="1039" w:type="dxa"/>
            <w:tcBorders>
              <w:top w:val="nil"/>
              <w:left w:val="nil"/>
              <w:bottom w:val="single" w:sz="4" w:space="0" w:color="auto"/>
              <w:right w:val="single" w:sz="4" w:space="0" w:color="auto"/>
            </w:tcBorders>
            <w:shd w:val="clear" w:color="auto" w:fill="auto"/>
            <w:noWrap/>
            <w:tcMar>
              <w:left w:w="0" w:type="dxa"/>
              <w:right w:w="144" w:type="dxa"/>
            </w:tcMar>
            <w:hideMark/>
          </w:tcPr>
          <w:p w14:paraId="22A442FE" w14:textId="38D13879" w:rsidR="00336B3A" w:rsidRPr="00E44C3F" w:rsidRDefault="00336B3A" w:rsidP="00336B3A">
            <w:pPr>
              <w:jc w:val="right"/>
              <w:rPr>
                <w:sz w:val="18"/>
                <w:szCs w:val="18"/>
                <w:lang w:val="en-CA" w:eastAsia="en-CA"/>
              </w:rPr>
            </w:pPr>
            <w:r w:rsidRPr="00E44C3F">
              <w:rPr>
                <w:sz w:val="18"/>
                <w:szCs w:val="18"/>
                <w:lang w:val="en-CA" w:eastAsia="en-CA"/>
              </w:rPr>
              <w:t>630</w:t>
            </w:r>
            <w:r w:rsidR="003762DD">
              <w:rPr>
                <w:sz w:val="18"/>
                <w:szCs w:val="18"/>
                <w:lang w:val="en-CA" w:eastAsia="en-CA"/>
              </w:rPr>
              <w:t> </w:t>
            </w:r>
            <w:r w:rsidRPr="00E44C3F">
              <w:rPr>
                <w:sz w:val="18"/>
                <w:szCs w:val="18"/>
                <w:lang w:val="en-CA" w:eastAsia="en-CA"/>
              </w:rPr>
              <w:t>779</w:t>
            </w:r>
          </w:p>
        </w:tc>
        <w:tc>
          <w:tcPr>
            <w:tcW w:w="1101" w:type="dxa"/>
            <w:tcBorders>
              <w:top w:val="nil"/>
              <w:left w:val="nil"/>
              <w:bottom w:val="single" w:sz="4" w:space="0" w:color="auto"/>
              <w:right w:val="single" w:sz="4" w:space="0" w:color="auto"/>
            </w:tcBorders>
            <w:shd w:val="clear" w:color="auto" w:fill="auto"/>
            <w:noWrap/>
            <w:tcMar>
              <w:left w:w="0" w:type="dxa"/>
              <w:right w:w="144" w:type="dxa"/>
            </w:tcMar>
            <w:hideMark/>
          </w:tcPr>
          <w:p w14:paraId="12AAC40C" w14:textId="77777777" w:rsidR="00336B3A" w:rsidRPr="00E44C3F" w:rsidRDefault="00336B3A" w:rsidP="00F6252F">
            <w:pPr>
              <w:jc w:val="right"/>
              <w:rPr>
                <w:sz w:val="18"/>
                <w:szCs w:val="18"/>
                <w:lang w:val="en-CA" w:eastAsia="en-CA"/>
              </w:rPr>
            </w:pPr>
            <w:r w:rsidRPr="00E44C3F">
              <w:rPr>
                <w:sz w:val="18"/>
                <w:szCs w:val="18"/>
                <w:lang w:val="en-CA" w:eastAsia="en-CA"/>
              </w:rPr>
              <w:t>93</w:t>
            </w:r>
          </w:p>
        </w:tc>
      </w:tr>
      <w:tr w:rsidR="00E44C3F" w:rsidRPr="00E44C3F" w14:paraId="1C128F9D" w14:textId="77777777" w:rsidTr="0093378F">
        <w:trPr>
          <w:trHeight w:val="205"/>
        </w:trPr>
        <w:tc>
          <w:tcPr>
            <w:tcW w:w="1740"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0D550771" w14:textId="6BE399CE" w:rsidR="00336B3A" w:rsidRPr="00311ABF" w:rsidRDefault="00311ABF" w:rsidP="003171CE">
            <w:pPr>
              <w:jc w:val="left"/>
              <w:rPr>
                <w:sz w:val="18"/>
                <w:szCs w:val="18"/>
                <w:lang w:val="en-CA" w:eastAsia="en-CA"/>
              </w:rPr>
            </w:pPr>
            <w:r w:rsidRPr="00311ABF">
              <w:rPr>
                <w:sz w:val="18"/>
                <w:szCs w:val="18"/>
                <w:lang w:val="fr-FR" w:eastAsia="en-CA"/>
              </w:rPr>
              <w:t>Investissement</w:t>
            </w:r>
          </w:p>
        </w:tc>
        <w:tc>
          <w:tcPr>
            <w:tcW w:w="1038" w:type="dxa"/>
            <w:tcBorders>
              <w:top w:val="nil"/>
              <w:left w:val="nil"/>
              <w:bottom w:val="single" w:sz="4" w:space="0" w:color="auto"/>
              <w:right w:val="single" w:sz="4" w:space="0" w:color="auto"/>
            </w:tcBorders>
            <w:shd w:val="clear" w:color="auto" w:fill="auto"/>
            <w:noWrap/>
            <w:tcMar>
              <w:left w:w="0" w:type="dxa"/>
              <w:right w:w="144" w:type="dxa"/>
            </w:tcMar>
            <w:hideMark/>
          </w:tcPr>
          <w:p w14:paraId="120B4163" w14:textId="77777777" w:rsidR="00336B3A" w:rsidRPr="00E44C3F" w:rsidRDefault="00336B3A" w:rsidP="00336B3A">
            <w:pPr>
              <w:jc w:val="right"/>
              <w:rPr>
                <w:sz w:val="18"/>
                <w:szCs w:val="18"/>
                <w:lang w:val="en-CA" w:eastAsia="en-CA"/>
              </w:rPr>
            </w:pPr>
            <w:r w:rsidRPr="00E44C3F">
              <w:rPr>
                <w:sz w:val="18"/>
                <w:szCs w:val="18"/>
                <w:lang w:val="en-CA" w:eastAsia="en-CA"/>
              </w:rPr>
              <w:t>633</w:t>
            </w:r>
          </w:p>
        </w:tc>
        <w:tc>
          <w:tcPr>
            <w:tcW w:w="997" w:type="dxa"/>
            <w:tcBorders>
              <w:top w:val="nil"/>
              <w:left w:val="nil"/>
              <w:bottom w:val="single" w:sz="4" w:space="0" w:color="auto"/>
              <w:right w:val="single" w:sz="4" w:space="0" w:color="auto"/>
            </w:tcBorders>
            <w:shd w:val="clear" w:color="auto" w:fill="auto"/>
            <w:noWrap/>
            <w:tcMar>
              <w:left w:w="0" w:type="dxa"/>
              <w:right w:w="144" w:type="dxa"/>
            </w:tcMar>
            <w:hideMark/>
          </w:tcPr>
          <w:p w14:paraId="54D82371" w14:textId="77777777" w:rsidR="00336B3A" w:rsidRPr="00E44C3F" w:rsidRDefault="00336B3A" w:rsidP="00336B3A">
            <w:pPr>
              <w:jc w:val="right"/>
              <w:rPr>
                <w:sz w:val="18"/>
                <w:szCs w:val="18"/>
                <w:lang w:val="en-CA" w:eastAsia="en-CA"/>
              </w:rPr>
            </w:pPr>
            <w:r w:rsidRPr="00E44C3F">
              <w:rPr>
                <w:sz w:val="18"/>
                <w:szCs w:val="18"/>
                <w:lang w:val="en-CA" w:eastAsia="en-CA"/>
              </w:rPr>
              <w:t>625</w:t>
            </w:r>
          </w:p>
        </w:tc>
        <w:tc>
          <w:tcPr>
            <w:tcW w:w="1144" w:type="dxa"/>
            <w:tcBorders>
              <w:top w:val="nil"/>
              <w:left w:val="nil"/>
              <w:bottom w:val="single" w:sz="4" w:space="0" w:color="auto"/>
              <w:right w:val="single" w:sz="4" w:space="0" w:color="auto"/>
            </w:tcBorders>
            <w:shd w:val="clear" w:color="auto" w:fill="auto"/>
            <w:noWrap/>
            <w:tcMar>
              <w:left w:w="0" w:type="dxa"/>
              <w:right w:w="144" w:type="dxa"/>
            </w:tcMar>
            <w:hideMark/>
          </w:tcPr>
          <w:p w14:paraId="02D493E6" w14:textId="77777777" w:rsidR="00336B3A" w:rsidRPr="00E44C3F" w:rsidRDefault="00336B3A" w:rsidP="00F6252F">
            <w:pPr>
              <w:jc w:val="right"/>
              <w:rPr>
                <w:sz w:val="18"/>
                <w:szCs w:val="18"/>
                <w:lang w:val="en-CA" w:eastAsia="en-CA"/>
              </w:rPr>
            </w:pPr>
            <w:r w:rsidRPr="00E44C3F">
              <w:rPr>
                <w:sz w:val="18"/>
                <w:szCs w:val="18"/>
                <w:lang w:val="en-CA" w:eastAsia="en-CA"/>
              </w:rPr>
              <w:t>99</w:t>
            </w:r>
          </w:p>
        </w:tc>
        <w:tc>
          <w:tcPr>
            <w:tcW w:w="1181" w:type="dxa"/>
            <w:tcBorders>
              <w:top w:val="nil"/>
              <w:left w:val="nil"/>
              <w:bottom w:val="single" w:sz="4" w:space="0" w:color="auto"/>
              <w:right w:val="single" w:sz="4" w:space="0" w:color="auto"/>
            </w:tcBorders>
            <w:shd w:val="clear" w:color="auto" w:fill="auto"/>
            <w:noWrap/>
            <w:tcMar>
              <w:left w:w="0" w:type="dxa"/>
              <w:right w:w="144" w:type="dxa"/>
            </w:tcMar>
            <w:hideMark/>
          </w:tcPr>
          <w:p w14:paraId="303A9CF9" w14:textId="3831AA61" w:rsidR="00336B3A" w:rsidRPr="00E44C3F" w:rsidRDefault="00336B3A" w:rsidP="00336B3A">
            <w:pPr>
              <w:jc w:val="right"/>
              <w:rPr>
                <w:sz w:val="18"/>
                <w:szCs w:val="18"/>
                <w:lang w:val="en-CA" w:eastAsia="en-CA"/>
              </w:rPr>
            </w:pPr>
            <w:r w:rsidRPr="00E44C3F">
              <w:rPr>
                <w:sz w:val="18"/>
                <w:szCs w:val="18"/>
                <w:lang w:val="en-CA" w:eastAsia="en-CA"/>
              </w:rPr>
              <w:t>1</w:t>
            </w:r>
            <w:r w:rsidR="003762DD">
              <w:rPr>
                <w:sz w:val="18"/>
                <w:szCs w:val="18"/>
                <w:lang w:val="en-CA" w:eastAsia="en-CA"/>
              </w:rPr>
              <w:t> </w:t>
            </w:r>
            <w:r w:rsidRPr="00E44C3F">
              <w:rPr>
                <w:sz w:val="18"/>
                <w:szCs w:val="18"/>
                <w:lang w:val="en-CA" w:eastAsia="en-CA"/>
              </w:rPr>
              <w:t>097</w:t>
            </w:r>
            <w:r w:rsidR="003762DD">
              <w:rPr>
                <w:sz w:val="18"/>
                <w:szCs w:val="18"/>
                <w:lang w:val="en-CA" w:eastAsia="en-CA"/>
              </w:rPr>
              <w:t> </w:t>
            </w:r>
            <w:r w:rsidRPr="00E44C3F">
              <w:rPr>
                <w:sz w:val="18"/>
                <w:szCs w:val="18"/>
                <w:lang w:val="en-CA" w:eastAsia="en-CA"/>
              </w:rPr>
              <w:t>208</w:t>
            </w:r>
            <w:r w:rsidR="003762DD">
              <w:rPr>
                <w:sz w:val="18"/>
                <w:szCs w:val="18"/>
                <w:lang w:val="en-CA" w:eastAsia="en-CA"/>
              </w:rPr>
              <w:t> </w:t>
            </w:r>
            <w:r w:rsidRPr="00E44C3F">
              <w:rPr>
                <w:sz w:val="18"/>
                <w:szCs w:val="18"/>
                <w:lang w:val="en-CA" w:eastAsia="en-CA"/>
              </w:rPr>
              <w:t>969</w:t>
            </w:r>
          </w:p>
        </w:tc>
        <w:tc>
          <w:tcPr>
            <w:tcW w:w="1181" w:type="dxa"/>
            <w:tcBorders>
              <w:top w:val="nil"/>
              <w:left w:val="nil"/>
              <w:bottom w:val="single" w:sz="4" w:space="0" w:color="auto"/>
              <w:right w:val="single" w:sz="4" w:space="0" w:color="auto"/>
            </w:tcBorders>
            <w:shd w:val="clear" w:color="auto" w:fill="auto"/>
            <w:noWrap/>
            <w:tcMar>
              <w:left w:w="0" w:type="dxa"/>
              <w:right w:w="144" w:type="dxa"/>
            </w:tcMar>
            <w:hideMark/>
          </w:tcPr>
          <w:p w14:paraId="53A4BBB3" w14:textId="1726CA3D" w:rsidR="00336B3A" w:rsidRPr="00E44C3F" w:rsidRDefault="00336B3A" w:rsidP="00336B3A">
            <w:pPr>
              <w:jc w:val="right"/>
              <w:rPr>
                <w:sz w:val="18"/>
                <w:szCs w:val="18"/>
                <w:lang w:val="en-CA" w:eastAsia="en-CA"/>
              </w:rPr>
            </w:pPr>
            <w:r w:rsidRPr="00E44C3F">
              <w:rPr>
                <w:sz w:val="18"/>
                <w:szCs w:val="18"/>
                <w:lang w:val="en-CA" w:eastAsia="en-CA"/>
              </w:rPr>
              <w:t>1</w:t>
            </w:r>
            <w:r w:rsidR="003762DD">
              <w:rPr>
                <w:sz w:val="18"/>
                <w:szCs w:val="18"/>
                <w:lang w:val="en-CA" w:eastAsia="en-CA"/>
              </w:rPr>
              <w:t> </w:t>
            </w:r>
            <w:r w:rsidRPr="00E44C3F">
              <w:rPr>
                <w:sz w:val="18"/>
                <w:szCs w:val="18"/>
                <w:lang w:val="en-CA" w:eastAsia="en-CA"/>
              </w:rPr>
              <w:t>076</w:t>
            </w:r>
            <w:r w:rsidR="003762DD">
              <w:rPr>
                <w:sz w:val="18"/>
                <w:szCs w:val="18"/>
                <w:lang w:val="en-CA" w:eastAsia="en-CA"/>
              </w:rPr>
              <w:t> </w:t>
            </w:r>
            <w:r w:rsidRPr="00E44C3F">
              <w:rPr>
                <w:sz w:val="18"/>
                <w:szCs w:val="18"/>
                <w:lang w:val="en-CA" w:eastAsia="en-CA"/>
              </w:rPr>
              <w:t>686</w:t>
            </w:r>
            <w:r w:rsidR="003762DD">
              <w:rPr>
                <w:sz w:val="18"/>
                <w:szCs w:val="18"/>
                <w:lang w:val="en-CA" w:eastAsia="en-CA"/>
              </w:rPr>
              <w:t> </w:t>
            </w:r>
            <w:r w:rsidRPr="00E44C3F">
              <w:rPr>
                <w:sz w:val="18"/>
                <w:szCs w:val="18"/>
                <w:lang w:val="en-CA" w:eastAsia="en-CA"/>
              </w:rPr>
              <w:t>134</w:t>
            </w:r>
          </w:p>
        </w:tc>
        <w:tc>
          <w:tcPr>
            <w:tcW w:w="1039" w:type="dxa"/>
            <w:tcBorders>
              <w:top w:val="nil"/>
              <w:left w:val="nil"/>
              <w:bottom w:val="single" w:sz="4" w:space="0" w:color="auto"/>
              <w:right w:val="single" w:sz="4" w:space="0" w:color="auto"/>
            </w:tcBorders>
            <w:shd w:val="clear" w:color="auto" w:fill="auto"/>
            <w:noWrap/>
            <w:tcMar>
              <w:left w:w="0" w:type="dxa"/>
              <w:right w:w="144" w:type="dxa"/>
            </w:tcMar>
            <w:hideMark/>
          </w:tcPr>
          <w:p w14:paraId="71C19831" w14:textId="456126D8" w:rsidR="00336B3A" w:rsidRPr="00E44C3F" w:rsidRDefault="00336B3A" w:rsidP="00336B3A">
            <w:pPr>
              <w:jc w:val="right"/>
              <w:rPr>
                <w:sz w:val="18"/>
                <w:szCs w:val="18"/>
                <w:lang w:val="en-CA" w:eastAsia="en-CA"/>
              </w:rPr>
            </w:pPr>
            <w:r w:rsidRPr="00E44C3F">
              <w:rPr>
                <w:sz w:val="18"/>
                <w:szCs w:val="18"/>
                <w:lang w:val="en-CA" w:eastAsia="en-CA"/>
              </w:rPr>
              <w:t>20</w:t>
            </w:r>
            <w:r w:rsidR="003762DD">
              <w:rPr>
                <w:sz w:val="18"/>
                <w:szCs w:val="18"/>
                <w:lang w:val="en-CA" w:eastAsia="en-CA"/>
              </w:rPr>
              <w:t> </w:t>
            </w:r>
            <w:r w:rsidRPr="00E44C3F">
              <w:rPr>
                <w:sz w:val="18"/>
                <w:szCs w:val="18"/>
                <w:lang w:val="en-CA" w:eastAsia="en-CA"/>
              </w:rPr>
              <w:t>522</w:t>
            </w:r>
            <w:r w:rsidR="003762DD">
              <w:rPr>
                <w:sz w:val="18"/>
                <w:szCs w:val="18"/>
                <w:lang w:val="en-CA" w:eastAsia="en-CA"/>
              </w:rPr>
              <w:t> </w:t>
            </w:r>
            <w:r w:rsidRPr="00E44C3F">
              <w:rPr>
                <w:sz w:val="18"/>
                <w:szCs w:val="18"/>
                <w:lang w:val="en-CA" w:eastAsia="en-CA"/>
              </w:rPr>
              <w:t>836</w:t>
            </w:r>
          </w:p>
        </w:tc>
        <w:tc>
          <w:tcPr>
            <w:tcW w:w="1101" w:type="dxa"/>
            <w:tcBorders>
              <w:top w:val="nil"/>
              <w:left w:val="nil"/>
              <w:bottom w:val="single" w:sz="4" w:space="0" w:color="auto"/>
              <w:right w:val="single" w:sz="4" w:space="0" w:color="auto"/>
            </w:tcBorders>
            <w:shd w:val="clear" w:color="auto" w:fill="auto"/>
            <w:noWrap/>
            <w:tcMar>
              <w:left w:w="0" w:type="dxa"/>
              <w:right w:w="144" w:type="dxa"/>
            </w:tcMar>
            <w:hideMark/>
          </w:tcPr>
          <w:p w14:paraId="2AF88BA9" w14:textId="77777777" w:rsidR="00336B3A" w:rsidRPr="00E44C3F" w:rsidRDefault="00336B3A" w:rsidP="00F6252F">
            <w:pPr>
              <w:jc w:val="right"/>
              <w:rPr>
                <w:sz w:val="18"/>
                <w:szCs w:val="18"/>
                <w:lang w:val="en-CA" w:eastAsia="en-CA"/>
              </w:rPr>
            </w:pPr>
            <w:r w:rsidRPr="00E44C3F">
              <w:rPr>
                <w:sz w:val="18"/>
                <w:szCs w:val="18"/>
                <w:lang w:val="en-CA" w:eastAsia="en-CA"/>
              </w:rPr>
              <w:t>98</w:t>
            </w:r>
          </w:p>
        </w:tc>
      </w:tr>
      <w:tr w:rsidR="00E44C3F" w:rsidRPr="00E44C3F" w14:paraId="6718F05D" w14:textId="77777777" w:rsidTr="0093378F">
        <w:trPr>
          <w:trHeight w:val="205"/>
        </w:trPr>
        <w:tc>
          <w:tcPr>
            <w:tcW w:w="1740"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0F1C3CE0" w14:textId="5CE98D0B" w:rsidR="00336B3A" w:rsidRPr="00311ABF" w:rsidRDefault="00311ABF" w:rsidP="003171CE">
            <w:pPr>
              <w:jc w:val="left"/>
              <w:rPr>
                <w:sz w:val="18"/>
                <w:szCs w:val="18"/>
                <w:lang w:val="en-CA" w:eastAsia="en-CA"/>
              </w:rPr>
            </w:pPr>
            <w:r w:rsidRPr="00311ABF">
              <w:rPr>
                <w:sz w:val="18"/>
                <w:szCs w:val="18"/>
                <w:lang w:val="fr-FR" w:eastAsia="en-CA"/>
              </w:rPr>
              <w:t>Préparation de projet</w:t>
            </w:r>
          </w:p>
        </w:tc>
        <w:tc>
          <w:tcPr>
            <w:tcW w:w="1038" w:type="dxa"/>
            <w:tcBorders>
              <w:top w:val="nil"/>
              <w:left w:val="nil"/>
              <w:bottom w:val="single" w:sz="4" w:space="0" w:color="auto"/>
              <w:right w:val="single" w:sz="4" w:space="0" w:color="auto"/>
            </w:tcBorders>
            <w:shd w:val="clear" w:color="auto" w:fill="auto"/>
            <w:noWrap/>
            <w:tcMar>
              <w:left w:w="0" w:type="dxa"/>
              <w:right w:w="144" w:type="dxa"/>
            </w:tcMar>
            <w:hideMark/>
          </w:tcPr>
          <w:p w14:paraId="495811C0" w14:textId="77777777" w:rsidR="00336B3A" w:rsidRPr="00E44C3F" w:rsidRDefault="00336B3A" w:rsidP="00336B3A">
            <w:pPr>
              <w:jc w:val="right"/>
              <w:rPr>
                <w:sz w:val="18"/>
                <w:szCs w:val="18"/>
                <w:lang w:val="en-CA" w:eastAsia="en-CA"/>
              </w:rPr>
            </w:pPr>
            <w:r w:rsidRPr="00E44C3F">
              <w:rPr>
                <w:sz w:val="18"/>
                <w:szCs w:val="18"/>
                <w:lang w:val="en-CA" w:eastAsia="en-CA"/>
              </w:rPr>
              <w:t>291</w:t>
            </w:r>
          </w:p>
        </w:tc>
        <w:tc>
          <w:tcPr>
            <w:tcW w:w="997" w:type="dxa"/>
            <w:tcBorders>
              <w:top w:val="nil"/>
              <w:left w:val="nil"/>
              <w:bottom w:val="single" w:sz="4" w:space="0" w:color="auto"/>
              <w:right w:val="single" w:sz="4" w:space="0" w:color="auto"/>
            </w:tcBorders>
            <w:shd w:val="clear" w:color="auto" w:fill="auto"/>
            <w:noWrap/>
            <w:tcMar>
              <w:left w:w="0" w:type="dxa"/>
              <w:right w:w="144" w:type="dxa"/>
            </w:tcMar>
            <w:hideMark/>
          </w:tcPr>
          <w:p w14:paraId="52ADCB50" w14:textId="77777777" w:rsidR="00336B3A" w:rsidRPr="00E44C3F" w:rsidRDefault="00336B3A" w:rsidP="00336B3A">
            <w:pPr>
              <w:jc w:val="right"/>
              <w:rPr>
                <w:sz w:val="18"/>
                <w:szCs w:val="18"/>
                <w:lang w:val="en-CA" w:eastAsia="en-CA"/>
              </w:rPr>
            </w:pPr>
            <w:r w:rsidRPr="00E44C3F">
              <w:rPr>
                <w:sz w:val="18"/>
                <w:szCs w:val="18"/>
                <w:lang w:val="en-CA" w:eastAsia="en-CA"/>
              </w:rPr>
              <w:t>291</w:t>
            </w:r>
          </w:p>
        </w:tc>
        <w:tc>
          <w:tcPr>
            <w:tcW w:w="1144" w:type="dxa"/>
            <w:tcBorders>
              <w:top w:val="nil"/>
              <w:left w:val="nil"/>
              <w:bottom w:val="single" w:sz="4" w:space="0" w:color="auto"/>
              <w:right w:val="single" w:sz="4" w:space="0" w:color="auto"/>
            </w:tcBorders>
            <w:shd w:val="clear" w:color="auto" w:fill="auto"/>
            <w:noWrap/>
            <w:tcMar>
              <w:left w:w="0" w:type="dxa"/>
              <w:right w:w="144" w:type="dxa"/>
            </w:tcMar>
            <w:hideMark/>
          </w:tcPr>
          <w:p w14:paraId="705DB0B9" w14:textId="77777777" w:rsidR="00336B3A" w:rsidRPr="00E44C3F" w:rsidRDefault="00336B3A" w:rsidP="00F6252F">
            <w:pPr>
              <w:jc w:val="right"/>
              <w:rPr>
                <w:sz w:val="18"/>
                <w:szCs w:val="18"/>
                <w:lang w:val="en-CA" w:eastAsia="en-CA"/>
              </w:rPr>
            </w:pPr>
            <w:r w:rsidRPr="00E44C3F">
              <w:rPr>
                <w:sz w:val="18"/>
                <w:szCs w:val="18"/>
                <w:lang w:val="en-CA" w:eastAsia="en-CA"/>
              </w:rPr>
              <w:t>100</w:t>
            </w:r>
          </w:p>
        </w:tc>
        <w:tc>
          <w:tcPr>
            <w:tcW w:w="1181" w:type="dxa"/>
            <w:tcBorders>
              <w:top w:val="nil"/>
              <w:left w:val="nil"/>
              <w:bottom w:val="single" w:sz="4" w:space="0" w:color="auto"/>
              <w:right w:val="single" w:sz="4" w:space="0" w:color="auto"/>
            </w:tcBorders>
            <w:shd w:val="clear" w:color="auto" w:fill="auto"/>
            <w:noWrap/>
            <w:tcMar>
              <w:left w:w="0" w:type="dxa"/>
              <w:right w:w="144" w:type="dxa"/>
            </w:tcMar>
            <w:hideMark/>
          </w:tcPr>
          <w:p w14:paraId="5551A24A" w14:textId="505CB38C" w:rsidR="00336B3A" w:rsidRPr="00E44C3F" w:rsidRDefault="00336B3A" w:rsidP="00336B3A">
            <w:pPr>
              <w:jc w:val="right"/>
              <w:rPr>
                <w:sz w:val="18"/>
                <w:szCs w:val="18"/>
                <w:lang w:val="en-CA" w:eastAsia="en-CA"/>
              </w:rPr>
            </w:pPr>
            <w:r w:rsidRPr="00E44C3F">
              <w:rPr>
                <w:sz w:val="18"/>
                <w:szCs w:val="18"/>
                <w:lang w:val="en-CA" w:eastAsia="en-CA"/>
              </w:rPr>
              <w:t>26</w:t>
            </w:r>
            <w:r w:rsidR="003762DD">
              <w:rPr>
                <w:sz w:val="18"/>
                <w:szCs w:val="18"/>
                <w:lang w:val="en-CA" w:eastAsia="en-CA"/>
              </w:rPr>
              <w:t> </w:t>
            </w:r>
            <w:r w:rsidRPr="00E44C3F">
              <w:rPr>
                <w:sz w:val="18"/>
                <w:szCs w:val="18"/>
                <w:lang w:val="en-CA" w:eastAsia="en-CA"/>
              </w:rPr>
              <w:t>623</w:t>
            </w:r>
            <w:r w:rsidR="003762DD">
              <w:rPr>
                <w:sz w:val="18"/>
                <w:szCs w:val="18"/>
                <w:lang w:val="en-CA" w:eastAsia="en-CA"/>
              </w:rPr>
              <w:t> </w:t>
            </w:r>
            <w:r w:rsidRPr="00E44C3F">
              <w:rPr>
                <w:sz w:val="18"/>
                <w:szCs w:val="18"/>
                <w:lang w:val="en-CA" w:eastAsia="en-CA"/>
              </w:rPr>
              <w:t>320</w:t>
            </w:r>
          </w:p>
        </w:tc>
        <w:tc>
          <w:tcPr>
            <w:tcW w:w="1181" w:type="dxa"/>
            <w:tcBorders>
              <w:top w:val="nil"/>
              <w:left w:val="nil"/>
              <w:bottom w:val="single" w:sz="4" w:space="0" w:color="auto"/>
              <w:right w:val="single" w:sz="4" w:space="0" w:color="auto"/>
            </w:tcBorders>
            <w:shd w:val="clear" w:color="auto" w:fill="auto"/>
            <w:noWrap/>
            <w:tcMar>
              <w:left w:w="0" w:type="dxa"/>
              <w:right w:w="144" w:type="dxa"/>
            </w:tcMar>
            <w:hideMark/>
          </w:tcPr>
          <w:p w14:paraId="37CBDF1A" w14:textId="3DCE6CBC" w:rsidR="00336B3A" w:rsidRPr="00E44C3F" w:rsidRDefault="00336B3A" w:rsidP="00336B3A">
            <w:pPr>
              <w:jc w:val="right"/>
              <w:rPr>
                <w:sz w:val="18"/>
                <w:szCs w:val="18"/>
                <w:lang w:val="en-CA" w:eastAsia="en-CA"/>
              </w:rPr>
            </w:pPr>
            <w:r w:rsidRPr="00E44C3F">
              <w:rPr>
                <w:sz w:val="18"/>
                <w:szCs w:val="18"/>
                <w:lang w:val="en-CA" w:eastAsia="en-CA"/>
              </w:rPr>
              <w:t>26</w:t>
            </w:r>
            <w:r w:rsidR="003762DD">
              <w:rPr>
                <w:sz w:val="18"/>
                <w:szCs w:val="18"/>
                <w:lang w:val="en-CA" w:eastAsia="en-CA"/>
              </w:rPr>
              <w:t> </w:t>
            </w:r>
            <w:r w:rsidRPr="00E44C3F">
              <w:rPr>
                <w:sz w:val="18"/>
                <w:szCs w:val="18"/>
                <w:lang w:val="en-CA" w:eastAsia="en-CA"/>
              </w:rPr>
              <w:t>623</w:t>
            </w:r>
            <w:r w:rsidR="003762DD">
              <w:rPr>
                <w:sz w:val="18"/>
                <w:szCs w:val="18"/>
                <w:lang w:val="en-CA" w:eastAsia="en-CA"/>
              </w:rPr>
              <w:t> </w:t>
            </w:r>
            <w:r w:rsidRPr="00E44C3F">
              <w:rPr>
                <w:sz w:val="18"/>
                <w:szCs w:val="18"/>
                <w:lang w:val="en-CA" w:eastAsia="en-CA"/>
              </w:rPr>
              <w:t>320</w:t>
            </w:r>
          </w:p>
        </w:tc>
        <w:tc>
          <w:tcPr>
            <w:tcW w:w="1039" w:type="dxa"/>
            <w:tcBorders>
              <w:top w:val="nil"/>
              <w:left w:val="nil"/>
              <w:bottom w:val="single" w:sz="4" w:space="0" w:color="auto"/>
              <w:right w:val="single" w:sz="4" w:space="0" w:color="auto"/>
            </w:tcBorders>
            <w:shd w:val="clear" w:color="auto" w:fill="auto"/>
            <w:noWrap/>
            <w:tcMar>
              <w:left w:w="0" w:type="dxa"/>
              <w:right w:w="144" w:type="dxa"/>
            </w:tcMar>
            <w:hideMark/>
          </w:tcPr>
          <w:p w14:paraId="233AC9B4" w14:textId="77777777" w:rsidR="00336B3A" w:rsidRPr="00E44C3F" w:rsidRDefault="00336B3A" w:rsidP="00336B3A">
            <w:pPr>
              <w:jc w:val="right"/>
              <w:rPr>
                <w:sz w:val="18"/>
                <w:szCs w:val="18"/>
                <w:lang w:val="en-CA" w:eastAsia="en-CA"/>
              </w:rPr>
            </w:pPr>
            <w:r w:rsidRPr="00E44C3F">
              <w:rPr>
                <w:sz w:val="18"/>
                <w:szCs w:val="18"/>
                <w:lang w:val="en-CA" w:eastAsia="en-CA"/>
              </w:rPr>
              <w:t>0</w:t>
            </w:r>
          </w:p>
        </w:tc>
        <w:tc>
          <w:tcPr>
            <w:tcW w:w="1101" w:type="dxa"/>
            <w:tcBorders>
              <w:top w:val="nil"/>
              <w:left w:val="nil"/>
              <w:bottom w:val="single" w:sz="4" w:space="0" w:color="auto"/>
              <w:right w:val="single" w:sz="4" w:space="0" w:color="auto"/>
            </w:tcBorders>
            <w:shd w:val="clear" w:color="auto" w:fill="auto"/>
            <w:noWrap/>
            <w:tcMar>
              <w:left w:w="0" w:type="dxa"/>
              <w:right w:w="144" w:type="dxa"/>
            </w:tcMar>
            <w:hideMark/>
          </w:tcPr>
          <w:p w14:paraId="2158CF64" w14:textId="77777777" w:rsidR="00336B3A" w:rsidRPr="00E44C3F" w:rsidRDefault="00336B3A" w:rsidP="00F6252F">
            <w:pPr>
              <w:jc w:val="right"/>
              <w:rPr>
                <w:sz w:val="18"/>
                <w:szCs w:val="18"/>
                <w:lang w:val="en-CA" w:eastAsia="en-CA"/>
              </w:rPr>
            </w:pPr>
            <w:r w:rsidRPr="00E44C3F">
              <w:rPr>
                <w:sz w:val="18"/>
                <w:szCs w:val="18"/>
                <w:lang w:val="en-CA" w:eastAsia="en-CA"/>
              </w:rPr>
              <w:t>100</w:t>
            </w:r>
          </w:p>
        </w:tc>
      </w:tr>
      <w:tr w:rsidR="00E44C3F" w:rsidRPr="00E44C3F" w14:paraId="5DB3D541" w14:textId="77777777" w:rsidTr="0093378F">
        <w:trPr>
          <w:trHeight w:val="58"/>
        </w:trPr>
        <w:tc>
          <w:tcPr>
            <w:tcW w:w="1740"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42CA131A" w14:textId="2B6A4868" w:rsidR="00336B3A" w:rsidRPr="00311ABF" w:rsidRDefault="00311ABF" w:rsidP="003171CE">
            <w:pPr>
              <w:jc w:val="left"/>
              <w:rPr>
                <w:sz w:val="18"/>
                <w:szCs w:val="18"/>
                <w:lang w:val="en-CA" w:eastAsia="en-CA"/>
              </w:rPr>
            </w:pPr>
            <w:r w:rsidRPr="00311ABF">
              <w:rPr>
                <w:sz w:val="18"/>
                <w:szCs w:val="18"/>
                <w:lang w:val="fr-FR" w:eastAsia="en-CA"/>
              </w:rPr>
              <w:lastRenderedPageBreak/>
              <w:t>Assistance technique </w:t>
            </w:r>
          </w:p>
        </w:tc>
        <w:tc>
          <w:tcPr>
            <w:tcW w:w="1038" w:type="dxa"/>
            <w:tcBorders>
              <w:top w:val="nil"/>
              <w:left w:val="nil"/>
              <w:bottom w:val="single" w:sz="4" w:space="0" w:color="auto"/>
              <w:right w:val="single" w:sz="4" w:space="0" w:color="auto"/>
            </w:tcBorders>
            <w:shd w:val="clear" w:color="auto" w:fill="auto"/>
            <w:noWrap/>
            <w:tcMar>
              <w:left w:w="0" w:type="dxa"/>
              <w:right w:w="144" w:type="dxa"/>
            </w:tcMar>
            <w:hideMark/>
          </w:tcPr>
          <w:p w14:paraId="5D4B94D3" w14:textId="77777777" w:rsidR="00336B3A" w:rsidRPr="00E44C3F" w:rsidRDefault="00336B3A" w:rsidP="00336B3A">
            <w:pPr>
              <w:jc w:val="right"/>
              <w:rPr>
                <w:sz w:val="18"/>
                <w:szCs w:val="18"/>
                <w:lang w:val="en-CA" w:eastAsia="en-CA"/>
              </w:rPr>
            </w:pPr>
            <w:r w:rsidRPr="00E44C3F">
              <w:rPr>
                <w:sz w:val="18"/>
                <w:szCs w:val="18"/>
                <w:lang w:val="en-CA" w:eastAsia="en-CA"/>
              </w:rPr>
              <w:t>73</w:t>
            </w:r>
          </w:p>
        </w:tc>
        <w:tc>
          <w:tcPr>
            <w:tcW w:w="997" w:type="dxa"/>
            <w:tcBorders>
              <w:top w:val="nil"/>
              <w:left w:val="nil"/>
              <w:bottom w:val="single" w:sz="4" w:space="0" w:color="auto"/>
              <w:right w:val="single" w:sz="4" w:space="0" w:color="auto"/>
            </w:tcBorders>
            <w:shd w:val="clear" w:color="auto" w:fill="auto"/>
            <w:noWrap/>
            <w:tcMar>
              <w:left w:w="0" w:type="dxa"/>
              <w:right w:w="144" w:type="dxa"/>
            </w:tcMar>
            <w:hideMark/>
          </w:tcPr>
          <w:p w14:paraId="37994E53" w14:textId="77777777" w:rsidR="00336B3A" w:rsidRPr="00E44C3F" w:rsidRDefault="00336B3A" w:rsidP="00336B3A">
            <w:pPr>
              <w:jc w:val="right"/>
              <w:rPr>
                <w:sz w:val="18"/>
                <w:szCs w:val="18"/>
                <w:lang w:val="en-CA" w:eastAsia="en-CA"/>
              </w:rPr>
            </w:pPr>
            <w:r w:rsidRPr="00E44C3F">
              <w:rPr>
                <w:sz w:val="18"/>
                <w:szCs w:val="18"/>
                <w:lang w:val="en-CA" w:eastAsia="en-CA"/>
              </w:rPr>
              <w:t>71</w:t>
            </w:r>
          </w:p>
        </w:tc>
        <w:tc>
          <w:tcPr>
            <w:tcW w:w="1144" w:type="dxa"/>
            <w:tcBorders>
              <w:top w:val="nil"/>
              <w:left w:val="nil"/>
              <w:bottom w:val="single" w:sz="4" w:space="0" w:color="auto"/>
              <w:right w:val="single" w:sz="4" w:space="0" w:color="auto"/>
            </w:tcBorders>
            <w:shd w:val="clear" w:color="auto" w:fill="auto"/>
            <w:noWrap/>
            <w:tcMar>
              <w:left w:w="0" w:type="dxa"/>
              <w:right w:w="144" w:type="dxa"/>
            </w:tcMar>
            <w:hideMark/>
          </w:tcPr>
          <w:p w14:paraId="0F5EA0AB" w14:textId="77777777" w:rsidR="00336B3A" w:rsidRPr="00E44C3F" w:rsidRDefault="00336B3A" w:rsidP="00F6252F">
            <w:pPr>
              <w:jc w:val="right"/>
              <w:rPr>
                <w:sz w:val="18"/>
                <w:szCs w:val="18"/>
                <w:lang w:val="en-CA" w:eastAsia="en-CA"/>
              </w:rPr>
            </w:pPr>
            <w:r w:rsidRPr="00E44C3F">
              <w:rPr>
                <w:sz w:val="18"/>
                <w:szCs w:val="18"/>
                <w:lang w:val="en-CA" w:eastAsia="en-CA"/>
              </w:rPr>
              <w:t>97</w:t>
            </w:r>
          </w:p>
        </w:tc>
        <w:tc>
          <w:tcPr>
            <w:tcW w:w="1181" w:type="dxa"/>
            <w:tcBorders>
              <w:top w:val="nil"/>
              <w:left w:val="nil"/>
              <w:bottom w:val="single" w:sz="4" w:space="0" w:color="auto"/>
              <w:right w:val="single" w:sz="4" w:space="0" w:color="auto"/>
            </w:tcBorders>
            <w:shd w:val="clear" w:color="auto" w:fill="auto"/>
            <w:noWrap/>
            <w:tcMar>
              <w:left w:w="0" w:type="dxa"/>
              <w:right w:w="144" w:type="dxa"/>
            </w:tcMar>
            <w:hideMark/>
          </w:tcPr>
          <w:p w14:paraId="3C4683C8" w14:textId="7543CC66" w:rsidR="00336B3A" w:rsidRPr="00E44C3F" w:rsidRDefault="00336B3A" w:rsidP="00336B3A">
            <w:pPr>
              <w:jc w:val="right"/>
              <w:rPr>
                <w:sz w:val="18"/>
                <w:szCs w:val="18"/>
                <w:lang w:val="en-CA" w:eastAsia="en-CA"/>
              </w:rPr>
            </w:pPr>
            <w:r w:rsidRPr="00E44C3F">
              <w:rPr>
                <w:sz w:val="18"/>
                <w:szCs w:val="18"/>
                <w:lang w:val="en-CA" w:eastAsia="en-CA"/>
              </w:rPr>
              <w:t>15</w:t>
            </w:r>
            <w:r w:rsidR="003762DD">
              <w:rPr>
                <w:sz w:val="18"/>
                <w:szCs w:val="18"/>
                <w:lang w:val="en-CA" w:eastAsia="en-CA"/>
              </w:rPr>
              <w:t> </w:t>
            </w:r>
            <w:r w:rsidRPr="00E44C3F">
              <w:rPr>
                <w:sz w:val="18"/>
                <w:szCs w:val="18"/>
                <w:lang w:val="en-CA" w:eastAsia="en-CA"/>
              </w:rPr>
              <w:t>762</w:t>
            </w:r>
            <w:r w:rsidR="003762DD">
              <w:rPr>
                <w:sz w:val="18"/>
                <w:szCs w:val="18"/>
                <w:lang w:val="en-CA" w:eastAsia="en-CA"/>
              </w:rPr>
              <w:t> </w:t>
            </w:r>
            <w:r w:rsidRPr="00E44C3F">
              <w:rPr>
                <w:sz w:val="18"/>
                <w:szCs w:val="18"/>
                <w:lang w:val="en-CA" w:eastAsia="en-CA"/>
              </w:rPr>
              <w:t>020</w:t>
            </w:r>
          </w:p>
        </w:tc>
        <w:tc>
          <w:tcPr>
            <w:tcW w:w="1181" w:type="dxa"/>
            <w:tcBorders>
              <w:top w:val="nil"/>
              <w:left w:val="nil"/>
              <w:bottom w:val="single" w:sz="4" w:space="0" w:color="auto"/>
              <w:right w:val="single" w:sz="4" w:space="0" w:color="auto"/>
            </w:tcBorders>
            <w:shd w:val="clear" w:color="auto" w:fill="auto"/>
            <w:noWrap/>
            <w:tcMar>
              <w:left w:w="0" w:type="dxa"/>
              <w:right w:w="144" w:type="dxa"/>
            </w:tcMar>
            <w:hideMark/>
          </w:tcPr>
          <w:p w14:paraId="783A6A51" w14:textId="4CDAA615" w:rsidR="00336B3A" w:rsidRPr="00E44C3F" w:rsidRDefault="00336B3A" w:rsidP="00336B3A">
            <w:pPr>
              <w:jc w:val="right"/>
              <w:rPr>
                <w:sz w:val="18"/>
                <w:szCs w:val="18"/>
                <w:lang w:val="en-CA" w:eastAsia="en-CA"/>
              </w:rPr>
            </w:pPr>
            <w:r w:rsidRPr="00E44C3F">
              <w:rPr>
                <w:sz w:val="18"/>
                <w:szCs w:val="18"/>
                <w:lang w:val="en-CA" w:eastAsia="en-CA"/>
              </w:rPr>
              <w:t>14</w:t>
            </w:r>
            <w:r w:rsidR="003762DD">
              <w:rPr>
                <w:sz w:val="18"/>
                <w:szCs w:val="18"/>
                <w:lang w:val="en-CA" w:eastAsia="en-CA"/>
              </w:rPr>
              <w:t> </w:t>
            </w:r>
            <w:r w:rsidRPr="00E44C3F">
              <w:rPr>
                <w:sz w:val="18"/>
                <w:szCs w:val="18"/>
                <w:lang w:val="en-CA" w:eastAsia="en-CA"/>
              </w:rPr>
              <w:t>947</w:t>
            </w:r>
            <w:r w:rsidR="003762DD">
              <w:rPr>
                <w:sz w:val="18"/>
                <w:szCs w:val="18"/>
                <w:lang w:val="en-CA" w:eastAsia="en-CA"/>
              </w:rPr>
              <w:t> </w:t>
            </w:r>
            <w:r w:rsidRPr="00E44C3F">
              <w:rPr>
                <w:sz w:val="18"/>
                <w:szCs w:val="18"/>
                <w:lang w:val="en-CA" w:eastAsia="en-CA"/>
              </w:rPr>
              <w:t>550</w:t>
            </w:r>
          </w:p>
        </w:tc>
        <w:tc>
          <w:tcPr>
            <w:tcW w:w="1039" w:type="dxa"/>
            <w:tcBorders>
              <w:top w:val="nil"/>
              <w:left w:val="nil"/>
              <w:bottom w:val="single" w:sz="4" w:space="0" w:color="auto"/>
              <w:right w:val="single" w:sz="4" w:space="0" w:color="auto"/>
            </w:tcBorders>
            <w:shd w:val="clear" w:color="auto" w:fill="auto"/>
            <w:noWrap/>
            <w:tcMar>
              <w:left w:w="0" w:type="dxa"/>
              <w:right w:w="144" w:type="dxa"/>
            </w:tcMar>
            <w:hideMark/>
          </w:tcPr>
          <w:p w14:paraId="740D9D62" w14:textId="7124C22E" w:rsidR="00336B3A" w:rsidRPr="00E44C3F" w:rsidRDefault="00336B3A" w:rsidP="00336B3A">
            <w:pPr>
              <w:jc w:val="right"/>
              <w:rPr>
                <w:sz w:val="18"/>
                <w:szCs w:val="18"/>
                <w:lang w:val="en-CA" w:eastAsia="en-CA"/>
              </w:rPr>
            </w:pPr>
            <w:r w:rsidRPr="00E44C3F">
              <w:rPr>
                <w:sz w:val="18"/>
                <w:szCs w:val="18"/>
                <w:lang w:val="en-CA" w:eastAsia="en-CA"/>
              </w:rPr>
              <w:t>814</w:t>
            </w:r>
            <w:r w:rsidR="003762DD">
              <w:rPr>
                <w:sz w:val="18"/>
                <w:szCs w:val="18"/>
                <w:lang w:val="en-CA" w:eastAsia="en-CA"/>
              </w:rPr>
              <w:t> </w:t>
            </w:r>
            <w:r w:rsidRPr="00E44C3F">
              <w:rPr>
                <w:sz w:val="18"/>
                <w:szCs w:val="18"/>
                <w:lang w:val="en-CA" w:eastAsia="en-CA"/>
              </w:rPr>
              <w:t>470</w:t>
            </w:r>
          </w:p>
        </w:tc>
        <w:tc>
          <w:tcPr>
            <w:tcW w:w="1101" w:type="dxa"/>
            <w:tcBorders>
              <w:top w:val="nil"/>
              <w:left w:val="nil"/>
              <w:bottom w:val="single" w:sz="4" w:space="0" w:color="auto"/>
              <w:right w:val="single" w:sz="4" w:space="0" w:color="auto"/>
            </w:tcBorders>
            <w:shd w:val="clear" w:color="auto" w:fill="auto"/>
            <w:noWrap/>
            <w:tcMar>
              <w:left w:w="0" w:type="dxa"/>
              <w:right w:w="144" w:type="dxa"/>
            </w:tcMar>
            <w:hideMark/>
          </w:tcPr>
          <w:p w14:paraId="495BB176" w14:textId="77777777" w:rsidR="00336B3A" w:rsidRPr="00E44C3F" w:rsidRDefault="00336B3A" w:rsidP="00F6252F">
            <w:pPr>
              <w:jc w:val="right"/>
              <w:rPr>
                <w:sz w:val="18"/>
                <w:szCs w:val="18"/>
                <w:lang w:val="en-CA" w:eastAsia="en-CA"/>
              </w:rPr>
            </w:pPr>
            <w:r w:rsidRPr="00E44C3F">
              <w:rPr>
                <w:sz w:val="18"/>
                <w:szCs w:val="18"/>
                <w:lang w:val="en-CA" w:eastAsia="en-CA"/>
              </w:rPr>
              <w:t>95</w:t>
            </w:r>
          </w:p>
        </w:tc>
      </w:tr>
      <w:tr w:rsidR="00E44C3F" w:rsidRPr="00E44C3F" w14:paraId="22315B34" w14:textId="77777777" w:rsidTr="0093378F">
        <w:trPr>
          <w:trHeight w:val="205"/>
        </w:trPr>
        <w:tc>
          <w:tcPr>
            <w:tcW w:w="1740"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57091333" w14:textId="6DF01596" w:rsidR="00336B3A" w:rsidRPr="00311ABF" w:rsidRDefault="00311ABF" w:rsidP="003171CE">
            <w:pPr>
              <w:jc w:val="left"/>
              <w:rPr>
                <w:sz w:val="18"/>
                <w:szCs w:val="18"/>
                <w:lang w:val="en-CA" w:eastAsia="en-CA"/>
              </w:rPr>
            </w:pPr>
            <w:r w:rsidRPr="00311ABF">
              <w:rPr>
                <w:sz w:val="18"/>
                <w:szCs w:val="18"/>
                <w:lang w:val="fr-FR" w:eastAsia="en-CA"/>
              </w:rPr>
              <w:t>Formation</w:t>
            </w:r>
          </w:p>
        </w:tc>
        <w:tc>
          <w:tcPr>
            <w:tcW w:w="1038" w:type="dxa"/>
            <w:tcBorders>
              <w:top w:val="nil"/>
              <w:left w:val="nil"/>
              <w:bottom w:val="single" w:sz="4" w:space="0" w:color="auto"/>
              <w:right w:val="single" w:sz="4" w:space="0" w:color="auto"/>
            </w:tcBorders>
            <w:shd w:val="clear" w:color="auto" w:fill="auto"/>
            <w:noWrap/>
            <w:tcMar>
              <w:left w:w="0" w:type="dxa"/>
              <w:right w:w="144" w:type="dxa"/>
            </w:tcMar>
            <w:hideMark/>
          </w:tcPr>
          <w:p w14:paraId="12327DA5" w14:textId="77777777" w:rsidR="00336B3A" w:rsidRPr="00E44C3F" w:rsidRDefault="00336B3A" w:rsidP="00336B3A">
            <w:pPr>
              <w:jc w:val="right"/>
              <w:rPr>
                <w:sz w:val="18"/>
                <w:szCs w:val="18"/>
                <w:lang w:val="en-CA" w:eastAsia="en-CA"/>
              </w:rPr>
            </w:pPr>
            <w:r w:rsidRPr="00E44C3F">
              <w:rPr>
                <w:sz w:val="18"/>
                <w:szCs w:val="18"/>
                <w:lang w:val="en-CA" w:eastAsia="en-CA"/>
              </w:rPr>
              <w:t>4</w:t>
            </w:r>
          </w:p>
        </w:tc>
        <w:tc>
          <w:tcPr>
            <w:tcW w:w="997" w:type="dxa"/>
            <w:tcBorders>
              <w:top w:val="nil"/>
              <w:left w:val="nil"/>
              <w:bottom w:val="single" w:sz="4" w:space="0" w:color="auto"/>
              <w:right w:val="single" w:sz="4" w:space="0" w:color="auto"/>
            </w:tcBorders>
            <w:shd w:val="clear" w:color="auto" w:fill="auto"/>
            <w:noWrap/>
            <w:tcMar>
              <w:left w:w="0" w:type="dxa"/>
              <w:right w:w="144" w:type="dxa"/>
            </w:tcMar>
            <w:hideMark/>
          </w:tcPr>
          <w:p w14:paraId="360AEEEB" w14:textId="77777777" w:rsidR="00336B3A" w:rsidRPr="00E44C3F" w:rsidRDefault="00336B3A" w:rsidP="00336B3A">
            <w:pPr>
              <w:jc w:val="right"/>
              <w:rPr>
                <w:sz w:val="18"/>
                <w:szCs w:val="18"/>
                <w:lang w:val="en-CA" w:eastAsia="en-CA"/>
              </w:rPr>
            </w:pPr>
            <w:r w:rsidRPr="00E44C3F">
              <w:rPr>
                <w:sz w:val="18"/>
                <w:szCs w:val="18"/>
                <w:lang w:val="en-CA" w:eastAsia="en-CA"/>
              </w:rPr>
              <w:t>4</w:t>
            </w:r>
          </w:p>
        </w:tc>
        <w:tc>
          <w:tcPr>
            <w:tcW w:w="1144" w:type="dxa"/>
            <w:tcBorders>
              <w:top w:val="nil"/>
              <w:left w:val="nil"/>
              <w:bottom w:val="single" w:sz="4" w:space="0" w:color="auto"/>
              <w:right w:val="single" w:sz="4" w:space="0" w:color="auto"/>
            </w:tcBorders>
            <w:shd w:val="clear" w:color="auto" w:fill="auto"/>
            <w:noWrap/>
            <w:tcMar>
              <w:left w:w="0" w:type="dxa"/>
              <w:right w:w="144" w:type="dxa"/>
            </w:tcMar>
            <w:hideMark/>
          </w:tcPr>
          <w:p w14:paraId="5C7C8E41" w14:textId="77777777" w:rsidR="00336B3A" w:rsidRPr="00E44C3F" w:rsidRDefault="00336B3A" w:rsidP="00F6252F">
            <w:pPr>
              <w:jc w:val="right"/>
              <w:rPr>
                <w:sz w:val="18"/>
                <w:szCs w:val="18"/>
                <w:lang w:val="en-CA" w:eastAsia="en-CA"/>
              </w:rPr>
            </w:pPr>
            <w:r w:rsidRPr="00E44C3F">
              <w:rPr>
                <w:sz w:val="18"/>
                <w:szCs w:val="18"/>
                <w:lang w:val="en-CA" w:eastAsia="en-CA"/>
              </w:rPr>
              <w:t>100</w:t>
            </w:r>
          </w:p>
        </w:tc>
        <w:tc>
          <w:tcPr>
            <w:tcW w:w="1181" w:type="dxa"/>
            <w:tcBorders>
              <w:top w:val="nil"/>
              <w:left w:val="nil"/>
              <w:bottom w:val="single" w:sz="4" w:space="0" w:color="auto"/>
              <w:right w:val="single" w:sz="4" w:space="0" w:color="auto"/>
            </w:tcBorders>
            <w:shd w:val="clear" w:color="auto" w:fill="auto"/>
            <w:noWrap/>
            <w:tcMar>
              <w:left w:w="0" w:type="dxa"/>
              <w:right w:w="144" w:type="dxa"/>
            </w:tcMar>
            <w:hideMark/>
          </w:tcPr>
          <w:p w14:paraId="316A2822" w14:textId="1C74C777" w:rsidR="00336B3A" w:rsidRPr="00E44C3F" w:rsidRDefault="00336B3A" w:rsidP="00336B3A">
            <w:pPr>
              <w:jc w:val="right"/>
              <w:rPr>
                <w:sz w:val="18"/>
                <w:szCs w:val="18"/>
                <w:lang w:val="en-CA" w:eastAsia="en-CA"/>
              </w:rPr>
            </w:pPr>
            <w:r w:rsidRPr="00E44C3F">
              <w:rPr>
                <w:sz w:val="18"/>
                <w:szCs w:val="18"/>
                <w:lang w:val="en-CA" w:eastAsia="en-CA"/>
              </w:rPr>
              <w:t>305</w:t>
            </w:r>
            <w:r w:rsidR="003762DD">
              <w:rPr>
                <w:sz w:val="18"/>
                <w:szCs w:val="18"/>
                <w:lang w:val="en-CA" w:eastAsia="en-CA"/>
              </w:rPr>
              <w:t> </w:t>
            </w:r>
            <w:r w:rsidRPr="00E44C3F">
              <w:rPr>
                <w:sz w:val="18"/>
                <w:szCs w:val="18"/>
                <w:lang w:val="en-CA" w:eastAsia="en-CA"/>
              </w:rPr>
              <w:t>766</w:t>
            </w:r>
          </w:p>
        </w:tc>
        <w:tc>
          <w:tcPr>
            <w:tcW w:w="1181" w:type="dxa"/>
            <w:tcBorders>
              <w:top w:val="nil"/>
              <w:left w:val="nil"/>
              <w:bottom w:val="single" w:sz="4" w:space="0" w:color="auto"/>
              <w:right w:val="single" w:sz="4" w:space="0" w:color="auto"/>
            </w:tcBorders>
            <w:shd w:val="clear" w:color="auto" w:fill="auto"/>
            <w:noWrap/>
            <w:tcMar>
              <w:left w:w="0" w:type="dxa"/>
              <w:right w:w="144" w:type="dxa"/>
            </w:tcMar>
            <w:hideMark/>
          </w:tcPr>
          <w:p w14:paraId="509275FE" w14:textId="05977218" w:rsidR="00336B3A" w:rsidRPr="00E44C3F" w:rsidRDefault="00336B3A" w:rsidP="00336B3A">
            <w:pPr>
              <w:jc w:val="right"/>
              <w:rPr>
                <w:sz w:val="18"/>
                <w:szCs w:val="18"/>
                <w:lang w:val="en-CA" w:eastAsia="en-CA"/>
              </w:rPr>
            </w:pPr>
            <w:r w:rsidRPr="00E44C3F">
              <w:rPr>
                <w:sz w:val="18"/>
                <w:szCs w:val="18"/>
                <w:lang w:val="en-CA" w:eastAsia="en-CA"/>
              </w:rPr>
              <w:t>305</w:t>
            </w:r>
            <w:r w:rsidR="003762DD">
              <w:rPr>
                <w:sz w:val="18"/>
                <w:szCs w:val="18"/>
                <w:lang w:val="en-CA" w:eastAsia="en-CA"/>
              </w:rPr>
              <w:t> </w:t>
            </w:r>
            <w:r w:rsidRPr="00E44C3F">
              <w:rPr>
                <w:sz w:val="18"/>
                <w:szCs w:val="18"/>
                <w:lang w:val="en-CA" w:eastAsia="en-CA"/>
              </w:rPr>
              <w:t>766</w:t>
            </w:r>
          </w:p>
        </w:tc>
        <w:tc>
          <w:tcPr>
            <w:tcW w:w="1039" w:type="dxa"/>
            <w:tcBorders>
              <w:top w:val="nil"/>
              <w:left w:val="nil"/>
              <w:bottom w:val="single" w:sz="4" w:space="0" w:color="auto"/>
              <w:right w:val="single" w:sz="4" w:space="0" w:color="auto"/>
            </w:tcBorders>
            <w:shd w:val="clear" w:color="auto" w:fill="auto"/>
            <w:noWrap/>
            <w:tcMar>
              <w:left w:w="0" w:type="dxa"/>
              <w:right w:w="144" w:type="dxa"/>
            </w:tcMar>
            <w:hideMark/>
          </w:tcPr>
          <w:p w14:paraId="1DC582B8" w14:textId="77777777" w:rsidR="00336B3A" w:rsidRPr="00E44C3F" w:rsidRDefault="00336B3A" w:rsidP="00336B3A">
            <w:pPr>
              <w:jc w:val="right"/>
              <w:rPr>
                <w:sz w:val="18"/>
                <w:szCs w:val="18"/>
                <w:lang w:val="en-CA" w:eastAsia="en-CA"/>
              </w:rPr>
            </w:pPr>
            <w:r w:rsidRPr="00E44C3F">
              <w:rPr>
                <w:sz w:val="18"/>
                <w:szCs w:val="18"/>
                <w:lang w:val="en-CA" w:eastAsia="en-CA"/>
              </w:rPr>
              <w:t>0</w:t>
            </w:r>
          </w:p>
        </w:tc>
        <w:tc>
          <w:tcPr>
            <w:tcW w:w="1101" w:type="dxa"/>
            <w:tcBorders>
              <w:top w:val="nil"/>
              <w:left w:val="nil"/>
              <w:bottom w:val="single" w:sz="4" w:space="0" w:color="auto"/>
              <w:right w:val="single" w:sz="4" w:space="0" w:color="auto"/>
            </w:tcBorders>
            <w:shd w:val="clear" w:color="auto" w:fill="auto"/>
            <w:noWrap/>
            <w:tcMar>
              <w:left w:w="0" w:type="dxa"/>
              <w:right w:w="144" w:type="dxa"/>
            </w:tcMar>
            <w:hideMark/>
          </w:tcPr>
          <w:p w14:paraId="3D348078" w14:textId="77777777" w:rsidR="00336B3A" w:rsidRPr="00E44C3F" w:rsidRDefault="00336B3A" w:rsidP="00F6252F">
            <w:pPr>
              <w:jc w:val="right"/>
              <w:rPr>
                <w:sz w:val="18"/>
                <w:szCs w:val="18"/>
                <w:lang w:val="en-CA" w:eastAsia="en-CA"/>
              </w:rPr>
            </w:pPr>
            <w:r w:rsidRPr="00E44C3F">
              <w:rPr>
                <w:sz w:val="18"/>
                <w:szCs w:val="18"/>
                <w:lang w:val="en-CA" w:eastAsia="en-CA"/>
              </w:rPr>
              <w:t>100</w:t>
            </w:r>
          </w:p>
        </w:tc>
      </w:tr>
      <w:tr w:rsidR="00E44C3F" w:rsidRPr="00E44C3F" w14:paraId="6A13546D" w14:textId="77777777" w:rsidTr="0093378F">
        <w:trPr>
          <w:trHeight w:val="205"/>
        </w:trPr>
        <w:tc>
          <w:tcPr>
            <w:tcW w:w="1740"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5A84AB09" w14:textId="7234A684" w:rsidR="00336B3A" w:rsidRPr="00311ABF" w:rsidRDefault="00311ABF" w:rsidP="003171CE">
            <w:pPr>
              <w:jc w:val="left"/>
              <w:rPr>
                <w:b/>
                <w:bCs/>
                <w:sz w:val="18"/>
                <w:szCs w:val="18"/>
                <w:lang w:val="en-CA" w:eastAsia="en-CA"/>
              </w:rPr>
            </w:pPr>
            <w:r w:rsidRPr="00311ABF">
              <w:rPr>
                <w:b/>
                <w:bCs/>
                <w:sz w:val="18"/>
                <w:szCs w:val="18"/>
                <w:lang w:val="fr-FR" w:eastAsia="en-CA"/>
              </w:rPr>
              <w:t>Total</w:t>
            </w:r>
          </w:p>
        </w:tc>
        <w:tc>
          <w:tcPr>
            <w:tcW w:w="1038" w:type="dxa"/>
            <w:tcBorders>
              <w:top w:val="nil"/>
              <w:left w:val="nil"/>
              <w:bottom w:val="single" w:sz="4" w:space="0" w:color="auto"/>
              <w:right w:val="single" w:sz="4" w:space="0" w:color="auto"/>
            </w:tcBorders>
            <w:shd w:val="clear" w:color="auto" w:fill="auto"/>
            <w:tcMar>
              <w:left w:w="0" w:type="dxa"/>
              <w:right w:w="144" w:type="dxa"/>
            </w:tcMar>
            <w:hideMark/>
          </w:tcPr>
          <w:p w14:paraId="2EA26D9C" w14:textId="1AC52013" w:rsidR="00336B3A" w:rsidRPr="00E44C3F" w:rsidRDefault="00336B3A" w:rsidP="00336B3A">
            <w:pPr>
              <w:jc w:val="right"/>
              <w:rPr>
                <w:b/>
                <w:sz w:val="18"/>
                <w:szCs w:val="18"/>
                <w:lang w:val="en-CA" w:eastAsia="en-CA"/>
              </w:rPr>
            </w:pPr>
            <w:r w:rsidRPr="00E44C3F">
              <w:rPr>
                <w:b/>
                <w:sz w:val="18"/>
                <w:szCs w:val="18"/>
                <w:lang w:val="en-CA" w:eastAsia="en-CA"/>
              </w:rPr>
              <w:t>1</w:t>
            </w:r>
            <w:r w:rsidR="003762DD">
              <w:rPr>
                <w:b/>
                <w:sz w:val="18"/>
                <w:szCs w:val="18"/>
                <w:lang w:val="en-CA" w:eastAsia="en-CA"/>
              </w:rPr>
              <w:t> </w:t>
            </w:r>
            <w:r w:rsidRPr="00E44C3F">
              <w:rPr>
                <w:b/>
                <w:sz w:val="18"/>
                <w:szCs w:val="18"/>
                <w:lang w:val="en-CA" w:eastAsia="en-CA"/>
              </w:rPr>
              <w:t>088</w:t>
            </w:r>
          </w:p>
        </w:tc>
        <w:tc>
          <w:tcPr>
            <w:tcW w:w="997" w:type="dxa"/>
            <w:tcBorders>
              <w:top w:val="nil"/>
              <w:left w:val="nil"/>
              <w:bottom w:val="single" w:sz="4" w:space="0" w:color="auto"/>
              <w:right w:val="single" w:sz="4" w:space="0" w:color="auto"/>
            </w:tcBorders>
            <w:shd w:val="clear" w:color="auto" w:fill="auto"/>
            <w:tcMar>
              <w:left w:w="0" w:type="dxa"/>
              <w:right w:w="144" w:type="dxa"/>
            </w:tcMar>
            <w:hideMark/>
          </w:tcPr>
          <w:p w14:paraId="2853BE62" w14:textId="2CB5ADFD" w:rsidR="00336B3A" w:rsidRPr="00E44C3F" w:rsidRDefault="00336B3A" w:rsidP="00336B3A">
            <w:pPr>
              <w:jc w:val="right"/>
              <w:rPr>
                <w:b/>
                <w:sz w:val="18"/>
                <w:szCs w:val="18"/>
                <w:lang w:val="en-CA" w:eastAsia="en-CA"/>
              </w:rPr>
            </w:pPr>
            <w:r w:rsidRPr="00E44C3F">
              <w:rPr>
                <w:b/>
                <w:sz w:val="18"/>
                <w:szCs w:val="18"/>
                <w:lang w:val="en-CA" w:eastAsia="en-CA"/>
              </w:rPr>
              <w:t>1</w:t>
            </w:r>
            <w:r w:rsidR="003762DD">
              <w:rPr>
                <w:b/>
                <w:sz w:val="18"/>
                <w:szCs w:val="18"/>
                <w:lang w:val="en-CA" w:eastAsia="en-CA"/>
              </w:rPr>
              <w:t> </w:t>
            </w:r>
            <w:r w:rsidRPr="00E44C3F">
              <w:rPr>
                <w:b/>
                <w:sz w:val="18"/>
                <w:szCs w:val="18"/>
                <w:lang w:val="en-CA" w:eastAsia="en-CA"/>
              </w:rPr>
              <w:t>076</w:t>
            </w:r>
          </w:p>
        </w:tc>
        <w:tc>
          <w:tcPr>
            <w:tcW w:w="1144" w:type="dxa"/>
            <w:tcBorders>
              <w:top w:val="nil"/>
              <w:left w:val="nil"/>
              <w:bottom w:val="single" w:sz="4" w:space="0" w:color="auto"/>
              <w:right w:val="single" w:sz="4" w:space="0" w:color="auto"/>
            </w:tcBorders>
            <w:shd w:val="clear" w:color="auto" w:fill="auto"/>
            <w:noWrap/>
            <w:tcMar>
              <w:left w:w="0" w:type="dxa"/>
              <w:right w:w="144" w:type="dxa"/>
            </w:tcMar>
            <w:hideMark/>
          </w:tcPr>
          <w:p w14:paraId="2FBB7EBC" w14:textId="77777777" w:rsidR="00336B3A" w:rsidRPr="00E44C3F" w:rsidRDefault="00336B3A" w:rsidP="00F6252F">
            <w:pPr>
              <w:jc w:val="right"/>
              <w:rPr>
                <w:b/>
                <w:sz w:val="18"/>
                <w:szCs w:val="18"/>
                <w:lang w:val="en-CA" w:eastAsia="en-CA"/>
              </w:rPr>
            </w:pPr>
            <w:r w:rsidRPr="00E44C3F">
              <w:rPr>
                <w:b/>
                <w:sz w:val="18"/>
                <w:szCs w:val="18"/>
                <w:lang w:val="en-CA" w:eastAsia="en-CA"/>
              </w:rPr>
              <w:t>99</w:t>
            </w:r>
          </w:p>
        </w:tc>
        <w:tc>
          <w:tcPr>
            <w:tcW w:w="1181" w:type="dxa"/>
            <w:tcBorders>
              <w:top w:val="nil"/>
              <w:left w:val="nil"/>
              <w:bottom w:val="single" w:sz="4" w:space="0" w:color="auto"/>
              <w:right w:val="single" w:sz="4" w:space="0" w:color="auto"/>
            </w:tcBorders>
            <w:shd w:val="clear" w:color="auto" w:fill="auto"/>
            <w:tcMar>
              <w:left w:w="0" w:type="dxa"/>
              <w:right w:w="144" w:type="dxa"/>
            </w:tcMar>
            <w:hideMark/>
          </w:tcPr>
          <w:p w14:paraId="46F9B090" w14:textId="1C3B5C0F" w:rsidR="00336B3A" w:rsidRPr="00E44C3F" w:rsidRDefault="00336B3A" w:rsidP="00336B3A">
            <w:pPr>
              <w:jc w:val="right"/>
              <w:rPr>
                <w:b/>
                <w:sz w:val="18"/>
                <w:szCs w:val="18"/>
                <w:lang w:val="en-CA" w:eastAsia="en-CA"/>
              </w:rPr>
            </w:pPr>
            <w:r w:rsidRPr="00E44C3F">
              <w:rPr>
                <w:b/>
                <w:sz w:val="18"/>
                <w:szCs w:val="18"/>
                <w:lang w:val="en-CA" w:eastAsia="en-CA"/>
              </w:rPr>
              <w:t>1</w:t>
            </w:r>
            <w:r w:rsidR="003762DD">
              <w:rPr>
                <w:b/>
                <w:sz w:val="18"/>
                <w:szCs w:val="18"/>
                <w:lang w:val="en-CA" w:eastAsia="en-CA"/>
              </w:rPr>
              <w:t> </w:t>
            </w:r>
            <w:r w:rsidRPr="00E44C3F">
              <w:rPr>
                <w:b/>
                <w:sz w:val="18"/>
                <w:szCs w:val="18"/>
                <w:lang w:val="en-CA" w:eastAsia="en-CA"/>
              </w:rPr>
              <w:t>157</w:t>
            </w:r>
            <w:r w:rsidR="003762DD">
              <w:rPr>
                <w:b/>
                <w:sz w:val="18"/>
                <w:szCs w:val="18"/>
                <w:lang w:val="en-CA" w:eastAsia="en-CA"/>
              </w:rPr>
              <w:t> </w:t>
            </w:r>
            <w:r w:rsidRPr="00E44C3F">
              <w:rPr>
                <w:b/>
                <w:sz w:val="18"/>
                <w:szCs w:val="18"/>
                <w:lang w:val="en-CA" w:eastAsia="en-CA"/>
              </w:rPr>
              <w:t>270</w:t>
            </w:r>
            <w:r w:rsidR="003762DD">
              <w:rPr>
                <w:b/>
                <w:sz w:val="18"/>
                <w:szCs w:val="18"/>
                <w:lang w:val="en-CA" w:eastAsia="en-CA"/>
              </w:rPr>
              <w:t> </w:t>
            </w:r>
            <w:r w:rsidRPr="00E44C3F">
              <w:rPr>
                <w:b/>
                <w:sz w:val="18"/>
                <w:szCs w:val="18"/>
                <w:lang w:val="en-CA" w:eastAsia="en-CA"/>
              </w:rPr>
              <w:t>690</w:t>
            </w:r>
          </w:p>
        </w:tc>
        <w:tc>
          <w:tcPr>
            <w:tcW w:w="1181" w:type="dxa"/>
            <w:tcBorders>
              <w:top w:val="nil"/>
              <w:left w:val="nil"/>
              <w:bottom w:val="single" w:sz="4" w:space="0" w:color="auto"/>
              <w:right w:val="single" w:sz="4" w:space="0" w:color="auto"/>
            </w:tcBorders>
            <w:shd w:val="clear" w:color="auto" w:fill="auto"/>
            <w:tcMar>
              <w:left w:w="0" w:type="dxa"/>
              <w:right w:w="144" w:type="dxa"/>
            </w:tcMar>
            <w:hideMark/>
          </w:tcPr>
          <w:p w14:paraId="73F75BFA" w14:textId="17778D42" w:rsidR="00336B3A" w:rsidRPr="00E44C3F" w:rsidRDefault="00336B3A" w:rsidP="00336B3A">
            <w:pPr>
              <w:jc w:val="right"/>
              <w:rPr>
                <w:b/>
                <w:sz w:val="18"/>
                <w:szCs w:val="18"/>
                <w:lang w:val="en-CA" w:eastAsia="en-CA"/>
              </w:rPr>
            </w:pPr>
            <w:r w:rsidRPr="00E44C3F">
              <w:rPr>
                <w:b/>
                <w:sz w:val="18"/>
                <w:szCs w:val="18"/>
                <w:lang w:val="en-CA" w:eastAsia="en-CA"/>
              </w:rPr>
              <w:t>1</w:t>
            </w:r>
            <w:r w:rsidR="003762DD">
              <w:rPr>
                <w:b/>
                <w:sz w:val="18"/>
                <w:szCs w:val="18"/>
                <w:lang w:val="en-CA" w:eastAsia="en-CA"/>
              </w:rPr>
              <w:t> </w:t>
            </w:r>
            <w:r w:rsidRPr="00E44C3F">
              <w:rPr>
                <w:b/>
                <w:sz w:val="18"/>
                <w:szCs w:val="18"/>
                <w:lang w:val="en-CA" w:eastAsia="en-CA"/>
              </w:rPr>
              <w:t>135</w:t>
            </w:r>
            <w:r w:rsidR="003762DD">
              <w:rPr>
                <w:b/>
                <w:sz w:val="18"/>
                <w:szCs w:val="18"/>
                <w:lang w:val="en-CA" w:eastAsia="en-CA"/>
              </w:rPr>
              <w:t> </w:t>
            </w:r>
            <w:r w:rsidRPr="00E44C3F">
              <w:rPr>
                <w:b/>
                <w:sz w:val="18"/>
                <w:szCs w:val="18"/>
                <w:lang w:val="en-CA" w:eastAsia="en-CA"/>
              </w:rPr>
              <w:t>302</w:t>
            </w:r>
            <w:r w:rsidR="003762DD">
              <w:rPr>
                <w:b/>
                <w:sz w:val="18"/>
                <w:szCs w:val="18"/>
                <w:lang w:val="en-CA" w:eastAsia="en-CA"/>
              </w:rPr>
              <w:t> </w:t>
            </w:r>
            <w:r w:rsidRPr="00E44C3F">
              <w:rPr>
                <w:b/>
                <w:sz w:val="18"/>
                <w:szCs w:val="18"/>
                <w:lang w:val="en-CA" w:eastAsia="en-CA"/>
              </w:rPr>
              <w:t>605</w:t>
            </w:r>
          </w:p>
        </w:tc>
        <w:tc>
          <w:tcPr>
            <w:tcW w:w="1039" w:type="dxa"/>
            <w:tcBorders>
              <w:top w:val="nil"/>
              <w:left w:val="nil"/>
              <w:bottom w:val="single" w:sz="4" w:space="0" w:color="auto"/>
              <w:right w:val="single" w:sz="4" w:space="0" w:color="auto"/>
            </w:tcBorders>
            <w:shd w:val="clear" w:color="auto" w:fill="auto"/>
            <w:tcMar>
              <w:left w:w="0" w:type="dxa"/>
              <w:right w:w="144" w:type="dxa"/>
            </w:tcMar>
            <w:hideMark/>
          </w:tcPr>
          <w:p w14:paraId="73907396" w14:textId="61B2D17F" w:rsidR="00336B3A" w:rsidRPr="00E44C3F" w:rsidRDefault="00336B3A" w:rsidP="00336B3A">
            <w:pPr>
              <w:jc w:val="right"/>
              <w:rPr>
                <w:b/>
                <w:sz w:val="18"/>
                <w:szCs w:val="18"/>
                <w:lang w:val="en-CA" w:eastAsia="en-CA"/>
              </w:rPr>
            </w:pPr>
            <w:r w:rsidRPr="00E44C3F">
              <w:rPr>
                <w:b/>
                <w:sz w:val="18"/>
                <w:szCs w:val="18"/>
                <w:lang w:val="en-CA" w:eastAsia="en-CA"/>
              </w:rPr>
              <w:t>21</w:t>
            </w:r>
            <w:r w:rsidR="003762DD">
              <w:rPr>
                <w:b/>
                <w:sz w:val="18"/>
                <w:szCs w:val="18"/>
                <w:lang w:val="en-CA" w:eastAsia="en-CA"/>
              </w:rPr>
              <w:t> </w:t>
            </w:r>
            <w:r w:rsidRPr="00E44C3F">
              <w:rPr>
                <w:b/>
                <w:sz w:val="18"/>
                <w:szCs w:val="18"/>
                <w:lang w:val="en-CA" w:eastAsia="en-CA"/>
              </w:rPr>
              <w:t>968</w:t>
            </w:r>
            <w:r w:rsidR="003762DD">
              <w:rPr>
                <w:b/>
                <w:sz w:val="18"/>
                <w:szCs w:val="18"/>
                <w:lang w:val="en-CA" w:eastAsia="en-CA"/>
              </w:rPr>
              <w:t> </w:t>
            </w:r>
            <w:r w:rsidRPr="00E44C3F">
              <w:rPr>
                <w:b/>
                <w:sz w:val="18"/>
                <w:szCs w:val="18"/>
                <w:lang w:val="en-CA" w:eastAsia="en-CA"/>
              </w:rPr>
              <w:t>085</w:t>
            </w:r>
          </w:p>
        </w:tc>
        <w:tc>
          <w:tcPr>
            <w:tcW w:w="1101" w:type="dxa"/>
            <w:tcBorders>
              <w:top w:val="nil"/>
              <w:left w:val="nil"/>
              <w:bottom w:val="single" w:sz="4" w:space="0" w:color="auto"/>
              <w:right w:val="single" w:sz="4" w:space="0" w:color="auto"/>
            </w:tcBorders>
            <w:shd w:val="clear" w:color="auto" w:fill="auto"/>
            <w:noWrap/>
            <w:tcMar>
              <w:left w:w="0" w:type="dxa"/>
              <w:right w:w="144" w:type="dxa"/>
            </w:tcMar>
            <w:hideMark/>
          </w:tcPr>
          <w:p w14:paraId="07AF45BF" w14:textId="77777777" w:rsidR="00336B3A" w:rsidRPr="00E44C3F" w:rsidRDefault="00336B3A" w:rsidP="00F6252F">
            <w:pPr>
              <w:jc w:val="right"/>
              <w:rPr>
                <w:b/>
                <w:sz w:val="18"/>
                <w:szCs w:val="18"/>
                <w:lang w:val="en-CA" w:eastAsia="en-CA"/>
              </w:rPr>
            </w:pPr>
            <w:r w:rsidRPr="00E44C3F">
              <w:rPr>
                <w:b/>
                <w:sz w:val="18"/>
                <w:szCs w:val="18"/>
                <w:lang w:val="en-CA" w:eastAsia="en-CA"/>
              </w:rPr>
              <w:t>98</w:t>
            </w:r>
          </w:p>
        </w:tc>
      </w:tr>
    </w:tbl>
    <w:p w14:paraId="029AC19A" w14:textId="611EC943" w:rsidR="00E433C6" w:rsidRPr="00C52326" w:rsidRDefault="00311ABF" w:rsidP="00E433C6">
      <w:pPr>
        <w:jc w:val="left"/>
        <w:rPr>
          <w:sz w:val="19"/>
          <w:szCs w:val="19"/>
          <w:lang w:val="fr-CA"/>
        </w:rPr>
      </w:pPr>
      <w:r w:rsidRPr="004D4052">
        <w:rPr>
          <w:sz w:val="19"/>
          <w:szCs w:val="19"/>
          <w:lang w:val="fr-FR"/>
        </w:rPr>
        <w:t>*À l</w:t>
      </w:r>
      <w:r w:rsidR="007B7C04">
        <w:rPr>
          <w:sz w:val="19"/>
          <w:szCs w:val="19"/>
          <w:lang w:val="fr-FR"/>
        </w:rPr>
        <w:t>’</w:t>
      </w:r>
      <w:r w:rsidRPr="004D4052">
        <w:rPr>
          <w:sz w:val="19"/>
          <w:szCs w:val="19"/>
          <w:lang w:val="fr-FR"/>
        </w:rPr>
        <w:t>exclusion des projets clos et transférés.</w:t>
      </w:r>
    </w:p>
    <w:p w14:paraId="0601E8EC" w14:textId="35B9E0A7" w:rsidR="00E433C6" w:rsidRPr="00C52326" w:rsidRDefault="00311ABF" w:rsidP="00E433C6">
      <w:pPr>
        <w:jc w:val="left"/>
        <w:rPr>
          <w:sz w:val="19"/>
          <w:szCs w:val="19"/>
          <w:lang w:val="fr-CA"/>
        </w:rPr>
      </w:pPr>
      <w:r w:rsidRPr="004D4052">
        <w:rPr>
          <w:sz w:val="19"/>
          <w:szCs w:val="19"/>
          <w:lang w:val="fr-FR"/>
        </w:rPr>
        <w:t>** Frais</w:t>
      </w:r>
      <w:r w:rsidR="007B7C04">
        <w:rPr>
          <w:sz w:val="19"/>
          <w:szCs w:val="19"/>
          <w:lang w:val="fr-FR"/>
        </w:rPr>
        <w:t xml:space="preserve"> </w:t>
      </w:r>
      <w:r w:rsidRPr="004D4052">
        <w:rPr>
          <w:sz w:val="19"/>
          <w:szCs w:val="19"/>
          <w:lang w:val="fr-FR"/>
        </w:rPr>
        <w:t>d</w:t>
      </w:r>
      <w:r w:rsidR="007B7C04">
        <w:rPr>
          <w:sz w:val="19"/>
          <w:szCs w:val="19"/>
          <w:lang w:val="fr-FR"/>
        </w:rPr>
        <w:t>’</w:t>
      </w:r>
      <w:r w:rsidRPr="004D4052">
        <w:rPr>
          <w:sz w:val="19"/>
          <w:szCs w:val="19"/>
          <w:lang w:val="fr-FR"/>
        </w:rPr>
        <w:t>appui d</w:t>
      </w:r>
      <w:r w:rsidR="007B7C04">
        <w:rPr>
          <w:sz w:val="19"/>
          <w:szCs w:val="19"/>
          <w:lang w:val="fr-FR"/>
        </w:rPr>
        <w:t>’</w:t>
      </w:r>
      <w:r w:rsidRPr="004D4052">
        <w:rPr>
          <w:sz w:val="19"/>
          <w:szCs w:val="19"/>
          <w:lang w:val="fr-FR"/>
        </w:rPr>
        <w:t>agence non compris.</w:t>
      </w:r>
    </w:p>
    <w:p w14:paraId="12514D27" w14:textId="77777777" w:rsidR="00E433C6" w:rsidRPr="00C52326" w:rsidRDefault="00E433C6" w:rsidP="00E433C6">
      <w:pPr>
        <w:jc w:val="left"/>
        <w:rPr>
          <w:sz w:val="18"/>
          <w:szCs w:val="18"/>
          <w:lang w:val="fr-CA"/>
        </w:rPr>
      </w:pPr>
    </w:p>
    <w:p w14:paraId="4BA7C6C3" w14:textId="63E4EF28" w:rsidR="00311ABF" w:rsidRPr="00C52326" w:rsidRDefault="00311ABF" w:rsidP="00311ABF">
      <w:pPr>
        <w:pStyle w:val="Heading1"/>
        <w:rPr>
          <w:lang w:val="fr-CA"/>
        </w:rPr>
      </w:pPr>
      <w:r w:rsidRPr="00311ABF">
        <w:rPr>
          <w:lang w:val="fr-FR"/>
        </w:rPr>
        <w:t>Le tableau 3 présente une vue d</w:t>
      </w:r>
      <w:r w:rsidR="007B7C04">
        <w:rPr>
          <w:lang w:val="fr-FR"/>
        </w:rPr>
        <w:t>’</w:t>
      </w:r>
      <w:r w:rsidRPr="00311ABF">
        <w:rPr>
          <w:lang w:val="fr-FR"/>
        </w:rPr>
        <w:t>ensemble de l</w:t>
      </w:r>
      <w:r w:rsidR="007B7C04">
        <w:rPr>
          <w:lang w:val="fr-FR"/>
        </w:rPr>
        <w:t>’</w:t>
      </w:r>
      <w:r w:rsidRPr="00311ABF">
        <w:rPr>
          <w:lang w:val="fr-FR"/>
        </w:rPr>
        <w:t>état d</w:t>
      </w:r>
      <w:r w:rsidR="007B7C04">
        <w:rPr>
          <w:lang w:val="fr-FR"/>
        </w:rPr>
        <w:t>’</w:t>
      </w:r>
      <w:r w:rsidRPr="00311ABF">
        <w:rPr>
          <w:lang w:val="fr-FR"/>
        </w:rPr>
        <w:t xml:space="preserve">avancement </w:t>
      </w:r>
      <w:r w:rsidR="003762DD">
        <w:rPr>
          <w:lang w:val="fr-FR"/>
        </w:rPr>
        <w:t xml:space="preserve">de la </w:t>
      </w:r>
      <w:r w:rsidRPr="00311ABF">
        <w:rPr>
          <w:lang w:val="fr-FR"/>
        </w:rPr>
        <w:t>mise en œuvre des projets par année</w:t>
      </w:r>
      <w:r w:rsidRPr="00311ABF">
        <w:rPr>
          <w:rStyle w:val="FootnoteReference"/>
          <w:lang w:val="fr-FR"/>
        </w:rPr>
        <w:footnoteReference w:id="14"/>
      </w:r>
      <w:r w:rsidRPr="00311ABF">
        <w:rPr>
          <w:lang w:val="fr-FR"/>
        </w:rPr>
        <w:t>.</w:t>
      </w:r>
      <w:r w:rsidRPr="00C52326">
        <w:rPr>
          <w:lang w:val="fr-CA"/>
        </w:rPr>
        <w:t xml:space="preserve"> </w:t>
      </w:r>
      <w:r w:rsidRPr="00311ABF">
        <w:rPr>
          <w:lang w:val="fr-FR"/>
        </w:rPr>
        <w:t>Tous les projets et activités approuvés de 1991 à 2015, et en 2017, sont à présent achevés.</w:t>
      </w:r>
      <w:r w:rsidRPr="00C52326">
        <w:rPr>
          <w:lang w:val="fr-CA"/>
        </w:rPr>
        <w:t xml:space="preserve"> </w:t>
      </w:r>
    </w:p>
    <w:p w14:paraId="0D03FA34" w14:textId="480F5828" w:rsidR="00E433C6" w:rsidRPr="00C52326" w:rsidRDefault="00311ABF" w:rsidP="00E433C6">
      <w:pPr>
        <w:suppressAutoHyphens/>
        <w:jc w:val="left"/>
        <w:rPr>
          <w:b/>
          <w:spacing w:val="-3"/>
          <w:lang w:val="fr-CA"/>
        </w:rPr>
      </w:pPr>
      <w:r w:rsidRPr="00311ABF">
        <w:rPr>
          <w:b/>
          <w:spacing w:val="-3"/>
          <w:lang w:val="fr-FR"/>
        </w:rPr>
        <w:t>Tableau 3. État d</w:t>
      </w:r>
      <w:r w:rsidR="007B7C04">
        <w:rPr>
          <w:b/>
          <w:spacing w:val="-3"/>
          <w:lang w:val="fr-FR"/>
        </w:rPr>
        <w:t>’</w:t>
      </w:r>
      <w:r w:rsidRPr="00311ABF">
        <w:rPr>
          <w:b/>
          <w:spacing w:val="-3"/>
          <w:lang w:val="fr-FR"/>
        </w:rPr>
        <w:t>avancement de la mise en œuvre des projets par année</w:t>
      </w:r>
    </w:p>
    <w:tbl>
      <w:tblPr>
        <w:tblW w:w="9360" w:type="dxa"/>
        <w:tblInd w:w="-5" w:type="dxa"/>
        <w:tblLayout w:type="fixed"/>
        <w:tblLook w:val="04A0" w:firstRow="1" w:lastRow="0" w:firstColumn="1" w:lastColumn="0" w:noHBand="0" w:noVBand="1"/>
      </w:tblPr>
      <w:tblGrid>
        <w:gridCol w:w="753"/>
        <w:gridCol w:w="1229"/>
        <w:gridCol w:w="1230"/>
        <w:gridCol w:w="1198"/>
        <w:gridCol w:w="1230"/>
        <w:gridCol w:w="1229"/>
        <w:gridCol w:w="1230"/>
        <w:gridCol w:w="1261"/>
      </w:tblGrid>
      <w:tr w:rsidR="00E44C3F" w:rsidRPr="00E44C3F" w14:paraId="50080C41" w14:textId="77777777" w:rsidTr="003F1975">
        <w:tc>
          <w:tcPr>
            <w:tcW w:w="753" w:type="dxa"/>
            <w:vMerge w:val="restart"/>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6CA24427" w14:textId="370F996D" w:rsidR="006D172A" w:rsidRPr="00311ABF" w:rsidRDefault="00311ABF" w:rsidP="003171CE">
            <w:pPr>
              <w:jc w:val="center"/>
              <w:rPr>
                <w:b/>
                <w:bCs/>
                <w:sz w:val="19"/>
                <w:szCs w:val="19"/>
                <w:lang w:val="en-CA" w:eastAsia="en-CA"/>
              </w:rPr>
            </w:pPr>
            <w:r w:rsidRPr="00311ABF">
              <w:rPr>
                <w:b/>
                <w:bCs/>
                <w:sz w:val="19"/>
                <w:szCs w:val="19"/>
                <w:lang w:val="fr-FR" w:eastAsia="en-CA"/>
              </w:rPr>
              <w:t>Année</w:t>
            </w:r>
          </w:p>
        </w:tc>
        <w:tc>
          <w:tcPr>
            <w:tcW w:w="3657" w:type="dxa"/>
            <w:gridSpan w:val="3"/>
            <w:tcBorders>
              <w:top w:val="single" w:sz="4" w:space="0" w:color="auto"/>
              <w:left w:val="nil"/>
              <w:bottom w:val="single" w:sz="4" w:space="0" w:color="auto"/>
              <w:right w:val="single" w:sz="4" w:space="0" w:color="auto"/>
            </w:tcBorders>
            <w:shd w:val="clear" w:color="auto" w:fill="auto"/>
            <w:noWrap/>
            <w:tcMar>
              <w:left w:w="58" w:type="dxa"/>
              <w:right w:w="58" w:type="dxa"/>
            </w:tcMar>
            <w:vAlign w:val="center"/>
            <w:hideMark/>
          </w:tcPr>
          <w:p w14:paraId="281D6CE7" w14:textId="1D968DE1" w:rsidR="006D172A" w:rsidRPr="00311ABF" w:rsidRDefault="00311ABF" w:rsidP="003171CE">
            <w:pPr>
              <w:jc w:val="center"/>
              <w:rPr>
                <w:b/>
                <w:bCs/>
                <w:sz w:val="19"/>
                <w:szCs w:val="19"/>
                <w:lang w:val="en-CA" w:eastAsia="en-CA"/>
              </w:rPr>
            </w:pPr>
            <w:r w:rsidRPr="00311ABF">
              <w:rPr>
                <w:b/>
                <w:bCs/>
                <w:sz w:val="19"/>
                <w:szCs w:val="19"/>
                <w:lang w:val="fr-FR" w:eastAsia="en-CA"/>
              </w:rPr>
              <w:t>Nombre de</w:t>
            </w:r>
            <w:r w:rsidR="007B7C04">
              <w:rPr>
                <w:b/>
                <w:bCs/>
                <w:sz w:val="19"/>
                <w:szCs w:val="19"/>
                <w:lang w:val="fr-FR" w:eastAsia="en-CA"/>
              </w:rPr>
              <w:t xml:space="preserve"> </w:t>
            </w:r>
            <w:r w:rsidRPr="00311ABF">
              <w:rPr>
                <w:b/>
                <w:bCs/>
                <w:sz w:val="19"/>
                <w:szCs w:val="19"/>
                <w:lang w:val="fr-FR" w:eastAsia="en-CA"/>
              </w:rPr>
              <w:t>projets*</w:t>
            </w:r>
          </w:p>
        </w:tc>
        <w:tc>
          <w:tcPr>
            <w:tcW w:w="4950" w:type="dxa"/>
            <w:gridSpan w:val="4"/>
            <w:tcBorders>
              <w:top w:val="single" w:sz="4" w:space="0" w:color="auto"/>
              <w:left w:val="nil"/>
              <w:bottom w:val="single" w:sz="4" w:space="0" w:color="auto"/>
              <w:right w:val="single" w:sz="4" w:space="0" w:color="auto"/>
            </w:tcBorders>
            <w:shd w:val="clear" w:color="auto" w:fill="auto"/>
            <w:noWrap/>
            <w:tcMar>
              <w:left w:w="58" w:type="dxa"/>
              <w:right w:w="58" w:type="dxa"/>
            </w:tcMar>
            <w:vAlign w:val="center"/>
            <w:hideMark/>
          </w:tcPr>
          <w:p w14:paraId="0BE7A094" w14:textId="1C790D7A" w:rsidR="006D172A" w:rsidRPr="00311ABF" w:rsidRDefault="00311ABF" w:rsidP="003171CE">
            <w:pPr>
              <w:jc w:val="center"/>
              <w:rPr>
                <w:b/>
                <w:bCs/>
                <w:sz w:val="19"/>
                <w:szCs w:val="19"/>
                <w:lang w:val="en-CA" w:eastAsia="en-CA"/>
              </w:rPr>
            </w:pPr>
            <w:r w:rsidRPr="00311ABF">
              <w:rPr>
                <w:b/>
                <w:bCs/>
                <w:sz w:val="19"/>
                <w:szCs w:val="19"/>
                <w:lang w:val="fr-FR" w:eastAsia="en-CA"/>
              </w:rPr>
              <w:t>Financement ($US)</w:t>
            </w:r>
          </w:p>
        </w:tc>
      </w:tr>
      <w:tr w:rsidR="00E44C3F" w:rsidRPr="00E44C3F" w14:paraId="4DF2AC5A" w14:textId="77777777" w:rsidTr="003F1975">
        <w:tc>
          <w:tcPr>
            <w:tcW w:w="753" w:type="dxa"/>
            <w:vMerge/>
            <w:tcBorders>
              <w:top w:val="single" w:sz="4" w:space="0" w:color="auto"/>
              <w:left w:val="single" w:sz="4" w:space="0" w:color="auto"/>
              <w:bottom w:val="single" w:sz="4" w:space="0" w:color="auto"/>
              <w:right w:val="single" w:sz="4" w:space="0" w:color="auto"/>
            </w:tcBorders>
            <w:tcMar>
              <w:left w:w="58" w:type="dxa"/>
              <w:right w:w="58" w:type="dxa"/>
            </w:tcMar>
            <w:vAlign w:val="center"/>
            <w:hideMark/>
          </w:tcPr>
          <w:p w14:paraId="5FCB062F" w14:textId="77777777" w:rsidR="006D172A" w:rsidRPr="00E44C3F" w:rsidRDefault="006D172A" w:rsidP="006D172A">
            <w:pPr>
              <w:jc w:val="left"/>
              <w:rPr>
                <w:b/>
                <w:bCs/>
                <w:sz w:val="19"/>
                <w:szCs w:val="19"/>
                <w:lang w:val="en-CA" w:eastAsia="en-CA"/>
              </w:rPr>
            </w:pP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0AB91A7C" w14:textId="7CC88278" w:rsidR="006D172A" w:rsidRPr="00311ABF" w:rsidRDefault="00311ABF" w:rsidP="003171CE">
            <w:pPr>
              <w:jc w:val="center"/>
              <w:rPr>
                <w:b/>
                <w:bCs/>
                <w:sz w:val="19"/>
                <w:szCs w:val="19"/>
                <w:lang w:val="en-CA" w:eastAsia="en-CA"/>
              </w:rPr>
            </w:pPr>
            <w:r w:rsidRPr="00311ABF">
              <w:rPr>
                <w:b/>
                <w:bCs/>
                <w:sz w:val="19"/>
                <w:szCs w:val="19"/>
                <w:lang w:val="fr-FR" w:eastAsia="en-CA"/>
              </w:rPr>
              <w:t>Approuvé</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7A39BF9D" w14:textId="0AACCC2D" w:rsidR="006D172A" w:rsidRPr="00311ABF" w:rsidRDefault="00311ABF" w:rsidP="003171CE">
            <w:pPr>
              <w:jc w:val="left"/>
              <w:rPr>
                <w:b/>
                <w:bCs/>
                <w:sz w:val="19"/>
                <w:szCs w:val="19"/>
                <w:lang w:val="en-CA" w:eastAsia="en-CA"/>
              </w:rPr>
            </w:pPr>
            <w:r w:rsidRPr="00311ABF">
              <w:rPr>
                <w:b/>
                <w:bCs/>
                <w:sz w:val="19"/>
                <w:szCs w:val="19"/>
                <w:lang w:val="fr-FR" w:eastAsia="en-CA"/>
              </w:rPr>
              <w:t>Achevés</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1478EF8F" w14:textId="7B4AD4D5" w:rsidR="006D172A" w:rsidRPr="00311ABF" w:rsidRDefault="00311ABF" w:rsidP="003171CE">
            <w:pPr>
              <w:ind w:left="-35"/>
              <w:jc w:val="center"/>
              <w:rPr>
                <w:b/>
                <w:bCs/>
                <w:sz w:val="19"/>
                <w:szCs w:val="19"/>
                <w:lang w:val="en-CA" w:eastAsia="en-CA"/>
              </w:rPr>
            </w:pPr>
            <w:r w:rsidRPr="00311ABF">
              <w:rPr>
                <w:b/>
                <w:bCs/>
                <w:sz w:val="19"/>
                <w:szCs w:val="19"/>
                <w:lang w:val="fr-FR" w:eastAsia="en-CA"/>
              </w:rPr>
              <w:t>Achevés (%)</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7E8B0ECC" w14:textId="5B02F6AC" w:rsidR="006D172A" w:rsidRPr="00311ABF" w:rsidRDefault="00311ABF" w:rsidP="003171CE">
            <w:pPr>
              <w:jc w:val="center"/>
              <w:rPr>
                <w:b/>
                <w:bCs/>
                <w:sz w:val="19"/>
                <w:szCs w:val="19"/>
                <w:lang w:val="en-CA" w:eastAsia="en-CA"/>
              </w:rPr>
            </w:pPr>
            <w:r w:rsidRPr="00311ABF">
              <w:rPr>
                <w:b/>
                <w:bCs/>
                <w:sz w:val="19"/>
                <w:szCs w:val="19"/>
                <w:lang w:val="fr-FR" w:eastAsia="en-CA"/>
              </w:rPr>
              <w:t>Approuvé</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37C39DBF" w14:textId="676FFE22" w:rsidR="006D172A" w:rsidRPr="00311ABF" w:rsidRDefault="00311ABF" w:rsidP="003171CE">
            <w:pPr>
              <w:jc w:val="center"/>
              <w:rPr>
                <w:b/>
                <w:bCs/>
                <w:sz w:val="19"/>
                <w:szCs w:val="19"/>
                <w:lang w:val="en-CA" w:eastAsia="en-CA"/>
              </w:rPr>
            </w:pPr>
            <w:r w:rsidRPr="00311ABF">
              <w:rPr>
                <w:b/>
                <w:bCs/>
                <w:sz w:val="19"/>
                <w:szCs w:val="19"/>
                <w:lang w:val="fr-FR" w:eastAsia="en-CA"/>
              </w:rPr>
              <w:t>Décaissé</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6687891E" w14:textId="059717D5" w:rsidR="006D172A" w:rsidRPr="00311ABF" w:rsidRDefault="00311ABF" w:rsidP="003171CE">
            <w:pPr>
              <w:jc w:val="center"/>
              <w:rPr>
                <w:b/>
                <w:bCs/>
                <w:sz w:val="19"/>
                <w:szCs w:val="19"/>
                <w:lang w:val="en-CA" w:eastAsia="en-CA"/>
              </w:rPr>
            </w:pPr>
            <w:r w:rsidRPr="00311ABF">
              <w:rPr>
                <w:b/>
                <w:bCs/>
                <w:sz w:val="19"/>
                <w:szCs w:val="19"/>
                <w:lang w:val="fr-FR" w:eastAsia="en-CA"/>
              </w:rPr>
              <w:t>Solde</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78A430D7" w14:textId="34BD7DD9" w:rsidR="006D172A" w:rsidRPr="00311ABF" w:rsidRDefault="00311ABF" w:rsidP="003171CE">
            <w:pPr>
              <w:jc w:val="center"/>
              <w:rPr>
                <w:b/>
                <w:bCs/>
                <w:sz w:val="19"/>
                <w:szCs w:val="19"/>
                <w:lang w:val="en-CA" w:eastAsia="en-CA"/>
              </w:rPr>
            </w:pPr>
            <w:r w:rsidRPr="00311ABF">
              <w:rPr>
                <w:b/>
                <w:bCs/>
                <w:sz w:val="19"/>
                <w:szCs w:val="19"/>
                <w:lang w:val="fr-FR" w:eastAsia="en-CA"/>
              </w:rPr>
              <w:t>Décaissé (%)</w:t>
            </w:r>
          </w:p>
        </w:tc>
      </w:tr>
      <w:tr w:rsidR="00E44C3F" w:rsidRPr="00E44C3F" w14:paraId="71B6F53D"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71CAE976" w14:textId="77777777" w:rsidR="006D172A" w:rsidRPr="00E44C3F" w:rsidRDefault="006D172A" w:rsidP="006D172A">
            <w:pPr>
              <w:jc w:val="left"/>
              <w:rPr>
                <w:sz w:val="19"/>
                <w:szCs w:val="19"/>
                <w:lang w:val="en-CA" w:eastAsia="en-CA"/>
              </w:rPr>
            </w:pPr>
            <w:r w:rsidRPr="00E44C3F">
              <w:rPr>
                <w:sz w:val="19"/>
                <w:szCs w:val="19"/>
                <w:lang w:val="en-CA" w:eastAsia="en-CA"/>
              </w:rPr>
              <w:t xml:space="preserve">1991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06B3BDF" w14:textId="77777777" w:rsidR="006D172A" w:rsidRPr="00E44C3F" w:rsidRDefault="006D172A" w:rsidP="006D172A">
            <w:pPr>
              <w:jc w:val="right"/>
              <w:rPr>
                <w:sz w:val="19"/>
                <w:szCs w:val="19"/>
                <w:lang w:val="en-CA" w:eastAsia="en-CA"/>
              </w:rPr>
            </w:pPr>
            <w:r w:rsidRPr="00E44C3F">
              <w:rPr>
                <w:sz w:val="19"/>
                <w:szCs w:val="19"/>
                <w:lang w:val="en-CA" w:eastAsia="en-CA"/>
              </w:rPr>
              <w:t>42</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CE491FB" w14:textId="77777777" w:rsidR="006D172A" w:rsidRPr="00E44C3F" w:rsidRDefault="006D172A" w:rsidP="006D172A">
            <w:pPr>
              <w:jc w:val="right"/>
              <w:rPr>
                <w:sz w:val="19"/>
                <w:szCs w:val="19"/>
                <w:lang w:val="en-CA" w:eastAsia="en-CA"/>
              </w:rPr>
            </w:pPr>
            <w:r w:rsidRPr="00E44C3F">
              <w:rPr>
                <w:sz w:val="19"/>
                <w:szCs w:val="19"/>
                <w:lang w:val="en-CA" w:eastAsia="en-CA"/>
              </w:rPr>
              <w:t>42</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7C13E52"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B80BE9B" w14:textId="1CF2DE9D" w:rsidR="006D172A" w:rsidRPr="00E44C3F" w:rsidRDefault="006D172A" w:rsidP="006D172A">
            <w:pPr>
              <w:jc w:val="right"/>
              <w:rPr>
                <w:sz w:val="19"/>
                <w:szCs w:val="19"/>
                <w:lang w:val="en-CA" w:eastAsia="en-CA"/>
              </w:rPr>
            </w:pPr>
            <w:r w:rsidRPr="00E44C3F">
              <w:rPr>
                <w:sz w:val="19"/>
                <w:szCs w:val="19"/>
                <w:lang w:val="en-CA" w:eastAsia="en-CA"/>
              </w:rPr>
              <w:t>5</w:t>
            </w:r>
            <w:r w:rsidR="003762DD">
              <w:rPr>
                <w:sz w:val="19"/>
                <w:szCs w:val="19"/>
                <w:lang w:val="en-CA" w:eastAsia="en-CA"/>
              </w:rPr>
              <w:t> </w:t>
            </w:r>
            <w:r w:rsidRPr="00E44C3F">
              <w:rPr>
                <w:sz w:val="19"/>
                <w:szCs w:val="19"/>
                <w:lang w:val="en-CA" w:eastAsia="en-CA"/>
              </w:rPr>
              <w:t>429</w:t>
            </w:r>
            <w:r w:rsidR="003762DD">
              <w:rPr>
                <w:sz w:val="19"/>
                <w:szCs w:val="19"/>
                <w:lang w:val="en-CA" w:eastAsia="en-CA"/>
              </w:rPr>
              <w:t> </w:t>
            </w:r>
            <w:r w:rsidRPr="00E44C3F">
              <w:rPr>
                <w:sz w:val="19"/>
                <w:szCs w:val="19"/>
                <w:lang w:val="en-CA" w:eastAsia="en-CA"/>
              </w:rPr>
              <w:t>404</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51D32F4" w14:textId="5060AFC3" w:rsidR="006D172A" w:rsidRPr="00E44C3F" w:rsidRDefault="006D172A" w:rsidP="006D172A">
            <w:pPr>
              <w:jc w:val="right"/>
              <w:rPr>
                <w:sz w:val="19"/>
                <w:szCs w:val="19"/>
                <w:lang w:val="en-CA" w:eastAsia="en-CA"/>
              </w:rPr>
            </w:pPr>
            <w:r w:rsidRPr="00E44C3F">
              <w:rPr>
                <w:sz w:val="19"/>
                <w:szCs w:val="19"/>
                <w:lang w:val="en-CA" w:eastAsia="en-CA"/>
              </w:rPr>
              <w:t>5</w:t>
            </w:r>
            <w:r w:rsidR="003762DD">
              <w:rPr>
                <w:sz w:val="19"/>
                <w:szCs w:val="19"/>
                <w:lang w:val="en-CA" w:eastAsia="en-CA"/>
              </w:rPr>
              <w:t> </w:t>
            </w:r>
            <w:r w:rsidRPr="00E44C3F">
              <w:rPr>
                <w:sz w:val="19"/>
                <w:szCs w:val="19"/>
                <w:lang w:val="en-CA" w:eastAsia="en-CA"/>
              </w:rPr>
              <w:t>429</w:t>
            </w:r>
            <w:r w:rsidR="003762DD">
              <w:rPr>
                <w:sz w:val="19"/>
                <w:szCs w:val="19"/>
                <w:lang w:val="en-CA" w:eastAsia="en-CA"/>
              </w:rPr>
              <w:t> </w:t>
            </w:r>
            <w:r w:rsidRPr="00E44C3F">
              <w:rPr>
                <w:sz w:val="19"/>
                <w:szCs w:val="19"/>
                <w:lang w:val="en-CA" w:eastAsia="en-CA"/>
              </w:rPr>
              <w:t>404</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C386AD2"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B66CC43"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5254F518"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12EB0944" w14:textId="77777777" w:rsidR="006D172A" w:rsidRPr="00E44C3F" w:rsidRDefault="006D172A" w:rsidP="006D172A">
            <w:pPr>
              <w:jc w:val="left"/>
              <w:rPr>
                <w:sz w:val="19"/>
                <w:szCs w:val="19"/>
                <w:lang w:val="en-CA" w:eastAsia="en-CA"/>
              </w:rPr>
            </w:pPr>
            <w:r w:rsidRPr="00E44C3F">
              <w:rPr>
                <w:sz w:val="19"/>
                <w:szCs w:val="19"/>
                <w:lang w:val="en-CA" w:eastAsia="en-CA"/>
              </w:rPr>
              <w:t xml:space="preserve">1992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DCF42F4" w14:textId="77777777" w:rsidR="006D172A" w:rsidRPr="00E44C3F" w:rsidRDefault="006D172A" w:rsidP="006D172A">
            <w:pPr>
              <w:jc w:val="right"/>
              <w:rPr>
                <w:sz w:val="19"/>
                <w:szCs w:val="19"/>
                <w:lang w:val="en-CA" w:eastAsia="en-CA"/>
              </w:rPr>
            </w:pPr>
            <w:r w:rsidRPr="00E44C3F">
              <w:rPr>
                <w:sz w:val="19"/>
                <w:szCs w:val="19"/>
                <w:lang w:val="en-CA" w:eastAsia="en-CA"/>
              </w:rPr>
              <w:t>76</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3486EE4" w14:textId="77777777" w:rsidR="006D172A" w:rsidRPr="00E44C3F" w:rsidRDefault="006D172A" w:rsidP="006D172A">
            <w:pPr>
              <w:jc w:val="right"/>
              <w:rPr>
                <w:sz w:val="19"/>
                <w:szCs w:val="19"/>
                <w:lang w:val="en-CA" w:eastAsia="en-CA"/>
              </w:rPr>
            </w:pPr>
            <w:r w:rsidRPr="00E44C3F">
              <w:rPr>
                <w:sz w:val="19"/>
                <w:szCs w:val="19"/>
                <w:lang w:val="en-CA" w:eastAsia="en-CA"/>
              </w:rPr>
              <w:t>76</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CD32261"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ADABF54" w14:textId="3BBF383D" w:rsidR="006D172A" w:rsidRPr="00E44C3F" w:rsidRDefault="006D172A" w:rsidP="006D172A">
            <w:pPr>
              <w:jc w:val="right"/>
              <w:rPr>
                <w:sz w:val="19"/>
                <w:szCs w:val="19"/>
                <w:lang w:val="en-CA" w:eastAsia="en-CA"/>
              </w:rPr>
            </w:pPr>
            <w:r w:rsidRPr="00E44C3F">
              <w:rPr>
                <w:sz w:val="19"/>
                <w:szCs w:val="19"/>
                <w:lang w:val="en-CA" w:eastAsia="en-CA"/>
              </w:rPr>
              <w:t>28</w:t>
            </w:r>
            <w:r w:rsidR="003762DD">
              <w:rPr>
                <w:sz w:val="19"/>
                <w:szCs w:val="19"/>
                <w:lang w:val="en-CA" w:eastAsia="en-CA"/>
              </w:rPr>
              <w:t> </w:t>
            </w:r>
            <w:r w:rsidRPr="00E44C3F">
              <w:rPr>
                <w:sz w:val="19"/>
                <w:szCs w:val="19"/>
                <w:lang w:val="en-CA" w:eastAsia="en-CA"/>
              </w:rPr>
              <w:t>047</w:t>
            </w:r>
            <w:r w:rsidR="003762DD">
              <w:rPr>
                <w:sz w:val="19"/>
                <w:szCs w:val="19"/>
                <w:lang w:val="en-CA" w:eastAsia="en-CA"/>
              </w:rPr>
              <w:t> </w:t>
            </w:r>
            <w:r w:rsidRPr="00E44C3F">
              <w:rPr>
                <w:sz w:val="19"/>
                <w:szCs w:val="19"/>
                <w:lang w:val="en-CA" w:eastAsia="en-CA"/>
              </w:rPr>
              <w:t>705</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4EAB610" w14:textId="5B59DD74" w:rsidR="006D172A" w:rsidRPr="00E44C3F" w:rsidRDefault="006D172A" w:rsidP="006D172A">
            <w:pPr>
              <w:jc w:val="right"/>
              <w:rPr>
                <w:sz w:val="19"/>
                <w:szCs w:val="19"/>
                <w:lang w:val="en-CA" w:eastAsia="en-CA"/>
              </w:rPr>
            </w:pPr>
            <w:r w:rsidRPr="00E44C3F">
              <w:rPr>
                <w:sz w:val="19"/>
                <w:szCs w:val="19"/>
                <w:lang w:val="en-CA" w:eastAsia="en-CA"/>
              </w:rPr>
              <w:t>28</w:t>
            </w:r>
            <w:r w:rsidR="003762DD">
              <w:rPr>
                <w:sz w:val="19"/>
                <w:szCs w:val="19"/>
                <w:lang w:val="en-CA" w:eastAsia="en-CA"/>
              </w:rPr>
              <w:t> </w:t>
            </w:r>
            <w:r w:rsidRPr="00E44C3F">
              <w:rPr>
                <w:sz w:val="19"/>
                <w:szCs w:val="19"/>
                <w:lang w:val="en-CA" w:eastAsia="en-CA"/>
              </w:rPr>
              <w:t>047</w:t>
            </w:r>
            <w:r w:rsidR="003762DD">
              <w:rPr>
                <w:sz w:val="19"/>
                <w:szCs w:val="19"/>
                <w:lang w:val="en-CA" w:eastAsia="en-CA"/>
              </w:rPr>
              <w:t> </w:t>
            </w:r>
            <w:r w:rsidRPr="00E44C3F">
              <w:rPr>
                <w:sz w:val="19"/>
                <w:szCs w:val="19"/>
                <w:lang w:val="en-CA" w:eastAsia="en-CA"/>
              </w:rPr>
              <w:t>705</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B572E4C"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A97F314"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6C99FB03"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204B87B7" w14:textId="77777777" w:rsidR="006D172A" w:rsidRPr="00E44C3F" w:rsidRDefault="006D172A" w:rsidP="006D172A">
            <w:pPr>
              <w:jc w:val="left"/>
              <w:rPr>
                <w:sz w:val="19"/>
                <w:szCs w:val="19"/>
                <w:lang w:val="en-CA" w:eastAsia="en-CA"/>
              </w:rPr>
            </w:pPr>
            <w:r w:rsidRPr="00E44C3F">
              <w:rPr>
                <w:sz w:val="19"/>
                <w:szCs w:val="19"/>
                <w:lang w:val="en-CA" w:eastAsia="en-CA"/>
              </w:rPr>
              <w:t xml:space="preserve">1993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CA243D6" w14:textId="77777777" w:rsidR="006D172A" w:rsidRPr="00E44C3F" w:rsidRDefault="006D172A" w:rsidP="006D172A">
            <w:pPr>
              <w:jc w:val="right"/>
              <w:rPr>
                <w:sz w:val="19"/>
                <w:szCs w:val="19"/>
                <w:lang w:val="en-CA" w:eastAsia="en-CA"/>
              </w:rPr>
            </w:pPr>
            <w:r w:rsidRPr="00E44C3F">
              <w:rPr>
                <w:sz w:val="19"/>
                <w:szCs w:val="19"/>
                <w:lang w:val="en-CA" w:eastAsia="en-CA"/>
              </w:rPr>
              <w:t>79</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8111FBD" w14:textId="77777777" w:rsidR="006D172A" w:rsidRPr="00E44C3F" w:rsidRDefault="006D172A" w:rsidP="006D172A">
            <w:pPr>
              <w:jc w:val="right"/>
              <w:rPr>
                <w:sz w:val="19"/>
                <w:szCs w:val="19"/>
                <w:lang w:val="en-CA" w:eastAsia="en-CA"/>
              </w:rPr>
            </w:pPr>
            <w:r w:rsidRPr="00E44C3F">
              <w:rPr>
                <w:sz w:val="19"/>
                <w:szCs w:val="19"/>
                <w:lang w:val="en-CA" w:eastAsia="en-CA"/>
              </w:rPr>
              <w:t>79</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3FB7BF0"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1CE7DB3" w14:textId="50CC10F2" w:rsidR="006D172A" w:rsidRPr="00E44C3F" w:rsidRDefault="006D172A" w:rsidP="006D172A">
            <w:pPr>
              <w:jc w:val="right"/>
              <w:rPr>
                <w:sz w:val="19"/>
                <w:szCs w:val="19"/>
                <w:lang w:val="en-CA" w:eastAsia="en-CA"/>
              </w:rPr>
            </w:pPr>
            <w:r w:rsidRPr="00E44C3F">
              <w:rPr>
                <w:sz w:val="19"/>
                <w:szCs w:val="19"/>
                <w:lang w:val="en-CA" w:eastAsia="en-CA"/>
              </w:rPr>
              <w:t>42</w:t>
            </w:r>
            <w:r w:rsidR="003762DD">
              <w:rPr>
                <w:sz w:val="19"/>
                <w:szCs w:val="19"/>
                <w:lang w:val="en-CA" w:eastAsia="en-CA"/>
              </w:rPr>
              <w:t> </w:t>
            </w:r>
            <w:r w:rsidRPr="00E44C3F">
              <w:rPr>
                <w:sz w:val="19"/>
                <w:szCs w:val="19"/>
                <w:lang w:val="en-CA" w:eastAsia="en-CA"/>
              </w:rPr>
              <w:t>538</w:t>
            </w:r>
            <w:r w:rsidR="003762DD">
              <w:rPr>
                <w:sz w:val="19"/>
                <w:szCs w:val="19"/>
                <w:lang w:val="en-CA" w:eastAsia="en-CA"/>
              </w:rPr>
              <w:t> </w:t>
            </w:r>
            <w:r w:rsidRPr="00E44C3F">
              <w:rPr>
                <w:sz w:val="19"/>
                <w:szCs w:val="19"/>
                <w:lang w:val="en-CA" w:eastAsia="en-CA"/>
              </w:rPr>
              <w:t>405</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9B9423A" w14:textId="7CEC0A60" w:rsidR="006D172A" w:rsidRPr="00E44C3F" w:rsidRDefault="006D172A" w:rsidP="006D172A">
            <w:pPr>
              <w:jc w:val="right"/>
              <w:rPr>
                <w:sz w:val="19"/>
                <w:szCs w:val="19"/>
                <w:lang w:val="en-CA" w:eastAsia="en-CA"/>
              </w:rPr>
            </w:pPr>
            <w:r w:rsidRPr="00E44C3F">
              <w:rPr>
                <w:sz w:val="19"/>
                <w:szCs w:val="19"/>
                <w:lang w:val="en-CA" w:eastAsia="en-CA"/>
              </w:rPr>
              <w:t>42</w:t>
            </w:r>
            <w:r w:rsidR="003762DD">
              <w:rPr>
                <w:sz w:val="19"/>
                <w:szCs w:val="19"/>
                <w:lang w:val="en-CA" w:eastAsia="en-CA"/>
              </w:rPr>
              <w:t> </w:t>
            </w:r>
            <w:r w:rsidRPr="00E44C3F">
              <w:rPr>
                <w:sz w:val="19"/>
                <w:szCs w:val="19"/>
                <w:lang w:val="en-CA" w:eastAsia="en-CA"/>
              </w:rPr>
              <w:t>538</w:t>
            </w:r>
            <w:r w:rsidR="003762DD">
              <w:rPr>
                <w:sz w:val="19"/>
                <w:szCs w:val="19"/>
                <w:lang w:val="en-CA" w:eastAsia="en-CA"/>
              </w:rPr>
              <w:t> </w:t>
            </w:r>
            <w:r w:rsidRPr="00E44C3F">
              <w:rPr>
                <w:sz w:val="19"/>
                <w:szCs w:val="19"/>
                <w:lang w:val="en-CA" w:eastAsia="en-CA"/>
              </w:rPr>
              <w:t>405</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32E6AD5"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6C55D52"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7FB3762C"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6A3F9554" w14:textId="77777777" w:rsidR="006D172A" w:rsidRPr="00E44C3F" w:rsidRDefault="006D172A" w:rsidP="006D172A">
            <w:pPr>
              <w:jc w:val="left"/>
              <w:rPr>
                <w:sz w:val="19"/>
                <w:szCs w:val="19"/>
                <w:lang w:val="en-CA" w:eastAsia="en-CA"/>
              </w:rPr>
            </w:pPr>
            <w:r w:rsidRPr="00E44C3F">
              <w:rPr>
                <w:sz w:val="19"/>
                <w:szCs w:val="19"/>
                <w:lang w:val="en-CA" w:eastAsia="en-CA"/>
              </w:rPr>
              <w:t xml:space="preserve">1994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4509F71" w14:textId="77777777" w:rsidR="006D172A" w:rsidRPr="00E44C3F" w:rsidRDefault="006D172A" w:rsidP="006D172A">
            <w:pPr>
              <w:jc w:val="right"/>
              <w:rPr>
                <w:sz w:val="19"/>
                <w:szCs w:val="19"/>
                <w:lang w:val="en-CA" w:eastAsia="en-CA"/>
              </w:rPr>
            </w:pPr>
            <w:r w:rsidRPr="00E44C3F">
              <w:rPr>
                <w:sz w:val="19"/>
                <w:szCs w:val="19"/>
                <w:lang w:val="en-CA" w:eastAsia="en-CA"/>
              </w:rPr>
              <w:t>91</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401896B" w14:textId="77777777" w:rsidR="006D172A" w:rsidRPr="00E44C3F" w:rsidRDefault="006D172A" w:rsidP="006D172A">
            <w:pPr>
              <w:jc w:val="right"/>
              <w:rPr>
                <w:sz w:val="19"/>
                <w:szCs w:val="19"/>
                <w:lang w:val="en-CA" w:eastAsia="en-CA"/>
              </w:rPr>
            </w:pPr>
            <w:r w:rsidRPr="00E44C3F">
              <w:rPr>
                <w:sz w:val="19"/>
                <w:szCs w:val="19"/>
                <w:lang w:val="en-CA" w:eastAsia="en-CA"/>
              </w:rPr>
              <w:t>91</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A019FC5"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B5B107F" w14:textId="35CF7553" w:rsidR="006D172A" w:rsidRPr="00E44C3F" w:rsidRDefault="006D172A" w:rsidP="006D172A">
            <w:pPr>
              <w:jc w:val="right"/>
              <w:rPr>
                <w:sz w:val="19"/>
                <w:szCs w:val="19"/>
                <w:lang w:val="en-CA" w:eastAsia="en-CA"/>
              </w:rPr>
            </w:pPr>
            <w:r w:rsidRPr="00E44C3F">
              <w:rPr>
                <w:sz w:val="19"/>
                <w:szCs w:val="19"/>
                <w:lang w:val="en-CA" w:eastAsia="en-CA"/>
              </w:rPr>
              <w:t>41</w:t>
            </w:r>
            <w:r w:rsidR="003762DD">
              <w:rPr>
                <w:sz w:val="19"/>
                <w:szCs w:val="19"/>
                <w:lang w:val="en-CA" w:eastAsia="en-CA"/>
              </w:rPr>
              <w:t> </w:t>
            </w:r>
            <w:r w:rsidRPr="00E44C3F">
              <w:rPr>
                <w:sz w:val="19"/>
                <w:szCs w:val="19"/>
                <w:lang w:val="en-CA" w:eastAsia="en-CA"/>
              </w:rPr>
              <w:t>081</w:t>
            </w:r>
            <w:r w:rsidR="003762DD">
              <w:rPr>
                <w:sz w:val="19"/>
                <w:szCs w:val="19"/>
                <w:lang w:val="en-CA" w:eastAsia="en-CA"/>
              </w:rPr>
              <w:t> </w:t>
            </w:r>
            <w:r w:rsidRPr="00E44C3F">
              <w:rPr>
                <w:sz w:val="19"/>
                <w:szCs w:val="19"/>
                <w:lang w:val="en-CA" w:eastAsia="en-CA"/>
              </w:rPr>
              <w:t>267</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F94C05C" w14:textId="71C6A888" w:rsidR="006D172A" w:rsidRPr="00E44C3F" w:rsidRDefault="006D172A" w:rsidP="006D172A">
            <w:pPr>
              <w:jc w:val="right"/>
              <w:rPr>
                <w:sz w:val="19"/>
                <w:szCs w:val="19"/>
                <w:lang w:val="en-CA" w:eastAsia="en-CA"/>
              </w:rPr>
            </w:pPr>
            <w:r w:rsidRPr="00E44C3F">
              <w:rPr>
                <w:sz w:val="19"/>
                <w:szCs w:val="19"/>
                <w:lang w:val="en-CA" w:eastAsia="en-CA"/>
              </w:rPr>
              <w:t>41</w:t>
            </w:r>
            <w:r w:rsidR="003762DD">
              <w:rPr>
                <w:sz w:val="19"/>
                <w:szCs w:val="19"/>
                <w:lang w:val="en-CA" w:eastAsia="en-CA"/>
              </w:rPr>
              <w:t> </w:t>
            </w:r>
            <w:r w:rsidRPr="00E44C3F">
              <w:rPr>
                <w:sz w:val="19"/>
                <w:szCs w:val="19"/>
                <w:lang w:val="en-CA" w:eastAsia="en-CA"/>
              </w:rPr>
              <w:t>081</w:t>
            </w:r>
            <w:r w:rsidR="003762DD">
              <w:rPr>
                <w:sz w:val="19"/>
                <w:szCs w:val="19"/>
                <w:lang w:val="en-CA" w:eastAsia="en-CA"/>
              </w:rPr>
              <w:t> </w:t>
            </w:r>
            <w:r w:rsidRPr="00E44C3F">
              <w:rPr>
                <w:sz w:val="19"/>
                <w:szCs w:val="19"/>
                <w:lang w:val="en-CA" w:eastAsia="en-CA"/>
              </w:rPr>
              <w:t>267</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8A47CBD"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952271E"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1B84FAD6"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22C972BE" w14:textId="77777777" w:rsidR="006D172A" w:rsidRPr="00E44C3F" w:rsidRDefault="006D172A" w:rsidP="006D172A">
            <w:pPr>
              <w:jc w:val="left"/>
              <w:rPr>
                <w:sz w:val="19"/>
                <w:szCs w:val="19"/>
                <w:lang w:val="en-CA" w:eastAsia="en-CA"/>
              </w:rPr>
            </w:pPr>
            <w:r w:rsidRPr="00E44C3F">
              <w:rPr>
                <w:sz w:val="19"/>
                <w:szCs w:val="19"/>
                <w:lang w:val="en-CA" w:eastAsia="en-CA"/>
              </w:rPr>
              <w:t xml:space="preserve">1995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543A723" w14:textId="77777777" w:rsidR="006D172A" w:rsidRPr="00E44C3F" w:rsidRDefault="006D172A" w:rsidP="006D172A">
            <w:pPr>
              <w:jc w:val="right"/>
              <w:rPr>
                <w:sz w:val="19"/>
                <w:szCs w:val="19"/>
                <w:lang w:val="en-CA" w:eastAsia="en-CA"/>
              </w:rPr>
            </w:pPr>
            <w:r w:rsidRPr="00E44C3F">
              <w:rPr>
                <w:sz w:val="19"/>
                <w:szCs w:val="19"/>
                <w:lang w:val="en-CA" w:eastAsia="en-CA"/>
              </w:rPr>
              <w:t>112</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F6FA176" w14:textId="77777777" w:rsidR="006D172A" w:rsidRPr="00E44C3F" w:rsidRDefault="006D172A" w:rsidP="006D172A">
            <w:pPr>
              <w:jc w:val="right"/>
              <w:rPr>
                <w:sz w:val="19"/>
                <w:szCs w:val="19"/>
                <w:lang w:val="en-CA" w:eastAsia="en-CA"/>
              </w:rPr>
            </w:pPr>
            <w:r w:rsidRPr="00E44C3F">
              <w:rPr>
                <w:sz w:val="19"/>
                <w:szCs w:val="19"/>
                <w:lang w:val="en-CA" w:eastAsia="en-CA"/>
              </w:rPr>
              <w:t>112</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8920B19"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5C0B91D" w14:textId="4FFE03EF" w:rsidR="006D172A" w:rsidRPr="00E44C3F" w:rsidRDefault="006D172A" w:rsidP="006D172A">
            <w:pPr>
              <w:jc w:val="right"/>
              <w:rPr>
                <w:sz w:val="19"/>
                <w:szCs w:val="19"/>
                <w:lang w:val="en-CA" w:eastAsia="en-CA"/>
              </w:rPr>
            </w:pPr>
            <w:r w:rsidRPr="00E44C3F">
              <w:rPr>
                <w:sz w:val="19"/>
                <w:szCs w:val="19"/>
                <w:lang w:val="en-CA" w:eastAsia="en-CA"/>
              </w:rPr>
              <w:t>47</w:t>
            </w:r>
            <w:r w:rsidR="003762DD">
              <w:rPr>
                <w:sz w:val="19"/>
                <w:szCs w:val="19"/>
                <w:lang w:val="en-CA" w:eastAsia="en-CA"/>
              </w:rPr>
              <w:t> </w:t>
            </w:r>
            <w:r w:rsidRPr="00E44C3F">
              <w:rPr>
                <w:sz w:val="19"/>
                <w:szCs w:val="19"/>
                <w:lang w:val="en-CA" w:eastAsia="en-CA"/>
              </w:rPr>
              <w:t>224</w:t>
            </w:r>
            <w:r w:rsidR="003762DD">
              <w:rPr>
                <w:sz w:val="19"/>
                <w:szCs w:val="19"/>
                <w:lang w:val="en-CA" w:eastAsia="en-CA"/>
              </w:rPr>
              <w:t> </w:t>
            </w:r>
            <w:r w:rsidRPr="00E44C3F">
              <w:rPr>
                <w:sz w:val="19"/>
                <w:szCs w:val="19"/>
                <w:lang w:val="en-CA" w:eastAsia="en-CA"/>
              </w:rPr>
              <w:t>186</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D8A711E" w14:textId="7D9ECD6E" w:rsidR="006D172A" w:rsidRPr="00E44C3F" w:rsidRDefault="006D172A" w:rsidP="006D172A">
            <w:pPr>
              <w:jc w:val="right"/>
              <w:rPr>
                <w:sz w:val="19"/>
                <w:szCs w:val="19"/>
                <w:lang w:val="en-CA" w:eastAsia="en-CA"/>
              </w:rPr>
            </w:pPr>
            <w:r w:rsidRPr="00E44C3F">
              <w:rPr>
                <w:sz w:val="19"/>
                <w:szCs w:val="19"/>
                <w:lang w:val="en-CA" w:eastAsia="en-CA"/>
              </w:rPr>
              <w:t>47</w:t>
            </w:r>
            <w:r w:rsidR="003762DD">
              <w:rPr>
                <w:sz w:val="19"/>
                <w:szCs w:val="19"/>
                <w:lang w:val="en-CA" w:eastAsia="en-CA"/>
              </w:rPr>
              <w:t> </w:t>
            </w:r>
            <w:r w:rsidRPr="00E44C3F">
              <w:rPr>
                <w:sz w:val="19"/>
                <w:szCs w:val="19"/>
                <w:lang w:val="en-CA" w:eastAsia="en-CA"/>
              </w:rPr>
              <w:t>224</w:t>
            </w:r>
            <w:r w:rsidR="003762DD">
              <w:rPr>
                <w:sz w:val="19"/>
                <w:szCs w:val="19"/>
                <w:lang w:val="en-CA" w:eastAsia="en-CA"/>
              </w:rPr>
              <w:t> </w:t>
            </w:r>
            <w:r w:rsidRPr="00E44C3F">
              <w:rPr>
                <w:sz w:val="19"/>
                <w:szCs w:val="19"/>
                <w:lang w:val="en-CA" w:eastAsia="en-CA"/>
              </w:rPr>
              <w:t>186</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3224EBD"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6335D09"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20BFBD2D"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5797B20B" w14:textId="77777777" w:rsidR="006D172A" w:rsidRPr="00E44C3F" w:rsidRDefault="006D172A" w:rsidP="006D172A">
            <w:pPr>
              <w:jc w:val="left"/>
              <w:rPr>
                <w:sz w:val="19"/>
                <w:szCs w:val="19"/>
                <w:lang w:val="en-CA" w:eastAsia="en-CA"/>
              </w:rPr>
            </w:pPr>
            <w:r w:rsidRPr="00E44C3F">
              <w:rPr>
                <w:sz w:val="19"/>
                <w:szCs w:val="19"/>
                <w:lang w:val="en-CA" w:eastAsia="en-CA"/>
              </w:rPr>
              <w:t xml:space="preserve">1996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19622B7" w14:textId="77777777" w:rsidR="006D172A" w:rsidRPr="00E44C3F" w:rsidRDefault="006D172A" w:rsidP="006D172A">
            <w:pPr>
              <w:jc w:val="right"/>
              <w:rPr>
                <w:sz w:val="19"/>
                <w:szCs w:val="19"/>
                <w:lang w:val="en-CA" w:eastAsia="en-CA"/>
              </w:rPr>
            </w:pPr>
            <w:r w:rsidRPr="00E44C3F">
              <w:rPr>
                <w:sz w:val="19"/>
                <w:szCs w:val="19"/>
                <w:lang w:val="en-CA" w:eastAsia="en-CA"/>
              </w:rPr>
              <w:t>55</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7BEB4B4" w14:textId="77777777" w:rsidR="006D172A" w:rsidRPr="00E44C3F" w:rsidRDefault="006D172A" w:rsidP="006D172A">
            <w:pPr>
              <w:jc w:val="right"/>
              <w:rPr>
                <w:sz w:val="19"/>
                <w:szCs w:val="19"/>
                <w:lang w:val="en-CA" w:eastAsia="en-CA"/>
              </w:rPr>
            </w:pPr>
            <w:r w:rsidRPr="00E44C3F">
              <w:rPr>
                <w:sz w:val="19"/>
                <w:szCs w:val="19"/>
                <w:lang w:val="en-CA" w:eastAsia="en-CA"/>
              </w:rPr>
              <w:t>55</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A27185C"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8DE5964" w14:textId="613152B3" w:rsidR="006D172A" w:rsidRPr="00E44C3F" w:rsidRDefault="006D172A" w:rsidP="006D172A">
            <w:pPr>
              <w:jc w:val="right"/>
              <w:rPr>
                <w:sz w:val="19"/>
                <w:szCs w:val="19"/>
                <w:lang w:val="en-CA" w:eastAsia="en-CA"/>
              </w:rPr>
            </w:pPr>
            <w:r w:rsidRPr="00E44C3F">
              <w:rPr>
                <w:sz w:val="19"/>
                <w:szCs w:val="19"/>
                <w:lang w:val="en-CA" w:eastAsia="en-CA"/>
              </w:rPr>
              <w:t>29</w:t>
            </w:r>
            <w:r w:rsidR="003762DD">
              <w:rPr>
                <w:sz w:val="19"/>
                <w:szCs w:val="19"/>
                <w:lang w:val="en-CA" w:eastAsia="en-CA"/>
              </w:rPr>
              <w:t> </w:t>
            </w:r>
            <w:r w:rsidRPr="00E44C3F">
              <w:rPr>
                <w:sz w:val="19"/>
                <w:szCs w:val="19"/>
                <w:lang w:val="en-CA" w:eastAsia="en-CA"/>
              </w:rPr>
              <w:t>319</w:t>
            </w:r>
            <w:r w:rsidR="003762DD">
              <w:rPr>
                <w:sz w:val="19"/>
                <w:szCs w:val="19"/>
                <w:lang w:val="en-CA" w:eastAsia="en-CA"/>
              </w:rPr>
              <w:t> </w:t>
            </w:r>
            <w:r w:rsidRPr="00E44C3F">
              <w:rPr>
                <w:sz w:val="19"/>
                <w:szCs w:val="19"/>
                <w:lang w:val="en-CA" w:eastAsia="en-CA"/>
              </w:rPr>
              <w:t>479</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5180E3E" w14:textId="381F64EC" w:rsidR="006D172A" w:rsidRPr="00E44C3F" w:rsidRDefault="006D172A" w:rsidP="006D172A">
            <w:pPr>
              <w:jc w:val="right"/>
              <w:rPr>
                <w:sz w:val="19"/>
                <w:szCs w:val="19"/>
                <w:lang w:val="en-CA" w:eastAsia="en-CA"/>
              </w:rPr>
            </w:pPr>
            <w:r w:rsidRPr="00E44C3F">
              <w:rPr>
                <w:sz w:val="19"/>
                <w:szCs w:val="19"/>
                <w:lang w:val="en-CA" w:eastAsia="en-CA"/>
              </w:rPr>
              <w:t>29</w:t>
            </w:r>
            <w:r w:rsidR="003762DD">
              <w:rPr>
                <w:sz w:val="19"/>
                <w:szCs w:val="19"/>
                <w:lang w:val="en-CA" w:eastAsia="en-CA"/>
              </w:rPr>
              <w:t> </w:t>
            </w:r>
            <w:r w:rsidRPr="00E44C3F">
              <w:rPr>
                <w:sz w:val="19"/>
                <w:szCs w:val="19"/>
                <w:lang w:val="en-CA" w:eastAsia="en-CA"/>
              </w:rPr>
              <w:t>319</w:t>
            </w:r>
            <w:r w:rsidR="003762DD">
              <w:rPr>
                <w:sz w:val="19"/>
                <w:szCs w:val="19"/>
                <w:lang w:val="en-CA" w:eastAsia="en-CA"/>
              </w:rPr>
              <w:t> </w:t>
            </w:r>
            <w:r w:rsidRPr="00E44C3F">
              <w:rPr>
                <w:sz w:val="19"/>
                <w:szCs w:val="19"/>
                <w:lang w:val="en-CA" w:eastAsia="en-CA"/>
              </w:rPr>
              <w:t>479</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6E75437"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39686D6"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6DDB101E"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76C91D5E" w14:textId="77777777" w:rsidR="006D172A" w:rsidRPr="00E44C3F" w:rsidRDefault="006D172A" w:rsidP="006D172A">
            <w:pPr>
              <w:jc w:val="left"/>
              <w:rPr>
                <w:sz w:val="19"/>
                <w:szCs w:val="19"/>
                <w:lang w:val="en-CA" w:eastAsia="en-CA"/>
              </w:rPr>
            </w:pPr>
            <w:r w:rsidRPr="00E44C3F">
              <w:rPr>
                <w:sz w:val="19"/>
                <w:szCs w:val="19"/>
                <w:lang w:val="en-CA" w:eastAsia="en-CA"/>
              </w:rPr>
              <w:t xml:space="preserve">1997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C789DEE" w14:textId="77777777" w:rsidR="006D172A" w:rsidRPr="00E44C3F" w:rsidRDefault="006D172A" w:rsidP="006D172A">
            <w:pPr>
              <w:jc w:val="right"/>
              <w:rPr>
                <w:sz w:val="19"/>
                <w:szCs w:val="19"/>
                <w:lang w:val="en-CA" w:eastAsia="en-CA"/>
              </w:rPr>
            </w:pPr>
            <w:r w:rsidRPr="00E44C3F">
              <w:rPr>
                <w:sz w:val="19"/>
                <w:szCs w:val="19"/>
                <w:lang w:val="en-CA" w:eastAsia="en-CA"/>
              </w:rPr>
              <w:t>95</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A4F73D3" w14:textId="77777777" w:rsidR="006D172A" w:rsidRPr="00E44C3F" w:rsidRDefault="006D172A" w:rsidP="006D172A">
            <w:pPr>
              <w:jc w:val="right"/>
              <w:rPr>
                <w:sz w:val="19"/>
                <w:szCs w:val="19"/>
                <w:lang w:val="en-CA" w:eastAsia="en-CA"/>
              </w:rPr>
            </w:pPr>
            <w:r w:rsidRPr="00E44C3F">
              <w:rPr>
                <w:sz w:val="19"/>
                <w:szCs w:val="19"/>
                <w:lang w:val="en-CA" w:eastAsia="en-CA"/>
              </w:rPr>
              <w:t>95</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51B409E"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18AB481" w14:textId="580337C7" w:rsidR="006D172A" w:rsidRPr="00E44C3F" w:rsidRDefault="006D172A" w:rsidP="006D172A">
            <w:pPr>
              <w:jc w:val="right"/>
              <w:rPr>
                <w:sz w:val="19"/>
                <w:szCs w:val="19"/>
                <w:lang w:val="en-CA" w:eastAsia="en-CA"/>
              </w:rPr>
            </w:pPr>
            <w:r w:rsidRPr="00E44C3F">
              <w:rPr>
                <w:sz w:val="19"/>
                <w:szCs w:val="19"/>
                <w:lang w:val="en-CA" w:eastAsia="en-CA"/>
              </w:rPr>
              <w:t>56</w:t>
            </w:r>
            <w:r w:rsidR="003762DD">
              <w:rPr>
                <w:sz w:val="19"/>
                <w:szCs w:val="19"/>
                <w:lang w:val="en-CA" w:eastAsia="en-CA"/>
              </w:rPr>
              <w:t> </w:t>
            </w:r>
            <w:r w:rsidRPr="00E44C3F">
              <w:rPr>
                <w:sz w:val="19"/>
                <w:szCs w:val="19"/>
                <w:lang w:val="en-CA" w:eastAsia="en-CA"/>
              </w:rPr>
              <w:t>173</w:t>
            </w:r>
            <w:r w:rsidR="003762DD">
              <w:rPr>
                <w:sz w:val="19"/>
                <w:szCs w:val="19"/>
                <w:lang w:val="en-CA" w:eastAsia="en-CA"/>
              </w:rPr>
              <w:t> </w:t>
            </w:r>
            <w:r w:rsidRPr="00E44C3F">
              <w:rPr>
                <w:sz w:val="19"/>
                <w:szCs w:val="19"/>
                <w:lang w:val="en-CA" w:eastAsia="en-CA"/>
              </w:rPr>
              <w:t>102</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13BA129" w14:textId="36D0CF49" w:rsidR="006D172A" w:rsidRPr="00E44C3F" w:rsidRDefault="006D172A" w:rsidP="006D172A">
            <w:pPr>
              <w:jc w:val="right"/>
              <w:rPr>
                <w:sz w:val="19"/>
                <w:szCs w:val="19"/>
                <w:lang w:val="en-CA" w:eastAsia="en-CA"/>
              </w:rPr>
            </w:pPr>
            <w:r w:rsidRPr="00E44C3F">
              <w:rPr>
                <w:sz w:val="19"/>
                <w:szCs w:val="19"/>
                <w:lang w:val="en-CA" w:eastAsia="en-CA"/>
              </w:rPr>
              <w:t>56</w:t>
            </w:r>
            <w:r w:rsidR="003762DD">
              <w:rPr>
                <w:sz w:val="19"/>
                <w:szCs w:val="19"/>
                <w:lang w:val="en-CA" w:eastAsia="en-CA"/>
              </w:rPr>
              <w:t> </w:t>
            </w:r>
            <w:r w:rsidRPr="00E44C3F">
              <w:rPr>
                <w:sz w:val="19"/>
                <w:szCs w:val="19"/>
                <w:lang w:val="en-CA" w:eastAsia="en-CA"/>
              </w:rPr>
              <w:t>173</w:t>
            </w:r>
            <w:r w:rsidR="003762DD">
              <w:rPr>
                <w:sz w:val="19"/>
                <w:szCs w:val="19"/>
                <w:lang w:val="en-CA" w:eastAsia="en-CA"/>
              </w:rPr>
              <w:t> </w:t>
            </w:r>
            <w:r w:rsidRPr="00E44C3F">
              <w:rPr>
                <w:sz w:val="19"/>
                <w:szCs w:val="19"/>
                <w:lang w:val="en-CA" w:eastAsia="en-CA"/>
              </w:rPr>
              <w:t>104</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7A29C1B" w14:textId="77777777" w:rsidR="006D172A" w:rsidRPr="00E44C3F" w:rsidRDefault="006D172A" w:rsidP="006D172A">
            <w:pPr>
              <w:jc w:val="right"/>
              <w:rPr>
                <w:sz w:val="19"/>
                <w:szCs w:val="19"/>
                <w:lang w:val="en-CA" w:eastAsia="en-CA"/>
              </w:rPr>
            </w:pPr>
            <w:r w:rsidRPr="00E44C3F">
              <w:rPr>
                <w:sz w:val="19"/>
                <w:szCs w:val="19"/>
                <w:lang w:val="en-CA" w:eastAsia="en-CA"/>
              </w:rPr>
              <w:t>-2</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44B752D"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0982A6BB"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080647C3" w14:textId="77777777" w:rsidR="006D172A" w:rsidRPr="00E44C3F" w:rsidRDefault="006D172A" w:rsidP="006D172A">
            <w:pPr>
              <w:jc w:val="left"/>
              <w:rPr>
                <w:sz w:val="19"/>
                <w:szCs w:val="19"/>
                <w:lang w:val="en-CA" w:eastAsia="en-CA"/>
              </w:rPr>
            </w:pPr>
            <w:r w:rsidRPr="00E44C3F">
              <w:rPr>
                <w:sz w:val="19"/>
                <w:szCs w:val="19"/>
                <w:lang w:val="en-CA" w:eastAsia="en-CA"/>
              </w:rPr>
              <w:t xml:space="preserve">1998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3FBB6DD" w14:textId="77777777" w:rsidR="006D172A" w:rsidRPr="00E44C3F" w:rsidRDefault="006D172A" w:rsidP="006D172A">
            <w:pPr>
              <w:jc w:val="right"/>
              <w:rPr>
                <w:sz w:val="19"/>
                <w:szCs w:val="19"/>
                <w:lang w:val="en-CA" w:eastAsia="en-CA"/>
              </w:rPr>
            </w:pPr>
            <w:r w:rsidRPr="00E44C3F">
              <w:rPr>
                <w:sz w:val="19"/>
                <w:szCs w:val="19"/>
                <w:lang w:val="en-CA" w:eastAsia="en-CA"/>
              </w:rPr>
              <w:t>59</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AA330E0" w14:textId="77777777" w:rsidR="006D172A" w:rsidRPr="00E44C3F" w:rsidRDefault="006D172A" w:rsidP="006D172A">
            <w:pPr>
              <w:jc w:val="right"/>
              <w:rPr>
                <w:sz w:val="19"/>
                <w:szCs w:val="19"/>
                <w:lang w:val="en-CA" w:eastAsia="en-CA"/>
              </w:rPr>
            </w:pPr>
            <w:r w:rsidRPr="00E44C3F">
              <w:rPr>
                <w:sz w:val="19"/>
                <w:szCs w:val="19"/>
                <w:lang w:val="en-CA" w:eastAsia="en-CA"/>
              </w:rPr>
              <w:t>59</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196CD22"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14836F8" w14:textId="1BD2BE1F" w:rsidR="006D172A" w:rsidRPr="00E44C3F" w:rsidRDefault="006D172A" w:rsidP="006D172A">
            <w:pPr>
              <w:jc w:val="right"/>
              <w:rPr>
                <w:sz w:val="19"/>
                <w:szCs w:val="19"/>
                <w:lang w:val="en-CA" w:eastAsia="en-CA"/>
              </w:rPr>
            </w:pPr>
            <w:r w:rsidRPr="00E44C3F">
              <w:rPr>
                <w:sz w:val="19"/>
                <w:szCs w:val="19"/>
                <w:lang w:val="en-CA" w:eastAsia="en-CA"/>
              </w:rPr>
              <w:t>35</w:t>
            </w:r>
            <w:r w:rsidR="003762DD">
              <w:rPr>
                <w:sz w:val="19"/>
                <w:szCs w:val="19"/>
                <w:lang w:val="en-CA" w:eastAsia="en-CA"/>
              </w:rPr>
              <w:t> </w:t>
            </w:r>
            <w:r w:rsidRPr="00E44C3F">
              <w:rPr>
                <w:sz w:val="19"/>
                <w:szCs w:val="19"/>
                <w:lang w:val="en-CA" w:eastAsia="en-CA"/>
              </w:rPr>
              <w:t>959</w:t>
            </w:r>
            <w:r w:rsidR="003762DD">
              <w:rPr>
                <w:sz w:val="19"/>
                <w:szCs w:val="19"/>
                <w:lang w:val="en-CA" w:eastAsia="en-CA"/>
              </w:rPr>
              <w:t> </w:t>
            </w:r>
            <w:r w:rsidRPr="00E44C3F">
              <w:rPr>
                <w:sz w:val="19"/>
                <w:szCs w:val="19"/>
                <w:lang w:val="en-CA" w:eastAsia="en-CA"/>
              </w:rPr>
              <w:t>418</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A71829E" w14:textId="00EA1934" w:rsidR="006D172A" w:rsidRPr="00E44C3F" w:rsidRDefault="006D172A" w:rsidP="006D172A">
            <w:pPr>
              <w:jc w:val="right"/>
              <w:rPr>
                <w:sz w:val="19"/>
                <w:szCs w:val="19"/>
                <w:lang w:val="en-CA" w:eastAsia="en-CA"/>
              </w:rPr>
            </w:pPr>
            <w:r w:rsidRPr="00E44C3F">
              <w:rPr>
                <w:sz w:val="19"/>
                <w:szCs w:val="19"/>
                <w:lang w:val="en-CA" w:eastAsia="en-CA"/>
              </w:rPr>
              <w:t>35</w:t>
            </w:r>
            <w:r w:rsidR="003762DD">
              <w:rPr>
                <w:sz w:val="19"/>
                <w:szCs w:val="19"/>
                <w:lang w:val="en-CA" w:eastAsia="en-CA"/>
              </w:rPr>
              <w:t> </w:t>
            </w:r>
            <w:r w:rsidRPr="00E44C3F">
              <w:rPr>
                <w:sz w:val="19"/>
                <w:szCs w:val="19"/>
                <w:lang w:val="en-CA" w:eastAsia="en-CA"/>
              </w:rPr>
              <w:t>959</w:t>
            </w:r>
            <w:r w:rsidR="003762DD">
              <w:rPr>
                <w:sz w:val="19"/>
                <w:szCs w:val="19"/>
                <w:lang w:val="en-CA" w:eastAsia="en-CA"/>
              </w:rPr>
              <w:t> </w:t>
            </w:r>
            <w:r w:rsidRPr="00E44C3F">
              <w:rPr>
                <w:sz w:val="19"/>
                <w:szCs w:val="19"/>
                <w:lang w:val="en-CA" w:eastAsia="en-CA"/>
              </w:rPr>
              <w:t>417</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FACA10F" w14:textId="77777777" w:rsidR="006D172A" w:rsidRPr="00E44C3F" w:rsidRDefault="006D172A" w:rsidP="006D172A">
            <w:pPr>
              <w:jc w:val="right"/>
              <w:rPr>
                <w:sz w:val="19"/>
                <w:szCs w:val="19"/>
                <w:lang w:val="en-CA" w:eastAsia="en-CA"/>
              </w:rPr>
            </w:pPr>
            <w:r w:rsidRPr="00E44C3F">
              <w:rPr>
                <w:sz w:val="19"/>
                <w:szCs w:val="19"/>
                <w:lang w:val="en-CA" w:eastAsia="en-CA"/>
              </w:rPr>
              <w:t>1</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CAB7A60"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72939D4C"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74431ABD" w14:textId="77777777" w:rsidR="006D172A" w:rsidRPr="00E44C3F" w:rsidRDefault="006D172A" w:rsidP="006D172A">
            <w:pPr>
              <w:jc w:val="left"/>
              <w:rPr>
                <w:sz w:val="19"/>
                <w:szCs w:val="19"/>
                <w:lang w:val="en-CA" w:eastAsia="en-CA"/>
              </w:rPr>
            </w:pPr>
            <w:r w:rsidRPr="00E44C3F">
              <w:rPr>
                <w:sz w:val="19"/>
                <w:szCs w:val="19"/>
                <w:lang w:val="en-CA" w:eastAsia="en-CA"/>
              </w:rPr>
              <w:t xml:space="preserve">1999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D65B773" w14:textId="77777777" w:rsidR="006D172A" w:rsidRPr="00E44C3F" w:rsidRDefault="006D172A" w:rsidP="006D172A">
            <w:pPr>
              <w:jc w:val="right"/>
              <w:rPr>
                <w:sz w:val="19"/>
                <w:szCs w:val="19"/>
                <w:lang w:val="en-CA" w:eastAsia="en-CA"/>
              </w:rPr>
            </w:pPr>
            <w:r w:rsidRPr="00E44C3F">
              <w:rPr>
                <w:sz w:val="19"/>
                <w:szCs w:val="19"/>
                <w:lang w:val="en-CA" w:eastAsia="en-CA"/>
              </w:rPr>
              <w:t>73</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23B9B1B" w14:textId="77777777" w:rsidR="006D172A" w:rsidRPr="00E44C3F" w:rsidRDefault="006D172A" w:rsidP="006D172A">
            <w:pPr>
              <w:jc w:val="right"/>
              <w:rPr>
                <w:sz w:val="19"/>
                <w:szCs w:val="19"/>
                <w:lang w:val="en-CA" w:eastAsia="en-CA"/>
              </w:rPr>
            </w:pPr>
            <w:r w:rsidRPr="00E44C3F">
              <w:rPr>
                <w:sz w:val="19"/>
                <w:szCs w:val="19"/>
                <w:lang w:val="en-CA" w:eastAsia="en-CA"/>
              </w:rPr>
              <w:t>73</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3BA3CF7"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AC1A79F" w14:textId="2C2E1321" w:rsidR="006D172A" w:rsidRPr="00E44C3F" w:rsidRDefault="006D172A" w:rsidP="006D172A">
            <w:pPr>
              <w:jc w:val="right"/>
              <w:rPr>
                <w:sz w:val="19"/>
                <w:szCs w:val="19"/>
                <w:lang w:val="en-CA" w:eastAsia="en-CA"/>
              </w:rPr>
            </w:pPr>
            <w:r w:rsidRPr="00E44C3F">
              <w:rPr>
                <w:sz w:val="19"/>
                <w:szCs w:val="19"/>
                <w:lang w:val="en-CA" w:eastAsia="en-CA"/>
              </w:rPr>
              <w:t>64</w:t>
            </w:r>
            <w:r w:rsidR="003762DD">
              <w:rPr>
                <w:sz w:val="19"/>
                <w:szCs w:val="19"/>
                <w:lang w:val="en-CA" w:eastAsia="en-CA"/>
              </w:rPr>
              <w:t> </w:t>
            </w:r>
            <w:r w:rsidRPr="00E44C3F">
              <w:rPr>
                <w:sz w:val="19"/>
                <w:szCs w:val="19"/>
                <w:lang w:val="en-CA" w:eastAsia="en-CA"/>
              </w:rPr>
              <w:t>173</w:t>
            </w:r>
            <w:r w:rsidR="003762DD">
              <w:rPr>
                <w:sz w:val="19"/>
                <w:szCs w:val="19"/>
                <w:lang w:val="en-CA" w:eastAsia="en-CA"/>
              </w:rPr>
              <w:t> </w:t>
            </w:r>
            <w:r w:rsidRPr="00E44C3F">
              <w:rPr>
                <w:sz w:val="19"/>
                <w:szCs w:val="19"/>
                <w:lang w:val="en-CA" w:eastAsia="en-CA"/>
              </w:rPr>
              <w:t>138</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2485B12" w14:textId="52CC3C1A" w:rsidR="006D172A" w:rsidRPr="00E44C3F" w:rsidRDefault="006D172A" w:rsidP="006D172A">
            <w:pPr>
              <w:jc w:val="right"/>
              <w:rPr>
                <w:sz w:val="19"/>
                <w:szCs w:val="19"/>
                <w:lang w:val="en-CA" w:eastAsia="en-CA"/>
              </w:rPr>
            </w:pPr>
            <w:r w:rsidRPr="00E44C3F">
              <w:rPr>
                <w:sz w:val="19"/>
                <w:szCs w:val="19"/>
                <w:lang w:val="en-CA" w:eastAsia="en-CA"/>
              </w:rPr>
              <w:t>64</w:t>
            </w:r>
            <w:r w:rsidR="003762DD">
              <w:rPr>
                <w:sz w:val="19"/>
                <w:szCs w:val="19"/>
                <w:lang w:val="en-CA" w:eastAsia="en-CA"/>
              </w:rPr>
              <w:t> </w:t>
            </w:r>
            <w:r w:rsidRPr="00E44C3F">
              <w:rPr>
                <w:sz w:val="19"/>
                <w:szCs w:val="19"/>
                <w:lang w:val="en-CA" w:eastAsia="en-CA"/>
              </w:rPr>
              <w:t>173</w:t>
            </w:r>
            <w:r w:rsidR="003762DD">
              <w:rPr>
                <w:sz w:val="19"/>
                <w:szCs w:val="19"/>
                <w:lang w:val="en-CA" w:eastAsia="en-CA"/>
              </w:rPr>
              <w:t> </w:t>
            </w:r>
            <w:r w:rsidRPr="00E44C3F">
              <w:rPr>
                <w:sz w:val="19"/>
                <w:szCs w:val="19"/>
                <w:lang w:val="en-CA" w:eastAsia="en-CA"/>
              </w:rPr>
              <w:t>138</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CDAB95A"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E05762E"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348A7A47"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24065D9A" w14:textId="77777777" w:rsidR="006D172A" w:rsidRPr="00E44C3F" w:rsidRDefault="006D172A" w:rsidP="006D172A">
            <w:pPr>
              <w:jc w:val="left"/>
              <w:rPr>
                <w:sz w:val="19"/>
                <w:szCs w:val="19"/>
                <w:lang w:val="en-CA" w:eastAsia="en-CA"/>
              </w:rPr>
            </w:pPr>
            <w:r w:rsidRPr="00E44C3F">
              <w:rPr>
                <w:sz w:val="19"/>
                <w:szCs w:val="19"/>
                <w:lang w:val="en-CA" w:eastAsia="en-CA"/>
              </w:rPr>
              <w:t xml:space="preserve">2000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341B37D" w14:textId="77777777" w:rsidR="006D172A" w:rsidRPr="00E44C3F" w:rsidRDefault="006D172A" w:rsidP="006D172A">
            <w:pPr>
              <w:jc w:val="right"/>
              <w:rPr>
                <w:sz w:val="19"/>
                <w:szCs w:val="19"/>
                <w:lang w:val="en-CA" w:eastAsia="en-CA"/>
              </w:rPr>
            </w:pPr>
            <w:r w:rsidRPr="00E44C3F">
              <w:rPr>
                <w:sz w:val="19"/>
                <w:szCs w:val="19"/>
                <w:lang w:val="en-CA" w:eastAsia="en-CA"/>
              </w:rPr>
              <w:t>67</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A8F9462" w14:textId="77777777" w:rsidR="006D172A" w:rsidRPr="00E44C3F" w:rsidRDefault="006D172A" w:rsidP="006D172A">
            <w:pPr>
              <w:jc w:val="right"/>
              <w:rPr>
                <w:sz w:val="19"/>
                <w:szCs w:val="19"/>
                <w:lang w:val="en-CA" w:eastAsia="en-CA"/>
              </w:rPr>
            </w:pPr>
            <w:r w:rsidRPr="00E44C3F">
              <w:rPr>
                <w:sz w:val="19"/>
                <w:szCs w:val="19"/>
                <w:lang w:val="en-CA" w:eastAsia="en-CA"/>
              </w:rPr>
              <w:t>67</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13C4280"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FD00C9A" w14:textId="5C3B2B9C" w:rsidR="006D172A" w:rsidRPr="00E44C3F" w:rsidRDefault="006D172A" w:rsidP="006D172A">
            <w:pPr>
              <w:jc w:val="right"/>
              <w:rPr>
                <w:sz w:val="19"/>
                <w:szCs w:val="19"/>
                <w:lang w:val="en-CA" w:eastAsia="en-CA"/>
              </w:rPr>
            </w:pPr>
            <w:r w:rsidRPr="00E44C3F">
              <w:rPr>
                <w:sz w:val="19"/>
                <w:szCs w:val="19"/>
                <w:lang w:val="en-CA" w:eastAsia="en-CA"/>
              </w:rPr>
              <w:t>36</w:t>
            </w:r>
            <w:r w:rsidR="003762DD">
              <w:rPr>
                <w:sz w:val="19"/>
                <w:szCs w:val="19"/>
                <w:lang w:val="en-CA" w:eastAsia="en-CA"/>
              </w:rPr>
              <w:t> </w:t>
            </w:r>
            <w:r w:rsidRPr="00E44C3F">
              <w:rPr>
                <w:sz w:val="19"/>
                <w:szCs w:val="19"/>
                <w:lang w:val="en-CA" w:eastAsia="en-CA"/>
              </w:rPr>
              <w:t>982</w:t>
            </w:r>
            <w:r w:rsidR="003762DD">
              <w:rPr>
                <w:sz w:val="19"/>
                <w:szCs w:val="19"/>
                <w:lang w:val="en-CA" w:eastAsia="en-CA"/>
              </w:rPr>
              <w:t> </w:t>
            </w:r>
            <w:r w:rsidRPr="00E44C3F">
              <w:rPr>
                <w:sz w:val="19"/>
                <w:szCs w:val="19"/>
                <w:lang w:val="en-CA" w:eastAsia="en-CA"/>
              </w:rPr>
              <w:t>134</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B80638F" w14:textId="651258DA" w:rsidR="006D172A" w:rsidRPr="00E44C3F" w:rsidRDefault="006D172A" w:rsidP="006D172A">
            <w:pPr>
              <w:jc w:val="right"/>
              <w:rPr>
                <w:sz w:val="19"/>
                <w:szCs w:val="19"/>
                <w:lang w:val="en-CA" w:eastAsia="en-CA"/>
              </w:rPr>
            </w:pPr>
            <w:r w:rsidRPr="00E44C3F">
              <w:rPr>
                <w:sz w:val="19"/>
                <w:szCs w:val="19"/>
                <w:lang w:val="en-CA" w:eastAsia="en-CA"/>
              </w:rPr>
              <w:t>36</w:t>
            </w:r>
            <w:r w:rsidR="003762DD">
              <w:rPr>
                <w:sz w:val="19"/>
                <w:szCs w:val="19"/>
                <w:lang w:val="en-CA" w:eastAsia="en-CA"/>
              </w:rPr>
              <w:t> </w:t>
            </w:r>
            <w:r w:rsidRPr="00E44C3F">
              <w:rPr>
                <w:sz w:val="19"/>
                <w:szCs w:val="19"/>
                <w:lang w:val="en-CA" w:eastAsia="en-CA"/>
              </w:rPr>
              <w:t>982</w:t>
            </w:r>
            <w:r w:rsidR="003762DD">
              <w:rPr>
                <w:sz w:val="19"/>
                <w:szCs w:val="19"/>
                <w:lang w:val="en-CA" w:eastAsia="en-CA"/>
              </w:rPr>
              <w:t> </w:t>
            </w:r>
            <w:r w:rsidRPr="00E44C3F">
              <w:rPr>
                <w:sz w:val="19"/>
                <w:szCs w:val="19"/>
                <w:lang w:val="en-CA" w:eastAsia="en-CA"/>
              </w:rPr>
              <w:t>134</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7784935"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C9D2B13"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25C06E8E"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3F81D1BB" w14:textId="77777777" w:rsidR="006D172A" w:rsidRPr="00E44C3F" w:rsidRDefault="006D172A" w:rsidP="006D172A">
            <w:pPr>
              <w:jc w:val="left"/>
              <w:rPr>
                <w:sz w:val="19"/>
                <w:szCs w:val="19"/>
                <w:lang w:val="en-CA" w:eastAsia="en-CA"/>
              </w:rPr>
            </w:pPr>
            <w:r w:rsidRPr="00E44C3F">
              <w:rPr>
                <w:sz w:val="19"/>
                <w:szCs w:val="19"/>
                <w:lang w:val="en-CA" w:eastAsia="en-CA"/>
              </w:rPr>
              <w:t xml:space="preserve">2001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257C7E6" w14:textId="77777777" w:rsidR="006D172A" w:rsidRPr="00E44C3F" w:rsidRDefault="006D172A" w:rsidP="006D172A">
            <w:pPr>
              <w:jc w:val="right"/>
              <w:rPr>
                <w:sz w:val="19"/>
                <w:szCs w:val="19"/>
                <w:lang w:val="en-CA" w:eastAsia="en-CA"/>
              </w:rPr>
            </w:pPr>
            <w:r w:rsidRPr="00E44C3F">
              <w:rPr>
                <w:sz w:val="19"/>
                <w:szCs w:val="19"/>
                <w:lang w:val="en-CA" w:eastAsia="en-CA"/>
              </w:rPr>
              <w:t>29</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C9CC202" w14:textId="77777777" w:rsidR="006D172A" w:rsidRPr="00E44C3F" w:rsidRDefault="006D172A" w:rsidP="006D172A">
            <w:pPr>
              <w:jc w:val="right"/>
              <w:rPr>
                <w:sz w:val="19"/>
                <w:szCs w:val="19"/>
                <w:lang w:val="en-CA" w:eastAsia="en-CA"/>
              </w:rPr>
            </w:pPr>
            <w:r w:rsidRPr="00E44C3F">
              <w:rPr>
                <w:sz w:val="19"/>
                <w:szCs w:val="19"/>
                <w:lang w:val="en-CA" w:eastAsia="en-CA"/>
              </w:rPr>
              <w:t>29</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4CB9F85"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2B36E28" w14:textId="3E82B8ED" w:rsidR="006D172A" w:rsidRPr="00E44C3F" w:rsidRDefault="006D172A" w:rsidP="006D172A">
            <w:pPr>
              <w:jc w:val="right"/>
              <w:rPr>
                <w:sz w:val="19"/>
                <w:szCs w:val="19"/>
                <w:lang w:val="en-CA" w:eastAsia="en-CA"/>
              </w:rPr>
            </w:pPr>
            <w:r w:rsidRPr="00E44C3F">
              <w:rPr>
                <w:sz w:val="19"/>
                <w:szCs w:val="19"/>
                <w:lang w:val="en-CA" w:eastAsia="en-CA"/>
              </w:rPr>
              <w:t>55</w:t>
            </w:r>
            <w:r w:rsidR="003762DD">
              <w:rPr>
                <w:sz w:val="19"/>
                <w:szCs w:val="19"/>
                <w:lang w:val="en-CA" w:eastAsia="en-CA"/>
              </w:rPr>
              <w:t> </w:t>
            </w:r>
            <w:r w:rsidRPr="00E44C3F">
              <w:rPr>
                <w:sz w:val="19"/>
                <w:szCs w:val="19"/>
                <w:lang w:val="en-CA" w:eastAsia="en-CA"/>
              </w:rPr>
              <w:t>212</w:t>
            </w:r>
            <w:r w:rsidR="003762DD">
              <w:rPr>
                <w:sz w:val="19"/>
                <w:szCs w:val="19"/>
                <w:lang w:val="en-CA" w:eastAsia="en-CA"/>
              </w:rPr>
              <w:t> </w:t>
            </w:r>
            <w:r w:rsidRPr="00E44C3F">
              <w:rPr>
                <w:sz w:val="19"/>
                <w:szCs w:val="19"/>
                <w:lang w:val="en-CA" w:eastAsia="en-CA"/>
              </w:rPr>
              <w:t>853</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895E141" w14:textId="676C893B" w:rsidR="006D172A" w:rsidRPr="00E44C3F" w:rsidRDefault="006D172A" w:rsidP="006D172A">
            <w:pPr>
              <w:jc w:val="right"/>
              <w:rPr>
                <w:sz w:val="19"/>
                <w:szCs w:val="19"/>
                <w:lang w:val="en-CA" w:eastAsia="en-CA"/>
              </w:rPr>
            </w:pPr>
            <w:r w:rsidRPr="00E44C3F">
              <w:rPr>
                <w:sz w:val="19"/>
                <w:szCs w:val="19"/>
                <w:lang w:val="en-CA" w:eastAsia="en-CA"/>
              </w:rPr>
              <w:t>55</w:t>
            </w:r>
            <w:r w:rsidR="003762DD">
              <w:rPr>
                <w:sz w:val="19"/>
                <w:szCs w:val="19"/>
                <w:lang w:val="en-CA" w:eastAsia="en-CA"/>
              </w:rPr>
              <w:t> </w:t>
            </w:r>
            <w:r w:rsidRPr="00E44C3F">
              <w:rPr>
                <w:sz w:val="19"/>
                <w:szCs w:val="19"/>
                <w:lang w:val="en-CA" w:eastAsia="en-CA"/>
              </w:rPr>
              <w:t>212</w:t>
            </w:r>
            <w:r w:rsidR="003762DD">
              <w:rPr>
                <w:sz w:val="19"/>
                <w:szCs w:val="19"/>
                <w:lang w:val="en-CA" w:eastAsia="en-CA"/>
              </w:rPr>
              <w:t> </w:t>
            </w:r>
            <w:r w:rsidRPr="00E44C3F">
              <w:rPr>
                <w:sz w:val="19"/>
                <w:szCs w:val="19"/>
                <w:lang w:val="en-CA" w:eastAsia="en-CA"/>
              </w:rPr>
              <w:t>854</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8EF4398" w14:textId="77777777" w:rsidR="006D172A" w:rsidRPr="00E44C3F" w:rsidRDefault="006D172A" w:rsidP="006D172A">
            <w:pPr>
              <w:jc w:val="right"/>
              <w:rPr>
                <w:sz w:val="19"/>
                <w:szCs w:val="19"/>
                <w:lang w:val="en-CA" w:eastAsia="en-CA"/>
              </w:rPr>
            </w:pPr>
            <w:r w:rsidRPr="00E44C3F">
              <w:rPr>
                <w:sz w:val="19"/>
                <w:szCs w:val="19"/>
                <w:lang w:val="en-CA" w:eastAsia="en-CA"/>
              </w:rPr>
              <w:t>-1</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E00F4EA"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29FAABBC"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625E043E" w14:textId="77777777" w:rsidR="006D172A" w:rsidRPr="00E44C3F" w:rsidRDefault="006D172A" w:rsidP="006D172A">
            <w:pPr>
              <w:jc w:val="left"/>
              <w:rPr>
                <w:sz w:val="19"/>
                <w:szCs w:val="19"/>
                <w:lang w:val="en-CA" w:eastAsia="en-CA"/>
              </w:rPr>
            </w:pPr>
            <w:r w:rsidRPr="00E44C3F">
              <w:rPr>
                <w:sz w:val="19"/>
                <w:szCs w:val="19"/>
                <w:lang w:val="en-CA" w:eastAsia="en-CA"/>
              </w:rPr>
              <w:t xml:space="preserve">2002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BD5A360" w14:textId="77777777" w:rsidR="006D172A" w:rsidRPr="00E44C3F" w:rsidRDefault="006D172A" w:rsidP="006D172A">
            <w:pPr>
              <w:jc w:val="right"/>
              <w:rPr>
                <w:sz w:val="19"/>
                <w:szCs w:val="19"/>
                <w:lang w:val="en-CA" w:eastAsia="en-CA"/>
              </w:rPr>
            </w:pPr>
            <w:r w:rsidRPr="00E44C3F">
              <w:rPr>
                <w:sz w:val="19"/>
                <w:szCs w:val="19"/>
                <w:lang w:val="en-CA" w:eastAsia="en-CA"/>
              </w:rPr>
              <w:t>32</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DE98672" w14:textId="77777777" w:rsidR="006D172A" w:rsidRPr="00E44C3F" w:rsidRDefault="006D172A" w:rsidP="006D172A">
            <w:pPr>
              <w:jc w:val="right"/>
              <w:rPr>
                <w:sz w:val="19"/>
                <w:szCs w:val="19"/>
                <w:lang w:val="en-CA" w:eastAsia="en-CA"/>
              </w:rPr>
            </w:pPr>
            <w:r w:rsidRPr="00E44C3F">
              <w:rPr>
                <w:sz w:val="19"/>
                <w:szCs w:val="19"/>
                <w:lang w:val="en-CA" w:eastAsia="en-CA"/>
              </w:rPr>
              <w:t>32</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2D7A4D2"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5DAEB3A" w14:textId="7FD79350" w:rsidR="006D172A" w:rsidRPr="00E44C3F" w:rsidRDefault="006D172A" w:rsidP="006D172A">
            <w:pPr>
              <w:jc w:val="right"/>
              <w:rPr>
                <w:sz w:val="19"/>
                <w:szCs w:val="19"/>
                <w:lang w:val="en-CA" w:eastAsia="en-CA"/>
              </w:rPr>
            </w:pPr>
            <w:r w:rsidRPr="00E44C3F">
              <w:rPr>
                <w:sz w:val="19"/>
                <w:szCs w:val="19"/>
                <w:lang w:val="en-CA" w:eastAsia="en-CA"/>
              </w:rPr>
              <w:t>64</w:t>
            </w:r>
            <w:r w:rsidR="003762DD">
              <w:rPr>
                <w:sz w:val="19"/>
                <w:szCs w:val="19"/>
                <w:lang w:val="en-CA" w:eastAsia="en-CA"/>
              </w:rPr>
              <w:t> </w:t>
            </w:r>
            <w:r w:rsidRPr="00E44C3F">
              <w:rPr>
                <w:sz w:val="19"/>
                <w:szCs w:val="19"/>
                <w:lang w:val="en-CA" w:eastAsia="en-CA"/>
              </w:rPr>
              <w:t>357</w:t>
            </w:r>
            <w:r w:rsidR="003762DD">
              <w:rPr>
                <w:sz w:val="19"/>
                <w:szCs w:val="19"/>
                <w:lang w:val="en-CA" w:eastAsia="en-CA"/>
              </w:rPr>
              <w:t> </w:t>
            </w:r>
            <w:r w:rsidRPr="00E44C3F">
              <w:rPr>
                <w:sz w:val="19"/>
                <w:szCs w:val="19"/>
                <w:lang w:val="en-CA" w:eastAsia="en-CA"/>
              </w:rPr>
              <w:t>778</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A7EC8DE" w14:textId="1302BAA1" w:rsidR="006D172A" w:rsidRPr="00E44C3F" w:rsidRDefault="006D172A" w:rsidP="006D172A">
            <w:pPr>
              <w:jc w:val="right"/>
              <w:rPr>
                <w:sz w:val="19"/>
                <w:szCs w:val="19"/>
                <w:lang w:val="en-CA" w:eastAsia="en-CA"/>
              </w:rPr>
            </w:pPr>
            <w:r w:rsidRPr="00E44C3F">
              <w:rPr>
                <w:sz w:val="19"/>
                <w:szCs w:val="19"/>
                <w:lang w:val="en-CA" w:eastAsia="en-CA"/>
              </w:rPr>
              <w:t>64</w:t>
            </w:r>
            <w:r w:rsidR="003762DD">
              <w:rPr>
                <w:sz w:val="19"/>
                <w:szCs w:val="19"/>
                <w:lang w:val="en-CA" w:eastAsia="en-CA"/>
              </w:rPr>
              <w:t> </w:t>
            </w:r>
            <w:r w:rsidRPr="00E44C3F">
              <w:rPr>
                <w:sz w:val="19"/>
                <w:szCs w:val="19"/>
                <w:lang w:val="en-CA" w:eastAsia="en-CA"/>
              </w:rPr>
              <w:t>357</w:t>
            </w:r>
            <w:r w:rsidR="003762DD">
              <w:rPr>
                <w:sz w:val="19"/>
                <w:szCs w:val="19"/>
                <w:lang w:val="en-CA" w:eastAsia="en-CA"/>
              </w:rPr>
              <w:t> </w:t>
            </w:r>
            <w:r w:rsidRPr="00E44C3F">
              <w:rPr>
                <w:sz w:val="19"/>
                <w:szCs w:val="19"/>
                <w:lang w:val="en-CA" w:eastAsia="en-CA"/>
              </w:rPr>
              <w:t>778</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CECBA5A"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0B5D009"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50BB0505"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109B0332" w14:textId="77777777" w:rsidR="006D172A" w:rsidRPr="00E44C3F" w:rsidRDefault="006D172A" w:rsidP="006D172A">
            <w:pPr>
              <w:jc w:val="left"/>
              <w:rPr>
                <w:sz w:val="19"/>
                <w:szCs w:val="19"/>
                <w:lang w:val="en-CA" w:eastAsia="en-CA"/>
              </w:rPr>
            </w:pPr>
            <w:r w:rsidRPr="00E44C3F">
              <w:rPr>
                <w:sz w:val="19"/>
                <w:szCs w:val="19"/>
                <w:lang w:val="en-CA" w:eastAsia="en-CA"/>
              </w:rPr>
              <w:t xml:space="preserve">2003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5D65BF9" w14:textId="77777777" w:rsidR="006D172A" w:rsidRPr="00E44C3F" w:rsidRDefault="006D172A" w:rsidP="006D172A">
            <w:pPr>
              <w:jc w:val="right"/>
              <w:rPr>
                <w:sz w:val="19"/>
                <w:szCs w:val="19"/>
                <w:lang w:val="en-CA" w:eastAsia="en-CA"/>
              </w:rPr>
            </w:pPr>
            <w:r w:rsidRPr="00E44C3F">
              <w:rPr>
                <w:sz w:val="19"/>
                <w:szCs w:val="19"/>
                <w:lang w:val="en-CA" w:eastAsia="en-CA"/>
              </w:rPr>
              <w:t>24</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B932BE3" w14:textId="77777777" w:rsidR="006D172A" w:rsidRPr="00E44C3F" w:rsidRDefault="006D172A" w:rsidP="006D172A">
            <w:pPr>
              <w:jc w:val="right"/>
              <w:rPr>
                <w:sz w:val="19"/>
                <w:szCs w:val="19"/>
                <w:lang w:val="en-CA" w:eastAsia="en-CA"/>
              </w:rPr>
            </w:pPr>
            <w:r w:rsidRPr="00E44C3F">
              <w:rPr>
                <w:sz w:val="19"/>
                <w:szCs w:val="19"/>
                <w:lang w:val="en-CA" w:eastAsia="en-CA"/>
              </w:rPr>
              <w:t>24</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807616E"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E319B1E" w14:textId="02A9841F" w:rsidR="006D172A" w:rsidRPr="00E44C3F" w:rsidRDefault="006D172A" w:rsidP="006D172A">
            <w:pPr>
              <w:jc w:val="right"/>
              <w:rPr>
                <w:sz w:val="19"/>
                <w:szCs w:val="19"/>
                <w:lang w:val="en-CA" w:eastAsia="en-CA"/>
              </w:rPr>
            </w:pPr>
            <w:r w:rsidRPr="00E44C3F">
              <w:rPr>
                <w:sz w:val="19"/>
                <w:szCs w:val="19"/>
                <w:lang w:val="en-CA" w:eastAsia="en-CA"/>
              </w:rPr>
              <w:t>72</w:t>
            </w:r>
            <w:r w:rsidR="003762DD">
              <w:rPr>
                <w:sz w:val="19"/>
                <w:szCs w:val="19"/>
                <w:lang w:val="en-CA" w:eastAsia="en-CA"/>
              </w:rPr>
              <w:t> </w:t>
            </w:r>
            <w:r w:rsidRPr="00E44C3F">
              <w:rPr>
                <w:sz w:val="19"/>
                <w:szCs w:val="19"/>
                <w:lang w:val="en-CA" w:eastAsia="en-CA"/>
              </w:rPr>
              <w:t>734</w:t>
            </w:r>
            <w:r w:rsidR="003762DD">
              <w:rPr>
                <w:sz w:val="19"/>
                <w:szCs w:val="19"/>
                <w:lang w:val="en-CA" w:eastAsia="en-CA"/>
              </w:rPr>
              <w:t> </w:t>
            </w:r>
            <w:r w:rsidRPr="00E44C3F">
              <w:rPr>
                <w:sz w:val="19"/>
                <w:szCs w:val="19"/>
                <w:lang w:val="en-CA" w:eastAsia="en-CA"/>
              </w:rPr>
              <w:t>119</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018A5CA" w14:textId="38471ABE" w:rsidR="006D172A" w:rsidRPr="00E44C3F" w:rsidRDefault="006D172A" w:rsidP="006D172A">
            <w:pPr>
              <w:jc w:val="right"/>
              <w:rPr>
                <w:sz w:val="19"/>
                <w:szCs w:val="19"/>
                <w:lang w:val="en-CA" w:eastAsia="en-CA"/>
              </w:rPr>
            </w:pPr>
            <w:r w:rsidRPr="00E44C3F">
              <w:rPr>
                <w:sz w:val="19"/>
                <w:szCs w:val="19"/>
                <w:lang w:val="en-CA" w:eastAsia="en-CA"/>
              </w:rPr>
              <w:t>72</w:t>
            </w:r>
            <w:r w:rsidR="003762DD">
              <w:rPr>
                <w:sz w:val="19"/>
                <w:szCs w:val="19"/>
                <w:lang w:val="en-CA" w:eastAsia="en-CA"/>
              </w:rPr>
              <w:t> </w:t>
            </w:r>
            <w:r w:rsidRPr="00E44C3F">
              <w:rPr>
                <w:sz w:val="19"/>
                <w:szCs w:val="19"/>
                <w:lang w:val="en-CA" w:eastAsia="en-CA"/>
              </w:rPr>
              <w:t>734</w:t>
            </w:r>
            <w:r w:rsidR="003762DD">
              <w:rPr>
                <w:sz w:val="19"/>
                <w:szCs w:val="19"/>
                <w:lang w:val="en-CA" w:eastAsia="en-CA"/>
              </w:rPr>
              <w:t> </w:t>
            </w:r>
            <w:r w:rsidRPr="00E44C3F">
              <w:rPr>
                <w:sz w:val="19"/>
                <w:szCs w:val="19"/>
                <w:lang w:val="en-CA" w:eastAsia="en-CA"/>
              </w:rPr>
              <w:t>119</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C9D12B2"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0E3081C"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4396ADDB"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31BC6B8E" w14:textId="77777777" w:rsidR="006D172A" w:rsidRPr="00E44C3F" w:rsidRDefault="006D172A" w:rsidP="006D172A">
            <w:pPr>
              <w:jc w:val="left"/>
              <w:rPr>
                <w:sz w:val="19"/>
                <w:szCs w:val="19"/>
                <w:lang w:val="en-CA" w:eastAsia="en-CA"/>
              </w:rPr>
            </w:pPr>
            <w:r w:rsidRPr="00E44C3F">
              <w:rPr>
                <w:sz w:val="19"/>
                <w:szCs w:val="19"/>
                <w:lang w:val="en-CA" w:eastAsia="en-CA"/>
              </w:rPr>
              <w:t xml:space="preserve">2004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476FF27" w14:textId="77777777" w:rsidR="006D172A" w:rsidRPr="00E44C3F" w:rsidRDefault="006D172A" w:rsidP="006D172A">
            <w:pPr>
              <w:jc w:val="right"/>
              <w:rPr>
                <w:sz w:val="19"/>
                <w:szCs w:val="19"/>
                <w:lang w:val="en-CA" w:eastAsia="en-CA"/>
              </w:rPr>
            </w:pPr>
            <w:r w:rsidRPr="00E44C3F">
              <w:rPr>
                <w:sz w:val="19"/>
                <w:szCs w:val="19"/>
                <w:lang w:val="en-CA" w:eastAsia="en-CA"/>
              </w:rPr>
              <w:t>29</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4274979" w14:textId="77777777" w:rsidR="006D172A" w:rsidRPr="00E44C3F" w:rsidRDefault="006D172A" w:rsidP="006D172A">
            <w:pPr>
              <w:jc w:val="right"/>
              <w:rPr>
                <w:sz w:val="19"/>
                <w:szCs w:val="19"/>
                <w:lang w:val="en-CA" w:eastAsia="en-CA"/>
              </w:rPr>
            </w:pPr>
            <w:r w:rsidRPr="00E44C3F">
              <w:rPr>
                <w:sz w:val="19"/>
                <w:szCs w:val="19"/>
                <w:lang w:val="en-CA" w:eastAsia="en-CA"/>
              </w:rPr>
              <w:t>29</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23A5350"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29B1248" w14:textId="7AF19AA4" w:rsidR="006D172A" w:rsidRPr="00E44C3F" w:rsidRDefault="006D172A" w:rsidP="006D172A">
            <w:pPr>
              <w:jc w:val="right"/>
              <w:rPr>
                <w:sz w:val="19"/>
                <w:szCs w:val="19"/>
                <w:lang w:val="en-CA" w:eastAsia="en-CA"/>
              </w:rPr>
            </w:pPr>
            <w:r w:rsidRPr="00E44C3F">
              <w:rPr>
                <w:sz w:val="19"/>
                <w:szCs w:val="19"/>
                <w:lang w:val="en-CA" w:eastAsia="en-CA"/>
              </w:rPr>
              <w:t>77</w:t>
            </w:r>
            <w:r w:rsidR="003762DD">
              <w:rPr>
                <w:sz w:val="19"/>
                <w:szCs w:val="19"/>
                <w:lang w:val="en-CA" w:eastAsia="en-CA"/>
              </w:rPr>
              <w:t> </w:t>
            </w:r>
            <w:r w:rsidRPr="00E44C3F">
              <w:rPr>
                <w:sz w:val="19"/>
                <w:szCs w:val="19"/>
                <w:lang w:val="en-CA" w:eastAsia="en-CA"/>
              </w:rPr>
              <w:t>111</w:t>
            </w:r>
            <w:r w:rsidR="003762DD">
              <w:rPr>
                <w:sz w:val="19"/>
                <w:szCs w:val="19"/>
                <w:lang w:val="en-CA" w:eastAsia="en-CA"/>
              </w:rPr>
              <w:t> </w:t>
            </w:r>
            <w:r w:rsidRPr="00E44C3F">
              <w:rPr>
                <w:sz w:val="19"/>
                <w:szCs w:val="19"/>
                <w:lang w:val="en-CA" w:eastAsia="en-CA"/>
              </w:rPr>
              <w:t>770</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219357D" w14:textId="552C6238" w:rsidR="006D172A" w:rsidRPr="00E44C3F" w:rsidRDefault="006D172A" w:rsidP="006D172A">
            <w:pPr>
              <w:jc w:val="right"/>
              <w:rPr>
                <w:sz w:val="19"/>
                <w:szCs w:val="19"/>
                <w:lang w:val="en-CA" w:eastAsia="en-CA"/>
              </w:rPr>
            </w:pPr>
            <w:r w:rsidRPr="00E44C3F">
              <w:rPr>
                <w:sz w:val="19"/>
                <w:szCs w:val="19"/>
                <w:lang w:val="en-CA" w:eastAsia="en-CA"/>
              </w:rPr>
              <w:t>77</w:t>
            </w:r>
            <w:r w:rsidR="003762DD">
              <w:rPr>
                <w:sz w:val="19"/>
                <w:szCs w:val="19"/>
                <w:lang w:val="en-CA" w:eastAsia="en-CA"/>
              </w:rPr>
              <w:t> </w:t>
            </w:r>
            <w:r w:rsidRPr="00E44C3F">
              <w:rPr>
                <w:sz w:val="19"/>
                <w:szCs w:val="19"/>
                <w:lang w:val="en-CA" w:eastAsia="en-CA"/>
              </w:rPr>
              <w:t>111</w:t>
            </w:r>
            <w:r w:rsidR="003762DD">
              <w:rPr>
                <w:sz w:val="19"/>
                <w:szCs w:val="19"/>
                <w:lang w:val="en-CA" w:eastAsia="en-CA"/>
              </w:rPr>
              <w:t> </w:t>
            </w:r>
            <w:r w:rsidRPr="00E44C3F">
              <w:rPr>
                <w:sz w:val="19"/>
                <w:szCs w:val="19"/>
                <w:lang w:val="en-CA" w:eastAsia="en-CA"/>
              </w:rPr>
              <w:t>770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C25D461"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2514A28"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3955398A"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069895C9" w14:textId="77777777" w:rsidR="006D172A" w:rsidRPr="00E44C3F" w:rsidRDefault="006D172A" w:rsidP="006D172A">
            <w:pPr>
              <w:jc w:val="left"/>
              <w:rPr>
                <w:sz w:val="19"/>
                <w:szCs w:val="19"/>
                <w:lang w:val="en-CA" w:eastAsia="en-CA"/>
              </w:rPr>
            </w:pPr>
            <w:r w:rsidRPr="00E44C3F">
              <w:rPr>
                <w:sz w:val="19"/>
                <w:szCs w:val="19"/>
                <w:lang w:val="en-CA" w:eastAsia="en-CA"/>
              </w:rPr>
              <w:t xml:space="preserve">2005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6B6F0BA" w14:textId="77777777" w:rsidR="006D172A" w:rsidRPr="00E44C3F" w:rsidRDefault="006D172A" w:rsidP="006D172A">
            <w:pPr>
              <w:jc w:val="right"/>
              <w:rPr>
                <w:sz w:val="19"/>
                <w:szCs w:val="19"/>
                <w:lang w:val="en-CA" w:eastAsia="en-CA"/>
              </w:rPr>
            </w:pPr>
            <w:r w:rsidRPr="00E44C3F">
              <w:rPr>
                <w:sz w:val="19"/>
                <w:szCs w:val="19"/>
                <w:lang w:val="en-CA" w:eastAsia="en-CA"/>
              </w:rPr>
              <w:t>28</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33DC598" w14:textId="77777777" w:rsidR="006D172A" w:rsidRPr="00E44C3F" w:rsidRDefault="006D172A" w:rsidP="006D172A">
            <w:pPr>
              <w:jc w:val="right"/>
              <w:rPr>
                <w:sz w:val="19"/>
                <w:szCs w:val="19"/>
                <w:lang w:val="en-CA" w:eastAsia="en-CA"/>
              </w:rPr>
            </w:pPr>
            <w:r w:rsidRPr="00E44C3F">
              <w:rPr>
                <w:sz w:val="19"/>
                <w:szCs w:val="19"/>
                <w:lang w:val="en-CA" w:eastAsia="en-CA"/>
              </w:rPr>
              <w:t>28</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3D230A3"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1A09D94" w14:textId="379BEE32" w:rsidR="006D172A" w:rsidRPr="00E44C3F" w:rsidRDefault="006D172A" w:rsidP="006D172A">
            <w:pPr>
              <w:jc w:val="right"/>
              <w:rPr>
                <w:sz w:val="19"/>
                <w:szCs w:val="19"/>
                <w:lang w:val="en-CA" w:eastAsia="en-CA"/>
              </w:rPr>
            </w:pPr>
            <w:r w:rsidRPr="00E44C3F">
              <w:rPr>
                <w:sz w:val="19"/>
                <w:szCs w:val="19"/>
                <w:lang w:val="en-CA" w:eastAsia="en-CA"/>
              </w:rPr>
              <w:t>68</w:t>
            </w:r>
            <w:r w:rsidR="003762DD">
              <w:rPr>
                <w:sz w:val="19"/>
                <w:szCs w:val="19"/>
                <w:lang w:val="en-CA" w:eastAsia="en-CA"/>
              </w:rPr>
              <w:t> </w:t>
            </w:r>
            <w:r w:rsidRPr="00E44C3F">
              <w:rPr>
                <w:sz w:val="19"/>
                <w:szCs w:val="19"/>
                <w:lang w:val="en-CA" w:eastAsia="en-CA"/>
              </w:rPr>
              <w:t>592</w:t>
            </w:r>
            <w:r w:rsidR="003762DD">
              <w:rPr>
                <w:sz w:val="19"/>
                <w:szCs w:val="19"/>
                <w:lang w:val="en-CA" w:eastAsia="en-CA"/>
              </w:rPr>
              <w:t> </w:t>
            </w:r>
            <w:r w:rsidRPr="00E44C3F">
              <w:rPr>
                <w:sz w:val="19"/>
                <w:szCs w:val="19"/>
                <w:lang w:val="en-CA" w:eastAsia="en-CA"/>
              </w:rPr>
              <w:t>865</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9CA11BA" w14:textId="2AFBC84B" w:rsidR="006D172A" w:rsidRPr="00E44C3F" w:rsidRDefault="006D172A" w:rsidP="006D172A">
            <w:pPr>
              <w:jc w:val="right"/>
              <w:rPr>
                <w:sz w:val="19"/>
                <w:szCs w:val="19"/>
                <w:lang w:val="en-CA" w:eastAsia="en-CA"/>
              </w:rPr>
            </w:pPr>
            <w:r w:rsidRPr="00E44C3F">
              <w:rPr>
                <w:sz w:val="19"/>
                <w:szCs w:val="19"/>
                <w:lang w:val="en-CA" w:eastAsia="en-CA"/>
              </w:rPr>
              <w:t>68</w:t>
            </w:r>
            <w:r w:rsidR="003762DD">
              <w:rPr>
                <w:sz w:val="19"/>
                <w:szCs w:val="19"/>
                <w:lang w:val="en-CA" w:eastAsia="en-CA"/>
              </w:rPr>
              <w:t> </w:t>
            </w:r>
            <w:r w:rsidRPr="00E44C3F">
              <w:rPr>
                <w:sz w:val="19"/>
                <w:szCs w:val="19"/>
                <w:lang w:val="en-CA" w:eastAsia="en-CA"/>
              </w:rPr>
              <w:t>592</w:t>
            </w:r>
            <w:r w:rsidR="003762DD">
              <w:rPr>
                <w:sz w:val="19"/>
                <w:szCs w:val="19"/>
                <w:lang w:val="en-CA" w:eastAsia="en-CA"/>
              </w:rPr>
              <w:t> </w:t>
            </w:r>
            <w:r w:rsidRPr="00E44C3F">
              <w:rPr>
                <w:sz w:val="19"/>
                <w:szCs w:val="19"/>
                <w:lang w:val="en-CA" w:eastAsia="en-CA"/>
              </w:rPr>
              <w:t>865</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816FA0A"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4833A03"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12D120D2"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158D42AB" w14:textId="77777777" w:rsidR="006D172A" w:rsidRPr="00E44C3F" w:rsidRDefault="006D172A" w:rsidP="006D172A">
            <w:pPr>
              <w:jc w:val="left"/>
              <w:rPr>
                <w:sz w:val="19"/>
                <w:szCs w:val="19"/>
                <w:lang w:val="en-CA" w:eastAsia="en-CA"/>
              </w:rPr>
            </w:pPr>
            <w:r w:rsidRPr="00E44C3F">
              <w:rPr>
                <w:sz w:val="19"/>
                <w:szCs w:val="19"/>
                <w:lang w:val="en-CA" w:eastAsia="en-CA"/>
              </w:rPr>
              <w:t xml:space="preserve">2006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743644C" w14:textId="77777777" w:rsidR="006D172A" w:rsidRPr="00E44C3F" w:rsidRDefault="006D172A" w:rsidP="006D172A">
            <w:pPr>
              <w:jc w:val="right"/>
              <w:rPr>
                <w:sz w:val="19"/>
                <w:szCs w:val="19"/>
                <w:lang w:val="en-CA" w:eastAsia="en-CA"/>
              </w:rPr>
            </w:pPr>
            <w:r w:rsidRPr="00E44C3F">
              <w:rPr>
                <w:sz w:val="19"/>
                <w:szCs w:val="19"/>
                <w:lang w:val="en-CA" w:eastAsia="en-CA"/>
              </w:rPr>
              <w:t>22</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F6BB112" w14:textId="77777777" w:rsidR="006D172A" w:rsidRPr="00E44C3F" w:rsidRDefault="006D172A" w:rsidP="006D172A">
            <w:pPr>
              <w:jc w:val="right"/>
              <w:rPr>
                <w:sz w:val="19"/>
                <w:szCs w:val="19"/>
                <w:lang w:val="en-CA" w:eastAsia="en-CA"/>
              </w:rPr>
            </w:pPr>
            <w:r w:rsidRPr="00E44C3F">
              <w:rPr>
                <w:sz w:val="19"/>
                <w:szCs w:val="19"/>
                <w:lang w:val="en-CA" w:eastAsia="en-CA"/>
              </w:rPr>
              <w:t>22</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174C3E1"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78B3506" w14:textId="7B02F4C7" w:rsidR="006D172A" w:rsidRPr="00E44C3F" w:rsidRDefault="006D172A" w:rsidP="006D172A">
            <w:pPr>
              <w:jc w:val="right"/>
              <w:rPr>
                <w:sz w:val="19"/>
                <w:szCs w:val="19"/>
                <w:lang w:val="en-CA" w:eastAsia="en-CA"/>
              </w:rPr>
            </w:pPr>
            <w:r w:rsidRPr="00E44C3F">
              <w:rPr>
                <w:sz w:val="19"/>
                <w:szCs w:val="19"/>
                <w:lang w:val="en-CA" w:eastAsia="en-CA"/>
              </w:rPr>
              <w:t>64</w:t>
            </w:r>
            <w:r w:rsidR="003762DD">
              <w:rPr>
                <w:sz w:val="19"/>
                <w:szCs w:val="19"/>
                <w:lang w:val="en-CA" w:eastAsia="en-CA"/>
              </w:rPr>
              <w:t> </w:t>
            </w:r>
            <w:r w:rsidRPr="00E44C3F">
              <w:rPr>
                <w:sz w:val="19"/>
                <w:szCs w:val="19"/>
                <w:lang w:val="en-CA" w:eastAsia="en-CA"/>
              </w:rPr>
              <w:t>473</w:t>
            </w:r>
            <w:r w:rsidR="003762DD">
              <w:rPr>
                <w:sz w:val="19"/>
                <w:szCs w:val="19"/>
                <w:lang w:val="en-CA" w:eastAsia="en-CA"/>
              </w:rPr>
              <w:t> </w:t>
            </w:r>
            <w:r w:rsidRPr="00E44C3F">
              <w:rPr>
                <w:sz w:val="19"/>
                <w:szCs w:val="19"/>
                <w:lang w:val="en-CA" w:eastAsia="en-CA"/>
              </w:rPr>
              <w:t>260</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27E206A" w14:textId="1EE64306" w:rsidR="006D172A" w:rsidRPr="00E44C3F" w:rsidRDefault="006D172A" w:rsidP="006D172A">
            <w:pPr>
              <w:jc w:val="right"/>
              <w:rPr>
                <w:sz w:val="19"/>
                <w:szCs w:val="19"/>
                <w:lang w:val="en-CA" w:eastAsia="en-CA"/>
              </w:rPr>
            </w:pPr>
            <w:r w:rsidRPr="00E44C3F">
              <w:rPr>
                <w:sz w:val="19"/>
                <w:szCs w:val="19"/>
                <w:lang w:val="en-CA" w:eastAsia="en-CA"/>
              </w:rPr>
              <w:t>64</w:t>
            </w:r>
            <w:r w:rsidR="003762DD">
              <w:rPr>
                <w:sz w:val="19"/>
                <w:szCs w:val="19"/>
                <w:lang w:val="en-CA" w:eastAsia="en-CA"/>
              </w:rPr>
              <w:t> </w:t>
            </w:r>
            <w:r w:rsidRPr="00E44C3F">
              <w:rPr>
                <w:sz w:val="19"/>
                <w:szCs w:val="19"/>
                <w:lang w:val="en-CA" w:eastAsia="en-CA"/>
              </w:rPr>
              <w:t>473</w:t>
            </w:r>
            <w:r w:rsidR="003762DD">
              <w:rPr>
                <w:sz w:val="19"/>
                <w:szCs w:val="19"/>
                <w:lang w:val="en-CA" w:eastAsia="en-CA"/>
              </w:rPr>
              <w:t> </w:t>
            </w:r>
            <w:r w:rsidRPr="00E44C3F">
              <w:rPr>
                <w:sz w:val="19"/>
                <w:szCs w:val="19"/>
                <w:lang w:val="en-CA" w:eastAsia="en-CA"/>
              </w:rPr>
              <w:t>260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BAE63D7"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C390712"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32181D90"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7BE4E59D" w14:textId="77777777" w:rsidR="006D172A" w:rsidRPr="00E44C3F" w:rsidRDefault="006D172A" w:rsidP="006D172A">
            <w:pPr>
              <w:jc w:val="left"/>
              <w:rPr>
                <w:sz w:val="19"/>
                <w:szCs w:val="19"/>
                <w:lang w:val="en-CA" w:eastAsia="en-CA"/>
              </w:rPr>
            </w:pPr>
            <w:r w:rsidRPr="00E44C3F">
              <w:rPr>
                <w:sz w:val="19"/>
                <w:szCs w:val="19"/>
                <w:lang w:val="en-CA" w:eastAsia="en-CA"/>
              </w:rPr>
              <w:t xml:space="preserve">2007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749A343" w14:textId="77777777" w:rsidR="006D172A" w:rsidRPr="00E44C3F" w:rsidRDefault="006D172A" w:rsidP="006D172A">
            <w:pPr>
              <w:jc w:val="right"/>
              <w:rPr>
                <w:sz w:val="19"/>
                <w:szCs w:val="19"/>
                <w:lang w:val="en-CA" w:eastAsia="en-CA"/>
              </w:rPr>
            </w:pPr>
            <w:r w:rsidRPr="00E44C3F">
              <w:rPr>
                <w:sz w:val="19"/>
                <w:szCs w:val="19"/>
                <w:lang w:val="en-CA" w:eastAsia="en-CA"/>
              </w:rPr>
              <w:t>25</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F08F21D" w14:textId="77777777" w:rsidR="006D172A" w:rsidRPr="00E44C3F" w:rsidRDefault="006D172A" w:rsidP="006D172A">
            <w:pPr>
              <w:jc w:val="right"/>
              <w:rPr>
                <w:sz w:val="19"/>
                <w:szCs w:val="19"/>
                <w:lang w:val="en-CA" w:eastAsia="en-CA"/>
              </w:rPr>
            </w:pPr>
            <w:r w:rsidRPr="00E44C3F">
              <w:rPr>
                <w:sz w:val="19"/>
                <w:szCs w:val="19"/>
                <w:lang w:val="en-CA" w:eastAsia="en-CA"/>
              </w:rPr>
              <w:t>25</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53D4C42"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BA32E0E" w14:textId="366A7422" w:rsidR="006D172A" w:rsidRPr="00E44C3F" w:rsidRDefault="006D172A" w:rsidP="006D172A">
            <w:pPr>
              <w:jc w:val="right"/>
              <w:rPr>
                <w:sz w:val="19"/>
                <w:szCs w:val="19"/>
                <w:lang w:val="en-CA" w:eastAsia="en-CA"/>
              </w:rPr>
            </w:pPr>
            <w:r w:rsidRPr="00E44C3F">
              <w:rPr>
                <w:sz w:val="19"/>
                <w:szCs w:val="19"/>
                <w:lang w:val="en-CA" w:eastAsia="en-CA"/>
              </w:rPr>
              <w:t>66</w:t>
            </w:r>
            <w:r w:rsidR="003762DD">
              <w:rPr>
                <w:sz w:val="19"/>
                <w:szCs w:val="19"/>
                <w:lang w:val="en-CA" w:eastAsia="en-CA"/>
              </w:rPr>
              <w:t> </w:t>
            </w:r>
            <w:r w:rsidRPr="00E44C3F">
              <w:rPr>
                <w:sz w:val="19"/>
                <w:szCs w:val="19"/>
                <w:lang w:val="en-CA" w:eastAsia="en-CA"/>
              </w:rPr>
              <w:t>005</w:t>
            </w:r>
            <w:r w:rsidR="003762DD">
              <w:rPr>
                <w:sz w:val="19"/>
                <w:szCs w:val="19"/>
                <w:lang w:val="en-CA" w:eastAsia="en-CA"/>
              </w:rPr>
              <w:t> </w:t>
            </w:r>
            <w:r w:rsidRPr="00E44C3F">
              <w:rPr>
                <w:sz w:val="19"/>
                <w:szCs w:val="19"/>
                <w:lang w:val="en-CA" w:eastAsia="en-CA"/>
              </w:rPr>
              <w:t>270</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E2AC41F" w14:textId="6194B222" w:rsidR="006D172A" w:rsidRPr="00E44C3F" w:rsidRDefault="006D172A" w:rsidP="006D172A">
            <w:pPr>
              <w:jc w:val="right"/>
              <w:rPr>
                <w:sz w:val="19"/>
                <w:szCs w:val="19"/>
                <w:lang w:val="en-CA" w:eastAsia="en-CA"/>
              </w:rPr>
            </w:pPr>
            <w:r w:rsidRPr="00E44C3F">
              <w:rPr>
                <w:sz w:val="19"/>
                <w:szCs w:val="19"/>
                <w:lang w:val="en-CA" w:eastAsia="en-CA"/>
              </w:rPr>
              <w:t>66</w:t>
            </w:r>
            <w:r w:rsidR="003762DD">
              <w:rPr>
                <w:sz w:val="19"/>
                <w:szCs w:val="19"/>
                <w:lang w:val="en-CA" w:eastAsia="en-CA"/>
              </w:rPr>
              <w:t> </w:t>
            </w:r>
            <w:r w:rsidRPr="00E44C3F">
              <w:rPr>
                <w:sz w:val="19"/>
                <w:szCs w:val="19"/>
                <w:lang w:val="en-CA" w:eastAsia="en-CA"/>
              </w:rPr>
              <w:t>005</w:t>
            </w:r>
            <w:r w:rsidR="003762DD">
              <w:rPr>
                <w:sz w:val="19"/>
                <w:szCs w:val="19"/>
                <w:lang w:val="en-CA" w:eastAsia="en-CA"/>
              </w:rPr>
              <w:t> </w:t>
            </w:r>
            <w:r w:rsidRPr="00E44C3F">
              <w:rPr>
                <w:sz w:val="19"/>
                <w:szCs w:val="19"/>
                <w:lang w:val="en-CA" w:eastAsia="en-CA"/>
              </w:rPr>
              <w:t>270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9B2CEF9"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BBB0E15"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4F82539E"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6232E04C" w14:textId="77777777" w:rsidR="006D172A" w:rsidRPr="00E44C3F" w:rsidRDefault="006D172A" w:rsidP="006D172A">
            <w:pPr>
              <w:jc w:val="left"/>
              <w:rPr>
                <w:sz w:val="19"/>
                <w:szCs w:val="19"/>
                <w:lang w:val="en-CA" w:eastAsia="en-CA"/>
              </w:rPr>
            </w:pPr>
            <w:r w:rsidRPr="00E44C3F">
              <w:rPr>
                <w:sz w:val="19"/>
                <w:szCs w:val="19"/>
                <w:lang w:val="en-CA" w:eastAsia="en-CA"/>
              </w:rPr>
              <w:t xml:space="preserve">2008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4D3AC49" w14:textId="77777777" w:rsidR="006D172A" w:rsidRPr="00E44C3F" w:rsidRDefault="006D172A" w:rsidP="006D172A">
            <w:pPr>
              <w:jc w:val="right"/>
              <w:rPr>
                <w:sz w:val="19"/>
                <w:szCs w:val="19"/>
                <w:lang w:val="en-CA" w:eastAsia="en-CA"/>
              </w:rPr>
            </w:pPr>
            <w:r w:rsidRPr="00E44C3F">
              <w:rPr>
                <w:sz w:val="19"/>
                <w:szCs w:val="19"/>
                <w:lang w:val="en-CA" w:eastAsia="en-CA"/>
              </w:rPr>
              <w:t>28</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7853CD7" w14:textId="77777777" w:rsidR="006D172A" w:rsidRPr="00E44C3F" w:rsidRDefault="006D172A" w:rsidP="006D172A">
            <w:pPr>
              <w:jc w:val="right"/>
              <w:rPr>
                <w:sz w:val="19"/>
                <w:szCs w:val="19"/>
                <w:lang w:val="en-CA" w:eastAsia="en-CA"/>
              </w:rPr>
            </w:pPr>
            <w:r w:rsidRPr="00E44C3F">
              <w:rPr>
                <w:sz w:val="19"/>
                <w:szCs w:val="19"/>
                <w:lang w:val="en-CA" w:eastAsia="en-CA"/>
              </w:rPr>
              <w:t>28</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D7BF985"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8202EFF" w14:textId="3C9C4399" w:rsidR="006D172A" w:rsidRPr="00E44C3F" w:rsidRDefault="006D172A" w:rsidP="006D172A">
            <w:pPr>
              <w:jc w:val="right"/>
              <w:rPr>
                <w:sz w:val="19"/>
                <w:szCs w:val="19"/>
                <w:lang w:val="en-CA" w:eastAsia="en-CA"/>
              </w:rPr>
            </w:pPr>
            <w:r w:rsidRPr="00E44C3F">
              <w:rPr>
                <w:sz w:val="19"/>
                <w:szCs w:val="19"/>
                <w:lang w:val="en-CA" w:eastAsia="en-CA"/>
              </w:rPr>
              <w:t>40</w:t>
            </w:r>
            <w:r w:rsidR="003762DD">
              <w:rPr>
                <w:sz w:val="19"/>
                <w:szCs w:val="19"/>
                <w:lang w:val="en-CA" w:eastAsia="en-CA"/>
              </w:rPr>
              <w:t> </w:t>
            </w:r>
            <w:r w:rsidRPr="00E44C3F">
              <w:rPr>
                <w:sz w:val="19"/>
                <w:szCs w:val="19"/>
                <w:lang w:val="en-CA" w:eastAsia="en-CA"/>
              </w:rPr>
              <w:t>214</w:t>
            </w:r>
            <w:r w:rsidR="003762DD">
              <w:rPr>
                <w:sz w:val="19"/>
                <w:szCs w:val="19"/>
                <w:lang w:val="en-CA" w:eastAsia="en-CA"/>
              </w:rPr>
              <w:t> </w:t>
            </w:r>
            <w:r w:rsidRPr="00E44C3F">
              <w:rPr>
                <w:sz w:val="19"/>
                <w:szCs w:val="19"/>
                <w:lang w:val="en-CA" w:eastAsia="en-CA"/>
              </w:rPr>
              <w:t>774</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5B7B1A5" w14:textId="2A453E46" w:rsidR="006D172A" w:rsidRPr="00E44C3F" w:rsidRDefault="006D172A" w:rsidP="006D172A">
            <w:pPr>
              <w:jc w:val="right"/>
              <w:rPr>
                <w:sz w:val="19"/>
                <w:szCs w:val="19"/>
                <w:lang w:val="en-CA" w:eastAsia="en-CA"/>
              </w:rPr>
            </w:pPr>
            <w:r w:rsidRPr="00E44C3F">
              <w:rPr>
                <w:sz w:val="19"/>
                <w:szCs w:val="19"/>
                <w:lang w:val="en-CA" w:eastAsia="en-CA"/>
              </w:rPr>
              <w:t>40</w:t>
            </w:r>
            <w:r w:rsidR="003762DD">
              <w:rPr>
                <w:sz w:val="19"/>
                <w:szCs w:val="19"/>
                <w:lang w:val="en-CA" w:eastAsia="en-CA"/>
              </w:rPr>
              <w:t> </w:t>
            </w:r>
            <w:r w:rsidRPr="00E44C3F">
              <w:rPr>
                <w:sz w:val="19"/>
                <w:szCs w:val="19"/>
                <w:lang w:val="en-CA" w:eastAsia="en-CA"/>
              </w:rPr>
              <w:t>214</w:t>
            </w:r>
            <w:r w:rsidR="003762DD">
              <w:rPr>
                <w:sz w:val="19"/>
                <w:szCs w:val="19"/>
                <w:lang w:val="en-CA" w:eastAsia="en-CA"/>
              </w:rPr>
              <w:t> </w:t>
            </w:r>
            <w:r w:rsidRPr="00E44C3F">
              <w:rPr>
                <w:sz w:val="19"/>
                <w:szCs w:val="19"/>
                <w:lang w:val="en-CA" w:eastAsia="en-CA"/>
              </w:rPr>
              <w:t>774</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326EBF3"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7367710"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29C3D8B5"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55CEA4B6" w14:textId="77777777" w:rsidR="006D172A" w:rsidRPr="00E44C3F" w:rsidRDefault="006D172A" w:rsidP="006D172A">
            <w:pPr>
              <w:jc w:val="left"/>
              <w:rPr>
                <w:sz w:val="19"/>
                <w:szCs w:val="19"/>
                <w:lang w:val="en-CA" w:eastAsia="en-CA"/>
              </w:rPr>
            </w:pPr>
            <w:r w:rsidRPr="00E44C3F">
              <w:rPr>
                <w:sz w:val="19"/>
                <w:szCs w:val="19"/>
                <w:lang w:val="en-CA" w:eastAsia="en-CA"/>
              </w:rPr>
              <w:t xml:space="preserve">2009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391C03E" w14:textId="77777777" w:rsidR="006D172A" w:rsidRPr="00E44C3F" w:rsidRDefault="006D172A" w:rsidP="006D172A">
            <w:pPr>
              <w:jc w:val="right"/>
              <w:rPr>
                <w:sz w:val="19"/>
                <w:szCs w:val="19"/>
                <w:lang w:val="en-CA" w:eastAsia="en-CA"/>
              </w:rPr>
            </w:pPr>
            <w:r w:rsidRPr="00E44C3F">
              <w:rPr>
                <w:sz w:val="19"/>
                <w:szCs w:val="19"/>
                <w:lang w:val="en-CA" w:eastAsia="en-CA"/>
              </w:rPr>
              <w:t>22</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988FA78" w14:textId="77777777" w:rsidR="006D172A" w:rsidRPr="00E44C3F" w:rsidRDefault="006D172A" w:rsidP="006D172A">
            <w:pPr>
              <w:jc w:val="right"/>
              <w:rPr>
                <w:sz w:val="19"/>
                <w:szCs w:val="19"/>
                <w:lang w:val="en-CA" w:eastAsia="en-CA"/>
              </w:rPr>
            </w:pPr>
            <w:r w:rsidRPr="00E44C3F">
              <w:rPr>
                <w:sz w:val="19"/>
                <w:szCs w:val="19"/>
                <w:lang w:val="en-CA" w:eastAsia="en-CA"/>
              </w:rPr>
              <w:t>22</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6FD8F74"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8754861" w14:textId="4B3D7D31" w:rsidR="006D172A" w:rsidRPr="00E44C3F" w:rsidRDefault="006D172A" w:rsidP="006D172A">
            <w:pPr>
              <w:jc w:val="right"/>
              <w:rPr>
                <w:sz w:val="19"/>
                <w:szCs w:val="19"/>
                <w:lang w:val="en-CA" w:eastAsia="en-CA"/>
              </w:rPr>
            </w:pPr>
            <w:r w:rsidRPr="00E44C3F">
              <w:rPr>
                <w:sz w:val="19"/>
                <w:szCs w:val="19"/>
                <w:lang w:val="en-CA" w:eastAsia="en-CA"/>
              </w:rPr>
              <w:t>25</w:t>
            </w:r>
            <w:r w:rsidR="003762DD">
              <w:rPr>
                <w:sz w:val="19"/>
                <w:szCs w:val="19"/>
                <w:lang w:val="en-CA" w:eastAsia="en-CA"/>
              </w:rPr>
              <w:t> </w:t>
            </w:r>
            <w:r w:rsidRPr="00E44C3F">
              <w:rPr>
                <w:sz w:val="19"/>
                <w:szCs w:val="19"/>
                <w:lang w:val="en-CA" w:eastAsia="en-CA"/>
              </w:rPr>
              <w:t>563</w:t>
            </w:r>
            <w:r w:rsidR="003762DD">
              <w:rPr>
                <w:sz w:val="19"/>
                <w:szCs w:val="19"/>
                <w:lang w:val="en-CA" w:eastAsia="en-CA"/>
              </w:rPr>
              <w:t> </w:t>
            </w:r>
            <w:r w:rsidRPr="00E44C3F">
              <w:rPr>
                <w:sz w:val="19"/>
                <w:szCs w:val="19"/>
                <w:lang w:val="en-CA" w:eastAsia="en-CA"/>
              </w:rPr>
              <w:t>461</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6669904" w14:textId="16D5D986" w:rsidR="006D172A" w:rsidRPr="00E44C3F" w:rsidRDefault="006D172A" w:rsidP="006D172A">
            <w:pPr>
              <w:jc w:val="right"/>
              <w:rPr>
                <w:sz w:val="19"/>
                <w:szCs w:val="19"/>
                <w:lang w:val="en-CA" w:eastAsia="en-CA"/>
              </w:rPr>
            </w:pPr>
            <w:r w:rsidRPr="00E44C3F">
              <w:rPr>
                <w:sz w:val="19"/>
                <w:szCs w:val="19"/>
                <w:lang w:val="en-CA" w:eastAsia="en-CA"/>
              </w:rPr>
              <w:t>25</w:t>
            </w:r>
            <w:r w:rsidR="003762DD">
              <w:rPr>
                <w:sz w:val="19"/>
                <w:szCs w:val="19"/>
                <w:lang w:val="en-CA" w:eastAsia="en-CA"/>
              </w:rPr>
              <w:t> </w:t>
            </w:r>
            <w:r w:rsidRPr="00E44C3F">
              <w:rPr>
                <w:sz w:val="19"/>
                <w:szCs w:val="19"/>
                <w:lang w:val="en-CA" w:eastAsia="en-CA"/>
              </w:rPr>
              <w:t>563</w:t>
            </w:r>
            <w:r w:rsidR="003762DD">
              <w:rPr>
                <w:sz w:val="19"/>
                <w:szCs w:val="19"/>
                <w:lang w:val="en-CA" w:eastAsia="en-CA"/>
              </w:rPr>
              <w:t> </w:t>
            </w:r>
            <w:r w:rsidRPr="00E44C3F">
              <w:rPr>
                <w:sz w:val="19"/>
                <w:szCs w:val="19"/>
                <w:lang w:val="en-CA" w:eastAsia="en-CA"/>
              </w:rPr>
              <w:t>461</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908F7E2"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81A733D"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569CA536"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595D60CF" w14:textId="77777777" w:rsidR="006D172A" w:rsidRPr="00E44C3F" w:rsidRDefault="006D172A" w:rsidP="006D172A">
            <w:pPr>
              <w:jc w:val="left"/>
              <w:rPr>
                <w:sz w:val="19"/>
                <w:szCs w:val="19"/>
                <w:lang w:val="en-CA" w:eastAsia="en-CA"/>
              </w:rPr>
            </w:pPr>
            <w:r w:rsidRPr="00E44C3F">
              <w:rPr>
                <w:sz w:val="19"/>
                <w:szCs w:val="19"/>
                <w:lang w:val="en-CA" w:eastAsia="en-CA"/>
              </w:rPr>
              <w:t xml:space="preserve">2010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E57C2DB" w14:textId="77777777" w:rsidR="006D172A" w:rsidRPr="00E44C3F" w:rsidRDefault="006D172A" w:rsidP="006D172A">
            <w:pPr>
              <w:jc w:val="right"/>
              <w:rPr>
                <w:sz w:val="19"/>
                <w:szCs w:val="19"/>
                <w:lang w:val="en-CA" w:eastAsia="en-CA"/>
              </w:rPr>
            </w:pPr>
            <w:r w:rsidRPr="00E44C3F">
              <w:rPr>
                <w:sz w:val="19"/>
                <w:szCs w:val="19"/>
                <w:lang w:val="en-CA" w:eastAsia="en-CA"/>
              </w:rPr>
              <w:t>16</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7DB4DB6" w14:textId="77777777" w:rsidR="006D172A" w:rsidRPr="00E44C3F" w:rsidRDefault="006D172A" w:rsidP="006D172A">
            <w:pPr>
              <w:jc w:val="right"/>
              <w:rPr>
                <w:sz w:val="19"/>
                <w:szCs w:val="19"/>
                <w:lang w:val="en-CA" w:eastAsia="en-CA"/>
              </w:rPr>
            </w:pPr>
            <w:r w:rsidRPr="00E44C3F">
              <w:rPr>
                <w:sz w:val="19"/>
                <w:szCs w:val="19"/>
                <w:lang w:val="en-CA" w:eastAsia="en-CA"/>
              </w:rPr>
              <w:t>16</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3410639"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098A102" w14:textId="27AF848E" w:rsidR="006D172A" w:rsidRPr="00E44C3F" w:rsidRDefault="006D172A" w:rsidP="006D172A">
            <w:pPr>
              <w:jc w:val="right"/>
              <w:rPr>
                <w:sz w:val="19"/>
                <w:szCs w:val="19"/>
                <w:lang w:val="en-CA" w:eastAsia="en-CA"/>
              </w:rPr>
            </w:pPr>
            <w:r w:rsidRPr="00E44C3F">
              <w:rPr>
                <w:sz w:val="19"/>
                <w:szCs w:val="19"/>
                <w:lang w:val="en-CA" w:eastAsia="en-CA"/>
              </w:rPr>
              <w:t>1</w:t>
            </w:r>
            <w:r w:rsidR="003762DD">
              <w:rPr>
                <w:sz w:val="19"/>
                <w:szCs w:val="19"/>
                <w:lang w:val="en-CA" w:eastAsia="en-CA"/>
              </w:rPr>
              <w:t> </w:t>
            </w:r>
            <w:r w:rsidRPr="00E44C3F">
              <w:rPr>
                <w:sz w:val="19"/>
                <w:szCs w:val="19"/>
                <w:lang w:val="en-CA" w:eastAsia="en-CA"/>
              </w:rPr>
              <w:t>148</w:t>
            </w:r>
            <w:r w:rsidR="003762DD">
              <w:rPr>
                <w:sz w:val="19"/>
                <w:szCs w:val="19"/>
                <w:lang w:val="en-CA" w:eastAsia="en-CA"/>
              </w:rPr>
              <w:t> </w:t>
            </w:r>
            <w:r w:rsidRPr="00E44C3F">
              <w:rPr>
                <w:sz w:val="19"/>
                <w:szCs w:val="19"/>
                <w:lang w:val="en-CA" w:eastAsia="en-CA"/>
              </w:rPr>
              <w:t>623</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A659D93" w14:textId="547881B2" w:rsidR="006D172A" w:rsidRPr="00E44C3F" w:rsidRDefault="006D172A" w:rsidP="006D172A">
            <w:pPr>
              <w:jc w:val="right"/>
              <w:rPr>
                <w:sz w:val="19"/>
                <w:szCs w:val="19"/>
                <w:lang w:val="en-CA" w:eastAsia="en-CA"/>
              </w:rPr>
            </w:pPr>
            <w:r w:rsidRPr="00E44C3F">
              <w:rPr>
                <w:sz w:val="19"/>
                <w:szCs w:val="19"/>
                <w:lang w:val="en-CA" w:eastAsia="en-CA"/>
              </w:rPr>
              <w:t>1</w:t>
            </w:r>
            <w:r w:rsidR="003762DD">
              <w:rPr>
                <w:sz w:val="19"/>
                <w:szCs w:val="19"/>
                <w:lang w:val="en-CA" w:eastAsia="en-CA"/>
              </w:rPr>
              <w:t> </w:t>
            </w:r>
            <w:r w:rsidRPr="00E44C3F">
              <w:rPr>
                <w:sz w:val="19"/>
                <w:szCs w:val="19"/>
                <w:lang w:val="en-CA" w:eastAsia="en-CA"/>
              </w:rPr>
              <w:t>148</w:t>
            </w:r>
            <w:r w:rsidR="003762DD">
              <w:rPr>
                <w:sz w:val="19"/>
                <w:szCs w:val="19"/>
                <w:lang w:val="en-CA" w:eastAsia="en-CA"/>
              </w:rPr>
              <w:t> </w:t>
            </w:r>
            <w:r w:rsidRPr="00E44C3F">
              <w:rPr>
                <w:sz w:val="19"/>
                <w:szCs w:val="19"/>
                <w:lang w:val="en-CA" w:eastAsia="en-CA"/>
              </w:rPr>
              <w:t>623</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75ACDB2"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191EF79"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1A167BBF"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527AE18F" w14:textId="77777777" w:rsidR="006D172A" w:rsidRPr="00E44C3F" w:rsidRDefault="006D172A" w:rsidP="006D172A">
            <w:pPr>
              <w:jc w:val="left"/>
              <w:rPr>
                <w:sz w:val="19"/>
                <w:szCs w:val="19"/>
                <w:lang w:val="en-CA" w:eastAsia="en-CA"/>
              </w:rPr>
            </w:pPr>
            <w:r w:rsidRPr="00E44C3F">
              <w:rPr>
                <w:sz w:val="19"/>
                <w:szCs w:val="19"/>
                <w:lang w:val="en-CA" w:eastAsia="en-CA"/>
              </w:rPr>
              <w:t xml:space="preserve">2011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F2C0131" w14:textId="77777777" w:rsidR="006D172A" w:rsidRPr="00E44C3F" w:rsidRDefault="006D172A" w:rsidP="006D172A">
            <w:pPr>
              <w:jc w:val="right"/>
              <w:rPr>
                <w:sz w:val="19"/>
                <w:szCs w:val="19"/>
                <w:lang w:val="en-CA" w:eastAsia="en-CA"/>
              </w:rPr>
            </w:pPr>
            <w:r w:rsidRPr="00E44C3F">
              <w:rPr>
                <w:sz w:val="19"/>
                <w:szCs w:val="19"/>
                <w:lang w:val="en-CA" w:eastAsia="en-CA"/>
              </w:rPr>
              <w:t>10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6369143" w14:textId="77777777" w:rsidR="006D172A" w:rsidRPr="00E44C3F" w:rsidRDefault="006D172A" w:rsidP="006D172A">
            <w:pPr>
              <w:jc w:val="right"/>
              <w:rPr>
                <w:sz w:val="19"/>
                <w:szCs w:val="19"/>
                <w:lang w:val="en-CA" w:eastAsia="en-CA"/>
              </w:rPr>
            </w:pPr>
            <w:r w:rsidRPr="00E44C3F">
              <w:rPr>
                <w:sz w:val="19"/>
                <w:szCs w:val="19"/>
                <w:lang w:val="en-CA" w:eastAsia="en-CA"/>
              </w:rPr>
              <w:t>10</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66F96B9"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1F619D1" w14:textId="7A2D90B1" w:rsidR="006D172A" w:rsidRPr="00E44C3F" w:rsidRDefault="006D172A" w:rsidP="006D172A">
            <w:pPr>
              <w:jc w:val="right"/>
              <w:rPr>
                <w:sz w:val="19"/>
                <w:szCs w:val="19"/>
                <w:lang w:val="en-CA" w:eastAsia="en-CA"/>
              </w:rPr>
            </w:pPr>
            <w:r w:rsidRPr="00E44C3F">
              <w:rPr>
                <w:sz w:val="19"/>
                <w:szCs w:val="19"/>
                <w:lang w:val="en-CA" w:eastAsia="en-CA"/>
              </w:rPr>
              <w:t>44</w:t>
            </w:r>
            <w:r w:rsidR="003762DD">
              <w:rPr>
                <w:sz w:val="19"/>
                <w:szCs w:val="19"/>
                <w:lang w:val="en-CA" w:eastAsia="en-CA"/>
              </w:rPr>
              <w:t> </w:t>
            </w:r>
            <w:r w:rsidRPr="00E44C3F">
              <w:rPr>
                <w:sz w:val="19"/>
                <w:szCs w:val="19"/>
                <w:lang w:val="en-CA" w:eastAsia="en-CA"/>
              </w:rPr>
              <w:t>367</w:t>
            </w:r>
            <w:r w:rsidR="003762DD">
              <w:rPr>
                <w:sz w:val="19"/>
                <w:szCs w:val="19"/>
                <w:lang w:val="en-CA" w:eastAsia="en-CA"/>
              </w:rPr>
              <w:t> </w:t>
            </w:r>
            <w:r w:rsidRPr="00E44C3F">
              <w:rPr>
                <w:sz w:val="19"/>
                <w:szCs w:val="19"/>
                <w:lang w:val="en-CA" w:eastAsia="en-CA"/>
              </w:rPr>
              <w:t>458</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9491BE7" w14:textId="246B6D6C" w:rsidR="006D172A" w:rsidRPr="00E44C3F" w:rsidRDefault="006D172A" w:rsidP="006D172A">
            <w:pPr>
              <w:jc w:val="right"/>
              <w:rPr>
                <w:sz w:val="19"/>
                <w:szCs w:val="19"/>
                <w:lang w:val="en-CA" w:eastAsia="en-CA"/>
              </w:rPr>
            </w:pPr>
            <w:r w:rsidRPr="00E44C3F">
              <w:rPr>
                <w:sz w:val="19"/>
                <w:szCs w:val="19"/>
                <w:lang w:val="en-CA" w:eastAsia="en-CA"/>
              </w:rPr>
              <w:t>44</w:t>
            </w:r>
            <w:r w:rsidR="003762DD">
              <w:rPr>
                <w:sz w:val="19"/>
                <w:szCs w:val="19"/>
                <w:lang w:val="en-CA" w:eastAsia="en-CA"/>
              </w:rPr>
              <w:t> </w:t>
            </w:r>
            <w:r w:rsidRPr="00E44C3F">
              <w:rPr>
                <w:sz w:val="19"/>
                <w:szCs w:val="19"/>
                <w:lang w:val="en-CA" w:eastAsia="en-CA"/>
              </w:rPr>
              <w:t>314</w:t>
            </w:r>
            <w:r w:rsidR="003762DD">
              <w:rPr>
                <w:sz w:val="19"/>
                <w:szCs w:val="19"/>
                <w:lang w:val="en-CA" w:eastAsia="en-CA"/>
              </w:rPr>
              <w:t> </w:t>
            </w:r>
            <w:r w:rsidRPr="00E44C3F">
              <w:rPr>
                <w:sz w:val="19"/>
                <w:szCs w:val="19"/>
                <w:lang w:val="en-CA" w:eastAsia="en-CA"/>
              </w:rPr>
              <w:t>997</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4C03080" w14:textId="7CD7FAAF" w:rsidR="006D172A" w:rsidRPr="00E44C3F" w:rsidRDefault="006D172A" w:rsidP="006D172A">
            <w:pPr>
              <w:jc w:val="right"/>
              <w:rPr>
                <w:sz w:val="19"/>
                <w:szCs w:val="19"/>
                <w:lang w:val="en-CA" w:eastAsia="en-CA"/>
              </w:rPr>
            </w:pPr>
            <w:r w:rsidRPr="00E44C3F">
              <w:rPr>
                <w:sz w:val="19"/>
                <w:szCs w:val="19"/>
                <w:lang w:val="en-CA" w:eastAsia="en-CA"/>
              </w:rPr>
              <w:t>52</w:t>
            </w:r>
            <w:r w:rsidR="003762DD">
              <w:rPr>
                <w:sz w:val="19"/>
                <w:szCs w:val="19"/>
                <w:lang w:val="en-CA" w:eastAsia="en-CA"/>
              </w:rPr>
              <w:t> </w:t>
            </w:r>
            <w:r w:rsidRPr="00E44C3F">
              <w:rPr>
                <w:sz w:val="19"/>
                <w:szCs w:val="19"/>
                <w:lang w:val="en-CA" w:eastAsia="en-CA"/>
              </w:rPr>
              <w:t>461</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C119890"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49468BB2"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6B960109" w14:textId="77777777" w:rsidR="006D172A" w:rsidRPr="00E44C3F" w:rsidRDefault="006D172A" w:rsidP="006D172A">
            <w:pPr>
              <w:jc w:val="left"/>
              <w:rPr>
                <w:sz w:val="19"/>
                <w:szCs w:val="19"/>
                <w:lang w:val="en-CA" w:eastAsia="en-CA"/>
              </w:rPr>
            </w:pPr>
            <w:r w:rsidRPr="00E44C3F">
              <w:rPr>
                <w:sz w:val="19"/>
                <w:szCs w:val="19"/>
                <w:lang w:val="en-CA" w:eastAsia="en-CA"/>
              </w:rPr>
              <w:t xml:space="preserve">2012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4B2AE60" w14:textId="77777777" w:rsidR="006D172A" w:rsidRPr="00E44C3F" w:rsidRDefault="006D172A" w:rsidP="006D172A">
            <w:pPr>
              <w:jc w:val="right"/>
              <w:rPr>
                <w:sz w:val="19"/>
                <w:szCs w:val="19"/>
                <w:lang w:val="en-CA" w:eastAsia="en-CA"/>
              </w:rPr>
            </w:pPr>
            <w:r w:rsidRPr="00E44C3F">
              <w:rPr>
                <w:sz w:val="19"/>
                <w:szCs w:val="19"/>
                <w:lang w:val="en-CA" w:eastAsia="en-CA"/>
              </w:rPr>
              <w:t>10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5D89FAD" w14:textId="77777777" w:rsidR="006D172A" w:rsidRPr="00E44C3F" w:rsidRDefault="006D172A" w:rsidP="006D172A">
            <w:pPr>
              <w:jc w:val="right"/>
              <w:rPr>
                <w:sz w:val="19"/>
                <w:szCs w:val="19"/>
                <w:lang w:val="en-CA" w:eastAsia="en-CA"/>
              </w:rPr>
            </w:pPr>
            <w:r w:rsidRPr="00E44C3F">
              <w:rPr>
                <w:sz w:val="19"/>
                <w:szCs w:val="19"/>
                <w:lang w:val="en-CA" w:eastAsia="en-CA"/>
              </w:rPr>
              <w:t>10</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2725AA1"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80BC7D3" w14:textId="401D1760" w:rsidR="006D172A" w:rsidRPr="00E44C3F" w:rsidRDefault="006D172A" w:rsidP="006D172A">
            <w:pPr>
              <w:jc w:val="right"/>
              <w:rPr>
                <w:sz w:val="19"/>
                <w:szCs w:val="19"/>
                <w:lang w:val="en-CA" w:eastAsia="en-CA"/>
              </w:rPr>
            </w:pPr>
            <w:r w:rsidRPr="00E44C3F">
              <w:rPr>
                <w:sz w:val="19"/>
                <w:szCs w:val="19"/>
                <w:lang w:val="en-CA" w:eastAsia="en-CA"/>
              </w:rPr>
              <w:t>11</w:t>
            </w:r>
            <w:r w:rsidR="003762DD">
              <w:rPr>
                <w:sz w:val="19"/>
                <w:szCs w:val="19"/>
                <w:lang w:val="en-CA" w:eastAsia="en-CA"/>
              </w:rPr>
              <w:t> </w:t>
            </w:r>
            <w:r w:rsidRPr="00E44C3F">
              <w:rPr>
                <w:sz w:val="19"/>
                <w:szCs w:val="19"/>
                <w:lang w:val="en-CA" w:eastAsia="en-CA"/>
              </w:rPr>
              <w:t>698</w:t>
            </w:r>
            <w:r w:rsidR="003762DD">
              <w:rPr>
                <w:sz w:val="19"/>
                <w:szCs w:val="19"/>
                <w:lang w:val="en-CA" w:eastAsia="en-CA"/>
              </w:rPr>
              <w:t> </w:t>
            </w:r>
            <w:r w:rsidRPr="00E44C3F">
              <w:rPr>
                <w:sz w:val="19"/>
                <w:szCs w:val="19"/>
                <w:lang w:val="en-CA" w:eastAsia="en-CA"/>
              </w:rPr>
              <w:t>145</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6FDD4B9" w14:textId="389EAB1E" w:rsidR="006D172A" w:rsidRPr="00E44C3F" w:rsidRDefault="006D172A" w:rsidP="006D172A">
            <w:pPr>
              <w:jc w:val="right"/>
              <w:rPr>
                <w:sz w:val="19"/>
                <w:szCs w:val="19"/>
                <w:lang w:val="en-CA" w:eastAsia="en-CA"/>
              </w:rPr>
            </w:pPr>
            <w:r w:rsidRPr="00E44C3F">
              <w:rPr>
                <w:sz w:val="19"/>
                <w:szCs w:val="19"/>
                <w:lang w:val="en-CA" w:eastAsia="en-CA"/>
              </w:rPr>
              <w:t>11</w:t>
            </w:r>
            <w:r w:rsidR="003762DD">
              <w:rPr>
                <w:sz w:val="19"/>
                <w:szCs w:val="19"/>
                <w:lang w:val="en-CA" w:eastAsia="en-CA"/>
              </w:rPr>
              <w:t> </w:t>
            </w:r>
            <w:r w:rsidRPr="00E44C3F">
              <w:rPr>
                <w:sz w:val="19"/>
                <w:szCs w:val="19"/>
                <w:lang w:val="en-CA" w:eastAsia="en-CA"/>
              </w:rPr>
              <w:t>698</w:t>
            </w:r>
            <w:r w:rsidR="003762DD">
              <w:rPr>
                <w:sz w:val="19"/>
                <w:szCs w:val="19"/>
                <w:lang w:val="en-CA" w:eastAsia="en-CA"/>
              </w:rPr>
              <w:t> </w:t>
            </w:r>
            <w:r w:rsidRPr="00E44C3F">
              <w:rPr>
                <w:sz w:val="19"/>
                <w:szCs w:val="19"/>
                <w:lang w:val="en-CA" w:eastAsia="en-CA"/>
              </w:rPr>
              <w:t>145</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2D6ACB3"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0AC33A8"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70BCD8C6"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326A196F" w14:textId="77777777" w:rsidR="006D172A" w:rsidRPr="00E44C3F" w:rsidRDefault="006D172A" w:rsidP="006D172A">
            <w:pPr>
              <w:jc w:val="left"/>
              <w:rPr>
                <w:sz w:val="19"/>
                <w:szCs w:val="19"/>
                <w:lang w:val="en-CA" w:eastAsia="en-CA"/>
              </w:rPr>
            </w:pPr>
            <w:r w:rsidRPr="00E44C3F">
              <w:rPr>
                <w:sz w:val="19"/>
                <w:szCs w:val="19"/>
                <w:lang w:val="en-CA" w:eastAsia="en-CA"/>
              </w:rPr>
              <w:t xml:space="preserve">2013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B5E9523" w14:textId="77777777" w:rsidR="006D172A" w:rsidRPr="00E44C3F" w:rsidRDefault="006D172A" w:rsidP="006D172A">
            <w:pPr>
              <w:jc w:val="right"/>
              <w:rPr>
                <w:sz w:val="19"/>
                <w:szCs w:val="19"/>
                <w:lang w:val="en-CA" w:eastAsia="en-CA"/>
              </w:rPr>
            </w:pPr>
            <w:r w:rsidRPr="00E44C3F">
              <w:rPr>
                <w:sz w:val="19"/>
                <w:szCs w:val="19"/>
                <w:lang w:val="en-CA" w:eastAsia="en-CA"/>
              </w:rPr>
              <w:t>7</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68C2313" w14:textId="77777777" w:rsidR="006D172A" w:rsidRPr="00E44C3F" w:rsidRDefault="006D172A" w:rsidP="006D172A">
            <w:pPr>
              <w:jc w:val="right"/>
              <w:rPr>
                <w:sz w:val="19"/>
                <w:szCs w:val="19"/>
                <w:lang w:val="en-CA" w:eastAsia="en-CA"/>
              </w:rPr>
            </w:pPr>
            <w:r w:rsidRPr="00E44C3F">
              <w:rPr>
                <w:sz w:val="19"/>
                <w:szCs w:val="19"/>
                <w:lang w:val="en-CA" w:eastAsia="en-CA"/>
              </w:rPr>
              <w:t>7</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92A750F"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CD97C2A" w14:textId="11C61DED" w:rsidR="006D172A" w:rsidRPr="00E44C3F" w:rsidRDefault="006D172A" w:rsidP="006D172A">
            <w:pPr>
              <w:jc w:val="right"/>
              <w:rPr>
                <w:sz w:val="19"/>
                <w:szCs w:val="19"/>
                <w:lang w:val="en-CA" w:eastAsia="en-CA"/>
              </w:rPr>
            </w:pPr>
            <w:r w:rsidRPr="00E44C3F">
              <w:rPr>
                <w:sz w:val="19"/>
                <w:szCs w:val="19"/>
                <w:lang w:val="en-CA" w:eastAsia="en-CA"/>
              </w:rPr>
              <w:t>43</w:t>
            </w:r>
            <w:r w:rsidR="003762DD">
              <w:rPr>
                <w:sz w:val="19"/>
                <w:szCs w:val="19"/>
                <w:lang w:val="en-CA" w:eastAsia="en-CA"/>
              </w:rPr>
              <w:t> </w:t>
            </w:r>
            <w:r w:rsidRPr="00E44C3F">
              <w:rPr>
                <w:sz w:val="19"/>
                <w:szCs w:val="19"/>
                <w:lang w:val="en-CA" w:eastAsia="en-CA"/>
              </w:rPr>
              <w:t>650</w:t>
            </w:r>
            <w:r w:rsidR="003762DD">
              <w:rPr>
                <w:sz w:val="19"/>
                <w:szCs w:val="19"/>
                <w:lang w:val="en-CA" w:eastAsia="en-CA"/>
              </w:rPr>
              <w:t> </w:t>
            </w:r>
            <w:r w:rsidRPr="00E44C3F">
              <w:rPr>
                <w:sz w:val="19"/>
                <w:szCs w:val="19"/>
                <w:lang w:val="en-CA" w:eastAsia="en-CA"/>
              </w:rPr>
              <w:t>189</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E7D4E8C" w14:textId="1C96FE7A" w:rsidR="006D172A" w:rsidRPr="00E44C3F" w:rsidRDefault="006D172A" w:rsidP="006D172A">
            <w:pPr>
              <w:jc w:val="right"/>
              <w:rPr>
                <w:sz w:val="19"/>
                <w:szCs w:val="19"/>
                <w:lang w:val="en-CA" w:eastAsia="en-CA"/>
              </w:rPr>
            </w:pPr>
            <w:r w:rsidRPr="00E44C3F">
              <w:rPr>
                <w:sz w:val="19"/>
                <w:szCs w:val="19"/>
                <w:lang w:val="en-CA" w:eastAsia="en-CA"/>
              </w:rPr>
              <w:t>43</w:t>
            </w:r>
            <w:r w:rsidR="003762DD">
              <w:rPr>
                <w:sz w:val="19"/>
                <w:szCs w:val="19"/>
                <w:lang w:val="en-CA" w:eastAsia="en-CA"/>
              </w:rPr>
              <w:t> </w:t>
            </w:r>
            <w:r w:rsidRPr="00E44C3F">
              <w:rPr>
                <w:sz w:val="19"/>
                <w:szCs w:val="19"/>
                <w:lang w:val="en-CA" w:eastAsia="en-CA"/>
              </w:rPr>
              <w:t>602</w:t>
            </w:r>
            <w:r w:rsidR="003762DD">
              <w:rPr>
                <w:sz w:val="19"/>
                <w:szCs w:val="19"/>
                <w:lang w:val="en-CA" w:eastAsia="en-CA"/>
              </w:rPr>
              <w:t> </w:t>
            </w:r>
            <w:r w:rsidRPr="00E44C3F">
              <w:rPr>
                <w:sz w:val="19"/>
                <w:szCs w:val="19"/>
                <w:lang w:val="en-CA" w:eastAsia="en-CA"/>
              </w:rPr>
              <w:t>958</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83B0AEE" w14:textId="7C9F8254" w:rsidR="006D172A" w:rsidRPr="00E44C3F" w:rsidRDefault="006D172A" w:rsidP="006D172A">
            <w:pPr>
              <w:jc w:val="right"/>
              <w:rPr>
                <w:sz w:val="19"/>
                <w:szCs w:val="19"/>
                <w:lang w:val="en-CA" w:eastAsia="en-CA"/>
              </w:rPr>
            </w:pPr>
            <w:r w:rsidRPr="00E44C3F">
              <w:rPr>
                <w:sz w:val="19"/>
                <w:szCs w:val="19"/>
                <w:lang w:val="en-CA" w:eastAsia="en-CA"/>
              </w:rPr>
              <w:t>47</w:t>
            </w:r>
            <w:r w:rsidR="003762DD">
              <w:rPr>
                <w:sz w:val="19"/>
                <w:szCs w:val="19"/>
                <w:lang w:val="en-CA" w:eastAsia="en-CA"/>
              </w:rPr>
              <w:t> </w:t>
            </w:r>
            <w:r w:rsidRPr="00E44C3F">
              <w:rPr>
                <w:sz w:val="19"/>
                <w:szCs w:val="19"/>
                <w:lang w:val="en-CA" w:eastAsia="en-CA"/>
              </w:rPr>
              <w:t>231</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C1F1D89"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550B2971"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17D51320" w14:textId="77777777" w:rsidR="006D172A" w:rsidRPr="00E44C3F" w:rsidRDefault="006D172A" w:rsidP="006D172A">
            <w:pPr>
              <w:jc w:val="left"/>
              <w:rPr>
                <w:sz w:val="19"/>
                <w:szCs w:val="19"/>
                <w:lang w:val="en-CA" w:eastAsia="en-CA"/>
              </w:rPr>
            </w:pPr>
            <w:r w:rsidRPr="00E44C3F">
              <w:rPr>
                <w:sz w:val="19"/>
                <w:szCs w:val="19"/>
                <w:lang w:val="en-CA" w:eastAsia="en-CA"/>
              </w:rPr>
              <w:t xml:space="preserve">2014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44B7B61" w14:textId="77777777" w:rsidR="006D172A" w:rsidRPr="00E44C3F" w:rsidRDefault="006D172A" w:rsidP="006D172A">
            <w:pPr>
              <w:jc w:val="right"/>
              <w:rPr>
                <w:sz w:val="19"/>
                <w:szCs w:val="19"/>
                <w:lang w:val="en-CA" w:eastAsia="en-CA"/>
              </w:rPr>
            </w:pPr>
            <w:r w:rsidRPr="00E44C3F">
              <w:rPr>
                <w:sz w:val="19"/>
                <w:szCs w:val="19"/>
                <w:lang w:val="en-CA" w:eastAsia="en-CA"/>
              </w:rPr>
              <w:t>13</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EC92064" w14:textId="77777777" w:rsidR="006D172A" w:rsidRPr="00E44C3F" w:rsidRDefault="006D172A" w:rsidP="006D172A">
            <w:pPr>
              <w:jc w:val="right"/>
              <w:rPr>
                <w:sz w:val="19"/>
                <w:szCs w:val="19"/>
                <w:lang w:val="en-CA" w:eastAsia="en-CA"/>
              </w:rPr>
            </w:pPr>
            <w:r w:rsidRPr="00E44C3F">
              <w:rPr>
                <w:sz w:val="19"/>
                <w:szCs w:val="19"/>
                <w:lang w:val="en-CA" w:eastAsia="en-CA"/>
              </w:rPr>
              <w:t>13</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4EC623C"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B8183B2" w14:textId="2336F5E1" w:rsidR="006D172A" w:rsidRPr="00E44C3F" w:rsidRDefault="006D172A" w:rsidP="006D172A">
            <w:pPr>
              <w:jc w:val="right"/>
              <w:rPr>
                <w:sz w:val="19"/>
                <w:szCs w:val="19"/>
                <w:lang w:val="en-CA" w:eastAsia="en-CA"/>
              </w:rPr>
            </w:pPr>
            <w:r w:rsidRPr="00E44C3F">
              <w:rPr>
                <w:sz w:val="19"/>
                <w:szCs w:val="19"/>
                <w:lang w:val="en-CA" w:eastAsia="en-CA"/>
              </w:rPr>
              <w:t>28</w:t>
            </w:r>
            <w:r w:rsidR="003762DD">
              <w:rPr>
                <w:sz w:val="19"/>
                <w:szCs w:val="19"/>
                <w:lang w:val="en-CA" w:eastAsia="en-CA"/>
              </w:rPr>
              <w:t> </w:t>
            </w:r>
            <w:r w:rsidRPr="00E44C3F">
              <w:rPr>
                <w:sz w:val="19"/>
                <w:szCs w:val="19"/>
                <w:lang w:val="en-CA" w:eastAsia="en-CA"/>
              </w:rPr>
              <w:t>336</w:t>
            </w:r>
            <w:r w:rsidR="003762DD">
              <w:rPr>
                <w:sz w:val="19"/>
                <w:szCs w:val="19"/>
                <w:lang w:val="en-CA" w:eastAsia="en-CA"/>
              </w:rPr>
              <w:t> </w:t>
            </w:r>
            <w:r w:rsidRPr="00E44C3F">
              <w:rPr>
                <w:sz w:val="19"/>
                <w:szCs w:val="19"/>
                <w:lang w:val="en-CA" w:eastAsia="en-CA"/>
              </w:rPr>
              <w:t>509</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2A60CB7" w14:textId="1253BFBD" w:rsidR="006D172A" w:rsidRPr="00E44C3F" w:rsidRDefault="006D172A" w:rsidP="006D172A">
            <w:pPr>
              <w:jc w:val="right"/>
              <w:rPr>
                <w:sz w:val="19"/>
                <w:szCs w:val="19"/>
                <w:lang w:val="en-CA" w:eastAsia="en-CA"/>
              </w:rPr>
            </w:pPr>
            <w:r w:rsidRPr="00E44C3F">
              <w:rPr>
                <w:sz w:val="19"/>
                <w:szCs w:val="19"/>
                <w:lang w:val="en-CA" w:eastAsia="en-CA"/>
              </w:rPr>
              <w:t>28</w:t>
            </w:r>
            <w:r w:rsidR="003762DD">
              <w:rPr>
                <w:sz w:val="19"/>
                <w:szCs w:val="19"/>
                <w:lang w:val="en-CA" w:eastAsia="en-CA"/>
              </w:rPr>
              <w:t> </w:t>
            </w:r>
            <w:r w:rsidRPr="00E44C3F">
              <w:rPr>
                <w:sz w:val="19"/>
                <w:szCs w:val="19"/>
                <w:lang w:val="en-CA" w:eastAsia="en-CA"/>
              </w:rPr>
              <w:t>336</w:t>
            </w:r>
            <w:r w:rsidR="003762DD">
              <w:rPr>
                <w:sz w:val="19"/>
                <w:szCs w:val="19"/>
                <w:lang w:val="en-CA" w:eastAsia="en-CA"/>
              </w:rPr>
              <w:t> </w:t>
            </w:r>
            <w:r w:rsidRPr="00E44C3F">
              <w:rPr>
                <w:sz w:val="19"/>
                <w:szCs w:val="19"/>
                <w:lang w:val="en-CA" w:eastAsia="en-CA"/>
              </w:rPr>
              <w:t>509</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742CC81"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8AC4CCE"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0F1AC9BF"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2841AD24" w14:textId="77777777" w:rsidR="006D172A" w:rsidRPr="00E44C3F" w:rsidRDefault="006D172A" w:rsidP="006D172A">
            <w:pPr>
              <w:jc w:val="left"/>
              <w:rPr>
                <w:sz w:val="19"/>
                <w:szCs w:val="19"/>
                <w:lang w:val="en-CA" w:eastAsia="en-CA"/>
              </w:rPr>
            </w:pPr>
            <w:r w:rsidRPr="00E44C3F">
              <w:rPr>
                <w:sz w:val="19"/>
                <w:szCs w:val="19"/>
                <w:lang w:val="en-CA" w:eastAsia="en-CA"/>
              </w:rPr>
              <w:t xml:space="preserve">2015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A9C16CA" w14:textId="77777777" w:rsidR="006D172A" w:rsidRPr="00E44C3F" w:rsidRDefault="006D172A" w:rsidP="006D172A">
            <w:pPr>
              <w:jc w:val="right"/>
              <w:rPr>
                <w:sz w:val="19"/>
                <w:szCs w:val="19"/>
                <w:lang w:val="en-CA" w:eastAsia="en-CA"/>
              </w:rPr>
            </w:pPr>
            <w:r w:rsidRPr="00E44C3F">
              <w:rPr>
                <w:sz w:val="19"/>
                <w:szCs w:val="19"/>
                <w:lang w:val="en-CA" w:eastAsia="en-CA"/>
              </w:rPr>
              <w:t>13</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12345FB" w14:textId="77777777" w:rsidR="006D172A" w:rsidRPr="00E44C3F" w:rsidRDefault="006D172A" w:rsidP="006D172A">
            <w:pPr>
              <w:jc w:val="right"/>
              <w:rPr>
                <w:sz w:val="19"/>
                <w:szCs w:val="19"/>
                <w:lang w:val="en-CA" w:eastAsia="en-CA"/>
              </w:rPr>
            </w:pPr>
            <w:r w:rsidRPr="00E44C3F">
              <w:rPr>
                <w:sz w:val="19"/>
                <w:szCs w:val="19"/>
                <w:lang w:val="en-CA" w:eastAsia="en-CA"/>
              </w:rPr>
              <w:t>13</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1409F1A"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7247805" w14:textId="33A81A01" w:rsidR="006D172A" w:rsidRPr="00E44C3F" w:rsidRDefault="006D172A" w:rsidP="006D172A">
            <w:pPr>
              <w:jc w:val="right"/>
              <w:rPr>
                <w:sz w:val="19"/>
                <w:szCs w:val="19"/>
                <w:lang w:val="en-CA" w:eastAsia="en-CA"/>
              </w:rPr>
            </w:pPr>
            <w:r w:rsidRPr="00E44C3F">
              <w:rPr>
                <w:sz w:val="19"/>
                <w:szCs w:val="19"/>
                <w:lang w:val="en-CA" w:eastAsia="en-CA"/>
              </w:rPr>
              <w:t>62</w:t>
            </w:r>
            <w:r w:rsidR="003762DD">
              <w:rPr>
                <w:sz w:val="19"/>
                <w:szCs w:val="19"/>
                <w:lang w:val="en-CA" w:eastAsia="en-CA"/>
              </w:rPr>
              <w:t> </w:t>
            </w:r>
            <w:r w:rsidRPr="00E44C3F">
              <w:rPr>
                <w:sz w:val="19"/>
                <w:szCs w:val="19"/>
                <w:lang w:val="en-CA" w:eastAsia="en-CA"/>
              </w:rPr>
              <w:t>990</w:t>
            </w:r>
            <w:r w:rsidR="003762DD">
              <w:rPr>
                <w:sz w:val="19"/>
                <w:szCs w:val="19"/>
                <w:lang w:val="en-CA" w:eastAsia="en-CA"/>
              </w:rPr>
              <w:t> </w:t>
            </w:r>
            <w:r w:rsidRPr="00E44C3F">
              <w:rPr>
                <w:sz w:val="19"/>
                <w:szCs w:val="19"/>
                <w:lang w:val="en-CA" w:eastAsia="en-CA"/>
              </w:rPr>
              <w:t>648</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D1D2DEA" w14:textId="1F73F640" w:rsidR="006D172A" w:rsidRPr="00E44C3F" w:rsidRDefault="006D172A" w:rsidP="006D172A">
            <w:pPr>
              <w:jc w:val="right"/>
              <w:rPr>
                <w:sz w:val="19"/>
                <w:szCs w:val="19"/>
                <w:lang w:val="en-CA" w:eastAsia="en-CA"/>
              </w:rPr>
            </w:pPr>
            <w:r w:rsidRPr="00E44C3F">
              <w:rPr>
                <w:sz w:val="19"/>
                <w:szCs w:val="19"/>
                <w:lang w:val="en-CA" w:eastAsia="en-CA"/>
              </w:rPr>
              <w:t>62</w:t>
            </w:r>
            <w:r w:rsidR="003762DD">
              <w:rPr>
                <w:sz w:val="19"/>
                <w:szCs w:val="19"/>
                <w:lang w:val="en-CA" w:eastAsia="en-CA"/>
              </w:rPr>
              <w:t> </w:t>
            </w:r>
            <w:r w:rsidRPr="00E44C3F">
              <w:rPr>
                <w:sz w:val="19"/>
                <w:szCs w:val="19"/>
                <w:lang w:val="en-CA" w:eastAsia="en-CA"/>
              </w:rPr>
              <w:t>990</w:t>
            </w:r>
            <w:r w:rsidR="003762DD">
              <w:rPr>
                <w:sz w:val="19"/>
                <w:szCs w:val="19"/>
                <w:lang w:val="en-CA" w:eastAsia="en-CA"/>
              </w:rPr>
              <w:t> </w:t>
            </w:r>
            <w:r w:rsidRPr="00E44C3F">
              <w:rPr>
                <w:sz w:val="19"/>
                <w:szCs w:val="19"/>
                <w:lang w:val="en-CA" w:eastAsia="en-CA"/>
              </w:rPr>
              <w:t>648</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377122C"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A00E33E"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274B9EF6"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11BA608F" w14:textId="77777777" w:rsidR="006D172A" w:rsidRPr="00E44C3F" w:rsidRDefault="006D172A" w:rsidP="006D172A">
            <w:pPr>
              <w:jc w:val="left"/>
              <w:rPr>
                <w:sz w:val="19"/>
                <w:szCs w:val="19"/>
                <w:lang w:val="en-CA" w:eastAsia="en-CA"/>
              </w:rPr>
            </w:pPr>
            <w:r w:rsidRPr="00E44C3F">
              <w:rPr>
                <w:sz w:val="19"/>
                <w:szCs w:val="19"/>
                <w:lang w:val="en-CA" w:eastAsia="en-CA"/>
              </w:rPr>
              <w:t xml:space="preserve">2016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616FBF5" w14:textId="77777777" w:rsidR="006D172A" w:rsidRPr="00E44C3F" w:rsidRDefault="006D172A" w:rsidP="006D172A">
            <w:pPr>
              <w:jc w:val="right"/>
              <w:rPr>
                <w:sz w:val="19"/>
                <w:szCs w:val="19"/>
                <w:lang w:val="en-CA" w:eastAsia="en-CA"/>
              </w:rPr>
            </w:pPr>
            <w:r w:rsidRPr="00E44C3F">
              <w:rPr>
                <w:sz w:val="19"/>
                <w:szCs w:val="19"/>
                <w:lang w:val="en-CA" w:eastAsia="en-CA"/>
              </w:rPr>
              <w:t>18</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ACCADB6" w14:textId="77777777" w:rsidR="006D172A" w:rsidRPr="00E44C3F" w:rsidRDefault="006D172A" w:rsidP="006D172A">
            <w:pPr>
              <w:jc w:val="right"/>
              <w:rPr>
                <w:sz w:val="19"/>
                <w:szCs w:val="19"/>
                <w:lang w:val="en-CA" w:eastAsia="en-CA"/>
              </w:rPr>
            </w:pPr>
            <w:r w:rsidRPr="00E44C3F">
              <w:rPr>
                <w:sz w:val="19"/>
                <w:szCs w:val="19"/>
                <w:lang w:val="en-CA" w:eastAsia="en-CA"/>
              </w:rPr>
              <w:t>15</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930F271" w14:textId="77777777" w:rsidR="006D172A" w:rsidRPr="00E44C3F" w:rsidRDefault="006D172A" w:rsidP="006D172A">
            <w:pPr>
              <w:jc w:val="right"/>
              <w:rPr>
                <w:sz w:val="19"/>
                <w:szCs w:val="19"/>
                <w:lang w:val="en-CA" w:eastAsia="en-CA"/>
              </w:rPr>
            </w:pPr>
            <w:r w:rsidRPr="00E44C3F">
              <w:rPr>
                <w:sz w:val="19"/>
                <w:szCs w:val="19"/>
                <w:lang w:val="en-CA" w:eastAsia="en-CA"/>
              </w:rPr>
              <w:t>83</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5D18BEE" w14:textId="7C8E5B57" w:rsidR="006D172A" w:rsidRPr="00E44C3F" w:rsidRDefault="006D172A" w:rsidP="006D172A">
            <w:pPr>
              <w:jc w:val="right"/>
              <w:rPr>
                <w:sz w:val="19"/>
                <w:szCs w:val="19"/>
                <w:lang w:val="en-CA" w:eastAsia="en-CA"/>
              </w:rPr>
            </w:pPr>
            <w:r w:rsidRPr="00E44C3F">
              <w:rPr>
                <w:sz w:val="19"/>
                <w:szCs w:val="19"/>
                <w:lang w:val="en-CA" w:eastAsia="en-CA"/>
              </w:rPr>
              <w:t>12</w:t>
            </w:r>
            <w:r w:rsidR="003762DD">
              <w:rPr>
                <w:sz w:val="19"/>
                <w:szCs w:val="19"/>
                <w:lang w:val="en-CA" w:eastAsia="en-CA"/>
              </w:rPr>
              <w:t> </w:t>
            </w:r>
            <w:r w:rsidRPr="00E44C3F">
              <w:rPr>
                <w:sz w:val="19"/>
                <w:szCs w:val="19"/>
                <w:lang w:val="en-CA" w:eastAsia="en-CA"/>
              </w:rPr>
              <w:t>631</w:t>
            </w:r>
            <w:r w:rsidR="003762DD">
              <w:rPr>
                <w:sz w:val="19"/>
                <w:szCs w:val="19"/>
                <w:lang w:val="en-CA" w:eastAsia="en-CA"/>
              </w:rPr>
              <w:t> </w:t>
            </w:r>
            <w:r w:rsidRPr="00E44C3F">
              <w:rPr>
                <w:sz w:val="19"/>
                <w:szCs w:val="19"/>
                <w:lang w:val="en-CA" w:eastAsia="en-CA"/>
              </w:rPr>
              <w:t>821</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2F1E9C0" w14:textId="1B10E3C6" w:rsidR="006D172A" w:rsidRPr="00E44C3F" w:rsidRDefault="006D172A" w:rsidP="006D172A">
            <w:pPr>
              <w:jc w:val="right"/>
              <w:rPr>
                <w:sz w:val="19"/>
                <w:szCs w:val="19"/>
                <w:lang w:val="en-CA" w:eastAsia="en-CA"/>
              </w:rPr>
            </w:pPr>
            <w:r w:rsidRPr="00E44C3F">
              <w:rPr>
                <w:sz w:val="19"/>
                <w:szCs w:val="19"/>
                <w:lang w:val="en-CA" w:eastAsia="en-CA"/>
              </w:rPr>
              <w:t>10</w:t>
            </w:r>
            <w:r w:rsidR="003762DD">
              <w:rPr>
                <w:sz w:val="19"/>
                <w:szCs w:val="19"/>
                <w:lang w:val="en-CA" w:eastAsia="en-CA"/>
              </w:rPr>
              <w:t> </w:t>
            </w:r>
            <w:r w:rsidRPr="00E44C3F">
              <w:rPr>
                <w:sz w:val="19"/>
                <w:szCs w:val="19"/>
                <w:lang w:val="en-CA" w:eastAsia="en-CA"/>
              </w:rPr>
              <w:t>642</w:t>
            </w:r>
            <w:r w:rsidR="003762DD">
              <w:rPr>
                <w:sz w:val="19"/>
                <w:szCs w:val="19"/>
                <w:lang w:val="en-CA" w:eastAsia="en-CA"/>
              </w:rPr>
              <w:t> </w:t>
            </w:r>
            <w:r w:rsidRPr="00E44C3F">
              <w:rPr>
                <w:sz w:val="19"/>
                <w:szCs w:val="19"/>
                <w:lang w:val="en-CA" w:eastAsia="en-CA"/>
              </w:rPr>
              <w:t>987</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5A13EBE" w14:textId="309889AE" w:rsidR="006D172A" w:rsidRPr="00E44C3F" w:rsidRDefault="006D172A" w:rsidP="006D172A">
            <w:pPr>
              <w:jc w:val="right"/>
              <w:rPr>
                <w:sz w:val="19"/>
                <w:szCs w:val="19"/>
                <w:lang w:val="en-CA" w:eastAsia="en-CA"/>
              </w:rPr>
            </w:pPr>
            <w:r w:rsidRPr="00E44C3F">
              <w:rPr>
                <w:sz w:val="19"/>
                <w:szCs w:val="19"/>
                <w:lang w:val="en-CA" w:eastAsia="en-CA"/>
              </w:rPr>
              <w:t>1</w:t>
            </w:r>
            <w:r w:rsidR="003762DD">
              <w:rPr>
                <w:sz w:val="19"/>
                <w:szCs w:val="19"/>
                <w:lang w:val="en-CA" w:eastAsia="en-CA"/>
              </w:rPr>
              <w:t> </w:t>
            </w:r>
            <w:r w:rsidRPr="00E44C3F">
              <w:rPr>
                <w:sz w:val="19"/>
                <w:szCs w:val="19"/>
                <w:lang w:val="en-CA" w:eastAsia="en-CA"/>
              </w:rPr>
              <w:t>988</w:t>
            </w:r>
            <w:r w:rsidR="003762DD">
              <w:rPr>
                <w:sz w:val="19"/>
                <w:szCs w:val="19"/>
                <w:lang w:val="en-CA" w:eastAsia="en-CA"/>
              </w:rPr>
              <w:t> </w:t>
            </w:r>
            <w:r w:rsidRPr="00E44C3F">
              <w:rPr>
                <w:sz w:val="19"/>
                <w:szCs w:val="19"/>
                <w:lang w:val="en-CA" w:eastAsia="en-CA"/>
              </w:rPr>
              <w:t>834</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5F0F09E" w14:textId="77777777" w:rsidR="006D172A" w:rsidRPr="00E44C3F" w:rsidRDefault="006D172A" w:rsidP="006D172A">
            <w:pPr>
              <w:jc w:val="right"/>
              <w:rPr>
                <w:sz w:val="19"/>
                <w:szCs w:val="19"/>
                <w:lang w:val="en-CA" w:eastAsia="en-CA"/>
              </w:rPr>
            </w:pPr>
            <w:r w:rsidRPr="00E44C3F">
              <w:rPr>
                <w:sz w:val="19"/>
                <w:szCs w:val="19"/>
                <w:lang w:val="en-CA" w:eastAsia="en-CA"/>
              </w:rPr>
              <w:t>84</w:t>
            </w:r>
          </w:p>
        </w:tc>
      </w:tr>
      <w:tr w:rsidR="00E44C3F" w:rsidRPr="00E44C3F" w14:paraId="59B412CC"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1B1E1ABC" w14:textId="77777777" w:rsidR="006D172A" w:rsidRPr="00E44C3F" w:rsidRDefault="006D172A" w:rsidP="006D172A">
            <w:pPr>
              <w:jc w:val="left"/>
              <w:rPr>
                <w:sz w:val="19"/>
                <w:szCs w:val="19"/>
                <w:lang w:val="en-CA" w:eastAsia="en-CA"/>
              </w:rPr>
            </w:pPr>
            <w:r w:rsidRPr="00E44C3F">
              <w:rPr>
                <w:sz w:val="19"/>
                <w:szCs w:val="19"/>
                <w:lang w:val="en-CA" w:eastAsia="en-CA"/>
              </w:rPr>
              <w:t xml:space="preserve">2017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CF47031" w14:textId="77777777" w:rsidR="006D172A" w:rsidRPr="00E44C3F" w:rsidRDefault="006D172A" w:rsidP="006D172A">
            <w:pPr>
              <w:jc w:val="right"/>
              <w:rPr>
                <w:sz w:val="19"/>
                <w:szCs w:val="19"/>
                <w:lang w:val="en-CA" w:eastAsia="en-CA"/>
              </w:rPr>
            </w:pPr>
            <w:r w:rsidRPr="00E44C3F">
              <w:rPr>
                <w:sz w:val="19"/>
                <w:szCs w:val="19"/>
                <w:lang w:val="en-CA" w:eastAsia="en-CA"/>
              </w:rPr>
              <w:t>3</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880F618" w14:textId="77777777" w:rsidR="006D172A" w:rsidRPr="00E44C3F" w:rsidRDefault="006D172A" w:rsidP="006D172A">
            <w:pPr>
              <w:jc w:val="right"/>
              <w:rPr>
                <w:sz w:val="19"/>
                <w:szCs w:val="19"/>
                <w:lang w:val="en-CA" w:eastAsia="en-CA"/>
              </w:rPr>
            </w:pPr>
            <w:r w:rsidRPr="00E44C3F">
              <w:rPr>
                <w:sz w:val="19"/>
                <w:szCs w:val="19"/>
                <w:lang w:val="en-CA" w:eastAsia="en-CA"/>
              </w:rPr>
              <w:t>3</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66DDEF3" w14:textId="77777777" w:rsidR="006D172A" w:rsidRPr="00E44C3F" w:rsidRDefault="006D172A" w:rsidP="006D172A">
            <w:pPr>
              <w:jc w:val="right"/>
              <w:rPr>
                <w:sz w:val="19"/>
                <w:szCs w:val="19"/>
                <w:lang w:val="en-CA" w:eastAsia="en-CA"/>
              </w:rPr>
            </w:pPr>
            <w:r w:rsidRPr="00E44C3F">
              <w:rPr>
                <w:sz w:val="19"/>
                <w:szCs w:val="19"/>
                <w:lang w:val="en-CA" w:eastAsia="en-CA"/>
              </w:rPr>
              <w:t>100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00EB6DE" w14:textId="6CBE8E68" w:rsidR="006D172A" w:rsidRPr="00E44C3F" w:rsidRDefault="006D172A" w:rsidP="006D172A">
            <w:pPr>
              <w:jc w:val="right"/>
              <w:rPr>
                <w:sz w:val="19"/>
                <w:szCs w:val="19"/>
                <w:lang w:val="en-CA" w:eastAsia="en-CA"/>
              </w:rPr>
            </w:pPr>
            <w:r w:rsidRPr="00E44C3F">
              <w:rPr>
                <w:sz w:val="19"/>
                <w:szCs w:val="19"/>
                <w:lang w:val="en-CA" w:eastAsia="en-CA"/>
              </w:rPr>
              <w:t>1</w:t>
            </w:r>
            <w:r w:rsidR="003762DD">
              <w:rPr>
                <w:sz w:val="19"/>
                <w:szCs w:val="19"/>
                <w:lang w:val="en-CA" w:eastAsia="en-CA"/>
              </w:rPr>
              <w:t> </w:t>
            </w:r>
            <w:r w:rsidRPr="00E44C3F">
              <w:rPr>
                <w:sz w:val="19"/>
                <w:szCs w:val="19"/>
                <w:lang w:val="en-CA" w:eastAsia="en-CA"/>
              </w:rPr>
              <w:t>651</w:t>
            </w:r>
            <w:r w:rsidR="003762DD">
              <w:rPr>
                <w:sz w:val="19"/>
                <w:szCs w:val="19"/>
                <w:lang w:val="en-CA" w:eastAsia="en-CA"/>
              </w:rPr>
              <w:t> </w:t>
            </w:r>
            <w:r w:rsidRPr="00E44C3F">
              <w:rPr>
                <w:sz w:val="19"/>
                <w:szCs w:val="19"/>
                <w:lang w:val="en-CA" w:eastAsia="en-CA"/>
              </w:rPr>
              <w:t>291</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F8A2B08" w14:textId="6941255B" w:rsidR="006D172A" w:rsidRPr="00E44C3F" w:rsidRDefault="006D172A" w:rsidP="006D172A">
            <w:pPr>
              <w:jc w:val="right"/>
              <w:rPr>
                <w:sz w:val="19"/>
                <w:szCs w:val="19"/>
                <w:lang w:val="en-CA" w:eastAsia="en-CA"/>
              </w:rPr>
            </w:pPr>
            <w:r w:rsidRPr="00E44C3F">
              <w:rPr>
                <w:sz w:val="19"/>
                <w:szCs w:val="19"/>
                <w:lang w:val="en-CA" w:eastAsia="en-CA"/>
              </w:rPr>
              <w:t>1</w:t>
            </w:r>
            <w:r w:rsidR="003762DD">
              <w:rPr>
                <w:sz w:val="19"/>
                <w:szCs w:val="19"/>
                <w:lang w:val="en-CA" w:eastAsia="en-CA"/>
              </w:rPr>
              <w:t> </w:t>
            </w:r>
            <w:r w:rsidRPr="00E44C3F">
              <w:rPr>
                <w:sz w:val="19"/>
                <w:szCs w:val="19"/>
                <w:lang w:val="en-CA" w:eastAsia="en-CA"/>
              </w:rPr>
              <w:t>651</w:t>
            </w:r>
            <w:r w:rsidR="003762DD">
              <w:rPr>
                <w:sz w:val="19"/>
                <w:szCs w:val="19"/>
                <w:lang w:val="en-CA" w:eastAsia="en-CA"/>
              </w:rPr>
              <w:t> </w:t>
            </w:r>
            <w:r w:rsidRPr="00E44C3F">
              <w:rPr>
                <w:sz w:val="19"/>
                <w:szCs w:val="19"/>
                <w:lang w:val="en-CA" w:eastAsia="en-CA"/>
              </w:rPr>
              <w:t>291</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2A19737"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C32F37E" w14:textId="77777777" w:rsidR="006D172A" w:rsidRPr="00E44C3F" w:rsidRDefault="006D172A" w:rsidP="006D172A">
            <w:pPr>
              <w:jc w:val="right"/>
              <w:rPr>
                <w:sz w:val="19"/>
                <w:szCs w:val="19"/>
                <w:lang w:val="en-CA" w:eastAsia="en-CA"/>
              </w:rPr>
            </w:pPr>
            <w:r w:rsidRPr="00E44C3F">
              <w:rPr>
                <w:sz w:val="19"/>
                <w:szCs w:val="19"/>
                <w:lang w:val="en-CA" w:eastAsia="en-CA"/>
              </w:rPr>
              <w:t>100</w:t>
            </w:r>
          </w:p>
        </w:tc>
      </w:tr>
      <w:tr w:rsidR="00E44C3F" w:rsidRPr="00E44C3F" w14:paraId="20991A2E"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6C41F6C5" w14:textId="77777777" w:rsidR="006D172A" w:rsidRPr="00E44C3F" w:rsidRDefault="006D172A" w:rsidP="006D172A">
            <w:pPr>
              <w:jc w:val="left"/>
              <w:rPr>
                <w:sz w:val="19"/>
                <w:szCs w:val="19"/>
                <w:lang w:val="en-CA" w:eastAsia="en-CA"/>
              </w:rPr>
            </w:pPr>
            <w:r w:rsidRPr="00E44C3F">
              <w:rPr>
                <w:sz w:val="19"/>
                <w:szCs w:val="19"/>
                <w:lang w:val="en-CA" w:eastAsia="en-CA"/>
              </w:rPr>
              <w:t xml:space="preserve">2018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9A4DB87" w14:textId="77777777" w:rsidR="006D172A" w:rsidRPr="00E44C3F" w:rsidRDefault="006D172A" w:rsidP="006D172A">
            <w:pPr>
              <w:jc w:val="right"/>
              <w:rPr>
                <w:sz w:val="19"/>
                <w:szCs w:val="19"/>
                <w:lang w:val="en-CA" w:eastAsia="en-CA"/>
              </w:rPr>
            </w:pPr>
            <w:r w:rsidRPr="00E44C3F">
              <w:rPr>
                <w:sz w:val="19"/>
                <w:szCs w:val="19"/>
                <w:lang w:val="en-CA" w:eastAsia="en-CA"/>
              </w:rPr>
              <w:t>7</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4869C8B" w14:textId="77777777" w:rsidR="006D172A" w:rsidRPr="00E44C3F" w:rsidRDefault="006D172A" w:rsidP="006D172A">
            <w:pPr>
              <w:jc w:val="right"/>
              <w:rPr>
                <w:sz w:val="19"/>
                <w:szCs w:val="19"/>
                <w:lang w:val="en-CA" w:eastAsia="en-CA"/>
              </w:rPr>
            </w:pPr>
            <w:r w:rsidRPr="00E44C3F">
              <w:rPr>
                <w:sz w:val="19"/>
                <w:szCs w:val="19"/>
                <w:lang w:val="en-CA" w:eastAsia="en-CA"/>
              </w:rPr>
              <w:t>1</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B303373" w14:textId="77777777" w:rsidR="006D172A" w:rsidRPr="00E44C3F" w:rsidRDefault="006D172A" w:rsidP="006D172A">
            <w:pPr>
              <w:jc w:val="right"/>
              <w:rPr>
                <w:sz w:val="19"/>
                <w:szCs w:val="19"/>
                <w:lang w:val="en-CA" w:eastAsia="en-CA"/>
              </w:rPr>
            </w:pPr>
            <w:r w:rsidRPr="00E44C3F">
              <w:rPr>
                <w:sz w:val="19"/>
                <w:szCs w:val="19"/>
                <w:lang w:val="en-CA" w:eastAsia="en-CA"/>
              </w:rPr>
              <w:t>14</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3328A09" w14:textId="2680B926" w:rsidR="006D172A" w:rsidRPr="00E44C3F" w:rsidRDefault="006D172A" w:rsidP="006D172A">
            <w:pPr>
              <w:jc w:val="right"/>
              <w:rPr>
                <w:sz w:val="19"/>
                <w:szCs w:val="19"/>
                <w:lang w:val="en-CA" w:eastAsia="en-CA"/>
              </w:rPr>
            </w:pPr>
            <w:r w:rsidRPr="00E44C3F">
              <w:rPr>
                <w:sz w:val="19"/>
                <w:szCs w:val="19"/>
                <w:lang w:val="en-CA" w:eastAsia="en-CA"/>
              </w:rPr>
              <w:t>26</w:t>
            </w:r>
            <w:r w:rsidR="003762DD">
              <w:rPr>
                <w:sz w:val="19"/>
                <w:szCs w:val="19"/>
                <w:lang w:val="en-CA" w:eastAsia="en-CA"/>
              </w:rPr>
              <w:t> </w:t>
            </w:r>
            <w:r w:rsidRPr="00E44C3F">
              <w:rPr>
                <w:sz w:val="19"/>
                <w:szCs w:val="19"/>
                <w:lang w:val="en-CA" w:eastAsia="en-CA"/>
              </w:rPr>
              <w:t>408</w:t>
            </w:r>
            <w:r w:rsidR="003762DD">
              <w:rPr>
                <w:sz w:val="19"/>
                <w:szCs w:val="19"/>
                <w:lang w:val="en-CA" w:eastAsia="en-CA"/>
              </w:rPr>
              <w:t> </w:t>
            </w:r>
            <w:r w:rsidRPr="00E44C3F">
              <w:rPr>
                <w:sz w:val="19"/>
                <w:szCs w:val="19"/>
                <w:lang w:val="en-CA" w:eastAsia="en-CA"/>
              </w:rPr>
              <w:t>870</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4E64B26" w14:textId="0B26089C" w:rsidR="006D172A" w:rsidRPr="00E44C3F" w:rsidRDefault="006D172A" w:rsidP="006D172A">
            <w:pPr>
              <w:jc w:val="right"/>
              <w:rPr>
                <w:sz w:val="19"/>
                <w:szCs w:val="19"/>
                <w:lang w:val="en-CA" w:eastAsia="en-CA"/>
              </w:rPr>
            </w:pPr>
            <w:r w:rsidRPr="00E44C3F">
              <w:rPr>
                <w:sz w:val="19"/>
                <w:szCs w:val="19"/>
                <w:lang w:val="en-CA" w:eastAsia="en-CA"/>
              </w:rPr>
              <w:t>9</w:t>
            </w:r>
            <w:r w:rsidR="003762DD">
              <w:rPr>
                <w:sz w:val="19"/>
                <w:szCs w:val="19"/>
                <w:lang w:val="en-CA" w:eastAsia="en-CA"/>
              </w:rPr>
              <w:t> </w:t>
            </w:r>
            <w:r w:rsidRPr="00E44C3F">
              <w:rPr>
                <w:sz w:val="19"/>
                <w:szCs w:val="19"/>
                <w:lang w:val="en-CA" w:eastAsia="en-CA"/>
              </w:rPr>
              <w:t>722</w:t>
            </w:r>
            <w:r w:rsidR="003762DD">
              <w:rPr>
                <w:sz w:val="19"/>
                <w:szCs w:val="19"/>
                <w:lang w:val="en-CA" w:eastAsia="en-CA"/>
              </w:rPr>
              <w:t> </w:t>
            </w:r>
            <w:r w:rsidRPr="00E44C3F">
              <w:rPr>
                <w:sz w:val="19"/>
                <w:szCs w:val="19"/>
                <w:lang w:val="en-CA" w:eastAsia="en-CA"/>
              </w:rPr>
              <w:t>058</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1DD960C" w14:textId="4E7C2066" w:rsidR="006D172A" w:rsidRPr="00E44C3F" w:rsidRDefault="006D172A" w:rsidP="006D172A">
            <w:pPr>
              <w:jc w:val="right"/>
              <w:rPr>
                <w:sz w:val="19"/>
                <w:szCs w:val="19"/>
                <w:lang w:val="en-CA" w:eastAsia="en-CA"/>
              </w:rPr>
            </w:pPr>
            <w:r w:rsidRPr="00E44C3F">
              <w:rPr>
                <w:sz w:val="19"/>
                <w:szCs w:val="19"/>
                <w:lang w:val="en-CA" w:eastAsia="en-CA"/>
              </w:rPr>
              <w:t>16</w:t>
            </w:r>
            <w:r w:rsidR="003762DD">
              <w:rPr>
                <w:sz w:val="19"/>
                <w:szCs w:val="19"/>
                <w:lang w:val="en-CA" w:eastAsia="en-CA"/>
              </w:rPr>
              <w:t> </w:t>
            </w:r>
            <w:r w:rsidRPr="00E44C3F">
              <w:rPr>
                <w:sz w:val="19"/>
                <w:szCs w:val="19"/>
                <w:lang w:val="en-CA" w:eastAsia="en-CA"/>
              </w:rPr>
              <w:t>686</w:t>
            </w:r>
            <w:r w:rsidR="003762DD">
              <w:rPr>
                <w:sz w:val="19"/>
                <w:szCs w:val="19"/>
                <w:lang w:val="en-CA" w:eastAsia="en-CA"/>
              </w:rPr>
              <w:t> </w:t>
            </w:r>
            <w:r w:rsidRPr="00E44C3F">
              <w:rPr>
                <w:sz w:val="19"/>
                <w:szCs w:val="19"/>
                <w:lang w:val="en-CA" w:eastAsia="en-CA"/>
              </w:rPr>
              <w:t>812</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CD20866" w14:textId="77777777" w:rsidR="006D172A" w:rsidRPr="00E44C3F" w:rsidRDefault="006D172A" w:rsidP="006D172A">
            <w:pPr>
              <w:jc w:val="right"/>
              <w:rPr>
                <w:sz w:val="19"/>
                <w:szCs w:val="19"/>
                <w:lang w:val="en-CA" w:eastAsia="en-CA"/>
              </w:rPr>
            </w:pPr>
            <w:r w:rsidRPr="00E44C3F">
              <w:rPr>
                <w:sz w:val="19"/>
                <w:szCs w:val="19"/>
                <w:lang w:val="en-CA" w:eastAsia="en-CA"/>
              </w:rPr>
              <w:t>37</w:t>
            </w:r>
          </w:p>
        </w:tc>
      </w:tr>
      <w:tr w:rsidR="00E44C3F" w:rsidRPr="00E44C3F" w14:paraId="436B7546"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2C8E2A8F" w14:textId="77777777" w:rsidR="006D172A" w:rsidRPr="00E44C3F" w:rsidRDefault="006D172A" w:rsidP="006D172A">
            <w:pPr>
              <w:jc w:val="left"/>
              <w:rPr>
                <w:sz w:val="19"/>
                <w:szCs w:val="19"/>
                <w:lang w:val="en-CA" w:eastAsia="en-CA"/>
              </w:rPr>
            </w:pPr>
            <w:r w:rsidRPr="00E44C3F">
              <w:rPr>
                <w:sz w:val="19"/>
                <w:szCs w:val="19"/>
                <w:lang w:val="en-CA" w:eastAsia="en-CA"/>
              </w:rPr>
              <w:t xml:space="preserve">2019 </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5036D3D" w14:textId="77777777" w:rsidR="006D172A" w:rsidRPr="00E44C3F" w:rsidRDefault="006D172A" w:rsidP="006D172A">
            <w:pPr>
              <w:jc w:val="right"/>
              <w:rPr>
                <w:sz w:val="19"/>
                <w:szCs w:val="19"/>
                <w:lang w:val="en-CA" w:eastAsia="en-CA"/>
              </w:rPr>
            </w:pPr>
            <w:r w:rsidRPr="00E44C3F">
              <w:rPr>
                <w:sz w:val="19"/>
                <w:szCs w:val="19"/>
                <w:lang w:val="en-CA" w:eastAsia="en-CA"/>
              </w:rPr>
              <w:t>3</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F82AD54"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63404622"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3CF5F4B" w14:textId="7DB884AB" w:rsidR="006D172A" w:rsidRPr="00E44C3F" w:rsidRDefault="006D172A" w:rsidP="006D172A">
            <w:pPr>
              <w:jc w:val="right"/>
              <w:rPr>
                <w:sz w:val="19"/>
                <w:szCs w:val="19"/>
                <w:lang w:val="en-CA" w:eastAsia="en-CA"/>
              </w:rPr>
            </w:pPr>
            <w:r w:rsidRPr="00E44C3F">
              <w:rPr>
                <w:sz w:val="19"/>
                <w:szCs w:val="19"/>
                <w:lang w:val="en-CA" w:eastAsia="en-CA"/>
              </w:rPr>
              <w:t>3</w:t>
            </w:r>
            <w:r w:rsidR="003762DD">
              <w:rPr>
                <w:sz w:val="19"/>
                <w:szCs w:val="19"/>
                <w:lang w:val="en-CA" w:eastAsia="en-CA"/>
              </w:rPr>
              <w:t> </w:t>
            </w:r>
            <w:r w:rsidRPr="00E44C3F">
              <w:rPr>
                <w:sz w:val="19"/>
                <w:szCs w:val="19"/>
                <w:lang w:val="en-CA" w:eastAsia="en-CA"/>
              </w:rPr>
              <w:t>192</w:t>
            </w:r>
            <w:r w:rsidR="003762DD">
              <w:rPr>
                <w:sz w:val="19"/>
                <w:szCs w:val="19"/>
                <w:lang w:val="en-CA" w:eastAsia="en-CA"/>
              </w:rPr>
              <w:t> </w:t>
            </w:r>
            <w:r w:rsidRPr="00E44C3F">
              <w:rPr>
                <w:sz w:val="19"/>
                <w:szCs w:val="19"/>
                <w:lang w:val="en-CA" w:eastAsia="en-CA"/>
              </w:rPr>
              <w:t>747</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5878B07" w14:textId="77777777" w:rsidR="006D172A" w:rsidRPr="00E44C3F" w:rsidRDefault="006D172A" w:rsidP="006D172A">
            <w:pPr>
              <w:jc w:val="right"/>
              <w:rPr>
                <w:sz w:val="19"/>
                <w:szCs w:val="19"/>
                <w:lang w:val="en-CA" w:eastAsia="en-CA"/>
              </w:rPr>
            </w:pPr>
            <w:r w:rsidRPr="00E44C3F">
              <w:rPr>
                <w:sz w:val="19"/>
                <w:szCs w:val="19"/>
                <w:lang w:val="en-CA" w:eastAsia="en-CA"/>
              </w:rPr>
              <w:t>0</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2BED49A9" w14:textId="713FB71F" w:rsidR="006D172A" w:rsidRPr="00E44C3F" w:rsidRDefault="006D172A" w:rsidP="006D172A">
            <w:pPr>
              <w:jc w:val="right"/>
              <w:rPr>
                <w:sz w:val="19"/>
                <w:szCs w:val="19"/>
                <w:lang w:val="en-CA" w:eastAsia="en-CA"/>
              </w:rPr>
            </w:pPr>
            <w:r w:rsidRPr="00E44C3F">
              <w:rPr>
                <w:sz w:val="19"/>
                <w:szCs w:val="19"/>
                <w:lang w:val="en-CA" w:eastAsia="en-CA"/>
              </w:rPr>
              <w:t>3</w:t>
            </w:r>
            <w:r w:rsidR="003762DD">
              <w:rPr>
                <w:sz w:val="19"/>
                <w:szCs w:val="19"/>
                <w:lang w:val="en-CA" w:eastAsia="en-CA"/>
              </w:rPr>
              <w:t> </w:t>
            </w:r>
            <w:r w:rsidRPr="00E44C3F">
              <w:rPr>
                <w:sz w:val="19"/>
                <w:szCs w:val="19"/>
                <w:lang w:val="en-CA" w:eastAsia="en-CA"/>
              </w:rPr>
              <w:t>192</w:t>
            </w:r>
            <w:r w:rsidR="003762DD">
              <w:rPr>
                <w:sz w:val="19"/>
                <w:szCs w:val="19"/>
                <w:lang w:val="en-CA" w:eastAsia="en-CA"/>
              </w:rPr>
              <w:t> </w:t>
            </w:r>
            <w:r w:rsidRPr="00E44C3F">
              <w:rPr>
                <w:sz w:val="19"/>
                <w:szCs w:val="19"/>
                <w:lang w:val="en-CA" w:eastAsia="en-CA"/>
              </w:rPr>
              <w:t>747</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92FA220" w14:textId="77777777" w:rsidR="006D172A" w:rsidRPr="00E44C3F" w:rsidRDefault="006D172A" w:rsidP="006D172A">
            <w:pPr>
              <w:jc w:val="right"/>
              <w:rPr>
                <w:sz w:val="19"/>
                <w:szCs w:val="19"/>
                <w:lang w:val="en-CA" w:eastAsia="en-CA"/>
              </w:rPr>
            </w:pPr>
            <w:r w:rsidRPr="00E44C3F">
              <w:rPr>
                <w:sz w:val="19"/>
                <w:szCs w:val="19"/>
                <w:lang w:val="en-CA" w:eastAsia="en-CA"/>
              </w:rPr>
              <w:t>0</w:t>
            </w:r>
          </w:p>
        </w:tc>
      </w:tr>
      <w:tr w:rsidR="00E44C3F" w:rsidRPr="00E44C3F" w14:paraId="72E29933" w14:textId="77777777" w:rsidTr="003F1975">
        <w:tc>
          <w:tcPr>
            <w:tcW w:w="753"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0C7EDB7E" w14:textId="48131E3E" w:rsidR="006D172A" w:rsidRPr="00311ABF" w:rsidRDefault="00311ABF" w:rsidP="003171CE">
            <w:pPr>
              <w:jc w:val="left"/>
              <w:rPr>
                <w:b/>
                <w:bCs/>
                <w:sz w:val="19"/>
                <w:szCs w:val="19"/>
                <w:lang w:val="en-CA" w:eastAsia="en-CA"/>
              </w:rPr>
            </w:pPr>
            <w:r w:rsidRPr="00311ABF">
              <w:rPr>
                <w:b/>
                <w:bCs/>
                <w:sz w:val="19"/>
                <w:szCs w:val="19"/>
                <w:lang w:val="fr-FR" w:eastAsia="en-CA"/>
              </w:rPr>
              <w:t>Total</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9B73B2D" w14:textId="0936544D" w:rsidR="006D172A" w:rsidRPr="00E44C3F" w:rsidRDefault="006D172A" w:rsidP="006D172A">
            <w:pPr>
              <w:jc w:val="right"/>
              <w:rPr>
                <w:b/>
                <w:bCs/>
                <w:sz w:val="19"/>
                <w:szCs w:val="19"/>
                <w:lang w:val="en-CA" w:eastAsia="en-CA"/>
              </w:rPr>
            </w:pPr>
            <w:r w:rsidRPr="00E44C3F">
              <w:rPr>
                <w:b/>
                <w:bCs/>
                <w:sz w:val="19"/>
                <w:szCs w:val="19"/>
                <w:lang w:val="en-CA" w:eastAsia="en-CA"/>
              </w:rPr>
              <w:t>1</w:t>
            </w:r>
            <w:r w:rsidR="003762DD">
              <w:rPr>
                <w:b/>
                <w:bCs/>
                <w:sz w:val="19"/>
                <w:szCs w:val="19"/>
                <w:lang w:val="en-CA" w:eastAsia="en-CA"/>
              </w:rPr>
              <w:t> </w:t>
            </w:r>
            <w:r w:rsidRPr="00E44C3F">
              <w:rPr>
                <w:b/>
                <w:bCs/>
                <w:sz w:val="19"/>
                <w:szCs w:val="19"/>
                <w:lang w:val="en-CA" w:eastAsia="en-CA"/>
              </w:rPr>
              <w:t>088</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0566155A" w14:textId="0DE2DEC2" w:rsidR="006D172A" w:rsidRPr="00E44C3F" w:rsidRDefault="006D172A" w:rsidP="006D172A">
            <w:pPr>
              <w:jc w:val="right"/>
              <w:rPr>
                <w:b/>
                <w:bCs/>
                <w:sz w:val="19"/>
                <w:szCs w:val="19"/>
                <w:lang w:val="en-CA" w:eastAsia="en-CA"/>
              </w:rPr>
            </w:pPr>
            <w:r w:rsidRPr="00E44C3F">
              <w:rPr>
                <w:b/>
                <w:bCs/>
                <w:sz w:val="19"/>
                <w:szCs w:val="19"/>
                <w:lang w:val="en-CA" w:eastAsia="en-CA"/>
              </w:rPr>
              <w:t>1</w:t>
            </w:r>
            <w:r w:rsidR="003762DD">
              <w:rPr>
                <w:b/>
                <w:bCs/>
                <w:sz w:val="19"/>
                <w:szCs w:val="19"/>
                <w:lang w:val="en-CA" w:eastAsia="en-CA"/>
              </w:rPr>
              <w:t> </w:t>
            </w:r>
            <w:r w:rsidRPr="00E44C3F">
              <w:rPr>
                <w:b/>
                <w:bCs/>
                <w:sz w:val="19"/>
                <w:szCs w:val="19"/>
                <w:lang w:val="en-CA" w:eastAsia="en-CA"/>
              </w:rPr>
              <w:t>076</w:t>
            </w:r>
          </w:p>
        </w:tc>
        <w:tc>
          <w:tcPr>
            <w:tcW w:w="1198"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384DD5AB" w14:textId="77777777" w:rsidR="006D172A" w:rsidRPr="00E44C3F" w:rsidRDefault="006D172A" w:rsidP="006D172A">
            <w:pPr>
              <w:jc w:val="right"/>
              <w:rPr>
                <w:b/>
                <w:bCs/>
                <w:sz w:val="19"/>
                <w:szCs w:val="19"/>
                <w:lang w:val="en-CA" w:eastAsia="en-CA"/>
              </w:rPr>
            </w:pPr>
            <w:r w:rsidRPr="00E44C3F">
              <w:rPr>
                <w:b/>
                <w:bCs/>
                <w:sz w:val="19"/>
                <w:szCs w:val="19"/>
                <w:lang w:val="en-CA" w:eastAsia="en-CA"/>
              </w:rPr>
              <w:t>99</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D0ACEE6" w14:textId="7FD17BE9" w:rsidR="006D172A" w:rsidRPr="00E44C3F" w:rsidRDefault="006D172A" w:rsidP="006D172A">
            <w:pPr>
              <w:jc w:val="right"/>
              <w:rPr>
                <w:b/>
                <w:bCs/>
                <w:sz w:val="19"/>
                <w:szCs w:val="19"/>
                <w:lang w:val="en-CA" w:eastAsia="en-CA"/>
              </w:rPr>
            </w:pPr>
            <w:r w:rsidRPr="00E44C3F">
              <w:rPr>
                <w:b/>
                <w:bCs/>
                <w:sz w:val="19"/>
                <w:szCs w:val="19"/>
                <w:lang w:val="en-CA" w:eastAsia="en-CA"/>
              </w:rPr>
              <w:t>1</w:t>
            </w:r>
            <w:r w:rsidR="003762DD">
              <w:rPr>
                <w:b/>
                <w:bCs/>
                <w:sz w:val="19"/>
                <w:szCs w:val="19"/>
                <w:lang w:val="en-CA" w:eastAsia="en-CA"/>
              </w:rPr>
              <w:t> </w:t>
            </w:r>
            <w:r w:rsidRPr="00E44C3F">
              <w:rPr>
                <w:b/>
                <w:bCs/>
                <w:sz w:val="19"/>
                <w:szCs w:val="19"/>
                <w:lang w:val="en-CA" w:eastAsia="en-CA"/>
              </w:rPr>
              <w:t>157</w:t>
            </w:r>
            <w:r w:rsidR="003762DD">
              <w:rPr>
                <w:b/>
                <w:bCs/>
                <w:sz w:val="19"/>
                <w:szCs w:val="19"/>
                <w:lang w:val="en-CA" w:eastAsia="en-CA"/>
              </w:rPr>
              <w:t> </w:t>
            </w:r>
            <w:r w:rsidRPr="00E44C3F">
              <w:rPr>
                <w:b/>
                <w:bCs/>
                <w:sz w:val="19"/>
                <w:szCs w:val="19"/>
                <w:lang w:val="en-CA" w:eastAsia="en-CA"/>
              </w:rPr>
              <w:t>270</w:t>
            </w:r>
            <w:r w:rsidR="003762DD">
              <w:rPr>
                <w:b/>
                <w:bCs/>
                <w:sz w:val="19"/>
                <w:szCs w:val="19"/>
                <w:lang w:val="en-CA" w:eastAsia="en-CA"/>
              </w:rPr>
              <w:t> </w:t>
            </w:r>
            <w:r w:rsidRPr="00E44C3F">
              <w:rPr>
                <w:b/>
                <w:bCs/>
                <w:sz w:val="19"/>
                <w:szCs w:val="19"/>
                <w:lang w:val="en-CA" w:eastAsia="en-CA"/>
              </w:rPr>
              <w:t>690</w:t>
            </w:r>
          </w:p>
        </w:tc>
        <w:tc>
          <w:tcPr>
            <w:tcW w:w="1229"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2B015DC" w14:textId="4B767C90" w:rsidR="006D172A" w:rsidRPr="00E44C3F" w:rsidRDefault="006D172A" w:rsidP="006D172A">
            <w:pPr>
              <w:jc w:val="right"/>
              <w:rPr>
                <w:b/>
                <w:bCs/>
                <w:sz w:val="19"/>
                <w:szCs w:val="19"/>
                <w:lang w:val="en-CA" w:eastAsia="en-CA"/>
              </w:rPr>
            </w:pPr>
            <w:r w:rsidRPr="00E44C3F">
              <w:rPr>
                <w:b/>
                <w:bCs/>
                <w:sz w:val="19"/>
                <w:szCs w:val="19"/>
                <w:lang w:val="en-CA" w:eastAsia="en-CA"/>
              </w:rPr>
              <w:t>1</w:t>
            </w:r>
            <w:r w:rsidR="003762DD">
              <w:rPr>
                <w:b/>
                <w:bCs/>
                <w:sz w:val="19"/>
                <w:szCs w:val="19"/>
                <w:lang w:val="en-CA" w:eastAsia="en-CA"/>
              </w:rPr>
              <w:t> </w:t>
            </w:r>
            <w:r w:rsidRPr="00E44C3F">
              <w:rPr>
                <w:b/>
                <w:bCs/>
                <w:sz w:val="19"/>
                <w:szCs w:val="19"/>
                <w:lang w:val="en-CA" w:eastAsia="en-CA"/>
              </w:rPr>
              <w:t>135</w:t>
            </w:r>
            <w:r w:rsidR="003762DD">
              <w:rPr>
                <w:b/>
                <w:bCs/>
                <w:sz w:val="19"/>
                <w:szCs w:val="19"/>
                <w:lang w:val="en-CA" w:eastAsia="en-CA"/>
              </w:rPr>
              <w:t> </w:t>
            </w:r>
            <w:r w:rsidRPr="00E44C3F">
              <w:rPr>
                <w:b/>
                <w:bCs/>
                <w:sz w:val="19"/>
                <w:szCs w:val="19"/>
                <w:lang w:val="en-CA" w:eastAsia="en-CA"/>
              </w:rPr>
              <w:t>302</w:t>
            </w:r>
            <w:r w:rsidR="003762DD">
              <w:rPr>
                <w:b/>
                <w:bCs/>
                <w:sz w:val="19"/>
                <w:szCs w:val="19"/>
                <w:lang w:val="en-CA" w:eastAsia="en-CA"/>
              </w:rPr>
              <w:t> </w:t>
            </w:r>
            <w:r w:rsidRPr="00E44C3F">
              <w:rPr>
                <w:b/>
                <w:bCs/>
                <w:sz w:val="19"/>
                <w:szCs w:val="19"/>
                <w:lang w:val="en-CA" w:eastAsia="en-CA"/>
              </w:rPr>
              <w:t>605</w:t>
            </w:r>
          </w:p>
        </w:tc>
        <w:tc>
          <w:tcPr>
            <w:tcW w:w="1230"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8437D9F" w14:textId="11F5AD0A" w:rsidR="006D172A" w:rsidRPr="00E44C3F" w:rsidRDefault="006D172A" w:rsidP="006D172A">
            <w:pPr>
              <w:jc w:val="right"/>
              <w:rPr>
                <w:b/>
                <w:bCs/>
                <w:sz w:val="19"/>
                <w:szCs w:val="19"/>
                <w:lang w:val="en-CA" w:eastAsia="en-CA"/>
              </w:rPr>
            </w:pPr>
            <w:r w:rsidRPr="00E44C3F">
              <w:rPr>
                <w:b/>
                <w:bCs/>
                <w:sz w:val="19"/>
                <w:szCs w:val="19"/>
                <w:lang w:val="en-CA" w:eastAsia="en-CA"/>
              </w:rPr>
              <w:t>21</w:t>
            </w:r>
            <w:r w:rsidR="003762DD">
              <w:rPr>
                <w:b/>
                <w:bCs/>
                <w:sz w:val="19"/>
                <w:szCs w:val="19"/>
                <w:lang w:val="en-CA" w:eastAsia="en-CA"/>
              </w:rPr>
              <w:t> </w:t>
            </w:r>
            <w:r w:rsidRPr="00E44C3F">
              <w:rPr>
                <w:b/>
                <w:bCs/>
                <w:sz w:val="19"/>
                <w:szCs w:val="19"/>
                <w:lang w:val="en-CA" w:eastAsia="en-CA"/>
              </w:rPr>
              <w:t>968</w:t>
            </w:r>
            <w:r w:rsidR="003762DD">
              <w:rPr>
                <w:b/>
                <w:bCs/>
                <w:sz w:val="19"/>
                <w:szCs w:val="19"/>
                <w:lang w:val="en-CA" w:eastAsia="en-CA"/>
              </w:rPr>
              <w:t> </w:t>
            </w:r>
            <w:r w:rsidRPr="00E44C3F">
              <w:rPr>
                <w:b/>
                <w:bCs/>
                <w:sz w:val="19"/>
                <w:szCs w:val="19"/>
                <w:lang w:val="en-CA" w:eastAsia="en-CA"/>
              </w:rPr>
              <w:t>085</w:t>
            </w:r>
          </w:p>
        </w:tc>
        <w:tc>
          <w:tcPr>
            <w:tcW w:w="1261"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503741C2" w14:textId="77777777" w:rsidR="006D172A" w:rsidRPr="00E44C3F" w:rsidRDefault="006D172A" w:rsidP="006D172A">
            <w:pPr>
              <w:jc w:val="right"/>
              <w:rPr>
                <w:b/>
                <w:bCs/>
                <w:sz w:val="19"/>
                <w:szCs w:val="19"/>
                <w:lang w:val="en-CA" w:eastAsia="en-CA"/>
              </w:rPr>
            </w:pPr>
            <w:r w:rsidRPr="00E44C3F">
              <w:rPr>
                <w:b/>
                <w:bCs/>
                <w:sz w:val="19"/>
                <w:szCs w:val="19"/>
                <w:lang w:val="en-CA" w:eastAsia="en-CA"/>
              </w:rPr>
              <w:t>98</w:t>
            </w:r>
          </w:p>
        </w:tc>
      </w:tr>
    </w:tbl>
    <w:p w14:paraId="7A1C1EAD" w14:textId="4DBF95E8" w:rsidR="00E433C6" w:rsidRPr="00C52326" w:rsidRDefault="00311ABF" w:rsidP="00E433C6">
      <w:pPr>
        <w:suppressAutoHyphens/>
        <w:jc w:val="left"/>
        <w:rPr>
          <w:b/>
          <w:spacing w:val="-3"/>
          <w:sz w:val="19"/>
          <w:szCs w:val="19"/>
          <w:lang w:val="fr-CA"/>
        </w:rPr>
      </w:pPr>
      <w:r w:rsidRPr="00311ABF">
        <w:rPr>
          <w:sz w:val="19"/>
          <w:szCs w:val="19"/>
          <w:lang w:val="fr-FR"/>
        </w:rPr>
        <w:t>*À l</w:t>
      </w:r>
      <w:r w:rsidR="007B7C04">
        <w:rPr>
          <w:sz w:val="19"/>
          <w:szCs w:val="19"/>
          <w:lang w:val="fr-FR"/>
        </w:rPr>
        <w:t>’</w:t>
      </w:r>
      <w:r w:rsidRPr="00311ABF">
        <w:rPr>
          <w:sz w:val="19"/>
          <w:szCs w:val="19"/>
          <w:lang w:val="fr-FR"/>
        </w:rPr>
        <w:t>exclusion des projets clos et transférés.</w:t>
      </w:r>
    </w:p>
    <w:p w14:paraId="44DC5CFC" w14:textId="75522A6E" w:rsidR="00E433C6" w:rsidRPr="00C52326" w:rsidRDefault="00311ABF" w:rsidP="00E433C6">
      <w:pPr>
        <w:rPr>
          <w:sz w:val="19"/>
          <w:szCs w:val="19"/>
          <w:lang w:val="fr-CA"/>
        </w:rPr>
      </w:pPr>
      <w:r w:rsidRPr="00311ABF">
        <w:rPr>
          <w:sz w:val="19"/>
          <w:szCs w:val="19"/>
          <w:lang w:val="fr-FR"/>
        </w:rPr>
        <w:t>** Frais</w:t>
      </w:r>
      <w:r w:rsidR="007B7C04">
        <w:rPr>
          <w:sz w:val="19"/>
          <w:szCs w:val="19"/>
          <w:lang w:val="fr-FR"/>
        </w:rPr>
        <w:t xml:space="preserve"> </w:t>
      </w:r>
      <w:r w:rsidRPr="00311ABF">
        <w:rPr>
          <w:sz w:val="19"/>
          <w:szCs w:val="19"/>
          <w:lang w:val="fr-FR"/>
        </w:rPr>
        <w:t>d</w:t>
      </w:r>
      <w:r w:rsidR="007B7C04">
        <w:rPr>
          <w:sz w:val="19"/>
          <w:szCs w:val="19"/>
          <w:lang w:val="fr-FR"/>
        </w:rPr>
        <w:t>’</w:t>
      </w:r>
      <w:r w:rsidRPr="00311ABF">
        <w:rPr>
          <w:sz w:val="19"/>
          <w:szCs w:val="19"/>
          <w:lang w:val="fr-FR"/>
        </w:rPr>
        <w:t>appui d</w:t>
      </w:r>
      <w:r w:rsidR="007B7C04">
        <w:rPr>
          <w:sz w:val="19"/>
          <w:szCs w:val="19"/>
          <w:lang w:val="fr-FR"/>
        </w:rPr>
        <w:t>’</w:t>
      </w:r>
      <w:r w:rsidRPr="00311ABF">
        <w:rPr>
          <w:sz w:val="19"/>
          <w:szCs w:val="19"/>
          <w:lang w:val="fr-FR"/>
        </w:rPr>
        <w:t>agence non compris.</w:t>
      </w:r>
    </w:p>
    <w:p w14:paraId="65ED84F4" w14:textId="77777777" w:rsidR="00D554E8" w:rsidRPr="00C52326" w:rsidRDefault="00D554E8" w:rsidP="00E433C6">
      <w:pPr>
        <w:rPr>
          <w:sz w:val="16"/>
          <w:szCs w:val="16"/>
          <w:lang w:val="fr-CA"/>
        </w:rPr>
      </w:pPr>
    </w:p>
    <w:p w14:paraId="7F479764" w14:textId="26E5997E" w:rsidR="00311ABF" w:rsidRPr="00C52326" w:rsidRDefault="00311ABF" w:rsidP="00311ABF">
      <w:pPr>
        <w:pStyle w:val="Heading1"/>
        <w:keepNext/>
        <w:keepLines/>
        <w:rPr>
          <w:lang w:val="fr-CA"/>
        </w:rPr>
      </w:pPr>
      <w:r w:rsidRPr="00311ABF">
        <w:rPr>
          <w:lang w:val="fr-FR"/>
        </w:rPr>
        <w:lastRenderedPageBreak/>
        <w:t>Le tableau 4 présente l</w:t>
      </w:r>
      <w:r w:rsidR="007B7C04">
        <w:rPr>
          <w:lang w:val="fr-FR"/>
        </w:rPr>
        <w:t>’</w:t>
      </w:r>
      <w:r w:rsidRPr="00311ABF">
        <w:rPr>
          <w:lang w:val="fr-FR"/>
        </w:rPr>
        <w:t>état d</w:t>
      </w:r>
      <w:r w:rsidR="007B7C04">
        <w:rPr>
          <w:lang w:val="fr-FR"/>
        </w:rPr>
        <w:t>’</w:t>
      </w:r>
      <w:r w:rsidRPr="00311ABF">
        <w:rPr>
          <w:lang w:val="fr-FR"/>
        </w:rPr>
        <w:t>avancement des projets par pays pour 2019.</w:t>
      </w:r>
    </w:p>
    <w:p w14:paraId="65890374" w14:textId="2A754FF0" w:rsidR="00E433C6" w:rsidRPr="00C52326" w:rsidRDefault="00311ABF" w:rsidP="003F1975">
      <w:pPr>
        <w:pStyle w:val="Title1"/>
        <w:keepNext/>
        <w:keepLines/>
        <w:jc w:val="both"/>
        <w:rPr>
          <w:caps w:val="0"/>
          <w:lang w:val="fr-CA"/>
        </w:rPr>
      </w:pPr>
      <w:r w:rsidRPr="00311ABF">
        <w:rPr>
          <w:caps w:val="0"/>
          <w:lang w:val="fr-FR"/>
        </w:rPr>
        <w:t xml:space="preserve">Tableau 4. Récapitulatif des projets mis en œuvre par la </w:t>
      </w:r>
      <w:r w:rsidR="00C11F7B">
        <w:rPr>
          <w:caps w:val="0"/>
          <w:lang w:val="fr-FR"/>
        </w:rPr>
        <w:t>Banque mondiale</w:t>
      </w:r>
      <w:r w:rsidRPr="00311ABF">
        <w:rPr>
          <w:caps w:val="0"/>
          <w:lang w:val="fr-FR"/>
        </w:rPr>
        <w:t xml:space="preserve"> en 2019</w:t>
      </w:r>
    </w:p>
    <w:tbl>
      <w:tblPr>
        <w:tblW w:w="9355" w:type="dxa"/>
        <w:tblLayout w:type="fixed"/>
        <w:tblLook w:val="04A0" w:firstRow="1" w:lastRow="0" w:firstColumn="1" w:lastColumn="0" w:noHBand="0" w:noVBand="1"/>
      </w:tblPr>
      <w:tblGrid>
        <w:gridCol w:w="1404"/>
        <w:gridCol w:w="1325"/>
        <w:gridCol w:w="1325"/>
        <w:gridCol w:w="1325"/>
        <w:gridCol w:w="1325"/>
        <w:gridCol w:w="1325"/>
        <w:gridCol w:w="1326"/>
      </w:tblGrid>
      <w:tr w:rsidR="00E44C3F" w:rsidRPr="002867A7" w14:paraId="577467C5" w14:textId="77777777" w:rsidTr="00D554E8">
        <w:tc>
          <w:tcPr>
            <w:tcW w:w="1404" w:type="dxa"/>
            <w:tcBorders>
              <w:top w:val="single" w:sz="4" w:space="0" w:color="auto"/>
              <w:left w:val="single" w:sz="4" w:space="0" w:color="auto"/>
              <w:bottom w:val="single" w:sz="4" w:space="0" w:color="auto"/>
              <w:right w:val="single" w:sz="4" w:space="0" w:color="auto"/>
            </w:tcBorders>
            <w:shd w:val="clear" w:color="auto" w:fill="auto"/>
            <w:tcMar>
              <w:left w:w="86" w:type="dxa"/>
              <w:right w:w="58" w:type="dxa"/>
            </w:tcMar>
            <w:vAlign w:val="center"/>
            <w:hideMark/>
          </w:tcPr>
          <w:p w14:paraId="545660D7" w14:textId="214C7D83" w:rsidR="00266A79" w:rsidRPr="00311ABF" w:rsidRDefault="00311ABF" w:rsidP="003171CE">
            <w:pPr>
              <w:keepNext/>
              <w:keepLines/>
              <w:jc w:val="left"/>
              <w:rPr>
                <w:b/>
                <w:bCs/>
                <w:sz w:val="20"/>
                <w:szCs w:val="20"/>
                <w:lang w:val="en-CA" w:eastAsia="en-CA"/>
              </w:rPr>
            </w:pPr>
            <w:r w:rsidRPr="00311ABF">
              <w:rPr>
                <w:b/>
                <w:bCs/>
                <w:sz w:val="20"/>
                <w:szCs w:val="20"/>
                <w:lang w:val="fr-FR" w:eastAsia="en-CA"/>
              </w:rPr>
              <w:t>Pays</w:t>
            </w:r>
          </w:p>
        </w:tc>
        <w:tc>
          <w:tcPr>
            <w:tcW w:w="1325" w:type="dxa"/>
            <w:tcBorders>
              <w:top w:val="single" w:sz="4" w:space="0" w:color="auto"/>
              <w:left w:val="nil"/>
              <w:bottom w:val="single" w:sz="4" w:space="0" w:color="auto"/>
              <w:right w:val="single" w:sz="4" w:space="0" w:color="auto"/>
            </w:tcBorders>
            <w:shd w:val="clear" w:color="auto" w:fill="auto"/>
            <w:tcMar>
              <w:left w:w="86" w:type="dxa"/>
              <w:right w:w="58" w:type="dxa"/>
            </w:tcMar>
            <w:vAlign w:val="center"/>
            <w:hideMark/>
          </w:tcPr>
          <w:p w14:paraId="0F3009FD" w14:textId="25FC5EBC" w:rsidR="00D554E8" w:rsidRPr="00E44C3F" w:rsidRDefault="00311ABF" w:rsidP="00D554E8">
            <w:pPr>
              <w:keepNext/>
              <w:keepLines/>
              <w:ind w:left="-106" w:right="-102"/>
              <w:jc w:val="center"/>
              <w:rPr>
                <w:b/>
                <w:bCs/>
                <w:sz w:val="20"/>
                <w:szCs w:val="20"/>
                <w:lang w:val="en-CA" w:eastAsia="en-CA"/>
              </w:rPr>
            </w:pPr>
            <w:r w:rsidRPr="00311ABF">
              <w:rPr>
                <w:b/>
                <w:bCs/>
                <w:sz w:val="20"/>
                <w:szCs w:val="20"/>
                <w:lang w:val="fr-FR" w:eastAsia="en-CA"/>
              </w:rPr>
              <w:t>Elimination en 2019*</w:t>
            </w:r>
            <w:r w:rsidR="00D554E8" w:rsidRPr="00311ABF">
              <w:rPr>
                <w:b/>
                <w:bCs/>
                <w:sz w:val="20"/>
                <w:szCs w:val="20"/>
                <w:lang w:val="en-CA" w:eastAsia="en-CA"/>
              </w:rPr>
              <w:t xml:space="preserve"> </w:t>
            </w:r>
          </w:p>
          <w:p w14:paraId="10CE00EF" w14:textId="6E80C47A" w:rsidR="00266A79" w:rsidRPr="00311ABF" w:rsidRDefault="00311ABF" w:rsidP="003171CE">
            <w:pPr>
              <w:keepNext/>
              <w:keepLines/>
              <w:ind w:left="-106" w:right="-102"/>
              <w:jc w:val="center"/>
              <w:rPr>
                <w:b/>
                <w:bCs/>
                <w:sz w:val="20"/>
                <w:szCs w:val="20"/>
                <w:lang w:val="en-CA" w:eastAsia="en-CA"/>
              </w:rPr>
            </w:pPr>
            <w:r w:rsidRPr="00311ABF">
              <w:rPr>
                <w:b/>
                <w:bCs/>
                <w:sz w:val="20"/>
                <w:szCs w:val="20"/>
                <w:lang w:val="fr-FR" w:eastAsia="en-CA"/>
              </w:rPr>
              <w:t>(tonnes PAO)</w:t>
            </w:r>
          </w:p>
        </w:tc>
        <w:tc>
          <w:tcPr>
            <w:tcW w:w="1325" w:type="dxa"/>
            <w:tcBorders>
              <w:top w:val="single" w:sz="4" w:space="0" w:color="auto"/>
              <w:left w:val="nil"/>
              <w:bottom w:val="single" w:sz="4" w:space="0" w:color="auto"/>
              <w:right w:val="single" w:sz="4" w:space="0" w:color="auto"/>
            </w:tcBorders>
            <w:shd w:val="clear" w:color="auto" w:fill="auto"/>
            <w:tcMar>
              <w:left w:w="86" w:type="dxa"/>
              <w:right w:w="58" w:type="dxa"/>
            </w:tcMar>
            <w:vAlign w:val="center"/>
            <w:hideMark/>
          </w:tcPr>
          <w:p w14:paraId="4A0688B8" w14:textId="71F28036" w:rsidR="00266A79" w:rsidRPr="00C52326" w:rsidRDefault="00311ABF" w:rsidP="003171CE">
            <w:pPr>
              <w:keepNext/>
              <w:keepLines/>
              <w:ind w:left="-114" w:right="-103"/>
              <w:jc w:val="center"/>
              <w:rPr>
                <w:b/>
                <w:bCs/>
                <w:sz w:val="20"/>
                <w:szCs w:val="20"/>
                <w:lang w:val="fr-CA" w:eastAsia="en-CA"/>
              </w:rPr>
            </w:pPr>
            <w:r w:rsidRPr="00311ABF">
              <w:rPr>
                <w:b/>
                <w:bCs/>
                <w:sz w:val="20"/>
                <w:szCs w:val="20"/>
                <w:lang w:val="fr-FR" w:eastAsia="en-CA"/>
              </w:rPr>
              <w:t>Pourcentage d</w:t>
            </w:r>
            <w:r w:rsidR="007B7C04">
              <w:rPr>
                <w:b/>
                <w:bCs/>
                <w:sz w:val="20"/>
                <w:szCs w:val="20"/>
                <w:lang w:val="fr-FR" w:eastAsia="en-CA"/>
              </w:rPr>
              <w:t>’</w:t>
            </w:r>
            <w:r w:rsidRPr="00311ABF">
              <w:rPr>
                <w:b/>
                <w:bCs/>
                <w:sz w:val="20"/>
                <w:szCs w:val="20"/>
                <w:lang w:val="fr-FR" w:eastAsia="en-CA"/>
              </w:rPr>
              <w:t>élimination prévue réalisée</w:t>
            </w:r>
            <w:r w:rsidR="007B7C04">
              <w:rPr>
                <w:b/>
                <w:bCs/>
                <w:sz w:val="20"/>
                <w:szCs w:val="20"/>
                <w:lang w:val="fr-FR" w:eastAsia="en-CA"/>
              </w:rPr>
              <w:t xml:space="preserve"> </w:t>
            </w:r>
            <w:r w:rsidRPr="00311ABF">
              <w:rPr>
                <w:b/>
                <w:bCs/>
                <w:sz w:val="20"/>
                <w:szCs w:val="20"/>
                <w:lang w:val="fr-FR" w:eastAsia="en-CA"/>
              </w:rPr>
              <w:t>en 2019</w:t>
            </w:r>
          </w:p>
        </w:tc>
        <w:tc>
          <w:tcPr>
            <w:tcW w:w="1325" w:type="dxa"/>
            <w:tcBorders>
              <w:top w:val="single" w:sz="4" w:space="0" w:color="auto"/>
              <w:left w:val="nil"/>
              <w:bottom w:val="single" w:sz="4" w:space="0" w:color="auto"/>
              <w:right w:val="single" w:sz="4" w:space="0" w:color="auto"/>
            </w:tcBorders>
            <w:shd w:val="clear" w:color="auto" w:fill="auto"/>
            <w:tcMar>
              <w:left w:w="86" w:type="dxa"/>
              <w:right w:w="58" w:type="dxa"/>
            </w:tcMar>
            <w:vAlign w:val="center"/>
            <w:hideMark/>
          </w:tcPr>
          <w:p w14:paraId="7EB7DC71" w14:textId="710CAEFB" w:rsidR="00D554E8" w:rsidRPr="00C52326" w:rsidRDefault="00311ABF" w:rsidP="00311ABF">
            <w:pPr>
              <w:keepNext/>
              <w:keepLines/>
              <w:ind w:left="-113" w:right="-109"/>
              <w:jc w:val="center"/>
              <w:rPr>
                <w:b/>
                <w:bCs/>
                <w:sz w:val="20"/>
                <w:szCs w:val="20"/>
                <w:lang w:val="fr-CA" w:eastAsia="en-CA"/>
              </w:rPr>
            </w:pPr>
            <w:r w:rsidRPr="00311ABF">
              <w:rPr>
                <w:b/>
                <w:bCs/>
                <w:sz w:val="20"/>
                <w:szCs w:val="20"/>
                <w:lang w:val="fr-FR" w:eastAsia="en-CA"/>
              </w:rPr>
              <w:t>Fonds estimatifs décaissés en 2019 ($US)</w:t>
            </w:r>
          </w:p>
          <w:p w14:paraId="77B7E803" w14:textId="50A76B83" w:rsidR="00266A79" w:rsidRPr="00311ABF" w:rsidRDefault="00311ABF" w:rsidP="003171CE">
            <w:pPr>
              <w:keepNext/>
              <w:keepLines/>
              <w:ind w:left="-113" w:right="-109"/>
              <w:jc w:val="center"/>
              <w:rPr>
                <w:b/>
                <w:bCs/>
                <w:sz w:val="20"/>
                <w:szCs w:val="20"/>
                <w:lang w:val="en-CA" w:eastAsia="en-CA"/>
              </w:rPr>
            </w:pPr>
            <w:r w:rsidRPr="00311ABF">
              <w:rPr>
                <w:b/>
                <w:bCs/>
                <w:sz w:val="20"/>
                <w:szCs w:val="20"/>
                <w:lang w:val="fr-FR" w:eastAsia="en-CA"/>
              </w:rPr>
              <w:t>($US)</w:t>
            </w:r>
          </w:p>
        </w:tc>
        <w:tc>
          <w:tcPr>
            <w:tcW w:w="1325" w:type="dxa"/>
            <w:tcBorders>
              <w:top w:val="single" w:sz="4" w:space="0" w:color="auto"/>
              <w:left w:val="nil"/>
              <w:bottom w:val="single" w:sz="4" w:space="0" w:color="auto"/>
              <w:right w:val="single" w:sz="4" w:space="0" w:color="auto"/>
            </w:tcBorders>
            <w:shd w:val="clear" w:color="auto" w:fill="auto"/>
            <w:tcMar>
              <w:left w:w="86" w:type="dxa"/>
              <w:right w:w="58" w:type="dxa"/>
            </w:tcMar>
            <w:vAlign w:val="center"/>
            <w:hideMark/>
          </w:tcPr>
          <w:p w14:paraId="160DBEBF" w14:textId="0A5902BD" w:rsidR="00D554E8" w:rsidRPr="00C52326" w:rsidRDefault="00311ABF" w:rsidP="00D554E8">
            <w:pPr>
              <w:keepNext/>
              <w:keepLines/>
              <w:jc w:val="center"/>
              <w:rPr>
                <w:b/>
                <w:bCs/>
                <w:sz w:val="20"/>
                <w:szCs w:val="20"/>
                <w:lang w:val="fr-CA" w:eastAsia="en-CA"/>
              </w:rPr>
            </w:pPr>
            <w:r w:rsidRPr="00311ABF">
              <w:rPr>
                <w:b/>
                <w:bCs/>
                <w:sz w:val="20"/>
                <w:szCs w:val="20"/>
                <w:lang w:val="fr-FR" w:eastAsia="en-CA"/>
              </w:rPr>
              <w:t>Fonds décaissés en 2019 ($US)</w:t>
            </w:r>
          </w:p>
          <w:p w14:paraId="654CADE1" w14:textId="04C033A7" w:rsidR="00266A79" w:rsidRPr="00C52326" w:rsidRDefault="00311ABF" w:rsidP="003171CE">
            <w:pPr>
              <w:keepNext/>
              <w:keepLines/>
              <w:jc w:val="center"/>
              <w:rPr>
                <w:b/>
                <w:bCs/>
                <w:sz w:val="20"/>
                <w:szCs w:val="20"/>
                <w:lang w:val="fr-CA" w:eastAsia="en-CA"/>
              </w:rPr>
            </w:pPr>
            <w:r w:rsidRPr="00311ABF">
              <w:rPr>
                <w:b/>
                <w:bCs/>
                <w:sz w:val="20"/>
                <w:szCs w:val="20"/>
                <w:lang w:val="fr-FR" w:eastAsia="en-CA"/>
              </w:rPr>
              <w:t>($US)</w:t>
            </w:r>
          </w:p>
        </w:tc>
        <w:tc>
          <w:tcPr>
            <w:tcW w:w="1325" w:type="dxa"/>
            <w:tcBorders>
              <w:top w:val="single" w:sz="4" w:space="0" w:color="auto"/>
              <w:left w:val="nil"/>
              <w:bottom w:val="single" w:sz="4" w:space="0" w:color="auto"/>
              <w:right w:val="single" w:sz="4" w:space="0" w:color="auto"/>
            </w:tcBorders>
            <w:shd w:val="clear" w:color="auto" w:fill="auto"/>
            <w:tcMar>
              <w:left w:w="86" w:type="dxa"/>
              <w:right w:w="58" w:type="dxa"/>
            </w:tcMar>
            <w:vAlign w:val="center"/>
            <w:hideMark/>
          </w:tcPr>
          <w:p w14:paraId="49B77511" w14:textId="29D2BC3C" w:rsidR="00266A79" w:rsidRPr="00C52326" w:rsidRDefault="00311ABF" w:rsidP="003171CE">
            <w:pPr>
              <w:keepNext/>
              <w:keepLines/>
              <w:ind w:left="-105" w:right="-102"/>
              <w:jc w:val="center"/>
              <w:rPr>
                <w:b/>
                <w:bCs/>
                <w:sz w:val="20"/>
                <w:szCs w:val="20"/>
                <w:lang w:val="fr-CA" w:eastAsia="en-CA"/>
              </w:rPr>
            </w:pPr>
            <w:r w:rsidRPr="00311ABF">
              <w:rPr>
                <w:b/>
                <w:bCs/>
                <w:sz w:val="20"/>
                <w:szCs w:val="20"/>
                <w:lang w:val="fr-FR" w:eastAsia="en-CA"/>
              </w:rPr>
              <w:t>Pourcentage de fonds décaissés dépassant l</w:t>
            </w:r>
            <w:r w:rsidR="007B7C04">
              <w:rPr>
                <w:b/>
                <w:bCs/>
                <w:sz w:val="20"/>
                <w:szCs w:val="20"/>
                <w:lang w:val="fr-FR" w:eastAsia="en-CA"/>
              </w:rPr>
              <w:t>’</w:t>
            </w:r>
            <w:r w:rsidRPr="00311ABF">
              <w:rPr>
                <w:b/>
                <w:bCs/>
                <w:sz w:val="20"/>
                <w:szCs w:val="20"/>
                <w:lang w:val="fr-FR" w:eastAsia="en-CA"/>
              </w:rPr>
              <w:t>estimation en 2019</w:t>
            </w:r>
          </w:p>
        </w:tc>
        <w:tc>
          <w:tcPr>
            <w:tcW w:w="1326" w:type="dxa"/>
            <w:tcBorders>
              <w:top w:val="single" w:sz="4" w:space="0" w:color="auto"/>
              <w:left w:val="nil"/>
              <w:bottom w:val="single" w:sz="4" w:space="0" w:color="auto"/>
              <w:right w:val="single" w:sz="4" w:space="0" w:color="auto"/>
            </w:tcBorders>
            <w:shd w:val="clear" w:color="auto" w:fill="auto"/>
            <w:tcMar>
              <w:left w:w="86" w:type="dxa"/>
              <w:right w:w="58" w:type="dxa"/>
            </w:tcMar>
            <w:vAlign w:val="center"/>
            <w:hideMark/>
          </w:tcPr>
          <w:p w14:paraId="1E12EF56" w14:textId="7A6CE874" w:rsidR="00266A79" w:rsidRPr="00C52326" w:rsidRDefault="00311ABF" w:rsidP="003171CE">
            <w:pPr>
              <w:keepNext/>
              <w:keepLines/>
              <w:jc w:val="center"/>
              <w:rPr>
                <w:b/>
                <w:bCs/>
                <w:sz w:val="20"/>
                <w:szCs w:val="20"/>
                <w:lang w:val="fr-CA" w:eastAsia="en-CA"/>
              </w:rPr>
            </w:pPr>
            <w:r w:rsidRPr="00311ABF">
              <w:rPr>
                <w:b/>
                <w:bCs/>
                <w:sz w:val="20"/>
                <w:szCs w:val="20"/>
                <w:lang w:val="fr-FR" w:eastAsia="en-CA"/>
              </w:rPr>
              <w:t>Pourcentage de projets prévus achevés en 2019</w:t>
            </w:r>
          </w:p>
        </w:tc>
      </w:tr>
      <w:tr w:rsidR="00E44C3F" w:rsidRPr="00E44C3F" w14:paraId="3A497A9A" w14:textId="77777777" w:rsidTr="00C52D02">
        <w:tc>
          <w:tcPr>
            <w:tcW w:w="1404" w:type="dxa"/>
            <w:tcBorders>
              <w:top w:val="nil"/>
              <w:left w:val="single" w:sz="4" w:space="0" w:color="auto"/>
              <w:bottom w:val="single" w:sz="4" w:space="0" w:color="auto"/>
              <w:right w:val="single" w:sz="4" w:space="0" w:color="auto"/>
            </w:tcBorders>
            <w:shd w:val="clear" w:color="auto" w:fill="auto"/>
            <w:noWrap/>
            <w:tcMar>
              <w:left w:w="86" w:type="dxa"/>
              <w:right w:w="58" w:type="dxa"/>
            </w:tcMar>
            <w:vAlign w:val="bottom"/>
            <w:hideMark/>
          </w:tcPr>
          <w:p w14:paraId="27BDCCE1" w14:textId="151273F6" w:rsidR="00266A79" w:rsidRPr="00311ABF" w:rsidRDefault="00311ABF" w:rsidP="003171CE">
            <w:pPr>
              <w:jc w:val="left"/>
              <w:rPr>
                <w:sz w:val="20"/>
                <w:szCs w:val="20"/>
                <w:lang w:val="en-CA" w:eastAsia="en-CA"/>
              </w:rPr>
            </w:pPr>
            <w:r w:rsidRPr="00311ABF">
              <w:rPr>
                <w:sz w:val="20"/>
                <w:szCs w:val="20"/>
                <w:lang w:val="fr-FR" w:eastAsia="en-CA"/>
              </w:rPr>
              <w:t>Chine</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3769A530" w14:textId="297D8A47" w:rsidR="00266A79" w:rsidRPr="00E44C3F" w:rsidRDefault="00266A79" w:rsidP="003762DD">
            <w:pPr>
              <w:jc w:val="right"/>
              <w:rPr>
                <w:sz w:val="20"/>
                <w:szCs w:val="20"/>
                <w:lang w:val="en-CA" w:eastAsia="en-CA"/>
              </w:rPr>
            </w:pPr>
            <w:r w:rsidRPr="00E44C3F">
              <w:rPr>
                <w:sz w:val="20"/>
                <w:szCs w:val="20"/>
                <w:lang w:val="en-CA" w:eastAsia="en-CA"/>
              </w:rPr>
              <w:t>1</w:t>
            </w:r>
            <w:r w:rsidR="003762DD">
              <w:rPr>
                <w:sz w:val="20"/>
                <w:szCs w:val="20"/>
                <w:lang w:val="en-CA" w:eastAsia="en-CA"/>
              </w:rPr>
              <w:t> </w:t>
            </w:r>
            <w:r w:rsidRPr="00E44C3F">
              <w:rPr>
                <w:sz w:val="20"/>
                <w:szCs w:val="20"/>
                <w:lang w:val="en-CA" w:eastAsia="en-CA"/>
              </w:rPr>
              <w:t>918</w:t>
            </w:r>
            <w:r w:rsidR="003762DD">
              <w:rPr>
                <w:sz w:val="20"/>
                <w:szCs w:val="20"/>
                <w:lang w:val="en-CA" w:eastAsia="en-CA"/>
              </w:rPr>
              <w:t>,</w:t>
            </w:r>
            <w:r w:rsidRPr="00E44C3F">
              <w:rPr>
                <w:sz w:val="20"/>
                <w:szCs w:val="20"/>
                <w:lang w:val="en-CA" w:eastAsia="en-CA"/>
              </w:rPr>
              <w:t>8</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6AF2E6EB" w14:textId="77777777" w:rsidR="00266A79" w:rsidRPr="00E44C3F" w:rsidRDefault="00266A79" w:rsidP="00266A79">
            <w:pPr>
              <w:jc w:val="left"/>
              <w:rPr>
                <w:sz w:val="20"/>
                <w:szCs w:val="20"/>
                <w:lang w:val="en-CA" w:eastAsia="en-CA"/>
              </w:rPr>
            </w:pPr>
            <w:r w:rsidRPr="00E44C3F">
              <w:rPr>
                <w:sz w:val="20"/>
                <w:szCs w:val="20"/>
                <w:lang w:val="en-CA" w:eastAsia="en-CA"/>
              </w:rPr>
              <w:t> </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0391C654" w14:textId="11DCE9AA" w:rsidR="00266A79" w:rsidRPr="00E44C3F" w:rsidRDefault="00266A79" w:rsidP="00266A79">
            <w:pPr>
              <w:jc w:val="right"/>
              <w:rPr>
                <w:sz w:val="20"/>
                <w:szCs w:val="20"/>
                <w:lang w:val="en-CA" w:eastAsia="en-CA"/>
              </w:rPr>
            </w:pPr>
            <w:r w:rsidRPr="00E44C3F">
              <w:rPr>
                <w:sz w:val="20"/>
                <w:szCs w:val="20"/>
                <w:lang w:val="en-CA" w:eastAsia="en-CA"/>
              </w:rPr>
              <w:t>10</w:t>
            </w:r>
            <w:r w:rsidR="003762DD">
              <w:rPr>
                <w:sz w:val="20"/>
                <w:szCs w:val="20"/>
                <w:lang w:val="en-CA" w:eastAsia="en-CA"/>
              </w:rPr>
              <w:t> </w:t>
            </w:r>
            <w:r w:rsidRPr="00E44C3F">
              <w:rPr>
                <w:sz w:val="20"/>
                <w:szCs w:val="20"/>
                <w:lang w:val="en-CA" w:eastAsia="en-CA"/>
              </w:rPr>
              <w:t>450</w:t>
            </w:r>
            <w:r w:rsidR="003762DD">
              <w:rPr>
                <w:sz w:val="20"/>
                <w:szCs w:val="20"/>
                <w:lang w:val="en-CA" w:eastAsia="en-CA"/>
              </w:rPr>
              <w:t> </w:t>
            </w:r>
            <w:r w:rsidRPr="00E44C3F">
              <w:rPr>
                <w:sz w:val="20"/>
                <w:szCs w:val="20"/>
                <w:lang w:val="en-CA" w:eastAsia="en-CA"/>
              </w:rPr>
              <w:t>587</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0A7228DC" w14:textId="48C35C1E" w:rsidR="00266A79" w:rsidRPr="00E44C3F" w:rsidRDefault="00846904" w:rsidP="00266A79">
            <w:pPr>
              <w:jc w:val="right"/>
              <w:rPr>
                <w:sz w:val="20"/>
                <w:szCs w:val="20"/>
                <w:lang w:val="en-CA" w:eastAsia="en-CA"/>
              </w:rPr>
            </w:pPr>
            <w:r w:rsidRPr="00E44C3F">
              <w:rPr>
                <w:sz w:val="20"/>
                <w:szCs w:val="20"/>
                <w:lang w:val="en-CA" w:eastAsia="en-CA"/>
              </w:rPr>
              <w:t>8</w:t>
            </w:r>
            <w:r w:rsidR="003762DD">
              <w:rPr>
                <w:sz w:val="20"/>
                <w:szCs w:val="20"/>
                <w:lang w:val="en-CA" w:eastAsia="en-CA"/>
              </w:rPr>
              <w:t> </w:t>
            </w:r>
            <w:r w:rsidRPr="00E44C3F">
              <w:rPr>
                <w:sz w:val="20"/>
                <w:szCs w:val="20"/>
                <w:lang w:val="en-CA" w:eastAsia="en-CA"/>
              </w:rPr>
              <w:t>494</w:t>
            </w:r>
            <w:r w:rsidR="003762DD">
              <w:rPr>
                <w:sz w:val="20"/>
                <w:szCs w:val="20"/>
                <w:lang w:val="en-CA" w:eastAsia="en-CA"/>
              </w:rPr>
              <w:t> </w:t>
            </w:r>
            <w:r w:rsidRPr="00E44C3F">
              <w:rPr>
                <w:sz w:val="20"/>
                <w:szCs w:val="20"/>
                <w:lang w:val="en-CA" w:eastAsia="en-CA"/>
              </w:rPr>
              <w:t>116</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58963711" w14:textId="77777777" w:rsidR="00266A79" w:rsidRPr="00E44C3F" w:rsidRDefault="00846904" w:rsidP="00266A79">
            <w:pPr>
              <w:jc w:val="right"/>
              <w:rPr>
                <w:sz w:val="20"/>
                <w:szCs w:val="20"/>
                <w:lang w:val="en-CA" w:eastAsia="en-CA"/>
              </w:rPr>
            </w:pPr>
            <w:r w:rsidRPr="00E44C3F">
              <w:rPr>
                <w:sz w:val="20"/>
                <w:szCs w:val="20"/>
                <w:lang w:val="en-CA" w:eastAsia="en-CA"/>
              </w:rPr>
              <w:t>81</w:t>
            </w:r>
          </w:p>
        </w:tc>
        <w:tc>
          <w:tcPr>
            <w:tcW w:w="1326"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15CB7B64" w14:textId="77777777" w:rsidR="00266A79" w:rsidRPr="00E44C3F" w:rsidRDefault="00266A79" w:rsidP="00266A79">
            <w:pPr>
              <w:jc w:val="right"/>
              <w:rPr>
                <w:sz w:val="20"/>
                <w:szCs w:val="20"/>
                <w:lang w:val="en-CA" w:eastAsia="en-CA"/>
              </w:rPr>
            </w:pPr>
            <w:r w:rsidRPr="00E44C3F">
              <w:rPr>
                <w:sz w:val="20"/>
                <w:szCs w:val="20"/>
                <w:lang w:val="en-CA" w:eastAsia="en-CA"/>
              </w:rPr>
              <w:t>100</w:t>
            </w:r>
          </w:p>
        </w:tc>
      </w:tr>
      <w:tr w:rsidR="00E44C3F" w:rsidRPr="00E44C3F" w14:paraId="273B1FF4" w14:textId="77777777" w:rsidTr="00C52D02">
        <w:tc>
          <w:tcPr>
            <w:tcW w:w="1404" w:type="dxa"/>
            <w:tcBorders>
              <w:top w:val="nil"/>
              <w:left w:val="single" w:sz="4" w:space="0" w:color="auto"/>
              <w:bottom w:val="single" w:sz="4" w:space="0" w:color="auto"/>
              <w:right w:val="single" w:sz="4" w:space="0" w:color="auto"/>
            </w:tcBorders>
            <w:shd w:val="clear" w:color="auto" w:fill="auto"/>
            <w:noWrap/>
            <w:tcMar>
              <w:left w:w="86" w:type="dxa"/>
              <w:right w:w="58" w:type="dxa"/>
            </w:tcMar>
            <w:vAlign w:val="bottom"/>
            <w:hideMark/>
          </w:tcPr>
          <w:p w14:paraId="371F43CA" w14:textId="4DACF9C1" w:rsidR="00266A79" w:rsidRPr="00311ABF" w:rsidRDefault="00311ABF" w:rsidP="003171CE">
            <w:pPr>
              <w:jc w:val="left"/>
              <w:rPr>
                <w:sz w:val="20"/>
                <w:szCs w:val="20"/>
                <w:lang w:val="en-CA" w:eastAsia="en-CA"/>
              </w:rPr>
            </w:pPr>
            <w:r w:rsidRPr="00311ABF">
              <w:rPr>
                <w:sz w:val="20"/>
                <w:szCs w:val="20"/>
                <w:lang w:val="fr-FR" w:eastAsia="en-CA"/>
              </w:rPr>
              <w:t>Indonésie</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45787459" w14:textId="56B5A272" w:rsidR="00266A79" w:rsidRPr="00E44C3F" w:rsidRDefault="00266A79" w:rsidP="00266A79">
            <w:pPr>
              <w:jc w:val="right"/>
              <w:rPr>
                <w:sz w:val="20"/>
                <w:szCs w:val="20"/>
                <w:lang w:val="en-CA" w:eastAsia="en-CA"/>
              </w:rPr>
            </w:pPr>
            <w:r w:rsidRPr="00E44C3F">
              <w:rPr>
                <w:sz w:val="20"/>
                <w:szCs w:val="20"/>
                <w:lang w:val="en-CA" w:eastAsia="en-CA"/>
              </w:rPr>
              <w:t>3</w:t>
            </w:r>
            <w:r w:rsidR="003762DD">
              <w:rPr>
                <w:sz w:val="20"/>
                <w:szCs w:val="20"/>
                <w:lang w:val="en-CA" w:eastAsia="en-CA"/>
              </w:rPr>
              <w:t>,</w:t>
            </w:r>
            <w:r w:rsidRPr="00E44C3F">
              <w:rPr>
                <w:sz w:val="20"/>
                <w:szCs w:val="20"/>
                <w:lang w:val="en-CA" w:eastAsia="en-CA"/>
              </w:rPr>
              <w:t>3</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39145D9D" w14:textId="77777777" w:rsidR="00266A79" w:rsidRPr="00E44C3F" w:rsidRDefault="00266A79" w:rsidP="00266A79">
            <w:pPr>
              <w:jc w:val="right"/>
              <w:rPr>
                <w:sz w:val="20"/>
                <w:szCs w:val="20"/>
                <w:lang w:val="en-CA" w:eastAsia="en-CA"/>
              </w:rPr>
            </w:pPr>
            <w:r w:rsidRPr="00E44C3F">
              <w:rPr>
                <w:sz w:val="20"/>
                <w:szCs w:val="20"/>
                <w:lang w:val="en-CA" w:eastAsia="en-CA"/>
              </w:rPr>
              <w:t>100</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5D581D5C" w14:textId="0534088F" w:rsidR="00266A79" w:rsidRPr="00E44C3F" w:rsidRDefault="00266A79" w:rsidP="00266A79">
            <w:pPr>
              <w:jc w:val="right"/>
              <w:rPr>
                <w:sz w:val="20"/>
                <w:szCs w:val="20"/>
                <w:lang w:val="en-CA" w:eastAsia="en-CA"/>
              </w:rPr>
            </w:pPr>
            <w:r w:rsidRPr="00E44C3F">
              <w:rPr>
                <w:sz w:val="20"/>
                <w:szCs w:val="20"/>
                <w:lang w:val="en-CA" w:eastAsia="en-CA"/>
              </w:rPr>
              <w:t>357</w:t>
            </w:r>
            <w:r w:rsidR="003762DD">
              <w:rPr>
                <w:sz w:val="20"/>
                <w:szCs w:val="20"/>
                <w:lang w:val="en-CA" w:eastAsia="en-CA"/>
              </w:rPr>
              <w:t> </w:t>
            </w:r>
            <w:r w:rsidRPr="00E44C3F">
              <w:rPr>
                <w:sz w:val="20"/>
                <w:szCs w:val="20"/>
                <w:lang w:val="en-CA" w:eastAsia="en-CA"/>
              </w:rPr>
              <w:t>229</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186B3DA6" w14:textId="7E7EF407" w:rsidR="00266A79" w:rsidRPr="00E44C3F" w:rsidRDefault="00266A79" w:rsidP="00266A79">
            <w:pPr>
              <w:jc w:val="right"/>
              <w:rPr>
                <w:sz w:val="20"/>
                <w:szCs w:val="20"/>
                <w:lang w:val="en-CA" w:eastAsia="en-CA"/>
              </w:rPr>
            </w:pPr>
            <w:r w:rsidRPr="00E44C3F">
              <w:rPr>
                <w:sz w:val="20"/>
                <w:szCs w:val="20"/>
                <w:lang w:val="en-CA" w:eastAsia="en-CA"/>
              </w:rPr>
              <w:t>309</w:t>
            </w:r>
            <w:r w:rsidR="003762DD">
              <w:rPr>
                <w:sz w:val="20"/>
                <w:szCs w:val="20"/>
                <w:lang w:val="en-CA" w:eastAsia="en-CA"/>
              </w:rPr>
              <w:t> </w:t>
            </w:r>
            <w:r w:rsidRPr="00E44C3F">
              <w:rPr>
                <w:sz w:val="20"/>
                <w:szCs w:val="20"/>
                <w:lang w:val="en-CA" w:eastAsia="en-CA"/>
              </w:rPr>
              <w:t>918</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6528BA02" w14:textId="77777777" w:rsidR="00266A79" w:rsidRPr="00E44C3F" w:rsidRDefault="00266A79" w:rsidP="00266A79">
            <w:pPr>
              <w:jc w:val="right"/>
              <w:rPr>
                <w:sz w:val="20"/>
                <w:szCs w:val="20"/>
                <w:lang w:val="en-CA" w:eastAsia="en-CA"/>
              </w:rPr>
            </w:pPr>
            <w:r w:rsidRPr="00E44C3F">
              <w:rPr>
                <w:sz w:val="20"/>
                <w:szCs w:val="20"/>
                <w:lang w:val="en-CA" w:eastAsia="en-CA"/>
              </w:rPr>
              <w:t>87</w:t>
            </w:r>
          </w:p>
        </w:tc>
        <w:tc>
          <w:tcPr>
            <w:tcW w:w="1326"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6674BB1C" w14:textId="77777777" w:rsidR="00266A79" w:rsidRPr="00E44C3F" w:rsidRDefault="00266A79" w:rsidP="00266A79">
            <w:pPr>
              <w:jc w:val="right"/>
              <w:rPr>
                <w:sz w:val="20"/>
                <w:szCs w:val="20"/>
                <w:lang w:val="en-CA" w:eastAsia="en-CA"/>
              </w:rPr>
            </w:pPr>
            <w:r w:rsidRPr="00E44C3F">
              <w:rPr>
                <w:sz w:val="20"/>
                <w:szCs w:val="20"/>
                <w:lang w:val="en-CA" w:eastAsia="en-CA"/>
              </w:rPr>
              <w:t>100</w:t>
            </w:r>
          </w:p>
        </w:tc>
      </w:tr>
      <w:tr w:rsidR="00E44C3F" w:rsidRPr="00E44C3F" w14:paraId="69DEB3A3" w14:textId="77777777" w:rsidTr="00C52D02">
        <w:tc>
          <w:tcPr>
            <w:tcW w:w="1404" w:type="dxa"/>
            <w:tcBorders>
              <w:top w:val="nil"/>
              <w:left w:val="single" w:sz="4" w:space="0" w:color="auto"/>
              <w:bottom w:val="single" w:sz="4" w:space="0" w:color="auto"/>
              <w:right w:val="single" w:sz="4" w:space="0" w:color="auto"/>
            </w:tcBorders>
            <w:shd w:val="clear" w:color="auto" w:fill="auto"/>
            <w:noWrap/>
            <w:tcMar>
              <w:left w:w="86" w:type="dxa"/>
              <w:right w:w="58" w:type="dxa"/>
            </w:tcMar>
            <w:vAlign w:val="bottom"/>
            <w:hideMark/>
          </w:tcPr>
          <w:p w14:paraId="22459402" w14:textId="24FE2BC7" w:rsidR="00266A79" w:rsidRPr="00311ABF" w:rsidRDefault="00311ABF" w:rsidP="003171CE">
            <w:pPr>
              <w:jc w:val="left"/>
              <w:rPr>
                <w:sz w:val="20"/>
                <w:szCs w:val="20"/>
                <w:lang w:val="en-CA" w:eastAsia="en-CA"/>
              </w:rPr>
            </w:pPr>
            <w:r w:rsidRPr="00311ABF">
              <w:rPr>
                <w:sz w:val="20"/>
                <w:szCs w:val="20"/>
                <w:lang w:val="fr-FR" w:eastAsia="en-CA"/>
              </w:rPr>
              <w:t>Jordanie</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624BC553" w14:textId="77777777" w:rsidR="00266A79" w:rsidRPr="00E44C3F" w:rsidRDefault="00266A79" w:rsidP="00266A79">
            <w:pPr>
              <w:jc w:val="right"/>
              <w:rPr>
                <w:sz w:val="20"/>
                <w:szCs w:val="20"/>
                <w:lang w:val="en-CA" w:eastAsia="en-CA"/>
              </w:rPr>
            </w:pPr>
            <w:r w:rsidRPr="00E44C3F">
              <w:rPr>
                <w:sz w:val="20"/>
                <w:szCs w:val="20"/>
                <w:lang w:val="en-CA" w:eastAsia="en-CA"/>
              </w:rPr>
              <w:t>0</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0FDDEEA0" w14:textId="77777777" w:rsidR="00266A79" w:rsidRPr="00E44C3F" w:rsidRDefault="00266A79" w:rsidP="00266A79">
            <w:pPr>
              <w:jc w:val="right"/>
              <w:rPr>
                <w:sz w:val="20"/>
                <w:szCs w:val="20"/>
                <w:lang w:val="en-CA" w:eastAsia="en-CA"/>
              </w:rPr>
            </w:pPr>
            <w:r w:rsidRPr="00E44C3F">
              <w:rPr>
                <w:sz w:val="20"/>
                <w:szCs w:val="20"/>
                <w:lang w:val="en-CA" w:eastAsia="en-CA"/>
              </w:rPr>
              <w:t>0</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50183210" w14:textId="199BC6A4" w:rsidR="00266A79" w:rsidRPr="00E44C3F" w:rsidRDefault="00266A79" w:rsidP="00266A79">
            <w:pPr>
              <w:jc w:val="right"/>
              <w:rPr>
                <w:sz w:val="20"/>
                <w:szCs w:val="20"/>
                <w:lang w:val="en-CA" w:eastAsia="en-CA"/>
              </w:rPr>
            </w:pPr>
            <w:r w:rsidRPr="00E44C3F">
              <w:rPr>
                <w:sz w:val="20"/>
                <w:szCs w:val="20"/>
                <w:lang w:val="en-CA" w:eastAsia="en-CA"/>
              </w:rPr>
              <w:t>630</w:t>
            </w:r>
            <w:r w:rsidR="003762DD">
              <w:rPr>
                <w:sz w:val="20"/>
                <w:szCs w:val="20"/>
                <w:lang w:val="en-CA" w:eastAsia="en-CA"/>
              </w:rPr>
              <w:t> </w:t>
            </w:r>
            <w:r w:rsidRPr="00E44C3F">
              <w:rPr>
                <w:sz w:val="20"/>
                <w:szCs w:val="20"/>
                <w:lang w:val="en-CA" w:eastAsia="en-CA"/>
              </w:rPr>
              <w:t>130</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4B4563A8" w14:textId="587A766B" w:rsidR="00266A79" w:rsidRPr="00E44C3F" w:rsidRDefault="00266A79" w:rsidP="00266A79">
            <w:pPr>
              <w:jc w:val="right"/>
              <w:rPr>
                <w:sz w:val="20"/>
                <w:szCs w:val="20"/>
                <w:lang w:val="en-CA" w:eastAsia="en-CA"/>
              </w:rPr>
            </w:pPr>
            <w:r w:rsidRPr="00E44C3F">
              <w:rPr>
                <w:sz w:val="20"/>
                <w:szCs w:val="20"/>
                <w:lang w:val="en-CA" w:eastAsia="en-CA"/>
              </w:rPr>
              <w:t>288</w:t>
            </w:r>
            <w:r w:rsidR="003762DD">
              <w:rPr>
                <w:sz w:val="20"/>
                <w:szCs w:val="20"/>
                <w:lang w:val="en-CA" w:eastAsia="en-CA"/>
              </w:rPr>
              <w:t> </w:t>
            </w:r>
            <w:r w:rsidRPr="00E44C3F">
              <w:rPr>
                <w:sz w:val="20"/>
                <w:szCs w:val="20"/>
                <w:lang w:val="en-CA" w:eastAsia="en-CA"/>
              </w:rPr>
              <w:t>376</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400D07B0" w14:textId="77777777" w:rsidR="00266A79" w:rsidRPr="00E44C3F" w:rsidRDefault="00266A79" w:rsidP="00266A79">
            <w:pPr>
              <w:jc w:val="right"/>
              <w:rPr>
                <w:sz w:val="20"/>
                <w:szCs w:val="20"/>
                <w:lang w:val="en-CA" w:eastAsia="en-CA"/>
              </w:rPr>
            </w:pPr>
            <w:r w:rsidRPr="00E44C3F">
              <w:rPr>
                <w:sz w:val="20"/>
                <w:szCs w:val="20"/>
                <w:lang w:val="en-CA" w:eastAsia="en-CA"/>
              </w:rPr>
              <w:t>46</w:t>
            </w:r>
          </w:p>
        </w:tc>
        <w:tc>
          <w:tcPr>
            <w:tcW w:w="1326"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4EECB4BE" w14:textId="77777777" w:rsidR="00266A79" w:rsidRPr="00E44C3F" w:rsidRDefault="00266A79" w:rsidP="00266A79">
            <w:pPr>
              <w:jc w:val="right"/>
              <w:rPr>
                <w:sz w:val="20"/>
                <w:szCs w:val="20"/>
                <w:lang w:val="en-CA" w:eastAsia="en-CA"/>
              </w:rPr>
            </w:pPr>
            <w:r w:rsidRPr="00E44C3F">
              <w:rPr>
                <w:sz w:val="20"/>
                <w:szCs w:val="20"/>
                <w:lang w:val="en-CA" w:eastAsia="en-CA"/>
              </w:rPr>
              <w:t>50</w:t>
            </w:r>
          </w:p>
        </w:tc>
      </w:tr>
      <w:tr w:rsidR="00E44C3F" w:rsidRPr="00E44C3F" w14:paraId="2BA0A41C" w14:textId="77777777" w:rsidTr="00C52D02">
        <w:tc>
          <w:tcPr>
            <w:tcW w:w="1404" w:type="dxa"/>
            <w:tcBorders>
              <w:top w:val="nil"/>
              <w:left w:val="single" w:sz="4" w:space="0" w:color="auto"/>
              <w:bottom w:val="single" w:sz="4" w:space="0" w:color="auto"/>
              <w:right w:val="single" w:sz="4" w:space="0" w:color="auto"/>
            </w:tcBorders>
            <w:shd w:val="clear" w:color="auto" w:fill="auto"/>
            <w:noWrap/>
            <w:tcMar>
              <w:left w:w="86" w:type="dxa"/>
              <w:right w:w="58" w:type="dxa"/>
            </w:tcMar>
            <w:vAlign w:val="bottom"/>
            <w:hideMark/>
          </w:tcPr>
          <w:p w14:paraId="1F9E7385" w14:textId="14D3AFC0" w:rsidR="00266A79" w:rsidRPr="00311ABF" w:rsidRDefault="00311ABF" w:rsidP="003171CE">
            <w:pPr>
              <w:jc w:val="left"/>
              <w:rPr>
                <w:sz w:val="20"/>
                <w:szCs w:val="20"/>
                <w:lang w:val="en-CA" w:eastAsia="en-CA"/>
              </w:rPr>
            </w:pPr>
            <w:r w:rsidRPr="00311ABF">
              <w:rPr>
                <w:sz w:val="20"/>
                <w:szCs w:val="20"/>
                <w:lang w:val="fr-FR" w:eastAsia="en-CA"/>
              </w:rPr>
              <w:t>Arabie saoudite</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1CC28019" w14:textId="77777777" w:rsidR="00266A79" w:rsidRPr="00E44C3F" w:rsidRDefault="00266A79" w:rsidP="00266A79">
            <w:pPr>
              <w:jc w:val="right"/>
              <w:rPr>
                <w:sz w:val="20"/>
                <w:szCs w:val="20"/>
                <w:lang w:val="en-CA" w:eastAsia="en-CA"/>
              </w:rPr>
            </w:pPr>
            <w:r w:rsidRPr="00E44C3F">
              <w:rPr>
                <w:sz w:val="20"/>
                <w:szCs w:val="20"/>
                <w:lang w:val="en-CA" w:eastAsia="en-CA"/>
              </w:rPr>
              <w:t>0</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6CB8FD32" w14:textId="77777777" w:rsidR="00266A79" w:rsidRPr="00E44C3F" w:rsidRDefault="00266A79" w:rsidP="00266A79">
            <w:pPr>
              <w:jc w:val="left"/>
              <w:rPr>
                <w:sz w:val="20"/>
                <w:szCs w:val="20"/>
                <w:lang w:val="en-CA" w:eastAsia="en-CA"/>
              </w:rPr>
            </w:pPr>
            <w:r w:rsidRPr="00E44C3F">
              <w:rPr>
                <w:sz w:val="20"/>
                <w:szCs w:val="20"/>
                <w:lang w:val="en-CA" w:eastAsia="en-CA"/>
              </w:rPr>
              <w:t> </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0FD65743" w14:textId="2AFAE655" w:rsidR="00266A79" w:rsidRPr="00E44C3F" w:rsidRDefault="00266A79" w:rsidP="00266A79">
            <w:pPr>
              <w:jc w:val="right"/>
              <w:rPr>
                <w:sz w:val="20"/>
                <w:szCs w:val="20"/>
                <w:lang w:val="en-CA" w:eastAsia="en-CA"/>
              </w:rPr>
            </w:pPr>
            <w:r w:rsidRPr="00E44C3F">
              <w:rPr>
                <w:sz w:val="20"/>
                <w:szCs w:val="20"/>
                <w:lang w:val="en-CA" w:eastAsia="en-CA"/>
              </w:rPr>
              <w:t>1</w:t>
            </w:r>
            <w:r w:rsidR="003762DD">
              <w:rPr>
                <w:sz w:val="20"/>
                <w:szCs w:val="20"/>
                <w:lang w:val="en-CA" w:eastAsia="en-CA"/>
              </w:rPr>
              <w:t> </w:t>
            </w:r>
            <w:r w:rsidRPr="00E44C3F">
              <w:rPr>
                <w:sz w:val="20"/>
                <w:szCs w:val="20"/>
                <w:lang w:val="en-CA" w:eastAsia="en-CA"/>
              </w:rPr>
              <w:t>379</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2CDE4EA0" w14:textId="51935A66" w:rsidR="00266A79" w:rsidRPr="00E44C3F" w:rsidRDefault="00266A79" w:rsidP="00266A79">
            <w:pPr>
              <w:jc w:val="right"/>
              <w:rPr>
                <w:sz w:val="20"/>
                <w:szCs w:val="20"/>
                <w:lang w:val="en-CA" w:eastAsia="en-CA"/>
              </w:rPr>
            </w:pPr>
            <w:r w:rsidRPr="00E44C3F">
              <w:rPr>
                <w:sz w:val="20"/>
                <w:szCs w:val="20"/>
                <w:lang w:val="en-CA" w:eastAsia="en-CA"/>
              </w:rPr>
              <w:t>36</w:t>
            </w:r>
            <w:r w:rsidR="003762DD">
              <w:rPr>
                <w:sz w:val="20"/>
                <w:szCs w:val="20"/>
                <w:lang w:val="en-CA" w:eastAsia="en-CA"/>
              </w:rPr>
              <w:t> </w:t>
            </w:r>
            <w:r w:rsidRPr="00E44C3F">
              <w:rPr>
                <w:sz w:val="20"/>
                <w:szCs w:val="20"/>
                <w:lang w:val="en-CA" w:eastAsia="en-CA"/>
              </w:rPr>
              <w:t>294</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677B2D2F" w14:textId="77777777" w:rsidR="00266A79" w:rsidRPr="00E44C3F" w:rsidRDefault="00266A79" w:rsidP="00266A79">
            <w:pPr>
              <w:jc w:val="right"/>
              <w:rPr>
                <w:sz w:val="20"/>
                <w:szCs w:val="20"/>
                <w:lang w:val="en-CA" w:eastAsia="en-CA"/>
              </w:rPr>
            </w:pPr>
            <w:r w:rsidRPr="00E44C3F">
              <w:rPr>
                <w:sz w:val="20"/>
                <w:szCs w:val="20"/>
                <w:lang w:val="en-CA" w:eastAsia="en-CA"/>
              </w:rPr>
              <w:t>2632</w:t>
            </w:r>
          </w:p>
        </w:tc>
        <w:tc>
          <w:tcPr>
            <w:tcW w:w="1326"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7B8154D7" w14:textId="77777777" w:rsidR="00266A79" w:rsidRPr="00E44C3F" w:rsidRDefault="00266A79" w:rsidP="00266A79">
            <w:pPr>
              <w:jc w:val="left"/>
              <w:rPr>
                <w:sz w:val="20"/>
                <w:szCs w:val="20"/>
                <w:lang w:val="en-CA" w:eastAsia="en-CA"/>
              </w:rPr>
            </w:pPr>
            <w:r w:rsidRPr="00E44C3F">
              <w:rPr>
                <w:sz w:val="20"/>
                <w:szCs w:val="20"/>
                <w:lang w:val="en-CA" w:eastAsia="en-CA"/>
              </w:rPr>
              <w:t> </w:t>
            </w:r>
          </w:p>
        </w:tc>
      </w:tr>
      <w:tr w:rsidR="00E44C3F" w:rsidRPr="00E44C3F" w14:paraId="06B8C5B8" w14:textId="77777777" w:rsidTr="00C52D02">
        <w:tc>
          <w:tcPr>
            <w:tcW w:w="1404" w:type="dxa"/>
            <w:tcBorders>
              <w:top w:val="nil"/>
              <w:left w:val="single" w:sz="4" w:space="0" w:color="auto"/>
              <w:bottom w:val="single" w:sz="4" w:space="0" w:color="auto"/>
              <w:right w:val="single" w:sz="4" w:space="0" w:color="auto"/>
            </w:tcBorders>
            <w:shd w:val="clear" w:color="auto" w:fill="auto"/>
            <w:noWrap/>
            <w:tcMar>
              <w:left w:w="86" w:type="dxa"/>
              <w:right w:w="58" w:type="dxa"/>
            </w:tcMar>
            <w:vAlign w:val="bottom"/>
            <w:hideMark/>
          </w:tcPr>
          <w:p w14:paraId="4CC47E25" w14:textId="57D0F8B8" w:rsidR="00266A79" w:rsidRPr="00311ABF" w:rsidRDefault="00311ABF" w:rsidP="003171CE">
            <w:pPr>
              <w:jc w:val="left"/>
              <w:rPr>
                <w:sz w:val="20"/>
                <w:szCs w:val="20"/>
                <w:lang w:val="en-CA" w:eastAsia="en-CA"/>
              </w:rPr>
            </w:pPr>
            <w:r w:rsidRPr="00311ABF">
              <w:rPr>
                <w:sz w:val="20"/>
                <w:szCs w:val="20"/>
                <w:lang w:val="fr-FR" w:eastAsia="en-CA"/>
              </w:rPr>
              <w:t>Thaïlande</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29281F38" w14:textId="77777777" w:rsidR="00266A79" w:rsidRPr="00E44C3F" w:rsidRDefault="00266A79" w:rsidP="00266A79">
            <w:pPr>
              <w:jc w:val="right"/>
              <w:rPr>
                <w:sz w:val="20"/>
                <w:szCs w:val="20"/>
                <w:lang w:val="en-CA" w:eastAsia="en-CA"/>
              </w:rPr>
            </w:pPr>
            <w:r w:rsidRPr="00E44C3F">
              <w:rPr>
                <w:sz w:val="20"/>
                <w:szCs w:val="20"/>
                <w:lang w:val="en-CA" w:eastAsia="en-CA"/>
              </w:rPr>
              <w:t>0</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03426FA7" w14:textId="77777777" w:rsidR="00266A79" w:rsidRPr="00E44C3F" w:rsidRDefault="00266A79" w:rsidP="00266A79">
            <w:pPr>
              <w:jc w:val="left"/>
              <w:rPr>
                <w:sz w:val="20"/>
                <w:szCs w:val="20"/>
                <w:lang w:val="en-CA" w:eastAsia="en-CA"/>
              </w:rPr>
            </w:pPr>
            <w:r w:rsidRPr="00E44C3F">
              <w:rPr>
                <w:sz w:val="20"/>
                <w:szCs w:val="20"/>
                <w:lang w:val="en-CA" w:eastAsia="en-CA"/>
              </w:rPr>
              <w:t> </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26C21803" w14:textId="1E5A9E12" w:rsidR="00266A79" w:rsidRPr="00E44C3F" w:rsidRDefault="00266A79" w:rsidP="00266A79">
            <w:pPr>
              <w:jc w:val="right"/>
              <w:rPr>
                <w:sz w:val="20"/>
                <w:szCs w:val="20"/>
                <w:lang w:val="en-CA" w:eastAsia="en-CA"/>
              </w:rPr>
            </w:pPr>
            <w:r w:rsidRPr="00E44C3F">
              <w:rPr>
                <w:sz w:val="20"/>
                <w:szCs w:val="20"/>
                <w:lang w:val="en-CA" w:eastAsia="en-CA"/>
              </w:rPr>
              <w:t>90</w:t>
            </w:r>
            <w:r w:rsidR="003762DD">
              <w:rPr>
                <w:sz w:val="20"/>
                <w:szCs w:val="20"/>
                <w:lang w:val="en-CA" w:eastAsia="en-CA"/>
              </w:rPr>
              <w:t> </w:t>
            </w:r>
            <w:r w:rsidRPr="00E44C3F">
              <w:rPr>
                <w:sz w:val="20"/>
                <w:szCs w:val="20"/>
                <w:lang w:val="en-CA" w:eastAsia="en-CA"/>
              </w:rPr>
              <w:t>387</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7F1FE35C" w14:textId="5A8399DC" w:rsidR="00266A79" w:rsidRPr="00E44C3F" w:rsidRDefault="00266A79" w:rsidP="00266A79">
            <w:pPr>
              <w:jc w:val="right"/>
              <w:rPr>
                <w:sz w:val="20"/>
                <w:szCs w:val="20"/>
                <w:lang w:val="en-CA" w:eastAsia="en-CA"/>
              </w:rPr>
            </w:pPr>
            <w:r w:rsidRPr="00E44C3F">
              <w:rPr>
                <w:sz w:val="20"/>
                <w:szCs w:val="20"/>
                <w:lang w:val="en-CA" w:eastAsia="en-CA"/>
              </w:rPr>
              <w:t>72</w:t>
            </w:r>
            <w:r w:rsidR="003762DD">
              <w:rPr>
                <w:sz w:val="20"/>
                <w:szCs w:val="20"/>
                <w:lang w:val="en-CA" w:eastAsia="en-CA"/>
              </w:rPr>
              <w:t> </w:t>
            </w:r>
            <w:r w:rsidRPr="00E44C3F">
              <w:rPr>
                <w:sz w:val="20"/>
                <w:szCs w:val="20"/>
                <w:lang w:val="en-CA" w:eastAsia="en-CA"/>
              </w:rPr>
              <w:t>544</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05624114" w14:textId="77777777" w:rsidR="00266A79" w:rsidRPr="00E44C3F" w:rsidRDefault="00266A79" w:rsidP="00266A79">
            <w:pPr>
              <w:jc w:val="right"/>
              <w:rPr>
                <w:sz w:val="20"/>
                <w:szCs w:val="20"/>
                <w:lang w:val="en-CA" w:eastAsia="en-CA"/>
              </w:rPr>
            </w:pPr>
            <w:r w:rsidRPr="00E44C3F">
              <w:rPr>
                <w:sz w:val="20"/>
                <w:szCs w:val="20"/>
                <w:lang w:val="en-CA" w:eastAsia="en-CA"/>
              </w:rPr>
              <w:t>80</w:t>
            </w:r>
          </w:p>
        </w:tc>
        <w:tc>
          <w:tcPr>
            <w:tcW w:w="1326"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25674B19" w14:textId="77777777" w:rsidR="00266A79" w:rsidRPr="00E44C3F" w:rsidRDefault="00266A79" w:rsidP="00266A79">
            <w:pPr>
              <w:jc w:val="right"/>
              <w:rPr>
                <w:sz w:val="20"/>
                <w:szCs w:val="20"/>
                <w:lang w:val="en-CA" w:eastAsia="en-CA"/>
              </w:rPr>
            </w:pPr>
            <w:r w:rsidRPr="00E44C3F">
              <w:rPr>
                <w:sz w:val="20"/>
                <w:szCs w:val="20"/>
                <w:lang w:val="en-CA" w:eastAsia="en-CA"/>
              </w:rPr>
              <w:t>100</w:t>
            </w:r>
          </w:p>
        </w:tc>
      </w:tr>
      <w:tr w:rsidR="00E44C3F" w:rsidRPr="00E44C3F" w14:paraId="342414DD" w14:textId="77777777" w:rsidTr="00C52D02">
        <w:tc>
          <w:tcPr>
            <w:tcW w:w="1404" w:type="dxa"/>
            <w:tcBorders>
              <w:top w:val="nil"/>
              <w:left w:val="single" w:sz="4" w:space="0" w:color="auto"/>
              <w:bottom w:val="single" w:sz="4" w:space="0" w:color="auto"/>
              <w:right w:val="single" w:sz="4" w:space="0" w:color="auto"/>
            </w:tcBorders>
            <w:shd w:val="clear" w:color="auto" w:fill="auto"/>
            <w:noWrap/>
            <w:tcMar>
              <w:left w:w="86" w:type="dxa"/>
              <w:right w:w="58" w:type="dxa"/>
            </w:tcMar>
            <w:vAlign w:val="bottom"/>
            <w:hideMark/>
          </w:tcPr>
          <w:p w14:paraId="7985C9D4" w14:textId="3D5EE459" w:rsidR="00266A79" w:rsidRPr="00311ABF" w:rsidRDefault="00311ABF" w:rsidP="003171CE">
            <w:pPr>
              <w:jc w:val="left"/>
              <w:rPr>
                <w:sz w:val="20"/>
                <w:szCs w:val="20"/>
                <w:lang w:val="en-CA" w:eastAsia="en-CA"/>
              </w:rPr>
            </w:pPr>
            <w:r w:rsidRPr="00311ABF">
              <w:rPr>
                <w:sz w:val="20"/>
                <w:szCs w:val="20"/>
                <w:lang w:val="fr-FR" w:eastAsia="en-CA"/>
              </w:rPr>
              <w:t>Viet Nam</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1C9CCDBE" w14:textId="77777777" w:rsidR="00266A79" w:rsidRPr="00E44C3F" w:rsidRDefault="00266A79" w:rsidP="00266A79">
            <w:pPr>
              <w:jc w:val="right"/>
              <w:rPr>
                <w:sz w:val="20"/>
                <w:szCs w:val="20"/>
                <w:lang w:val="en-CA" w:eastAsia="en-CA"/>
              </w:rPr>
            </w:pPr>
            <w:r w:rsidRPr="00E44C3F">
              <w:rPr>
                <w:sz w:val="20"/>
                <w:szCs w:val="20"/>
                <w:lang w:val="en-CA" w:eastAsia="en-CA"/>
              </w:rPr>
              <w:t>0</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468DB216" w14:textId="77777777" w:rsidR="00266A79" w:rsidRPr="00E44C3F" w:rsidRDefault="00266A79" w:rsidP="00266A79">
            <w:pPr>
              <w:jc w:val="left"/>
              <w:rPr>
                <w:sz w:val="20"/>
                <w:szCs w:val="20"/>
                <w:lang w:val="en-CA" w:eastAsia="en-CA"/>
              </w:rPr>
            </w:pPr>
            <w:r w:rsidRPr="00E44C3F">
              <w:rPr>
                <w:sz w:val="20"/>
                <w:szCs w:val="20"/>
                <w:lang w:val="en-CA" w:eastAsia="en-CA"/>
              </w:rPr>
              <w:t> </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44F5DB72" w14:textId="2A5BFEA6" w:rsidR="00266A79" w:rsidRPr="00E44C3F" w:rsidRDefault="00266A79" w:rsidP="00266A79">
            <w:pPr>
              <w:jc w:val="right"/>
              <w:rPr>
                <w:sz w:val="20"/>
                <w:szCs w:val="20"/>
                <w:lang w:val="en-CA" w:eastAsia="en-CA"/>
              </w:rPr>
            </w:pPr>
            <w:r w:rsidRPr="00E44C3F">
              <w:rPr>
                <w:sz w:val="20"/>
                <w:szCs w:val="20"/>
                <w:lang w:val="en-CA" w:eastAsia="en-CA"/>
              </w:rPr>
              <w:t>198</w:t>
            </w:r>
            <w:r w:rsidR="003762DD">
              <w:rPr>
                <w:sz w:val="20"/>
                <w:szCs w:val="20"/>
                <w:lang w:val="en-CA" w:eastAsia="en-CA"/>
              </w:rPr>
              <w:t> </w:t>
            </w:r>
            <w:r w:rsidRPr="00E44C3F">
              <w:rPr>
                <w:sz w:val="20"/>
                <w:szCs w:val="20"/>
                <w:lang w:val="en-CA" w:eastAsia="en-CA"/>
              </w:rPr>
              <w:t>000</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26F07C02" w14:textId="3D493DF6" w:rsidR="00266A79" w:rsidRPr="00E44C3F" w:rsidRDefault="00266A79" w:rsidP="00266A79">
            <w:pPr>
              <w:jc w:val="right"/>
              <w:rPr>
                <w:sz w:val="20"/>
                <w:szCs w:val="20"/>
                <w:lang w:val="en-CA" w:eastAsia="en-CA"/>
              </w:rPr>
            </w:pPr>
            <w:r w:rsidRPr="00E44C3F">
              <w:rPr>
                <w:sz w:val="20"/>
                <w:szCs w:val="20"/>
                <w:lang w:val="en-CA" w:eastAsia="en-CA"/>
              </w:rPr>
              <w:t>167</w:t>
            </w:r>
            <w:r w:rsidR="003762DD">
              <w:rPr>
                <w:sz w:val="20"/>
                <w:szCs w:val="20"/>
                <w:lang w:val="en-CA" w:eastAsia="en-CA"/>
              </w:rPr>
              <w:t> </w:t>
            </w:r>
            <w:r w:rsidRPr="00E44C3F">
              <w:rPr>
                <w:sz w:val="20"/>
                <w:szCs w:val="20"/>
                <w:lang w:val="en-CA" w:eastAsia="en-CA"/>
              </w:rPr>
              <w:t>349</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72D2192A" w14:textId="77777777" w:rsidR="00266A79" w:rsidRPr="00E44C3F" w:rsidRDefault="00266A79" w:rsidP="00266A79">
            <w:pPr>
              <w:jc w:val="right"/>
              <w:rPr>
                <w:sz w:val="20"/>
                <w:szCs w:val="20"/>
                <w:lang w:val="en-CA" w:eastAsia="en-CA"/>
              </w:rPr>
            </w:pPr>
            <w:r w:rsidRPr="00E44C3F">
              <w:rPr>
                <w:sz w:val="20"/>
                <w:szCs w:val="20"/>
                <w:lang w:val="en-CA" w:eastAsia="en-CA"/>
              </w:rPr>
              <w:t>85</w:t>
            </w:r>
          </w:p>
        </w:tc>
        <w:tc>
          <w:tcPr>
            <w:tcW w:w="1326"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011C4231" w14:textId="77777777" w:rsidR="00266A79" w:rsidRPr="00E44C3F" w:rsidRDefault="00266A79" w:rsidP="00266A79">
            <w:pPr>
              <w:jc w:val="left"/>
              <w:rPr>
                <w:sz w:val="20"/>
                <w:szCs w:val="20"/>
                <w:lang w:val="en-CA" w:eastAsia="en-CA"/>
              </w:rPr>
            </w:pPr>
            <w:r w:rsidRPr="00E44C3F">
              <w:rPr>
                <w:sz w:val="20"/>
                <w:szCs w:val="20"/>
                <w:lang w:val="en-CA" w:eastAsia="en-CA"/>
              </w:rPr>
              <w:t> </w:t>
            </w:r>
          </w:p>
        </w:tc>
      </w:tr>
      <w:tr w:rsidR="00E44C3F" w:rsidRPr="00E44C3F" w14:paraId="72840914" w14:textId="77777777" w:rsidTr="00C52D02">
        <w:tc>
          <w:tcPr>
            <w:tcW w:w="1404" w:type="dxa"/>
            <w:tcBorders>
              <w:top w:val="nil"/>
              <w:left w:val="single" w:sz="4" w:space="0" w:color="auto"/>
              <w:bottom w:val="single" w:sz="4" w:space="0" w:color="auto"/>
              <w:right w:val="single" w:sz="4" w:space="0" w:color="auto"/>
            </w:tcBorders>
            <w:shd w:val="clear" w:color="auto" w:fill="auto"/>
            <w:noWrap/>
            <w:tcMar>
              <w:left w:w="86" w:type="dxa"/>
              <w:right w:w="58" w:type="dxa"/>
            </w:tcMar>
            <w:vAlign w:val="bottom"/>
            <w:hideMark/>
          </w:tcPr>
          <w:p w14:paraId="42D8F84F" w14:textId="2E80B532" w:rsidR="003F02B2" w:rsidRPr="00311ABF" w:rsidRDefault="00311ABF" w:rsidP="003171CE">
            <w:pPr>
              <w:jc w:val="left"/>
              <w:rPr>
                <w:sz w:val="20"/>
                <w:szCs w:val="20"/>
                <w:lang w:val="en-CA" w:eastAsia="en-CA"/>
              </w:rPr>
            </w:pPr>
            <w:r w:rsidRPr="00311ABF">
              <w:rPr>
                <w:sz w:val="20"/>
                <w:szCs w:val="20"/>
                <w:lang w:val="fr-FR" w:eastAsia="en-CA"/>
              </w:rPr>
              <w:t>Au niveau mondial </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18BACFA9" w14:textId="77777777" w:rsidR="003F02B2" w:rsidRPr="00E44C3F" w:rsidRDefault="003F02B2" w:rsidP="003D37E7">
            <w:pPr>
              <w:jc w:val="right"/>
              <w:rPr>
                <w:sz w:val="20"/>
                <w:szCs w:val="20"/>
                <w:lang w:val="en-CA" w:eastAsia="en-CA"/>
              </w:rPr>
            </w:pPr>
            <w:r w:rsidRPr="00E44C3F">
              <w:rPr>
                <w:sz w:val="20"/>
                <w:szCs w:val="20"/>
                <w:lang w:val="en-CA" w:eastAsia="en-CA"/>
              </w:rPr>
              <w:t>0</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51BD46FB" w14:textId="77777777" w:rsidR="003F02B2" w:rsidRPr="00E44C3F" w:rsidRDefault="003F02B2" w:rsidP="003D37E7">
            <w:pPr>
              <w:jc w:val="left"/>
              <w:rPr>
                <w:sz w:val="20"/>
                <w:szCs w:val="20"/>
                <w:lang w:val="en-CA" w:eastAsia="en-CA"/>
              </w:rPr>
            </w:pPr>
            <w:r w:rsidRPr="00E44C3F">
              <w:rPr>
                <w:sz w:val="20"/>
                <w:szCs w:val="20"/>
                <w:lang w:val="en-CA" w:eastAsia="en-CA"/>
              </w:rPr>
              <w:t> </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6558FB0D" w14:textId="77777777" w:rsidR="003F02B2" w:rsidRPr="00E44C3F" w:rsidRDefault="003F02B2" w:rsidP="003D37E7">
            <w:pPr>
              <w:jc w:val="right"/>
              <w:rPr>
                <w:sz w:val="20"/>
                <w:szCs w:val="20"/>
                <w:lang w:val="en-CA" w:eastAsia="en-CA"/>
              </w:rPr>
            </w:pPr>
            <w:r w:rsidRPr="00E44C3F">
              <w:rPr>
                <w:sz w:val="20"/>
                <w:szCs w:val="20"/>
                <w:lang w:val="en-CA" w:eastAsia="en-CA"/>
              </w:rPr>
              <w:t>0</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21A402D5" w14:textId="77777777" w:rsidR="003F02B2" w:rsidRPr="00E44C3F" w:rsidRDefault="003F02B2" w:rsidP="003D37E7">
            <w:pPr>
              <w:jc w:val="right"/>
              <w:rPr>
                <w:sz w:val="20"/>
                <w:szCs w:val="20"/>
                <w:lang w:val="en-CA" w:eastAsia="en-CA"/>
              </w:rPr>
            </w:pPr>
            <w:r w:rsidRPr="00E44C3F">
              <w:rPr>
                <w:sz w:val="20"/>
                <w:szCs w:val="20"/>
                <w:lang w:val="en-CA" w:eastAsia="en-CA"/>
              </w:rPr>
              <w:t>0</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2C0D6871" w14:textId="77777777" w:rsidR="003F02B2" w:rsidRPr="00E44C3F" w:rsidRDefault="003F02B2" w:rsidP="003D37E7">
            <w:pPr>
              <w:jc w:val="left"/>
              <w:rPr>
                <w:sz w:val="20"/>
                <w:szCs w:val="20"/>
                <w:lang w:val="en-CA" w:eastAsia="en-CA"/>
              </w:rPr>
            </w:pPr>
            <w:r w:rsidRPr="00E44C3F">
              <w:rPr>
                <w:sz w:val="20"/>
                <w:szCs w:val="20"/>
                <w:lang w:val="en-CA" w:eastAsia="en-CA"/>
              </w:rPr>
              <w:t> </w:t>
            </w:r>
          </w:p>
        </w:tc>
        <w:tc>
          <w:tcPr>
            <w:tcW w:w="1326"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196C8055" w14:textId="77777777" w:rsidR="003F02B2" w:rsidRPr="00E44C3F" w:rsidRDefault="003F02B2" w:rsidP="003D37E7">
            <w:pPr>
              <w:jc w:val="right"/>
              <w:rPr>
                <w:sz w:val="20"/>
                <w:szCs w:val="20"/>
                <w:lang w:val="en-CA" w:eastAsia="en-CA"/>
              </w:rPr>
            </w:pPr>
            <w:r w:rsidRPr="00E44C3F">
              <w:rPr>
                <w:sz w:val="20"/>
                <w:szCs w:val="20"/>
                <w:lang w:val="en-CA" w:eastAsia="en-CA"/>
              </w:rPr>
              <w:t>100</w:t>
            </w:r>
          </w:p>
        </w:tc>
      </w:tr>
      <w:tr w:rsidR="00E44C3F" w:rsidRPr="00E44C3F" w14:paraId="4876ED0F" w14:textId="77777777" w:rsidTr="00C52D02">
        <w:tc>
          <w:tcPr>
            <w:tcW w:w="1404" w:type="dxa"/>
            <w:tcBorders>
              <w:top w:val="nil"/>
              <w:left w:val="single" w:sz="4" w:space="0" w:color="auto"/>
              <w:bottom w:val="single" w:sz="4" w:space="0" w:color="auto"/>
              <w:right w:val="single" w:sz="4" w:space="0" w:color="auto"/>
            </w:tcBorders>
            <w:shd w:val="clear" w:color="auto" w:fill="auto"/>
            <w:noWrap/>
            <w:tcMar>
              <w:left w:w="86" w:type="dxa"/>
              <w:right w:w="58" w:type="dxa"/>
            </w:tcMar>
            <w:vAlign w:val="bottom"/>
            <w:hideMark/>
          </w:tcPr>
          <w:p w14:paraId="67412B90" w14:textId="0789AB8F" w:rsidR="00266A79" w:rsidRPr="00311ABF" w:rsidRDefault="00311ABF" w:rsidP="003171CE">
            <w:pPr>
              <w:jc w:val="left"/>
              <w:rPr>
                <w:b/>
                <w:bCs/>
                <w:sz w:val="20"/>
                <w:szCs w:val="20"/>
                <w:lang w:val="en-CA" w:eastAsia="en-CA"/>
              </w:rPr>
            </w:pPr>
            <w:r w:rsidRPr="00311ABF">
              <w:rPr>
                <w:b/>
                <w:bCs/>
                <w:sz w:val="20"/>
                <w:szCs w:val="20"/>
                <w:lang w:val="fr-FR" w:eastAsia="en-CA"/>
              </w:rPr>
              <w:t>Total</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4A313161" w14:textId="72FF84C3" w:rsidR="00266A79" w:rsidRPr="00E44C3F" w:rsidRDefault="00266A79" w:rsidP="00266A79">
            <w:pPr>
              <w:jc w:val="right"/>
              <w:rPr>
                <w:b/>
                <w:bCs/>
                <w:sz w:val="20"/>
                <w:szCs w:val="20"/>
                <w:lang w:val="en-CA" w:eastAsia="en-CA"/>
              </w:rPr>
            </w:pPr>
            <w:r w:rsidRPr="00E44C3F">
              <w:rPr>
                <w:b/>
                <w:bCs/>
                <w:sz w:val="20"/>
                <w:szCs w:val="20"/>
                <w:lang w:val="en-CA" w:eastAsia="en-CA"/>
              </w:rPr>
              <w:t>1</w:t>
            </w:r>
            <w:r w:rsidR="003762DD">
              <w:rPr>
                <w:b/>
                <w:bCs/>
                <w:sz w:val="20"/>
                <w:szCs w:val="20"/>
                <w:lang w:val="en-CA" w:eastAsia="en-CA"/>
              </w:rPr>
              <w:t> </w:t>
            </w:r>
            <w:r w:rsidRPr="00E44C3F">
              <w:rPr>
                <w:b/>
                <w:bCs/>
                <w:sz w:val="20"/>
                <w:szCs w:val="20"/>
                <w:lang w:val="en-CA" w:eastAsia="en-CA"/>
              </w:rPr>
              <w:t>922</w:t>
            </w:r>
            <w:r w:rsidR="003762DD">
              <w:rPr>
                <w:b/>
                <w:bCs/>
                <w:sz w:val="20"/>
                <w:szCs w:val="20"/>
                <w:lang w:val="en-CA" w:eastAsia="en-CA"/>
              </w:rPr>
              <w:t>,</w:t>
            </w:r>
            <w:r w:rsidRPr="00E44C3F">
              <w:rPr>
                <w:b/>
                <w:bCs/>
                <w:sz w:val="20"/>
                <w:szCs w:val="20"/>
                <w:lang w:val="en-CA" w:eastAsia="en-CA"/>
              </w:rPr>
              <w:t>1</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5C403459" w14:textId="77777777" w:rsidR="00266A79" w:rsidRPr="00E44C3F" w:rsidRDefault="00266A79" w:rsidP="00266A79">
            <w:pPr>
              <w:jc w:val="right"/>
              <w:rPr>
                <w:b/>
                <w:bCs/>
                <w:sz w:val="20"/>
                <w:szCs w:val="20"/>
                <w:lang w:val="en-CA" w:eastAsia="en-CA"/>
              </w:rPr>
            </w:pPr>
            <w:r w:rsidRPr="00E44C3F">
              <w:rPr>
                <w:b/>
                <w:bCs/>
                <w:sz w:val="20"/>
                <w:szCs w:val="20"/>
                <w:lang w:val="en-CA" w:eastAsia="en-CA"/>
              </w:rPr>
              <w:t>25</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26251991" w14:textId="4E9708F9" w:rsidR="00266A79" w:rsidRPr="00E44C3F" w:rsidRDefault="00266A79" w:rsidP="00266A79">
            <w:pPr>
              <w:jc w:val="right"/>
              <w:rPr>
                <w:b/>
                <w:bCs/>
                <w:sz w:val="20"/>
                <w:szCs w:val="20"/>
                <w:lang w:val="en-CA" w:eastAsia="en-CA"/>
              </w:rPr>
            </w:pPr>
            <w:r w:rsidRPr="00E44C3F">
              <w:rPr>
                <w:b/>
                <w:bCs/>
                <w:sz w:val="20"/>
                <w:szCs w:val="20"/>
                <w:lang w:val="en-CA" w:eastAsia="en-CA"/>
              </w:rPr>
              <w:t>11</w:t>
            </w:r>
            <w:r w:rsidR="003762DD">
              <w:rPr>
                <w:b/>
                <w:bCs/>
                <w:sz w:val="20"/>
                <w:szCs w:val="20"/>
                <w:lang w:val="en-CA" w:eastAsia="en-CA"/>
              </w:rPr>
              <w:t> </w:t>
            </w:r>
            <w:r w:rsidRPr="00E44C3F">
              <w:rPr>
                <w:b/>
                <w:bCs/>
                <w:sz w:val="20"/>
                <w:szCs w:val="20"/>
                <w:lang w:val="en-CA" w:eastAsia="en-CA"/>
              </w:rPr>
              <w:t>727</w:t>
            </w:r>
            <w:r w:rsidR="003762DD">
              <w:rPr>
                <w:b/>
                <w:bCs/>
                <w:sz w:val="20"/>
                <w:szCs w:val="20"/>
                <w:lang w:val="en-CA" w:eastAsia="en-CA"/>
              </w:rPr>
              <w:t> </w:t>
            </w:r>
            <w:r w:rsidRPr="00E44C3F">
              <w:rPr>
                <w:b/>
                <w:bCs/>
                <w:sz w:val="20"/>
                <w:szCs w:val="20"/>
                <w:lang w:val="en-CA" w:eastAsia="en-CA"/>
              </w:rPr>
              <w:t>712</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7852A457" w14:textId="0A58191E" w:rsidR="00266A79" w:rsidRPr="00E44C3F" w:rsidRDefault="00846904" w:rsidP="00266A79">
            <w:pPr>
              <w:jc w:val="right"/>
              <w:rPr>
                <w:b/>
                <w:bCs/>
                <w:sz w:val="20"/>
                <w:szCs w:val="20"/>
                <w:lang w:val="en-CA" w:eastAsia="en-CA"/>
              </w:rPr>
            </w:pPr>
            <w:r w:rsidRPr="00E44C3F">
              <w:rPr>
                <w:b/>
                <w:bCs/>
                <w:sz w:val="20"/>
                <w:szCs w:val="20"/>
                <w:lang w:val="en-CA" w:eastAsia="en-CA"/>
              </w:rPr>
              <w:t>9</w:t>
            </w:r>
            <w:r w:rsidR="003762DD">
              <w:rPr>
                <w:b/>
                <w:bCs/>
                <w:sz w:val="20"/>
                <w:szCs w:val="20"/>
                <w:lang w:val="en-CA" w:eastAsia="en-CA"/>
              </w:rPr>
              <w:t> </w:t>
            </w:r>
            <w:r w:rsidRPr="00E44C3F">
              <w:rPr>
                <w:b/>
                <w:bCs/>
                <w:sz w:val="20"/>
                <w:szCs w:val="20"/>
                <w:lang w:val="en-CA" w:eastAsia="en-CA"/>
              </w:rPr>
              <w:t>368</w:t>
            </w:r>
            <w:r w:rsidR="003762DD">
              <w:rPr>
                <w:b/>
                <w:bCs/>
                <w:sz w:val="20"/>
                <w:szCs w:val="20"/>
                <w:lang w:val="en-CA" w:eastAsia="en-CA"/>
              </w:rPr>
              <w:t> </w:t>
            </w:r>
            <w:r w:rsidRPr="00E44C3F">
              <w:rPr>
                <w:b/>
                <w:bCs/>
                <w:sz w:val="20"/>
                <w:szCs w:val="20"/>
                <w:lang w:val="en-CA" w:eastAsia="en-CA"/>
              </w:rPr>
              <w:t>597</w:t>
            </w:r>
          </w:p>
        </w:tc>
        <w:tc>
          <w:tcPr>
            <w:tcW w:w="1325"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1577A78D" w14:textId="77777777" w:rsidR="00266A79" w:rsidRPr="00E44C3F" w:rsidRDefault="00846904" w:rsidP="00266A79">
            <w:pPr>
              <w:jc w:val="right"/>
              <w:rPr>
                <w:b/>
                <w:bCs/>
                <w:sz w:val="20"/>
                <w:szCs w:val="20"/>
                <w:lang w:val="en-CA" w:eastAsia="en-CA"/>
              </w:rPr>
            </w:pPr>
            <w:r w:rsidRPr="00E44C3F">
              <w:rPr>
                <w:b/>
                <w:bCs/>
                <w:sz w:val="20"/>
                <w:szCs w:val="20"/>
                <w:lang w:val="en-CA" w:eastAsia="en-CA"/>
              </w:rPr>
              <w:t>80</w:t>
            </w:r>
          </w:p>
        </w:tc>
        <w:tc>
          <w:tcPr>
            <w:tcW w:w="1326" w:type="dxa"/>
            <w:tcBorders>
              <w:top w:val="nil"/>
              <w:left w:val="nil"/>
              <w:bottom w:val="single" w:sz="4" w:space="0" w:color="auto"/>
              <w:right w:val="single" w:sz="4" w:space="0" w:color="auto"/>
            </w:tcBorders>
            <w:shd w:val="clear" w:color="auto" w:fill="auto"/>
            <w:noWrap/>
            <w:tcMar>
              <w:left w:w="86" w:type="dxa"/>
              <w:right w:w="202" w:type="dxa"/>
            </w:tcMar>
            <w:vAlign w:val="bottom"/>
            <w:hideMark/>
          </w:tcPr>
          <w:p w14:paraId="2A638F23" w14:textId="77777777" w:rsidR="00266A79" w:rsidRPr="00E44C3F" w:rsidRDefault="00266A79" w:rsidP="00266A79">
            <w:pPr>
              <w:jc w:val="right"/>
              <w:rPr>
                <w:b/>
                <w:bCs/>
                <w:sz w:val="20"/>
                <w:szCs w:val="20"/>
                <w:lang w:val="en-CA" w:eastAsia="en-CA"/>
              </w:rPr>
            </w:pPr>
            <w:r w:rsidRPr="00E44C3F">
              <w:rPr>
                <w:b/>
                <w:bCs/>
                <w:sz w:val="20"/>
                <w:szCs w:val="20"/>
                <w:lang w:val="en-CA" w:eastAsia="en-CA"/>
              </w:rPr>
              <w:t>93</w:t>
            </w:r>
          </w:p>
        </w:tc>
      </w:tr>
    </w:tbl>
    <w:p w14:paraId="15712CE5" w14:textId="5CCD5214" w:rsidR="00E433C6" w:rsidRPr="00C52326" w:rsidRDefault="00311ABF" w:rsidP="00E433C6">
      <w:pPr>
        <w:pStyle w:val="Title1"/>
        <w:keepNext/>
        <w:jc w:val="both"/>
        <w:rPr>
          <w:b w:val="0"/>
          <w:caps w:val="0"/>
          <w:sz w:val="19"/>
          <w:szCs w:val="19"/>
          <w:lang w:val="fr-CA"/>
        </w:rPr>
      </w:pPr>
      <w:r w:rsidRPr="00311ABF">
        <w:rPr>
          <w:b w:val="0"/>
          <w:caps w:val="0"/>
          <w:sz w:val="19"/>
          <w:szCs w:val="19"/>
          <w:lang w:val="fr-FR"/>
        </w:rPr>
        <w:t>* Pas d</w:t>
      </w:r>
      <w:r w:rsidR="007B7C04">
        <w:rPr>
          <w:b w:val="0"/>
          <w:caps w:val="0"/>
          <w:sz w:val="19"/>
          <w:szCs w:val="19"/>
          <w:lang w:val="fr-FR"/>
        </w:rPr>
        <w:t>’</w:t>
      </w:r>
      <w:r w:rsidRPr="00311ABF">
        <w:rPr>
          <w:b w:val="0"/>
          <w:caps w:val="0"/>
          <w:sz w:val="19"/>
          <w:szCs w:val="19"/>
          <w:lang w:val="fr-FR"/>
        </w:rPr>
        <w:t>élimination en 2019 pour des projets portant sur les HFC.</w:t>
      </w:r>
    </w:p>
    <w:p w14:paraId="31D41BDE" w14:textId="77777777" w:rsidR="00E433C6" w:rsidRPr="00C52326" w:rsidRDefault="00E433C6" w:rsidP="00E433C6">
      <w:pPr>
        <w:pStyle w:val="Title1"/>
        <w:keepNext/>
        <w:jc w:val="both"/>
        <w:rPr>
          <w:caps w:val="0"/>
          <w:lang w:val="fr-CA"/>
        </w:rPr>
      </w:pPr>
    </w:p>
    <w:p w14:paraId="313DE2D9" w14:textId="39795C4A" w:rsidR="00E433C6" w:rsidRPr="00C52326" w:rsidRDefault="00C11F7B" w:rsidP="00C11F7B">
      <w:pPr>
        <w:pStyle w:val="Heading1"/>
        <w:keepNext/>
        <w:keepLines/>
        <w:numPr>
          <w:ilvl w:val="0"/>
          <w:numId w:val="0"/>
        </w:numPr>
        <w:ind w:left="1418" w:hanging="1418"/>
        <w:rPr>
          <w:rFonts w:ascii="Times New Roman Bold" w:hAnsi="Times New Roman Bold"/>
          <w:b/>
          <w:caps/>
          <w:szCs w:val="28"/>
          <w:lang w:val="fr-CA"/>
        </w:rPr>
      </w:pPr>
      <w:r w:rsidRPr="001E204E">
        <w:rPr>
          <w:rFonts w:ascii="Times New Roman Bold" w:hAnsi="Times New Roman Bold"/>
          <w:b/>
          <w:caps/>
          <w:szCs w:val="28"/>
          <w:lang w:val="fr-FR"/>
        </w:rPr>
        <w:t>Partie II</w:t>
      </w:r>
      <w:r w:rsidRPr="001E204E">
        <w:rPr>
          <w:rFonts w:ascii="Times New Roman Bold" w:hAnsi="Times New Roman Bold" w:hint="eastAsia"/>
          <w:b/>
          <w:caps/>
          <w:szCs w:val="28"/>
          <w:lang w:val="fr-FR"/>
        </w:rPr>
        <w:t> </w:t>
      </w:r>
      <w:r w:rsidRPr="001E204E">
        <w:rPr>
          <w:rFonts w:ascii="Times New Roman Bold" w:hAnsi="Times New Roman Bold"/>
          <w:b/>
          <w:caps/>
          <w:szCs w:val="28"/>
          <w:lang w:val="fr-FR"/>
        </w:rPr>
        <w:t>:</w:t>
      </w:r>
      <w:r w:rsidR="00E433C6" w:rsidRPr="00C52326">
        <w:rPr>
          <w:rFonts w:ascii="Times New Roman Bold" w:hAnsi="Times New Roman Bold"/>
          <w:b/>
          <w:caps/>
          <w:szCs w:val="28"/>
          <w:lang w:val="fr-CA"/>
        </w:rPr>
        <w:tab/>
      </w:r>
      <w:r w:rsidRPr="001E204E">
        <w:rPr>
          <w:rFonts w:ascii="Times New Roman Bold" w:hAnsi="Times New Roman Bold"/>
          <w:b/>
          <w:caps/>
          <w:szCs w:val="28"/>
          <w:lang w:val="fr-FR"/>
        </w:rPr>
        <w:t>PROJETS APPROUV</w:t>
      </w:r>
      <w:r w:rsidRPr="001E204E">
        <w:rPr>
          <w:rFonts w:ascii="Times New Roman Bold" w:hAnsi="Times New Roman Bold" w:hint="eastAsia"/>
          <w:b/>
          <w:caps/>
          <w:szCs w:val="28"/>
          <w:lang w:val="fr-FR"/>
        </w:rPr>
        <w:t>É</w:t>
      </w:r>
      <w:r w:rsidRPr="001E204E">
        <w:rPr>
          <w:rFonts w:ascii="Times New Roman Bold" w:hAnsi="Times New Roman Bold"/>
          <w:b/>
          <w:caps/>
          <w:szCs w:val="28"/>
          <w:lang w:val="fr-FR"/>
        </w:rPr>
        <w:t>S AU TITRE DES CONTRIBUTIONS VOLONTAIRES SUPPL</w:t>
      </w:r>
      <w:r w:rsidRPr="001E204E">
        <w:rPr>
          <w:rFonts w:ascii="Times New Roman Bold" w:hAnsi="Times New Roman Bold" w:hint="eastAsia"/>
          <w:b/>
          <w:caps/>
          <w:szCs w:val="28"/>
          <w:lang w:val="fr-FR"/>
        </w:rPr>
        <w:t>É</w:t>
      </w:r>
      <w:r w:rsidRPr="001E204E">
        <w:rPr>
          <w:rFonts w:ascii="Times New Roman Bold" w:hAnsi="Times New Roman Bold"/>
          <w:b/>
          <w:caps/>
          <w:szCs w:val="28"/>
          <w:lang w:val="fr-FR"/>
        </w:rPr>
        <w:t>MENTAIRES AFIN DE SOUTENIR LE D</w:t>
      </w:r>
      <w:r w:rsidRPr="001E204E">
        <w:rPr>
          <w:rFonts w:ascii="Times New Roman Bold" w:hAnsi="Times New Roman Bold" w:hint="eastAsia"/>
          <w:b/>
          <w:caps/>
          <w:szCs w:val="28"/>
          <w:lang w:val="fr-FR"/>
        </w:rPr>
        <w:t>É</w:t>
      </w:r>
      <w:r w:rsidRPr="001E204E">
        <w:rPr>
          <w:rFonts w:ascii="Times New Roman Bold" w:hAnsi="Times New Roman Bold"/>
          <w:b/>
          <w:caps/>
          <w:szCs w:val="28"/>
          <w:lang w:val="fr-FR"/>
        </w:rPr>
        <w:t>MARRAGE RAPIDE DU PROCESSUS D</w:t>
      </w:r>
      <w:r w:rsidR="007B7C04" w:rsidRPr="001E204E">
        <w:rPr>
          <w:rFonts w:ascii="Times New Roman Bold" w:hAnsi="Times New Roman Bold" w:hint="eastAsia"/>
          <w:b/>
          <w:caps/>
          <w:szCs w:val="28"/>
          <w:lang w:val="fr-FR"/>
        </w:rPr>
        <w:t>’</w:t>
      </w:r>
      <w:r w:rsidRPr="001E204E">
        <w:rPr>
          <w:rFonts w:ascii="Times New Roman Bold" w:hAnsi="Times New Roman Bold" w:hint="eastAsia"/>
          <w:b/>
          <w:caps/>
          <w:szCs w:val="28"/>
          <w:lang w:val="fr-FR"/>
        </w:rPr>
        <w:t>É</w:t>
      </w:r>
      <w:r w:rsidRPr="001E204E">
        <w:rPr>
          <w:rFonts w:ascii="Times New Roman Bold" w:hAnsi="Times New Roman Bold"/>
          <w:b/>
          <w:caps/>
          <w:szCs w:val="28"/>
          <w:lang w:val="fr-FR"/>
        </w:rPr>
        <w:t>LIMINATION PROGRESSIVE DES HFC</w:t>
      </w:r>
    </w:p>
    <w:p w14:paraId="524C0C09" w14:textId="3BE6C3D8" w:rsidR="00C11F7B" w:rsidRPr="00C11F7B" w:rsidRDefault="00C11F7B" w:rsidP="00C11F7B">
      <w:pPr>
        <w:pStyle w:val="Heading1"/>
        <w:rPr>
          <w:lang w:val="en-CA"/>
        </w:rPr>
      </w:pPr>
      <w:r w:rsidRPr="00C11F7B">
        <w:rPr>
          <w:lang w:val="fr-FR"/>
        </w:rPr>
        <w:t>Au 31 décembre 2019, le Comité exécutif avait approuvé cinq projets relatifs aux HFC au titre des contributions volontaires supplémentaires, pour un montant total de 963 514 $US (coûts d</w:t>
      </w:r>
      <w:r w:rsidR="007B7C04">
        <w:rPr>
          <w:lang w:val="fr-FR"/>
        </w:rPr>
        <w:t>’</w:t>
      </w:r>
      <w:r w:rsidRPr="00C11F7B">
        <w:rPr>
          <w:lang w:val="fr-FR"/>
        </w:rPr>
        <w:t>appui d</w:t>
      </w:r>
      <w:r w:rsidR="007B7C04">
        <w:rPr>
          <w:lang w:val="fr-FR"/>
        </w:rPr>
        <w:t>’</w:t>
      </w:r>
      <w:r w:rsidRPr="00C11F7B">
        <w:rPr>
          <w:lang w:val="fr-FR"/>
        </w:rPr>
        <w:t>agence non compris).</w:t>
      </w:r>
      <w:r w:rsidRPr="00C52326">
        <w:rPr>
          <w:lang w:val="fr-CA"/>
        </w:rPr>
        <w:t xml:space="preserve"> </w:t>
      </w:r>
      <w:r w:rsidRPr="00C11F7B">
        <w:rPr>
          <w:lang w:val="fr-FR"/>
        </w:rPr>
        <w:t>Le tableau 5 récapitule l</w:t>
      </w:r>
      <w:r w:rsidR="007B7C04">
        <w:rPr>
          <w:lang w:val="fr-FR"/>
        </w:rPr>
        <w:t>’</w:t>
      </w:r>
      <w:r w:rsidRPr="00C11F7B">
        <w:rPr>
          <w:lang w:val="fr-FR"/>
        </w:rPr>
        <w:t>état d</w:t>
      </w:r>
      <w:r w:rsidR="007B7C04">
        <w:rPr>
          <w:lang w:val="fr-FR"/>
        </w:rPr>
        <w:t>’</w:t>
      </w:r>
      <w:r w:rsidRPr="00C11F7B">
        <w:rPr>
          <w:lang w:val="fr-FR"/>
        </w:rPr>
        <w:t>avancement de ces projets.</w:t>
      </w:r>
      <w:r w:rsidRPr="00C11F7B">
        <w:rPr>
          <w:lang w:val="en-CA"/>
        </w:rPr>
        <w:t xml:space="preserve"> </w:t>
      </w:r>
    </w:p>
    <w:p w14:paraId="2DFD908C" w14:textId="15916924" w:rsidR="00E433C6" w:rsidRPr="00C52326" w:rsidRDefault="00C11F7B" w:rsidP="00E433C6">
      <w:pPr>
        <w:pStyle w:val="Heading1"/>
        <w:numPr>
          <w:ilvl w:val="0"/>
          <w:numId w:val="0"/>
        </w:numPr>
        <w:spacing w:after="0"/>
        <w:rPr>
          <w:b/>
          <w:lang w:val="fr-CA"/>
        </w:rPr>
      </w:pPr>
      <w:r w:rsidRPr="00C11F7B">
        <w:rPr>
          <w:b/>
          <w:lang w:val="fr-FR"/>
        </w:rPr>
        <w:t>Tableau 5. État d</w:t>
      </w:r>
      <w:r w:rsidR="007B7C04">
        <w:rPr>
          <w:b/>
          <w:lang w:val="fr-FR"/>
        </w:rPr>
        <w:t>’</w:t>
      </w:r>
      <w:r w:rsidRPr="00C11F7B">
        <w:rPr>
          <w:b/>
          <w:lang w:val="fr-FR"/>
        </w:rPr>
        <w:t>avancement des projets approuvés relatifs aux HFC à la fin de 2019</w:t>
      </w:r>
    </w:p>
    <w:tbl>
      <w:tblPr>
        <w:tblW w:w="9360" w:type="dxa"/>
        <w:tblInd w:w="-5" w:type="dxa"/>
        <w:tblLayout w:type="fixed"/>
        <w:tblLook w:val="04A0" w:firstRow="1" w:lastRow="0" w:firstColumn="1" w:lastColumn="0" w:noHBand="0" w:noVBand="1"/>
      </w:tblPr>
      <w:tblGrid>
        <w:gridCol w:w="1733"/>
        <w:gridCol w:w="1089"/>
        <w:gridCol w:w="1090"/>
        <w:gridCol w:w="1128"/>
        <w:gridCol w:w="1051"/>
        <w:gridCol w:w="1089"/>
        <w:gridCol w:w="1090"/>
        <w:gridCol w:w="1090"/>
      </w:tblGrid>
      <w:tr w:rsidR="00E44C3F" w:rsidRPr="00E44C3F" w14:paraId="04461365" w14:textId="77777777" w:rsidTr="00C52D02">
        <w:tc>
          <w:tcPr>
            <w:tcW w:w="1733" w:type="dxa"/>
            <w:vMerge w:val="restart"/>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hideMark/>
          </w:tcPr>
          <w:p w14:paraId="739F0A3F" w14:textId="0F1D2370" w:rsidR="002418CF" w:rsidRPr="00C11F7B" w:rsidRDefault="00C11F7B" w:rsidP="003171CE">
            <w:pPr>
              <w:jc w:val="left"/>
              <w:rPr>
                <w:b/>
                <w:bCs/>
                <w:sz w:val="20"/>
                <w:szCs w:val="20"/>
                <w:lang w:val="en-CA" w:eastAsia="en-CA"/>
              </w:rPr>
            </w:pPr>
            <w:r w:rsidRPr="00C11F7B">
              <w:rPr>
                <w:b/>
                <w:bCs/>
                <w:sz w:val="20"/>
                <w:szCs w:val="20"/>
                <w:lang w:val="fr-FR" w:eastAsia="en-CA"/>
              </w:rPr>
              <w:t>Type</w:t>
            </w:r>
          </w:p>
        </w:tc>
        <w:tc>
          <w:tcPr>
            <w:tcW w:w="3307" w:type="dxa"/>
            <w:gridSpan w:val="3"/>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3759065A" w14:textId="119F36A1" w:rsidR="002418CF" w:rsidRPr="00C11F7B" w:rsidRDefault="00C11F7B" w:rsidP="003171CE">
            <w:pPr>
              <w:jc w:val="center"/>
              <w:rPr>
                <w:b/>
                <w:bCs/>
                <w:sz w:val="20"/>
                <w:szCs w:val="20"/>
                <w:lang w:val="en-CA" w:eastAsia="en-CA"/>
              </w:rPr>
            </w:pPr>
            <w:r w:rsidRPr="00C11F7B">
              <w:rPr>
                <w:b/>
                <w:bCs/>
                <w:sz w:val="20"/>
                <w:szCs w:val="20"/>
                <w:lang w:val="fr-FR" w:eastAsia="en-CA"/>
              </w:rPr>
              <w:t>Nombre de</w:t>
            </w:r>
            <w:r w:rsidR="007B7C04">
              <w:rPr>
                <w:b/>
                <w:bCs/>
                <w:sz w:val="20"/>
                <w:szCs w:val="20"/>
                <w:lang w:val="fr-FR" w:eastAsia="en-CA"/>
              </w:rPr>
              <w:t xml:space="preserve"> </w:t>
            </w:r>
            <w:r w:rsidRPr="00C11F7B">
              <w:rPr>
                <w:b/>
                <w:bCs/>
                <w:sz w:val="20"/>
                <w:szCs w:val="20"/>
                <w:lang w:val="fr-FR" w:eastAsia="en-CA"/>
              </w:rPr>
              <w:t>projets*</w:t>
            </w:r>
          </w:p>
        </w:tc>
        <w:tc>
          <w:tcPr>
            <w:tcW w:w="4320" w:type="dxa"/>
            <w:gridSpan w:val="4"/>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6D558116" w14:textId="7F6297EA" w:rsidR="002418CF" w:rsidRPr="00C11F7B" w:rsidRDefault="00C11F7B" w:rsidP="003171CE">
            <w:pPr>
              <w:jc w:val="center"/>
              <w:rPr>
                <w:b/>
                <w:bCs/>
                <w:sz w:val="20"/>
                <w:szCs w:val="20"/>
                <w:lang w:val="en-CA" w:eastAsia="en-CA"/>
              </w:rPr>
            </w:pPr>
            <w:r w:rsidRPr="00C11F7B">
              <w:rPr>
                <w:b/>
                <w:bCs/>
                <w:sz w:val="20"/>
                <w:szCs w:val="20"/>
                <w:lang w:val="fr-FR" w:eastAsia="en-CA"/>
              </w:rPr>
              <w:t>Financement ($US)**</w:t>
            </w:r>
          </w:p>
        </w:tc>
      </w:tr>
      <w:tr w:rsidR="00E44C3F" w:rsidRPr="00E44C3F" w14:paraId="76A5939D" w14:textId="77777777" w:rsidTr="00C52D02">
        <w:tc>
          <w:tcPr>
            <w:tcW w:w="1733" w:type="dxa"/>
            <w:vMerge/>
            <w:tcBorders>
              <w:top w:val="single" w:sz="4" w:space="0" w:color="auto"/>
              <w:left w:val="single" w:sz="4" w:space="0" w:color="auto"/>
              <w:bottom w:val="single" w:sz="4" w:space="0" w:color="auto"/>
              <w:right w:val="single" w:sz="4" w:space="0" w:color="auto"/>
            </w:tcBorders>
            <w:tcMar>
              <w:left w:w="72" w:type="dxa"/>
              <w:right w:w="72" w:type="dxa"/>
            </w:tcMar>
            <w:hideMark/>
          </w:tcPr>
          <w:p w14:paraId="0F62BA79" w14:textId="77777777" w:rsidR="002418CF" w:rsidRPr="00E44C3F" w:rsidRDefault="002418CF" w:rsidP="002418CF">
            <w:pPr>
              <w:jc w:val="left"/>
              <w:rPr>
                <w:b/>
                <w:bCs/>
                <w:sz w:val="20"/>
                <w:szCs w:val="20"/>
                <w:lang w:val="en-CA" w:eastAsia="en-CA"/>
              </w:rPr>
            </w:pPr>
          </w:p>
        </w:tc>
        <w:tc>
          <w:tcPr>
            <w:tcW w:w="10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599870F3" w14:textId="1567A032" w:rsidR="002418CF" w:rsidRPr="00C11F7B" w:rsidRDefault="00C11F7B" w:rsidP="003171CE">
            <w:pPr>
              <w:jc w:val="center"/>
              <w:rPr>
                <w:b/>
                <w:bCs/>
                <w:sz w:val="20"/>
                <w:szCs w:val="20"/>
                <w:lang w:val="en-CA" w:eastAsia="en-CA"/>
              </w:rPr>
            </w:pPr>
            <w:r w:rsidRPr="00C11F7B">
              <w:rPr>
                <w:b/>
                <w:bCs/>
                <w:sz w:val="20"/>
                <w:szCs w:val="20"/>
                <w:lang w:val="fr-FR" w:eastAsia="en-CA"/>
              </w:rPr>
              <w:t>Approuvé</w:t>
            </w:r>
            <w:r>
              <w:rPr>
                <w:b/>
                <w:bCs/>
                <w:sz w:val="20"/>
                <w:szCs w:val="20"/>
                <w:lang w:val="fr-FR" w:eastAsia="en-CA"/>
              </w:rPr>
              <w:t>s</w:t>
            </w:r>
          </w:p>
        </w:tc>
        <w:tc>
          <w:tcPr>
            <w:tcW w:w="109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4831EE92" w14:textId="1F82FAA9" w:rsidR="002418CF" w:rsidRPr="00C11F7B" w:rsidRDefault="00C11F7B" w:rsidP="003171CE">
            <w:pPr>
              <w:jc w:val="center"/>
              <w:rPr>
                <w:b/>
                <w:bCs/>
                <w:sz w:val="20"/>
                <w:szCs w:val="20"/>
                <w:lang w:val="en-CA" w:eastAsia="en-CA"/>
              </w:rPr>
            </w:pPr>
            <w:r w:rsidRPr="00C11F7B">
              <w:rPr>
                <w:b/>
                <w:bCs/>
                <w:sz w:val="20"/>
                <w:szCs w:val="20"/>
                <w:lang w:val="fr-FR" w:eastAsia="en-CA"/>
              </w:rPr>
              <w:t>Achevés</w:t>
            </w:r>
          </w:p>
        </w:tc>
        <w:tc>
          <w:tcPr>
            <w:tcW w:w="1128"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E9A3E24" w14:textId="131F96A0" w:rsidR="002418CF" w:rsidRPr="00C11F7B" w:rsidRDefault="00C11F7B" w:rsidP="003171CE">
            <w:pPr>
              <w:ind w:left="-125" w:right="-107"/>
              <w:jc w:val="center"/>
              <w:rPr>
                <w:b/>
                <w:bCs/>
                <w:sz w:val="20"/>
                <w:szCs w:val="20"/>
                <w:lang w:val="en-CA" w:eastAsia="en-CA"/>
              </w:rPr>
            </w:pPr>
            <w:r w:rsidRPr="00C11F7B">
              <w:rPr>
                <w:b/>
                <w:bCs/>
                <w:sz w:val="20"/>
                <w:szCs w:val="20"/>
                <w:lang w:val="fr-FR" w:eastAsia="en-CA"/>
              </w:rPr>
              <w:t>Achevés (%)</w:t>
            </w:r>
          </w:p>
        </w:tc>
        <w:tc>
          <w:tcPr>
            <w:tcW w:w="1051"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E4EC285" w14:textId="2C24DCC9" w:rsidR="002418CF" w:rsidRPr="00C11F7B" w:rsidRDefault="00C11F7B" w:rsidP="003171CE">
            <w:pPr>
              <w:jc w:val="center"/>
              <w:rPr>
                <w:b/>
                <w:bCs/>
                <w:sz w:val="20"/>
                <w:szCs w:val="20"/>
                <w:lang w:val="en-CA" w:eastAsia="en-CA"/>
              </w:rPr>
            </w:pPr>
            <w:r w:rsidRPr="00C11F7B">
              <w:rPr>
                <w:b/>
                <w:bCs/>
                <w:sz w:val="20"/>
                <w:szCs w:val="20"/>
                <w:lang w:val="fr-FR" w:eastAsia="en-CA"/>
              </w:rPr>
              <w:t>Approuvé</w:t>
            </w:r>
          </w:p>
        </w:tc>
        <w:tc>
          <w:tcPr>
            <w:tcW w:w="10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6E89412E" w14:textId="5D66E40F" w:rsidR="002418CF" w:rsidRPr="00C11F7B" w:rsidRDefault="00C11F7B" w:rsidP="003171CE">
            <w:pPr>
              <w:jc w:val="center"/>
              <w:rPr>
                <w:b/>
                <w:bCs/>
                <w:sz w:val="20"/>
                <w:szCs w:val="20"/>
                <w:lang w:val="en-CA" w:eastAsia="en-CA"/>
              </w:rPr>
            </w:pPr>
            <w:r w:rsidRPr="00C11F7B">
              <w:rPr>
                <w:b/>
                <w:bCs/>
                <w:sz w:val="20"/>
                <w:szCs w:val="20"/>
                <w:lang w:val="fr-FR" w:eastAsia="en-CA"/>
              </w:rPr>
              <w:t>Décaissé</w:t>
            </w:r>
          </w:p>
        </w:tc>
        <w:tc>
          <w:tcPr>
            <w:tcW w:w="109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2966BE3" w14:textId="1777E9C3" w:rsidR="002418CF" w:rsidRPr="00C11F7B" w:rsidRDefault="00C11F7B" w:rsidP="003171CE">
            <w:pPr>
              <w:jc w:val="center"/>
              <w:rPr>
                <w:b/>
                <w:bCs/>
                <w:sz w:val="20"/>
                <w:szCs w:val="20"/>
                <w:lang w:val="en-CA" w:eastAsia="en-CA"/>
              </w:rPr>
            </w:pPr>
            <w:r w:rsidRPr="00C11F7B">
              <w:rPr>
                <w:b/>
                <w:bCs/>
                <w:sz w:val="20"/>
                <w:szCs w:val="20"/>
                <w:lang w:val="fr-FR" w:eastAsia="en-CA"/>
              </w:rPr>
              <w:t>Solde</w:t>
            </w:r>
          </w:p>
        </w:tc>
        <w:tc>
          <w:tcPr>
            <w:tcW w:w="109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7FB5A5C6" w14:textId="7ECE535A" w:rsidR="002418CF" w:rsidRPr="00C11F7B" w:rsidRDefault="00C11F7B" w:rsidP="003171CE">
            <w:pPr>
              <w:ind w:left="-175" w:right="-107"/>
              <w:jc w:val="center"/>
              <w:rPr>
                <w:b/>
                <w:bCs/>
                <w:sz w:val="20"/>
                <w:szCs w:val="20"/>
                <w:lang w:val="en-CA" w:eastAsia="en-CA"/>
              </w:rPr>
            </w:pPr>
            <w:r w:rsidRPr="00C11F7B">
              <w:rPr>
                <w:b/>
                <w:bCs/>
                <w:sz w:val="20"/>
                <w:szCs w:val="20"/>
                <w:lang w:val="fr-FR" w:eastAsia="en-CA"/>
              </w:rPr>
              <w:t>Décaissé (%)</w:t>
            </w:r>
          </w:p>
        </w:tc>
      </w:tr>
      <w:tr w:rsidR="00E44C3F" w:rsidRPr="00E44C3F" w14:paraId="24942EE3" w14:textId="77777777" w:rsidTr="00C52D02">
        <w:tc>
          <w:tcPr>
            <w:tcW w:w="1733"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491CE373" w14:textId="31011160" w:rsidR="002418CF" w:rsidRPr="00C11F7B" w:rsidRDefault="00C11F7B" w:rsidP="003171CE">
            <w:pPr>
              <w:jc w:val="left"/>
              <w:rPr>
                <w:sz w:val="20"/>
                <w:szCs w:val="20"/>
                <w:lang w:val="en-CA" w:eastAsia="en-CA"/>
              </w:rPr>
            </w:pPr>
            <w:r w:rsidRPr="00C11F7B">
              <w:rPr>
                <w:sz w:val="20"/>
                <w:szCs w:val="20"/>
                <w:lang w:val="fr-FR" w:eastAsia="en-CA"/>
              </w:rPr>
              <w:t>Investissement</w:t>
            </w:r>
          </w:p>
        </w:tc>
        <w:tc>
          <w:tcPr>
            <w:tcW w:w="1089" w:type="dxa"/>
            <w:tcBorders>
              <w:top w:val="nil"/>
              <w:left w:val="nil"/>
              <w:bottom w:val="single" w:sz="4" w:space="0" w:color="auto"/>
              <w:right w:val="single" w:sz="4" w:space="0" w:color="auto"/>
            </w:tcBorders>
            <w:shd w:val="clear" w:color="auto" w:fill="auto"/>
            <w:noWrap/>
            <w:tcMar>
              <w:left w:w="72" w:type="dxa"/>
              <w:right w:w="216" w:type="dxa"/>
            </w:tcMar>
            <w:vAlign w:val="center"/>
            <w:hideMark/>
          </w:tcPr>
          <w:p w14:paraId="744E7E87" w14:textId="77777777" w:rsidR="002418CF" w:rsidRPr="00E44C3F" w:rsidRDefault="002418CF" w:rsidP="002418CF">
            <w:pPr>
              <w:jc w:val="right"/>
              <w:rPr>
                <w:sz w:val="20"/>
                <w:szCs w:val="20"/>
                <w:lang w:val="en-CA" w:eastAsia="en-CA"/>
              </w:rPr>
            </w:pPr>
            <w:r w:rsidRPr="00E44C3F">
              <w:rPr>
                <w:sz w:val="20"/>
                <w:szCs w:val="20"/>
                <w:lang w:val="en-CA" w:eastAsia="en-CA"/>
              </w:rPr>
              <w:t>1</w:t>
            </w:r>
          </w:p>
        </w:tc>
        <w:tc>
          <w:tcPr>
            <w:tcW w:w="1090" w:type="dxa"/>
            <w:tcBorders>
              <w:top w:val="nil"/>
              <w:left w:val="nil"/>
              <w:bottom w:val="single" w:sz="4" w:space="0" w:color="auto"/>
              <w:right w:val="single" w:sz="4" w:space="0" w:color="auto"/>
            </w:tcBorders>
            <w:shd w:val="clear" w:color="auto" w:fill="auto"/>
            <w:noWrap/>
            <w:tcMar>
              <w:left w:w="72" w:type="dxa"/>
              <w:right w:w="216" w:type="dxa"/>
            </w:tcMar>
            <w:vAlign w:val="center"/>
            <w:hideMark/>
          </w:tcPr>
          <w:p w14:paraId="0258F363" w14:textId="77777777" w:rsidR="002418CF" w:rsidRPr="00E44C3F" w:rsidRDefault="002418CF" w:rsidP="002418CF">
            <w:pPr>
              <w:jc w:val="right"/>
              <w:rPr>
                <w:sz w:val="20"/>
                <w:szCs w:val="20"/>
                <w:lang w:val="en-CA" w:eastAsia="en-CA"/>
              </w:rPr>
            </w:pPr>
            <w:r w:rsidRPr="00E44C3F">
              <w:rPr>
                <w:sz w:val="20"/>
                <w:szCs w:val="20"/>
                <w:lang w:val="en-CA" w:eastAsia="en-CA"/>
              </w:rPr>
              <w:t>0</w:t>
            </w:r>
          </w:p>
        </w:tc>
        <w:tc>
          <w:tcPr>
            <w:tcW w:w="1128" w:type="dxa"/>
            <w:tcBorders>
              <w:top w:val="nil"/>
              <w:left w:val="nil"/>
              <w:bottom w:val="single" w:sz="4" w:space="0" w:color="auto"/>
              <w:right w:val="single" w:sz="4" w:space="0" w:color="auto"/>
            </w:tcBorders>
            <w:shd w:val="clear" w:color="auto" w:fill="auto"/>
            <w:noWrap/>
            <w:tcMar>
              <w:left w:w="72" w:type="dxa"/>
              <w:right w:w="216" w:type="dxa"/>
            </w:tcMar>
            <w:vAlign w:val="center"/>
            <w:hideMark/>
          </w:tcPr>
          <w:p w14:paraId="297DD7A3" w14:textId="4BAF512E" w:rsidR="002418CF" w:rsidRPr="00E44C3F" w:rsidRDefault="003F02B2" w:rsidP="002418CF">
            <w:pPr>
              <w:jc w:val="right"/>
              <w:rPr>
                <w:sz w:val="20"/>
                <w:szCs w:val="20"/>
                <w:lang w:val="en-CA" w:eastAsia="en-CA"/>
              </w:rPr>
            </w:pPr>
            <w:r w:rsidRPr="00E44C3F">
              <w:rPr>
                <w:sz w:val="20"/>
                <w:szCs w:val="20"/>
                <w:lang w:val="en-CA" w:eastAsia="en-CA"/>
              </w:rPr>
              <w:t>0</w:t>
            </w:r>
          </w:p>
        </w:tc>
        <w:tc>
          <w:tcPr>
            <w:tcW w:w="1051" w:type="dxa"/>
            <w:tcBorders>
              <w:top w:val="nil"/>
              <w:left w:val="nil"/>
              <w:bottom w:val="single" w:sz="4" w:space="0" w:color="auto"/>
              <w:right w:val="single" w:sz="4" w:space="0" w:color="auto"/>
            </w:tcBorders>
            <w:shd w:val="clear" w:color="auto" w:fill="auto"/>
            <w:noWrap/>
            <w:tcMar>
              <w:left w:w="72" w:type="dxa"/>
              <w:right w:w="216" w:type="dxa"/>
            </w:tcMar>
            <w:vAlign w:val="center"/>
            <w:hideMark/>
          </w:tcPr>
          <w:p w14:paraId="5BC6444F" w14:textId="4CC3526E" w:rsidR="002418CF" w:rsidRPr="00E44C3F" w:rsidRDefault="002418CF" w:rsidP="002418CF">
            <w:pPr>
              <w:jc w:val="right"/>
              <w:rPr>
                <w:sz w:val="20"/>
                <w:szCs w:val="20"/>
                <w:lang w:val="en-CA"/>
              </w:rPr>
            </w:pPr>
            <w:r w:rsidRPr="00E44C3F">
              <w:rPr>
                <w:sz w:val="20"/>
                <w:szCs w:val="20"/>
              </w:rPr>
              <w:t>183</w:t>
            </w:r>
            <w:r w:rsidR="003762DD">
              <w:rPr>
                <w:sz w:val="20"/>
                <w:szCs w:val="20"/>
              </w:rPr>
              <w:t> </w:t>
            </w:r>
            <w:r w:rsidRPr="00E44C3F">
              <w:rPr>
                <w:sz w:val="20"/>
                <w:szCs w:val="20"/>
              </w:rPr>
              <w:t>514</w:t>
            </w:r>
          </w:p>
        </w:tc>
        <w:tc>
          <w:tcPr>
            <w:tcW w:w="1089" w:type="dxa"/>
            <w:tcBorders>
              <w:top w:val="nil"/>
              <w:left w:val="nil"/>
              <w:bottom w:val="single" w:sz="4" w:space="0" w:color="auto"/>
              <w:right w:val="single" w:sz="4" w:space="0" w:color="auto"/>
            </w:tcBorders>
            <w:shd w:val="clear" w:color="auto" w:fill="auto"/>
            <w:noWrap/>
            <w:tcMar>
              <w:left w:w="72" w:type="dxa"/>
              <w:right w:w="216" w:type="dxa"/>
            </w:tcMar>
            <w:vAlign w:val="center"/>
            <w:hideMark/>
          </w:tcPr>
          <w:p w14:paraId="60376F1A" w14:textId="77777777" w:rsidR="002418CF" w:rsidRPr="00E44C3F" w:rsidRDefault="002418CF" w:rsidP="002418CF">
            <w:pPr>
              <w:jc w:val="right"/>
              <w:rPr>
                <w:sz w:val="20"/>
                <w:szCs w:val="20"/>
              </w:rPr>
            </w:pPr>
            <w:r w:rsidRPr="00E44C3F">
              <w:rPr>
                <w:sz w:val="20"/>
                <w:szCs w:val="20"/>
              </w:rPr>
              <w:t>0</w:t>
            </w:r>
          </w:p>
        </w:tc>
        <w:tc>
          <w:tcPr>
            <w:tcW w:w="1090" w:type="dxa"/>
            <w:tcBorders>
              <w:top w:val="nil"/>
              <w:left w:val="nil"/>
              <w:bottom w:val="single" w:sz="4" w:space="0" w:color="auto"/>
              <w:right w:val="single" w:sz="4" w:space="0" w:color="auto"/>
            </w:tcBorders>
            <w:shd w:val="clear" w:color="auto" w:fill="auto"/>
            <w:noWrap/>
            <w:tcMar>
              <w:left w:w="72" w:type="dxa"/>
              <w:right w:w="216" w:type="dxa"/>
            </w:tcMar>
            <w:vAlign w:val="center"/>
            <w:hideMark/>
          </w:tcPr>
          <w:p w14:paraId="49AE2192" w14:textId="7473E2DE" w:rsidR="002418CF" w:rsidRPr="00E44C3F" w:rsidRDefault="002418CF" w:rsidP="002418CF">
            <w:pPr>
              <w:jc w:val="right"/>
              <w:rPr>
                <w:sz w:val="20"/>
                <w:szCs w:val="20"/>
              </w:rPr>
            </w:pPr>
            <w:r w:rsidRPr="00E44C3F">
              <w:rPr>
                <w:sz w:val="20"/>
                <w:szCs w:val="20"/>
              </w:rPr>
              <w:t>183</w:t>
            </w:r>
            <w:r w:rsidR="003762DD">
              <w:rPr>
                <w:sz w:val="20"/>
                <w:szCs w:val="20"/>
              </w:rPr>
              <w:t> </w:t>
            </w:r>
            <w:r w:rsidRPr="00E44C3F">
              <w:rPr>
                <w:sz w:val="20"/>
                <w:szCs w:val="20"/>
              </w:rPr>
              <w:t>514</w:t>
            </w:r>
          </w:p>
        </w:tc>
        <w:tc>
          <w:tcPr>
            <w:tcW w:w="1090" w:type="dxa"/>
            <w:tcBorders>
              <w:top w:val="nil"/>
              <w:left w:val="nil"/>
              <w:bottom w:val="single" w:sz="4" w:space="0" w:color="auto"/>
              <w:right w:val="single" w:sz="4" w:space="0" w:color="auto"/>
            </w:tcBorders>
            <w:shd w:val="clear" w:color="auto" w:fill="auto"/>
            <w:noWrap/>
            <w:tcMar>
              <w:left w:w="72" w:type="dxa"/>
              <w:right w:w="216" w:type="dxa"/>
            </w:tcMar>
            <w:vAlign w:val="center"/>
            <w:hideMark/>
          </w:tcPr>
          <w:p w14:paraId="384AB1CF" w14:textId="599BCC25" w:rsidR="002418CF" w:rsidRPr="00E44C3F" w:rsidRDefault="003F02B2" w:rsidP="002418CF">
            <w:pPr>
              <w:jc w:val="right"/>
              <w:rPr>
                <w:sz w:val="20"/>
                <w:szCs w:val="20"/>
              </w:rPr>
            </w:pPr>
            <w:r w:rsidRPr="00E44C3F">
              <w:rPr>
                <w:sz w:val="20"/>
                <w:szCs w:val="20"/>
              </w:rPr>
              <w:t>0</w:t>
            </w:r>
          </w:p>
        </w:tc>
      </w:tr>
      <w:tr w:rsidR="00E44C3F" w:rsidRPr="00E44C3F" w14:paraId="7D2C1F9F" w14:textId="77777777" w:rsidTr="00C52D02">
        <w:tc>
          <w:tcPr>
            <w:tcW w:w="1733"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63D78863" w14:textId="6D9B2E37" w:rsidR="002418CF" w:rsidRPr="00C11F7B" w:rsidRDefault="00C11F7B" w:rsidP="003171CE">
            <w:pPr>
              <w:jc w:val="left"/>
              <w:rPr>
                <w:sz w:val="20"/>
                <w:szCs w:val="20"/>
                <w:lang w:val="en-CA" w:eastAsia="en-CA"/>
              </w:rPr>
            </w:pPr>
            <w:r w:rsidRPr="00C11F7B">
              <w:rPr>
                <w:sz w:val="20"/>
                <w:szCs w:val="20"/>
                <w:lang w:val="fr-FR" w:eastAsia="en-CA"/>
              </w:rPr>
              <w:t>Préparation de projet</w:t>
            </w:r>
          </w:p>
        </w:tc>
        <w:tc>
          <w:tcPr>
            <w:tcW w:w="1089" w:type="dxa"/>
            <w:tcBorders>
              <w:top w:val="nil"/>
              <w:left w:val="nil"/>
              <w:bottom w:val="single" w:sz="4" w:space="0" w:color="auto"/>
              <w:right w:val="single" w:sz="4" w:space="0" w:color="auto"/>
            </w:tcBorders>
            <w:shd w:val="clear" w:color="auto" w:fill="auto"/>
            <w:noWrap/>
            <w:tcMar>
              <w:left w:w="72" w:type="dxa"/>
              <w:right w:w="216" w:type="dxa"/>
            </w:tcMar>
            <w:vAlign w:val="center"/>
            <w:hideMark/>
          </w:tcPr>
          <w:p w14:paraId="5E983A92" w14:textId="77777777" w:rsidR="002418CF" w:rsidRPr="00E44C3F" w:rsidRDefault="002418CF" w:rsidP="002418CF">
            <w:pPr>
              <w:jc w:val="right"/>
              <w:rPr>
                <w:sz w:val="20"/>
                <w:szCs w:val="20"/>
                <w:lang w:val="en-CA" w:eastAsia="en-CA"/>
              </w:rPr>
            </w:pPr>
            <w:r w:rsidRPr="00E44C3F">
              <w:rPr>
                <w:sz w:val="20"/>
                <w:szCs w:val="20"/>
                <w:lang w:val="en-CA" w:eastAsia="en-CA"/>
              </w:rPr>
              <w:t>1</w:t>
            </w:r>
          </w:p>
        </w:tc>
        <w:tc>
          <w:tcPr>
            <w:tcW w:w="1090" w:type="dxa"/>
            <w:tcBorders>
              <w:top w:val="nil"/>
              <w:left w:val="nil"/>
              <w:bottom w:val="single" w:sz="4" w:space="0" w:color="auto"/>
              <w:right w:val="single" w:sz="4" w:space="0" w:color="auto"/>
            </w:tcBorders>
            <w:shd w:val="clear" w:color="auto" w:fill="auto"/>
            <w:noWrap/>
            <w:tcMar>
              <w:left w:w="72" w:type="dxa"/>
              <w:right w:w="216" w:type="dxa"/>
            </w:tcMar>
            <w:vAlign w:val="center"/>
            <w:hideMark/>
          </w:tcPr>
          <w:p w14:paraId="110BCF81" w14:textId="77777777" w:rsidR="002418CF" w:rsidRPr="00E44C3F" w:rsidRDefault="002418CF" w:rsidP="002418CF">
            <w:pPr>
              <w:jc w:val="right"/>
              <w:rPr>
                <w:sz w:val="20"/>
                <w:szCs w:val="20"/>
                <w:lang w:val="en-CA" w:eastAsia="en-CA"/>
              </w:rPr>
            </w:pPr>
            <w:r w:rsidRPr="00E44C3F">
              <w:rPr>
                <w:sz w:val="20"/>
                <w:szCs w:val="20"/>
                <w:lang w:val="en-CA" w:eastAsia="en-CA"/>
              </w:rPr>
              <w:t>1</w:t>
            </w:r>
          </w:p>
        </w:tc>
        <w:tc>
          <w:tcPr>
            <w:tcW w:w="1128" w:type="dxa"/>
            <w:tcBorders>
              <w:top w:val="nil"/>
              <w:left w:val="nil"/>
              <w:bottom w:val="single" w:sz="4" w:space="0" w:color="auto"/>
              <w:right w:val="single" w:sz="4" w:space="0" w:color="auto"/>
            </w:tcBorders>
            <w:shd w:val="clear" w:color="auto" w:fill="auto"/>
            <w:noWrap/>
            <w:tcMar>
              <w:left w:w="72" w:type="dxa"/>
              <w:right w:w="216" w:type="dxa"/>
            </w:tcMar>
            <w:vAlign w:val="center"/>
            <w:hideMark/>
          </w:tcPr>
          <w:p w14:paraId="0D2440E3" w14:textId="3609C426" w:rsidR="002418CF" w:rsidRPr="00E44C3F" w:rsidRDefault="003F02B2" w:rsidP="002418CF">
            <w:pPr>
              <w:jc w:val="right"/>
              <w:rPr>
                <w:sz w:val="20"/>
                <w:szCs w:val="20"/>
                <w:lang w:val="en-CA" w:eastAsia="en-CA"/>
              </w:rPr>
            </w:pPr>
            <w:r w:rsidRPr="00E44C3F">
              <w:rPr>
                <w:sz w:val="20"/>
                <w:szCs w:val="20"/>
                <w:lang w:val="en-CA" w:eastAsia="en-CA"/>
              </w:rPr>
              <w:t>100</w:t>
            </w:r>
          </w:p>
        </w:tc>
        <w:tc>
          <w:tcPr>
            <w:tcW w:w="1051" w:type="dxa"/>
            <w:tcBorders>
              <w:top w:val="nil"/>
              <w:left w:val="nil"/>
              <w:bottom w:val="single" w:sz="4" w:space="0" w:color="auto"/>
              <w:right w:val="single" w:sz="4" w:space="0" w:color="auto"/>
            </w:tcBorders>
            <w:shd w:val="clear" w:color="auto" w:fill="auto"/>
            <w:noWrap/>
            <w:tcMar>
              <w:left w:w="72" w:type="dxa"/>
              <w:right w:w="216" w:type="dxa"/>
            </w:tcMar>
            <w:vAlign w:val="center"/>
            <w:hideMark/>
          </w:tcPr>
          <w:p w14:paraId="42DA00B5" w14:textId="7424205A" w:rsidR="002418CF" w:rsidRPr="00E44C3F" w:rsidRDefault="002418CF" w:rsidP="002418CF">
            <w:pPr>
              <w:jc w:val="right"/>
              <w:rPr>
                <w:sz w:val="20"/>
                <w:szCs w:val="20"/>
              </w:rPr>
            </w:pPr>
            <w:r w:rsidRPr="00E44C3F">
              <w:rPr>
                <w:sz w:val="20"/>
                <w:szCs w:val="20"/>
              </w:rPr>
              <w:t>30</w:t>
            </w:r>
            <w:r w:rsidR="003762DD">
              <w:rPr>
                <w:sz w:val="20"/>
                <w:szCs w:val="20"/>
              </w:rPr>
              <w:t> </w:t>
            </w:r>
            <w:r w:rsidRPr="00E44C3F">
              <w:rPr>
                <w:sz w:val="20"/>
                <w:szCs w:val="20"/>
              </w:rPr>
              <w:t>000</w:t>
            </w:r>
          </w:p>
        </w:tc>
        <w:tc>
          <w:tcPr>
            <w:tcW w:w="1089" w:type="dxa"/>
            <w:tcBorders>
              <w:top w:val="nil"/>
              <w:left w:val="nil"/>
              <w:bottom w:val="single" w:sz="4" w:space="0" w:color="auto"/>
              <w:right w:val="single" w:sz="4" w:space="0" w:color="auto"/>
            </w:tcBorders>
            <w:shd w:val="clear" w:color="auto" w:fill="auto"/>
            <w:noWrap/>
            <w:tcMar>
              <w:left w:w="72" w:type="dxa"/>
              <w:right w:w="216" w:type="dxa"/>
            </w:tcMar>
            <w:vAlign w:val="center"/>
            <w:hideMark/>
          </w:tcPr>
          <w:p w14:paraId="4059FB18" w14:textId="1E5313F5" w:rsidR="002418CF" w:rsidRPr="00E44C3F" w:rsidRDefault="002418CF" w:rsidP="002418CF">
            <w:pPr>
              <w:jc w:val="right"/>
              <w:rPr>
                <w:sz w:val="20"/>
                <w:szCs w:val="20"/>
              </w:rPr>
            </w:pPr>
            <w:r w:rsidRPr="00E44C3F">
              <w:rPr>
                <w:sz w:val="20"/>
                <w:szCs w:val="20"/>
              </w:rPr>
              <w:t>30</w:t>
            </w:r>
            <w:r w:rsidR="003762DD">
              <w:rPr>
                <w:sz w:val="20"/>
                <w:szCs w:val="20"/>
              </w:rPr>
              <w:t> </w:t>
            </w:r>
            <w:r w:rsidRPr="00E44C3F">
              <w:rPr>
                <w:sz w:val="20"/>
                <w:szCs w:val="20"/>
              </w:rPr>
              <w:t>000</w:t>
            </w:r>
          </w:p>
        </w:tc>
        <w:tc>
          <w:tcPr>
            <w:tcW w:w="1090" w:type="dxa"/>
            <w:tcBorders>
              <w:top w:val="nil"/>
              <w:left w:val="nil"/>
              <w:bottom w:val="single" w:sz="4" w:space="0" w:color="auto"/>
              <w:right w:val="single" w:sz="4" w:space="0" w:color="auto"/>
            </w:tcBorders>
            <w:shd w:val="clear" w:color="auto" w:fill="auto"/>
            <w:noWrap/>
            <w:tcMar>
              <w:left w:w="72" w:type="dxa"/>
              <w:right w:w="216" w:type="dxa"/>
            </w:tcMar>
            <w:vAlign w:val="center"/>
            <w:hideMark/>
          </w:tcPr>
          <w:p w14:paraId="57028B4E" w14:textId="77777777" w:rsidR="002418CF" w:rsidRPr="00E44C3F" w:rsidRDefault="002418CF" w:rsidP="002418CF">
            <w:pPr>
              <w:jc w:val="right"/>
              <w:rPr>
                <w:sz w:val="20"/>
                <w:szCs w:val="20"/>
              </w:rPr>
            </w:pPr>
            <w:r w:rsidRPr="00E44C3F">
              <w:rPr>
                <w:sz w:val="20"/>
                <w:szCs w:val="20"/>
              </w:rPr>
              <w:t>0</w:t>
            </w:r>
          </w:p>
        </w:tc>
        <w:tc>
          <w:tcPr>
            <w:tcW w:w="1090" w:type="dxa"/>
            <w:tcBorders>
              <w:top w:val="nil"/>
              <w:left w:val="nil"/>
              <w:bottom w:val="single" w:sz="4" w:space="0" w:color="auto"/>
              <w:right w:val="single" w:sz="4" w:space="0" w:color="auto"/>
            </w:tcBorders>
            <w:shd w:val="clear" w:color="auto" w:fill="auto"/>
            <w:noWrap/>
            <w:tcMar>
              <w:left w:w="72" w:type="dxa"/>
              <w:right w:w="216" w:type="dxa"/>
            </w:tcMar>
            <w:vAlign w:val="center"/>
            <w:hideMark/>
          </w:tcPr>
          <w:p w14:paraId="17A70309" w14:textId="46E1DF3A" w:rsidR="002418CF" w:rsidRPr="00E44C3F" w:rsidRDefault="003F02B2" w:rsidP="002418CF">
            <w:pPr>
              <w:jc w:val="right"/>
              <w:rPr>
                <w:sz w:val="20"/>
                <w:szCs w:val="20"/>
              </w:rPr>
            </w:pPr>
            <w:r w:rsidRPr="00E44C3F">
              <w:rPr>
                <w:sz w:val="20"/>
                <w:szCs w:val="20"/>
              </w:rPr>
              <w:t>100</w:t>
            </w:r>
          </w:p>
        </w:tc>
      </w:tr>
      <w:tr w:rsidR="00E44C3F" w:rsidRPr="00E44C3F" w14:paraId="7ED1C714" w14:textId="77777777" w:rsidTr="005D551C">
        <w:tc>
          <w:tcPr>
            <w:tcW w:w="1733"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20C60F2C" w14:textId="096AF0A8" w:rsidR="000E5308" w:rsidRPr="00C11F7B" w:rsidRDefault="00C11F7B" w:rsidP="003171CE">
            <w:pPr>
              <w:jc w:val="left"/>
              <w:rPr>
                <w:sz w:val="20"/>
                <w:szCs w:val="20"/>
                <w:lang w:val="en-CA" w:eastAsia="en-CA"/>
              </w:rPr>
            </w:pPr>
            <w:r w:rsidRPr="00C11F7B">
              <w:rPr>
                <w:sz w:val="20"/>
                <w:szCs w:val="20"/>
                <w:lang w:val="fr-FR" w:eastAsia="en-CA"/>
              </w:rPr>
              <w:t>Activités de facilitation</w:t>
            </w:r>
          </w:p>
        </w:tc>
        <w:tc>
          <w:tcPr>
            <w:tcW w:w="1089" w:type="dxa"/>
            <w:tcBorders>
              <w:top w:val="nil"/>
              <w:left w:val="nil"/>
              <w:bottom w:val="single" w:sz="4" w:space="0" w:color="auto"/>
              <w:right w:val="single" w:sz="4" w:space="0" w:color="auto"/>
            </w:tcBorders>
            <w:shd w:val="clear" w:color="auto" w:fill="auto"/>
            <w:tcMar>
              <w:left w:w="72" w:type="dxa"/>
              <w:right w:w="216" w:type="dxa"/>
            </w:tcMar>
            <w:vAlign w:val="center"/>
            <w:hideMark/>
          </w:tcPr>
          <w:p w14:paraId="6940E0ED" w14:textId="77777777" w:rsidR="000E5308" w:rsidRPr="00E44C3F" w:rsidRDefault="000E5308" w:rsidP="000E5308">
            <w:pPr>
              <w:jc w:val="right"/>
              <w:rPr>
                <w:sz w:val="20"/>
                <w:szCs w:val="20"/>
                <w:lang w:val="en-CA" w:eastAsia="en-CA"/>
              </w:rPr>
            </w:pPr>
            <w:r w:rsidRPr="00E44C3F">
              <w:rPr>
                <w:sz w:val="20"/>
                <w:szCs w:val="20"/>
                <w:lang w:val="en-CA" w:eastAsia="en-CA"/>
              </w:rPr>
              <w:t>3</w:t>
            </w:r>
          </w:p>
        </w:tc>
        <w:tc>
          <w:tcPr>
            <w:tcW w:w="1090" w:type="dxa"/>
            <w:tcBorders>
              <w:top w:val="nil"/>
              <w:left w:val="nil"/>
              <w:bottom w:val="single" w:sz="4" w:space="0" w:color="auto"/>
              <w:right w:val="single" w:sz="4" w:space="0" w:color="auto"/>
            </w:tcBorders>
            <w:shd w:val="clear" w:color="auto" w:fill="auto"/>
            <w:tcMar>
              <w:left w:w="72" w:type="dxa"/>
              <w:right w:w="216" w:type="dxa"/>
            </w:tcMar>
            <w:vAlign w:val="center"/>
            <w:hideMark/>
          </w:tcPr>
          <w:p w14:paraId="7901CB0C" w14:textId="77777777" w:rsidR="000E5308" w:rsidRPr="00E44C3F" w:rsidRDefault="000E5308" w:rsidP="000E5308">
            <w:pPr>
              <w:jc w:val="right"/>
              <w:rPr>
                <w:sz w:val="20"/>
                <w:szCs w:val="20"/>
                <w:lang w:val="en-CA" w:eastAsia="en-CA"/>
              </w:rPr>
            </w:pPr>
            <w:r w:rsidRPr="00E44C3F">
              <w:rPr>
                <w:sz w:val="20"/>
                <w:szCs w:val="20"/>
                <w:lang w:val="en-CA" w:eastAsia="en-CA"/>
              </w:rPr>
              <w:t>0</w:t>
            </w:r>
          </w:p>
        </w:tc>
        <w:tc>
          <w:tcPr>
            <w:tcW w:w="1128" w:type="dxa"/>
            <w:tcBorders>
              <w:top w:val="nil"/>
              <w:left w:val="nil"/>
              <w:bottom w:val="single" w:sz="4" w:space="0" w:color="auto"/>
              <w:right w:val="single" w:sz="4" w:space="0" w:color="auto"/>
            </w:tcBorders>
            <w:shd w:val="clear" w:color="auto" w:fill="auto"/>
            <w:noWrap/>
            <w:tcMar>
              <w:left w:w="72" w:type="dxa"/>
              <w:right w:w="216" w:type="dxa"/>
            </w:tcMar>
            <w:vAlign w:val="center"/>
            <w:hideMark/>
          </w:tcPr>
          <w:p w14:paraId="54D77B3A" w14:textId="62D544EC" w:rsidR="000E5308" w:rsidRPr="00E44C3F" w:rsidRDefault="000E5308" w:rsidP="000E5308">
            <w:pPr>
              <w:jc w:val="right"/>
              <w:rPr>
                <w:sz w:val="20"/>
                <w:szCs w:val="20"/>
                <w:lang w:val="en-CA" w:eastAsia="en-CA"/>
              </w:rPr>
            </w:pPr>
            <w:r w:rsidRPr="00E44C3F">
              <w:rPr>
                <w:sz w:val="20"/>
                <w:szCs w:val="20"/>
                <w:lang w:val="en-CA" w:eastAsia="en-CA"/>
              </w:rPr>
              <w:t>0</w:t>
            </w:r>
          </w:p>
        </w:tc>
        <w:tc>
          <w:tcPr>
            <w:tcW w:w="1051" w:type="dxa"/>
            <w:tcBorders>
              <w:top w:val="nil"/>
              <w:left w:val="nil"/>
              <w:bottom w:val="single" w:sz="4" w:space="0" w:color="auto"/>
              <w:right w:val="single" w:sz="4" w:space="0" w:color="auto"/>
            </w:tcBorders>
            <w:shd w:val="clear" w:color="auto" w:fill="auto"/>
            <w:tcMar>
              <w:left w:w="72" w:type="dxa"/>
              <w:right w:w="216" w:type="dxa"/>
            </w:tcMar>
            <w:hideMark/>
          </w:tcPr>
          <w:p w14:paraId="699F4140" w14:textId="2409C21B" w:rsidR="000E5308" w:rsidRPr="00E44C3F" w:rsidRDefault="000E5308" w:rsidP="000E5308">
            <w:pPr>
              <w:jc w:val="right"/>
              <w:rPr>
                <w:sz w:val="20"/>
                <w:szCs w:val="20"/>
              </w:rPr>
            </w:pPr>
            <w:r w:rsidRPr="00E44C3F">
              <w:rPr>
                <w:sz w:val="20"/>
                <w:szCs w:val="20"/>
              </w:rPr>
              <w:t>750</w:t>
            </w:r>
            <w:r w:rsidR="003762DD">
              <w:rPr>
                <w:sz w:val="20"/>
                <w:szCs w:val="20"/>
              </w:rPr>
              <w:t> </w:t>
            </w:r>
            <w:r w:rsidRPr="00E44C3F">
              <w:rPr>
                <w:sz w:val="20"/>
                <w:szCs w:val="20"/>
              </w:rPr>
              <w:t>000</w:t>
            </w:r>
          </w:p>
        </w:tc>
        <w:tc>
          <w:tcPr>
            <w:tcW w:w="1089" w:type="dxa"/>
            <w:tcBorders>
              <w:top w:val="nil"/>
              <w:left w:val="nil"/>
              <w:bottom w:val="single" w:sz="4" w:space="0" w:color="auto"/>
              <w:right w:val="single" w:sz="4" w:space="0" w:color="auto"/>
            </w:tcBorders>
            <w:shd w:val="clear" w:color="auto" w:fill="auto"/>
            <w:tcMar>
              <w:left w:w="72" w:type="dxa"/>
              <w:right w:w="216" w:type="dxa"/>
            </w:tcMar>
            <w:hideMark/>
          </w:tcPr>
          <w:p w14:paraId="1D9724A5" w14:textId="2E1F0C84" w:rsidR="000E5308" w:rsidRPr="00E44C3F" w:rsidRDefault="000E5308" w:rsidP="000E5308">
            <w:pPr>
              <w:jc w:val="right"/>
              <w:rPr>
                <w:sz w:val="20"/>
                <w:szCs w:val="20"/>
              </w:rPr>
            </w:pPr>
            <w:r w:rsidRPr="00E44C3F">
              <w:rPr>
                <w:sz w:val="20"/>
                <w:szCs w:val="20"/>
              </w:rPr>
              <w:t>240</w:t>
            </w:r>
            <w:r w:rsidR="003762DD">
              <w:rPr>
                <w:sz w:val="20"/>
                <w:szCs w:val="20"/>
              </w:rPr>
              <w:t> </w:t>
            </w:r>
            <w:r w:rsidRPr="00E44C3F">
              <w:rPr>
                <w:sz w:val="20"/>
                <w:szCs w:val="20"/>
              </w:rPr>
              <w:t>513</w:t>
            </w:r>
          </w:p>
        </w:tc>
        <w:tc>
          <w:tcPr>
            <w:tcW w:w="1090" w:type="dxa"/>
            <w:tcBorders>
              <w:top w:val="nil"/>
              <w:left w:val="nil"/>
              <w:bottom w:val="single" w:sz="4" w:space="0" w:color="auto"/>
              <w:right w:val="single" w:sz="4" w:space="0" w:color="auto"/>
            </w:tcBorders>
            <w:shd w:val="clear" w:color="auto" w:fill="auto"/>
            <w:tcMar>
              <w:left w:w="72" w:type="dxa"/>
              <w:right w:w="216" w:type="dxa"/>
            </w:tcMar>
            <w:hideMark/>
          </w:tcPr>
          <w:p w14:paraId="4A65931A" w14:textId="6181C4F0" w:rsidR="000E5308" w:rsidRPr="00E44C3F" w:rsidRDefault="000E5308" w:rsidP="000E5308">
            <w:pPr>
              <w:jc w:val="right"/>
              <w:rPr>
                <w:sz w:val="20"/>
                <w:szCs w:val="20"/>
              </w:rPr>
            </w:pPr>
            <w:r w:rsidRPr="00E44C3F">
              <w:rPr>
                <w:sz w:val="20"/>
                <w:szCs w:val="20"/>
              </w:rPr>
              <w:t>509</w:t>
            </w:r>
            <w:r w:rsidR="003762DD">
              <w:rPr>
                <w:sz w:val="20"/>
                <w:szCs w:val="20"/>
              </w:rPr>
              <w:t> </w:t>
            </w:r>
            <w:r w:rsidRPr="00E44C3F">
              <w:rPr>
                <w:sz w:val="20"/>
                <w:szCs w:val="20"/>
              </w:rPr>
              <w:t>487</w:t>
            </w:r>
          </w:p>
        </w:tc>
        <w:tc>
          <w:tcPr>
            <w:tcW w:w="1090" w:type="dxa"/>
            <w:tcBorders>
              <w:top w:val="nil"/>
              <w:left w:val="nil"/>
              <w:bottom w:val="single" w:sz="4" w:space="0" w:color="auto"/>
              <w:right w:val="single" w:sz="4" w:space="0" w:color="auto"/>
            </w:tcBorders>
            <w:shd w:val="clear" w:color="auto" w:fill="auto"/>
            <w:noWrap/>
            <w:tcMar>
              <w:left w:w="72" w:type="dxa"/>
              <w:right w:w="216" w:type="dxa"/>
            </w:tcMar>
            <w:vAlign w:val="center"/>
            <w:hideMark/>
          </w:tcPr>
          <w:p w14:paraId="35C91906" w14:textId="0B074F06" w:rsidR="000E5308" w:rsidRPr="00E44C3F" w:rsidRDefault="000E5308" w:rsidP="000E5308">
            <w:pPr>
              <w:jc w:val="right"/>
              <w:rPr>
                <w:sz w:val="20"/>
                <w:szCs w:val="20"/>
              </w:rPr>
            </w:pPr>
            <w:r w:rsidRPr="00E44C3F">
              <w:rPr>
                <w:sz w:val="20"/>
                <w:szCs w:val="20"/>
              </w:rPr>
              <w:t>32</w:t>
            </w:r>
          </w:p>
        </w:tc>
      </w:tr>
      <w:tr w:rsidR="00E44C3F" w:rsidRPr="00E44C3F" w14:paraId="2B52BFB1" w14:textId="77777777" w:rsidTr="005D551C">
        <w:tc>
          <w:tcPr>
            <w:tcW w:w="1733"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50CF4A8B" w14:textId="00740F74" w:rsidR="000E5308" w:rsidRPr="00C11F7B" w:rsidRDefault="00C11F7B" w:rsidP="003171CE">
            <w:pPr>
              <w:jc w:val="left"/>
              <w:rPr>
                <w:b/>
                <w:bCs/>
                <w:sz w:val="20"/>
                <w:szCs w:val="20"/>
                <w:lang w:val="en-CA" w:eastAsia="en-CA"/>
              </w:rPr>
            </w:pPr>
            <w:r w:rsidRPr="00C11F7B">
              <w:rPr>
                <w:b/>
                <w:bCs/>
                <w:sz w:val="20"/>
                <w:szCs w:val="20"/>
                <w:lang w:val="fr-FR" w:eastAsia="en-CA"/>
              </w:rPr>
              <w:t>Total</w:t>
            </w:r>
          </w:p>
        </w:tc>
        <w:tc>
          <w:tcPr>
            <w:tcW w:w="1089" w:type="dxa"/>
            <w:tcBorders>
              <w:top w:val="nil"/>
              <w:left w:val="nil"/>
              <w:bottom w:val="single" w:sz="4" w:space="0" w:color="auto"/>
              <w:right w:val="single" w:sz="4" w:space="0" w:color="auto"/>
            </w:tcBorders>
            <w:shd w:val="clear" w:color="auto" w:fill="auto"/>
            <w:noWrap/>
            <w:tcMar>
              <w:left w:w="72" w:type="dxa"/>
              <w:right w:w="216" w:type="dxa"/>
            </w:tcMar>
            <w:vAlign w:val="center"/>
            <w:hideMark/>
          </w:tcPr>
          <w:p w14:paraId="3B6B8F23" w14:textId="77777777" w:rsidR="000E5308" w:rsidRPr="00E44C3F" w:rsidRDefault="000E5308" w:rsidP="000E5308">
            <w:pPr>
              <w:jc w:val="right"/>
              <w:rPr>
                <w:b/>
                <w:bCs/>
                <w:sz w:val="20"/>
                <w:szCs w:val="20"/>
                <w:lang w:val="en-CA" w:eastAsia="en-CA"/>
              </w:rPr>
            </w:pPr>
            <w:r w:rsidRPr="00E44C3F">
              <w:rPr>
                <w:b/>
                <w:bCs/>
                <w:sz w:val="20"/>
                <w:szCs w:val="20"/>
                <w:lang w:val="en-CA" w:eastAsia="en-CA"/>
              </w:rPr>
              <w:t>5</w:t>
            </w:r>
          </w:p>
        </w:tc>
        <w:tc>
          <w:tcPr>
            <w:tcW w:w="1090" w:type="dxa"/>
            <w:tcBorders>
              <w:top w:val="nil"/>
              <w:left w:val="nil"/>
              <w:bottom w:val="single" w:sz="4" w:space="0" w:color="auto"/>
              <w:right w:val="single" w:sz="4" w:space="0" w:color="auto"/>
            </w:tcBorders>
            <w:shd w:val="clear" w:color="auto" w:fill="auto"/>
            <w:noWrap/>
            <w:tcMar>
              <w:left w:w="72" w:type="dxa"/>
              <w:right w:w="216" w:type="dxa"/>
            </w:tcMar>
            <w:vAlign w:val="center"/>
            <w:hideMark/>
          </w:tcPr>
          <w:p w14:paraId="285F06FC" w14:textId="77777777" w:rsidR="000E5308" w:rsidRPr="00E44C3F" w:rsidRDefault="000E5308" w:rsidP="000E5308">
            <w:pPr>
              <w:jc w:val="right"/>
              <w:rPr>
                <w:b/>
                <w:bCs/>
                <w:sz w:val="20"/>
                <w:szCs w:val="20"/>
                <w:lang w:val="en-CA" w:eastAsia="en-CA"/>
              </w:rPr>
            </w:pPr>
            <w:r w:rsidRPr="00E44C3F">
              <w:rPr>
                <w:b/>
                <w:bCs/>
                <w:sz w:val="20"/>
                <w:szCs w:val="20"/>
                <w:lang w:val="en-CA" w:eastAsia="en-CA"/>
              </w:rPr>
              <w:t>1</w:t>
            </w:r>
          </w:p>
        </w:tc>
        <w:tc>
          <w:tcPr>
            <w:tcW w:w="1128" w:type="dxa"/>
            <w:tcBorders>
              <w:top w:val="nil"/>
              <w:left w:val="nil"/>
              <w:bottom w:val="single" w:sz="4" w:space="0" w:color="auto"/>
              <w:right w:val="single" w:sz="4" w:space="0" w:color="auto"/>
            </w:tcBorders>
            <w:shd w:val="clear" w:color="auto" w:fill="auto"/>
            <w:noWrap/>
            <w:tcMar>
              <w:left w:w="72" w:type="dxa"/>
              <w:right w:w="216" w:type="dxa"/>
            </w:tcMar>
            <w:vAlign w:val="center"/>
            <w:hideMark/>
          </w:tcPr>
          <w:p w14:paraId="609BC025" w14:textId="589F9BC5" w:rsidR="000E5308" w:rsidRPr="00E44C3F" w:rsidRDefault="000E5308" w:rsidP="000E5308">
            <w:pPr>
              <w:jc w:val="right"/>
              <w:rPr>
                <w:b/>
                <w:sz w:val="20"/>
                <w:szCs w:val="20"/>
                <w:lang w:val="en-CA" w:eastAsia="en-CA"/>
              </w:rPr>
            </w:pPr>
            <w:r w:rsidRPr="00E44C3F">
              <w:rPr>
                <w:b/>
                <w:sz w:val="20"/>
                <w:szCs w:val="20"/>
                <w:lang w:val="en-CA" w:eastAsia="en-CA"/>
              </w:rPr>
              <w:t>20</w:t>
            </w:r>
          </w:p>
        </w:tc>
        <w:tc>
          <w:tcPr>
            <w:tcW w:w="1051" w:type="dxa"/>
            <w:tcBorders>
              <w:top w:val="nil"/>
              <w:left w:val="nil"/>
              <w:bottom w:val="single" w:sz="4" w:space="0" w:color="auto"/>
              <w:right w:val="single" w:sz="4" w:space="0" w:color="auto"/>
            </w:tcBorders>
            <w:shd w:val="clear" w:color="auto" w:fill="auto"/>
            <w:noWrap/>
            <w:tcMar>
              <w:left w:w="72" w:type="dxa"/>
              <w:right w:w="216" w:type="dxa"/>
            </w:tcMar>
            <w:hideMark/>
          </w:tcPr>
          <w:p w14:paraId="52273A09" w14:textId="55609874" w:rsidR="000E5308" w:rsidRPr="00E44C3F" w:rsidRDefault="000E5308" w:rsidP="000E5308">
            <w:pPr>
              <w:jc w:val="right"/>
              <w:rPr>
                <w:b/>
                <w:bCs/>
                <w:sz w:val="20"/>
                <w:szCs w:val="20"/>
              </w:rPr>
            </w:pPr>
            <w:r w:rsidRPr="00E44C3F">
              <w:rPr>
                <w:b/>
                <w:sz w:val="20"/>
                <w:szCs w:val="20"/>
              </w:rPr>
              <w:t>963</w:t>
            </w:r>
            <w:r w:rsidR="003762DD">
              <w:rPr>
                <w:b/>
                <w:sz w:val="20"/>
                <w:szCs w:val="20"/>
              </w:rPr>
              <w:t> </w:t>
            </w:r>
            <w:r w:rsidRPr="00E44C3F">
              <w:rPr>
                <w:b/>
                <w:sz w:val="20"/>
                <w:szCs w:val="20"/>
              </w:rPr>
              <w:t>514</w:t>
            </w:r>
          </w:p>
        </w:tc>
        <w:tc>
          <w:tcPr>
            <w:tcW w:w="1089" w:type="dxa"/>
            <w:tcBorders>
              <w:top w:val="nil"/>
              <w:left w:val="nil"/>
              <w:bottom w:val="single" w:sz="4" w:space="0" w:color="auto"/>
              <w:right w:val="single" w:sz="4" w:space="0" w:color="auto"/>
            </w:tcBorders>
            <w:shd w:val="clear" w:color="auto" w:fill="auto"/>
            <w:noWrap/>
            <w:tcMar>
              <w:left w:w="72" w:type="dxa"/>
              <w:right w:w="216" w:type="dxa"/>
            </w:tcMar>
            <w:hideMark/>
          </w:tcPr>
          <w:p w14:paraId="45EA4901" w14:textId="3377F06D" w:rsidR="000E5308" w:rsidRPr="00E44C3F" w:rsidRDefault="000E5308" w:rsidP="000E5308">
            <w:pPr>
              <w:jc w:val="right"/>
              <w:rPr>
                <w:b/>
                <w:bCs/>
                <w:sz w:val="20"/>
                <w:szCs w:val="20"/>
              </w:rPr>
            </w:pPr>
            <w:r w:rsidRPr="00E44C3F">
              <w:rPr>
                <w:b/>
                <w:sz w:val="20"/>
                <w:szCs w:val="20"/>
              </w:rPr>
              <w:t>270</w:t>
            </w:r>
            <w:r w:rsidR="003762DD">
              <w:rPr>
                <w:b/>
                <w:sz w:val="20"/>
                <w:szCs w:val="20"/>
              </w:rPr>
              <w:t> </w:t>
            </w:r>
            <w:r w:rsidRPr="00E44C3F">
              <w:rPr>
                <w:b/>
                <w:sz w:val="20"/>
                <w:szCs w:val="20"/>
              </w:rPr>
              <w:t>513</w:t>
            </w:r>
          </w:p>
        </w:tc>
        <w:tc>
          <w:tcPr>
            <w:tcW w:w="1090" w:type="dxa"/>
            <w:tcBorders>
              <w:top w:val="nil"/>
              <w:left w:val="nil"/>
              <w:bottom w:val="single" w:sz="4" w:space="0" w:color="auto"/>
              <w:right w:val="single" w:sz="4" w:space="0" w:color="auto"/>
            </w:tcBorders>
            <w:shd w:val="clear" w:color="auto" w:fill="auto"/>
            <w:noWrap/>
            <w:tcMar>
              <w:left w:w="72" w:type="dxa"/>
              <w:right w:w="216" w:type="dxa"/>
            </w:tcMar>
            <w:hideMark/>
          </w:tcPr>
          <w:p w14:paraId="47FF8E1E" w14:textId="4C0AC005" w:rsidR="000E5308" w:rsidRPr="00E44C3F" w:rsidRDefault="000E5308" w:rsidP="000E5308">
            <w:pPr>
              <w:jc w:val="right"/>
              <w:rPr>
                <w:b/>
                <w:bCs/>
                <w:sz w:val="20"/>
                <w:szCs w:val="20"/>
              </w:rPr>
            </w:pPr>
            <w:r w:rsidRPr="00E44C3F">
              <w:rPr>
                <w:b/>
                <w:sz w:val="20"/>
                <w:szCs w:val="20"/>
              </w:rPr>
              <w:t>693</w:t>
            </w:r>
            <w:r w:rsidR="003762DD">
              <w:rPr>
                <w:b/>
                <w:sz w:val="20"/>
                <w:szCs w:val="20"/>
              </w:rPr>
              <w:t> </w:t>
            </w:r>
            <w:r w:rsidRPr="00E44C3F">
              <w:rPr>
                <w:b/>
                <w:sz w:val="20"/>
                <w:szCs w:val="20"/>
              </w:rPr>
              <w:t>001</w:t>
            </w:r>
          </w:p>
        </w:tc>
        <w:tc>
          <w:tcPr>
            <w:tcW w:w="1090" w:type="dxa"/>
            <w:tcBorders>
              <w:top w:val="nil"/>
              <w:left w:val="nil"/>
              <w:bottom w:val="single" w:sz="4" w:space="0" w:color="auto"/>
              <w:right w:val="single" w:sz="4" w:space="0" w:color="auto"/>
            </w:tcBorders>
            <w:shd w:val="clear" w:color="auto" w:fill="auto"/>
            <w:noWrap/>
            <w:tcMar>
              <w:left w:w="72" w:type="dxa"/>
              <w:right w:w="216" w:type="dxa"/>
            </w:tcMar>
            <w:vAlign w:val="center"/>
            <w:hideMark/>
          </w:tcPr>
          <w:p w14:paraId="31FBFE2D" w14:textId="1C7E14B4" w:rsidR="000E5308" w:rsidRPr="00E44C3F" w:rsidRDefault="000E5308" w:rsidP="000E5308">
            <w:pPr>
              <w:jc w:val="right"/>
              <w:rPr>
                <w:b/>
                <w:sz w:val="20"/>
                <w:szCs w:val="20"/>
              </w:rPr>
            </w:pPr>
            <w:r w:rsidRPr="00E44C3F">
              <w:rPr>
                <w:b/>
                <w:sz w:val="20"/>
                <w:szCs w:val="20"/>
              </w:rPr>
              <w:t>28</w:t>
            </w:r>
          </w:p>
        </w:tc>
      </w:tr>
    </w:tbl>
    <w:p w14:paraId="2090BDBF" w14:textId="400C6CBC" w:rsidR="002418CF" w:rsidRPr="00C52326" w:rsidRDefault="00C11F7B" w:rsidP="002418CF">
      <w:pPr>
        <w:jc w:val="left"/>
        <w:rPr>
          <w:sz w:val="19"/>
          <w:szCs w:val="19"/>
          <w:lang w:val="fr-CA"/>
        </w:rPr>
      </w:pPr>
      <w:r w:rsidRPr="00C11F7B">
        <w:rPr>
          <w:sz w:val="19"/>
          <w:szCs w:val="19"/>
          <w:lang w:val="fr-FR"/>
        </w:rPr>
        <w:t>*À l</w:t>
      </w:r>
      <w:r w:rsidR="007B7C04">
        <w:rPr>
          <w:sz w:val="19"/>
          <w:szCs w:val="19"/>
          <w:lang w:val="fr-FR"/>
        </w:rPr>
        <w:t>’</w:t>
      </w:r>
      <w:r w:rsidRPr="00C11F7B">
        <w:rPr>
          <w:sz w:val="19"/>
          <w:szCs w:val="19"/>
          <w:lang w:val="fr-FR"/>
        </w:rPr>
        <w:t>exclusion des projets transférés.</w:t>
      </w:r>
    </w:p>
    <w:p w14:paraId="6BCC170F" w14:textId="1881F0E4" w:rsidR="00E433C6" w:rsidRPr="00C52326" w:rsidRDefault="00C11F7B" w:rsidP="00E433C6">
      <w:pPr>
        <w:pStyle w:val="Title1"/>
        <w:jc w:val="left"/>
        <w:rPr>
          <w:caps w:val="0"/>
          <w:lang w:val="fr-CA"/>
        </w:rPr>
      </w:pPr>
      <w:r w:rsidRPr="00C11F7B">
        <w:rPr>
          <w:b w:val="0"/>
          <w:caps w:val="0"/>
          <w:sz w:val="20"/>
          <w:szCs w:val="20"/>
          <w:lang w:val="fr-FR"/>
        </w:rPr>
        <w:t>** Frais</w:t>
      </w:r>
      <w:r w:rsidR="007B7C04">
        <w:rPr>
          <w:b w:val="0"/>
          <w:caps w:val="0"/>
          <w:sz w:val="20"/>
          <w:szCs w:val="20"/>
          <w:lang w:val="fr-FR"/>
        </w:rPr>
        <w:t xml:space="preserve"> </w:t>
      </w:r>
      <w:r w:rsidRPr="00C11F7B">
        <w:rPr>
          <w:b w:val="0"/>
          <w:caps w:val="0"/>
          <w:sz w:val="20"/>
          <w:szCs w:val="20"/>
          <w:lang w:val="fr-FR"/>
        </w:rPr>
        <w:t>d</w:t>
      </w:r>
      <w:r w:rsidR="007B7C04">
        <w:rPr>
          <w:b w:val="0"/>
          <w:caps w:val="0"/>
          <w:sz w:val="20"/>
          <w:szCs w:val="20"/>
          <w:lang w:val="fr-FR"/>
        </w:rPr>
        <w:t>’</w:t>
      </w:r>
      <w:r w:rsidRPr="00C11F7B">
        <w:rPr>
          <w:b w:val="0"/>
          <w:caps w:val="0"/>
          <w:sz w:val="20"/>
          <w:szCs w:val="20"/>
          <w:lang w:val="fr-FR"/>
        </w:rPr>
        <w:t>appui d</w:t>
      </w:r>
      <w:r w:rsidR="007B7C04">
        <w:rPr>
          <w:b w:val="0"/>
          <w:caps w:val="0"/>
          <w:sz w:val="20"/>
          <w:szCs w:val="20"/>
          <w:lang w:val="fr-FR"/>
        </w:rPr>
        <w:t>’</w:t>
      </w:r>
      <w:r w:rsidRPr="00C11F7B">
        <w:rPr>
          <w:b w:val="0"/>
          <w:caps w:val="0"/>
          <w:sz w:val="20"/>
          <w:szCs w:val="20"/>
          <w:lang w:val="fr-FR"/>
        </w:rPr>
        <w:t>agence non compris.</w:t>
      </w:r>
    </w:p>
    <w:p w14:paraId="0F9D9004" w14:textId="77777777" w:rsidR="00E433C6" w:rsidRPr="00C52326" w:rsidRDefault="00E433C6" w:rsidP="00E433C6">
      <w:pPr>
        <w:pStyle w:val="BankNormal"/>
        <w:suppressAutoHyphens/>
        <w:spacing w:after="0"/>
        <w:rPr>
          <w:lang w:val="fr-CA"/>
        </w:rPr>
      </w:pPr>
    </w:p>
    <w:p w14:paraId="3B092E94" w14:textId="6D0ED186" w:rsidR="00C11F7B" w:rsidRPr="00C52326" w:rsidRDefault="001E204E" w:rsidP="00C11F7B">
      <w:pPr>
        <w:pStyle w:val="Heading1"/>
        <w:rPr>
          <w:lang w:val="fr-CA"/>
        </w:rPr>
      </w:pPr>
      <w:r>
        <w:rPr>
          <w:lang w:val="fr-FR"/>
        </w:rPr>
        <w:t>En date de</w:t>
      </w:r>
      <w:r w:rsidR="00C11F7B" w:rsidRPr="00C11F7B">
        <w:rPr>
          <w:lang w:val="fr-FR"/>
        </w:rPr>
        <w:t xml:space="preserve"> fin 2019, sur les cinq projets approuvés, une préparation de projet avait été achevée.</w:t>
      </w:r>
      <w:r w:rsidR="00C11F7B" w:rsidRPr="00C52326">
        <w:rPr>
          <w:lang w:val="fr-CA"/>
        </w:rPr>
        <w:t xml:space="preserve"> </w:t>
      </w:r>
      <w:r w:rsidR="00C11F7B" w:rsidRPr="00C11F7B">
        <w:rPr>
          <w:lang w:val="fr-FR"/>
        </w:rPr>
        <w:t>La prolongation des dates d</w:t>
      </w:r>
      <w:r w:rsidR="007B7C04">
        <w:rPr>
          <w:lang w:val="fr-FR"/>
        </w:rPr>
        <w:t>’</w:t>
      </w:r>
      <w:r w:rsidR="00C11F7B" w:rsidRPr="00C11F7B">
        <w:rPr>
          <w:lang w:val="fr-FR"/>
        </w:rPr>
        <w:t>achèvement des trois activités de facilitation a été</w:t>
      </w:r>
      <w:r w:rsidR="007B7C04">
        <w:rPr>
          <w:lang w:val="fr-FR"/>
        </w:rPr>
        <w:t xml:space="preserve"> </w:t>
      </w:r>
      <w:r w:rsidR="00C11F7B" w:rsidRPr="00C11F7B">
        <w:rPr>
          <w:lang w:val="fr-FR"/>
        </w:rPr>
        <w:t>approuvé</w:t>
      </w:r>
      <w:r w:rsidR="003578D1">
        <w:rPr>
          <w:lang w:val="fr-FR"/>
        </w:rPr>
        <w:t>e</w:t>
      </w:r>
      <w:r w:rsidR="00C11F7B" w:rsidRPr="00C11F7B">
        <w:rPr>
          <w:lang w:val="fr-FR"/>
        </w:rPr>
        <w:t xml:space="preserve"> lors de la 83</w:t>
      </w:r>
      <w:r w:rsidR="00C11F7B" w:rsidRPr="00C11F7B">
        <w:rPr>
          <w:vertAlign w:val="superscript"/>
          <w:lang w:val="fr-FR"/>
        </w:rPr>
        <w:t>e</w:t>
      </w:r>
      <w:r w:rsidR="007B7C04">
        <w:rPr>
          <w:lang w:val="fr-FR"/>
        </w:rPr>
        <w:t xml:space="preserve"> </w:t>
      </w:r>
      <w:r w:rsidR="00C11F7B" w:rsidRPr="00C11F7B">
        <w:rPr>
          <w:lang w:val="fr-FR"/>
        </w:rPr>
        <w:t>réunion (deux projets) et de la 84</w:t>
      </w:r>
      <w:r w:rsidR="00C11F7B" w:rsidRPr="00C11F7B">
        <w:rPr>
          <w:vertAlign w:val="superscript"/>
          <w:lang w:val="fr-FR"/>
        </w:rPr>
        <w:t>e</w:t>
      </w:r>
      <w:r w:rsidR="00C11F7B" w:rsidRPr="00C11F7B">
        <w:rPr>
          <w:lang w:val="fr-FR"/>
        </w:rPr>
        <w:t xml:space="preserve"> réunion (un projet) ; ces activités se trouvent à différents stades de mise en œuvre.</w:t>
      </w:r>
    </w:p>
    <w:p w14:paraId="0E721F49" w14:textId="55B41847" w:rsidR="00C11F7B" w:rsidRPr="00C52326" w:rsidRDefault="00C11F7B" w:rsidP="00C11F7B">
      <w:pPr>
        <w:pStyle w:val="Heading1"/>
        <w:rPr>
          <w:lang w:val="fr-CA"/>
        </w:rPr>
      </w:pPr>
      <w:r w:rsidRPr="00C11F7B">
        <w:rPr>
          <w:lang w:val="fr-FR"/>
        </w:rPr>
        <w:t>Le</w:t>
      </w:r>
      <w:r w:rsidR="007B7C04">
        <w:rPr>
          <w:lang w:val="fr-FR"/>
        </w:rPr>
        <w:t xml:space="preserve"> </w:t>
      </w:r>
      <w:r w:rsidRPr="00C11F7B">
        <w:rPr>
          <w:lang w:val="fr-FR"/>
        </w:rPr>
        <w:t>projet d</w:t>
      </w:r>
      <w:r w:rsidR="007B7C04">
        <w:rPr>
          <w:lang w:val="fr-FR"/>
        </w:rPr>
        <w:t>’</w:t>
      </w:r>
      <w:r w:rsidRPr="00C11F7B">
        <w:rPr>
          <w:lang w:val="fr-FR"/>
        </w:rPr>
        <w:t>investissement portant sur l</w:t>
      </w:r>
      <w:r w:rsidR="007B7C04">
        <w:rPr>
          <w:lang w:val="fr-FR"/>
        </w:rPr>
        <w:t>’</w:t>
      </w:r>
      <w:r w:rsidRPr="00C11F7B">
        <w:rPr>
          <w:lang w:val="fr-FR"/>
        </w:rPr>
        <w:t>élimination de 8,8 tm (12 555 tm éq. CO</w:t>
      </w:r>
      <w:r w:rsidRPr="00C11F7B">
        <w:rPr>
          <w:vertAlign w:val="subscript"/>
          <w:lang w:val="fr-FR"/>
        </w:rPr>
        <w:t>2</w:t>
      </w:r>
      <w:r w:rsidRPr="00C11F7B">
        <w:rPr>
          <w:lang w:val="fr-FR"/>
        </w:rPr>
        <w:t>)</w:t>
      </w:r>
      <w:r w:rsidRPr="00C52326">
        <w:rPr>
          <w:lang w:val="fr-CA"/>
        </w:rPr>
        <w:t xml:space="preserve"> </w:t>
      </w:r>
      <w:r w:rsidRPr="00C11F7B">
        <w:rPr>
          <w:lang w:val="fr-FR"/>
        </w:rPr>
        <w:t>de HFC se trouve au début de sa mise en œuvre et aucun décaissement n</w:t>
      </w:r>
      <w:r w:rsidR="007B7C04">
        <w:rPr>
          <w:lang w:val="fr-FR"/>
        </w:rPr>
        <w:t>’</w:t>
      </w:r>
      <w:r w:rsidRPr="00C11F7B">
        <w:rPr>
          <w:lang w:val="fr-FR"/>
        </w:rPr>
        <w:t>a été effectué.</w:t>
      </w:r>
      <w:r w:rsidRPr="00C52326">
        <w:rPr>
          <w:lang w:val="fr-CA"/>
        </w:rPr>
        <w:t xml:space="preserve"> </w:t>
      </w:r>
      <w:r w:rsidRPr="00C11F7B">
        <w:rPr>
          <w:lang w:val="fr-FR"/>
        </w:rPr>
        <w:t>Les activités de facilitation en sont à différents stades de mise en œuvre.</w:t>
      </w:r>
      <w:r w:rsidRPr="00C52326">
        <w:rPr>
          <w:lang w:val="fr-CA"/>
        </w:rPr>
        <w:t xml:space="preserve"> </w:t>
      </w:r>
      <w:r w:rsidRPr="00C11F7B">
        <w:rPr>
          <w:lang w:val="fr-FR"/>
        </w:rPr>
        <w:t>Sur le total du financement cumulatif approuvé d</w:t>
      </w:r>
      <w:r w:rsidR="007B7C04">
        <w:rPr>
          <w:lang w:val="fr-FR"/>
        </w:rPr>
        <w:t>’</w:t>
      </w:r>
      <w:r w:rsidRPr="00C11F7B">
        <w:rPr>
          <w:lang w:val="fr-FR"/>
        </w:rPr>
        <w:t>un montant de 963 514 $US, 270 513 $US ont été décaissés, représentant un taux de décaissement de 28 pour cent.</w:t>
      </w:r>
    </w:p>
    <w:sectPr w:rsidR="00C11F7B" w:rsidRPr="00C52326" w:rsidSect="00177F04">
      <w:headerReference w:type="even" r:id="rId21"/>
      <w:headerReference w:type="default" r:id="rId22"/>
      <w:headerReference w:type="first" r:id="rId23"/>
      <w:footnotePr>
        <w:numRestart w:val="eachSect"/>
      </w:footnotePr>
      <w:pgSz w:w="12240" w:h="15840" w:code="1"/>
      <w:pgMar w:top="720" w:right="1440" w:bottom="864" w:left="1440" w:header="720" w:footer="47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12C1B" w14:textId="77777777" w:rsidR="00901F84" w:rsidRDefault="00901F84" w:rsidP="004A504B">
      <w:r>
        <w:separator/>
      </w:r>
    </w:p>
  </w:endnote>
  <w:endnote w:type="continuationSeparator" w:id="0">
    <w:p w14:paraId="4C6853F7" w14:textId="77777777" w:rsidR="00901F84" w:rsidRDefault="00901F84"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24809" w14:textId="13D565FB" w:rsidR="007B7C04" w:rsidRPr="0033525D" w:rsidRDefault="007B7C04">
    <w:pPr>
      <w:jc w:val="center"/>
    </w:pPr>
    <w:r>
      <w:fldChar w:fldCharType="begin"/>
    </w:r>
    <w:r>
      <w:instrText xml:space="preserve"> PAGE </w:instrText>
    </w:r>
    <w:r>
      <w:fldChar w:fldCharType="separate"/>
    </w:r>
    <w:r w:rsidR="00F70D56">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1E112" w14:textId="482136B8" w:rsidR="007B7C04" w:rsidRPr="0033525D" w:rsidRDefault="007B7C04">
    <w:pPr>
      <w:jc w:val="center"/>
    </w:pPr>
    <w:r>
      <w:fldChar w:fldCharType="begin"/>
    </w:r>
    <w:r>
      <w:instrText xml:space="preserve"> PAGE </w:instrText>
    </w:r>
    <w:r>
      <w:fldChar w:fldCharType="separate"/>
    </w:r>
    <w:r w:rsidR="00F70D56">
      <w:rPr>
        <w:noProof/>
      </w:rPr>
      <w:t>3</w:t>
    </w:r>
    <w:r>
      <w:rPr>
        <w:noProof/>
      </w:rPr>
      <w:fldChar w:fldCharType="end"/>
    </w:r>
  </w:p>
  <w:p w14:paraId="1DD441E3" w14:textId="77777777" w:rsidR="007B7C04" w:rsidRDefault="007B7C0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CFF8" w14:textId="77777777" w:rsidR="003762DD" w:rsidRDefault="003762DD" w:rsidP="003762DD">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présession du Comité exécutif du Fonds multilatéral aux fins d’application du Protocole de </w:t>
    </w:r>
  </w:p>
  <w:p w14:paraId="0C8C69F9" w14:textId="2AA1178A" w:rsidR="007B7C04" w:rsidRPr="00C52326" w:rsidRDefault="003762DD" w:rsidP="003762DD">
    <w:pPr>
      <w:pBdr>
        <w:top w:val="single" w:sz="4" w:space="1" w:color="auto"/>
        <w:left w:val="single" w:sz="4" w:space="4" w:color="auto"/>
        <w:bottom w:val="single" w:sz="4" w:space="1" w:color="auto"/>
        <w:right w:val="single" w:sz="4" w:space="4" w:color="auto"/>
      </w:pBdr>
      <w:jc w:val="center"/>
      <w:rPr>
        <w:sz w:val="18"/>
        <w:szCs w:val="18"/>
        <w:lang w:val="fr-CA"/>
      </w:rPr>
    </w:pPr>
    <w:r>
      <w:rPr>
        <w:rFonts w:cs="MS Serif"/>
        <w:sz w:val="20"/>
        <w:lang w:val="fr-FR"/>
      </w:rPr>
      <w:t>Montréal sont présentés sous réserve des décisions pouvant être prises par le Comité exécutif après leur publication</w:t>
    </w:r>
    <w:r w:rsidR="007B7C04" w:rsidRPr="00C52326">
      <w:rPr>
        <w:sz w:val="18"/>
        <w:szCs w:val="18"/>
        <w:lang w:val="fr-CA"/>
      </w:rPr>
      <w:t>.</w:t>
    </w:r>
  </w:p>
  <w:p w14:paraId="01CA1E4C" w14:textId="77777777" w:rsidR="007B7C04" w:rsidRPr="00C52326" w:rsidRDefault="007B7C04" w:rsidP="004E7F9C">
    <w:pPr>
      <w:pBdr>
        <w:top w:val="single" w:sz="4" w:space="1" w:color="auto"/>
        <w:left w:val="single" w:sz="4" w:space="4" w:color="auto"/>
        <w:bottom w:val="single" w:sz="4" w:space="1" w:color="auto"/>
        <w:right w:val="single" w:sz="4" w:space="4" w:color="auto"/>
      </w:pBdr>
      <w:jc w:val="center"/>
      <w:rPr>
        <w:sz w:val="18"/>
        <w:szCs w:val="18"/>
        <w:lang w:val="fr-C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C9E77" w14:textId="462FF0D9" w:rsidR="007B7C04" w:rsidRPr="0033525D" w:rsidRDefault="007B7C04">
    <w:pPr>
      <w:jc w:val="center"/>
    </w:pPr>
    <w:r>
      <w:fldChar w:fldCharType="begin"/>
    </w:r>
    <w:r>
      <w:instrText xml:space="preserve"> PAGE </w:instrText>
    </w:r>
    <w:r>
      <w:fldChar w:fldCharType="separate"/>
    </w:r>
    <w:r w:rsidR="00F70D56">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06AD5" w14:textId="7C0DE01C" w:rsidR="007B7C04" w:rsidRPr="0033525D" w:rsidRDefault="007B7C04">
    <w:pPr>
      <w:jc w:val="center"/>
    </w:pPr>
    <w:r>
      <w:fldChar w:fldCharType="begin"/>
    </w:r>
    <w:r>
      <w:instrText xml:space="preserve"> PAGE </w:instrText>
    </w:r>
    <w:r>
      <w:fldChar w:fldCharType="separate"/>
    </w:r>
    <w:r w:rsidR="00F70D56">
      <w:rPr>
        <w:noProof/>
      </w:rPr>
      <w:t>3</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C8748" w14:textId="62C2126A" w:rsidR="007B7C04" w:rsidRPr="0033525D" w:rsidRDefault="007B7C04" w:rsidP="00A73F29">
    <w:pPr>
      <w:jc w:val="center"/>
    </w:pPr>
    <w:r>
      <w:fldChar w:fldCharType="begin"/>
    </w:r>
    <w:r>
      <w:instrText xml:space="preserve"> PAGE </w:instrText>
    </w:r>
    <w:r>
      <w:fldChar w:fldCharType="separate"/>
    </w:r>
    <w:r w:rsidR="00F70D56">
      <w:rPr>
        <w:noProof/>
      </w:rPr>
      <w:t>1</w:t>
    </w:r>
    <w:r>
      <w:rPr>
        <w:noProof/>
      </w:rPr>
      <w:fldChar w:fldCharType="end"/>
    </w:r>
  </w:p>
  <w:p w14:paraId="6E6E9E49" w14:textId="77777777" w:rsidR="007B7C04" w:rsidRPr="00A73F29" w:rsidRDefault="007B7C04" w:rsidP="00A73F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92163" w14:textId="77777777" w:rsidR="00901F84" w:rsidRDefault="00901F84" w:rsidP="004A504B">
      <w:r>
        <w:separator/>
      </w:r>
    </w:p>
  </w:footnote>
  <w:footnote w:type="continuationSeparator" w:id="0">
    <w:p w14:paraId="47DE4362" w14:textId="77777777" w:rsidR="00901F84" w:rsidRDefault="00901F84" w:rsidP="004A504B">
      <w:r>
        <w:continuationSeparator/>
      </w:r>
    </w:p>
  </w:footnote>
  <w:footnote w:id="1">
    <w:p w14:paraId="5A8A56F6" w14:textId="47B10FB1" w:rsidR="007B7C04" w:rsidRPr="00C52326" w:rsidRDefault="007B7C04" w:rsidP="007B7C04">
      <w:pPr>
        <w:pStyle w:val="FootnoteText"/>
        <w:spacing w:after="0"/>
        <w:rPr>
          <w:lang w:val="fr-CA"/>
        </w:rPr>
      </w:pPr>
      <w:r>
        <w:rPr>
          <w:rStyle w:val="FootnoteReference"/>
        </w:rPr>
        <w:footnoteRef/>
      </w:r>
      <w:r w:rsidRPr="00C52326">
        <w:rPr>
          <w:lang w:val="fr-CA"/>
        </w:rPr>
        <w:t xml:space="preserve"> </w:t>
      </w:r>
      <w:r w:rsidRPr="004226D8">
        <w:rPr>
          <w:lang w:val="fr-FR"/>
        </w:rPr>
        <w:t>À cause du coronavirus (COVID-19)</w:t>
      </w:r>
      <w:r w:rsidR="005344A9">
        <w:rPr>
          <w:lang w:val="fr-FR"/>
        </w:rPr>
        <w:t>.</w:t>
      </w:r>
    </w:p>
  </w:footnote>
  <w:footnote w:id="2">
    <w:p w14:paraId="69AFFBF4" w14:textId="492D92DE" w:rsidR="007B7C04" w:rsidRPr="00C52326" w:rsidRDefault="007B7C04" w:rsidP="00254862">
      <w:pPr>
        <w:pStyle w:val="FootnoteText"/>
        <w:pBdr>
          <w:top w:val="single" w:sz="4" w:space="1" w:color="E9FFFF"/>
          <w:left w:val="single" w:sz="4" w:space="4" w:color="E9FFFF"/>
          <w:bottom w:val="single" w:sz="4" w:space="1" w:color="E9FFFF"/>
          <w:right w:val="single" w:sz="4" w:space="4" w:color="E9FFFF"/>
        </w:pBdr>
        <w:spacing w:after="0"/>
        <w:ind w:left="0" w:firstLine="0"/>
        <w:jc w:val="both"/>
        <w:rPr>
          <w:lang w:val="fr-CA"/>
        </w:rPr>
      </w:pPr>
      <w:r w:rsidRPr="00E44C3F">
        <w:rPr>
          <w:rStyle w:val="FootnoteReference"/>
          <w:sz w:val="20"/>
          <w:szCs w:val="20"/>
        </w:rPr>
        <w:footnoteRef/>
      </w:r>
      <w:r w:rsidRPr="00C52326">
        <w:rPr>
          <w:lang w:val="fr-CA"/>
        </w:rPr>
        <w:t xml:space="preserve"> </w:t>
      </w:r>
      <w:r w:rsidRPr="00254862">
        <w:rPr>
          <w:lang w:val="fr-FR"/>
        </w:rPr>
        <w:t>Le rapport périodique est joint au présent document.</w:t>
      </w:r>
      <w:r w:rsidRPr="00C52326">
        <w:rPr>
          <w:lang w:val="fr-CA"/>
        </w:rPr>
        <w:t xml:space="preserve"> </w:t>
      </w:r>
      <w:r w:rsidRPr="00254862">
        <w:rPr>
          <w:lang w:val="fr-FR"/>
        </w:rPr>
        <w:t>Les données ont été intégrées dans la base de données du rapport périodique global qui est disponible sur demande.</w:t>
      </w:r>
      <w:r w:rsidRPr="00C52326">
        <w:rPr>
          <w:lang w:val="fr-CA"/>
        </w:rPr>
        <w:t xml:space="preserve"> </w:t>
      </w:r>
    </w:p>
  </w:footnote>
  <w:footnote w:id="3">
    <w:p w14:paraId="0BB6FFAA" w14:textId="329E9025" w:rsidR="007B7C04" w:rsidRDefault="007B7C04" w:rsidP="002F3C97">
      <w:pPr>
        <w:pStyle w:val="FootnoteText"/>
        <w:spacing w:after="0"/>
        <w:ind w:left="0" w:firstLine="0"/>
        <w:jc w:val="both"/>
        <w:rPr>
          <w:lang w:val="fr-FR"/>
        </w:rPr>
      </w:pPr>
      <w:r w:rsidRPr="00E44C3F">
        <w:rPr>
          <w:rStyle w:val="FootnoteReference"/>
          <w:sz w:val="20"/>
          <w:szCs w:val="20"/>
        </w:rPr>
        <w:footnoteRef/>
      </w:r>
      <w:r w:rsidRPr="00C52326">
        <w:rPr>
          <w:lang w:val="fr-CA"/>
        </w:rPr>
        <w:t xml:space="preserve"> </w:t>
      </w:r>
      <w:r w:rsidRPr="00254862">
        <w:rPr>
          <w:lang w:val="fr-FR"/>
        </w:rPr>
        <w:t>Conformément à la décision 84/12(a)(iv), la mesure des HFC exprimée en tm éq. CO</w:t>
      </w:r>
      <w:r w:rsidRPr="00254862">
        <w:rPr>
          <w:vertAlign w:val="subscript"/>
          <w:lang w:val="fr-FR"/>
        </w:rPr>
        <w:t>2</w:t>
      </w:r>
      <w:r w:rsidRPr="00254862">
        <w:rPr>
          <w:lang w:val="fr-FR"/>
        </w:rPr>
        <w:t xml:space="preserve"> sera incluse dans les rapports périodiques qui seront soumis à partir de </w:t>
      </w:r>
      <w:r w:rsidR="001E204E">
        <w:rPr>
          <w:lang w:val="fr-FR"/>
        </w:rPr>
        <w:t xml:space="preserve">la </w:t>
      </w:r>
      <w:r w:rsidRPr="00254862">
        <w:rPr>
          <w:lang w:val="fr-FR"/>
        </w:rPr>
        <w:t>88</w:t>
      </w:r>
      <w:r w:rsidRPr="00254862">
        <w:rPr>
          <w:vertAlign w:val="superscript"/>
          <w:lang w:val="fr-FR"/>
        </w:rPr>
        <w:t>e</w:t>
      </w:r>
      <w:r w:rsidRPr="00254862">
        <w:rPr>
          <w:lang w:val="fr-FR"/>
        </w:rPr>
        <w:t xml:space="preserve"> réunion.</w:t>
      </w:r>
      <w:r w:rsidRPr="00C52326">
        <w:rPr>
          <w:lang w:val="fr-CA"/>
        </w:rPr>
        <w:t xml:space="preserve"> </w:t>
      </w:r>
      <w:r w:rsidRPr="00254862">
        <w:rPr>
          <w:lang w:val="fr-FR"/>
        </w:rPr>
        <w:t>Cette question est examinée dans le rapport périodique global</w:t>
      </w:r>
      <w:r>
        <w:rPr>
          <w:lang w:val="fr-FR"/>
        </w:rPr>
        <w:t xml:space="preserve"> </w:t>
      </w:r>
      <w:r w:rsidRPr="00254862">
        <w:rPr>
          <w:lang w:val="fr-FR"/>
        </w:rPr>
        <w:t>(UNEP/OzL.Pro/ExCom/86/15).</w:t>
      </w:r>
    </w:p>
    <w:p w14:paraId="080CA387" w14:textId="615CF0D2" w:rsidR="002867A7" w:rsidRDefault="002867A7" w:rsidP="002F3C97">
      <w:pPr>
        <w:pStyle w:val="FootnoteText"/>
        <w:spacing w:after="0"/>
        <w:ind w:left="0" w:firstLine="0"/>
        <w:jc w:val="both"/>
        <w:rPr>
          <w:lang w:val="fr-FR"/>
        </w:rPr>
      </w:pPr>
    </w:p>
    <w:p w14:paraId="458F9CBA" w14:textId="77777777" w:rsidR="002867A7" w:rsidRPr="00C52326" w:rsidRDefault="002867A7" w:rsidP="002F3C97">
      <w:pPr>
        <w:pStyle w:val="FootnoteText"/>
        <w:spacing w:after="0"/>
        <w:ind w:left="0" w:firstLine="0"/>
        <w:jc w:val="both"/>
        <w:rPr>
          <w:lang w:val="fr-CA"/>
        </w:rPr>
      </w:pPr>
      <w:bookmarkStart w:id="0" w:name="_GoBack"/>
      <w:bookmarkEnd w:id="0"/>
    </w:p>
  </w:footnote>
  <w:footnote w:id="4">
    <w:p w14:paraId="3E16528B" w14:textId="650AD203" w:rsidR="007B7C04" w:rsidRPr="00C52326" w:rsidRDefault="007B7C04" w:rsidP="00E433C6">
      <w:pPr>
        <w:pStyle w:val="FootnoteText"/>
        <w:spacing w:after="0"/>
        <w:ind w:left="0" w:firstLine="0"/>
        <w:jc w:val="both"/>
        <w:rPr>
          <w:lang w:val="fr-CA"/>
        </w:rPr>
      </w:pPr>
      <w:r w:rsidRPr="00E44C3F">
        <w:rPr>
          <w:rStyle w:val="FootnoteReference"/>
          <w:sz w:val="20"/>
          <w:szCs w:val="20"/>
          <w:lang w:val="en-GB"/>
        </w:rPr>
        <w:footnoteRef/>
      </w:r>
      <w:r w:rsidRPr="00C52326">
        <w:rPr>
          <w:lang w:val="fr-CA"/>
        </w:rPr>
        <w:t xml:space="preserve"> </w:t>
      </w:r>
      <w:r w:rsidRPr="00254862">
        <w:rPr>
          <w:lang w:val="fr-FR"/>
        </w:rPr>
        <w:t>Les projets en cours sont tous les projets qui étaient en cours de mise en œuvre au 31 décembre 2019. Les principaux indicateurs de progrès comprennent : le pourcentage de fonds décaissés et le pourcentage de projets ayant commencé à décaisser des fonds ; le financement devant être décaissé d</w:t>
      </w:r>
      <w:r>
        <w:rPr>
          <w:lang w:val="fr-FR"/>
        </w:rPr>
        <w:t>’</w:t>
      </w:r>
      <w:r w:rsidRPr="00254862">
        <w:rPr>
          <w:lang w:val="fr-FR"/>
        </w:rPr>
        <w:t>ici la fin de l</w:t>
      </w:r>
      <w:r>
        <w:rPr>
          <w:lang w:val="fr-FR"/>
        </w:rPr>
        <w:t>’</w:t>
      </w:r>
      <w:r w:rsidRPr="00254862">
        <w:rPr>
          <w:lang w:val="fr-FR"/>
        </w:rPr>
        <w:t>année exprimé en pourcentage du financement approuvé ; la durée moyenne des retards prévus dans la mise en œuvre ; et les renseignements consignés dans la colonne réservée aux remarques dans la base de données de rapport périodique.</w:t>
      </w:r>
    </w:p>
  </w:footnote>
  <w:footnote w:id="5">
    <w:p w14:paraId="41A6645C" w14:textId="18DE5912" w:rsidR="007B7C04" w:rsidRPr="00C52326" w:rsidRDefault="007B7C04" w:rsidP="00557FB9">
      <w:pPr>
        <w:pStyle w:val="FootnoteText"/>
        <w:spacing w:after="0"/>
        <w:ind w:left="0" w:firstLine="0"/>
        <w:jc w:val="both"/>
        <w:rPr>
          <w:lang w:val="fr-CA"/>
        </w:rPr>
      </w:pPr>
      <w:r w:rsidRPr="00E44C3F">
        <w:rPr>
          <w:rStyle w:val="FootnoteReference"/>
          <w:sz w:val="20"/>
          <w:szCs w:val="20"/>
        </w:rPr>
        <w:footnoteRef/>
      </w:r>
      <w:r w:rsidRPr="00C52326">
        <w:rPr>
          <w:lang w:val="fr-CA"/>
        </w:rPr>
        <w:t xml:space="preserve"> </w:t>
      </w:r>
      <w:r w:rsidRPr="00254862">
        <w:rPr>
          <w:lang w:val="fr-FR"/>
        </w:rPr>
        <w:t>Conformément à la décision 84/12(b),</w:t>
      </w:r>
      <w:r w:rsidR="001E204E">
        <w:rPr>
          <w:lang w:val="fr-FR"/>
        </w:rPr>
        <w:t xml:space="preserve"> </w:t>
      </w:r>
      <w:r w:rsidRPr="00254862">
        <w:rPr>
          <w:lang w:val="fr-FR"/>
        </w:rPr>
        <w:t>un rapport périodique offrant un aperçu des objectifs, de l</w:t>
      </w:r>
      <w:r>
        <w:rPr>
          <w:lang w:val="fr-FR"/>
        </w:rPr>
        <w:t>’</w:t>
      </w:r>
      <w:r w:rsidRPr="00254862">
        <w:rPr>
          <w:lang w:val="fr-FR"/>
        </w:rPr>
        <w:t>état de la mise en œuvre des principales conclusions, des enseignements tirés, des quantités de HFC éliminées s</w:t>
      </w:r>
      <w:r>
        <w:rPr>
          <w:lang w:val="fr-FR"/>
        </w:rPr>
        <w:t>’</w:t>
      </w:r>
      <w:r w:rsidRPr="00254862">
        <w:rPr>
          <w:lang w:val="fr-FR"/>
        </w:rPr>
        <w:t>il y a lieu, du niveau de financement approuvé et décaissé, et des défis potentiels pouvant survenir pour mener à bien les projets, est présenté dans le rapport périodique global (UNEP/OzL.Pro/ExCom/86/15).</w:t>
      </w:r>
    </w:p>
  </w:footnote>
  <w:footnote w:id="6">
    <w:p w14:paraId="52C9CE17" w14:textId="2BC4D22B" w:rsidR="007B7C04" w:rsidRPr="00C52326" w:rsidRDefault="007B7C04" w:rsidP="00E433C6">
      <w:pPr>
        <w:pStyle w:val="FootnoteText"/>
        <w:spacing w:after="0"/>
        <w:ind w:left="0" w:firstLine="0"/>
        <w:jc w:val="both"/>
        <w:rPr>
          <w:lang w:val="fr-CA"/>
        </w:rPr>
      </w:pPr>
      <w:r w:rsidRPr="00E44C3F">
        <w:rPr>
          <w:rStyle w:val="FootnoteReference"/>
          <w:sz w:val="20"/>
          <w:szCs w:val="20"/>
        </w:rPr>
        <w:footnoteRef/>
      </w:r>
      <w:r w:rsidRPr="00C52326">
        <w:rPr>
          <w:lang w:val="fr-CA"/>
        </w:rPr>
        <w:t xml:space="preserve"> </w:t>
      </w:r>
      <w:r w:rsidRPr="00254862">
        <w:rPr>
          <w:lang w:val="fr-FR"/>
        </w:rPr>
        <w:t>Toutes les substances réglementées dans</w:t>
      </w:r>
      <w:r>
        <w:rPr>
          <w:lang w:val="fr-FR"/>
        </w:rPr>
        <w:t xml:space="preserve"> </w:t>
      </w:r>
      <w:r w:rsidRPr="00254862">
        <w:rPr>
          <w:lang w:val="fr-FR"/>
        </w:rPr>
        <w:t>le cadre de ces projets étaient des substances appauvrissant la couche d</w:t>
      </w:r>
      <w:r>
        <w:rPr>
          <w:lang w:val="fr-FR"/>
        </w:rPr>
        <w:t>’</w:t>
      </w:r>
      <w:r w:rsidRPr="00254862">
        <w:rPr>
          <w:lang w:val="fr-FR"/>
        </w:rPr>
        <w:t>ozone.</w:t>
      </w:r>
      <w:r w:rsidRPr="00C52326">
        <w:rPr>
          <w:lang w:val="fr-CA"/>
        </w:rPr>
        <w:t xml:space="preserve"> </w:t>
      </w:r>
    </w:p>
  </w:footnote>
  <w:footnote w:id="7">
    <w:p w14:paraId="50CA6A0C" w14:textId="241E57DC" w:rsidR="007B7C04" w:rsidRPr="00C52326" w:rsidRDefault="007B7C04" w:rsidP="00E433C6">
      <w:pPr>
        <w:pStyle w:val="FootnoteText"/>
        <w:spacing w:after="0"/>
        <w:ind w:left="0" w:firstLine="0"/>
        <w:jc w:val="both"/>
        <w:rPr>
          <w:lang w:val="fr-CA"/>
        </w:rPr>
      </w:pPr>
      <w:r w:rsidRPr="00E44C3F">
        <w:rPr>
          <w:rStyle w:val="FootnoteReference"/>
          <w:sz w:val="20"/>
          <w:szCs w:val="20"/>
        </w:rPr>
        <w:footnoteRef/>
      </w:r>
      <w:r w:rsidRPr="00C52326">
        <w:rPr>
          <w:lang w:val="fr-CA"/>
        </w:rPr>
        <w:t xml:space="preserve"> </w:t>
      </w:r>
      <w:r w:rsidRPr="00254862">
        <w:rPr>
          <w:lang w:val="fr-FR"/>
        </w:rPr>
        <w:t>Toutes les substances réglementées dans</w:t>
      </w:r>
      <w:r>
        <w:rPr>
          <w:lang w:val="fr-FR"/>
        </w:rPr>
        <w:t xml:space="preserve"> </w:t>
      </w:r>
      <w:r w:rsidRPr="00254862">
        <w:rPr>
          <w:lang w:val="fr-FR"/>
        </w:rPr>
        <w:t>le cadre de ces projets étaient des substances appauvrissant la couche d</w:t>
      </w:r>
      <w:r>
        <w:rPr>
          <w:lang w:val="fr-FR"/>
        </w:rPr>
        <w:t>’</w:t>
      </w:r>
      <w:r w:rsidRPr="00254862">
        <w:rPr>
          <w:lang w:val="fr-FR"/>
        </w:rPr>
        <w:t>ozone.</w:t>
      </w:r>
    </w:p>
  </w:footnote>
  <w:footnote w:id="8">
    <w:p w14:paraId="4C67C213" w14:textId="78FD732E" w:rsidR="007B7C04" w:rsidRPr="00C52326" w:rsidRDefault="007B7C04" w:rsidP="00347577">
      <w:pPr>
        <w:pStyle w:val="FootnoteText"/>
        <w:spacing w:after="0"/>
        <w:ind w:left="0" w:firstLine="0"/>
        <w:jc w:val="both"/>
        <w:rPr>
          <w:lang w:val="fr-CA"/>
        </w:rPr>
      </w:pPr>
      <w:r w:rsidRPr="00E44C3F">
        <w:rPr>
          <w:rStyle w:val="FootnoteReference"/>
          <w:sz w:val="20"/>
          <w:szCs w:val="20"/>
        </w:rPr>
        <w:footnoteRef/>
      </w:r>
      <w:r w:rsidRPr="00C52326">
        <w:rPr>
          <w:lang w:val="fr-CA"/>
        </w:rPr>
        <w:t xml:space="preserve"> </w:t>
      </w:r>
      <w:r w:rsidRPr="00254862">
        <w:rPr>
          <w:lang w:val="fr-FR"/>
        </w:rPr>
        <w:t>La valeur plus élevée du rapport coût-efficacité pour les projets en cours est en grande partie attribuable aux valeurs plus basses des HCFC en tonnes PAO, mais également à la manière dont les agences ventilent l</w:t>
      </w:r>
      <w:r>
        <w:rPr>
          <w:lang w:val="fr-FR"/>
        </w:rPr>
        <w:t>’</w:t>
      </w:r>
      <w:r w:rsidRPr="00254862">
        <w:rPr>
          <w:lang w:val="fr-FR"/>
        </w:rPr>
        <w:t>élimination.</w:t>
      </w:r>
    </w:p>
  </w:footnote>
  <w:footnote w:id="9">
    <w:p w14:paraId="6382A4EF" w14:textId="7CCDF44C" w:rsidR="007B7C04" w:rsidRPr="00C52326" w:rsidRDefault="007B7C04" w:rsidP="00254862">
      <w:pPr>
        <w:pStyle w:val="FootnoteText"/>
        <w:spacing w:after="0"/>
        <w:ind w:left="0" w:firstLine="0"/>
        <w:jc w:val="both"/>
        <w:rPr>
          <w:lang w:val="fr-CA"/>
        </w:rPr>
      </w:pPr>
      <w:r w:rsidRPr="00E44C3F">
        <w:rPr>
          <w:rStyle w:val="FootnoteReference"/>
          <w:sz w:val="20"/>
          <w:szCs w:val="20"/>
          <w:lang w:val="en-CA"/>
        </w:rPr>
        <w:footnoteRef/>
      </w:r>
      <w:r w:rsidRPr="00C52326">
        <w:rPr>
          <w:lang w:val="fr-CA"/>
        </w:rPr>
        <w:t xml:space="preserve"> </w:t>
      </w:r>
      <w:r w:rsidRPr="00254862">
        <w:rPr>
          <w:lang w:val="fr-FR"/>
        </w:rPr>
        <w:t>Projets approuvés depuis plus de 18 mois avec un décaissement inférieur à 1 pour cent, ou projets n</w:t>
      </w:r>
      <w:r>
        <w:rPr>
          <w:lang w:val="fr-FR"/>
        </w:rPr>
        <w:t>’</w:t>
      </w:r>
      <w:r w:rsidR="001E204E">
        <w:rPr>
          <w:lang w:val="fr-FR"/>
        </w:rPr>
        <w:t xml:space="preserve">ayant </w:t>
      </w:r>
      <w:r w:rsidRPr="00254862">
        <w:rPr>
          <w:lang w:val="fr-FR"/>
        </w:rPr>
        <w:t>pas été achevés 12 mois après la date d</w:t>
      </w:r>
      <w:r>
        <w:rPr>
          <w:lang w:val="fr-FR"/>
        </w:rPr>
        <w:t>’</w:t>
      </w:r>
      <w:r w:rsidRPr="00254862">
        <w:rPr>
          <w:lang w:val="fr-FR"/>
        </w:rPr>
        <w:t>achèvement proposée dans le rapport périodique (décision 22/61) (sachant que des projets de démonstration, préparation de projet et renforcement des institutions ne sont pas soumis à ces procédures).</w:t>
      </w:r>
      <w:r w:rsidRPr="00C52326">
        <w:rPr>
          <w:lang w:val="fr-CA"/>
        </w:rPr>
        <w:t xml:space="preserve"> </w:t>
      </w:r>
    </w:p>
  </w:footnote>
  <w:footnote w:id="10">
    <w:p w14:paraId="10F26520" w14:textId="5656D4FB" w:rsidR="007B7C04" w:rsidRPr="00C52326" w:rsidRDefault="007B7C04" w:rsidP="007A441E">
      <w:pPr>
        <w:pStyle w:val="FootnoteText"/>
        <w:spacing w:after="0"/>
        <w:rPr>
          <w:lang w:val="fr-CA"/>
        </w:rPr>
      </w:pPr>
      <w:r w:rsidRPr="00E44C3F">
        <w:rPr>
          <w:rStyle w:val="FootnoteReference"/>
          <w:sz w:val="20"/>
          <w:szCs w:val="20"/>
        </w:rPr>
        <w:footnoteRef/>
      </w:r>
      <w:r w:rsidRPr="00C52326">
        <w:rPr>
          <w:lang w:val="fr-CA"/>
        </w:rPr>
        <w:t xml:space="preserve"> </w:t>
      </w:r>
      <w:r w:rsidRPr="00254862">
        <w:rPr>
          <w:lang w:val="fr-FR"/>
        </w:rPr>
        <w:t>UNEP/OzL.Pro/ExCom/86/SGP</w:t>
      </w:r>
    </w:p>
  </w:footnote>
  <w:footnote w:id="11">
    <w:p w14:paraId="3E1E2BC1" w14:textId="7D551036" w:rsidR="007B7C04" w:rsidRPr="00C52326" w:rsidRDefault="007B7C04" w:rsidP="002E28D2">
      <w:pPr>
        <w:pStyle w:val="FootnoteText"/>
        <w:spacing w:after="0"/>
        <w:rPr>
          <w:lang w:val="fr-CA"/>
        </w:rPr>
      </w:pPr>
      <w:r w:rsidRPr="00E44C3F">
        <w:rPr>
          <w:rStyle w:val="FootnoteReference"/>
          <w:sz w:val="20"/>
          <w:szCs w:val="20"/>
        </w:rPr>
        <w:footnoteRef/>
      </w:r>
      <w:r w:rsidRPr="00C52326">
        <w:rPr>
          <w:lang w:val="fr-CA"/>
        </w:rPr>
        <w:t xml:space="preserve"> </w:t>
      </w:r>
      <w:r w:rsidRPr="00254862">
        <w:rPr>
          <w:lang w:val="fr-FR"/>
        </w:rPr>
        <w:t>UNEP/OzL.Pro/ExCom/86/21/Add.1</w:t>
      </w:r>
    </w:p>
  </w:footnote>
  <w:footnote w:id="12">
    <w:p w14:paraId="26816E9F" w14:textId="286729D8" w:rsidR="007B7C04" w:rsidRPr="00C52326" w:rsidRDefault="007B7C04" w:rsidP="002E28D2">
      <w:pPr>
        <w:pStyle w:val="FootnoteText"/>
        <w:spacing w:after="0"/>
        <w:rPr>
          <w:lang w:val="fr-CA"/>
        </w:rPr>
      </w:pPr>
      <w:r w:rsidRPr="00E44C3F">
        <w:rPr>
          <w:rStyle w:val="FootnoteReference"/>
          <w:sz w:val="20"/>
          <w:szCs w:val="20"/>
        </w:rPr>
        <w:footnoteRef/>
      </w:r>
      <w:r w:rsidRPr="00C52326">
        <w:rPr>
          <w:lang w:val="fr-CA"/>
        </w:rPr>
        <w:t xml:space="preserve"> </w:t>
      </w:r>
      <w:r w:rsidRPr="00254862">
        <w:rPr>
          <w:lang w:val="fr-FR"/>
        </w:rPr>
        <w:t>UNEP/OzL.Pro/ExCom/86/21</w:t>
      </w:r>
    </w:p>
  </w:footnote>
  <w:footnote w:id="13">
    <w:p w14:paraId="36E687BA" w14:textId="0787013D" w:rsidR="007B7C04" w:rsidRPr="00C52326" w:rsidRDefault="007B7C04" w:rsidP="00FC0B92">
      <w:pPr>
        <w:pStyle w:val="FootnoteText"/>
        <w:spacing w:after="0"/>
        <w:rPr>
          <w:lang w:val="fr-CA"/>
        </w:rPr>
      </w:pPr>
      <w:r w:rsidRPr="00E44C3F">
        <w:rPr>
          <w:rStyle w:val="FootnoteReference"/>
          <w:sz w:val="20"/>
          <w:szCs w:val="20"/>
        </w:rPr>
        <w:footnoteRef/>
      </w:r>
      <w:r w:rsidRPr="00C52326">
        <w:rPr>
          <w:lang w:val="fr-CA"/>
        </w:rPr>
        <w:t xml:space="preserve"> </w:t>
      </w:r>
      <w:r w:rsidRPr="00254862">
        <w:rPr>
          <w:lang w:val="fr-FR"/>
        </w:rPr>
        <w:t>UNEP/OzL.Pro/ExCom/86/24</w:t>
      </w:r>
    </w:p>
  </w:footnote>
  <w:footnote w:id="14">
    <w:p w14:paraId="29249D1E" w14:textId="1D3A0BCF" w:rsidR="007B7C04" w:rsidRPr="00C52326" w:rsidRDefault="007B7C04" w:rsidP="00E433C6">
      <w:pPr>
        <w:pStyle w:val="FootnoteText"/>
        <w:spacing w:after="0"/>
        <w:ind w:left="0" w:firstLine="0"/>
        <w:jc w:val="both"/>
        <w:rPr>
          <w:lang w:val="fr-CA"/>
        </w:rPr>
      </w:pPr>
      <w:r w:rsidRPr="00E44C3F">
        <w:rPr>
          <w:rStyle w:val="FootnoteReference"/>
          <w:sz w:val="20"/>
          <w:szCs w:val="20"/>
        </w:rPr>
        <w:footnoteRef/>
      </w:r>
      <w:r w:rsidRPr="00C52326">
        <w:rPr>
          <w:lang w:val="fr-CA"/>
        </w:rPr>
        <w:t xml:space="preserve"> </w:t>
      </w:r>
      <w:r w:rsidRPr="00254862">
        <w:rPr>
          <w:lang w:val="fr-FR"/>
        </w:rPr>
        <w:t>Les données sont présentées selon l</w:t>
      </w:r>
      <w:r>
        <w:rPr>
          <w:lang w:val="fr-FR"/>
        </w:rPr>
        <w:t>’</w:t>
      </w:r>
      <w:r w:rsidRPr="00254862">
        <w:rPr>
          <w:lang w:val="fr-FR"/>
        </w:rPr>
        <w:t>année au cours de laquelle un projet a été approuvé par le Comité exécutif.</w:t>
      </w:r>
      <w:r w:rsidRPr="00C52326">
        <w:rPr>
          <w:lang w:val="fr-CA"/>
        </w:rPr>
        <w:t xml:space="preserve"> </w:t>
      </w:r>
      <w:r w:rsidRPr="00254862">
        <w:rPr>
          <w:lang w:val="fr-FR"/>
        </w:rPr>
        <w:t>Toutes les approbations (projets d</w:t>
      </w:r>
      <w:r>
        <w:rPr>
          <w:lang w:val="fr-FR"/>
        </w:rPr>
        <w:t>’</w:t>
      </w:r>
      <w:r w:rsidRPr="00254862">
        <w:rPr>
          <w:lang w:val="fr-FR"/>
        </w:rPr>
        <w:t>investissement et projets ne portant pas sur des investissements) sont traitées de la même façon (c.-à-d. qu</w:t>
      </w:r>
      <w:r>
        <w:rPr>
          <w:lang w:val="fr-FR"/>
        </w:rPr>
        <w:t>’</w:t>
      </w:r>
      <w:r w:rsidRPr="00254862">
        <w:rPr>
          <w:lang w:val="fr-FR"/>
        </w:rPr>
        <w:t>un projet d</w:t>
      </w:r>
      <w:r>
        <w:rPr>
          <w:lang w:val="fr-FR"/>
        </w:rPr>
        <w:t>’</w:t>
      </w:r>
      <w:r w:rsidRPr="00254862">
        <w:rPr>
          <w:lang w:val="fr-FR"/>
        </w:rPr>
        <w:t>investissement ou une tranche de financement d</w:t>
      </w:r>
      <w:r>
        <w:rPr>
          <w:lang w:val="fr-FR"/>
        </w:rPr>
        <w:t>’</w:t>
      </w:r>
      <w:r w:rsidRPr="00254862">
        <w:rPr>
          <w:lang w:val="fr-FR"/>
        </w:rPr>
        <w:t>un accord pluriannuel de 1 million $US est considéré comme un projet, tout comme la préparation d</w:t>
      </w:r>
      <w:r>
        <w:rPr>
          <w:lang w:val="fr-FR"/>
        </w:rPr>
        <w:t>’</w:t>
      </w:r>
      <w:r w:rsidRPr="00254862">
        <w:rPr>
          <w:lang w:val="fr-FR"/>
        </w:rPr>
        <w:t>un programme de pays de 30 000 $US). Les indicateurs clés de ce sommaire annuel sont : le pourcentage de projets achevés, les tonnes PAO éliminées et le pourcentage de fonds décaissés.</w:t>
      </w:r>
      <w:r w:rsidRPr="00C52326">
        <w:rPr>
          <w:lang w:val="fr-CA"/>
        </w:rPr>
        <w:t xml:space="preserve"> </w:t>
      </w:r>
      <w:r w:rsidRPr="00254862">
        <w:rPr>
          <w:lang w:val="fr-FR"/>
        </w:rPr>
        <w:t>Il existe trois types de décaissement : pendant la mise en œuvre, après la mise en œuvre et pour des projets financés rétroactivement.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6A90C" w14:textId="2E3929F6" w:rsidR="007B7C04" w:rsidRPr="0033525D" w:rsidRDefault="00041D59">
    <w:fldSimple w:instr=" DOCPROPERTY &quot;Document number&quot;  \* MERGEFORMAT ">
      <w:r w:rsidR="00FB6FA2">
        <w:t>UNEP/OzL.Pro/ExCom/86/20</w:t>
      </w:r>
    </w:fldSimple>
  </w:p>
  <w:p w14:paraId="229FDBFF" w14:textId="77777777" w:rsidR="007B7C04" w:rsidRPr="0033525D" w:rsidRDefault="007B7C04"/>
  <w:p w14:paraId="69C786AC" w14:textId="77777777" w:rsidR="007B7C04" w:rsidRPr="0033525D" w:rsidRDefault="007B7C0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8EBDB" w14:textId="718310CA" w:rsidR="007B7C04" w:rsidRPr="0033525D" w:rsidRDefault="00041D59">
    <w:pPr>
      <w:jc w:val="right"/>
    </w:pPr>
    <w:fldSimple w:instr=" DOCPROPERTY &quot;Document number&quot;  \* MERGEFORMAT ">
      <w:r w:rsidR="00FB6FA2">
        <w:t>UNEP/OzL.Pro/ExCom/86/20</w:t>
      </w:r>
    </w:fldSimple>
  </w:p>
  <w:p w14:paraId="418CF5DE" w14:textId="77777777" w:rsidR="007B7C04" w:rsidRPr="0033525D" w:rsidRDefault="007B7C04">
    <w:pPr>
      <w:pStyle w:val="Header"/>
    </w:pPr>
  </w:p>
  <w:p w14:paraId="57C12029" w14:textId="77777777" w:rsidR="007B7C04" w:rsidRDefault="007B7C0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9670F" w14:textId="37865C0A" w:rsidR="007B7C04" w:rsidRPr="0033525D" w:rsidRDefault="00041D59">
    <w:fldSimple w:instr=" DOCPROPERTY &quot;Document number&quot;  \* MERGEFORMAT ">
      <w:r w:rsidR="00FB6FA2">
        <w:t>UNEP/OzL.Pro/ExCom/86/20</w:t>
      </w:r>
    </w:fldSimple>
  </w:p>
  <w:p w14:paraId="6BC35A7A" w14:textId="77777777" w:rsidR="007B7C04" w:rsidRPr="0033525D" w:rsidRDefault="007B7C04">
    <w:r>
      <w:t>Annex I</w:t>
    </w:r>
  </w:p>
  <w:p w14:paraId="4072E4B8" w14:textId="77777777" w:rsidR="007B7C04" w:rsidRPr="0033525D" w:rsidRDefault="007B7C04"/>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FCFE8" w14:textId="7B2CD035" w:rsidR="007B7C04" w:rsidRPr="0033525D" w:rsidRDefault="00041D59">
    <w:pPr>
      <w:jc w:val="right"/>
    </w:pPr>
    <w:fldSimple w:instr=" DOCPROPERTY &quot;Document number&quot;  \* MERGEFORMAT ">
      <w:r w:rsidR="00FB6FA2">
        <w:t>UNEP/OzL.Pro/ExCom/86/20</w:t>
      </w:r>
    </w:fldSimple>
  </w:p>
  <w:p w14:paraId="70D7A536" w14:textId="77777777" w:rsidR="007B7C04" w:rsidRPr="0033525D" w:rsidRDefault="007B7C04" w:rsidP="00A73F29">
    <w:pPr>
      <w:jc w:val="right"/>
    </w:pPr>
    <w:r>
      <w:t>Annex I</w:t>
    </w:r>
  </w:p>
  <w:p w14:paraId="1BE9EFB9" w14:textId="77777777" w:rsidR="007B7C04" w:rsidRPr="0033525D" w:rsidRDefault="007B7C04">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BA7E" w14:textId="0A560AA2" w:rsidR="007B7C04" w:rsidRPr="0033525D" w:rsidRDefault="00041D59" w:rsidP="00A73F29">
    <w:pPr>
      <w:jc w:val="right"/>
    </w:pPr>
    <w:fldSimple w:instr=" DOCPROPERTY &quot;Document number&quot;  \* MERGEFORMAT ">
      <w:r w:rsidR="00FB6FA2">
        <w:t>UNEP/OzL.Pro/ExCom/86/20</w:t>
      </w:r>
    </w:fldSimple>
  </w:p>
  <w:p w14:paraId="3C205362" w14:textId="6C3A4B62" w:rsidR="007B7C04" w:rsidRDefault="007B7C04" w:rsidP="00A73F29">
    <w:pPr>
      <w:pStyle w:val="Header"/>
      <w:jc w:val="right"/>
    </w:pPr>
    <w:r>
      <w:t>Annex</w:t>
    </w:r>
    <w:r w:rsidR="003762DD">
      <w:t>e</w:t>
    </w:r>
    <w:r>
      <w:t xml:space="preserve"> I</w:t>
    </w:r>
  </w:p>
  <w:p w14:paraId="3F2BA7C0" w14:textId="77777777" w:rsidR="007B7C04" w:rsidRDefault="007B7C04" w:rsidP="00A73F29">
    <w:pPr>
      <w:pStyle w:val="Heade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9FEFC" w14:textId="10D89A0F" w:rsidR="007B7C04" w:rsidRPr="0033525D" w:rsidRDefault="00041D59">
    <w:fldSimple w:instr=" DOCPROPERTY &quot;Document number&quot;  \* MERGEFORMAT ">
      <w:r w:rsidR="00FB6FA2">
        <w:t>UNEP/OzL.Pro/ExCom/86/20</w:t>
      </w:r>
    </w:fldSimple>
  </w:p>
  <w:p w14:paraId="4C67D91F" w14:textId="046733E8" w:rsidR="007B7C04" w:rsidRPr="0033525D" w:rsidRDefault="007B7C04">
    <w:r>
      <w:t>Annex</w:t>
    </w:r>
    <w:r w:rsidR="003762DD">
      <w:t>e</w:t>
    </w:r>
    <w:r>
      <w:t xml:space="preserve"> II</w:t>
    </w:r>
  </w:p>
  <w:p w14:paraId="4701505B" w14:textId="77777777" w:rsidR="007B7C04" w:rsidRPr="0033525D" w:rsidRDefault="007B7C04"/>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DA238" w14:textId="31EF9277" w:rsidR="007B7C04" w:rsidRPr="0033525D" w:rsidRDefault="00041D59">
    <w:pPr>
      <w:jc w:val="right"/>
    </w:pPr>
    <w:fldSimple w:instr=" DOCPROPERTY &quot;Document number&quot;  \* MERGEFORMAT ">
      <w:r w:rsidR="00FB6FA2">
        <w:t>UNEP/OzL.Pro/ExCom/86/20</w:t>
      </w:r>
    </w:fldSimple>
  </w:p>
  <w:p w14:paraId="10E5126B" w14:textId="063EF2FF" w:rsidR="007B7C04" w:rsidRPr="0033525D" w:rsidRDefault="007B7C04" w:rsidP="00A73F29">
    <w:pPr>
      <w:jc w:val="right"/>
    </w:pPr>
    <w:r>
      <w:t>Annex</w:t>
    </w:r>
    <w:r w:rsidR="003762DD">
      <w:t>e</w:t>
    </w:r>
    <w:r>
      <w:t xml:space="preserve"> II</w:t>
    </w:r>
  </w:p>
  <w:p w14:paraId="3F003EB4" w14:textId="77777777" w:rsidR="007B7C04" w:rsidRPr="0033525D" w:rsidRDefault="007B7C04">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FF9EB" w14:textId="01BCFFA0" w:rsidR="007B7C04" w:rsidRPr="0033525D" w:rsidRDefault="00041D59" w:rsidP="00A73F29">
    <w:pPr>
      <w:jc w:val="right"/>
    </w:pPr>
    <w:fldSimple w:instr=" DOCPROPERTY &quot;Document number&quot;  \* MERGEFORMAT ">
      <w:r w:rsidR="00FB6FA2">
        <w:t>UNEP/OzL.Pro/ExCom/86/20</w:t>
      </w:r>
    </w:fldSimple>
  </w:p>
  <w:p w14:paraId="60E39498" w14:textId="136AD482" w:rsidR="007B7C04" w:rsidRDefault="007B7C04" w:rsidP="00A73F29">
    <w:pPr>
      <w:pStyle w:val="Header"/>
      <w:jc w:val="right"/>
    </w:pPr>
    <w:r>
      <w:t>Annex</w:t>
    </w:r>
    <w:r w:rsidR="003762DD">
      <w:t>e</w:t>
    </w:r>
    <w:r>
      <w:t xml:space="preserve"> II</w:t>
    </w:r>
  </w:p>
  <w:p w14:paraId="15C87E89" w14:textId="77777777" w:rsidR="007B7C04" w:rsidRDefault="007B7C04" w:rsidP="00A73F29">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6C2C6E42"/>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rPr>
        <w:b w:val="0"/>
      </w:r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CE6617"/>
    <w:multiLevelType w:val="hybridMultilevel"/>
    <w:tmpl w:val="A2423F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AF44B3"/>
    <w:multiLevelType w:val="hybridMultilevel"/>
    <w:tmpl w:val="8CD43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160169"/>
    <w:multiLevelType w:val="hybridMultilevel"/>
    <w:tmpl w:val="80385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A209D4"/>
    <w:multiLevelType w:val="hybridMultilevel"/>
    <w:tmpl w:val="5630F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F03206"/>
    <w:multiLevelType w:val="hybridMultilevel"/>
    <w:tmpl w:val="6DC46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29545F"/>
    <w:multiLevelType w:val="hybridMultilevel"/>
    <w:tmpl w:val="F020C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228656E"/>
    <w:multiLevelType w:val="multilevel"/>
    <w:tmpl w:val="497A5C76"/>
    <w:lvl w:ilvl="0">
      <w:start w:val="1"/>
      <w:numFmt w:val="upperRoman"/>
      <w:lvlText w:val="%1."/>
      <w:lvlJc w:val="center"/>
      <w:pPr>
        <w:tabs>
          <w:tab w:val="num" w:pos="648"/>
        </w:tabs>
        <w:ind w:left="0" w:firstLine="288"/>
      </w:pPr>
      <w:rPr>
        <w:rFonts w:hint="default"/>
      </w:rPr>
    </w:lvl>
    <w:lvl w:ilvl="1">
      <w:start w:val="1"/>
      <w:numFmt w:val="upperLetter"/>
      <w:lvlText w:val="%2."/>
      <w:lvlJc w:val="left"/>
      <w:pPr>
        <w:tabs>
          <w:tab w:val="num" w:pos="1080"/>
        </w:tabs>
        <w:ind w:left="720" w:firstLine="0"/>
      </w:pPr>
      <w:rPr>
        <w:rFonts w:hint="default"/>
      </w:rPr>
    </w:lvl>
    <w:lvl w:ilvl="2">
      <w:start w:val="1"/>
      <w:numFmt w:val="decimal"/>
      <w:lvlRestart w:val="0"/>
      <w:lvlText w:val="%3."/>
      <w:lvlJc w:val="left"/>
      <w:pPr>
        <w:tabs>
          <w:tab w:val="num" w:pos="720"/>
        </w:tabs>
        <w:ind w:left="360" w:firstLine="0"/>
      </w:pPr>
      <w:rPr>
        <w:rFonts w:hint="default"/>
        <w:strike w:val="0"/>
        <w:dstrike w:val="0"/>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20" w15:restartNumberingAfterBreak="0">
    <w:nsid w:val="3B16004B"/>
    <w:multiLevelType w:val="hybridMultilevel"/>
    <w:tmpl w:val="9DF6922E"/>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CA13321"/>
    <w:multiLevelType w:val="hybridMultilevel"/>
    <w:tmpl w:val="5A747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3961EE"/>
    <w:multiLevelType w:val="hybridMultilevel"/>
    <w:tmpl w:val="674A05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A83628"/>
    <w:multiLevelType w:val="hybridMultilevel"/>
    <w:tmpl w:val="F3DA9A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317E99"/>
    <w:multiLevelType w:val="hybridMultilevel"/>
    <w:tmpl w:val="F878B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863266D"/>
    <w:multiLevelType w:val="hybridMultilevel"/>
    <w:tmpl w:val="D08C33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D11E52"/>
    <w:multiLevelType w:val="hybridMultilevel"/>
    <w:tmpl w:val="D6B203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7B1807"/>
    <w:multiLevelType w:val="hybridMultilevel"/>
    <w:tmpl w:val="F0E04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EC77B8"/>
    <w:multiLevelType w:val="hybridMultilevel"/>
    <w:tmpl w:val="2E2A55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20E4D19"/>
    <w:multiLevelType w:val="hybridMultilevel"/>
    <w:tmpl w:val="F7262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BB6AE3"/>
    <w:multiLevelType w:val="hybridMultilevel"/>
    <w:tmpl w:val="A74EF2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CF7FB8"/>
    <w:multiLevelType w:val="hybridMultilevel"/>
    <w:tmpl w:val="0B82C74A"/>
    <w:lvl w:ilvl="0" w:tplc="DF2A0F52">
      <w:start w:val="1"/>
      <w:numFmt w:val="bullet"/>
      <w:lvlText w:val=""/>
      <w:lvlJc w:val="left"/>
      <w:pPr>
        <w:tabs>
          <w:tab w:val="num" w:pos="720"/>
        </w:tabs>
        <w:ind w:left="720" w:hanging="360"/>
      </w:pPr>
      <w:rPr>
        <w:rFonts w:ascii="Wingdings 2" w:hAnsi="Wingdings 2" w:hint="default"/>
      </w:rPr>
    </w:lvl>
    <w:lvl w:ilvl="1" w:tplc="F82423AA" w:tentative="1">
      <w:start w:val="1"/>
      <w:numFmt w:val="bullet"/>
      <w:lvlText w:val=""/>
      <w:lvlJc w:val="left"/>
      <w:pPr>
        <w:tabs>
          <w:tab w:val="num" w:pos="1440"/>
        </w:tabs>
        <w:ind w:left="1440" w:hanging="360"/>
      </w:pPr>
      <w:rPr>
        <w:rFonts w:ascii="Wingdings 2" w:hAnsi="Wingdings 2" w:hint="default"/>
      </w:rPr>
    </w:lvl>
    <w:lvl w:ilvl="2" w:tplc="B0C640D8" w:tentative="1">
      <w:start w:val="1"/>
      <w:numFmt w:val="bullet"/>
      <w:lvlText w:val=""/>
      <w:lvlJc w:val="left"/>
      <w:pPr>
        <w:tabs>
          <w:tab w:val="num" w:pos="2160"/>
        </w:tabs>
        <w:ind w:left="2160" w:hanging="360"/>
      </w:pPr>
      <w:rPr>
        <w:rFonts w:ascii="Wingdings 2" w:hAnsi="Wingdings 2" w:hint="default"/>
      </w:rPr>
    </w:lvl>
    <w:lvl w:ilvl="3" w:tplc="1FA09C06" w:tentative="1">
      <w:start w:val="1"/>
      <w:numFmt w:val="bullet"/>
      <w:lvlText w:val=""/>
      <w:lvlJc w:val="left"/>
      <w:pPr>
        <w:tabs>
          <w:tab w:val="num" w:pos="2880"/>
        </w:tabs>
        <w:ind w:left="2880" w:hanging="360"/>
      </w:pPr>
      <w:rPr>
        <w:rFonts w:ascii="Wingdings 2" w:hAnsi="Wingdings 2" w:hint="default"/>
      </w:rPr>
    </w:lvl>
    <w:lvl w:ilvl="4" w:tplc="2CA07F4E" w:tentative="1">
      <w:start w:val="1"/>
      <w:numFmt w:val="bullet"/>
      <w:lvlText w:val=""/>
      <w:lvlJc w:val="left"/>
      <w:pPr>
        <w:tabs>
          <w:tab w:val="num" w:pos="3600"/>
        </w:tabs>
        <w:ind w:left="3600" w:hanging="360"/>
      </w:pPr>
      <w:rPr>
        <w:rFonts w:ascii="Wingdings 2" w:hAnsi="Wingdings 2" w:hint="default"/>
      </w:rPr>
    </w:lvl>
    <w:lvl w:ilvl="5" w:tplc="5AC254AA" w:tentative="1">
      <w:start w:val="1"/>
      <w:numFmt w:val="bullet"/>
      <w:lvlText w:val=""/>
      <w:lvlJc w:val="left"/>
      <w:pPr>
        <w:tabs>
          <w:tab w:val="num" w:pos="4320"/>
        </w:tabs>
        <w:ind w:left="4320" w:hanging="360"/>
      </w:pPr>
      <w:rPr>
        <w:rFonts w:ascii="Wingdings 2" w:hAnsi="Wingdings 2" w:hint="default"/>
      </w:rPr>
    </w:lvl>
    <w:lvl w:ilvl="6" w:tplc="56765D14" w:tentative="1">
      <w:start w:val="1"/>
      <w:numFmt w:val="bullet"/>
      <w:lvlText w:val=""/>
      <w:lvlJc w:val="left"/>
      <w:pPr>
        <w:tabs>
          <w:tab w:val="num" w:pos="5040"/>
        </w:tabs>
        <w:ind w:left="5040" w:hanging="360"/>
      </w:pPr>
      <w:rPr>
        <w:rFonts w:ascii="Wingdings 2" w:hAnsi="Wingdings 2" w:hint="default"/>
      </w:rPr>
    </w:lvl>
    <w:lvl w:ilvl="7" w:tplc="1AF0AA2C" w:tentative="1">
      <w:start w:val="1"/>
      <w:numFmt w:val="bullet"/>
      <w:lvlText w:val=""/>
      <w:lvlJc w:val="left"/>
      <w:pPr>
        <w:tabs>
          <w:tab w:val="num" w:pos="5760"/>
        </w:tabs>
        <w:ind w:left="5760" w:hanging="360"/>
      </w:pPr>
      <w:rPr>
        <w:rFonts w:ascii="Wingdings 2" w:hAnsi="Wingdings 2" w:hint="default"/>
      </w:rPr>
    </w:lvl>
    <w:lvl w:ilvl="8" w:tplc="0EE82932"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78F344D1"/>
    <w:multiLevelType w:val="multilevel"/>
    <w:tmpl w:val="E6640806"/>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Restart w:val="0"/>
      <w:lvlText w:val="%3."/>
      <w:lvlJc w:val="left"/>
      <w:pPr>
        <w:tabs>
          <w:tab w:val="num" w:pos="1800"/>
        </w:tabs>
        <w:ind w:left="1440" w:firstLine="0"/>
      </w:pPr>
      <w:rPr>
        <w:rFonts w:hint="default"/>
        <w:strike w:val="0"/>
        <w:dstrike w:val="0"/>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6" w15:restartNumberingAfterBreak="0">
    <w:nsid w:val="7FB81840"/>
    <w:multiLevelType w:val="singleLevel"/>
    <w:tmpl w:val="E5127F10"/>
    <w:lvl w:ilvl="0">
      <w:start w:val="1"/>
      <w:numFmt w:val="decimal"/>
      <w:lvlText w:val="%1."/>
      <w:legacy w:legacy="1" w:legacySpace="0" w:legacyIndent="360"/>
      <w:lvlJc w:val="left"/>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5"/>
  </w:num>
  <w:num w:numId="18">
    <w:abstractNumId w:val="26"/>
  </w:num>
  <w:num w:numId="19">
    <w:abstractNumId w:val="3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18"/>
  </w:num>
  <w:num w:numId="24">
    <w:abstractNumId w:val="20"/>
  </w:num>
  <w:num w:numId="25">
    <w:abstractNumId w:val="15"/>
  </w:num>
  <w:num w:numId="26">
    <w:abstractNumId w:val="12"/>
  </w:num>
  <w:num w:numId="27">
    <w:abstractNumId w:val="14"/>
  </w:num>
  <w:num w:numId="28">
    <w:abstractNumId w:val="32"/>
  </w:num>
  <w:num w:numId="29">
    <w:abstractNumId w:val="23"/>
  </w:num>
  <w:num w:numId="30">
    <w:abstractNumId w:val="31"/>
  </w:num>
  <w:num w:numId="31">
    <w:abstractNumId w:val="21"/>
  </w:num>
  <w:num w:numId="32">
    <w:abstractNumId w:val="28"/>
  </w:num>
  <w:num w:numId="33">
    <w:abstractNumId w:val="22"/>
  </w:num>
  <w:num w:numId="34">
    <w:abstractNumId w:val="24"/>
  </w:num>
  <w:num w:numId="35">
    <w:abstractNumId w:val="27"/>
  </w:num>
  <w:num w:numId="36">
    <w:abstractNumId w:val="11"/>
  </w:num>
  <w:num w:numId="37">
    <w:abstractNumId w:val="30"/>
  </w:num>
  <w:num w:numId="38">
    <w:abstractNumId w:val="16"/>
  </w:num>
  <w:num w:numId="39">
    <w:abstractNumId w:val="29"/>
  </w:num>
  <w:num w:numId="40">
    <w:abstractNumId w:val="13"/>
  </w:num>
  <w:num w:numId="41">
    <w:abstractNumId w:val="33"/>
  </w:num>
  <w:num w:numId="42">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activeWritingStyle w:appName="MSWord" w:lang="en-GB" w:vendorID="64" w:dllVersion="6" w:nlCheck="1" w:checkStyle="0"/>
  <w:activeWritingStyle w:appName="MSWord" w:lang="en-CA" w:vendorID="64" w:dllVersion="6" w:nlCheck="1" w:checkStyle="0"/>
  <w:activeWritingStyle w:appName="MSWord" w:lang="en-US" w:vendorID="64" w:dllVersion="6" w:nlCheck="1" w:checkStyle="0"/>
  <w:activeWritingStyle w:appName="MSWord" w:lang="fr-BE" w:vendorID="64" w:dllVersion="6" w:nlCheck="1" w:checkStyle="0"/>
  <w:activeWritingStyle w:appName="MSWord" w:lang="en-CA"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A" w:vendorID="64" w:dllVersion="131078" w:nlCheck="1" w:checkStyle="0"/>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M0tTQyNTW0MDI1MzdS0lEKTi0uzszPAymwrAUAfWwA+CwAAAA="/>
  </w:docVars>
  <w:rsids>
    <w:rsidRoot w:val="00E433C6"/>
    <w:rsid w:val="00000962"/>
    <w:rsid w:val="00000FED"/>
    <w:rsid w:val="0000434E"/>
    <w:rsid w:val="00011CEF"/>
    <w:rsid w:val="00011E7D"/>
    <w:rsid w:val="0001234B"/>
    <w:rsid w:val="000211A9"/>
    <w:rsid w:val="00031260"/>
    <w:rsid w:val="0003681A"/>
    <w:rsid w:val="000372B7"/>
    <w:rsid w:val="00041D59"/>
    <w:rsid w:val="00050F6E"/>
    <w:rsid w:val="0005544A"/>
    <w:rsid w:val="00061EC2"/>
    <w:rsid w:val="00080ED0"/>
    <w:rsid w:val="00085B8F"/>
    <w:rsid w:val="00090481"/>
    <w:rsid w:val="000A3826"/>
    <w:rsid w:val="000A6C26"/>
    <w:rsid w:val="000C2080"/>
    <w:rsid w:val="000D52A4"/>
    <w:rsid w:val="000E07BC"/>
    <w:rsid w:val="000E5308"/>
    <w:rsid w:val="000F1CD4"/>
    <w:rsid w:val="000F4103"/>
    <w:rsid w:val="000F70A7"/>
    <w:rsid w:val="00113CCA"/>
    <w:rsid w:val="00122F25"/>
    <w:rsid w:val="00135980"/>
    <w:rsid w:val="00164719"/>
    <w:rsid w:val="00166FC4"/>
    <w:rsid w:val="001677AC"/>
    <w:rsid w:val="00177F04"/>
    <w:rsid w:val="001804EA"/>
    <w:rsid w:val="00190A61"/>
    <w:rsid w:val="001A21A4"/>
    <w:rsid w:val="001A3342"/>
    <w:rsid w:val="001A3E3D"/>
    <w:rsid w:val="001A7049"/>
    <w:rsid w:val="001B1E40"/>
    <w:rsid w:val="001C764E"/>
    <w:rsid w:val="001E1052"/>
    <w:rsid w:val="001E204E"/>
    <w:rsid w:val="001E21B1"/>
    <w:rsid w:val="001E2F93"/>
    <w:rsid w:val="001E44EC"/>
    <w:rsid w:val="001E4554"/>
    <w:rsid w:val="001E61E5"/>
    <w:rsid w:val="001F1E16"/>
    <w:rsid w:val="001F2159"/>
    <w:rsid w:val="00204D76"/>
    <w:rsid w:val="00210B8B"/>
    <w:rsid w:val="00214863"/>
    <w:rsid w:val="002156B4"/>
    <w:rsid w:val="00225FDB"/>
    <w:rsid w:val="002418CF"/>
    <w:rsid w:val="00253222"/>
    <w:rsid w:val="00254862"/>
    <w:rsid w:val="00262847"/>
    <w:rsid w:val="00266A79"/>
    <w:rsid w:val="002705E7"/>
    <w:rsid w:val="00281BB2"/>
    <w:rsid w:val="00283448"/>
    <w:rsid w:val="002867A7"/>
    <w:rsid w:val="00290934"/>
    <w:rsid w:val="002B254E"/>
    <w:rsid w:val="002B72E9"/>
    <w:rsid w:val="002C7998"/>
    <w:rsid w:val="002E05AD"/>
    <w:rsid w:val="002E28D2"/>
    <w:rsid w:val="002E3704"/>
    <w:rsid w:val="002E781A"/>
    <w:rsid w:val="002F1E53"/>
    <w:rsid w:val="002F2CAA"/>
    <w:rsid w:val="002F3C97"/>
    <w:rsid w:val="0030052C"/>
    <w:rsid w:val="00307B0A"/>
    <w:rsid w:val="00311ABF"/>
    <w:rsid w:val="00314956"/>
    <w:rsid w:val="003171CE"/>
    <w:rsid w:val="003306E1"/>
    <w:rsid w:val="003320E4"/>
    <w:rsid w:val="0033525D"/>
    <w:rsid w:val="00336B3A"/>
    <w:rsid w:val="00337283"/>
    <w:rsid w:val="003414F3"/>
    <w:rsid w:val="00347577"/>
    <w:rsid w:val="00351874"/>
    <w:rsid w:val="0035294F"/>
    <w:rsid w:val="0035613E"/>
    <w:rsid w:val="003578D1"/>
    <w:rsid w:val="00363EE9"/>
    <w:rsid w:val="0036570A"/>
    <w:rsid w:val="00376128"/>
    <w:rsid w:val="003762DD"/>
    <w:rsid w:val="0037742E"/>
    <w:rsid w:val="00377D56"/>
    <w:rsid w:val="00381851"/>
    <w:rsid w:val="0038245A"/>
    <w:rsid w:val="00383733"/>
    <w:rsid w:val="003840E6"/>
    <w:rsid w:val="00385CFC"/>
    <w:rsid w:val="0039337A"/>
    <w:rsid w:val="003A3189"/>
    <w:rsid w:val="003A3CA7"/>
    <w:rsid w:val="003B270B"/>
    <w:rsid w:val="003B33BD"/>
    <w:rsid w:val="003B569D"/>
    <w:rsid w:val="003C3C0E"/>
    <w:rsid w:val="003C7A29"/>
    <w:rsid w:val="003D166D"/>
    <w:rsid w:val="003D37E7"/>
    <w:rsid w:val="003D42A6"/>
    <w:rsid w:val="003D4F21"/>
    <w:rsid w:val="003D4FAC"/>
    <w:rsid w:val="003E4EE0"/>
    <w:rsid w:val="003E7906"/>
    <w:rsid w:val="003F02B2"/>
    <w:rsid w:val="003F1975"/>
    <w:rsid w:val="003F3C50"/>
    <w:rsid w:val="00401154"/>
    <w:rsid w:val="00404CB0"/>
    <w:rsid w:val="00406A6A"/>
    <w:rsid w:val="00406B22"/>
    <w:rsid w:val="00424963"/>
    <w:rsid w:val="004328A7"/>
    <w:rsid w:val="00433F18"/>
    <w:rsid w:val="00434C74"/>
    <w:rsid w:val="0044192B"/>
    <w:rsid w:val="0044658E"/>
    <w:rsid w:val="00450AB1"/>
    <w:rsid w:val="00453302"/>
    <w:rsid w:val="00453473"/>
    <w:rsid w:val="00456EB4"/>
    <w:rsid w:val="00457658"/>
    <w:rsid w:val="0046002D"/>
    <w:rsid w:val="0046234E"/>
    <w:rsid w:val="004718F3"/>
    <w:rsid w:val="00472290"/>
    <w:rsid w:val="00475040"/>
    <w:rsid w:val="004767C9"/>
    <w:rsid w:val="00477BE6"/>
    <w:rsid w:val="00493D40"/>
    <w:rsid w:val="004967B6"/>
    <w:rsid w:val="004A0B35"/>
    <w:rsid w:val="004A504B"/>
    <w:rsid w:val="004A6911"/>
    <w:rsid w:val="004B4FCB"/>
    <w:rsid w:val="004B54E0"/>
    <w:rsid w:val="004B7384"/>
    <w:rsid w:val="004C3113"/>
    <w:rsid w:val="004C4269"/>
    <w:rsid w:val="004C43AE"/>
    <w:rsid w:val="004D4052"/>
    <w:rsid w:val="004D6236"/>
    <w:rsid w:val="004D7F90"/>
    <w:rsid w:val="004E4DBB"/>
    <w:rsid w:val="004E4E41"/>
    <w:rsid w:val="004E7F9C"/>
    <w:rsid w:val="004F3493"/>
    <w:rsid w:val="004F5143"/>
    <w:rsid w:val="00504F7B"/>
    <w:rsid w:val="00505266"/>
    <w:rsid w:val="00512B09"/>
    <w:rsid w:val="005241E1"/>
    <w:rsid w:val="00533796"/>
    <w:rsid w:val="005344A9"/>
    <w:rsid w:val="00537343"/>
    <w:rsid w:val="00555D75"/>
    <w:rsid w:val="00557FB9"/>
    <w:rsid w:val="00560DF0"/>
    <w:rsid w:val="00560F9C"/>
    <w:rsid w:val="0056759C"/>
    <w:rsid w:val="00583AA2"/>
    <w:rsid w:val="0059513E"/>
    <w:rsid w:val="005A6D9F"/>
    <w:rsid w:val="005A7448"/>
    <w:rsid w:val="005B48FF"/>
    <w:rsid w:val="005C31A4"/>
    <w:rsid w:val="005C3D8D"/>
    <w:rsid w:val="005C4FBC"/>
    <w:rsid w:val="005C7166"/>
    <w:rsid w:val="005D363F"/>
    <w:rsid w:val="005D4617"/>
    <w:rsid w:val="005D4765"/>
    <w:rsid w:val="005D551C"/>
    <w:rsid w:val="005E3446"/>
    <w:rsid w:val="00604C15"/>
    <w:rsid w:val="006137DD"/>
    <w:rsid w:val="006158D5"/>
    <w:rsid w:val="00625D83"/>
    <w:rsid w:val="006623E7"/>
    <w:rsid w:val="00662B80"/>
    <w:rsid w:val="006633D8"/>
    <w:rsid w:val="00670F6C"/>
    <w:rsid w:val="006852C7"/>
    <w:rsid w:val="006852CE"/>
    <w:rsid w:val="00691C2A"/>
    <w:rsid w:val="00696E35"/>
    <w:rsid w:val="006C1727"/>
    <w:rsid w:val="006C32FD"/>
    <w:rsid w:val="006C39CE"/>
    <w:rsid w:val="006D0FCC"/>
    <w:rsid w:val="006D172A"/>
    <w:rsid w:val="006D21F5"/>
    <w:rsid w:val="006E1FC3"/>
    <w:rsid w:val="00704CE9"/>
    <w:rsid w:val="0070616B"/>
    <w:rsid w:val="00706295"/>
    <w:rsid w:val="00706FDA"/>
    <w:rsid w:val="00711F9A"/>
    <w:rsid w:val="00713810"/>
    <w:rsid w:val="007303A5"/>
    <w:rsid w:val="00730B3E"/>
    <w:rsid w:val="00730D10"/>
    <w:rsid w:val="0073420B"/>
    <w:rsid w:val="0074760E"/>
    <w:rsid w:val="00754ABA"/>
    <w:rsid w:val="007621F0"/>
    <w:rsid w:val="007657A0"/>
    <w:rsid w:val="0077338F"/>
    <w:rsid w:val="00777562"/>
    <w:rsid w:val="0079306D"/>
    <w:rsid w:val="00795172"/>
    <w:rsid w:val="007A1546"/>
    <w:rsid w:val="007A228C"/>
    <w:rsid w:val="007A368E"/>
    <w:rsid w:val="007A441E"/>
    <w:rsid w:val="007A5868"/>
    <w:rsid w:val="007B04CE"/>
    <w:rsid w:val="007B6871"/>
    <w:rsid w:val="007B7879"/>
    <w:rsid w:val="007B7A2F"/>
    <w:rsid w:val="007B7C04"/>
    <w:rsid w:val="007C3D33"/>
    <w:rsid w:val="007D294A"/>
    <w:rsid w:val="007D47D2"/>
    <w:rsid w:val="007D6EC0"/>
    <w:rsid w:val="007D7E1D"/>
    <w:rsid w:val="007F250E"/>
    <w:rsid w:val="00814BF1"/>
    <w:rsid w:val="00820D55"/>
    <w:rsid w:val="00831979"/>
    <w:rsid w:val="0083684A"/>
    <w:rsid w:val="00844207"/>
    <w:rsid w:val="00846904"/>
    <w:rsid w:val="00851352"/>
    <w:rsid w:val="00854FD8"/>
    <w:rsid w:val="00857077"/>
    <w:rsid w:val="00863230"/>
    <w:rsid w:val="00865BD0"/>
    <w:rsid w:val="008677F2"/>
    <w:rsid w:val="008717D8"/>
    <w:rsid w:val="0087215C"/>
    <w:rsid w:val="00875D25"/>
    <w:rsid w:val="00880E35"/>
    <w:rsid w:val="008875F6"/>
    <w:rsid w:val="008875FE"/>
    <w:rsid w:val="00887F8E"/>
    <w:rsid w:val="00891C78"/>
    <w:rsid w:val="00896234"/>
    <w:rsid w:val="00897E43"/>
    <w:rsid w:val="008A760B"/>
    <w:rsid w:val="008C5738"/>
    <w:rsid w:val="008C7EAD"/>
    <w:rsid w:val="008D0CFE"/>
    <w:rsid w:val="008D133B"/>
    <w:rsid w:val="008D6152"/>
    <w:rsid w:val="008E76F8"/>
    <w:rsid w:val="008F0F81"/>
    <w:rsid w:val="008F27BF"/>
    <w:rsid w:val="008F4508"/>
    <w:rsid w:val="008F782C"/>
    <w:rsid w:val="00901F84"/>
    <w:rsid w:val="009142EC"/>
    <w:rsid w:val="009154C3"/>
    <w:rsid w:val="00923540"/>
    <w:rsid w:val="00926767"/>
    <w:rsid w:val="0093378F"/>
    <w:rsid w:val="009361D5"/>
    <w:rsid w:val="00940E24"/>
    <w:rsid w:val="009428A4"/>
    <w:rsid w:val="009575EE"/>
    <w:rsid w:val="009659F4"/>
    <w:rsid w:val="00970D60"/>
    <w:rsid w:val="009710A7"/>
    <w:rsid w:val="00980279"/>
    <w:rsid w:val="00981F23"/>
    <w:rsid w:val="00984A9E"/>
    <w:rsid w:val="0099390E"/>
    <w:rsid w:val="009960E5"/>
    <w:rsid w:val="009A21B2"/>
    <w:rsid w:val="009A48C3"/>
    <w:rsid w:val="009A7ADC"/>
    <w:rsid w:val="009B0073"/>
    <w:rsid w:val="009C19B7"/>
    <w:rsid w:val="009C268B"/>
    <w:rsid w:val="009C5ABB"/>
    <w:rsid w:val="009D7C51"/>
    <w:rsid w:val="009E196C"/>
    <w:rsid w:val="009F36BF"/>
    <w:rsid w:val="00A0420B"/>
    <w:rsid w:val="00A111B6"/>
    <w:rsid w:val="00A1149F"/>
    <w:rsid w:val="00A13EC7"/>
    <w:rsid w:val="00A26D27"/>
    <w:rsid w:val="00A376EE"/>
    <w:rsid w:val="00A4078F"/>
    <w:rsid w:val="00A42A99"/>
    <w:rsid w:val="00A44A41"/>
    <w:rsid w:val="00A44F32"/>
    <w:rsid w:val="00A45958"/>
    <w:rsid w:val="00A5151A"/>
    <w:rsid w:val="00A54E19"/>
    <w:rsid w:val="00A57E0A"/>
    <w:rsid w:val="00A62F6E"/>
    <w:rsid w:val="00A73F29"/>
    <w:rsid w:val="00A823F6"/>
    <w:rsid w:val="00A8719E"/>
    <w:rsid w:val="00A87487"/>
    <w:rsid w:val="00AA0A89"/>
    <w:rsid w:val="00AA6429"/>
    <w:rsid w:val="00AB6E77"/>
    <w:rsid w:val="00AB73CF"/>
    <w:rsid w:val="00AC01AA"/>
    <w:rsid w:val="00AC4F72"/>
    <w:rsid w:val="00AC5A3D"/>
    <w:rsid w:val="00AC5C03"/>
    <w:rsid w:val="00AF3CB9"/>
    <w:rsid w:val="00AF741A"/>
    <w:rsid w:val="00AF778B"/>
    <w:rsid w:val="00B01ADB"/>
    <w:rsid w:val="00B04161"/>
    <w:rsid w:val="00B056F9"/>
    <w:rsid w:val="00B060DB"/>
    <w:rsid w:val="00B11E3D"/>
    <w:rsid w:val="00B17E82"/>
    <w:rsid w:val="00B26DEB"/>
    <w:rsid w:val="00B4575A"/>
    <w:rsid w:val="00B45F80"/>
    <w:rsid w:val="00B5203A"/>
    <w:rsid w:val="00B559DF"/>
    <w:rsid w:val="00B575BA"/>
    <w:rsid w:val="00B57E53"/>
    <w:rsid w:val="00B71608"/>
    <w:rsid w:val="00B76429"/>
    <w:rsid w:val="00B90132"/>
    <w:rsid w:val="00B956D4"/>
    <w:rsid w:val="00B97446"/>
    <w:rsid w:val="00BA7432"/>
    <w:rsid w:val="00BB2764"/>
    <w:rsid w:val="00BC1AA0"/>
    <w:rsid w:val="00BC2495"/>
    <w:rsid w:val="00BC771F"/>
    <w:rsid w:val="00BC7EB9"/>
    <w:rsid w:val="00BD2643"/>
    <w:rsid w:val="00BD56B1"/>
    <w:rsid w:val="00BD6558"/>
    <w:rsid w:val="00BD7084"/>
    <w:rsid w:val="00BF2F76"/>
    <w:rsid w:val="00BF3022"/>
    <w:rsid w:val="00BF3214"/>
    <w:rsid w:val="00BF5573"/>
    <w:rsid w:val="00BF5E48"/>
    <w:rsid w:val="00C07EC1"/>
    <w:rsid w:val="00C11F7B"/>
    <w:rsid w:val="00C15867"/>
    <w:rsid w:val="00C200AB"/>
    <w:rsid w:val="00C2296D"/>
    <w:rsid w:val="00C23155"/>
    <w:rsid w:val="00C32454"/>
    <w:rsid w:val="00C40040"/>
    <w:rsid w:val="00C40C41"/>
    <w:rsid w:val="00C42919"/>
    <w:rsid w:val="00C45885"/>
    <w:rsid w:val="00C45FC7"/>
    <w:rsid w:val="00C50F22"/>
    <w:rsid w:val="00C52326"/>
    <w:rsid w:val="00C52D02"/>
    <w:rsid w:val="00C533DF"/>
    <w:rsid w:val="00C57971"/>
    <w:rsid w:val="00C60BCD"/>
    <w:rsid w:val="00C63A5F"/>
    <w:rsid w:val="00C65A2D"/>
    <w:rsid w:val="00C65BD7"/>
    <w:rsid w:val="00C66AFD"/>
    <w:rsid w:val="00C70358"/>
    <w:rsid w:val="00C76BA4"/>
    <w:rsid w:val="00C83A48"/>
    <w:rsid w:val="00C85865"/>
    <w:rsid w:val="00C85E85"/>
    <w:rsid w:val="00C9629A"/>
    <w:rsid w:val="00CA2EAE"/>
    <w:rsid w:val="00CA4AC1"/>
    <w:rsid w:val="00CB0316"/>
    <w:rsid w:val="00CB0B11"/>
    <w:rsid w:val="00CB147A"/>
    <w:rsid w:val="00CB426A"/>
    <w:rsid w:val="00CB5354"/>
    <w:rsid w:val="00CC3C9E"/>
    <w:rsid w:val="00CC6A14"/>
    <w:rsid w:val="00CC70A3"/>
    <w:rsid w:val="00CD1A0E"/>
    <w:rsid w:val="00CD230E"/>
    <w:rsid w:val="00CD4442"/>
    <w:rsid w:val="00CD53C3"/>
    <w:rsid w:val="00CD574E"/>
    <w:rsid w:val="00CE4C22"/>
    <w:rsid w:val="00CF39F3"/>
    <w:rsid w:val="00CF41EC"/>
    <w:rsid w:val="00CF5D04"/>
    <w:rsid w:val="00D03561"/>
    <w:rsid w:val="00D04DE4"/>
    <w:rsid w:val="00D05F2E"/>
    <w:rsid w:val="00D063F1"/>
    <w:rsid w:val="00D14F22"/>
    <w:rsid w:val="00D16D45"/>
    <w:rsid w:val="00D4741C"/>
    <w:rsid w:val="00D51EED"/>
    <w:rsid w:val="00D52ACC"/>
    <w:rsid w:val="00D554E8"/>
    <w:rsid w:val="00D57918"/>
    <w:rsid w:val="00D57E88"/>
    <w:rsid w:val="00D73DC6"/>
    <w:rsid w:val="00D74C1A"/>
    <w:rsid w:val="00D754C1"/>
    <w:rsid w:val="00D77393"/>
    <w:rsid w:val="00D77A35"/>
    <w:rsid w:val="00D81B3E"/>
    <w:rsid w:val="00D858F1"/>
    <w:rsid w:val="00D90C70"/>
    <w:rsid w:val="00D90E49"/>
    <w:rsid w:val="00D96ADE"/>
    <w:rsid w:val="00DA0CE2"/>
    <w:rsid w:val="00DA1773"/>
    <w:rsid w:val="00DA1CFC"/>
    <w:rsid w:val="00DB24AC"/>
    <w:rsid w:val="00DC2DC9"/>
    <w:rsid w:val="00DC6A10"/>
    <w:rsid w:val="00DC7360"/>
    <w:rsid w:val="00DD1EFD"/>
    <w:rsid w:val="00DE055B"/>
    <w:rsid w:val="00DE657E"/>
    <w:rsid w:val="00DE7735"/>
    <w:rsid w:val="00DF4704"/>
    <w:rsid w:val="00E00AAB"/>
    <w:rsid w:val="00E024AA"/>
    <w:rsid w:val="00E118E0"/>
    <w:rsid w:val="00E15C77"/>
    <w:rsid w:val="00E250F1"/>
    <w:rsid w:val="00E33ABF"/>
    <w:rsid w:val="00E3550D"/>
    <w:rsid w:val="00E42028"/>
    <w:rsid w:val="00E433C6"/>
    <w:rsid w:val="00E44C3F"/>
    <w:rsid w:val="00E46D11"/>
    <w:rsid w:val="00E52838"/>
    <w:rsid w:val="00E614E0"/>
    <w:rsid w:val="00E7213C"/>
    <w:rsid w:val="00E73F7F"/>
    <w:rsid w:val="00E83F6B"/>
    <w:rsid w:val="00E85409"/>
    <w:rsid w:val="00EA429F"/>
    <w:rsid w:val="00EA4F27"/>
    <w:rsid w:val="00EA4F9E"/>
    <w:rsid w:val="00EA63CA"/>
    <w:rsid w:val="00EA6D3B"/>
    <w:rsid w:val="00EB00AD"/>
    <w:rsid w:val="00EB136C"/>
    <w:rsid w:val="00EB480E"/>
    <w:rsid w:val="00EB5EC6"/>
    <w:rsid w:val="00EB7FC9"/>
    <w:rsid w:val="00ED0491"/>
    <w:rsid w:val="00ED06DE"/>
    <w:rsid w:val="00ED27E8"/>
    <w:rsid w:val="00ED563B"/>
    <w:rsid w:val="00ED5EBB"/>
    <w:rsid w:val="00ED7137"/>
    <w:rsid w:val="00EF06EA"/>
    <w:rsid w:val="00F02C4D"/>
    <w:rsid w:val="00F21088"/>
    <w:rsid w:val="00F327E7"/>
    <w:rsid w:val="00F35746"/>
    <w:rsid w:val="00F447C7"/>
    <w:rsid w:val="00F459B4"/>
    <w:rsid w:val="00F5211B"/>
    <w:rsid w:val="00F554A9"/>
    <w:rsid w:val="00F61014"/>
    <w:rsid w:val="00F6252F"/>
    <w:rsid w:val="00F64B95"/>
    <w:rsid w:val="00F64F85"/>
    <w:rsid w:val="00F65F76"/>
    <w:rsid w:val="00F70D56"/>
    <w:rsid w:val="00F716FD"/>
    <w:rsid w:val="00F80355"/>
    <w:rsid w:val="00F87C43"/>
    <w:rsid w:val="00FB0C81"/>
    <w:rsid w:val="00FB6FA2"/>
    <w:rsid w:val="00FC0B92"/>
    <w:rsid w:val="00FC2200"/>
    <w:rsid w:val="00FC2540"/>
    <w:rsid w:val="00FC4D8B"/>
    <w:rsid w:val="00FD51D0"/>
    <w:rsid w:val="00FE0301"/>
    <w:rsid w:val="00FE4EC9"/>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CF963"/>
  <w15:docId w15:val="{36158705-E502-43FB-A6BB-E5E600AF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Heading 3 Char1,Heading 3 Char Char,Char Char Char,Char Char1,Heading 3 Char1 Char,Heading 3 Char Char Char,Char Char Char Char,Char Char1 Char,Heading 3 Char2,Char Char2,Char Char Char1,Heading 3 Char Char1,Heading 3 Char Char1 Char"/>
    <w:basedOn w:val="Normal"/>
    <w:next w:val="Normal"/>
    <w:link w:val="Heading3Char"/>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uiPriority w:val="99"/>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uiPriority w:val="99"/>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E433C6"/>
    <w:rPr>
      <w:sz w:val="22"/>
      <w:szCs w:val="22"/>
      <w:lang w:val="en-GB"/>
    </w:rPr>
  </w:style>
  <w:style w:type="character" w:customStyle="1" w:styleId="Heading3Char">
    <w:name w:val="Heading 3 Char"/>
    <w:aliases w:val="Char Char,Heading 3 Char1 Char1,Heading 3 Char Char Char1,Char Char Char Char1,Char Char1 Char1,Heading 3 Char1 Char Char,Heading 3 Char Char Char Char,Char Char Char Char Char,Char Char1 Char Char,Heading 3 Char2 Char,Char Char2 Char"/>
    <w:basedOn w:val="DefaultParagraphFont"/>
    <w:link w:val="Heading3"/>
    <w:rsid w:val="00E433C6"/>
    <w:rPr>
      <w:sz w:val="22"/>
      <w:szCs w:val="22"/>
      <w:lang w:val="en-GB"/>
    </w:rPr>
  </w:style>
  <w:style w:type="character" w:customStyle="1" w:styleId="HeaderChar">
    <w:name w:val="Header Char"/>
    <w:basedOn w:val="DefaultParagraphFont"/>
    <w:link w:val="Header"/>
    <w:uiPriority w:val="99"/>
    <w:rsid w:val="00E433C6"/>
    <w:rPr>
      <w:sz w:val="22"/>
      <w:szCs w:val="22"/>
      <w:lang w:val="en-GB"/>
    </w:rPr>
  </w:style>
  <w:style w:type="character" w:customStyle="1" w:styleId="FooterChar">
    <w:name w:val="Footer Char"/>
    <w:basedOn w:val="DefaultParagraphFont"/>
    <w:link w:val="Footer"/>
    <w:uiPriority w:val="99"/>
    <w:rsid w:val="00E433C6"/>
    <w:rPr>
      <w:sz w:val="22"/>
      <w:szCs w:val="22"/>
      <w:lang w:val="en-GB"/>
    </w:rPr>
  </w:style>
  <w:style w:type="paragraph" w:customStyle="1" w:styleId="a--">
    <w:name w:val="a-(-)"/>
    <w:basedOn w:val="Normal"/>
    <w:rsid w:val="00E433C6"/>
    <w:pPr>
      <w:tabs>
        <w:tab w:val="left" w:pos="-720"/>
        <w:tab w:val="left" w:pos="0"/>
        <w:tab w:val="left" w:pos="720"/>
        <w:tab w:val="left" w:pos="1440"/>
        <w:tab w:val="left" w:pos="2160"/>
        <w:tab w:val="left" w:pos="2880"/>
        <w:tab w:val="left" w:pos="3600"/>
      </w:tabs>
      <w:suppressAutoHyphens/>
    </w:pPr>
    <w:rPr>
      <w:b/>
      <w:bCs/>
      <w:sz w:val="24"/>
      <w:szCs w:val="24"/>
      <w:lang w:eastAsia="fr-FR"/>
    </w:rPr>
  </w:style>
  <w:style w:type="character" w:styleId="FootnoteReference">
    <w:name w:val="footnote reference"/>
    <w:aliases w:val="16 Point,Superscript 6 Point,Footnote text,Footnote Text1,Footnote Text2"/>
    <w:uiPriority w:val="99"/>
    <w:rsid w:val="00E433C6"/>
    <w:rPr>
      <w:rFonts w:ascii="Times New Roman" w:hAnsi="Times New Roman" w:cs="Times New Roman"/>
      <w:position w:val="0"/>
      <w:sz w:val="24"/>
      <w:szCs w:val="24"/>
      <w:vertAlign w:val="superscript"/>
    </w:rPr>
  </w:style>
  <w:style w:type="paragraph" w:styleId="FootnoteText">
    <w:name w:val="footnote text"/>
    <w:aliases w:val="Char1,Char1 Char Char, Char1, Char1 Char Char,Fußnotentextf"/>
    <w:basedOn w:val="Normal"/>
    <w:link w:val="FootnoteTextChar"/>
    <w:uiPriority w:val="99"/>
    <w:qFormat/>
    <w:rsid w:val="00E433C6"/>
    <w:pPr>
      <w:spacing w:after="120"/>
      <w:ind w:left="432" w:hanging="432"/>
      <w:jc w:val="left"/>
    </w:pPr>
    <w:rPr>
      <w:sz w:val="20"/>
      <w:szCs w:val="20"/>
      <w:lang w:val="en-US" w:eastAsia="fr-FR"/>
    </w:rPr>
  </w:style>
  <w:style w:type="character" w:customStyle="1" w:styleId="FootnoteTextChar">
    <w:name w:val="Footnote Text Char"/>
    <w:aliases w:val="Char1 Char,Char1 Char Char Char, Char1 Char, Char1 Char Char Char,Fußnotentextf Char"/>
    <w:basedOn w:val="DefaultParagraphFont"/>
    <w:link w:val="FootnoteText"/>
    <w:uiPriority w:val="99"/>
    <w:rsid w:val="00E433C6"/>
    <w:rPr>
      <w:lang w:eastAsia="fr-FR"/>
    </w:rPr>
  </w:style>
  <w:style w:type="paragraph" w:styleId="BodyText">
    <w:name w:val="Body Text"/>
    <w:basedOn w:val="Normal"/>
    <w:link w:val="BodyTextChar"/>
    <w:rsid w:val="00E433C6"/>
    <w:rPr>
      <w:sz w:val="23"/>
      <w:szCs w:val="23"/>
      <w:lang w:val="en-US"/>
    </w:rPr>
  </w:style>
  <w:style w:type="character" w:customStyle="1" w:styleId="BodyTextChar">
    <w:name w:val="Body Text Char"/>
    <w:basedOn w:val="DefaultParagraphFont"/>
    <w:link w:val="BodyText"/>
    <w:rsid w:val="00E433C6"/>
    <w:rPr>
      <w:sz w:val="23"/>
      <w:szCs w:val="23"/>
    </w:rPr>
  </w:style>
  <w:style w:type="paragraph" w:customStyle="1" w:styleId="BankNormal">
    <w:name w:val="BankNormal"/>
    <w:basedOn w:val="Normal"/>
    <w:rsid w:val="00E433C6"/>
    <w:pPr>
      <w:spacing w:after="240"/>
      <w:jc w:val="left"/>
    </w:pPr>
    <w:rPr>
      <w:sz w:val="24"/>
      <w:szCs w:val="20"/>
      <w:lang w:val="en-US"/>
    </w:rPr>
  </w:style>
  <w:style w:type="paragraph" w:customStyle="1" w:styleId="ChapterNumber">
    <w:name w:val="ChapterNumber"/>
    <w:basedOn w:val="Normal"/>
    <w:next w:val="Normal"/>
    <w:rsid w:val="00E433C6"/>
    <w:pPr>
      <w:spacing w:after="360"/>
      <w:jc w:val="left"/>
    </w:pPr>
    <w:rPr>
      <w:sz w:val="24"/>
      <w:szCs w:val="20"/>
      <w:lang w:val="en-US"/>
    </w:rPr>
  </w:style>
  <w:style w:type="paragraph" w:styleId="NormalIndent">
    <w:name w:val="Normal Indent"/>
    <w:basedOn w:val="Normal"/>
    <w:rsid w:val="00E433C6"/>
    <w:pPr>
      <w:ind w:left="720"/>
      <w:jc w:val="left"/>
    </w:pPr>
    <w:rPr>
      <w:sz w:val="24"/>
      <w:szCs w:val="20"/>
      <w:lang w:val="en-US"/>
    </w:rPr>
  </w:style>
  <w:style w:type="paragraph" w:customStyle="1" w:styleId="TextBox">
    <w:name w:val="Text Box"/>
    <w:basedOn w:val="Normal"/>
    <w:rsid w:val="00E433C6"/>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pPr>
    <w:rPr>
      <w:szCs w:val="20"/>
      <w:lang w:val="en-US"/>
    </w:rPr>
  </w:style>
  <w:style w:type="paragraph" w:customStyle="1" w:styleId="TextBoxdots">
    <w:name w:val="Text Box (dots)"/>
    <w:basedOn w:val="Normal"/>
    <w:rsid w:val="00E433C6"/>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Cs w:val="20"/>
      <w:lang w:val="en-US"/>
    </w:rPr>
  </w:style>
  <w:style w:type="paragraph" w:customStyle="1" w:styleId="TextBoxFramed">
    <w:name w:val="Text Box Framed"/>
    <w:basedOn w:val="Normal"/>
    <w:rsid w:val="00E433C6"/>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left"/>
    </w:pPr>
    <w:rPr>
      <w:szCs w:val="20"/>
      <w:lang w:val="en-US"/>
    </w:rPr>
  </w:style>
  <w:style w:type="paragraph" w:customStyle="1" w:styleId="TextBoxUnframed">
    <w:name w:val="Text Box Unframed"/>
    <w:basedOn w:val="Normal"/>
    <w:rsid w:val="00E433C6"/>
    <w:pPr>
      <w:keepLines/>
      <w:pBdr>
        <w:top w:val="single" w:sz="6" w:space="7" w:color="auto" w:shadow="1"/>
        <w:left w:val="single" w:sz="6" w:space="7" w:color="auto" w:shadow="1"/>
        <w:bottom w:val="single" w:sz="6" w:space="7" w:color="auto" w:shadow="1"/>
        <w:right w:val="single" w:sz="6" w:space="7" w:color="auto" w:shadow="1"/>
      </w:pBdr>
      <w:shd w:val="pct10" w:color="auto" w:fill="auto"/>
      <w:jc w:val="left"/>
    </w:pPr>
    <w:rPr>
      <w:szCs w:val="20"/>
      <w:lang w:val="en-US"/>
    </w:rPr>
  </w:style>
  <w:style w:type="paragraph" w:styleId="TOC1">
    <w:name w:val="toc 1"/>
    <w:basedOn w:val="Normal"/>
    <w:next w:val="Normal"/>
    <w:uiPriority w:val="39"/>
    <w:rsid w:val="00E433C6"/>
    <w:pPr>
      <w:tabs>
        <w:tab w:val="right" w:leader="dot" w:pos="9360"/>
      </w:tabs>
      <w:spacing w:before="240" w:after="120"/>
      <w:ind w:left="720" w:hanging="720"/>
      <w:contextualSpacing/>
      <w:jc w:val="left"/>
    </w:pPr>
    <w:rPr>
      <w:caps/>
      <w:sz w:val="24"/>
      <w:szCs w:val="20"/>
      <w:lang w:val="en-US"/>
    </w:rPr>
  </w:style>
  <w:style w:type="paragraph" w:styleId="TOC2">
    <w:name w:val="toc 2"/>
    <w:basedOn w:val="Normal"/>
    <w:next w:val="Normal"/>
    <w:uiPriority w:val="39"/>
    <w:rsid w:val="00E433C6"/>
    <w:pPr>
      <w:tabs>
        <w:tab w:val="right" w:leader="dot" w:pos="9360"/>
      </w:tabs>
      <w:ind w:left="1008" w:hanging="288"/>
      <w:jc w:val="left"/>
    </w:pPr>
    <w:rPr>
      <w:sz w:val="24"/>
      <w:szCs w:val="20"/>
      <w:lang w:val="en-US"/>
    </w:rPr>
  </w:style>
  <w:style w:type="paragraph" w:styleId="TOC3">
    <w:name w:val="toc 3"/>
    <w:basedOn w:val="Normal"/>
    <w:next w:val="Normal"/>
    <w:semiHidden/>
    <w:rsid w:val="00E433C6"/>
    <w:pPr>
      <w:tabs>
        <w:tab w:val="right" w:leader="dot" w:pos="10152"/>
      </w:tabs>
      <w:ind w:left="1440"/>
      <w:jc w:val="left"/>
    </w:pPr>
    <w:rPr>
      <w:sz w:val="24"/>
      <w:szCs w:val="20"/>
      <w:lang w:val="en-US"/>
    </w:rPr>
  </w:style>
  <w:style w:type="paragraph" w:styleId="TOC4">
    <w:name w:val="toc 4"/>
    <w:basedOn w:val="Normal"/>
    <w:next w:val="Normal"/>
    <w:semiHidden/>
    <w:rsid w:val="00E433C6"/>
    <w:pPr>
      <w:tabs>
        <w:tab w:val="right" w:leader="dot" w:pos="10152"/>
      </w:tabs>
      <w:ind w:left="2160"/>
      <w:jc w:val="left"/>
    </w:pPr>
    <w:rPr>
      <w:sz w:val="24"/>
      <w:szCs w:val="20"/>
      <w:lang w:val="en-US"/>
    </w:rPr>
  </w:style>
  <w:style w:type="paragraph" w:styleId="TOC5">
    <w:name w:val="toc 5"/>
    <w:basedOn w:val="Normal"/>
    <w:next w:val="Normal"/>
    <w:semiHidden/>
    <w:rsid w:val="00E433C6"/>
    <w:pPr>
      <w:tabs>
        <w:tab w:val="right" w:leader="dot" w:pos="10152"/>
      </w:tabs>
      <w:ind w:left="2880"/>
      <w:jc w:val="left"/>
    </w:pPr>
    <w:rPr>
      <w:sz w:val="18"/>
      <w:szCs w:val="20"/>
      <w:lang w:val="en-US"/>
    </w:rPr>
  </w:style>
  <w:style w:type="paragraph" w:customStyle="1" w:styleId="Heading1a">
    <w:name w:val="Heading 1a"/>
    <w:basedOn w:val="Heading1"/>
    <w:next w:val="BankNormal"/>
    <w:rsid w:val="00E433C6"/>
    <w:pPr>
      <w:tabs>
        <w:tab w:val="clear" w:pos="0"/>
        <w:tab w:val="num" w:pos="648"/>
      </w:tabs>
      <w:spacing w:before="240"/>
      <w:ind w:firstLine="288"/>
      <w:jc w:val="center"/>
      <w:outlineLvl w:val="9"/>
    </w:pPr>
    <w:rPr>
      <w:rFonts w:ascii="Times New Roman Bold" w:hAnsi="Times New Roman Bold"/>
      <w:b/>
      <w:bCs/>
      <w:smallCaps/>
      <w:sz w:val="28"/>
      <w:szCs w:val="20"/>
      <w:lang w:val="en-US"/>
    </w:rPr>
  </w:style>
  <w:style w:type="paragraph" w:styleId="TOC6">
    <w:name w:val="toc 6"/>
    <w:basedOn w:val="Normal"/>
    <w:next w:val="Normal"/>
    <w:semiHidden/>
    <w:rsid w:val="00E433C6"/>
    <w:pPr>
      <w:tabs>
        <w:tab w:val="right" w:leader="dot" w:pos="10152"/>
      </w:tabs>
      <w:ind w:left="3600"/>
      <w:jc w:val="left"/>
    </w:pPr>
    <w:rPr>
      <w:sz w:val="18"/>
      <w:szCs w:val="20"/>
      <w:lang w:val="en-US"/>
    </w:rPr>
  </w:style>
  <w:style w:type="paragraph" w:styleId="TOC7">
    <w:name w:val="toc 7"/>
    <w:basedOn w:val="Normal"/>
    <w:next w:val="Normal"/>
    <w:semiHidden/>
    <w:rsid w:val="00E433C6"/>
    <w:pPr>
      <w:tabs>
        <w:tab w:val="right" w:leader="dot" w:pos="10152"/>
      </w:tabs>
      <w:ind w:left="1200"/>
      <w:jc w:val="left"/>
    </w:pPr>
    <w:rPr>
      <w:sz w:val="18"/>
      <w:szCs w:val="20"/>
      <w:lang w:val="en-US"/>
    </w:rPr>
  </w:style>
  <w:style w:type="paragraph" w:styleId="TOC8">
    <w:name w:val="toc 8"/>
    <w:basedOn w:val="Normal"/>
    <w:next w:val="Normal"/>
    <w:semiHidden/>
    <w:rsid w:val="00E433C6"/>
    <w:pPr>
      <w:tabs>
        <w:tab w:val="right" w:leader="dot" w:pos="10152"/>
      </w:tabs>
      <w:ind w:left="1440"/>
      <w:jc w:val="left"/>
    </w:pPr>
    <w:rPr>
      <w:sz w:val="18"/>
      <w:szCs w:val="20"/>
      <w:lang w:val="en-US"/>
    </w:rPr>
  </w:style>
  <w:style w:type="paragraph" w:styleId="TOC9">
    <w:name w:val="toc 9"/>
    <w:basedOn w:val="Normal"/>
    <w:next w:val="Normal"/>
    <w:semiHidden/>
    <w:rsid w:val="00E433C6"/>
    <w:pPr>
      <w:tabs>
        <w:tab w:val="right" w:leader="dot" w:pos="10152"/>
      </w:tabs>
      <w:ind w:left="1680"/>
      <w:jc w:val="left"/>
    </w:pPr>
    <w:rPr>
      <w:sz w:val="18"/>
      <w:szCs w:val="20"/>
      <w:lang w:val="en-US"/>
    </w:rPr>
  </w:style>
  <w:style w:type="paragraph" w:styleId="MacroText">
    <w:name w:val="macro"/>
    <w:link w:val="MacroTextChar"/>
    <w:semiHidden/>
    <w:rsid w:val="00E433C6"/>
    <w:pPr>
      <w:tabs>
        <w:tab w:val="left" w:pos="480"/>
        <w:tab w:val="left" w:pos="960"/>
        <w:tab w:val="left" w:pos="1440"/>
        <w:tab w:val="left" w:pos="1920"/>
        <w:tab w:val="left" w:pos="2400"/>
        <w:tab w:val="left" w:pos="2880"/>
        <w:tab w:val="left" w:pos="3360"/>
        <w:tab w:val="left" w:pos="3840"/>
        <w:tab w:val="left" w:pos="4320"/>
      </w:tabs>
    </w:pPr>
    <w:rPr>
      <w:sz w:val="24"/>
    </w:rPr>
  </w:style>
  <w:style w:type="character" w:customStyle="1" w:styleId="MacroTextChar">
    <w:name w:val="Macro Text Char"/>
    <w:basedOn w:val="DefaultParagraphFont"/>
    <w:link w:val="MacroText"/>
    <w:semiHidden/>
    <w:rsid w:val="00E433C6"/>
    <w:rPr>
      <w:sz w:val="24"/>
    </w:rPr>
  </w:style>
  <w:style w:type="paragraph" w:customStyle="1" w:styleId="h">
    <w:name w:val="h"/>
    <w:basedOn w:val="Normal"/>
    <w:rsid w:val="00E433C6"/>
    <w:pPr>
      <w:jc w:val="left"/>
    </w:pPr>
    <w:rPr>
      <w:b/>
      <w:sz w:val="24"/>
      <w:szCs w:val="20"/>
      <w:lang w:val="en-US"/>
    </w:rPr>
  </w:style>
  <w:style w:type="paragraph" w:customStyle="1" w:styleId="Heading1L">
    <w:name w:val="Heading 1L"/>
    <w:basedOn w:val="Normal"/>
    <w:rsid w:val="00E433C6"/>
    <w:pPr>
      <w:jc w:val="left"/>
    </w:pPr>
    <w:rPr>
      <w:b/>
      <w:sz w:val="24"/>
      <w:szCs w:val="20"/>
      <w:lang w:val="en-US"/>
    </w:rPr>
  </w:style>
  <w:style w:type="character" w:styleId="PageNumber">
    <w:name w:val="page number"/>
    <w:basedOn w:val="DefaultParagraphFont"/>
    <w:rsid w:val="00E433C6"/>
  </w:style>
  <w:style w:type="paragraph" w:customStyle="1" w:styleId="xl24">
    <w:name w:val="xl24"/>
    <w:basedOn w:val="Normal"/>
    <w:rsid w:val="00E433C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n-US"/>
    </w:rPr>
  </w:style>
  <w:style w:type="paragraph" w:customStyle="1" w:styleId="xl25">
    <w:name w:val="xl25"/>
    <w:basedOn w:val="Normal"/>
    <w:rsid w:val="00E433C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b/>
      <w:bCs/>
      <w:sz w:val="24"/>
      <w:szCs w:val="24"/>
      <w:lang w:val="en-US"/>
    </w:rPr>
  </w:style>
  <w:style w:type="paragraph" w:customStyle="1" w:styleId="xl26">
    <w:name w:val="xl26"/>
    <w:basedOn w:val="Normal"/>
    <w:rsid w:val="00E433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4"/>
      <w:szCs w:val="24"/>
      <w:lang w:val="en-US"/>
    </w:rPr>
  </w:style>
  <w:style w:type="paragraph" w:customStyle="1" w:styleId="xl27">
    <w:name w:val="xl27"/>
    <w:basedOn w:val="Normal"/>
    <w:rsid w:val="00E433C6"/>
    <w:pPr>
      <w:spacing w:before="100" w:beforeAutospacing="1" w:after="100" w:afterAutospacing="1"/>
      <w:jc w:val="center"/>
      <w:textAlignment w:val="center"/>
    </w:pPr>
    <w:rPr>
      <w:rFonts w:eastAsia="Arial Unicode MS"/>
      <w:b/>
      <w:bCs/>
      <w:sz w:val="24"/>
      <w:szCs w:val="24"/>
      <w:lang w:val="en-US"/>
    </w:rPr>
  </w:style>
  <w:style w:type="paragraph" w:customStyle="1" w:styleId="xl28">
    <w:name w:val="xl28"/>
    <w:basedOn w:val="Normal"/>
    <w:rsid w:val="00E433C6"/>
    <w:pPr>
      <w:pBdr>
        <w:left w:val="single" w:sz="4" w:space="0" w:color="auto"/>
      </w:pBdr>
      <w:spacing w:before="100" w:beforeAutospacing="1" w:after="100" w:afterAutospacing="1"/>
      <w:jc w:val="left"/>
      <w:textAlignment w:val="center"/>
    </w:pPr>
    <w:rPr>
      <w:rFonts w:eastAsia="Arial Unicode MS"/>
      <w:b/>
      <w:bCs/>
      <w:sz w:val="24"/>
      <w:szCs w:val="24"/>
      <w:lang w:val="en-US"/>
    </w:rPr>
  </w:style>
  <w:style w:type="paragraph" w:customStyle="1" w:styleId="xl29">
    <w:name w:val="xl29"/>
    <w:basedOn w:val="Normal"/>
    <w:rsid w:val="00E433C6"/>
    <w:pPr>
      <w:pBdr>
        <w:right w:val="single" w:sz="4" w:space="0" w:color="auto"/>
      </w:pBdr>
      <w:spacing w:before="100" w:beforeAutospacing="1" w:after="100" w:afterAutospacing="1"/>
      <w:jc w:val="center"/>
      <w:textAlignment w:val="center"/>
    </w:pPr>
    <w:rPr>
      <w:rFonts w:eastAsia="Arial Unicode MS"/>
      <w:b/>
      <w:bCs/>
      <w:sz w:val="24"/>
      <w:szCs w:val="24"/>
      <w:lang w:val="en-US"/>
    </w:rPr>
  </w:style>
  <w:style w:type="paragraph" w:customStyle="1" w:styleId="xl30">
    <w:name w:val="xl30"/>
    <w:basedOn w:val="Normal"/>
    <w:rsid w:val="00E433C6"/>
    <w:pPr>
      <w:pBdr>
        <w:top w:val="single" w:sz="4" w:space="0" w:color="auto"/>
        <w:left w:val="single" w:sz="4" w:space="0" w:color="auto"/>
      </w:pBdr>
      <w:spacing w:before="100" w:beforeAutospacing="1" w:after="100" w:afterAutospacing="1"/>
      <w:jc w:val="left"/>
    </w:pPr>
    <w:rPr>
      <w:rFonts w:eastAsia="Arial Unicode MS"/>
      <w:b/>
      <w:bCs/>
      <w:sz w:val="24"/>
      <w:szCs w:val="24"/>
      <w:lang w:val="en-US"/>
    </w:rPr>
  </w:style>
  <w:style w:type="paragraph" w:customStyle="1" w:styleId="xl31">
    <w:name w:val="xl31"/>
    <w:basedOn w:val="Normal"/>
    <w:rsid w:val="00E433C6"/>
    <w:pPr>
      <w:pBdr>
        <w:top w:val="single" w:sz="4" w:space="0" w:color="auto"/>
      </w:pBdr>
      <w:spacing w:before="100" w:beforeAutospacing="1" w:after="100" w:afterAutospacing="1"/>
      <w:jc w:val="left"/>
    </w:pPr>
    <w:rPr>
      <w:rFonts w:ascii="Arial Unicode MS" w:eastAsia="Arial Unicode MS" w:hAnsi="Arial Unicode MS" w:cs="Arial Unicode MS"/>
      <w:sz w:val="24"/>
      <w:szCs w:val="24"/>
      <w:lang w:val="en-US"/>
    </w:rPr>
  </w:style>
  <w:style w:type="paragraph" w:customStyle="1" w:styleId="xl32">
    <w:name w:val="xl32"/>
    <w:basedOn w:val="Normal"/>
    <w:rsid w:val="00E433C6"/>
    <w:pPr>
      <w:pBdr>
        <w:top w:val="single" w:sz="4" w:space="0" w:color="auto"/>
      </w:pBdr>
      <w:spacing w:before="100" w:beforeAutospacing="1" w:after="100" w:afterAutospacing="1"/>
      <w:jc w:val="left"/>
    </w:pPr>
    <w:rPr>
      <w:rFonts w:ascii="Arial Unicode MS" w:eastAsia="Arial Unicode MS" w:hAnsi="Arial Unicode MS" w:cs="Arial Unicode MS"/>
      <w:sz w:val="24"/>
      <w:szCs w:val="24"/>
      <w:lang w:val="en-US"/>
    </w:rPr>
  </w:style>
  <w:style w:type="paragraph" w:customStyle="1" w:styleId="xl33">
    <w:name w:val="xl33"/>
    <w:basedOn w:val="Normal"/>
    <w:rsid w:val="00E433C6"/>
    <w:pPr>
      <w:pBdr>
        <w:top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n-US"/>
    </w:rPr>
  </w:style>
  <w:style w:type="paragraph" w:customStyle="1" w:styleId="xl34">
    <w:name w:val="xl34"/>
    <w:basedOn w:val="Normal"/>
    <w:rsid w:val="00E433C6"/>
    <w:pPr>
      <w:pBdr>
        <w:top w:val="single" w:sz="4" w:space="0" w:color="auto"/>
        <w:right w:val="single" w:sz="4" w:space="0" w:color="auto"/>
      </w:pBdr>
      <w:spacing w:before="100" w:beforeAutospacing="1" w:after="100" w:afterAutospacing="1"/>
      <w:jc w:val="left"/>
    </w:pPr>
    <w:rPr>
      <w:rFonts w:eastAsia="Arial Unicode MS"/>
      <w:sz w:val="16"/>
      <w:szCs w:val="16"/>
      <w:lang w:val="en-US"/>
    </w:rPr>
  </w:style>
  <w:style w:type="paragraph" w:customStyle="1" w:styleId="xl35">
    <w:name w:val="xl35"/>
    <w:basedOn w:val="Normal"/>
    <w:rsid w:val="00E433C6"/>
    <w:pPr>
      <w:spacing w:before="100" w:beforeAutospacing="1" w:after="100" w:afterAutospacing="1"/>
      <w:jc w:val="left"/>
    </w:pPr>
    <w:rPr>
      <w:rFonts w:eastAsia="Arial Unicode MS"/>
      <w:sz w:val="16"/>
      <w:szCs w:val="16"/>
      <w:lang w:val="en-US"/>
    </w:rPr>
  </w:style>
  <w:style w:type="paragraph" w:customStyle="1" w:styleId="xl36">
    <w:name w:val="xl36"/>
    <w:basedOn w:val="Normal"/>
    <w:rsid w:val="00E433C6"/>
    <w:pPr>
      <w:spacing w:before="100" w:beforeAutospacing="1" w:after="100" w:afterAutospacing="1"/>
      <w:jc w:val="left"/>
    </w:pPr>
    <w:rPr>
      <w:rFonts w:eastAsia="Arial Unicode MS"/>
      <w:sz w:val="16"/>
      <w:szCs w:val="16"/>
      <w:lang w:val="en-US"/>
    </w:rPr>
  </w:style>
  <w:style w:type="paragraph" w:styleId="HTMLPreformatted">
    <w:name w:val="HTML Preformatted"/>
    <w:basedOn w:val="Normal"/>
    <w:link w:val="HTMLPreformattedChar"/>
    <w:rsid w:val="00E43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lang w:val="en-US"/>
    </w:rPr>
  </w:style>
  <w:style w:type="character" w:customStyle="1" w:styleId="HTMLPreformattedChar">
    <w:name w:val="HTML Preformatted Char"/>
    <w:basedOn w:val="DefaultParagraphFont"/>
    <w:link w:val="HTMLPreformatted"/>
    <w:rsid w:val="00E433C6"/>
    <w:rPr>
      <w:rFonts w:ascii="Arial Unicode MS" w:eastAsia="Arial Unicode MS" w:hAnsi="Arial Unicode MS" w:cs="Arial Unicode MS"/>
    </w:rPr>
  </w:style>
  <w:style w:type="paragraph" w:customStyle="1" w:styleId="xl37">
    <w:name w:val="xl37"/>
    <w:basedOn w:val="Normal"/>
    <w:rsid w:val="00E433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Arial Unicode MS" w:hAnsi="Arial" w:cs="Arial"/>
      <w:sz w:val="16"/>
      <w:szCs w:val="16"/>
      <w:lang w:val="en-US"/>
    </w:rPr>
  </w:style>
  <w:style w:type="paragraph" w:customStyle="1" w:styleId="xl22">
    <w:name w:val="xl22"/>
    <w:basedOn w:val="Normal"/>
    <w:rsid w:val="00E433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color w:val="008080"/>
      <w:sz w:val="18"/>
      <w:szCs w:val="18"/>
      <w:lang w:val="en-US"/>
    </w:rPr>
  </w:style>
  <w:style w:type="paragraph" w:customStyle="1" w:styleId="xl23">
    <w:name w:val="xl23"/>
    <w:basedOn w:val="Normal"/>
    <w:rsid w:val="00E433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Arial Unicode MS"/>
      <w:sz w:val="18"/>
      <w:szCs w:val="18"/>
      <w:lang w:val="en-US"/>
    </w:rPr>
  </w:style>
  <w:style w:type="character" w:customStyle="1" w:styleId="TableHeading">
    <w:name w:val="Table Heading"/>
    <w:rsid w:val="00E433C6"/>
    <w:rPr>
      <w:bCs/>
    </w:rPr>
  </w:style>
  <w:style w:type="paragraph" w:styleId="TableofFigures">
    <w:name w:val="table of figures"/>
    <w:basedOn w:val="Normal"/>
    <w:next w:val="Normal"/>
    <w:autoRedefine/>
    <w:uiPriority w:val="99"/>
    <w:rsid w:val="00E433C6"/>
    <w:pPr>
      <w:tabs>
        <w:tab w:val="left" w:pos="1800"/>
        <w:tab w:val="right" w:leader="dot" w:pos="9630"/>
      </w:tabs>
      <w:spacing w:after="120"/>
      <w:ind w:left="450" w:hanging="450"/>
      <w:jc w:val="left"/>
    </w:pPr>
    <w:rPr>
      <w:smallCaps/>
      <w:noProof/>
      <w:sz w:val="24"/>
      <w:szCs w:val="20"/>
      <w:lang w:val="en-US"/>
    </w:rPr>
  </w:style>
  <w:style w:type="paragraph" w:styleId="Caption">
    <w:name w:val="caption"/>
    <w:basedOn w:val="Normal"/>
    <w:next w:val="Normal"/>
    <w:autoRedefine/>
    <w:qFormat/>
    <w:rsid w:val="00E433C6"/>
    <w:pPr>
      <w:keepNext/>
      <w:spacing w:after="120"/>
      <w:jc w:val="center"/>
    </w:pPr>
    <w:rPr>
      <w:rFonts w:ascii="Times New Roman Bold" w:hAnsi="Times New Roman Bold"/>
      <w:b/>
      <w:bCs/>
      <w:sz w:val="24"/>
      <w:szCs w:val="20"/>
      <w:lang w:val="en-US"/>
    </w:rPr>
  </w:style>
  <w:style w:type="paragraph" w:styleId="DocumentMap">
    <w:name w:val="Document Map"/>
    <w:basedOn w:val="Normal"/>
    <w:link w:val="DocumentMapChar"/>
    <w:semiHidden/>
    <w:rsid w:val="00E433C6"/>
    <w:pPr>
      <w:shd w:val="clear" w:color="auto" w:fill="000080"/>
      <w:jc w:val="left"/>
    </w:pPr>
    <w:rPr>
      <w:rFonts w:ascii="Tahoma" w:hAnsi="Tahoma" w:cs="Tahoma"/>
      <w:sz w:val="24"/>
      <w:szCs w:val="20"/>
      <w:lang w:val="en-US"/>
    </w:rPr>
  </w:style>
  <w:style w:type="character" w:customStyle="1" w:styleId="DocumentMapChar">
    <w:name w:val="Document Map Char"/>
    <w:basedOn w:val="DefaultParagraphFont"/>
    <w:link w:val="DocumentMap"/>
    <w:semiHidden/>
    <w:rsid w:val="00E433C6"/>
    <w:rPr>
      <w:rFonts w:ascii="Tahoma" w:hAnsi="Tahoma" w:cs="Tahoma"/>
      <w:sz w:val="24"/>
      <w:shd w:val="clear" w:color="auto" w:fill="000080"/>
    </w:rPr>
  </w:style>
  <w:style w:type="character" w:styleId="Hyperlink">
    <w:name w:val="Hyperlink"/>
    <w:uiPriority w:val="99"/>
    <w:rsid w:val="00E433C6"/>
    <w:rPr>
      <w:color w:val="0000FF"/>
      <w:u w:val="single"/>
    </w:rPr>
  </w:style>
  <w:style w:type="character" w:styleId="FollowedHyperlink">
    <w:name w:val="FollowedHyperlink"/>
    <w:rsid w:val="00E433C6"/>
    <w:rPr>
      <w:color w:val="800080"/>
      <w:u w:val="single"/>
    </w:rPr>
  </w:style>
  <w:style w:type="character" w:styleId="HTMLTypewriter">
    <w:name w:val="HTML Typewriter"/>
    <w:rsid w:val="00E433C6"/>
    <w:rPr>
      <w:rFonts w:ascii="Courier New" w:eastAsia="Arial Unicode MS" w:hAnsi="Courier New" w:cs="Courier New" w:hint="default"/>
      <w:sz w:val="20"/>
      <w:szCs w:val="20"/>
    </w:rPr>
  </w:style>
  <w:style w:type="paragraph" w:styleId="BodyText2">
    <w:name w:val="Body Text 2"/>
    <w:basedOn w:val="Normal"/>
    <w:link w:val="BodyText2Char"/>
    <w:rsid w:val="00E433C6"/>
    <w:rPr>
      <w:szCs w:val="24"/>
      <w:lang w:val="en-US"/>
    </w:rPr>
  </w:style>
  <w:style w:type="character" w:customStyle="1" w:styleId="BodyText2Char">
    <w:name w:val="Body Text 2 Char"/>
    <w:basedOn w:val="DefaultParagraphFont"/>
    <w:link w:val="BodyText2"/>
    <w:rsid w:val="00E433C6"/>
    <w:rPr>
      <w:sz w:val="22"/>
      <w:szCs w:val="24"/>
    </w:rPr>
  </w:style>
  <w:style w:type="paragraph" w:customStyle="1" w:styleId="xl38">
    <w:name w:val="xl38"/>
    <w:basedOn w:val="Normal"/>
    <w:rsid w:val="00E433C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n-US"/>
    </w:rPr>
  </w:style>
  <w:style w:type="paragraph" w:customStyle="1" w:styleId="xl39">
    <w:name w:val="xl39"/>
    <w:basedOn w:val="Normal"/>
    <w:rsid w:val="00E433C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n-US"/>
    </w:rPr>
  </w:style>
  <w:style w:type="paragraph" w:customStyle="1" w:styleId="xl40">
    <w:name w:val="xl40"/>
    <w:basedOn w:val="Normal"/>
    <w:rsid w:val="00E433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lang w:val="en-US"/>
    </w:rPr>
  </w:style>
  <w:style w:type="paragraph" w:customStyle="1" w:styleId="xl41">
    <w:name w:val="xl41"/>
    <w:basedOn w:val="Normal"/>
    <w:rsid w:val="00E433C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b/>
      <w:bCs/>
      <w:color w:val="000000"/>
      <w:sz w:val="16"/>
      <w:szCs w:val="16"/>
      <w:lang w:val="en-US"/>
    </w:rPr>
  </w:style>
  <w:style w:type="paragraph" w:customStyle="1" w:styleId="xl42">
    <w:name w:val="xl42"/>
    <w:basedOn w:val="Normal"/>
    <w:rsid w:val="00E433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lang w:val="en-US"/>
    </w:rPr>
  </w:style>
  <w:style w:type="paragraph" w:customStyle="1" w:styleId="xl43">
    <w:name w:val="xl43"/>
    <w:basedOn w:val="Normal"/>
    <w:rsid w:val="00E433C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b/>
      <w:bCs/>
      <w:color w:val="000000"/>
      <w:sz w:val="16"/>
      <w:szCs w:val="16"/>
      <w:lang w:val="en-US"/>
    </w:rPr>
  </w:style>
  <w:style w:type="paragraph" w:customStyle="1" w:styleId="xl44">
    <w:name w:val="xl44"/>
    <w:basedOn w:val="Normal"/>
    <w:rsid w:val="00E433C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b/>
      <w:bCs/>
      <w:color w:val="000000"/>
      <w:sz w:val="16"/>
      <w:szCs w:val="16"/>
      <w:lang w:val="en-US"/>
    </w:rPr>
  </w:style>
  <w:style w:type="paragraph" w:customStyle="1" w:styleId="xl45">
    <w:name w:val="xl45"/>
    <w:basedOn w:val="Normal"/>
    <w:rsid w:val="00E433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color w:val="000000"/>
      <w:sz w:val="16"/>
      <w:szCs w:val="16"/>
      <w:lang w:val="en-US"/>
    </w:rPr>
  </w:style>
  <w:style w:type="paragraph" w:customStyle="1" w:styleId="xl46">
    <w:name w:val="xl46"/>
    <w:basedOn w:val="Normal"/>
    <w:rsid w:val="00E433C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b/>
      <w:bCs/>
      <w:color w:val="000000"/>
      <w:sz w:val="16"/>
      <w:szCs w:val="16"/>
      <w:lang w:val="en-US"/>
    </w:rPr>
  </w:style>
  <w:style w:type="paragraph" w:customStyle="1" w:styleId="xl47">
    <w:name w:val="xl47"/>
    <w:basedOn w:val="Normal"/>
    <w:rsid w:val="00E433C6"/>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color w:val="000000"/>
      <w:sz w:val="16"/>
      <w:szCs w:val="16"/>
      <w:lang w:val="en-US"/>
    </w:rPr>
  </w:style>
  <w:style w:type="paragraph" w:customStyle="1" w:styleId="xl48">
    <w:name w:val="xl48"/>
    <w:basedOn w:val="Normal"/>
    <w:rsid w:val="00E433C6"/>
    <w:pPr>
      <w:pBdr>
        <w:top w:val="single" w:sz="4" w:space="0" w:color="auto"/>
        <w:bottom w:val="single" w:sz="4" w:space="0" w:color="auto"/>
      </w:pBdr>
      <w:spacing w:before="100" w:beforeAutospacing="1" w:after="100" w:afterAutospacing="1"/>
      <w:jc w:val="center"/>
      <w:textAlignment w:val="top"/>
    </w:pPr>
    <w:rPr>
      <w:rFonts w:eastAsia="Arial Unicode MS"/>
      <w:color w:val="000000"/>
      <w:sz w:val="16"/>
      <w:szCs w:val="16"/>
      <w:lang w:val="en-US"/>
    </w:rPr>
  </w:style>
  <w:style w:type="paragraph" w:customStyle="1" w:styleId="xl49">
    <w:name w:val="xl49"/>
    <w:basedOn w:val="Normal"/>
    <w:rsid w:val="00E433C6"/>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000000"/>
      <w:sz w:val="16"/>
      <w:szCs w:val="16"/>
      <w:lang w:val="en-US"/>
    </w:rPr>
  </w:style>
  <w:style w:type="paragraph" w:customStyle="1" w:styleId="xl50">
    <w:name w:val="xl50"/>
    <w:basedOn w:val="Normal"/>
    <w:rsid w:val="00E433C6"/>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lang w:val="en-US"/>
    </w:rPr>
  </w:style>
  <w:style w:type="paragraph" w:customStyle="1" w:styleId="xl51">
    <w:name w:val="xl51"/>
    <w:basedOn w:val="Normal"/>
    <w:rsid w:val="00E433C6"/>
    <w:pPr>
      <w:pBdr>
        <w:top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lang w:val="en-US"/>
    </w:rPr>
  </w:style>
  <w:style w:type="paragraph" w:customStyle="1" w:styleId="xl52">
    <w:name w:val="xl52"/>
    <w:basedOn w:val="Normal"/>
    <w:rsid w:val="00E433C6"/>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lang w:val="en-US"/>
    </w:rPr>
  </w:style>
  <w:style w:type="paragraph" w:customStyle="1" w:styleId="xl53">
    <w:name w:val="xl53"/>
    <w:basedOn w:val="Normal"/>
    <w:rsid w:val="00E433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US"/>
    </w:rPr>
  </w:style>
  <w:style w:type="paragraph" w:customStyle="1" w:styleId="xl54">
    <w:name w:val="xl54"/>
    <w:basedOn w:val="Normal"/>
    <w:rsid w:val="00E433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n-US"/>
    </w:rPr>
  </w:style>
  <w:style w:type="paragraph" w:customStyle="1" w:styleId="xl55">
    <w:name w:val="xl55"/>
    <w:basedOn w:val="Normal"/>
    <w:rsid w:val="00E433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US"/>
    </w:rPr>
  </w:style>
  <w:style w:type="paragraph" w:customStyle="1" w:styleId="xl56">
    <w:name w:val="xl56"/>
    <w:basedOn w:val="Normal"/>
    <w:rsid w:val="00E433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000000"/>
      <w:sz w:val="16"/>
      <w:szCs w:val="16"/>
      <w:lang w:val="en-US"/>
    </w:rPr>
  </w:style>
  <w:style w:type="paragraph" w:styleId="BodyTextIndent2">
    <w:name w:val="Body Text Indent 2"/>
    <w:basedOn w:val="Normal"/>
    <w:link w:val="BodyTextIndent2Char"/>
    <w:rsid w:val="00E433C6"/>
    <w:pPr>
      <w:spacing w:after="120" w:line="480" w:lineRule="auto"/>
      <w:ind w:left="360"/>
      <w:jc w:val="left"/>
    </w:pPr>
    <w:rPr>
      <w:sz w:val="24"/>
      <w:szCs w:val="20"/>
      <w:lang w:val="en-US"/>
    </w:rPr>
  </w:style>
  <w:style w:type="character" w:customStyle="1" w:styleId="BodyTextIndent2Char">
    <w:name w:val="Body Text Indent 2 Char"/>
    <w:basedOn w:val="DefaultParagraphFont"/>
    <w:link w:val="BodyTextIndent2"/>
    <w:rsid w:val="00E433C6"/>
    <w:rPr>
      <w:sz w:val="24"/>
    </w:rPr>
  </w:style>
  <w:style w:type="paragraph" w:customStyle="1" w:styleId="StyleTableofFiguresLeft-006">
    <w:name w:val="Style Table of Figures + Left:  -0.06&quot;"/>
    <w:basedOn w:val="TableofFigures"/>
    <w:rsid w:val="00E433C6"/>
    <w:pPr>
      <w:tabs>
        <w:tab w:val="clear" w:pos="9630"/>
        <w:tab w:val="right" w:leader="dot" w:pos="8640"/>
      </w:tabs>
      <w:ind w:left="360"/>
    </w:pPr>
  </w:style>
  <w:style w:type="paragraph" w:customStyle="1" w:styleId="StyleTableofFiguresLeft-0061">
    <w:name w:val="Style Table of Figures + Left:  -0.06&quot;1"/>
    <w:basedOn w:val="TableofFigures"/>
    <w:rsid w:val="00E433C6"/>
    <w:pPr>
      <w:tabs>
        <w:tab w:val="clear" w:pos="9630"/>
        <w:tab w:val="right" w:leader="dot" w:pos="7200"/>
      </w:tabs>
      <w:ind w:left="360"/>
    </w:pPr>
  </w:style>
  <w:style w:type="paragraph" w:customStyle="1" w:styleId="StyleTOC2Right001">
    <w:name w:val="Style TOC 2 + Right:  0.01&quot;"/>
    <w:basedOn w:val="TOC2"/>
    <w:next w:val="TOC2"/>
    <w:rsid w:val="00E433C6"/>
    <w:pPr>
      <w:tabs>
        <w:tab w:val="right" w:leader="dot" w:pos="8640"/>
      </w:tabs>
      <w:ind w:right="14"/>
    </w:pPr>
  </w:style>
  <w:style w:type="paragraph" w:customStyle="1" w:styleId="Default">
    <w:name w:val="Default"/>
    <w:rsid w:val="00E433C6"/>
    <w:pPr>
      <w:autoSpaceDE w:val="0"/>
      <w:autoSpaceDN w:val="0"/>
      <w:adjustRightInd w:val="0"/>
    </w:pPr>
    <w:rPr>
      <w:color w:val="000000"/>
      <w:sz w:val="24"/>
      <w:szCs w:val="24"/>
    </w:rPr>
  </w:style>
  <w:style w:type="paragraph" w:styleId="ListParagraph">
    <w:name w:val="List Paragraph"/>
    <w:aliases w:val="List Paragraph (numbered (a)) Char,List Paragraph Char Char Char,List Paragraph (numbered (a)),Use Case List Paragraph,List Paragraph2,Numbered List Paragraph,Main numbered paragraph,Bullet paras,ANNEX"/>
    <w:basedOn w:val="Normal"/>
    <w:link w:val="ListParagraphChar"/>
    <w:uiPriority w:val="34"/>
    <w:qFormat/>
    <w:rsid w:val="00E433C6"/>
    <w:pPr>
      <w:ind w:left="720"/>
      <w:contextualSpacing/>
      <w:jc w:val="left"/>
    </w:pPr>
    <w:rPr>
      <w:sz w:val="24"/>
      <w:szCs w:val="20"/>
      <w:lang w:val="en-US"/>
    </w:rPr>
  </w:style>
  <w:style w:type="paragraph" w:customStyle="1" w:styleId="ListParagraph1">
    <w:name w:val="List Paragraph1"/>
    <w:basedOn w:val="Normal"/>
    <w:rsid w:val="00E433C6"/>
    <w:pPr>
      <w:widowControl w:val="0"/>
      <w:ind w:firstLineChars="200" w:firstLine="420"/>
    </w:pPr>
    <w:rPr>
      <w:rFonts w:ascii="Calibri" w:eastAsia="SimSun" w:hAnsi="Calibri"/>
      <w:kern w:val="2"/>
      <w:sz w:val="21"/>
      <w:szCs w:val="20"/>
      <w:lang w:val="en-US" w:eastAsia="zh-CN"/>
    </w:rPr>
  </w:style>
  <w:style w:type="character" w:customStyle="1" w:styleId="ListParagraphChar">
    <w:name w:val="List Paragraph Char"/>
    <w:aliases w:val="List Paragraph (numbered (a)) Char Char,List Paragraph Char Char Char Char,List Paragraph (numbered (a)) Char1,Use Case List Paragraph Char,List Paragraph2 Char,Numbered List Paragraph Char,Main numbered paragraph Char,ANNEX Char"/>
    <w:link w:val="ListParagraph"/>
    <w:uiPriority w:val="34"/>
    <w:locked/>
    <w:rsid w:val="00E433C6"/>
    <w:rPr>
      <w:sz w:val="24"/>
    </w:rPr>
  </w:style>
  <w:style w:type="paragraph" w:styleId="BodyTextFirstIndent">
    <w:name w:val="Body Text First Indent"/>
    <w:basedOn w:val="BodyText"/>
    <w:link w:val="BodyTextFirstIndentChar"/>
    <w:uiPriority w:val="99"/>
    <w:semiHidden/>
    <w:unhideWhenUsed/>
    <w:rsid w:val="00E433C6"/>
    <w:pPr>
      <w:ind w:firstLine="360"/>
    </w:pPr>
    <w:rPr>
      <w:sz w:val="22"/>
      <w:szCs w:val="22"/>
      <w:lang w:val="en-GB"/>
    </w:rPr>
  </w:style>
  <w:style w:type="character" w:customStyle="1" w:styleId="BodyTextFirstIndentChar">
    <w:name w:val="Body Text First Indent Char"/>
    <w:basedOn w:val="BodyTextChar"/>
    <w:link w:val="BodyTextFirstIndent"/>
    <w:uiPriority w:val="99"/>
    <w:semiHidden/>
    <w:rsid w:val="00E433C6"/>
    <w:rPr>
      <w:sz w:val="22"/>
      <w:szCs w:val="22"/>
      <w:lang w:val="en-GB"/>
    </w:rPr>
  </w:style>
  <w:style w:type="character" w:customStyle="1" w:styleId="Heading3Char3CharCharChar">
    <w:name w:val="Heading 3 Char3 Char Char Char"/>
    <w:basedOn w:val="DefaultParagraphFont"/>
    <w:rsid w:val="00E433C6"/>
    <w:rPr>
      <w:sz w:val="22"/>
      <w:szCs w:val="22"/>
      <w:lang w:val="en-GB" w:eastAsia="en-US" w:bidi="ar-SA"/>
    </w:rPr>
  </w:style>
  <w:style w:type="paragraph" w:styleId="Revision">
    <w:name w:val="Revision"/>
    <w:hidden/>
    <w:uiPriority w:val="99"/>
    <w:semiHidden/>
    <w:rsid w:val="002F3C97"/>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2270">
      <w:bodyDiv w:val="1"/>
      <w:marLeft w:val="0"/>
      <w:marRight w:val="0"/>
      <w:marTop w:val="0"/>
      <w:marBottom w:val="0"/>
      <w:divBdr>
        <w:top w:val="none" w:sz="0" w:space="0" w:color="auto"/>
        <w:left w:val="none" w:sz="0" w:space="0" w:color="auto"/>
        <w:bottom w:val="none" w:sz="0" w:space="0" w:color="auto"/>
        <w:right w:val="none" w:sz="0" w:space="0" w:color="auto"/>
      </w:divBdr>
    </w:div>
    <w:div w:id="459762763">
      <w:bodyDiv w:val="1"/>
      <w:marLeft w:val="0"/>
      <w:marRight w:val="0"/>
      <w:marTop w:val="0"/>
      <w:marBottom w:val="0"/>
      <w:divBdr>
        <w:top w:val="none" w:sz="0" w:space="0" w:color="auto"/>
        <w:left w:val="none" w:sz="0" w:space="0" w:color="auto"/>
        <w:bottom w:val="none" w:sz="0" w:space="0" w:color="auto"/>
        <w:right w:val="none" w:sz="0" w:space="0" w:color="auto"/>
      </w:divBdr>
    </w:div>
    <w:div w:id="506755911">
      <w:bodyDiv w:val="1"/>
      <w:marLeft w:val="0"/>
      <w:marRight w:val="0"/>
      <w:marTop w:val="0"/>
      <w:marBottom w:val="0"/>
      <w:divBdr>
        <w:top w:val="none" w:sz="0" w:space="0" w:color="auto"/>
        <w:left w:val="none" w:sz="0" w:space="0" w:color="auto"/>
        <w:bottom w:val="none" w:sz="0" w:space="0" w:color="auto"/>
        <w:right w:val="none" w:sz="0" w:space="0" w:color="auto"/>
      </w:divBdr>
    </w:div>
    <w:div w:id="591667998">
      <w:bodyDiv w:val="1"/>
      <w:marLeft w:val="0"/>
      <w:marRight w:val="0"/>
      <w:marTop w:val="0"/>
      <w:marBottom w:val="0"/>
      <w:divBdr>
        <w:top w:val="none" w:sz="0" w:space="0" w:color="auto"/>
        <w:left w:val="none" w:sz="0" w:space="0" w:color="auto"/>
        <w:bottom w:val="none" w:sz="0" w:space="0" w:color="auto"/>
        <w:right w:val="none" w:sz="0" w:space="0" w:color="auto"/>
      </w:divBdr>
    </w:div>
    <w:div w:id="600726706">
      <w:bodyDiv w:val="1"/>
      <w:marLeft w:val="0"/>
      <w:marRight w:val="0"/>
      <w:marTop w:val="0"/>
      <w:marBottom w:val="0"/>
      <w:divBdr>
        <w:top w:val="none" w:sz="0" w:space="0" w:color="auto"/>
        <w:left w:val="none" w:sz="0" w:space="0" w:color="auto"/>
        <w:bottom w:val="none" w:sz="0" w:space="0" w:color="auto"/>
        <w:right w:val="none" w:sz="0" w:space="0" w:color="auto"/>
      </w:divBdr>
    </w:div>
    <w:div w:id="676619597">
      <w:bodyDiv w:val="1"/>
      <w:marLeft w:val="0"/>
      <w:marRight w:val="0"/>
      <w:marTop w:val="0"/>
      <w:marBottom w:val="0"/>
      <w:divBdr>
        <w:top w:val="none" w:sz="0" w:space="0" w:color="auto"/>
        <w:left w:val="none" w:sz="0" w:space="0" w:color="auto"/>
        <w:bottom w:val="none" w:sz="0" w:space="0" w:color="auto"/>
        <w:right w:val="none" w:sz="0" w:space="0" w:color="auto"/>
      </w:divBdr>
    </w:div>
    <w:div w:id="1594508226">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J:\86th\Templates\Eec86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UNEP/OzL.Pro/ExCom/86/20</Document_x0020_Number>
    <Posted_x0020_after_x0020_IAP xmlns="5ee7b459-7658-46de-b3a9-b270cabc2a0e">true</Posted_x0020_after_x0020_IAP>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1475DA1A9724F448487545E7E03A732" ma:contentTypeVersion="3" ma:contentTypeDescription="Create a new document." ma:contentTypeScope="" ma:versionID="da5691930c19fb9c2ca01aa0b69eb0c3">
  <xsd:schema xmlns:xsd="http://www.w3.org/2001/XMLSchema" xmlns:p="http://schemas.microsoft.com/office/2006/metadata/properties" xmlns:ns2="8662b4aa-cf42-4f00-a3f0-9d3b4acad230" xmlns:ns3="310e179b-1379-4e79-9b74-d5a32b1812d3" xmlns:ns4="5ee7b459-7658-46de-b3a9-b270cabc2a0e" targetNamespace="http://schemas.microsoft.com/office/2006/metadata/properties" ma:root="true" ma:fieldsID="1405f2c8d337e7b86d2f79585a06f983" ns2:_="" ns3:_="" ns4:_="">
    <xsd:import namespace="8662b4aa-cf42-4f00-a3f0-9d3b4acad230"/>
    <xsd:import namespace="310e179b-1379-4e79-9b74-d5a32b1812d3"/>
    <xsd:import namespace="5ee7b459-7658-46de-b3a9-b270cabc2a0e"/>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5ee7b459-7658-46de-b3a9-b270cabc2a0e"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E799C8-6762-4EFB-9AFE-669F582B282F}"/>
</file>

<file path=customXml/itemProps2.xml><?xml version="1.0" encoding="utf-8"?>
<ds:datastoreItem xmlns:ds="http://schemas.openxmlformats.org/officeDocument/2006/customXml" ds:itemID="{93261D82-0129-498B-BA36-C231792EB810}"/>
</file>

<file path=customXml/itemProps3.xml><?xml version="1.0" encoding="utf-8"?>
<ds:datastoreItem xmlns:ds="http://schemas.openxmlformats.org/officeDocument/2006/customXml" ds:itemID="{957C4E9B-5C69-463E-B221-506FE2E4050E}"/>
</file>

<file path=customXml/itemProps4.xml><?xml version="1.0" encoding="utf-8"?>
<ds:datastoreItem xmlns:ds="http://schemas.openxmlformats.org/officeDocument/2006/customXml" ds:itemID="{99B12AA9-3826-44E0-A98F-2AAD03480A32}"/>
</file>

<file path=docProps/app.xml><?xml version="1.0" encoding="utf-8"?>
<Properties xmlns="http://schemas.openxmlformats.org/officeDocument/2006/extended-properties" xmlns:vt="http://schemas.openxmlformats.org/officeDocument/2006/docPropsVTypes">
  <Template>Eec86G</Template>
  <TotalTime>291</TotalTime>
  <Pages>1</Pages>
  <Words>2645</Words>
  <Characters>15079</Characters>
  <Application>Microsoft Office Word</Application>
  <DocSecurity>0</DocSecurity>
  <Lines>125</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Rapport périodique de la Banque mondiale au 31 décembre 2019</vt:lpstr>
      <vt:lpstr>Progress Report of the World Bank as at 31 December 2019</vt:lpstr>
    </vt:vector>
  </TitlesOfParts>
  <Company/>
  <LinksUpToDate>false</LinksUpToDate>
  <CharactersWithSpaces>17689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périodique de la Banque mondiale au 31 décembre 2019</dc:title>
  <dc:creator>Laura Duong</dc:creator>
  <cp:lastModifiedBy>HB</cp:lastModifiedBy>
  <cp:revision>19</cp:revision>
  <cp:lastPrinted>2020-11-09T10:41:00Z</cp:lastPrinted>
  <dcterms:created xsi:type="dcterms:W3CDTF">2020-11-07T09:36:00Z</dcterms:created>
  <dcterms:modified xsi:type="dcterms:W3CDTF">2020-11-18T05:16:00Z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UNEP/OzL.Pro/ExCom/86/20</vt:lpwstr>
  </property>
  <property fmtid="{D5CDD505-2E9C-101B-9397-08002B2CF9AE}" pid="3" name="Revision date">
    <vt:lpwstr>10/23/2020</vt:lpwstr>
  </property>
  <property fmtid="{D5CDD505-2E9C-101B-9397-08002B2CF9AE}" pid="4" name="ContentTypeId">
    <vt:lpwstr>0x01010021475DA1A9724F448487545E7E03A732</vt:lpwstr>
  </property>
</Properties>
</file>