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E42204" w14:paraId="493149E4" w14:textId="77777777" w:rsidTr="008406B5">
        <w:trPr>
          <w:trHeight w:val="720"/>
        </w:trPr>
        <w:tc>
          <w:tcPr>
            <w:tcW w:w="7061" w:type="dxa"/>
            <w:gridSpan w:val="2"/>
            <w:tcBorders>
              <w:bottom w:val="single" w:sz="18" w:space="0" w:color="auto"/>
            </w:tcBorders>
          </w:tcPr>
          <w:p w14:paraId="393F33DC" w14:textId="77777777" w:rsidR="00E42204" w:rsidRDefault="00E42204" w:rsidP="008406B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48B5631A" w14:textId="77777777" w:rsidR="00E42204" w:rsidRDefault="00E42204" w:rsidP="008406B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71A7B0A9" w14:textId="77777777" w:rsidR="00E42204" w:rsidRDefault="00E42204" w:rsidP="008406B5">
            <w:pPr>
              <w:tabs>
                <w:tab w:val="left" w:pos="3010"/>
              </w:tabs>
              <w:jc w:val="center"/>
              <w:rPr>
                <w:sz w:val="52"/>
                <w:szCs w:val="52"/>
              </w:rPr>
            </w:pPr>
            <w:r>
              <w:rPr>
                <w:rFonts w:ascii="Univers Bold" w:hAnsi="Univers Bold"/>
                <w:b/>
                <w:sz w:val="72"/>
                <w:lang w:val="fr-CA"/>
              </w:rPr>
              <w:t xml:space="preserve"> EP</w:t>
            </w:r>
          </w:p>
        </w:tc>
      </w:tr>
      <w:tr w:rsidR="00E42204" w:rsidRPr="00AF592C" w14:paraId="61CE6398" w14:textId="77777777" w:rsidTr="00840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2EC8B78" w14:textId="29DB3C34" w:rsidR="00E42204" w:rsidRDefault="00AF592C" w:rsidP="008406B5">
            <w:pPr>
              <w:spacing w:before="120"/>
            </w:pPr>
            <w:r>
              <w:rPr>
                <w:noProof/>
                <w:lang w:val="en-US"/>
              </w:rPr>
              <w:drawing>
                <wp:anchor distT="0" distB="0" distL="114300" distR="114300" simplePos="0" relativeHeight="251660288" behindDoc="1" locked="0" layoutInCell="0" allowOverlap="1" wp14:anchorId="2F6A5BF5" wp14:editId="1735A293">
                  <wp:simplePos x="0" y="0"/>
                  <wp:positionH relativeFrom="column">
                    <wp:posOffset>-175944</wp:posOffset>
                  </wp:positionH>
                  <wp:positionV relativeFrom="paragraph">
                    <wp:posOffset>112395</wp:posOffset>
                  </wp:positionV>
                  <wp:extent cx="760730" cy="67627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60730" cy="676275"/>
                          </a:xfrm>
                          <a:prstGeom prst="rect">
                            <a:avLst/>
                          </a:prstGeom>
                          <a:noFill/>
                        </pic:spPr>
                      </pic:pic>
                    </a:graphicData>
                  </a:graphic>
                  <wp14:sizeRelH relativeFrom="margin">
                    <wp14:pctWidth>0</wp14:pctWidth>
                  </wp14:sizeRelH>
                  <wp14:sizeRelV relativeFrom="margin">
                    <wp14:pctHeight>0</wp14:pctHeight>
                  </wp14:sizeRelV>
                </wp:anchor>
              </w:drawing>
            </w:r>
            <w:r w:rsidR="00E42204">
              <w:rPr>
                <w:noProof/>
                <w:lang w:val="en-US"/>
              </w:rPr>
              <w:drawing>
                <wp:anchor distT="0" distB="0" distL="114300" distR="114300" simplePos="0" relativeHeight="251659264" behindDoc="0" locked="0" layoutInCell="1" allowOverlap="1" wp14:anchorId="4D2DD221" wp14:editId="5AA165F0">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p>
        </w:tc>
        <w:tc>
          <w:tcPr>
            <w:tcW w:w="4991" w:type="dxa"/>
            <w:tcBorders>
              <w:top w:val="nil"/>
              <w:left w:val="nil"/>
              <w:bottom w:val="single" w:sz="36" w:space="0" w:color="auto"/>
              <w:right w:val="nil"/>
            </w:tcBorders>
          </w:tcPr>
          <w:p w14:paraId="47AF33B0" w14:textId="77777777" w:rsidR="00E42204" w:rsidRDefault="00E42204" w:rsidP="008406B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275ED084" w14:textId="77777777" w:rsidR="00E42204" w:rsidRDefault="00E42204" w:rsidP="008406B5">
            <w:pPr>
              <w:rPr>
                <w:rFonts w:ascii="Univers" w:hAnsi="Univers"/>
                <w:b/>
                <w:sz w:val="32"/>
                <w:lang w:val="fr-CA"/>
              </w:rPr>
            </w:pPr>
            <w:r>
              <w:rPr>
                <w:rFonts w:ascii="Univers" w:hAnsi="Univers"/>
                <w:b/>
                <w:sz w:val="32"/>
                <w:lang w:val="fr-CA"/>
              </w:rPr>
              <w:t>Nations Unies pour</w:t>
            </w:r>
          </w:p>
          <w:p w14:paraId="7B721FCE" w14:textId="10BFAD2C" w:rsidR="00E42204" w:rsidRDefault="00E42204" w:rsidP="008406B5">
            <w:pPr>
              <w:rPr>
                <w:rFonts w:ascii="Univers" w:hAnsi="Univers"/>
                <w:b/>
                <w:sz w:val="32"/>
                <w:lang w:val="fr-CA"/>
              </w:rPr>
            </w:pPr>
            <w:r>
              <w:rPr>
                <w:rFonts w:ascii="Univers" w:hAnsi="Univers"/>
                <w:b/>
                <w:sz w:val="32"/>
                <w:lang w:val="fr-CA"/>
              </w:rPr>
              <w:t>l</w:t>
            </w:r>
            <w:r w:rsidR="0048249F">
              <w:rPr>
                <w:rFonts w:ascii="Univers" w:hAnsi="Univers"/>
                <w:b/>
                <w:sz w:val="32"/>
                <w:lang w:val="fr-CA"/>
              </w:rPr>
              <w:t>’</w:t>
            </w:r>
            <w:r>
              <w:rPr>
                <w:rFonts w:ascii="Univers" w:hAnsi="Univers"/>
                <w:b/>
                <w:sz w:val="32"/>
                <w:lang w:val="fr-CA"/>
              </w:rPr>
              <w:t>environnement</w:t>
            </w:r>
          </w:p>
          <w:p w14:paraId="643B2974" w14:textId="77777777" w:rsidR="00E42204" w:rsidRDefault="00E42204" w:rsidP="008406B5">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4CB23EA7" w14:textId="77777777" w:rsidR="00E42204" w:rsidRPr="00C22A06" w:rsidRDefault="00E42204" w:rsidP="008406B5">
            <w:pPr>
              <w:rPr>
                <w:lang w:val="fr-FR"/>
              </w:rPr>
            </w:pPr>
          </w:p>
          <w:p w14:paraId="6D1A5BA4" w14:textId="77777777" w:rsidR="00E42204" w:rsidRPr="00C22A06" w:rsidRDefault="00E42204" w:rsidP="008406B5">
            <w:pPr>
              <w:rPr>
                <w:lang w:val="fr-FR"/>
              </w:rPr>
            </w:pPr>
            <w:r w:rsidRPr="00C22A06">
              <w:rPr>
                <w:lang w:val="fr-FR"/>
              </w:rPr>
              <w:t>Distr.</w:t>
            </w:r>
          </w:p>
          <w:p w14:paraId="273A8DA7" w14:textId="77777777" w:rsidR="00E42204" w:rsidRPr="00C22A06" w:rsidRDefault="00E42204" w:rsidP="008406B5">
            <w:pPr>
              <w:rPr>
                <w:lang w:val="fr-FR"/>
              </w:rPr>
            </w:pPr>
            <w:r w:rsidRPr="00C22A06">
              <w:rPr>
                <w:lang w:val="fr-FR"/>
              </w:rPr>
              <w:t>GÉNÉRALE</w:t>
            </w:r>
          </w:p>
          <w:p w14:paraId="4EB63E9C" w14:textId="0DDBAF5D" w:rsidR="00E42204" w:rsidRPr="00C22A06" w:rsidRDefault="00E42204" w:rsidP="008406B5">
            <w:pPr>
              <w:rPr>
                <w:lang w:val="fr-FR"/>
              </w:rPr>
            </w:pPr>
          </w:p>
          <w:p w14:paraId="408CBA38" w14:textId="43FE2004" w:rsidR="00E42204" w:rsidRPr="00C22A06" w:rsidRDefault="00E42204" w:rsidP="008406B5">
            <w:pPr>
              <w:rPr>
                <w:lang w:val="fr-FR"/>
              </w:rPr>
            </w:pPr>
            <w:r w:rsidRPr="00C22A06">
              <w:rPr>
                <w:lang w:val="fr-FR"/>
              </w:rPr>
              <w:fldChar w:fldCharType="begin"/>
            </w:r>
            <w:r w:rsidRPr="00C22A06">
              <w:rPr>
                <w:lang w:val="fr-FR"/>
              </w:rPr>
              <w:instrText xml:space="preserve"> DOCPROPERTY "Document number"  \* MERGEFORMAT </w:instrText>
            </w:r>
            <w:r w:rsidRPr="00C22A06">
              <w:rPr>
                <w:lang w:val="fr-FR"/>
              </w:rPr>
              <w:fldChar w:fldCharType="separate"/>
            </w:r>
            <w:r w:rsidR="00AF592C">
              <w:rPr>
                <w:lang w:val="fr-FR"/>
              </w:rPr>
              <w:t>UNEP/OzL.Pro/ExCom/86/24</w:t>
            </w:r>
            <w:r w:rsidRPr="00C22A06">
              <w:rPr>
                <w:lang w:val="fr-FR"/>
              </w:rPr>
              <w:fldChar w:fldCharType="end"/>
            </w:r>
          </w:p>
          <w:p w14:paraId="71D0BE1F" w14:textId="7D8A1277" w:rsidR="00E42204" w:rsidRPr="00C22A06" w:rsidRDefault="00E42204" w:rsidP="008406B5">
            <w:pPr>
              <w:rPr>
                <w:lang w:val="fr-FR"/>
              </w:rPr>
            </w:pPr>
            <w:r w:rsidRPr="00C22A06">
              <w:rPr>
                <w:lang w:val="fr-FR"/>
              </w:rPr>
              <w:fldChar w:fldCharType="begin"/>
            </w:r>
            <w:r w:rsidRPr="00C22A06">
              <w:rPr>
                <w:lang w:val="fr-FR"/>
              </w:rPr>
              <w:instrText xml:space="preserve"> DOCPROPERTY "Revision date" \@ "d MMMM YYYY"  \* MERGEFORMAT </w:instrText>
            </w:r>
            <w:r w:rsidRPr="00C22A06">
              <w:rPr>
                <w:lang w:val="fr-FR"/>
              </w:rPr>
              <w:fldChar w:fldCharType="separate"/>
            </w:r>
            <w:r w:rsidRPr="00C22A06">
              <w:rPr>
                <w:lang w:val="fr-FR"/>
              </w:rPr>
              <w:t>2</w:t>
            </w:r>
            <w:r>
              <w:rPr>
                <w:lang w:val="fr-FR"/>
              </w:rPr>
              <w:t xml:space="preserve"> novembre</w:t>
            </w:r>
            <w:r w:rsidRPr="00C22A06">
              <w:rPr>
                <w:lang w:val="fr-FR"/>
              </w:rPr>
              <w:t xml:space="preserve"> 2020</w:t>
            </w:r>
            <w:r w:rsidRPr="00C22A06">
              <w:rPr>
                <w:lang w:val="fr-FR"/>
              </w:rPr>
              <w:fldChar w:fldCharType="end"/>
            </w:r>
          </w:p>
          <w:p w14:paraId="701AABE9" w14:textId="77777777" w:rsidR="00E42204" w:rsidRPr="00C22A06" w:rsidRDefault="00E42204" w:rsidP="008406B5">
            <w:pPr>
              <w:rPr>
                <w:caps/>
                <w:lang w:val="fr-FR"/>
              </w:rPr>
            </w:pPr>
            <w:r w:rsidRPr="00C22A06">
              <w:rPr>
                <w:caps/>
                <w:lang w:val="fr-FR"/>
              </w:rPr>
              <w:br/>
              <w:t>FRANÇAIS</w:t>
            </w:r>
          </w:p>
          <w:p w14:paraId="4A420533" w14:textId="77777777" w:rsidR="00E42204" w:rsidRPr="00C22A06" w:rsidRDefault="00E42204" w:rsidP="008406B5">
            <w:pPr>
              <w:rPr>
                <w:lang w:val="fr-FR"/>
              </w:rPr>
            </w:pPr>
            <w:r w:rsidRPr="00C22A06">
              <w:rPr>
                <w:lang w:val="fr-FR"/>
              </w:rPr>
              <w:t>ORIGINAL : ANGLAIS</w:t>
            </w:r>
          </w:p>
        </w:tc>
      </w:tr>
    </w:tbl>
    <w:p w14:paraId="4CCEF228" w14:textId="0CEA587B" w:rsidR="00E42204" w:rsidRPr="00AF592C" w:rsidRDefault="00E42204" w:rsidP="00E42204">
      <w:pPr>
        <w:jc w:val="left"/>
        <w:rPr>
          <w:lang w:val="fr-CA"/>
        </w:rPr>
      </w:pPr>
      <w:r w:rsidRPr="0067149D">
        <w:rPr>
          <w:lang w:val="fr-FR"/>
        </w:rPr>
        <w:t xml:space="preserve">COMITÉ EXÉCUTIF </w:t>
      </w:r>
      <w:r w:rsidRPr="0067149D">
        <w:rPr>
          <w:lang w:val="fr-FR"/>
        </w:rPr>
        <w:br/>
      </w:r>
      <w:r>
        <w:rPr>
          <w:lang w:val="fr-FR"/>
        </w:rPr>
        <w:t> </w:t>
      </w:r>
      <w:r w:rsidRPr="0067149D">
        <w:rPr>
          <w:lang w:val="fr-FR"/>
        </w:rPr>
        <w:t xml:space="preserve">DU FONDS MULTILATÉRAL AUX FINS </w:t>
      </w:r>
      <w:r w:rsidRPr="0067149D">
        <w:rPr>
          <w:lang w:val="fr-FR"/>
        </w:rPr>
        <w:br/>
      </w:r>
      <w:r>
        <w:rPr>
          <w:lang w:val="fr-FR"/>
        </w:rPr>
        <w:t> </w:t>
      </w:r>
      <w:r w:rsidRPr="0067149D">
        <w:rPr>
          <w:lang w:val="fr-FR"/>
        </w:rPr>
        <w:t>D</w:t>
      </w:r>
      <w:r w:rsidR="0048249F">
        <w:rPr>
          <w:lang w:val="fr-FR"/>
        </w:rPr>
        <w:t>’</w:t>
      </w:r>
      <w:r w:rsidRPr="0067149D">
        <w:rPr>
          <w:lang w:val="fr-FR"/>
        </w:rPr>
        <w:t>APPLICATION DU PROTOCOLE DE MONTRÉAL</w:t>
      </w:r>
      <w:r w:rsidRPr="0067149D">
        <w:rPr>
          <w:lang w:val="fr-FR"/>
        </w:rPr>
        <w:br/>
        <w:t>Quatre-vingt-sixième réunion</w:t>
      </w:r>
    </w:p>
    <w:p w14:paraId="3A2CCF2F" w14:textId="77777777" w:rsidR="00E42204" w:rsidRPr="00AF592C" w:rsidRDefault="00E42204" w:rsidP="00E42204">
      <w:pPr>
        <w:jc w:val="left"/>
        <w:rPr>
          <w:lang w:val="fr-CA"/>
        </w:rPr>
      </w:pPr>
      <w:r w:rsidRPr="0067149D">
        <w:rPr>
          <w:lang w:val="fr-FR"/>
        </w:rPr>
        <w:t>Montréal, 2 – 6 novembre 2020</w:t>
      </w:r>
    </w:p>
    <w:p w14:paraId="64151211" w14:textId="77777777" w:rsidR="00E42204" w:rsidRPr="00AF592C" w:rsidRDefault="00E42204" w:rsidP="00E42204">
      <w:pPr>
        <w:tabs>
          <w:tab w:val="left" w:pos="8280"/>
        </w:tabs>
        <w:rPr>
          <w:lang w:val="fr-CA"/>
        </w:rPr>
      </w:pPr>
      <w:r w:rsidRPr="0067149D">
        <w:rPr>
          <w:lang w:val="fr-FR"/>
        </w:rPr>
        <w:t>Reportée : 8 – 12 mars 2021</w:t>
      </w:r>
      <w:r w:rsidRPr="0067149D">
        <w:rPr>
          <w:rStyle w:val="FootnoteReference"/>
          <w:lang w:val="fr-FR"/>
        </w:rPr>
        <w:footnoteReference w:id="1"/>
      </w:r>
    </w:p>
    <w:p w14:paraId="15677757" w14:textId="467D1827" w:rsidR="003C12E2" w:rsidRPr="00AF592C" w:rsidRDefault="003C12E2" w:rsidP="00857077">
      <w:pPr>
        <w:jc w:val="left"/>
        <w:rPr>
          <w:lang w:val="fr-CA"/>
        </w:rPr>
      </w:pPr>
    </w:p>
    <w:p w14:paraId="5671621C" w14:textId="77777777" w:rsidR="000F4FB3" w:rsidRDefault="000F4FB3" w:rsidP="000B5919">
      <w:pPr>
        <w:pStyle w:val="Title1"/>
        <w:rPr>
          <w:bCs/>
          <w:lang w:val="fr-FR"/>
        </w:rPr>
      </w:pPr>
    </w:p>
    <w:p w14:paraId="6739A709" w14:textId="77777777" w:rsidR="000F4FB3" w:rsidRDefault="000F4FB3" w:rsidP="000B5919">
      <w:pPr>
        <w:pStyle w:val="Title1"/>
        <w:rPr>
          <w:bCs/>
          <w:lang w:val="fr-FR"/>
        </w:rPr>
      </w:pPr>
    </w:p>
    <w:p w14:paraId="155FA790" w14:textId="44301806" w:rsidR="00FC5E69" w:rsidRDefault="00AF592C" w:rsidP="000B5919">
      <w:pPr>
        <w:pStyle w:val="Title1"/>
        <w:rPr>
          <w:bCs/>
          <w:caps w:val="0"/>
          <w:lang w:val="fr-FR"/>
        </w:rPr>
      </w:pPr>
      <w:r w:rsidRPr="000B5919">
        <w:rPr>
          <w:bCs/>
          <w:caps w:val="0"/>
          <w:lang w:val="fr-FR"/>
        </w:rPr>
        <w:t>RETARDS DANS LA SOUMISSION DES TRANCHES</w:t>
      </w:r>
    </w:p>
    <w:p w14:paraId="04168536" w14:textId="77777777" w:rsidR="00B67439" w:rsidRPr="00AF592C" w:rsidRDefault="00B67439" w:rsidP="000B5919">
      <w:pPr>
        <w:pStyle w:val="Title1"/>
        <w:rPr>
          <w:bCs/>
          <w:lang w:val="fr-CA"/>
        </w:rPr>
      </w:pPr>
    </w:p>
    <w:p w14:paraId="11ABFEC8" w14:textId="77777777" w:rsidR="00FC5E69" w:rsidRPr="00AF592C" w:rsidRDefault="00FC5E69" w:rsidP="00FC5E69">
      <w:pPr>
        <w:pStyle w:val="StyleHeader4Para4Left0Firstline0"/>
        <w:numPr>
          <w:ilvl w:val="0"/>
          <w:numId w:val="0"/>
        </w:numPr>
        <w:spacing w:after="0"/>
        <w:rPr>
          <w:sz w:val="22"/>
          <w:lang w:val="fr-CA"/>
        </w:rPr>
      </w:pPr>
    </w:p>
    <w:p w14:paraId="0E59EC5E" w14:textId="3A14FE4D" w:rsidR="00FC5E69" w:rsidRPr="000B5919" w:rsidRDefault="000B5919" w:rsidP="000B5919">
      <w:pPr>
        <w:spacing w:after="240"/>
        <w:rPr>
          <w:b/>
          <w:lang w:val="en-CA"/>
        </w:rPr>
      </w:pPr>
      <w:r w:rsidRPr="000B5919">
        <w:rPr>
          <w:b/>
          <w:lang w:val="fr-FR"/>
        </w:rPr>
        <w:t>Introduction </w:t>
      </w:r>
    </w:p>
    <w:p w14:paraId="01BCBE44" w14:textId="18C4A1B4" w:rsidR="000B5919" w:rsidRPr="00AF592C" w:rsidRDefault="000B5919" w:rsidP="000B5919">
      <w:pPr>
        <w:pStyle w:val="Heading1"/>
        <w:rPr>
          <w:lang w:val="fr-CA"/>
        </w:rPr>
      </w:pPr>
      <w:r w:rsidRPr="000B5919">
        <w:rPr>
          <w:lang w:val="fr-FR"/>
        </w:rPr>
        <w:t>Conformément à la décision 47/50(d)</w:t>
      </w:r>
      <w:r w:rsidRPr="000B5919">
        <w:rPr>
          <w:rStyle w:val="FootnoteReference"/>
          <w:lang w:val="fr-FR"/>
        </w:rPr>
        <w:footnoteReference w:id="2"/>
      </w:r>
      <w:r w:rsidRPr="000B5919">
        <w:rPr>
          <w:lang w:val="fr-FR"/>
        </w:rPr>
        <w:t>,</w:t>
      </w:r>
      <w:r w:rsidR="00DA1968">
        <w:rPr>
          <w:lang w:val="fr-FR"/>
        </w:rPr>
        <w:t xml:space="preserve"> </w:t>
      </w:r>
      <w:r w:rsidRPr="000B5919">
        <w:rPr>
          <w:lang w:val="fr-FR"/>
        </w:rPr>
        <w:t>le Secrétariat a préparé le présent document.</w:t>
      </w:r>
      <w:r w:rsidRPr="00AF592C">
        <w:rPr>
          <w:lang w:val="fr-CA"/>
        </w:rPr>
        <w:t xml:space="preserve"> </w:t>
      </w:r>
    </w:p>
    <w:p w14:paraId="19692B56" w14:textId="0E5A56FE" w:rsidR="000B5919" w:rsidRPr="00AF592C" w:rsidRDefault="000B5919" w:rsidP="000B5919">
      <w:pPr>
        <w:pStyle w:val="Heading1"/>
        <w:rPr>
          <w:lang w:val="fr-CA"/>
        </w:rPr>
      </w:pPr>
      <w:r w:rsidRPr="000B5919">
        <w:rPr>
          <w:lang w:val="fr-FR"/>
        </w:rPr>
        <w:t>En raison du coronavirus (COVID-19), la 85</w:t>
      </w:r>
      <w:r w:rsidRPr="000B5919">
        <w:rPr>
          <w:vertAlign w:val="superscript"/>
          <w:lang w:val="fr-FR"/>
        </w:rPr>
        <w:t>e</w:t>
      </w:r>
      <w:r w:rsidR="00B81C1B">
        <w:rPr>
          <w:lang w:val="fr-FR"/>
        </w:rPr>
        <w:t xml:space="preserve"> </w:t>
      </w:r>
      <w:r w:rsidRPr="000B5919">
        <w:rPr>
          <w:lang w:val="fr-FR"/>
        </w:rPr>
        <w:t>réunion a été remise à plus tard et le Comité exécutif a accepté de mettre en place un processus d</w:t>
      </w:r>
      <w:r w:rsidR="0048249F">
        <w:rPr>
          <w:lang w:val="fr-FR"/>
        </w:rPr>
        <w:t>’</w:t>
      </w:r>
      <w:r w:rsidRPr="000B5919">
        <w:rPr>
          <w:lang w:val="fr-FR"/>
        </w:rPr>
        <w:t>approbation en période intersessions (IAP) afin d</w:t>
      </w:r>
      <w:r w:rsidR="0048249F">
        <w:rPr>
          <w:lang w:val="fr-FR"/>
        </w:rPr>
        <w:t>’</w:t>
      </w:r>
      <w:r w:rsidRPr="000B5919">
        <w:rPr>
          <w:lang w:val="fr-FR"/>
        </w:rPr>
        <w:t>examiner certains rapports et projets.</w:t>
      </w:r>
      <w:r w:rsidRPr="00AF592C">
        <w:rPr>
          <w:lang w:val="fr-CA"/>
        </w:rPr>
        <w:t xml:space="preserve"> </w:t>
      </w:r>
      <w:r w:rsidRPr="000B5919">
        <w:rPr>
          <w:lang w:val="fr-FR"/>
        </w:rPr>
        <w:t>Le Comité exécutif a également convenu que la 86</w:t>
      </w:r>
      <w:r w:rsidRPr="000B5919">
        <w:rPr>
          <w:vertAlign w:val="superscript"/>
          <w:lang w:val="fr-FR"/>
        </w:rPr>
        <w:t>e</w:t>
      </w:r>
      <w:r w:rsidRPr="000B5919">
        <w:rPr>
          <w:lang w:val="fr-FR"/>
        </w:rPr>
        <w:t xml:space="preserve"> réunion examinerait les points de l</w:t>
      </w:r>
      <w:r w:rsidR="0048249F">
        <w:rPr>
          <w:lang w:val="fr-FR"/>
        </w:rPr>
        <w:t>’</w:t>
      </w:r>
      <w:r w:rsidRPr="000B5919">
        <w:rPr>
          <w:lang w:val="fr-FR"/>
        </w:rPr>
        <w:t>ordre du jour restants de la 85</w:t>
      </w:r>
      <w:r w:rsidRPr="000B5919">
        <w:rPr>
          <w:vertAlign w:val="superscript"/>
          <w:lang w:val="fr-FR"/>
        </w:rPr>
        <w:t>e</w:t>
      </w:r>
      <w:r w:rsidRPr="000B5919">
        <w:rPr>
          <w:lang w:val="fr-FR"/>
        </w:rPr>
        <w:t xml:space="preserve"> réunion, prenant note que les documents de la 85</w:t>
      </w:r>
      <w:r w:rsidRPr="000B5919">
        <w:rPr>
          <w:vertAlign w:val="superscript"/>
          <w:lang w:val="fr-FR"/>
        </w:rPr>
        <w:t>e</w:t>
      </w:r>
      <w:r w:rsidRPr="000B5919">
        <w:rPr>
          <w:lang w:val="fr-FR"/>
        </w:rPr>
        <w:t xml:space="preserve"> réunion se rapportant à des points habituellement inscrits à l</w:t>
      </w:r>
      <w:r w:rsidR="0048249F">
        <w:rPr>
          <w:lang w:val="fr-FR"/>
        </w:rPr>
        <w:t>’</w:t>
      </w:r>
      <w:r w:rsidRPr="000B5919">
        <w:rPr>
          <w:lang w:val="fr-FR"/>
        </w:rPr>
        <w:t>ordre du jour, notamment les retards de soumission de tranches, qui n</w:t>
      </w:r>
      <w:r w:rsidR="0048249F">
        <w:rPr>
          <w:lang w:val="fr-FR"/>
        </w:rPr>
        <w:t>’</w:t>
      </w:r>
      <w:r w:rsidRPr="000B5919">
        <w:rPr>
          <w:lang w:val="fr-FR"/>
        </w:rPr>
        <w:t>ont pas été présentés à la 85</w:t>
      </w:r>
      <w:r w:rsidRPr="000B5919">
        <w:rPr>
          <w:vertAlign w:val="superscript"/>
          <w:lang w:val="fr-FR"/>
        </w:rPr>
        <w:t>e</w:t>
      </w:r>
      <w:r w:rsidRPr="000B5919">
        <w:rPr>
          <w:lang w:val="fr-FR"/>
        </w:rPr>
        <w:t xml:space="preserve"> réunion</w:t>
      </w:r>
      <w:r w:rsidR="00DA1968">
        <w:rPr>
          <w:lang w:val="fr-FR"/>
        </w:rPr>
        <w:t>,</w:t>
      </w:r>
      <w:r w:rsidRPr="000B5919">
        <w:rPr>
          <w:lang w:val="fr-FR"/>
        </w:rPr>
        <w:t xml:space="preserve"> pourront être soumis à la 86</w:t>
      </w:r>
      <w:r w:rsidRPr="000B5919">
        <w:rPr>
          <w:vertAlign w:val="superscript"/>
          <w:lang w:val="fr-FR"/>
        </w:rPr>
        <w:t>e</w:t>
      </w:r>
      <w:r w:rsidRPr="000B5919">
        <w:rPr>
          <w:lang w:val="fr-FR"/>
        </w:rPr>
        <w:t xml:space="preserve"> réunion et devront inclure, le cas échéant, les informations qui auraient dû être présentées à la 85</w:t>
      </w:r>
      <w:r w:rsidRPr="000B5919">
        <w:rPr>
          <w:vertAlign w:val="superscript"/>
          <w:lang w:val="fr-FR"/>
        </w:rPr>
        <w:t>e</w:t>
      </w:r>
      <w:r w:rsidRPr="000B5919">
        <w:rPr>
          <w:lang w:val="fr-FR"/>
        </w:rPr>
        <w:t xml:space="preserve"> réunion.</w:t>
      </w:r>
      <w:r w:rsidRPr="00AF592C">
        <w:rPr>
          <w:lang w:val="fr-CA"/>
        </w:rPr>
        <w:t xml:space="preserve"> </w:t>
      </w:r>
    </w:p>
    <w:p w14:paraId="593A8392" w14:textId="4CE93A8C" w:rsidR="000F4FB3" w:rsidRPr="00AF592C" w:rsidRDefault="000B5919" w:rsidP="00AF592C">
      <w:pPr>
        <w:pStyle w:val="Heading1"/>
        <w:rPr>
          <w:lang w:val="fr-CA"/>
        </w:rPr>
      </w:pPr>
      <w:r w:rsidRPr="000F4FB3">
        <w:rPr>
          <w:lang w:val="fr-FR"/>
        </w:rPr>
        <w:t xml:space="preserve">De ce fait, le présent document expose les actions menées par le Secrétariat en réponse aux décisions </w:t>
      </w:r>
      <w:r w:rsidR="000F4FB3">
        <w:rPr>
          <w:lang w:val="fr-FR"/>
        </w:rPr>
        <w:t xml:space="preserve">adoptées </w:t>
      </w:r>
      <w:r w:rsidRPr="000F4FB3">
        <w:rPr>
          <w:lang w:val="fr-FR"/>
        </w:rPr>
        <w:t>lors de la 84</w:t>
      </w:r>
      <w:r w:rsidRPr="000F4FB3">
        <w:rPr>
          <w:vertAlign w:val="superscript"/>
          <w:lang w:val="fr-FR"/>
        </w:rPr>
        <w:t>e</w:t>
      </w:r>
      <w:r w:rsidRPr="000F4FB3">
        <w:rPr>
          <w:lang w:val="fr-FR"/>
        </w:rPr>
        <w:t xml:space="preserve"> réunion</w:t>
      </w:r>
      <w:r w:rsidR="000F4FB3">
        <w:rPr>
          <w:lang w:val="fr-FR"/>
        </w:rPr>
        <w:t xml:space="preserve"> </w:t>
      </w:r>
      <w:r w:rsidR="000F4FB3" w:rsidRPr="000F4FB3">
        <w:rPr>
          <w:lang w:val="fr-FR"/>
        </w:rPr>
        <w:t>sur les retards de soumission de tranches</w:t>
      </w:r>
      <w:r w:rsidRPr="000F4FB3">
        <w:rPr>
          <w:lang w:val="fr-FR"/>
        </w:rPr>
        <w:t xml:space="preserve">, </w:t>
      </w:r>
      <w:r w:rsidR="000F4FB3">
        <w:rPr>
          <w:lang w:val="fr-FR"/>
        </w:rPr>
        <w:t>des statistiques relatives aux soumissions de tranches lors de la 85</w:t>
      </w:r>
      <w:r w:rsidR="000F4FB3" w:rsidRPr="000F4FB3">
        <w:rPr>
          <w:vertAlign w:val="superscript"/>
          <w:lang w:val="fr-FR"/>
        </w:rPr>
        <w:t>e</w:t>
      </w:r>
      <w:r w:rsidR="000F4FB3">
        <w:rPr>
          <w:lang w:val="fr-FR"/>
        </w:rPr>
        <w:t xml:space="preserve"> réunion ; </w:t>
      </w:r>
      <w:r w:rsidRPr="000F4FB3">
        <w:rPr>
          <w:lang w:val="fr-FR"/>
        </w:rPr>
        <w:t xml:space="preserve">une analyse de chacune des tranches </w:t>
      </w:r>
      <w:r w:rsidR="000F4FB3">
        <w:rPr>
          <w:lang w:val="fr-FR"/>
        </w:rPr>
        <w:t xml:space="preserve">qui aurait dû </w:t>
      </w:r>
      <w:r w:rsidRPr="000F4FB3">
        <w:rPr>
          <w:lang w:val="fr-FR"/>
        </w:rPr>
        <w:t>être présentée mais n</w:t>
      </w:r>
      <w:r w:rsidR="0048249F" w:rsidRPr="000F4FB3">
        <w:rPr>
          <w:lang w:val="fr-FR"/>
        </w:rPr>
        <w:t>’</w:t>
      </w:r>
      <w:r w:rsidRPr="000F4FB3">
        <w:rPr>
          <w:lang w:val="fr-FR"/>
        </w:rPr>
        <w:t>ayant pas été soumise à la 86</w:t>
      </w:r>
      <w:r w:rsidRPr="000F4FB3">
        <w:rPr>
          <w:vertAlign w:val="superscript"/>
          <w:lang w:val="fr-FR"/>
        </w:rPr>
        <w:t>e</w:t>
      </w:r>
      <w:r w:rsidR="00B81C1B" w:rsidRPr="000F4FB3">
        <w:rPr>
          <w:lang w:val="fr-FR"/>
        </w:rPr>
        <w:t xml:space="preserve"> </w:t>
      </w:r>
      <w:r w:rsidRPr="000F4FB3">
        <w:rPr>
          <w:lang w:val="fr-FR"/>
        </w:rPr>
        <w:t>réunion, et des tranches présentées avant d</w:t>
      </w:r>
      <w:r w:rsidR="0048249F" w:rsidRPr="000F4FB3">
        <w:rPr>
          <w:lang w:val="fr-FR"/>
        </w:rPr>
        <w:t>’</w:t>
      </w:r>
      <w:r w:rsidRPr="000F4FB3">
        <w:rPr>
          <w:lang w:val="fr-FR"/>
        </w:rPr>
        <w:t>être ensuite retirées au cours du processus d</w:t>
      </w:r>
      <w:r w:rsidR="0048249F" w:rsidRPr="000F4FB3">
        <w:rPr>
          <w:lang w:val="fr-FR"/>
        </w:rPr>
        <w:t>’</w:t>
      </w:r>
      <w:r w:rsidRPr="000F4FB3">
        <w:rPr>
          <w:lang w:val="fr-FR"/>
        </w:rPr>
        <w:t>examen</w:t>
      </w:r>
      <w:r w:rsidR="00E42204" w:rsidRPr="000F4FB3">
        <w:rPr>
          <w:lang w:val="fr-FR"/>
        </w:rPr>
        <w:t xml:space="preserve"> </w:t>
      </w:r>
      <w:r w:rsidRPr="000F4FB3">
        <w:rPr>
          <w:lang w:val="fr-FR"/>
        </w:rPr>
        <w:t>des projets.</w:t>
      </w:r>
      <w:r w:rsidRPr="00AF592C">
        <w:rPr>
          <w:lang w:val="fr-CA"/>
        </w:rPr>
        <w:t xml:space="preserve"> </w:t>
      </w:r>
      <w:r w:rsidRPr="000F4FB3">
        <w:rPr>
          <w:lang w:val="fr-FR"/>
        </w:rPr>
        <w:t>Il donne également une vue d</w:t>
      </w:r>
      <w:r w:rsidR="0048249F" w:rsidRPr="000F4FB3">
        <w:rPr>
          <w:lang w:val="fr-FR"/>
        </w:rPr>
        <w:t>’</w:t>
      </w:r>
      <w:r w:rsidRPr="000F4FB3">
        <w:rPr>
          <w:lang w:val="fr-FR"/>
        </w:rPr>
        <w:t>ensemble des raisons expliquant les retards et leurs incidences sur la conformité des pays avec leurs obligations au titre du Protocole de Montréal, ainsi qu</w:t>
      </w:r>
      <w:r w:rsidR="0048249F" w:rsidRPr="000F4FB3">
        <w:rPr>
          <w:lang w:val="fr-FR"/>
        </w:rPr>
        <w:t>’</w:t>
      </w:r>
      <w:r w:rsidRPr="000F4FB3">
        <w:rPr>
          <w:lang w:val="fr-FR"/>
        </w:rPr>
        <w:t>une recommandation.</w:t>
      </w:r>
      <w:r w:rsidRPr="00AF592C">
        <w:rPr>
          <w:lang w:val="fr-CA"/>
        </w:rPr>
        <w:t xml:space="preserve"> </w:t>
      </w:r>
    </w:p>
    <w:p w14:paraId="2866E9FD" w14:textId="34D6630A" w:rsidR="00FC5E69" w:rsidRPr="00AF592C" w:rsidRDefault="000F4FB3" w:rsidP="00AF592C">
      <w:pPr>
        <w:pStyle w:val="Heading1"/>
        <w:keepNext/>
        <w:keepLines/>
        <w:numPr>
          <w:ilvl w:val="0"/>
          <w:numId w:val="0"/>
        </w:numPr>
        <w:rPr>
          <w:b/>
          <w:lang w:val="fr-CA"/>
        </w:rPr>
      </w:pPr>
      <w:r w:rsidRPr="000F4FB3">
        <w:rPr>
          <w:b/>
          <w:lang w:val="fr-FR"/>
        </w:rPr>
        <w:lastRenderedPageBreak/>
        <w:t>S</w:t>
      </w:r>
      <w:r w:rsidR="000B5919" w:rsidRPr="000F4FB3">
        <w:rPr>
          <w:b/>
          <w:lang w:val="fr-FR"/>
        </w:rPr>
        <w:t>uite donnée aux décisions prises sur les retards de soumission de tranches lors de la 84</w:t>
      </w:r>
      <w:r w:rsidR="000B5919" w:rsidRPr="000F4FB3">
        <w:rPr>
          <w:b/>
          <w:vertAlign w:val="superscript"/>
          <w:lang w:val="fr-FR"/>
        </w:rPr>
        <w:t>e</w:t>
      </w:r>
      <w:r w:rsidR="000B5919" w:rsidRPr="000F4FB3">
        <w:rPr>
          <w:b/>
          <w:lang w:val="fr-FR"/>
        </w:rPr>
        <w:t xml:space="preserve"> réunion et statistiques relatives à la soumission de tranches lors de la 85</w:t>
      </w:r>
      <w:r w:rsidR="000B5919" w:rsidRPr="000F4FB3">
        <w:rPr>
          <w:b/>
          <w:vertAlign w:val="superscript"/>
          <w:lang w:val="fr-FR"/>
        </w:rPr>
        <w:t>e</w:t>
      </w:r>
      <w:r w:rsidR="000B5919" w:rsidRPr="000F4FB3">
        <w:rPr>
          <w:b/>
          <w:lang w:val="fr-FR"/>
        </w:rPr>
        <w:t xml:space="preserve"> réunion</w:t>
      </w:r>
    </w:p>
    <w:p w14:paraId="69B29F0E" w14:textId="2099503A" w:rsidR="000B5919" w:rsidRPr="00AF592C" w:rsidRDefault="000F4FB3" w:rsidP="00AF592C">
      <w:pPr>
        <w:pStyle w:val="Heading1"/>
        <w:widowControl w:val="0"/>
        <w:rPr>
          <w:lang w:val="fr-CA"/>
        </w:rPr>
      </w:pPr>
      <w:r>
        <w:rPr>
          <w:lang w:val="fr-FR"/>
        </w:rPr>
        <w:t>Lors de la</w:t>
      </w:r>
      <w:r w:rsidR="000B5919" w:rsidRPr="000B5919">
        <w:rPr>
          <w:lang w:val="fr-FR"/>
        </w:rPr>
        <w:t xml:space="preserve"> 84</w:t>
      </w:r>
      <w:r w:rsidR="000B5919" w:rsidRPr="000B5919">
        <w:rPr>
          <w:vertAlign w:val="superscript"/>
          <w:lang w:val="fr-FR"/>
        </w:rPr>
        <w:t>e</w:t>
      </w:r>
      <w:r w:rsidR="000B5919" w:rsidRPr="000B5919">
        <w:rPr>
          <w:lang w:val="fr-FR"/>
        </w:rPr>
        <w:t xml:space="preserve"> réunion, sur les 30 pays qui devaient présenter des demandes de financement de tranches, 10</w:t>
      </w:r>
      <w:r w:rsidR="000B5919" w:rsidRPr="000B5919">
        <w:rPr>
          <w:rStyle w:val="FootnoteReference"/>
          <w:lang w:val="fr-FR"/>
        </w:rPr>
        <w:footnoteReference w:id="3"/>
      </w:r>
      <w:r w:rsidR="000B5919" w:rsidRPr="000B5919">
        <w:rPr>
          <w:lang w:val="fr-FR"/>
        </w:rPr>
        <w:t xml:space="preserve"> ne l</w:t>
      </w:r>
      <w:r w:rsidR="0048249F">
        <w:rPr>
          <w:lang w:val="fr-FR"/>
        </w:rPr>
        <w:t>’</w:t>
      </w:r>
      <w:r w:rsidR="000B5919" w:rsidRPr="000B5919">
        <w:rPr>
          <w:lang w:val="fr-FR"/>
        </w:rPr>
        <w:t>ont pas fait dans les délais prévus, soit un taux de non-remise de 33 pour cent.</w:t>
      </w:r>
      <w:r w:rsidR="000B5919" w:rsidRPr="00AF592C">
        <w:rPr>
          <w:lang w:val="fr-CA"/>
        </w:rPr>
        <w:t xml:space="preserve"> </w:t>
      </w:r>
      <w:r w:rsidR="00C523CB" w:rsidRPr="00C523CB">
        <w:rPr>
          <w:lang w:val="fr-FR"/>
        </w:rPr>
        <w:t xml:space="preserve">Le Comité exécutif a ensuite demandé au Secrétariat </w:t>
      </w:r>
      <w:r w:rsidR="00DA1968" w:rsidRPr="00C523CB">
        <w:rPr>
          <w:lang w:val="fr-FR"/>
        </w:rPr>
        <w:t xml:space="preserve">entre autres </w:t>
      </w:r>
      <w:r w:rsidR="00C523CB" w:rsidRPr="00C523CB">
        <w:rPr>
          <w:lang w:val="fr-FR"/>
        </w:rPr>
        <w:t>d</w:t>
      </w:r>
      <w:r w:rsidR="0048249F">
        <w:rPr>
          <w:lang w:val="fr-FR"/>
        </w:rPr>
        <w:t>’</w:t>
      </w:r>
      <w:r w:rsidR="00C523CB" w:rsidRPr="00C523CB">
        <w:rPr>
          <w:lang w:val="fr-FR"/>
        </w:rPr>
        <w:t>écrire aux gouvernements concernés pour les informer des décisions prises sur les retards de soumission de tranches figurant dans l</w:t>
      </w:r>
      <w:r w:rsidR="0048249F">
        <w:rPr>
          <w:lang w:val="fr-FR"/>
        </w:rPr>
        <w:t>’</w:t>
      </w:r>
      <w:r w:rsidR="00C523CB" w:rsidRPr="00C523CB">
        <w:rPr>
          <w:lang w:val="fr-FR"/>
        </w:rPr>
        <w:t>Annexe IX au rapport de la 84</w:t>
      </w:r>
      <w:r w:rsidR="00C523CB" w:rsidRPr="00C523CB">
        <w:rPr>
          <w:vertAlign w:val="superscript"/>
          <w:lang w:val="fr-FR"/>
        </w:rPr>
        <w:t>e</w:t>
      </w:r>
      <w:r w:rsidR="00C523CB" w:rsidRPr="00C523CB">
        <w:rPr>
          <w:lang w:val="fr-FR"/>
        </w:rPr>
        <w:t xml:space="preserve"> réunion (décision 84/45(b)).</w:t>
      </w:r>
    </w:p>
    <w:p w14:paraId="459CC25F" w14:textId="0444DCC7" w:rsidR="00C523CB" w:rsidRPr="00AF592C" w:rsidRDefault="00C523CB" w:rsidP="00C523CB">
      <w:pPr>
        <w:pStyle w:val="Heading1"/>
        <w:rPr>
          <w:lang w:val="fr-CA"/>
        </w:rPr>
      </w:pPr>
      <w:r w:rsidRPr="00C523CB">
        <w:rPr>
          <w:lang w:val="fr-FR"/>
        </w:rPr>
        <w:t>Conformément à la décision 84/45(b), le Secrétariat a envoyé des lettres aux gouvernements de sept pays visés à l</w:t>
      </w:r>
      <w:r w:rsidR="0048249F">
        <w:rPr>
          <w:lang w:val="fr-FR"/>
        </w:rPr>
        <w:t>’</w:t>
      </w:r>
      <w:r w:rsidRPr="00C523CB">
        <w:rPr>
          <w:lang w:val="fr-FR"/>
        </w:rPr>
        <w:t xml:space="preserve">Article 5, les </w:t>
      </w:r>
      <w:r w:rsidR="00DA1968">
        <w:rPr>
          <w:lang w:val="fr-FR"/>
        </w:rPr>
        <w:t xml:space="preserve">invitant instamment </w:t>
      </w:r>
      <w:r w:rsidRPr="00C523CB">
        <w:rPr>
          <w:lang w:val="fr-FR"/>
        </w:rPr>
        <w:t>à soumettre la tranche suivante de leur plan de gestion de l</w:t>
      </w:r>
      <w:r w:rsidR="0048249F">
        <w:rPr>
          <w:lang w:val="fr-FR"/>
        </w:rPr>
        <w:t>’</w:t>
      </w:r>
      <w:r w:rsidRPr="00C523CB">
        <w:rPr>
          <w:lang w:val="fr-FR"/>
        </w:rPr>
        <w:t>élimination des HCFC (PGEH) à la 85</w:t>
      </w:r>
      <w:r w:rsidRPr="00C523CB">
        <w:rPr>
          <w:vertAlign w:val="superscript"/>
          <w:lang w:val="fr-FR"/>
        </w:rPr>
        <w:t>e</w:t>
      </w:r>
      <w:r w:rsidRPr="00C523CB">
        <w:rPr>
          <w:lang w:val="fr-FR"/>
        </w:rPr>
        <w:t xml:space="preserve"> réunion</w:t>
      </w:r>
      <w:r w:rsidR="000F4FB3">
        <w:rPr>
          <w:lang w:val="fr-FR"/>
        </w:rPr>
        <w:t>.</w:t>
      </w:r>
      <w:r w:rsidRPr="00AF592C">
        <w:rPr>
          <w:lang w:val="fr-CA"/>
        </w:rPr>
        <w:t xml:space="preserve"> </w:t>
      </w:r>
      <w:r w:rsidRPr="00C523CB">
        <w:rPr>
          <w:lang w:val="fr-FR"/>
        </w:rPr>
        <w:t xml:space="preserve">En conséquence, les gouvernements de la Guinée, du Pérou et du Sénégal ont </w:t>
      </w:r>
      <w:r>
        <w:rPr>
          <w:lang w:val="fr-FR"/>
        </w:rPr>
        <w:t xml:space="preserve">présenté la </w:t>
      </w:r>
      <w:r w:rsidRPr="00C523CB">
        <w:rPr>
          <w:lang w:val="fr-FR"/>
        </w:rPr>
        <w:t>tranche respective de leur PGEH à la 85</w:t>
      </w:r>
      <w:r w:rsidRPr="00C523CB">
        <w:rPr>
          <w:vertAlign w:val="superscript"/>
          <w:lang w:val="fr-FR"/>
        </w:rPr>
        <w:t>e</w:t>
      </w:r>
      <w:r w:rsidRPr="00C523CB">
        <w:rPr>
          <w:lang w:val="fr-FR"/>
        </w:rPr>
        <w:t xml:space="preserve"> réunion.</w:t>
      </w:r>
      <w:r w:rsidRPr="00AF592C">
        <w:rPr>
          <w:lang w:val="fr-CA"/>
        </w:rPr>
        <w:t xml:space="preserve"> </w:t>
      </w:r>
      <w:r w:rsidRPr="00C523CB">
        <w:rPr>
          <w:lang w:val="fr-FR"/>
        </w:rPr>
        <w:t xml:space="preserve">Par contre, les </w:t>
      </w:r>
      <w:r w:rsidR="0048249F" w:rsidRPr="00C523CB">
        <w:rPr>
          <w:lang w:val="fr-FR"/>
        </w:rPr>
        <w:t>gouvernements</w:t>
      </w:r>
      <w:r w:rsidRPr="00C523CB">
        <w:rPr>
          <w:lang w:val="fr-FR"/>
        </w:rPr>
        <w:t xml:space="preserve"> des Philippines, de Saint-Vincent-et-les-Grenadines, de l</w:t>
      </w:r>
      <w:r w:rsidR="0048249F">
        <w:rPr>
          <w:lang w:val="fr-FR"/>
        </w:rPr>
        <w:t>’</w:t>
      </w:r>
      <w:r w:rsidRPr="00C523CB">
        <w:rPr>
          <w:lang w:val="fr-FR"/>
        </w:rPr>
        <w:t>Arabie Saoudite et du Soudan du Sud n</w:t>
      </w:r>
      <w:r w:rsidR="0048249F">
        <w:rPr>
          <w:lang w:val="fr-FR"/>
        </w:rPr>
        <w:t>’</w:t>
      </w:r>
      <w:r w:rsidRPr="00C523CB">
        <w:rPr>
          <w:lang w:val="fr-FR"/>
        </w:rPr>
        <w:t>ont pas soumis leur demande de tranche.</w:t>
      </w:r>
      <w:r w:rsidRPr="00AF592C">
        <w:rPr>
          <w:lang w:val="fr-CA"/>
        </w:rPr>
        <w:t xml:space="preserve"> </w:t>
      </w:r>
    </w:p>
    <w:p w14:paraId="1EFF2FD2" w14:textId="05737DB1" w:rsidR="00C523CB" w:rsidRPr="00AF592C" w:rsidRDefault="00C523CB" w:rsidP="00C523CB">
      <w:pPr>
        <w:pStyle w:val="Heading1"/>
        <w:keepNext/>
        <w:rPr>
          <w:lang w:val="fr-CA"/>
        </w:rPr>
      </w:pPr>
      <w:r w:rsidRPr="00C523CB">
        <w:rPr>
          <w:lang w:val="fr-FR"/>
        </w:rPr>
        <w:t>À la 85</w:t>
      </w:r>
      <w:r w:rsidRPr="00C523CB">
        <w:rPr>
          <w:vertAlign w:val="superscript"/>
          <w:lang w:val="fr-FR"/>
        </w:rPr>
        <w:t>e</w:t>
      </w:r>
      <w:r w:rsidRPr="00C523CB">
        <w:rPr>
          <w:lang w:val="fr-FR"/>
        </w:rPr>
        <w:t xml:space="preserve"> réunion, sur les 78 pays qui devaient présenter des demandes de financement de tranches 30 ne l</w:t>
      </w:r>
      <w:r w:rsidR="0048249F">
        <w:rPr>
          <w:lang w:val="fr-FR"/>
        </w:rPr>
        <w:t>’</w:t>
      </w:r>
      <w:r w:rsidRPr="00C523CB">
        <w:rPr>
          <w:lang w:val="fr-FR"/>
        </w:rPr>
        <w:t>ont pas fait dans les délais prévus, soit un taux de non-remise de 38 pour cent.</w:t>
      </w:r>
      <w:r w:rsidRPr="00AF592C">
        <w:rPr>
          <w:lang w:val="fr-CA"/>
        </w:rPr>
        <w:t xml:space="preserve"> </w:t>
      </w:r>
      <w:r w:rsidRPr="00C523CB">
        <w:rPr>
          <w:lang w:val="fr-FR"/>
        </w:rPr>
        <w:t>En outre, une tranche liée à la phase I du PGEH d</w:t>
      </w:r>
      <w:r w:rsidR="0048249F">
        <w:rPr>
          <w:lang w:val="fr-FR"/>
        </w:rPr>
        <w:t>’</w:t>
      </w:r>
      <w:r w:rsidRPr="00C523CB">
        <w:rPr>
          <w:lang w:val="fr-FR"/>
        </w:rPr>
        <w:t>un pays (Honduras) a été soumise à la 85</w:t>
      </w:r>
      <w:r w:rsidRPr="00C523CB">
        <w:rPr>
          <w:vertAlign w:val="superscript"/>
          <w:lang w:val="fr-FR"/>
        </w:rPr>
        <w:t>e</w:t>
      </w:r>
      <w:r w:rsidR="00B81C1B">
        <w:rPr>
          <w:lang w:val="fr-FR"/>
        </w:rPr>
        <w:t xml:space="preserve"> </w:t>
      </w:r>
      <w:r w:rsidRPr="00C523CB">
        <w:rPr>
          <w:lang w:val="fr-FR"/>
        </w:rPr>
        <w:t>réunion, mais a été ensuite retirée par les agences d</w:t>
      </w:r>
      <w:r w:rsidR="0048249F">
        <w:rPr>
          <w:lang w:val="fr-FR"/>
        </w:rPr>
        <w:t>’</w:t>
      </w:r>
      <w:r w:rsidRPr="00C523CB">
        <w:rPr>
          <w:lang w:val="fr-FR"/>
        </w:rPr>
        <w:t>exécution concernées au cours du processus d</w:t>
      </w:r>
      <w:r w:rsidR="0048249F">
        <w:rPr>
          <w:lang w:val="fr-FR"/>
        </w:rPr>
        <w:t>’</w:t>
      </w:r>
      <w:r w:rsidRPr="00C523CB">
        <w:rPr>
          <w:lang w:val="fr-FR"/>
        </w:rPr>
        <w:t>examen des projets.</w:t>
      </w:r>
      <w:r w:rsidRPr="00AF592C">
        <w:rPr>
          <w:lang w:val="fr-CA"/>
        </w:rPr>
        <w:t xml:space="preserve"> </w:t>
      </w:r>
    </w:p>
    <w:p w14:paraId="61A73EAB" w14:textId="086347ED" w:rsidR="00FC5E69" w:rsidRPr="00AF592C" w:rsidRDefault="00C523CB" w:rsidP="00C523CB">
      <w:pPr>
        <w:pStyle w:val="Heading1"/>
        <w:keepNext/>
        <w:numPr>
          <w:ilvl w:val="0"/>
          <w:numId w:val="0"/>
        </w:numPr>
        <w:rPr>
          <w:b/>
          <w:lang w:val="fr-CA"/>
        </w:rPr>
      </w:pPr>
      <w:r w:rsidRPr="00C523CB">
        <w:rPr>
          <w:b/>
          <w:lang w:val="fr-FR"/>
        </w:rPr>
        <w:t>Analyse des tranches non soumises à la 86</w:t>
      </w:r>
      <w:r w:rsidRPr="00C523CB">
        <w:rPr>
          <w:b/>
          <w:vertAlign w:val="superscript"/>
          <w:lang w:val="fr-FR"/>
        </w:rPr>
        <w:t>e</w:t>
      </w:r>
      <w:r w:rsidRPr="00C523CB">
        <w:rPr>
          <w:b/>
          <w:lang w:val="fr-FR"/>
        </w:rPr>
        <w:t xml:space="preserve"> réunion</w:t>
      </w:r>
    </w:p>
    <w:p w14:paraId="25D77BD5" w14:textId="3E71762F" w:rsidR="00C523CB" w:rsidRPr="00AF592C" w:rsidRDefault="00C523CB" w:rsidP="00C523CB">
      <w:pPr>
        <w:pStyle w:val="Heading1"/>
        <w:rPr>
          <w:lang w:val="fr-CA"/>
        </w:rPr>
      </w:pPr>
      <w:r w:rsidRPr="00C523CB">
        <w:rPr>
          <w:lang w:val="fr-FR"/>
        </w:rPr>
        <w:t>Quarante-sept activités liées aux tranches des PGEH de 37 pays, représentant une valeur totale de 18 842 614 $US (coûts d</w:t>
      </w:r>
      <w:r w:rsidR="0048249F">
        <w:rPr>
          <w:lang w:val="fr-FR"/>
        </w:rPr>
        <w:t>’</w:t>
      </w:r>
      <w:r w:rsidRPr="00C523CB">
        <w:rPr>
          <w:lang w:val="fr-FR"/>
        </w:rPr>
        <w:t>appui d</w:t>
      </w:r>
      <w:r w:rsidR="0048249F">
        <w:rPr>
          <w:lang w:val="fr-FR"/>
        </w:rPr>
        <w:t>’</w:t>
      </w:r>
      <w:r w:rsidRPr="00C523CB">
        <w:rPr>
          <w:lang w:val="fr-FR"/>
        </w:rPr>
        <w:t>agence</w:t>
      </w:r>
      <w:r w:rsidR="000F4FB3">
        <w:rPr>
          <w:lang w:val="fr-FR"/>
        </w:rPr>
        <w:t xml:space="preserve"> compris</w:t>
      </w:r>
      <w:r w:rsidRPr="00C523CB">
        <w:rPr>
          <w:lang w:val="fr-FR"/>
        </w:rPr>
        <w:t>) qui devaient être soumises à la 86</w:t>
      </w:r>
      <w:r w:rsidRPr="00C523CB">
        <w:rPr>
          <w:vertAlign w:val="superscript"/>
          <w:lang w:val="fr-FR"/>
        </w:rPr>
        <w:t>e</w:t>
      </w:r>
      <w:r w:rsidRPr="00C523CB">
        <w:rPr>
          <w:lang w:val="fr-FR"/>
        </w:rPr>
        <w:t xml:space="preserve"> réunion ne l</w:t>
      </w:r>
      <w:r w:rsidR="0048249F">
        <w:rPr>
          <w:lang w:val="fr-FR"/>
        </w:rPr>
        <w:t>’</w:t>
      </w:r>
      <w:r w:rsidRPr="00C523CB">
        <w:rPr>
          <w:lang w:val="fr-FR"/>
        </w:rPr>
        <w:t>ont pas été, comme l</w:t>
      </w:r>
      <w:r w:rsidR="0048249F">
        <w:rPr>
          <w:lang w:val="fr-FR"/>
        </w:rPr>
        <w:t>’</w:t>
      </w:r>
      <w:r w:rsidRPr="00C523CB">
        <w:rPr>
          <w:lang w:val="fr-FR"/>
        </w:rPr>
        <w:t>indique l</w:t>
      </w:r>
      <w:r w:rsidR="0048249F">
        <w:rPr>
          <w:lang w:val="fr-FR"/>
        </w:rPr>
        <w:t>’</w:t>
      </w:r>
      <w:r w:rsidRPr="00C523CB">
        <w:rPr>
          <w:lang w:val="fr-FR"/>
        </w:rPr>
        <w:t>Annexe I au présent document</w:t>
      </w:r>
      <w:r w:rsidRPr="00C523CB">
        <w:rPr>
          <w:vertAlign w:val="superscript"/>
          <w:lang w:val="en-CA"/>
        </w:rPr>
        <w:footnoteReference w:id="4"/>
      </w:r>
      <w:r w:rsidR="00E42204">
        <w:rPr>
          <w:lang w:val="fr-FR"/>
        </w:rPr>
        <w:t>.</w:t>
      </w:r>
    </w:p>
    <w:p w14:paraId="2A8EB87A" w14:textId="1C05875B" w:rsidR="00C523CB" w:rsidRPr="00C523CB" w:rsidRDefault="00C523CB" w:rsidP="00C523CB">
      <w:pPr>
        <w:pStyle w:val="Heading1"/>
        <w:keepNext/>
        <w:rPr>
          <w:lang w:val="en-CA"/>
        </w:rPr>
      </w:pPr>
      <w:r w:rsidRPr="00C523CB">
        <w:rPr>
          <w:lang w:val="fr-FR"/>
        </w:rPr>
        <w:t xml:space="preserve">De plus, deux tranches de la phase II du PGEH concernant </w:t>
      </w:r>
      <w:r w:rsidR="00DA1968">
        <w:rPr>
          <w:lang w:val="fr-FR"/>
        </w:rPr>
        <w:t xml:space="preserve">deux pays </w:t>
      </w:r>
      <w:r w:rsidRPr="00C523CB">
        <w:rPr>
          <w:lang w:val="fr-FR"/>
        </w:rPr>
        <w:t>(l</w:t>
      </w:r>
      <w:r w:rsidR="0048249F">
        <w:rPr>
          <w:lang w:val="fr-FR"/>
        </w:rPr>
        <w:t>’</w:t>
      </w:r>
      <w:r w:rsidRPr="00C523CB">
        <w:rPr>
          <w:lang w:val="fr-FR"/>
        </w:rPr>
        <w:t>Algérie et le Mozambique)</w:t>
      </w:r>
      <w:r w:rsidR="00DA1968">
        <w:rPr>
          <w:lang w:val="fr-FR"/>
        </w:rPr>
        <w:t>,</w:t>
      </w:r>
      <w:r w:rsidRPr="00C523CB">
        <w:rPr>
          <w:lang w:val="fr-FR"/>
        </w:rPr>
        <w:t xml:space="preserve"> d</w:t>
      </w:r>
      <w:r w:rsidR="0048249F">
        <w:rPr>
          <w:lang w:val="fr-FR"/>
        </w:rPr>
        <w:t>’</w:t>
      </w:r>
      <w:r w:rsidR="00DA1968">
        <w:rPr>
          <w:lang w:val="fr-FR"/>
        </w:rPr>
        <w:t>un montant de 231 798 $US (</w:t>
      </w:r>
      <w:r w:rsidRPr="00C523CB">
        <w:rPr>
          <w:lang w:val="fr-FR"/>
        </w:rPr>
        <w:t>coûts d</w:t>
      </w:r>
      <w:r w:rsidR="0048249F">
        <w:rPr>
          <w:lang w:val="fr-FR"/>
        </w:rPr>
        <w:t>’</w:t>
      </w:r>
      <w:r w:rsidRPr="00C523CB">
        <w:rPr>
          <w:lang w:val="fr-FR"/>
        </w:rPr>
        <w:t>appui d</w:t>
      </w:r>
      <w:r w:rsidR="0048249F">
        <w:rPr>
          <w:lang w:val="fr-FR"/>
        </w:rPr>
        <w:t>’</w:t>
      </w:r>
      <w:r w:rsidRPr="00C523CB">
        <w:rPr>
          <w:lang w:val="fr-FR"/>
        </w:rPr>
        <w:t>agence</w:t>
      </w:r>
      <w:r w:rsidR="00DA1968">
        <w:rPr>
          <w:lang w:val="fr-FR"/>
        </w:rPr>
        <w:t xml:space="preserve"> compris</w:t>
      </w:r>
      <w:r w:rsidRPr="00C523CB">
        <w:rPr>
          <w:lang w:val="fr-FR"/>
        </w:rPr>
        <w:t xml:space="preserve">), </w:t>
      </w:r>
      <w:r w:rsidR="00DA1968">
        <w:rPr>
          <w:lang w:val="fr-FR"/>
        </w:rPr>
        <w:t>ont</w:t>
      </w:r>
      <w:r w:rsidRPr="00C523CB">
        <w:rPr>
          <w:lang w:val="fr-FR"/>
        </w:rPr>
        <w:t xml:space="preserve"> été soumise</w:t>
      </w:r>
      <w:r w:rsidR="00DA1968">
        <w:rPr>
          <w:lang w:val="fr-FR"/>
        </w:rPr>
        <w:t>s</w:t>
      </w:r>
      <w:r w:rsidRPr="00C523CB">
        <w:rPr>
          <w:lang w:val="fr-FR"/>
        </w:rPr>
        <w:t xml:space="preserve"> à la 86</w:t>
      </w:r>
      <w:r w:rsidRPr="00C523CB">
        <w:rPr>
          <w:vertAlign w:val="superscript"/>
          <w:lang w:val="fr-FR"/>
        </w:rPr>
        <w:t>e</w:t>
      </w:r>
      <w:r w:rsidRPr="00C523CB">
        <w:rPr>
          <w:lang w:val="fr-FR"/>
        </w:rPr>
        <w:t xml:space="preserve"> réunion avant d</w:t>
      </w:r>
      <w:r w:rsidR="0048249F">
        <w:rPr>
          <w:lang w:val="fr-FR"/>
        </w:rPr>
        <w:t>’</w:t>
      </w:r>
      <w:r w:rsidRPr="00C523CB">
        <w:rPr>
          <w:lang w:val="fr-FR"/>
        </w:rPr>
        <w:t xml:space="preserve">être </w:t>
      </w:r>
      <w:r w:rsidR="00DA1968">
        <w:rPr>
          <w:lang w:val="fr-FR"/>
        </w:rPr>
        <w:t xml:space="preserve">ensuite </w:t>
      </w:r>
      <w:r w:rsidRPr="00C523CB">
        <w:rPr>
          <w:lang w:val="fr-FR"/>
        </w:rPr>
        <w:t>retirées par les agences d</w:t>
      </w:r>
      <w:r w:rsidR="0048249F">
        <w:rPr>
          <w:lang w:val="fr-FR"/>
        </w:rPr>
        <w:t>’</w:t>
      </w:r>
      <w:r w:rsidRPr="00C523CB">
        <w:rPr>
          <w:lang w:val="fr-FR"/>
        </w:rPr>
        <w:t>exécutions responsables durant le processus d</w:t>
      </w:r>
      <w:r w:rsidR="0048249F">
        <w:rPr>
          <w:lang w:val="fr-FR"/>
        </w:rPr>
        <w:t>’</w:t>
      </w:r>
      <w:r w:rsidRPr="00C523CB">
        <w:rPr>
          <w:lang w:val="fr-FR"/>
        </w:rPr>
        <w:t>examen des projets.</w:t>
      </w:r>
      <w:r w:rsidRPr="00AF592C">
        <w:rPr>
          <w:lang w:val="fr-CA"/>
        </w:rPr>
        <w:t xml:space="preserve"> </w:t>
      </w:r>
      <w:r w:rsidRPr="00C523CB">
        <w:rPr>
          <w:lang w:val="fr-FR"/>
        </w:rPr>
        <w:t>Ces tranches figurent également à l</w:t>
      </w:r>
      <w:r w:rsidR="0048249F">
        <w:rPr>
          <w:lang w:val="fr-FR"/>
        </w:rPr>
        <w:t>’</w:t>
      </w:r>
      <w:r w:rsidRPr="00C523CB">
        <w:rPr>
          <w:lang w:val="fr-FR"/>
        </w:rPr>
        <w:t>Annexe I.</w:t>
      </w:r>
      <w:r w:rsidRPr="00C523CB">
        <w:rPr>
          <w:lang w:val="en-CA"/>
        </w:rPr>
        <w:t xml:space="preserve"> </w:t>
      </w:r>
    </w:p>
    <w:p w14:paraId="7241C569" w14:textId="1F78078E" w:rsidR="00FC5E69" w:rsidRPr="00AF592C" w:rsidRDefault="00C523CB" w:rsidP="00C523CB">
      <w:pPr>
        <w:pStyle w:val="Heading1"/>
        <w:keepNext/>
        <w:numPr>
          <w:ilvl w:val="0"/>
          <w:numId w:val="0"/>
        </w:numPr>
        <w:rPr>
          <w:b/>
          <w:lang w:val="fr-CA"/>
        </w:rPr>
      </w:pPr>
      <w:r w:rsidRPr="00C523CB">
        <w:rPr>
          <w:b/>
          <w:lang w:val="fr-FR"/>
        </w:rPr>
        <w:t>Raisons des retards et incidences sur la conformité</w:t>
      </w:r>
    </w:p>
    <w:p w14:paraId="3A21136F" w14:textId="77777777" w:rsidR="00AF592C" w:rsidRPr="00AF592C" w:rsidRDefault="00C523CB" w:rsidP="00AF592C">
      <w:pPr>
        <w:pStyle w:val="Heading1"/>
        <w:rPr>
          <w:bCs/>
          <w:vanish/>
          <w:lang w:val="fr-CA"/>
        </w:rPr>
      </w:pPr>
      <w:r w:rsidRPr="00C523CB">
        <w:rPr>
          <w:lang w:val="fr-FR"/>
        </w:rPr>
        <w:t xml:space="preserve">Les raisons des retards dans la soumission des tranches des PGEH comprennent : le décaissement </w:t>
      </w:r>
      <w:r w:rsidR="000F4FB3">
        <w:rPr>
          <w:lang w:val="fr-FR"/>
        </w:rPr>
        <w:t>au-</w:t>
      </w:r>
      <w:r w:rsidRPr="00C523CB">
        <w:rPr>
          <w:lang w:val="fr-FR"/>
        </w:rPr>
        <w:t xml:space="preserve">dessous du seuil de 20 </w:t>
      </w:r>
      <w:r w:rsidR="000F4FB3">
        <w:rPr>
          <w:lang w:val="fr-FR"/>
        </w:rPr>
        <w:t xml:space="preserve">pour cent </w:t>
      </w:r>
      <w:r w:rsidRPr="00C523CB">
        <w:rPr>
          <w:lang w:val="fr-FR"/>
        </w:rPr>
        <w:t>des fonds approuvés pour la tranche précédente (26) ; les contraintes imposées par la pandémie de Covid-19 (23) ; les décisions et/ou approbations</w:t>
      </w:r>
      <w:r w:rsidR="00B81C1B">
        <w:rPr>
          <w:lang w:val="fr-FR"/>
        </w:rPr>
        <w:t xml:space="preserve"> </w:t>
      </w:r>
      <w:r w:rsidRPr="00C523CB">
        <w:rPr>
          <w:lang w:val="fr-FR"/>
        </w:rPr>
        <w:t>gouvernementales, et/ou changements au sein de l</w:t>
      </w:r>
      <w:r w:rsidR="0048249F">
        <w:rPr>
          <w:lang w:val="fr-FR"/>
        </w:rPr>
        <w:t>’</w:t>
      </w:r>
      <w:r w:rsidRPr="00C523CB">
        <w:rPr>
          <w:lang w:val="fr-FR"/>
        </w:rPr>
        <w:t>unité nationale de l</w:t>
      </w:r>
      <w:r w:rsidR="0048249F">
        <w:rPr>
          <w:lang w:val="fr-FR"/>
        </w:rPr>
        <w:t>’</w:t>
      </w:r>
      <w:r w:rsidRPr="00C523CB">
        <w:rPr>
          <w:lang w:val="fr-FR"/>
        </w:rPr>
        <w:t>ozone ou encore changements structurels (20) ; suffisamment de fonds approuvés</w:t>
      </w:r>
      <w:r w:rsidR="000F4FB3">
        <w:rPr>
          <w:lang w:val="fr-FR"/>
        </w:rPr>
        <w:t xml:space="preserve"> provenant</w:t>
      </w:r>
      <w:r w:rsidRPr="00C523CB">
        <w:rPr>
          <w:lang w:val="fr-FR"/>
        </w:rPr>
        <w:t xml:space="preserve"> de la tranche précédente (14) ; difficultés internes ou externes (12) ; signature des accords ou des contrats (8) ; rapports de vérification manquant (6) ; soumission des rapports périodiques et financiers (3) ; retards de l</w:t>
      </w:r>
      <w:r w:rsidR="0048249F">
        <w:rPr>
          <w:lang w:val="fr-FR"/>
        </w:rPr>
        <w:t>’</w:t>
      </w:r>
      <w:r w:rsidRPr="00C523CB">
        <w:rPr>
          <w:lang w:val="fr-FR"/>
        </w:rPr>
        <w:t>agence d</w:t>
      </w:r>
      <w:r w:rsidR="0048249F">
        <w:rPr>
          <w:lang w:val="fr-FR"/>
        </w:rPr>
        <w:t>’</w:t>
      </w:r>
      <w:r w:rsidRPr="00C523CB">
        <w:rPr>
          <w:lang w:val="fr-FR"/>
        </w:rPr>
        <w:t>exécution (3)</w:t>
      </w:r>
      <w:r w:rsidR="00A21B07">
        <w:rPr>
          <w:lang w:val="fr-FR"/>
        </w:rPr>
        <w:t xml:space="preserve"> : entreprise en </w:t>
      </w:r>
      <w:r w:rsidRPr="00C523CB">
        <w:rPr>
          <w:lang w:val="fr-FR"/>
        </w:rPr>
        <w:t>difficulté (1) ; conditions d</w:t>
      </w:r>
      <w:r w:rsidR="0048249F">
        <w:rPr>
          <w:lang w:val="fr-FR"/>
        </w:rPr>
        <w:t>’</w:t>
      </w:r>
      <w:r w:rsidRPr="00C523CB">
        <w:rPr>
          <w:lang w:val="fr-FR"/>
        </w:rPr>
        <w:t xml:space="preserve">approbation (1) ; agence principale pas prête pour la </w:t>
      </w:r>
      <w:r w:rsidR="00A21B07">
        <w:rPr>
          <w:lang w:val="fr-FR"/>
        </w:rPr>
        <w:t>soumission de la demande</w:t>
      </w:r>
      <w:r w:rsidRPr="00C523CB">
        <w:rPr>
          <w:lang w:val="fr-FR"/>
        </w:rPr>
        <w:t xml:space="preserve"> (1) ; instabilité de la situation politique (1) ; et</w:t>
      </w:r>
      <w:r w:rsidR="00B81C1B">
        <w:rPr>
          <w:lang w:val="fr-FR"/>
        </w:rPr>
        <w:t xml:space="preserve"> </w:t>
      </w:r>
      <w:r w:rsidRPr="00C523CB">
        <w:rPr>
          <w:lang w:val="fr-FR"/>
        </w:rPr>
        <w:t>élément d</w:t>
      </w:r>
      <w:r w:rsidR="0048249F">
        <w:rPr>
          <w:lang w:val="fr-FR"/>
        </w:rPr>
        <w:t>’</w:t>
      </w:r>
      <w:r w:rsidRPr="00C523CB">
        <w:rPr>
          <w:lang w:val="fr-FR"/>
        </w:rPr>
        <w:t>investissement (1).</w:t>
      </w:r>
    </w:p>
    <w:p w14:paraId="74A85D93" w14:textId="78F3C031" w:rsidR="00A21B07" w:rsidRPr="00AF592C" w:rsidRDefault="00352CED" w:rsidP="00AF592C">
      <w:pPr>
        <w:pStyle w:val="Heading1"/>
        <w:rPr>
          <w:bCs/>
          <w:vanish/>
          <w:lang w:val="fr-CA"/>
        </w:rPr>
      </w:pPr>
      <w:r w:rsidRPr="00AF592C">
        <w:rPr>
          <w:lang w:val="fr-FR"/>
        </w:rPr>
        <w:t>Les agences bilatérales et d</w:t>
      </w:r>
      <w:r w:rsidR="0048249F" w:rsidRPr="00AF592C">
        <w:rPr>
          <w:lang w:val="fr-FR"/>
        </w:rPr>
        <w:t>’</w:t>
      </w:r>
      <w:r w:rsidRPr="00AF592C">
        <w:rPr>
          <w:lang w:val="fr-FR"/>
        </w:rPr>
        <w:t>exécution ont fait savoir que les retards accumulés dans la soumission des tranches dues n</w:t>
      </w:r>
      <w:r w:rsidR="0048249F" w:rsidRPr="00AF592C">
        <w:rPr>
          <w:lang w:val="fr-FR"/>
        </w:rPr>
        <w:t>’</w:t>
      </w:r>
      <w:r w:rsidRPr="00AF592C">
        <w:rPr>
          <w:lang w:val="fr-FR"/>
        </w:rPr>
        <w:t xml:space="preserve">auraient </w:t>
      </w:r>
      <w:r w:rsidR="00DA1968" w:rsidRPr="00AF592C">
        <w:rPr>
          <w:lang w:val="fr-FR"/>
        </w:rPr>
        <w:t xml:space="preserve">pas ou </w:t>
      </w:r>
      <w:r w:rsidRPr="00AF592C">
        <w:rPr>
          <w:lang w:val="fr-FR"/>
        </w:rPr>
        <w:t xml:space="preserve">probablement </w:t>
      </w:r>
      <w:r w:rsidR="00DA1968" w:rsidRPr="00AF592C">
        <w:rPr>
          <w:lang w:val="fr-FR"/>
        </w:rPr>
        <w:t>pas d</w:t>
      </w:r>
      <w:r w:rsidR="0048249F" w:rsidRPr="00AF592C">
        <w:rPr>
          <w:lang w:val="fr-FR"/>
        </w:rPr>
        <w:t>’</w:t>
      </w:r>
      <w:r w:rsidRPr="00AF592C">
        <w:rPr>
          <w:lang w:val="fr-FR"/>
        </w:rPr>
        <w:t>incidence sur l</w:t>
      </w:r>
      <w:r w:rsidR="00DA1968" w:rsidRPr="00AF592C">
        <w:rPr>
          <w:lang w:val="fr-FR"/>
        </w:rPr>
        <w:t>a</w:t>
      </w:r>
      <w:r w:rsidRPr="00AF592C">
        <w:rPr>
          <w:lang w:val="fr-FR"/>
        </w:rPr>
        <w:t xml:space="preserve"> conformité </w:t>
      </w:r>
      <w:r w:rsidR="00DA1968" w:rsidRPr="00AF592C">
        <w:rPr>
          <w:lang w:val="fr-FR"/>
        </w:rPr>
        <w:t xml:space="preserve">des pays </w:t>
      </w:r>
      <w:r w:rsidRPr="00AF592C">
        <w:rPr>
          <w:lang w:val="fr-FR"/>
        </w:rPr>
        <w:t>avec leurs obligations au titre du Protocole de Montréal.</w:t>
      </w:r>
      <w:r w:rsidRPr="00AF592C">
        <w:rPr>
          <w:lang w:val="fr-CA"/>
        </w:rPr>
        <w:t xml:space="preserve"> </w:t>
      </w:r>
      <w:r w:rsidRPr="00AF592C">
        <w:rPr>
          <w:lang w:val="fr-FR"/>
        </w:rPr>
        <w:t>Toutes les tranches en souffrance devraient être soumises à la 87</w:t>
      </w:r>
      <w:r w:rsidRPr="00AF592C">
        <w:rPr>
          <w:vertAlign w:val="superscript"/>
          <w:lang w:val="fr-FR"/>
        </w:rPr>
        <w:t>e</w:t>
      </w:r>
      <w:r w:rsidR="00B81C1B" w:rsidRPr="00AF592C">
        <w:rPr>
          <w:lang w:val="fr-FR"/>
        </w:rPr>
        <w:t xml:space="preserve"> </w:t>
      </w:r>
      <w:r w:rsidRPr="00AF592C">
        <w:rPr>
          <w:lang w:val="fr-FR"/>
        </w:rPr>
        <w:t>réunion, à l</w:t>
      </w:r>
      <w:r w:rsidR="0048249F" w:rsidRPr="00AF592C">
        <w:rPr>
          <w:lang w:val="fr-FR"/>
        </w:rPr>
        <w:t>’</w:t>
      </w:r>
      <w:r w:rsidRPr="00AF592C">
        <w:rPr>
          <w:lang w:val="fr-FR"/>
        </w:rPr>
        <w:t xml:space="preserve">exception de celles de la Barbade, de la Dominique, de la Grenade, </w:t>
      </w:r>
      <w:r w:rsidR="0048249F" w:rsidRPr="00AF592C">
        <w:rPr>
          <w:lang w:val="fr-FR"/>
        </w:rPr>
        <w:t>d’Haïti</w:t>
      </w:r>
      <w:r w:rsidRPr="00AF592C">
        <w:rPr>
          <w:lang w:val="fr-FR"/>
        </w:rPr>
        <w:t>, du Koweït, du Suriname et de la Thaïlande, qui pourr</w:t>
      </w:r>
      <w:r w:rsidR="00DA1968" w:rsidRPr="00AF592C">
        <w:rPr>
          <w:lang w:val="fr-FR"/>
        </w:rPr>
        <w:t>ont</w:t>
      </w:r>
      <w:r w:rsidRPr="00AF592C">
        <w:rPr>
          <w:lang w:val="fr-FR"/>
        </w:rPr>
        <w:t xml:space="preserve"> être soumises à la 88</w:t>
      </w:r>
      <w:r w:rsidRPr="00AF592C">
        <w:rPr>
          <w:vertAlign w:val="superscript"/>
          <w:lang w:val="fr-FR"/>
        </w:rPr>
        <w:t>e</w:t>
      </w:r>
      <w:r w:rsidRPr="00AF592C">
        <w:rPr>
          <w:lang w:val="fr-FR"/>
        </w:rPr>
        <w:t xml:space="preserve"> réunion.</w:t>
      </w:r>
    </w:p>
    <w:p w14:paraId="7EA8FE55" w14:textId="7A1AC729" w:rsidR="00FC5E69" w:rsidRPr="00A21B07" w:rsidRDefault="00352CED" w:rsidP="00352CED">
      <w:pPr>
        <w:pStyle w:val="Heading1"/>
        <w:keepNext/>
        <w:numPr>
          <w:ilvl w:val="0"/>
          <w:numId w:val="0"/>
        </w:numPr>
        <w:tabs>
          <w:tab w:val="num" w:pos="0"/>
        </w:tabs>
        <w:rPr>
          <w:b/>
          <w:bCs/>
          <w:lang w:val="en-CA"/>
        </w:rPr>
      </w:pPr>
      <w:r w:rsidRPr="00A21B07">
        <w:rPr>
          <w:b/>
          <w:bCs/>
          <w:lang w:val="fr-FR"/>
        </w:rPr>
        <w:t>Recommandation</w:t>
      </w:r>
    </w:p>
    <w:p w14:paraId="356E6D4B" w14:textId="74614497" w:rsidR="00352CED" w:rsidRPr="00AF592C" w:rsidRDefault="00352CED" w:rsidP="00B67439">
      <w:pPr>
        <w:pStyle w:val="Heading1"/>
        <w:keepNext/>
        <w:keepLines/>
        <w:rPr>
          <w:lang w:val="fr-CA"/>
        </w:rPr>
      </w:pPr>
      <w:r w:rsidRPr="00352CED">
        <w:rPr>
          <w:lang w:val="fr-FR"/>
        </w:rPr>
        <w:lastRenderedPageBreak/>
        <w:t xml:space="preserve">Le </w:t>
      </w:r>
      <w:bookmarkStart w:id="0" w:name="_GoBack"/>
      <w:r w:rsidRPr="00352CED">
        <w:rPr>
          <w:lang w:val="fr-FR"/>
        </w:rPr>
        <w:t>Comité exécutif pourrait envisager de :</w:t>
      </w:r>
    </w:p>
    <w:p w14:paraId="58F0222D" w14:textId="5CAA8FFF" w:rsidR="00352CED" w:rsidRPr="00352CED" w:rsidRDefault="00352CED" w:rsidP="00B67439">
      <w:pPr>
        <w:pStyle w:val="Heading2"/>
        <w:keepNext/>
        <w:keepLines/>
        <w:numPr>
          <w:ilvl w:val="1"/>
          <w:numId w:val="1"/>
        </w:numPr>
        <w:rPr>
          <w:lang w:val="en-CA"/>
        </w:rPr>
      </w:pPr>
      <w:r w:rsidRPr="00352CED">
        <w:rPr>
          <w:lang w:val="fr-FR"/>
        </w:rPr>
        <w:t>De prendre note :</w:t>
      </w:r>
    </w:p>
    <w:p w14:paraId="35A4CD93" w14:textId="2C8252B2" w:rsidR="00352CED" w:rsidRPr="00AF592C" w:rsidRDefault="00352CED" w:rsidP="00B67439">
      <w:pPr>
        <w:pStyle w:val="Heading3"/>
        <w:keepNext/>
        <w:keepLines/>
        <w:numPr>
          <w:ilvl w:val="2"/>
          <w:numId w:val="1"/>
        </w:numPr>
        <w:rPr>
          <w:lang w:val="fr-CA"/>
        </w:rPr>
      </w:pPr>
      <w:r w:rsidRPr="00352CED">
        <w:rPr>
          <w:lang w:val="fr-FR"/>
        </w:rPr>
        <w:t>Du rapport sur les retards de soumission de tranches contenu dans le document UNEP/OzL.Pro/ExCom/86/24 ;</w:t>
      </w:r>
    </w:p>
    <w:bookmarkEnd w:id="0"/>
    <w:p w14:paraId="0944C908" w14:textId="7B2D7031" w:rsidR="00352CED" w:rsidRPr="00AF592C" w:rsidRDefault="000E3A25" w:rsidP="000E3A25">
      <w:pPr>
        <w:pStyle w:val="Heading3"/>
        <w:numPr>
          <w:ilvl w:val="2"/>
          <w:numId w:val="1"/>
        </w:numPr>
        <w:rPr>
          <w:lang w:val="fr-CA"/>
        </w:rPr>
      </w:pPr>
      <w:r w:rsidRPr="000E3A25">
        <w:rPr>
          <w:lang w:val="fr-FR"/>
        </w:rPr>
        <w:t>Des informations sur les retards de soumission de tranches dans le cadre des plans de gestion de l</w:t>
      </w:r>
      <w:r w:rsidR="0048249F">
        <w:rPr>
          <w:lang w:val="fr-FR"/>
        </w:rPr>
        <w:t>’</w:t>
      </w:r>
      <w:r w:rsidRPr="000E3A25">
        <w:rPr>
          <w:lang w:val="fr-FR"/>
        </w:rPr>
        <w:t xml:space="preserve">élimination des HCFC (PGEH) </w:t>
      </w:r>
      <w:r>
        <w:rPr>
          <w:lang w:val="fr-FR"/>
        </w:rPr>
        <w:t>présentées</w:t>
      </w:r>
      <w:r w:rsidRPr="000E3A25">
        <w:rPr>
          <w:lang w:val="fr-FR"/>
        </w:rPr>
        <w:t xml:space="preserve"> par les gouvernements de l</w:t>
      </w:r>
      <w:r w:rsidR="0048249F">
        <w:rPr>
          <w:lang w:val="fr-FR"/>
        </w:rPr>
        <w:t>’</w:t>
      </w:r>
      <w:r>
        <w:rPr>
          <w:lang w:val="fr-FR"/>
        </w:rPr>
        <w:t>Italie et</w:t>
      </w:r>
      <w:r w:rsidRPr="000E3A25">
        <w:rPr>
          <w:lang w:val="fr-FR"/>
        </w:rPr>
        <w:t xml:space="preserve"> du Japon</w:t>
      </w:r>
      <w:r w:rsidR="00DA1968">
        <w:rPr>
          <w:lang w:val="fr-FR"/>
        </w:rPr>
        <w:t>,</w:t>
      </w:r>
      <w:r w:rsidRPr="000E3A25">
        <w:rPr>
          <w:lang w:val="fr-FR"/>
        </w:rPr>
        <w:t xml:space="preserve"> et par le PNUD, le PNUE, l</w:t>
      </w:r>
      <w:r w:rsidR="0048249F">
        <w:rPr>
          <w:lang w:val="fr-FR"/>
        </w:rPr>
        <w:t>’</w:t>
      </w:r>
      <w:r w:rsidRPr="000E3A25">
        <w:rPr>
          <w:lang w:val="fr-FR"/>
        </w:rPr>
        <w:t>ONUDI et la Banque mondiale</w:t>
      </w:r>
      <w:r w:rsidR="00DA1968">
        <w:rPr>
          <w:lang w:val="fr-FR"/>
        </w:rPr>
        <w:t> ;</w:t>
      </w:r>
    </w:p>
    <w:p w14:paraId="2E8FA72A" w14:textId="4AB08BD5" w:rsidR="000E3A25" w:rsidRPr="00AF592C" w:rsidRDefault="000E3A25" w:rsidP="000E3A25">
      <w:pPr>
        <w:pStyle w:val="Heading3"/>
        <w:keepNext/>
        <w:keepLines/>
        <w:numPr>
          <w:ilvl w:val="2"/>
          <w:numId w:val="1"/>
        </w:numPr>
        <w:rPr>
          <w:lang w:val="fr-CA"/>
        </w:rPr>
      </w:pPr>
      <w:r w:rsidRPr="000E3A25">
        <w:rPr>
          <w:lang w:val="fr-FR"/>
        </w:rPr>
        <w:t xml:space="preserve">Du fait que 42 </w:t>
      </w:r>
      <w:r w:rsidRPr="00A21B07">
        <w:rPr>
          <w:lang w:val="fr-FR"/>
        </w:rPr>
        <w:t xml:space="preserve">activités sur 89 (29 </w:t>
      </w:r>
      <w:r w:rsidR="00A21B07" w:rsidRPr="00A21B07">
        <w:rPr>
          <w:lang w:val="fr-FR"/>
        </w:rPr>
        <w:t>sur les</w:t>
      </w:r>
      <w:r w:rsidRPr="00A21B07">
        <w:rPr>
          <w:lang w:val="fr-FR"/>
        </w:rPr>
        <w:t xml:space="preserve"> 66 pays) liées aux</w:t>
      </w:r>
      <w:r w:rsidRPr="000E3A25">
        <w:rPr>
          <w:lang w:val="fr-FR"/>
        </w:rPr>
        <w:t xml:space="preserve"> tranches de PGEH qui devaient être soumises à la 86</w:t>
      </w:r>
      <w:r w:rsidRPr="000E3A25">
        <w:rPr>
          <w:vertAlign w:val="superscript"/>
          <w:lang w:val="fr-FR"/>
        </w:rPr>
        <w:t>e</w:t>
      </w:r>
      <w:r w:rsidRPr="000E3A25">
        <w:rPr>
          <w:lang w:val="fr-FR"/>
        </w:rPr>
        <w:t xml:space="preserve"> réunion ont été soumises à temps ;</w:t>
      </w:r>
    </w:p>
    <w:p w14:paraId="31BDC3A3" w14:textId="3F134C35" w:rsidR="000E3A25" w:rsidRPr="00AF592C" w:rsidRDefault="000E3A25" w:rsidP="000E3A25">
      <w:pPr>
        <w:pStyle w:val="Heading3"/>
        <w:numPr>
          <w:ilvl w:val="2"/>
          <w:numId w:val="1"/>
        </w:numPr>
        <w:rPr>
          <w:lang w:val="fr-CA"/>
        </w:rPr>
      </w:pPr>
      <w:r>
        <w:rPr>
          <w:lang w:val="fr-FR"/>
        </w:rPr>
        <w:t>Du fait que</w:t>
      </w:r>
      <w:r w:rsidRPr="000E3A25">
        <w:rPr>
          <w:lang w:val="fr-FR"/>
        </w:rPr>
        <w:t xml:space="preserve"> les agences bilatérales et d</w:t>
      </w:r>
      <w:r w:rsidR="0048249F">
        <w:rPr>
          <w:lang w:val="fr-FR"/>
        </w:rPr>
        <w:t>’</w:t>
      </w:r>
      <w:r w:rsidRPr="000E3A25">
        <w:rPr>
          <w:lang w:val="fr-FR"/>
        </w:rPr>
        <w:t>exécution ont fait savoir que la soumission tardive des tranches des PGEH dues à la deuxième réunion de 2020 n</w:t>
      </w:r>
      <w:r w:rsidR="0048249F">
        <w:rPr>
          <w:lang w:val="fr-FR"/>
        </w:rPr>
        <w:t>’</w:t>
      </w:r>
      <w:r w:rsidRPr="000E3A25">
        <w:rPr>
          <w:lang w:val="fr-FR"/>
        </w:rPr>
        <w:t xml:space="preserve">aurait </w:t>
      </w:r>
      <w:r w:rsidR="00CB0CC7">
        <w:rPr>
          <w:lang w:val="fr-FR"/>
        </w:rPr>
        <w:t>pas ou</w:t>
      </w:r>
      <w:r w:rsidRPr="000E3A25">
        <w:rPr>
          <w:lang w:val="fr-FR"/>
        </w:rPr>
        <w:t xml:space="preserve"> probablement pas</w:t>
      </w:r>
      <w:r w:rsidR="00CB0CC7">
        <w:rPr>
          <w:lang w:val="fr-FR"/>
        </w:rPr>
        <w:t xml:space="preserve"> d</w:t>
      </w:r>
      <w:r w:rsidR="0048249F">
        <w:rPr>
          <w:lang w:val="fr-FR"/>
        </w:rPr>
        <w:t>’</w:t>
      </w:r>
      <w:r w:rsidR="00CB0CC7">
        <w:rPr>
          <w:lang w:val="fr-FR"/>
        </w:rPr>
        <w:t>incidence</w:t>
      </w:r>
      <w:r w:rsidRPr="000E3A25">
        <w:rPr>
          <w:lang w:val="fr-FR"/>
        </w:rPr>
        <w:t xml:space="preserve"> sur la conformité avec le Protocole de Montréal, et qu</w:t>
      </w:r>
      <w:r w:rsidR="0048249F">
        <w:rPr>
          <w:lang w:val="fr-FR"/>
        </w:rPr>
        <w:t>’</w:t>
      </w:r>
      <w:r w:rsidRPr="000E3A25">
        <w:rPr>
          <w:lang w:val="fr-FR"/>
        </w:rPr>
        <w:t>il n</w:t>
      </w:r>
      <w:r w:rsidR="0048249F">
        <w:rPr>
          <w:lang w:val="fr-FR"/>
        </w:rPr>
        <w:t>’</w:t>
      </w:r>
      <w:r w:rsidRPr="000E3A25">
        <w:rPr>
          <w:lang w:val="fr-FR"/>
        </w:rPr>
        <w:t>y avait aucune indication que les pays concernés étaient en situation de non-conformité avec les mesures de contrôle du Protocole de Montréal ; et</w:t>
      </w:r>
    </w:p>
    <w:p w14:paraId="2C7E7D3A" w14:textId="4DEE7DF5" w:rsidR="000E3A25" w:rsidRPr="00AF592C" w:rsidRDefault="000E3A25" w:rsidP="000E3A25">
      <w:pPr>
        <w:pStyle w:val="Heading2"/>
        <w:keepNext/>
        <w:keepLines/>
        <w:numPr>
          <w:ilvl w:val="1"/>
          <w:numId w:val="1"/>
        </w:numPr>
        <w:rPr>
          <w:lang w:val="fr-CA"/>
        </w:rPr>
      </w:pPr>
      <w:r w:rsidRPr="000E3A25">
        <w:rPr>
          <w:lang w:val="fr-FR"/>
        </w:rPr>
        <w:t>Charger le Secrétariat d</w:t>
      </w:r>
      <w:r w:rsidR="0048249F">
        <w:rPr>
          <w:lang w:val="fr-FR"/>
        </w:rPr>
        <w:t>’</w:t>
      </w:r>
      <w:r w:rsidRPr="000E3A25">
        <w:rPr>
          <w:lang w:val="fr-FR"/>
        </w:rPr>
        <w:t>écrire aux gouvernements concernés au sujet des décisions prises sur les retards de soumission de tranches figurant dans l</w:t>
      </w:r>
      <w:r w:rsidR="0048249F">
        <w:rPr>
          <w:lang w:val="fr-FR"/>
        </w:rPr>
        <w:t>’</w:t>
      </w:r>
      <w:r w:rsidRPr="000E3A25">
        <w:rPr>
          <w:lang w:val="fr-FR"/>
        </w:rPr>
        <w:t>Annexe I au présent rapport (décision 84/45(b)).</w:t>
      </w:r>
    </w:p>
    <w:p w14:paraId="596166D8" w14:textId="400FC226" w:rsidR="007C19F6" w:rsidRPr="00AF592C" w:rsidRDefault="007C19F6" w:rsidP="007C19F6">
      <w:pPr>
        <w:rPr>
          <w:lang w:val="fr-CA"/>
        </w:rPr>
      </w:pPr>
    </w:p>
    <w:p w14:paraId="3798106F" w14:textId="60432380" w:rsidR="007C19F6" w:rsidRPr="00AF592C" w:rsidRDefault="007C19F6" w:rsidP="007C19F6">
      <w:pPr>
        <w:rPr>
          <w:lang w:val="fr-CA"/>
        </w:rPr>
      </w:pPr>
    </w:p>
    <w:p w14:paraId="0AB5BCF2" w14:textId="77777777" w:rsidR="007C19F6" w:rsidRPr="00AF592C" w:rsidRDefault="007C19F6" w:rsidP="007C19F6">
      <w:pPr>
        <w:rPr>
          <w:lang w:val="fr-CA"/>
        </w:rPr>
        <w:sectPr w:rsidR="007C19F6" w:rsidRPr="00AF592C" w:rsidSect="002C74F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docGrid w:linePitch="299"/>
        </w:sectPr>
      </w:pPr>
    </w:p>
    <w:p w14:paraId="4DA63858" w14:textId="111EC11E" w:rsidR="00FC5E69" w:rsidRPr="00AF592C" w:rsidRDefault="000E3A25" w:rsidP="00FC5E69">
      <w:pPr>
        <w:tabs>
          <w:tab w:val="left" w:pos="1384"/>
          <w:tab w:val="left" w:pos="2185"/>
          <w:tab w:val="left" w:pos="2742"/>
          <w:tab w:val="left" w:pos="3829"/>
          <w:tab w:val="left" w:pos="6671"/>
          <w:tab w:val="left" w:pos="7624"/>
          <w:tab w:val="left" w:pos="8384"/>
        </w:tabs>
        <w:ind w:left="1440" w:hanging="1440"/>
        <w:jc w:val="center"/>
        <w:rPr>
          <w:b/>
          <w:bCs/>
          <w:lang w:val="fr-CA"/>
        </w:rPr>
      </w:pPr>
      <w:r w:rsidRPr="000E3A25">
        <w:rPr>
          <w:b/>
          <w:bCs/>
          <w:lang w:val="fr-FR"/>
        </w:rPr>
        <w:lastRenderedPageBreak/>
        <w:t>Annexe I</w:t>
      </w:r>
    </w:p>
    <w:p w14:paraId="7CCC69F9" w14:textId="77777777" w:rsidR="00FC5E69" w:rsidRPr="00AF592C" w:rsidRDefault="00FC5E69" w:rsidP="00FC5E69">
      <w:pPr>
        <w:tabs>
          <w:tab w:val="left" w:pos="1384"/>
          <w:tab w:val="left" w:pos="2185"/>
          <w:tab w:val="left" w:pos="2742"/>
          <w:tab w:val="left" w:pos="3829"/>
          <w:tab w:val="left" w:pos="6671"/>
          <w:tab w:val="left" w:pos="7624"/>
          <w:tab w:val="left" w:pos="8384"/>
        </w:tabs>
        <w:ind w:left="1440" w:hanging="1440"/>
        <w:jc w:val="center"/>
        <w:rPr>
          <w:b/>
          <w:bCs/>
          <w:lang w:val="fr-CA"/>
        </w:rPr>
      </w:pPr>
    </w:p>
    <w:p w14:paraId="490A65C6" w14:textId="481687E1" w:rsidR="00FC5E69" w:rsidRPr="00AF592C" w:rsidRDefault="000E3A25" w:rsidP="00FC5E69">
      <w:pPr>
        <w:tabs>
          <w:tab w:val="left" w:pos="1384"/>
          <w:tab w:val="left" w:pos="2185"/>
          <w:tab w:val="left" w:pos="2742"/>
          <w:tab w:val="left" w:pos="3829"/>
          <w:tab w:val="left" w:pos="6671"/>
          <w:tab w:val="left" w:pos="7624"/>
          <w:tab w:val="left" w:pos="8384"/>
        </w:tabs>
        <w:ind w:left="1440" w:hanging="1440"/>
        <w:jc w:val="center"/>
        <w:rPr>
          <w:b/>
          <w:bCs/>
          <w:caps/>
          <w:sz w:val="19"/>
          <w:szCs w:val="19"/>
          <w:lang w:val="fr-CA"/>
        </w:rPr>
      </w:pPr>
      <w:r w:rsidRPr="00E9170B">
        <w:rPr>
          <w:b/>
          <w:bCs/>
          <w:caps/>
          <w:sz w:val="19"/>
          <w:szCs w:val="19"/>
          <w:lang w:val="fr-FR"/>
        </w:rPr>
        <w:t>Analyse des tranches non soumises à la 86</w:t>
      </w:r>
      <w:r w:rsidRPr="00E9170B">
        <w:rPr>
          <w:b/>
          <w:bCs/>
          <w:caps/>
          <w:sz w:val="19"/>
          <w:szCs w:val="19"/>
          <w:vertAlign w:val="superscript"/>
          <w:lang w:val="fr-FR"/>
        </w:rPr>
        <w:t>e</w:t>
      </w:r>
      <w:r w:rsidR="00B81C1B" w:rsidRPr="00E9170B">
        <w:rPr>
          <w:b/>
          <w:bCs/>
          <w:caps/>
          <w:sz w:val="19"/>
          <w:szCs w:val="19"/>
          <w:lang w:val="fr-FR"/>
        </w:rPr>
        <w:t xml:space="preserve"> </w:t>
      </w:r>
      <w:r w:rsidRPr="00E9170B">
        <w:rPr>
          <w:b/>
          <w:bCs/>
          <w:caps/>
          <w:sz w:val="19"/>
          <w:szCs w:val="19"/>
          <w:lang w:val="fr-FR"/>
        </w:rPr>
        <w:t>rÉunion</w:t>
      </w:r>
    </w:p>
    <w:p w14:paraId="2EEF418F" w14:textId="77777777" w:rsidR="00FC5E69" w:rsidRPr="00AF592C" w:rsidRDefault="00FC5E69" w:rsidP="00FC5E69">
      <w:pPr>
        <w:tabs>
          <w:tab w:val="left" w:pos="1384"/>
          <w:tab w:val="left" w:pos="2185"/>
          <w:tab w:val="left" w:pos="2742"/>
          <w:tab w:val="left" w:pos="3829"/>
          <w:tab w:val="left" w:pos="6671"/>
          <w:tab w:val="left" w:pos="7624"/>
          <w:tab w:val="left" w:pos="8384"/>
        </w:tabs>
        <w:ind w:left="1440" w:hanging="1440"/>
        <w:jc w:val="center"/>
        <w:rPr>
          <w:b/>
          <w:bCs/>
          <w:caps/>
          <w:sz w:val="19"/>
          <w:szCs w:val="19"/>
          <w:lang w:val="fr-CA"/>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879"/>
        <w:gridCol w:w="1275"/>
        <w:gridCol w:w="3373"/>
        <w:gridCol w:w="5812"/>
      </w:tblGrid>
      <w:tr w:rsidR="00F91E4F" w:rsidRPr="00E9170B" w14:paraId="62739113" w14:textId="77777777" w:rsidTr="00785A57">
        <w:trPr>
          <w:trHeight w:val="692"/>
          <w:tblHeader/>
        </w:trPr>
        <w:tc>
          <w:tcPr>
            <w:tcW w:w="1560" w:type="dxa"/>
            <w:hideMark/>
          </w:tcPr>
          <w:p w14:paraId="2BB2E29E" w14:textId="5380B684" w:rsidR="00FC5E69" w:rsidRPr="00E9170B" w:rsidRDefault="000E3A25" w:rsidP="00E352F6">
            <w:pPr>
              <w:ind w:left="-108" w:firstLine="108"/>
              <w:jc w:val="center"/>
              <w:rPr>
                <w:b/>
                <w:bCs/>
                <w:sz w:val="19"/>
                <w:szCs w:val="19"/>
                <w:lang w:val="en-CA" w:eastAsia="en-CA"/>
              </w:rPr>
            </w:pPr>
            <w:r w:rsidRPr="00E9170B">
              <w:rPr>
                <w:b/>
                <w:bCs/>
                <w:sz w:val="19"/>
                <w:szCs w:val="19"/>
                <w:lang w:val="fr-FR" w:eastAsia="en-CA"/>
              </w:rPr>
              <w:t>Pays</w:t>
            </w:r>
          </w:p>
        </w:tc>
        <w:tc>
          <w:tcPr>
            <w:tcW w:w="1276" w:type="dxa"/>
            <w:hideMark/>
          </w:tcPr>
          <w:p w14:paraId="08AC8ECF" w14:textId="313E4A84" w:rsidR="00FC5E69" w:rsidRPr="00E9170B" w:rsidRDefault="000E3A25" w:rsidP="00E352F6">
            <w:pPr>
              <w:jc w:val="center"/>
              <w:rPr>
                <w:b/>
                <w:bCs/>
                <w:sz w:val="19"/>
                <w:szCs w:val="19"/>
                <w:lang w:val="en-CA" w:eastAsia="en-CA"/>
              </w:rPr>
            </w:pPr>
            <w:r w:rsidRPr="00E9170B">
              <w:rPr>
                <w:b/>
                <w:bCs/>
                <w:sz w:val="19"/>
                <w:szCs w:val="19"/>
                <w:lang w:val="fr-FR" w:eastAsia="en-CA"/>
              </w:rPr>
              <w:t>Agence</w:t>
            </w:r>
          </w:p>
        </w:tc>
        <w:tc>
          <w:tcPr>
            <w:tcW w:w="879" w:type="dxa"/>
            <w:hideMark/>
          </w:tcPr>
          <w:p w14:paraId="5EEF52A5" w14:textId="2AD4B027" w:rsidR="00FC5E69" w:rsidRPr="00E9170B" w:rsidRDefault="000E3A25" w:rsidP="00E352F6">
            <w:pPr>
              <w:ind w:left="-108" w:right="-128"/>
              <w:jc w:val="center"/>
              <w:rPr>
                <w:b/>
                <w:bCs/>
                <w:sz w:val="19"/>
                <w:szCs w:val="19"/>
                <w:lang w:val="en-CA" w:eastAsia="en-CA"/>
              </w:rPr>
            </w:pPr>
            <w:r w:rsidRPr="00E9170B">
              <w:rPr>
                <w:b/>
                <w:bCs/>
                <w:sz w:val="19"/>
                <w:szCs w:val="19"/>
                <w:lang w:val="fr-FR" w:eastAsia="en-CA"/>
              </w:rPr>
              <w:t>Tranche</w:t>
            </w:r>
          </w:p>
        </w:tc>
        <w:tc>
          <w:tcPr>
            <w:tcW w:w="1275" w:type="dxa"/>
            <w:hideMark/>
          </w:tcPr>
          <w:p w14:paraId="1E426DAB" w14:textId="5C628D49" w:rsidR="00FC5E69" w:rsidRPr="00AF592C" w:rsidRDefault="000E3A25" w:rsidP="002C74F3">
            <w:pPr>
              <w:ind w:left="-108" w:right="-108"/>
              <w:jc w:val="center"/>
              <w:rPr>
                <w:b/>
                <w:bCs/>
                <w:sz w:val="19"/>
                <w:szCs w:val="19"/>
                <w:lang w:val="fr-CA" w:eastAsia="en-CA"/>
              </w:rPr>
            </w:pPr>
            <w:r w:rsidRPr="00E9170B">
              <w:rPr>
                <w:b/>
                <w:bCs/>
                <w:sz w:val="19"/>
                <w:szCs w:val="19"/>
                <w:lang w:val="fr-FR" w:eastAsia="en-CA"/>
              </w:rPr>
              <w:t>Montant (coûts d</w:t>
            </w:r>
            <w:r w:rsidR="0048249F">
              <w:rPr>
                <w:b/>
                <w:bCs/>
                <w:sz w:val="19"/>
                <w:szCs w:val="19"/>
                <w:lang w:val="fr-FR" w:eastAsia="en-CA"/>
              </w:rPr>
              <w:t>’</w:t>
            </w:r>
            <w:r w:rsidRPr="00E9170B">
              <w:rPr>
                <w:b/>
                <w:bCs/>
                <w:sz w:val="19"/>
                <w:szCs w:val="19"/>
                <w:lang w:val="fr-FR" w:eastAsia="en-CA"/>
              </w:rPr>
              <w:t>appui compris)</w:t>
            </w:r>
          </w:p>
          <w:p w14:paraId="7575F7E8" w14:textId="488D9C2B" w:rsidR="00FC5E69" w:rsidRPr="00AF592C" w:rsidRDefault="000E3A25" w:rsidP="00E352F6">
            <w:pPr>
              <w:jc w:val="center"/>
              <w:rPr>
                <w:b/>
                <w:bCs/>
                <w:sz w:val="19"/>
                <w:szCs w:val="19"/>
                <w:lang w:val="fr-CA" w:eastAsia="en-CA"/>
              </w:rPr>
            </w:pPr>
            <w:r w:rsidRPr="00E9170B">
              <w:rPr>
                <w:b/>
                <w:bCs/>
                <w:sz w:val="19"/>
                <w:szCs w:val="19"/>
                <w:lang w:val="fr-FR" w:eastAsia="en-CA"/>
              </w:rPr>
              <w:t>($US)</w:t>
            </w:r>
          </w:p>
        </w:tc>
        <w:tc>
          <w:tcPr>
            <w:tcW w:w="3373" w:type="dxa"/>
            <w:hideMark/>
          </w:tcPr>
          <w:p w14:paraId="49B487BA" w14:textId="33FA8E6C" w:rsidR="00FC5E69" w:rsidRPr="00E9170B" w:rsidRDefault="000E3A25" w:rsidP="00E352F6">
            <w:pPr>
              <w:jc w:val="center"/>
              <w:rPr>
                <w:b/>
                <w:bCs/>
                <w:sz w:val="19"/>
                <w:szCs w:val="19"/>
                <w:lang w:val="en-CA" w:eastAsia="en-CA"/>
              </w:rPr>
            </w:pPr>
            <w:r w:rsidRPr="00E9170B">
              <w:rPr>
                <w:b/>
                <w:bCs/>
                <w:sz w:val="19"/>
                <w:szCs w:val="19"/>
                <w:lang w:val="fr-FR" w:eastAsia="en-CA"/>
              </w:rPr>
              <w:t>Raison du retard/retrait</w:t>
            </w:r>
          </w:p>
        </w:tc>
        <w:tc>
          <w:tcPr>
            <w:tcW w:w="5812" w:type="dxa"/>
          </w:tcPr>
          <w:p w14:paraId="2DC7BB92" w14:textId="7E9E834C" w:rsidR="00FC5E69" w:rsidRPr="00E9170B" w:rsidRDefault="000E3A25" w:rsidP="00E352F6">
            <w:pPr>
              <w:jc w:val="center"/>
              <w:rPr>
                <w:b/>
                <w:bCs/>
                <w:sz w:val="19"/>
                <w:szCs w:val="19"/>
                <w:lang w:val="en-CA" w:eastAsia="en-CA"/>
              </w:rPr>
            </w:pPr>
            <w:r w:rsidRPr="00E9170B">
              <w:rPr>
                <w:b/>
                <w:sz w:val="19"/>
                <w:szCs w:val="19"/>
                <w:lang w:val="fr-FR"/>
              </w:rPr>
              <w:t>Recommandations</w:t>
            </w:r>
          </w:p>
        </w:tc>
      </w:tr>
      <w:tr w:rsidR="00F91E4F" w:rsidRPr="00B67439" w14:paraId="06D961AD" w14:textId="77777777" w:rsidTr="00785A57">
        <w:trPr>
          <w:trHeight w:val="692"/>
        </w:trPr>
        <w:tc>
          <w:tcPr>
            <w:tcW w:w="1560" w:type="dxa"/>
          </w:tcPr>
          <w:p w14:paraId="4D833AB6" w14:textId="40198CFB" w:rsidR="00785A57" w:rsidRPr="00E9170B" w:rsidRDefault="000E3A25" w:rsidP="00E352F6">
            <w:pPr>
              <w:ind w:right="-131"/>
              <w:jc w:val="left"/>
              <w:rPr>
                <w:sz w:val="19"/>
                <w:szCs w:val="19"/>
                <w:lang w:val="en-CA" w:eastAsia="en-CA"/>
              </w:rPr>
            </w:pPr>
            <w:r w:rsidRPr="00E9170B">
              <w:rPr>
                <w:sz w:val="19"/>
                <w:szCs w:val="19"/>
                <w:lang w:val="fr-FR" w:eastAsia="en-CA"/>
              </w:rPr>
              <w:t>Algérie (Phase I)</w:t>
            </w:r>
          </w:p>
        </w:tc>
        <w:tc>
          <w:tcPr>
            <w:tcW w:w="1276" w:type="dxa"/>
          </w:tcPr>
          <w:p w14:paraId="3E703ACC" w14:textId="1FD3AF35" w:rsidR="00785A57" w:rsidRPr="00E9170B" w:rsidRDefault="000E3A25" w:rsidP="00E352F6">
            <w:pPr>
              <w:ind w:right="-131"/>
              <w:jc w:val="left"/>
              <w:rPr>
                <w:sz w:val="19"/>
                <w:szCs w:val="19"/>
                <w:lang w:val="en-CA" w:eastAsia="en-CA"/>
              </w:rPr>
            </w:pPr>
            <w:r w:rsidRPr="00E9170B">
              <w:rPr>
                <w:sz w:val="19"/>
                <w:szCs w:val="19"/>
                <w:lang w:val="fr-FR" w:eastAsia="en-CA"/>
              </w:rPr>
              <w:t>ONUDI</w:t>
            </w:r>
          </w:p>
        </w:tc>
        <w:tc>
          <w:tcPr>
            <w:tcW w:w="879" w:type="dxa"/>
          </w:tcPr>
          <w:p w14:paraId="728C866A" w14:textId="58597340" w:rsidR="00785A57" w:rsidRPr="00E9170B" w:rsidRDefault="000E3A25" w:rsidP="00E352F6">
            <w:pPr>
              <w:ind w:left="-83"/>
              <w:jc w:val="center"/>
              <w:rPr>
                <w:sz w:val="19"/>
                <w:szCs w:val="19"/>
                <w:lang w:val="en-CA" w:eastAsia="en-CA"/>
              </w:rPr>
            </w:pPr>
            <w:r w:rsidRPr="00E9170B">
              <w:rPr>
                <w:sz w:val="19"/>
                <w:szCs w:val="19"/>
                <w:lang w:val="fr-FR" w:eastAsia="en-CA"/>
              </w:rPr>
              <w:t>2014 et 2017</w:t>
            </w:r>
          </w:p>
        </w:tc>
        <w:tc>
          <w:tcPr>
            <w:tcW w:w="1275" w:type="dxa"/>
          </w:tcPr>
          <w:p w14:paraId="140D7657" w14:textId="37FF5E46" w:rsidR="00785A57" w:rsidRPr="00E9170B" w:rsidRDefault="00785A57" w:rsidP="00785A57">
            <w:pPr>
              <w:jc w:val="right"/>
              <w:rPr>
                <w:sz w:val="19"/>
                <w:szCs w:val="19"/>
                <w:lang w:val="en-CA" w:eastAsia="en-CA"/>
              </w:rPr>
            </w:pPr>
            <w:r w:rsidRPr="00E9170B">
              <w:rPr>
                <w:sz w:val="19"/>
                <w:szCs w:val="19"/>
                <w:lang w:val="en-CA" w:eastAsia="en-CA"/>
              </w:rPr>
              <w:t>197</w:t>
            </w:r>
            <w:r w:rsidR="00E9170B">
              <w:rPr>
                <w:sz w:val="19"/>
                <w:szCs w:val="19"/>
                <w:lang w:val="en-CA" w:eastAsia="en-CA"/>
              </w:rPr>
              <w:t> </w:t>
            </w:r>
            <w:r w:rsidRPr="00E9170B">
              <w:rPr>
                <w:sz w:val="19"/>
                <w:szCs w:val="19"/>
                <w:lang w:val="en-CA" w:eastAsia="en-CA"/>
              </w:rPr>
              <w:t>898</w:t>
            </w:r>
          </w:p>
        </w:tc>
        <w:tc>
          <w:tcPr>
            <w:tcW w:w="3373" w:type="dxa"/>
          </w:tcPr>
          <w:p w14:paraId="63819563" w14:textId="7D8D200B" w:rsidR="00785A57" w:rsidRPr="00AF592C" w:rsidRDefault="007C127E" w:rsidP="00994EEC">
            <w:pPr>
              <w:ind w:right="-131"/>
              <w:jc w:val="left"/>
              <w:rPr>
                <w:sz w:val="19"/>
                <w:szCs w:val="19"/>
                <w:lang w:val="fr-CA" w:eastAsia="en-CA"/>
              </w:rPr>
            </w:pPr>
            <w:r w:rsidRPr="00E9170B">
              <w:rPr>
                <w:sz w:val="19"/>
                <w:szCs w:val="19"/>
                <w:lang w:val="fr-FR" w:eastAsia="en-CA"/>
              </w:rPr>
              <w:t>R</w:t>
            </w:r>
            <w:r w:rsidR="000E3A25" w:rsidRPr="00E9170B">
              <w:rPr>
                <w:sz w:val="19"/>
                <w:szCs w:val="19"/>
                <w:lang w:val="fr-FR" w:eastAsia="en-CA"/>
              </w:rPr>
              <w:t>apport de vérification manquant/élément d</w:t>
            </w:r>
            <w:r w:rsidR="0048249F">
              <w:rPr>
                <w:sz w:val="19"/>
                <w:szCs w:val="19"/>
                <w:lang w:val="fr-FR" w:eastAsia="en-CA"/>
              </w:rPr>
              <w:t>’</w:t>
            </w:r>
            <w:r w:rsidR="000E3A25" w:rsidRPr="00E9170B">
              <w:rPr>
                <w:sz w:val="19"/>
                <w:szCs w:val="19"/>
                <w:lang w:val="fr-FR" w:eastAsia="en-CA"/>
              </w:rPr>
              <w:t xml:space="preserve">investissement </w:t>
            </w:r>
          </w:p>
        </w:tc>
        <w:tc>
          <w:tcPr>
            <w:tcW w:w="5812" w:type="dxa"/>
          </w:tcPr>
          <w:p w14:paraId="7D4CD020" w14:textId="38467DC5" w:rsidR="00785A57" w:rsidRPr="00AF592C" w:rsidRDefault="000E3A25" w:rsidP="00A21B07">
            <w:pPr>
              <w:ind w:right="-131"/>
              <w:jc w:val="left"/>
              <w:rPr>
                <w:sz w:val="19"/>
                <w:szCs w:val="19"/>
                <w:lang w:val="fr-CA" w:eastAsia="en-CA"/>
              </w:rPr>
            </w:pPr>
            <w:r w:rsidRPr="00E9170B">
              <w:rPr>
                <w:sz w:val="19"/>
                <w:szCs w:val="19"/>
                <w:lang w:val="fr-FR"/>
              </w:rPr>
              <w:t xml:space="preserve">Prendre note que la troisième (2014) et la quatrième tranche </w:t>
            </w:r>
            <w:r w:rsidR="003742B8" w:rsidRPr="00E9170B">
              <w:rPr>
                <w:sz w:val="19"/>
                <w:szCs w:val="19"/>
                <w:lang w:val="fr-FR"/>
              </w:rPr>
              <w:t xml:space="preserve">(2017) </w:t>
            </w:r>
            <w:r w:rsidRPr="00E9170B">
              <w:rPr>
                <w:sz w:val="19"/>
                <w:szCs w:val="19"/>
                <w:lang w:val="fr-FR"/>
              </w:rPr>
              <w:t>de la phase I du PGEH soumises à la 86</w:t>
            </w:r>
            <w:r w:rsidRPr="00E9170B">
              <w:rPr>
                <w:sz w:val="19"/>
                <w:szCs w:val="19"/>
                <w:vertAlign w:val="superscript"/>
                <w:lang w:val="fr-FR"/>
              </w:rPr>
              <w:t>e</w:t>
            </w:r>
            <w:r w:rsidRPr="00E9170B">
              <w:rPr>
                <w:sz w:val="19"/>
                <w:szCs w:val="19"/>
                <w:lang w:val="fr-FR"/>
              </w:rPr>
              <w:t xml:space="preserve"> réunion ont été retirées, et inviter instamment le gouvernement de l</w:t>
            </w:r>
            <w:r w:rsidR="0048249F">
              <w:rPr>
                <w:sz w:val="19"/>
                <w:szCs w:val="19"/>
                <w:lang w:val="fr-FR"/>
              </w:rPr>
              <w:t>’</w:t>
            </w:r>
            <w:r w:rsidRPr="00E9170B">
              <w:rPr>
                <w:sz w:val="19"/>
                <w:szCs w:val="19"/>
                <w:lang w:val="fr-FR"/>
              </w:rPr>
              <w:t>Algérie à coopérer avec l</w:t>
            </w:r>
            <w:r w:rsidR="0048249F">
              <w:rPr>
                <w:sz w:val="19"/>
                <w:szCs w:val="19"/>
                <w:lang w:val="fr-FR"/>
              </w:rPr>
              <w:t>’</w:t>
            </w:r>
            <w:r w:rsidRPr="00E9170B">
              <w:rPr>
                <w:sz w:val="19"/>
                <w:szCs w:val="19"/>
                <w:lang w:val="fr-FR"/>
              </w:rPr>
              <w:t>ONUDI pour accélérer</w:t>
            </w:r>
            <w:r w:rsidR="00B81C1B" w:rsidRPr="00E9170B">
              <w:rPr>
                <w:sz w:val="19"/>
                <w:szCs w:val="19"/>
                <w:lang w:val="fr-FR"/>
              </w:rPr>
              <w:t xml:space="preserve"> </w:t>
            </w:r>
            <w:r w:rsidRPr="00E9170B">
              <w:rPr>
                <w:sz w:val="19"/>
                <w:szCs w:val="19"/>
                <w:lang w:val="fr-FR"/>
              </w:rPr>
              <w:t>la mise en œuvre de la deuxième tranche (2012) de la phase I afin que les troisième et quatrième tranches (2014 et 2017) puissent être soumises à la 87</w:t>
            </w:r>
            <w:r w:rsidRPr="00E9170B">
              <w:rPr>
                <w:sz w:val="19"/>
                <w:szCs w:val="19"/>
                <w:vertAlign w:val="superscript"/>
                <w:lang w:val="fr-FR"/>
              </w:rPr>
              <w:t>e</w:t>
            </w:r>
            <w:r w:rsidR="00B81C1B" w:rsidRPr="00E9170B">
              <w:rPr>
                <w:sz w:val="19"/>
                <w:szCs w:val="19"/>
                <w:lang w:val="fr-FR"/>
              </w:rPr>
              <w:t xml:space="preserve"> </w:t>
            </w:r>
            <w:r w:rsidRPr="00E9170B">
              <w:rPr>
                <w:sz w:val="19"/>
                <w:szCs w:val="19"/>
                <w:lang w:val="fr-FR"/>
              </w:rPr>
              <w:t>réunion accompagnées d</w:t>
            </w:r>
            <w:r w:rsidR="0048249F">
              <w:rPr>
                <w:sz w:val="19"/>
                <w:szCs w:val="19"/>
                <w:lang w:val="fr-FR"/>
              </w:rPr>
              <w:t>’</w:t>
            </w:r>
            <w:r w:rsidRPr="00E9170B">
              <w:rPr>
                <w:sz w:val="19"/>
                <w:szCs w:val="19"/>
                <w:lang w:val="fr-FR"/>
              </w:rPr>
              <w:t>un rapport de vérification et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2014 et des tranches </w:t>
            </w:r>
            <w:r w:rsidR="00A21B07">
              <w:rPr>
                <w:sz w:val="19"/>
                <w:szCs w:val="19"/>
                <w:lang w:val="fr-FR"/>
              </w:rPr>
              <w:t>suivant</w:t>
            </w:r>
            <w:r w:rsidRPr="00E9170B">
              <w:rPr>
                <w:sz w:val="19"/>
                <w:szCs w:val="19"/>
                <w:lang w:val="fr-FR"/>
              </w:rPr>
              <w:t>es.</w:t>
            </w:r>
            <w:r w:rsidR="00785A57" w:rsidRPr="00AF592C">
              <w:rPr>
                <w:sz w:val="19"/>
                <w:szCs w:val="19"/>
                <w:lang w:val="fr-CA"/>
              </w:rPr>
              <w:t xml:space="preserve"> </w:t>
            </w:r>
          </w:p>
        </w:tc>
      </w:tr>
      <w:tr w:rsidR="00F91E4F" w:rsidRPr="00B67439" w14:paraId="3E401397" w14:textId="77777777" w:rsidTr="00785A57">
        <w:trPr>
          <w:trHeight w:val="450"/>
        </w:trPr>
        <w:tc>
          <w:tcPr>
            <w:tcW w:w="1560" w:type="dxa"/>
          </w:tcPr>
          <w:p w14:paraId="06917939" w14:textId="3304CE3A" w:rsidR="00EE7DF4" w:rsidRPr="00E9170B" w:rsidRDefault="007903D7" w:rsidP="00E352F6">
            <w:pPr>
              <w:ind w:right="-131"/>
              <w:jc w:val="left"/>
              <w:rPr>
                <w:sz w:val="19"/>
                <w:szCs w:val="19"/>
                <w:lang w:val="en-CA" w:eastAsia="en-CA"/>
              </w:rPr>
            </w:pPr>
            <w:r w:rsidRPr="00E9170B">
              <w:rPr>
                <w:sz w:val="19"/>
                <w:szCs w:val="19"/>
                <w:lang w:val="fr-FR" w:eastAsia="en-CA"/>
              </w:rPr>
              <w:t>Bahamas (Phase I)</w:t>
            </w:r>
          </w:p>
        </w:tc>
        <w:tc>
          <w:tcPr>
            <w:tcW w:w="1276" w:type="dxa"/>
          </w:tcPr>
          <w:p w14:paraId="15E421BA" w14:textId="6CF6AEE1" w:rsidR="00EE7DF4" w:rsidRPr="00E9170B" w:rsidRDefault="007903D7" w:rsidP="00E352F6">
            <w:pPr>
              <w:jc w:val="left"/>
              <w:rPr>
                <w:sz w:val="19"/>
                <w:szCs w:val="19"/>
                <w:lang w:val="en-CA" w:eastAsia="en-CA"/>
              </w:rPr>
            </w:pPr>
            <w:r w:rsidRPr="00E9170B">
              <w:rPr>
                <w:sz w:val="19"/>
                <w:szCs w:val="19"/>
                <w:lang w:val="fr-FR" w:eastAsia="en-CA"/>
              </w:rPr>
              <w:t>PNUE</w:t>
            </w:r>
          </w:p>
        </w:tc>
        <w:tc>
          <w:tcPr>
            <w:tcW w:w="879" w:type="dxa"/>
          </w:tcPr>
          <w:p w14:paraId="6BEEA1E0" w14:textId="0707B45B" w:rsidR="00EE7DF4" w:rsidRPr="00E9170B" w:rsidRDefault="00EE7DF4" w:rsidP="00EE7DF4">
            <w:pPr>
              <w:jc w:val="center"/>
              <w:rPr>
                <w:sz w:val="19"/>
                <w:szCs w:val="19"/>
                <w:lang w:val="en-CA" w:eastAsia="en-CA"/>
              </w:rPr>
            </w:pPr>
            <w:r w:rsidRPr="00E9170B">
              <w:rPr>
                <w:sz w:val="19"/>
                <w:szCs w:val="19"/>
                <w:lang w:val="en-CA" w:eastAsia="en-CA"/>
              </w:rPr>
              <w:t>2020</w:t>
            </w:r>
          </w:p>
        </w:tc>
        <w:tc>
          <w:tcPr>
            <w:tcW w:w="1275" w:type="dxa"/>
          </w:tcPr>
          <w:p w14:paraId="3CC50F41" w14:textId="07941D95" w:rsidR="00EE7DF4" w:rsidRPr="00E9170B" w:rsidRDefault="00EE7DF4" w:rsidP="00EE7DF4">
            <w:pPr>
              <w:jc w:val="right"/>
              <w:rPr>
                <w:sz w:val="19"/>
                <w:szCs w:val="19"/>
                <w:lang w:val="en-CA" w:eastAsia="en-CA"/>
              </w:rPr>
            </w:pPr>
            <w:r w:rsidRPr="00E9170B">
              <w:rPr>
                <w:sz w:val="19"/>
                <w:szCs w:val="19"/>
                <w:lang w:val="en-CA" w:eastAsia="en-CA"/>
              </w:rPr>
              <w:t>35</w:t>
            </w:r>
            <w:r w:rsidR="00E9170B">
              <w:rPr>
                <w:sz w:val="19"/>
                <w:szCs w:val="19"/>
                <w:lang w:val="en-CA" w:eastAsia="en-CA"/>
              </w:rPr>
              <w:t> </w:t>
            </w:r>
            <w:r w:rsidRPr="00E9170B">
              <w:rPr>
                <w:sz w:val="19"/>
                <w:szCs w:val="19"/>
                <w:lang w:val="en-CA" w:eastAsia="en-CA"/>
              </w:rPr>
              <w:t>001</w:t>
            </w:r>
          </w:p>
        </w:tc>
        <w:tc>
          <w:tcPr>
            <w:tcW w:w="3373" w:type="dxa"/>
          </w:tcPr>
          <w:p w14:paraId="2D35FC18" w14:textId="15DA36FF" w:rsidR="00EE7DF4" w:rsidRPr="00AF592C" w:rsidRDefault="007C127E" w:rsidP="00994EEC">
            <w:pPr>
              <w:jc w:val="left"/>
              <w:rPr>
                <w:sz w:val="19"/>
                <w:szCs w:val="19"/>
                <w:lang w:val="fr-CA" w:eastAsia="en-CA"/>
              </w:rPr>
            </w:pPr>
            <w:r w:rsidRPr="00E9170B">
              <w:rPr>
                <w:sz w:val="19"/>
                <w:szCs w:val="19"/>
                <w:lang w:val="fr-FR" w:eastAsia="en-CA"/>
              </w:rPr>
              <w:t>Perturbations</w:t>
            </w:r>
            <w:r w:rsidR="007903D7" w:rsidRPr="00E9170B">
              <w:rPr>
                <w:sz w:val="19"/>
                <w:szCs w:val="19"/>
                <w:lang w:val="fr-FR" w:eastAsia="en-CA"/>
              </w:rPr>
              <w:t xml:space="preserve"> due</w:t>
            </w:r>
            <w:r w:rsidRPr="00E9170B">
              <w:rPr>
                <w:sz w:val="19"/>
                <w:szCs w:val="19"/>
                <w:lang w:val="fr-FR" w:eastAsia="en-CA"/>
              </w:rPr>
              <w:t>s</w:t>
            </w:r>
            <w:r w:rsidR="007903D7" w:rsidRPr="00E9170B">
              <w:rPr>
                <w:sz w:val="19"/>
                <w:szCs w:val="19"/>
                <w:lang w:val="fr-FR" w:eastAsia="en-CA"/>
              </w:rPr>
              <w:t xml:space="preserve"> à la pandémie de Covid-19/</w:t>
            </w:r>
            <w:r w:rsidR="00A21B07">
              <w:rPr>
                <w:sz w:val="19"/>
                <w:szCs w:val="19"/>
                <w:lang w:val="fr-FR" w:eastAsia="en-CA"/>
              </w:rPr>
              <w:t>rapport de vérification manquant</w:t>
            </w:r>
            <w:r w:rsidR="007903D7" w:rsidRPr="00E9170B">
              <w:rPr>
                <w:sz w:val="19"/>
                <w:szCs w:val="19"/>
                <w:lang w:val="fr-FR" w:eastAsia="en-CA"/>
              </w:rPr>
              <w:t xml:space="preserve">/ </w:t>
            </w:r>
            <w:r w:rsidR="00994EEC" w:rsidRPr="00E9170B">
              <w:rPr>
                <w:sz w:val="19"/>
                <w:szCs w:val="19"/>
                <w:lang w:val="fr-FR" w:eastAsia="en-CA"/>
              </w:rPr>
              <w:t xml:space="preserve">suffisamment de </w:t>
            </w:r>
            <w:r w:rsidR="007903D7" w:rsidRPr="00E9170B">
              <w:rPr>
                <w:sz w:val="19"/>
                <w:szCs w:val="19"/>
                <w:lang w:val="fr-FR" w:eastAsia="en-CA"/>
              </w:rPr>
              <w:t xml:space="preserve">fonds </w:t>
            </w:r>
            <w:r w:rsidR="00994EEC" w:rsidRPr="00E9170B">
              <w:rPr>
                <w:sz w:val="19"/>
                <w:szCs w:val="19"/>
                <w:lang w:val="fr-FR" w:eastAsia="en-CA"/>
              </w:rPr>
              <w:t xml:space="preserve">approuvés </w:t>
            </w:r>
            <w:r w:rsidR="007903D7" w:rsidRPr="00E9170B">
              <w:rPr>
                <w:sz w:val="19"/>
                <w:szCs w:val="19"/>
                <w:lang w:val="fr-FR" w:eastAsia="en-CA"/>
              </w:rPr>
              <w:t xml:space="preserve">provenant de la </w:t>
            </w:r>
            <w:r w:rsidR="00994EEC" w:rsidRPr="00E9170B">
              <w:rPr>
                <w:sz w:val="19"/>
                <w:szCs w:val="19"/>
                <w:lang w:val="fr-FR" w:eastAsia="en-CA"/>
              </w:rPr>
              <w:t>tranche p</w:t>
            </w:r>
            <w:r w:rsidR="007903D7" w:rsidRPr="00E9170B">
              <w:rPr>
                <w:sz w:val="19"/>
                <w:szCs w:val="19"/>
                <w:lang w:val="fr-FR" w:eastAsia="en-CA"/>
              </w:rPr>
              <w:t>récédente</w:t>
            </w:r>
          </w:p>
        </w:tc>
        <w:tc>
          <w:tcPr>
            <w:tcW w:w="5812" w:type="dxa"/>
          </w:tcPr>
          <w:p w14:paraId="0B14F678" w14:textId="06F86CE8" w:rsidR="00EE7DF4" w:rsidRPr="00AF592C" w:rsidRDefault="007903D7" w:rsidP="00E352F6">
            <w:pPr>
              <w:jc w:val="left"/>
              <w:rPr>
                <w:sz w:val="19"/>
                <w:szCs w:val="19"/>
                <w:lang w:val="fr-CA"/>
              </w:rPr>
            </w:pPr>
            <w:r w:rsidRPr="00E9170B">
              <w:rPr>
                <w:sz w:val="19"/>
                <w:szCs w:val="19"/>
                <w:lang w:val="fr-FR"/>
              </w:rPr>
              <w:t>Prendre note que la vérification obligatoire des objectifs de consommation de HCFC n</w:t>
            </w:r>
            <w:r w:rsidR="0048249F">
              <w:rPr>
                <w:sz w:val="19"/>
                <w:szCs w:val="19"/>
                <w:lang w:val="fr-FR"/>
              </w:rPr>
              <w:t>’</w:t>
            </w:r>
            <w:r w:rsidRPr="00E9170B">
              <w:rPr>
                <w:sz w:val="19"/>
                <w:szCs w:val="19"/>
                <w:lang w:val="fr-FR"/>
              </w:rPr>
              <w:t>a pas été effectuée et</w:t>
            </w:r>
            <w:r w:rsidR="00B81C1B" w:rsidRPr="00E9170B">
              <w:rPr>
                <w:sz w:val="19"/>
                <w:szCs w:val="19"/>
                <w:lang w:val="fr-FR"/>
              </w:rPr>
              <w:t xml:space="preserve"> </w:t>
            </w:r>
            <w:r w:rsidRPr="00E9170B">
              <w:rPr>
                <w:sz w:val="19"/>
                <w:szCs w:val="19"/>
                <w:lang w:val="fr-FR"/>
              </w:rPr>
              <w:t>inviter instamment le gouvernement des Bahamas à coopérer avec le PNUE pour mener à bien la</w:t>
            </w:r>
            <w:r w:rsidR="00B81C1B" w:rsidRPr="00E9170B">
              <w:rPr>
                <w:sz w:val="19"/>
                <w:szCs w:val="19"/>
                <w:lang w:val="fr-FR"/>
              </w:rPr>
              <w:t xml:space="preserve"> </w:t>
            </w:r>
            <w:r w:rsidRPr="00E9170B">
              <w:rPr>
                <w:sz w:val="19"/>
                <w:szCs w:val="19"/>
                <w:lang w:val="fr-FR"/>
              </w:rPr>
              <w:t>vérification afin que la quatrième tranche</w:t>
            </w:r>
            <w:r w:rsidR="00B81C1B" w:rsidRPr="00E9170B">
              <w:rPr>
                <w:sz w:val="19"/>
                <w:szCs w:val="19"/>
                <w:lang w:val="fr-FR"/>
              </w:rPr>
              <w:t xml:space="preserve"> </w:t>
            </w:r>
            <w:r w:rsidRPr="00E9170B">
              <w:rPr>
                <w:sz w:val="19"/>
                <w:szCs w:val="19"/>
                <w:lang w:val="fr-FR"/>
              </w:rPr>
              <w:t>(2020) de la phase I du PGEH puisse être soumise lors de la 87</w:t>
            </w:r>
            <w:r w:rsidRPr="00E9170B">
              <w:rPr>
                <w:sz w:val="19"/>
                <w:szCs w:val="19"/>
                <w:vertAlign w:val="superscript"/>
                <w:lang w:val="fr-FR"/>
              </w:rPr>
              <w:t>e</w:t>
            </w:r>
            <w:r w:rsidR="00B81C1B" w:rsidRPr="00E9170B">
              <w:rPr>
                <w:sz w:val="19"/>
                <w:szCs w:val="19"/>
                <w:lang w:val="fr-FR"/>
              </w:rPr>
              <w:t xml:space="preserve"> </w:t>
            </w:r>
            <w:r w:rsidRPr="00E9170B">
              <w:rPr>
                <w:sz w:val="19"/>
                <w:szCs w:val="19"/>
                <w:lang w:val="fr-FR"/>
              </w:rPr>
              <w:t>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w:t>
            </w:r>
          </w:p>
        </w:tc>
      </w:tr>
      <w:tr w:rsidR="00F91E4F" w:rsidRPr="00B67439" w14:paraId="202E4528" w14:textId="77777777" w:rsidTr="00785A57">
        <w:trPr>
          <w:trHeight w:val="132"/>
        </w:trPr>
        <w:tc>
          <w:tcPr>
            <w:tcW w:w="1560" w:type="dxa"/>
          </w:tcPr>
          <w:p w14:paraId="1421167F" w14:textId="28389953" w:rsidR="00B00346" w:rsidRPr="00E9170B" w:rsidRDefault="007903D7" w:rsidP="00E352F6">
            <w:pPr>
              <w:jc w:val="left"/>
              <w:rPr>
                <w:sz w:val="19"/>
                <w:szCs w:val="19"/>
                <w:lang w:val="en-CA" w:eastAsia="en-CA"/>
              </w:rPr>
            </w:pPr>
            <w:r w:rsidRPr="00E9170B">
              <w:rPr>
                <w:sz w:val="19"/>
                <w:szCs w:val="19"/>
                <w:lang w:val="fr-FR" w:eastAsia="en-CA"/>
              </w:rPr>
              <w:t>Bahreïn (Phase I)</w:t>
            </w:r>
          </w:p>
        </w:tc>
        <w:tc>
          <w:tcPr>
            <w:tcW w:w="1276" w:type="dxa"/>
          </w:tcPr>
          <w:p w14:paraId="5468CE97" w14:textId="37D730DF" w:rsidR="00B00346" w:rsidRPr="00E9170B" w:rsidRDefault="007903D7" w:rsidP="00E352F6">
            <w:pPr>
              <w:jc w:val="left"/>
              <w:rPr>
                <w:sz w:val="19"/>
                <w:szCs w:val="19"/>
                <w:lang w:val="en-CA" w:eastAsia="en-CA"/>
              </w:rPr>
            </w:pPr>
            <w:r w:rsidRPr="00E9170B">
              <w:rPr>
                <w:sz w:val="19"/>
                <w:szCs w:val="19"/>
                <w:lang w:val="fr-FR" w:eastAsia="en-CA"/>
              </w:rPr>
              <w:t>PNUE</w:t>
            </w:r>
          </w:p>
        </w:tc>
        <w:tc>
          <w:tcPr>
            <w:tcW w:w="879" w:type="dxa"/>
          </w:tcPr>
          <w:p w14:paraId="53CA697F" w14:textId="43D5EE5A" w:rsidR="00B00346" w:rsidRPr="00E9170B" w:rsidRDefault="00B00346" w:rsidP="00B00346">
            <w:pPr>
              <w:jc w:val="center"/>
              <w:rPr>
                <w:sz w:val="19"/>
                <w:szCs w:val="19"/>
                <w:lang w:val="en-CA" w:eastAsia="en-CA"/>
              </w:rPr>
            </w:pPr>
            <w:r w:rsidRPr="00E9170B">
              <w:rPr>
                <w:sz w:val="19"/>
                <w:szCs w:val="19"/>
                <w:lang w:val="en-CA" w:eastAsia="en-CA"/>
              </w:rPr>
              <w:t>2020</w:t>
            </w:r>
          </w:p>
        </w:tc>
        <w:tc>
          <w:tcPr>
            <w:tcW w:w="1275" w:type="dxa"/>
          </w:tcPr>
          <w:p w14:paraId="173E0388" w14:textId="1BEE6136" w:rsidR="00B00346" w:rsidRPr="00E9170B" w:rsidRDefault="00B00346" w:rsidP="00B00346">
            <w:pPr>
              <w:jc w:val="right"/>
              <w:rPr>
                <w:sz w:val="19"/>
                <w:szCs w:val="19"/>
                <w:lang w:val="en-CA" w:eastAsia="en-CA"/>
              </w:rPr>
            </w:pPr>
            <w:r w:rsidRPr="00E9170B">
              <w:rPr>
                <w:sz w:val="19"/>
                <w:szCs w:val="19"/>
                <w:lang w:val="en-CA" w:eastAsia="en-CA"/>
              </w:rPr>
              <w:t>28</w:t>
            </w:r>
            <w:r w:rsidR="00E9170B">
              <w:rPr>
                <w:sz w:val="19"/>
                <w:szCs w:val="19"/>
                <w:lang w:val="en-CA" w:eastAsia="en-CA"/>
              </w:rPr>
              <w:t> </w:t>
            </w:r>
            <w:r w:rsidRPr="00E9170B">
              <w:rPr>
                <w:sz w:val="19"/>
                <w:szCs w:val="19"/>
                <w:lang w:val="en-CA" w:eastAsia="en-CA"/>
              </w:rPr>
              <w:t>250</w:t>
            </w:r>
          </w:p>
        </w:tc>
        <w:tc>
          <w:tcPr>
            <w:tcW w:w="3373" w:type="dxa"/>
          </w:tcPr>
          <w:p w14:paraId="411A3C71" w14:textId="3E554243" w:rsidR="00B00346" w:rsidRPr="00AF592C" w:rsidRDefault="007C127E" w:rsidP="00A21B07">
            <w:pPr>
              <w:jc w:val="left"/>
              <w:rPr>
                <w:sz w:val="19"/>
                <w:szCs w:val="19"/>
                <w:lang w:val="fr-CA" w:eastAsia="en-CA"/>
              </w:rPr>
            </w:pPr>
            <w:r w:rsidRPr="00E9170B">
              <w:rPr>
                <w:sz w:val="19"/>
                <w:szCs w:val="19"/>
                <w:lang w:val="fr-FR" w:eastAsia="en-CA"/>
              </w:rPr>
              <w:t>Perturbations</w:t>
            </w:r>
            <w:r w:rsidR="00EF5F07" w:rsidRPr="00E9170B">
              <w:rPr>
                <w:sz w:val="19"/>
                <w:szCs w:val="19"/>
                <w:lang w:val="fr-FR" w:eastAsia="en-CA"/>
              </w:rPr>
              <w:t xml:space="preserve"> dues</w:t>
            </w:r>
            <w:r w:rsidR="007903D7" w:rsidRPr="00E9170B">
              <w:rPr>
                <w:sz w:val="19"/>
                <w:szCs w:val="19"/>
                <w:lang w:val="fr-FR" w:eastAsia="en-CA"/>
              </w:rPr>
              <w:t xml:space="preserve"> à la pandémie de Covid-19/signature de l</w:t>
            </w:r>
            <w:r w:rsidR="0048249F">
              <w:rPr>
                <w:sz w:val="19"/>
                <w:szCs w:val="19"/>
                <w:lang w:val="fr-FR" w:eastAsia="en-CA"/>
              </w:rPr>
              <w:t>’</w:t>
            </w:r>
            <w:r w:rsidR="007903D7" w:rsidRPr="00E9170B">
              <w:rPr>
                <w:sz w:val="19"/>
                <w:szCs w:val="19"/>
                <w:lang w:val="fr-FR" w:eastAsia="en-CA"/>
              </w:rPr>
              <w:t>accord et/ou document de projet/seuil de décaissement de 20 pour cent</w:t>
            </w:r>
          </w:p>
        </w:tc>
        <w:tc>
          <w:tcPr>
            <w:tcW w:w="5812" w:type="dxa"/>
          </w:tcPr>
          <w:p w14:paraId="268D9232" w14:textId="4DAD1B73" w:rsidR="00B00346" w:rsidRPr="00AF592C" w:rsidRDefault="007903D7" w:rsidP="00E352F6">
            <w:pPr>
              <w:jc w:val="left"/>
              <w:rPr>
                <w:sz w:val="19"/>
                <w:szCs w:val="19"/>
                <w:lang w:val="fr-CA"/>
              </w:rPr>
            </w:pPr>
            <w:r w:rsidRPr="00E9170B">
              <w:rPr>
                <w:sz w:val="19"/>
                <w:szCs w:val="19"/>
                <w:lang w:val="fr-FR"/>
              </w:rPr>
              <w:t>Prendre note des retards dans la signature de l</w:t>
            </w:r>
            <w:r w:rsidR="0048249F">
              <w:rPr>
                <w:sz w:val="19"/>
                <w:szCs w:val="19"/>
                <w:lang w:val="fr-FR"/>
              </w:rPr>
              <w:t>’</w:t>
            </w:r>
            <w:r w:rsidRPr="00E9170B">
              <w:rPr>
                <w:sz w:val="19"/>
                <w:szCs w:val="19"/>
                <w:lang w:val="fr-FR"/>
              </w:rPr>
              <w:t>accord et du fait que le taux de décaissement g</w:t>
            </w:r>
            <w:r w:rsidR="00CB0CC7" w:rsidRPr="00E9170B">
              <w:rPr>
                <w:sz w:val="19"/>
                <w:szCs w:val="19"/>
                <w:lang w:val="fr-FR"/>
              </w:rPr>
              <w:t>lobal</w:t>
            </w:r>
            <w:r w:rsidRPr="00E9170B">
              <w:rPr>
                <w:sz w:val="19"/>
                <w:szCs w:val="19"/>
                <w:lang w:val="fr-FR"/>
              </w:rPr>
              <w:t xml:space="preserve"> de la troisième tranche (2019) de phase I du PGEH se situait au-dessous du seuil de décaissement de 20 pour cent</w:t>
            </w:r>
            <w:r w:rsidR="007C127E" w:rsidRPr="00E9170B">
              <w:rPr>
                <w:sz w:val="19"/>
                <w:szCs w:val="19"/>
                <w:lang w:val="fr-FR"/>
              </w:rPr>
              <w:t>,</w:t>
            </w:r>
            <w:r w:rsidRPr="00E9170B">
              <w:rPr>
                <w:sz w:val="19"/>
                <w:szCs w:val="19"/>
                <w:lang w:val="fr-FR"/>
              </w:rPr>
              <w:t xml:space="preserve"> et inviter instamment le gouvernement du Bahreïn à coopérer avec le PNUE pour accélérer la signature de l</w:t>
            </w:r>
            <w:r w:rsidR="0048249F">
              <w:rPr>
                <w:sz w:val="19"/>
                <w:szCs w:val="19"/>
                <w:lang w:val="fr-FR"/>
              </w:rPr>
              <w:t>’</w:t>
            </w:r>
            <w:r w:rsidRPr="00E9170B">
              <w:rPr>
                <w:sz w:val="19"/>
                <w:szCs w:val="19"/>
                <w:lang w:val="fr-FR"/>
              </w:rPr>
              <w:t>accord afin que la quatrième tranche (2020) de la phase I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CB0CC7" w:rsidRPr="00E9170B">
              <w:rPr>
                <w:sz w:val="19"/>
                <w:szCs w:val="19"/>
                <w:lang w:val="fr-FR"/>
              </w:rPr>
              <w:t>pour</w:t>
            </w:r>
            <w:r w:rsidRPr="00E9170B">
              <w:rPr>
                <w:sz w:val="19"/>
                <w:szCs w:val="19"/>
                <w:lang w:val="fr-FR"/>
              </w:rPr>
              <w:t xml:space="preserve"> prendre en compte la réaffectation de la tranche, étant entendu que le seuil de décaissement de 20 pour cent pour le financement de la tranche précédente a été atteint.</w:t>
            </w:r>
          </w:p>
        </w:tc>
      </w:tr>
      <w:tr w:rsidR="00F91E4F" w:rsidRPr="00B67439" w14:paraId="2BD6A4BC" w14:textId="77777777" w:rsidTr="00785A57">
        <w:trPr>
          <w:trHeight w:val="132"/>
        </w:trPr>
        <w:tc>
          <w:tcPr>
            <w:tcW w:w="1560" w:type="dxa"/>
          </w:tcPr>
          <w:p w14:paraId="356CD13D" w14:textId="10521E6C" w:rsidR="00ED7EA2" w:rsidRPr="00E9170B" w:rsidRDefault="007903D7" w:rsidP="00E352F6">
            <w:pPr>
              <w:jc w:val="left"/>
              <w:rPr>
                <w:sz w:val="19"/>
                <w:szCs w:val="19"/>
                <w:lang w:val="en-CA" w:eastAsia="en-CA"/>
              </w:rPr>
            </w:pPr>
            <w:r w:rsidRPr="00E9170B">
              <w:rPr>
                <w:sz w:val="19"/>
                <w:szCs w:val="19"/>
                <w:lang w:val="fr-FR" w:eastAsia="en-CA"/>
              </w:rPr>
              <w:t>Bangladesh (Phase II)</w:t>
            </w:r>
          </w:p>
        </w:tc>
        <w:tc>
          <w:tcPr>
            <w:tcW w:w="1276" w:type="dxa"/>
          </w:tcPr>
          <w:p w14:paraId="2AA3D665" w14:textId="11503A1A" w:rsidR="00ED7EA2" w:rsidRPr="00E9170B" w:rsidRDefault="007903D7" w:rsidP="00E352F6">
            <w:pPr>
              <w:jc w:val="left"/>
              <w:rPr>
                <w:sz w:val="19"/>
                <w:szCs w:val="19"/>
                <w:lang w:val="en-CA" w:eastAsia="en-CA"/>
              </w:rPr>
            </w:pPr>
            <w:r w:rsidRPr="00E9170B">
              <w:rPr>
                <w:sz w:val="19"/>
                <w:szCs w:val="19"/>
                <w:lang w:val="fr-FR" w:eastAsia="en-CA"/>
              </w:rPr>
              <w:t>PNUD</w:t>
            </w:r>
          </w:p>
        </w:tc>
        <w:tc>
          <w:tcPr>
            <w:tcW w:w="879" w:type="dxa"/>
          </w:tcPr>
          <w:p w14:paraId="6A64B43C" w14:textId="3C1B51BC" w:rsidR="00ED7EA2" w:rsidRPr="00E9170B" w:rsidRDefault="00ED7EA2" w:rsidP="00ED7EA2">
            <w:pPr>
              <w:jc w:val="center"/>
              <w:rPr>
                <w:sz w:val="19"/>
                <w:szCs w:val="19"/>
                <w:lang w:val="en-CA" w:eastAsia="en-CA"/>
              </w:rPr>
            </w:pPr>
            <w:r w:rsidRPr="00E9170B">
              <w:rPr>
                <w:sz w:val="19"/>
                <w:szCs w:val="19"/>
                <w:lang w:val="en-CA" w:eastAsia="en-CA"/>
              </w:rPr>
              <w:t>2020</w:t>
            </w:r>
          </w:p>
        </w:tc>
        <w:tc>
          <w:tcPr>
            <w:tcW w:w="1275" w:type="dxa"/>
          </w:tcPr>
          <w:p w14:paraId="34634FF1" w14:textId="6D70C222" w:rsidR="00ED7EA2" w:rsidRPr="00E9170B" w:rsidRDefault="00ED7EA2" w:rsidP="00ED7EA2">
            <w:pPr>
              <w:jc w:val="right"/>
              <w:rPr>
                <w:sz w:val="19"/>
                <w:szCs w:val="19"/>
                <w:lang w:val="en-CA" w:eastAsia="en-CA"/>
              </w:rPr>
            </w:pPr>
            <w:r w:rsidRPr="00E9170B">
              <w:rPr>
                <w:sz w:val="19"/>
                <w:szCs w:val="19"/>
                <w:lang w:val="en-CA" w:eastAsia="en-CA"/>
              </w:rPr>
              <w:t>2</w:t>
            </w:r>
            <w:r w:rsidR="00E9170B">
              <w:rPr>
                <w:sz w:val="19"/>
                <w:szCs w:val="19"/>
                <w:lang w:val="en-CA" w:eastAsia="en-CA"/>
              </w:rPr>
              <w:t> </w:t>
            </w:r>
            <w:r w:rsidRPr="00E9170B">
              <w:rPr>
                <w:sz w:val="19"/>
                <w:szCs w:val="19"/>
                <w:lang w:val="en-CA" w:eastAsia="en-CA"/>
              </w:rPr>
              <w:t>292</w:t>
            </w:r>
            <w:r w:rsidR="00E9170B">
              <w:rPr>
                <w:sz w:val="19"/>
                <w:szCs w:val="19"/>
                <w:lang w:val="en-CA" w:eastAsia="en-CA"/>
              </w:rPr>
              <w:t> </w:t>
            </w:r>
            <w:r w:rsidRPr="00E9170B">
              <w:rPr>
                <w:sz w:val="19"/>
                <w:szCs w:val="19"/>
                <w:lang w:val="en-CA" w:eastAsia="en-CA"/>
              </w:rPr>
              <w:t>373</w:t>
            </w:r>
          </w:p>
        </w:tc>
        <w:tc>
          <w:tcPr>
            <w:tcW w:w="3373" w:type="dxa"/>
          </w:tcPr>
          <w:p w14:paraId="60FEAAD6" w14:textId="26F45E35" w:rsidR="00ED7EA2" w:rsidRPr="00AF592C" w:rsidRDefault="007903D7" w:rsidP="00A21B07">
            <w:pPr>
              <w:jc w:val="left"/>
              <w:rPr>
                <w:sz w:val="19"/>
                <w:szCs w:val="19"/>
                <w:lang w:val="fr-CA" w:eastAsia="en-CA"/>
              </w:rPr>
            </w:pPr>
            <w:r w:rsidRPr="00E9170B">
              <w:rPr>
                <w:sz w:val="19"/>
                <w:szCs w:val="19"/>
                <w:lang w:val="fr-FR" w:eastAsia="en-CA"/>
              </w:rPr>
              <w:t>Décisions/approbations du gouvernement</w:t>
            </w:r>
            <w:r w:rsidR="00A21B07">
              <w:rPr>
                <w:sz w:val="19"/>
                <w:szCs w:val="19"/>
                <w:lang w:val="fr-FR" w:eastAsia="en-CA"/>
              </w:rPr>
              <w:t>/</w:t>
            </w:r>
            <w:r w:rsidRPr="00E9170B">
              <w:rPr>
                <w:sz w:val="19"/>
                <w:szCs w:val="19"/>
                <w:lang w:val="fr-FR" w:eastAsia="en-CA"/>
              </w:rPr>
              <w:t>changements au sein de l</w:t>
            </w:r>
            <w:r w:rsidR="0048249F">
              <w:rPr>
                <w:sz w:val="19"/>
                <w:szCs w:val="19"/>
                <w:lang w:val="fr-FR" w:eastAsia="en-CA"/>
              </w:rPr>
              <w:t>’</w:t>
            </w:r>
            <w:r w:rsidRPr="00E9170B">
              <w:rPr>
                <w:sz w:val="19"/>
                <w:szCs w:val="19"/>
                <w:lang w:val="fr-FR" w:eastAsia="en-CA"/>
              </w:rPr>
              <w:t>UNO/ changements structurels/ signature de l</w:t>
            </w:r>
            <w:r w:rsidR="0048249F">
              <w:rPr>
                <w:sz w:val="19"/>
                <w:szCs w:val="19"/>
                <w:lang w:val="fr-FR" w:eastAsia="en-CA"/>
              </w:rPr>
              <w:t>’</w:t>
            </w:r>
            <w:r w:rsidRPr="00E9170B">
              <w:rPr>
                <w:sz w:val="19"/>
                <w:szCs w:val="19"/>
                <w:lang w:val="fr-FR" w:eastAsia="en-CA"/>
              </w:rPr>
              <w:t xml:space="preserve">accord et/ou document de projet /seuil de décaissement de 20 pour cent </w:t>
            </w:r>
          </w:p>
        </w:tc>
        <w:tc>
          <w:tcPr>
            <w:tcW w:w="5812" w:type="dxa"/>
          </w:tcPr>
          <w:p w14:paraId="24ECCF3A" w14:textId="08FAE505" w:rsidR="00ED7EA2" w:rsidRPr="00AF592C" w:rsidRDefault="007903D7" w:rsidP="00E352F6">
            <w:pPr>
              <w:jc w:val="left"/>
              <w:rPr>
                <w:sz w:val="19"/>
                <w:szCs w:val="19"/>
                <w:lang w:val="fr-CA"/>
              </w:rPr>
            </w:pPr>
            <w:r w:rsidRPr="00E9170B">
              <w:rPr>
                <w:sz w:val="19"/>
                <w:szCs w:val="19"/>
                <w:lang w:val="fr-FR"/>
              </w:rPr>
              <w:t>Prendre note des retards dans la signature de l</w:t>
            </w:r>
            <w:r w:rsidR="0048249F">
              <w:rPr>
                <w:sz w:val="19"/>
                <w:szCs w:val="19"/>
                <w:lang w:val="fr-FR"/>
              </w:rPr>
              <w:t>’</w:t>
            </w:r>
            <w:r w:rsidRPr="00E9170B">
              <w:rPr>
                <w:sz w:val="19"/>
                <w:szCs w:val="19"/>
                <w:lang w:val="fr-FR"/>
              </w:rPr>
              <w:t>accord et du fait que le taux de décaissement g</w:t>
            </w:r>
            <w:r w:rsidR="007C127E" w:rsidRPr="00E9170B">
              <w:rPr>
                <w:sz w:val="19"/>
                <w:szCs w:val="19"/>
                <w:lang w:val="fr-FR"/>
              </w:rPr>
              <w:t>lobal</w:t>
            </w:r>
            <w:r w:rsidRPr="00E9170B">
              <w:rPr>
                <w:sz w:val="19"/>
                <w:szCs w:val="19"/>
                <w:lang w:val="fr-FR"/>
              </w:rPr>
              <w:t xml:space="preserve"> de la première tranche (2018) de phase II du PGEH se situait au-dessous du seuil de décaissement de 20 pour cent</w:t>
            </w:r>
            <w:r w:rsidR="007C127E" w:rsidRPr="00E9170B">
              <w:rPr>
                <w:sz w:val="19"/>
                <w:szCs w:val="19"/>
                <w:lang w:val="fr-FR"/>
              </w:rPr>
              <w:t>,</w:t>
            </w:r>
            <w:r w:rsidRPr="00E9170B">
              <w:rPr>
                <w:sz w:val="19"/>
                <w:szCs w:val="19"/>
                <w:lang w:val="fr-FR"/>
              </w:rPr>
              <w:t xml:space="preserve"> et inviter instamment le gouvernement du Bangladesh à coopérer avec le PNUD pour accélérer la signature de l</w:t>
            </w:r>
            <w:r w:rsidR="0048249F">
              <w:rPr>
                <w:sz w:val="19"/>
                <w:szCs w:val="19"/>
                <w:lang w:val="fr-FR"/>
              </w:rPr>
              <w:t>’</w:t>
            </w:r>
            <w:r w:rsidRPr="00E9170B">
              <w:rPr>
                <w:sz w:val="19"/>
                <w:szCs w:val="19"/>
                <w:lang w:val="fr-FR"/>
              </w:rPr>
              <w:t>accord afin que</w:t>
            </w:r>
            <w:r w:rsidR="00EF5F07" w:rsidRPr="00E9170B">
              <w:rPr>
                <w:sz w:val="19"/>
                <w:szCs w:val="19"/>
                <w:lang w:val="fr-FR"/>
              </w:rPr>
              <w:t xml:space="preserve"> la</w:t>
            </w:r>
            <w:r w:rsidRPr="00E9170B">
              <w:rPr>
                <w:sz w:val="19"/>
                <w:szCs w:val="19"/>
                <w:lang w:val="fr-FR"/>
              </w:rPr>
              <w:t xml:space="preserve"> deuxième tranche (2020) de la phase II puisse être soumise lors de la 87</w:t>
            </w:r>
            <w:r w:rsidRPr="00E9170B">
              <w:rPr>
                <w:sz w:val="19"/>
                <w:szCs w:val="19"/>
                <w:vertAlign w:val="superscript"/>
                <w:lang w:val="fr-FR"/>
              </w:rPr>
              <w:t>e</w:t>
            </w:r>
            <w:r w:rsidRPr="00E9170B">
              <w:rPr>
                <w:sz w:val="19"/>
                <w:szCs w:val="19"/>
                <w:lang w:val="fr-FR"/>
              </w:rPr>
              <w:t xml:space="preserve"> réunion assortie</w:t>
            </w:r>
            <w:r w:rsidR="00B81C1B" w:rsidRPr="00E9170B">
              <w:rPr>
                <w:sz w:val="19"/>
                <w:szCs w:val="19"/>
                <w:lang w:val="fr-FR"/>
              </w:rPr>
              <w:t xml:space="preserve"> </w:t>
            </w:r>
            <w:r w:rsidRPr="00E9170B">
              <w:rPr>
                <w:sz w:val="19"/>
                <w:szCs w:val="19"/>
                <w:lang w:val="fr-FR"/>
              </w:rPr>
              <w:t>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 2020 et des tranches suivantes, étant entendu que le seuil de décaissement de 20 pour cent pour le financement de la tranche précédente a été atteint.</w:t>
            </w:r>
          </w:p>
        </w:tc>
      </w:tr>
      <w:tr w:rsidR="00F91E4F" w:rsidRPr="00B67439" w14:paraId="466AAD00" w14:textId="77777777" w:rsidTr="00785A57">
        <w:trPr>
          <w:trHeight w:val="132"/>
        </w:trPr>
        <w:tc>
          <w:tcPr>
            <w:tcW w:w="1560" w:type="dxa"/>
          </w:tcPr>
          <w:p w14:paraId="3EDE8F6D" w14:textId="61A4C323" w:rsidR="00C8241D" w:rsidRPr="00E9170B" w:rsidRDefault="007903D7" w:rsidP="00C8241D">
            <w:pPr>
              <w:jc w:val="left"/>
              <w:rPr>
                <w:sz w:val="19"/>
                <w:szCs w:val="19"/>
                <w:lang w:val="en-CA" w:eastAsia="en-CA"/>
              </w:rPr>
            </w:pPr>
            <w:r w:rsidRPr="00E9170B">
              <w:rPr>
                <w:sz w:val="19"/>
                <w:szCs w:val="19"/>
                <w:lang w:val="fr-FR" w:eastAsia="en-CA"/>
              </w:rPr>
              <w:t>Barbade</w:t>
            </w:r>
            <w:r w:rsidR="00C8241D" w:rsidRPr="00E9170B">
              <w:rPr>
                <w:sz w:val="19"/>
                <w:szCs w:val="19"/>
                <w:lang w:val="en-CA" w:eastAsia="en-CA"/>
              </w:rPr>
              <w:t xml:space="preserve"> </w:t>
            </w:r>
          </w:p>
          <w:p w14:paraId="06E2202B" w14:textId="42E1F6FF" w:rsidR="00C8241D" w:rsidRPr="00E9170B" w:rsidRDefault="007903D7" w:rsidP="00E352F6">
            <w:pPr>
              <w:jc w:val="left"/>
              <w:rPr>
                <w:sz w:val="19"/>
                <w:szCs w:val="19"/>
                <w:lang w:val="en-CA" w:eastAsia="en-CA"/>
              </w:rPr>
            </w:pPr>
            <w:r w:rsidRPr="00E9170B">
              <w:rPr>
                <w:sz w:val="19"/>
                <w:szCs w:val="19"/>
                <w:lang w:val="fr-FR" w:eastAsia="en-CA"/>
              </w:rPr>
              <w:lastRenderedPageBreak/>
              <w:t>(Phase I)</w:t>
            </w:r>
          </w:p>
        </w:tc>
        <w:tc>
          <w:tcPr>
            <w:tcW w:w="1276" w:type="dxa"/>
          </w:tcPr>
          <w:p w14:paraId="2BF8C985" w14:textId="7308397D" w:rsidR="00C8241D" w:rsidRPr="00E9170B" w:rsidRDefault="007903D7" w:rsidP="00E352F6">
            <w:pPr>
              <w:jc w:val="left"/>
              <w:rPr>
                <w:sz w:val="19"/>
                <w:szCs w:val="19"/>
                <w:lang w:val="en-CA" w:eastAsia="en-CA"/>
              </w:rPr>
            </w:pPr>
            <w:r w:rsidRPr="00E9170B">
              <w:rPr>
                <w:sz w:val="19"/>
                <w:szCs w:val="19"/>
                <w:lang w:val="fr-FR" w:eastAsia="en-CA"/>
              </w:rPr>
              <w:lastRenderedPageBreak/>
              <w:t>PNUE</w:t>
            </w:r>
          </w:p>
        </w:tc>
        <w:tc>
          <w:tcPr>
            <w:tcW w:w="879" w:type="dxa"/>
          </w:tcPr>
          <w:p w14:paraId="0257BA21" w14:textId="43EC5F53" w:rsidR="00C8241D" w:rsidRPr="00E9170B" w:rsidRDefault="00C8241D" w:rsidP="00C8241D">
            <w:pPr>
              <w:jc w:val="center"/>
              <w:rPr>
                <w:sz w:val="19"/>
                <w:szCs w:val="19"/>
                <w:lang w:val="en-CA" w:eastAsia="en-CA"/>
              </w:rPr>
            </w:pPr>
            <w:r w:rsidRPr="00E9170B">
              <w:rPr>
                <w:sz w:val="19"/>
                <w:szCs w:val="19"/>
                <w:lang w:val="en-CA" w:eastAsia="en-CA"/>
              </w:rPr>
              <w:t>2020</w:t>
            </w:r>
          </w:p>
        </w:tc>
        <w:tc>
          <w:tcPr>
            <w:tcW w:w="1275" w:type="dxa"/>
          </w:tcPr>
          <w:p w14:paraId="7A8C2A0C" w14:textId="06F3B235" w:rsidR="00C8241D" w:rsidRPr="00E9170B" w:rsidRDefault="00C8241D" w:rsidP="00C8241D">
            <w:pPr>
              <w:jc w:val="right"/>
              <w:rPr>
                <w:sz w:val="19"/>
                <w:szCs w:val="19"/>
                <w:lang w:val="en-CA" w:eastAsia="en-CA"/>
              </w:rPr>
            </w:pPr>
            <w:r w:rsidRPr="00E9170B">
              <w:rPr>
                <w:sz w:val="19"/>
                <w:szCs w:val="19"/>
                <w:lang w:val="en-CA" w:eastAsia="en-CA"/>
              </w:rPr>
              <w:t>31</w:t>
            </w:r>
            <w:r w:rsidR="00E9170B">
              <w:rPr>
                <w:sz w:val="19"/>
                <w:szCs w:val="19"/>
                <w:lang w:val="en-CA" w:eastAsia="en-CA"/>
              </w:rPr>
              <w:t> </w:t>
            </w:r>
            <w:r w:rsidRPr="00E9170B">
              <w:rPr>
                <w:sz w:val="19"/>
                <w:szCs w:val="19"/>
                <w:lang w:val="en-CA" w:eastAsia="en-CA"/>
              </w:rPr>
              <w:t>640</w:t>
            </w:r>
          </w:p>
        </w:tc>
        <w:tc>
          <w:tcPr>
            <w:tcW w:w="3373" w:type="dxa"/>
          </w:tcPr>
          <w:p w14:paraId="6E36190D" w14:textId="1A27D38F" w:rsidR="00C8241D" w:rsidRPr="00AF592C" w:rsidRDefault="00994EEC" w:rsidP="00994EEC">
            <w:pPr>
              <w:jc w:val="left"/>
              <w:rPr>
                <w:sz w:val="19"/>
                <w:szCs w:val="19"/>
                <w:lang w:val="fr-CA" w:eastAsia="en-CA"/>
              </w:rPr>
            </w:pPr>
            <w:r w:rsidRPr="00E9170B">
              <w:rPr>
                <w:sz w:val="19"/>
                <w:szCs w:val="19"/>
                <w:lang w:val="fr-FR" w:eastAsia="en-CA"/>
              </w:rPr>
              <w:t xml:space="preserve">Perturbations dues à la pandémie de </w:t>
            </w:r>
            <w:r w:rsidRPr="00E9170B">
              <w:rPr>
                <w:sz w:val="19"/>
                <w:szCs w:val="19"/>
                <w:lang w:val="fr-FR" w:eastAsia="en-CA"/>
              </w:rPr>
              <w:lastRenderedPageBreak/>
              <w:t>Covid-19</w:t>
            </w:r>
            <w:r w:rsidR="007903D7" w:rsidRPr="00E9170B">
              <w:rPr>
                <w:sz w:val="19"/>
                <w:szCs w:val="19"/>
                <w:lang w:val="fr-FR" w:eastAsia="en-CA"/>
              </w:rPr>
              <w:t>/</w:t>
            </w:r>
            <w:r w:rsidR="00A21B07">
              <w:rPr>
                <w:sz w:val="19"/>
                <w:szCs w:val="19"/>
                <w:lang w:val="fr-FR" w:eastAsia="en-CA"/>
              </w:rPr>
              <w:t>rapport de vérification manquant</w:t>
            </w:r>
            <w:r w:rsidR="007903D7" w:rsidRPr="00E9170B">
              <w:rPr>
                <w:sz w:val="19"/>
                <w:szCs w:val="19"/>
                <w:lang w:val="fr-FR" w:eastAsia="en-CA"/>
              </w:rPr>
              <w:t xml:space="preserve">/ </w:t>
            </w:r>
            <w:r w:rsidRPr="00E9170B">
              <w:rPr>
                <w:sz w:val="19"/>
                <w:szCs w:val="19"/>
                <w:lang w:val="fr-FR" w:eastAsia="en-CA"/>
              </w:rPr>
              <w:t>suffisamment de fonds approuvés provenant de la tranche précédente</w:t>
            </w:r>
            <w:r w:rsidR="007903D7" w:rsidRPr="00E9170B">
              <w:rPr>
                <w:sz w:val="19"/>
                <w:szCs w:val="19"/>
                <w:lang w:val="fr-FR" w:eastAsia="en-CA"/>
              </w:rPr>
              <w:t>/seuil de décaissement de 20 pour cent</w:t>
            </w:r>
          </w:p>
        </w:tc>
        <w:tc>
          <w:tcPr>
            <w:tcW w:w="5812" w:type="dxa"/>
          </w:tcPr>
          <w:p w14:paraId="2C6C00E2" w14:textId="243310E3" w:rsidR="00C8241D" w:rsidRPr="00AF592C" w:rsidRDefault="007903D7" w:rsidP="00E352F6">
            <w:pPr>
              <w:jc w:val="left"/>
              <w:rPr>
                <w:sz w:val="19"/>
                <w:szCs w:val="19"/>
                <w:lang w:val="fr-CA"/>
              </w:rPr>
            </w:pPr>
            <w:r w:rsidRPr="00E9170B">
              <w:rPr>
                <w:sz w:val="19"/>
                <w:szCs w:val="19"/>
                <w:lang w:val="fr-FR"/>
              </w:rPr>
              <w:lastRenderedPageBreak/>
              <w:t xml:space="preserve">Prendre note que la vérification obligatoire des objectifs de </w:t>
            </w:r>
            <w:r w:rsidRPr="00E9170B">
              <w:rPr>
                <w:sz w:val="19"/>
                <w:szCs w:val="19"/>
                <w:lang w:val="fr-FR"/>
              </w:rPr>
              <w:lastRenderedPageBreak/>
              <w:t>consommation de HCFC n</w:t>
            </w:r>
            <w:r w:rsidR="0048249F">
              <w:rPr>
                <w:sz w:val="19"/>
                <w:szCs w:val="19"/>
                <w:lang w:val="fr-FR"/>
              </w:rPr>
              <w:t>’</w:t>
            </w:r>
            <w:r w:rsidRPr="00E9170B">
              <w:rPr>
                <w:sz w:val="19"/>
                <w:szCs w:val="19"/>
                <w:lang w:val="fr-FR"/>
              </w:rPr>
              <w:t>a pas été effectuée et que le taux de décaissement global de la troisième tranche (2018) de phase I du PGEH se situait au-dessous du seuil de décaissement de 20 pour cent, et inviter instamment le gouvernement de la Barbade à coopérer avec le PNUE pour men</w:t>
            </w:r>
            <w:r w:rsidR="000008EB" w:rsidRPr="00E9170B">
              <w:rPr>
                <w:sz w:val="19"/>
                <w:szCs w:val="19"/>
                <w:lang w:val="fr-FR"/>
              </w:rPr>
              <w:t>er</w:t>
            </w:r>
            <w:r w:rsidRPr="00E9170B">
              <w:rPr>
                <w:sz w:val="19"/>
                <w:szCs w:val="19"/>
                <w:lang w:val="fr-FR"/>
              </w:rPr>
              <w:t xml:space="preserve"> à bien la vérification afin que la quatrième tranche (2020) de la phase I puisse être soumise lors de la 88</w:t>
            </w:r>
            <w:r w:rsidRPr="00E9170B">
              <w:rPr>
                <w:sz w:val="19"/>
                <w:szCs w:val="19"/>
                <w:vertAlign w:val="superscript"/>
                <w:lang w:val="fr-FR"/>
              </w:rPr>
              <w:t>e</w:t>
            </w:r>
            <w:r w:rsidRPr="00E9170B">
              <w:rPr>
                <w:sz w:val="19"/>
                <w:szCs w:val="19"/>
                <w:lang w:val="fr-FR"/>
              </w:rPr>
              <w:t xml:space="preserve"> réunion assortie</w:t>
            </w:r>
            <w:r w:rsidR="00B81C1B" w:rsidRPr="00E9170B">
              <w:rPr>
                <w:sz w:val="19"/>
                <w:szCs w:val="19"/>
                <w:lang w:val="fr-FR"/>
              </w:rPr>
              <w:t xml:space="preserve"> </w:t>
            </w:r>
            <w:r w:rsidRPr="00E9170B">
              <w:rPr>
                <w:sz w:val="19"/>
                <w:szCs w:val="19"/>
                <w:lang w:val="fr-FR"/>
              </w:rPr>
              <w:t>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 2020, étant entendu que le seuil de décaissement de 20 pour cent pour le financement de la tranche précédente a été atteint.</w:t>
            </w:r>
          </w:p>
        </w:tc>
      </w:tr>
      <w:tr w:rsidR="00F91E4F" w:rsidRPr="00B67439" w14:paraId="44CC404B" w14:textId="77777777" w:rsidTr="00785A57">
        <w:trPr>
          <w:trHeight w:val="132"/>
        </w:trPr>
        <w:tc>
          <w:tcPr>
            <w:tcW w:w="1560" w:type="dxa"/>
          </w:tcPr>
          <w:p w14:paraId="4E764EB8" w14:textId="672A4367" w:rsidR="00572830" w:rsidRPr="00E9170B" w:rsidRDefault="007903D7" w:rsidP="00E352F6">
            <w:pPr>
              <w:jc w:val="left"/>
              <w:rPr>
                <w:sz w:val="19"/>
                <w:szCs w:val="19"/>
                <w:lang w:val="en-CA" w:eastAsia="en-CA"/>
              </w:rPr>
            </w:pPr>
            <w:r w:rsidRPr="00E9170B">
              <w:rPr>
                <w:sz w:val="19"/>
                <w:szCs w:val="19"/>
                <w:lang w:val="fr-FR" w:eastAsia="en-CA"/>
              </w:rPr>
              <w:lastRenderedPageBreak/>
              <w:t>Belize (Phase I)</w:t>
            </w:r>
            <w:r w:rsidR="00572830" w:rsidRPr="00E9170B">
              <w:rPr>
                <w:sz w:val="19"/>
                <w:szCs w:val="19"/>
                <w:lang w:val="en-CA" w:eastAsia="en-CA"/>
              </w:rPr>
              <w:t xml:space="preserve"> </w:t>
            </w:r>
          </w:p>
        </w:tc>
        <w:tc>
          <w:tcPr>
            <w:tcW w:w="1276" w:type="dxa"/>
          </w:tcPr>
          <w:p w14:paraId="2BB6CCE0" w14:textId="584050FE" w:rsidR="00572830" w:rsidRPr="00E9170B" w:rsidRDefault="007903D7" w:rsidP="00E352F6">
            <w:pPr>
              <w:jc w:val="left"/>
              <w:rPr>
                <w:sz w:val="19"/>
                <w:szCs w:val="19"/>
                <w:lang w:val="en-CA" w:eastAsia="en-CA"/>
              </w:rPr>
            </w:pPr>
            <w:r w:rsidRPr="00E9170B">
              <w:rPr>
                <w:sz w:val="19"/>
                <w:szCs w:val="19"/>
                <w:lang w:val="fr-FR" w:eastAsia="en-CA"/>
              </w:rPr>
              <w:t>PNUE</w:t>
            </w:r>
          </w:p>
        </w:tc>
        <w:tc>
          <w:tcPr>
            <w:tcW w:w="879" w:type="dxa"/>
          </w:tcPr>
          <w:p w14:paraId="1EDE73A9" w14:textId="6349D108" w:rsidR="00572830" w:rsidRPr="00E9170B" w:rsidRDefault="00572830" w:rsidP="00572830">
            <w:pPr>
              <w:jc w:val="center"/>
              <w:rPr>
                <w:sz w:val="19"/>
                <w:szCs w:val="19"/>
                <w:lang w:val="en-CA" w:eastAsia="en-CA"/>
              </w:rPr>
            </w:pPr>
            <w:r w:rsidRPr="00E9170B">
              <w:rPr>
                <w:sz w:val="19"/>
                <w:szCs w:val="19"/>
                <w:lang w:val="en-CA" w:eastAsia="en-CA"/>
              </w:rPr>
              <w:t>2020</w:t>
            </w:r>
          </w:p>
        </w:tc>
        <w:tc>
          <w:tcPr>
            <w:tcW w:w="1275" w:type="dxa"/>
          </w:tcPr>
          <w:p w14:paraId="5707DC68" w14:textId="2FA74EC5" w:rsidR="00572830" w:rsidRPr="00E9170B" w:rsidRDefault="00572830" w:rsidP="00572830">
            <w:pPr>
              <w:jc w:val="right"/>
              <w:rPr>
                <w:sz w:val="19"/>
                <w:szCs w:val="19"/>
                <w:lang w:val="en-CA" w:eastAsia="en-CA"/>
              </w:rPr>
            </w:pPr>
            <w:r w:rsidRPr="00E9170B">
              <w:rPr>
                <w:sz w:val="19"/>
                <w:szCs w:val="19"/>
                <w:lang w:val="en-CA" w:eastAsia="en-CA"/>
              </w:rPr>
              <w:t>42</w:t>
            </w:r>
            <w:r w:rsidR="00E9170B">
              <w:rPr>
                <w:sz w:val="19"/>
                <w:szCs w:val="19"/>
                <w:lang w:val="en-CA" w:eastAsia="en-CA"/>
              </w:rPr>
              <w:t> </w:t>
            </w:r>
            <w:r w:rsidRPr="00E9170B">
              <w:rPr>
                <w:sz w:val="19"/>
                <w:szCs w:val="19"/>
                <w:lang w:val="en-CA" w:eastAsia="en-CA"/>
              </w:rPr>
              <w:t>375</w:t>
            </w:r>
          </w:p>
        </w:tc>
        <w:tc>
          <w:tcPr>
            <w:tcW w:w="3373" w:type="dxa"/>
          </w:tcPr>
          <w:p w14:paraId="639F5C98" w14:textId="6782AC17" w:rsidR="00572830" w:rsidRPr="00AF592C" w:rsidRDefault="007903D7" w:rsidP="00E9170B">
            <w:pPr>
              <w:jc w:val="left"/>
              <w:rPr>
                <w:sz w:val="19"/>
                <w:szCs w:val="19"/>
                <w:lang w:val="fr-CA" w:eastAsia="en-CA"/>
              </w:rPr>
            </w:pPr>
            <w:r w:rsidRPr="00E9170B">
              <w:rPr>
                <w:sz w:val="19"/>
                <w:szCs w:val="19"/>
                <w:lang w:val="fr-FR" w:eastAsia="en-CA"/>
              </w:rPr>
              <w:t>décisions/approbations du gouvernement/changements au sein de l</w:t>
            </w:r>
            <w:r w:rsidR="0048249F">
              <w:rPr>
                <w:sz w:val="19"/>
                <w:szCs w:val="19"/>
                <w:lang w:val="fr-FR" w:eastAsia="en-CA"/>
              </w:rPr>
              <w:t>’</w:t>
            </w:r>
            <w:r w:rsidRPr="00E9170B">
              <w:rPr>
                <w:sz w:val="19"/>
                <w:szCs w:val="19"/>
                <w:lang w:val="fr-FR" w:eastAsia="en-CA"/>
              </w:rPr>
              <w:t xml:space="preserve">UNO changements structurels/ </w:t>
            </w:r>
            <w:r w:rsidR="00A21B07">
              <w:rPr>
                <w:sz w:val="19"/>
                <w:szCs w:val="19"/>
                <w:lang w:val="fr-FR" w:eastAsia="en-CA"/>
              </w:rPr>
              <w:t>rapport de vérification manquant</w:t>
            </w:r>
          </w:p>
        </w:tc>
        <w:tc>
          <w:tcPr>
            <w:tcW w:w="5812" w:type="dxa"/>
          </w:tcPr>
          <w:p w14:paraId="73B012C0" w14:textId="36901AEF" w:rsidR="00572830" w:rsidRPr="00AF592C" w:rsidRDefault="007903D7" w:rsidP="00E352F6">
            <w:pPr>
              <w:jc w:val="left"/>
              <w:rPr>
                <w:sz w:val="19"/>
                <w:szCs w:val="19"/>
                <w:lang w:val="fr-CA"/>
              </w:rPr>
            </w:pPr>
            <w:r w:rsidRPr="00E9170B">
              <w:rPr>
                <w:sz w:val="19"/>
                <w:szCs w:val="19"/>
                <w:lang w:val="fr-FR"/>
              </w:rPr>
              <w:t>Prendre note des retards dus aux changements structurels au sein du gouvernement et de l</w:t>
            </w:r>
            <w:r w:rsidR="0048249F">
              <w:rPr>
                <w:sz w:val="19"/>
                <w:szCs w:val="19"/>
                <w:lang w:val="fr-FR"/>
              </w:rPr>
              <w:t>’</w:t>
            </w:r>
            <w:r w:rsidRPr="00E9170B">
              <w:rPr>
                <w:sz w:val="19"/>
                <w:szCs w:val="19"/>
                <w:lang w:val="fr-FR"/>
              </w:rPr>
              <w:t>unité nationale de l</w:t>
            </w:r>
            <w:r w:rsidR="0048249F">
              <w:rPr>
                <w:sz w:val="19"/>
                <w:szCs w:val="19"/>
                <w:lang w:val="fr-FR"/>
              </w:rPr>
              <w:t>’</w:t>
            </w:r>
            <w:r w:rsidRPr="00E9170B">
              <w:rPr>
                <w:sz w:val="19"/>
                <w:szCs w:val="19"/>
                <w:lang w:val="fr-FR"/>
              </w:rPr>
              <w:t>ozone (UNO), et du fait que la vérification obligatoire des objectifs de consommation de HCFC n</w:t>
            </w:r>
            <w:r w:rsidR="0048249F">
              <w:rPr>
                <w:sz w:val="19"/>
                <w:szCs w:val="19"/>
                <w:lang w:val="fr-FR"/>
              </w:rPr>
              <w:t>’</w:t>
            </w:r>
            <w:r w:rsidRPr="00E9170B">
              <w:rPr>
                <w:sz w:val="19"/>
                <w:szCs w:val="19"/>
                <w:lang w:val="fr-FR"/>
              </w:rPr>
              <w:t>a pas été effectuée, et</w:t>
            </w:r>
            <w:r w:rsidR="00B81C1B" w:rsidRPr="00E9170B">
              <w:rPr>
                <w:sz w:val="19"/>
                <w:szCs w:val="19"/>
                <w:lang w:val="fr-FR"/>
              </w:rPr>
              <w:t xml:space="preserve"> </w:t>
            </w:r>
            <w:r w:rsidRPr="00E9170B">
              <w:rPr>
                <w:sz w:val="19"/>
                <w:szCs w:val="19"/>
                <w:lang w:val="fr-FR"/>
              </w:rPr>
              <w:t>inviter instamment le gouvernement du Belize à coopérer avec le PNUE pour mener à bien la</w:t>
            </w:r>
            <w:r w:rsidR="00B81C1B" w:rsidRPr="00E9170B">
              <w:rPr>
                <w:sz w:val="19"/>
                <w:szCs w:val="19"/>
                <w:lang w:val="fr-FR"/>
              </w:rPr>
              <w:t xml:space="preserve"> </w:t>
            </w:r>
            <w:r w:rsidRPr="00E9170B">
              <w:rPr>
                <w:sz w:val="19"/>
                <w:szCs w:val="19"/>
                <w:lang w:val="fr-FR"/>
              </w:rPr>
              <w:t>vérification afin que la troisième tranche (2020) de la phase I du PGEH puisse être soumise lors de la 87</w:t>
            </w:r>
            <w:r w:rsidRPr="00E9170B">
              <w:rPr>
                <w:sz w:val="19"/>
                <w:szCs w:val="19"/>
                <w:vertAlign w:val="superscript"/>
                <w:lang w:val="fr-FR"/>
              </w:rPr>
              <w:t>e</w:t>
            </w:r>
            <w:r w:rsidR="00B81C1B" w:rsidRPr="00E9170B">
              <w:rPr>
                <w:sz w:val="19"/>
                <w:szCs w:val="19"/>
                <w:lang w:val="fr-FR"/>
              </w:rPr>
              <w:t xml:space="preserve"> </w:t>
            </w:r>
            <w:r w:rsidRPr="00E9170B">
              <w:rPr>
                <w:sz w:val="19"/>
                <w:szCs w:val="19"/>
                <w:lang w:val="fr-FR"/>
              </w:rPr>
              <w:t>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 2020.</w:t>
            </w:r>
          </w:p>
        </w:tc>
      </w:tr>
      <w:tr w:rsidR="00F91E4F" w:rsidRPr="00B67439" w14:paraId="4FE43389" w14:textId="77777777" w:rsidTr="00785A57">
        <w:trPr>
          <w:trHeight w:val="677"/>
        </w:trPr>
        <w:tc>
          <w:tcPr>
            <w:tcW w:w="1560" w:type="dxa"/>
          </w:tcPr>
          <w:p w14:paraId="25DD6B26" w14:textId="65E73E33" w:rsidR="00293A51" w:rsidRPr="00E9170B" w:rsidRDefault="007903D7" w:rsidP="00E352F6">
            <w:pPr>
              <w:jc w:val="left"/>
              <w:rPr>
                <w:sz w:val="19"/>
                <w:szCs w:val="19"/>
                <w:lang w:val="en-CA" w:eastAsia="en-CA"/>
              </w:rPr>
            </w:pPr>
            <w:r w:rsidRPr="00E9170B">
              <w:rPr>
                <w:sz w:val="19"/>
                <w:szCs w:val="19"/>
                <w:lang w:val="fr-FR" w:eastAsia="en-CA"/>
              </w:rPr>
              <w:t>Bénin (Phase I)</w:t>
            </w:r>
          </w:p>
        </w:tc>
        <w:tc>
          <w:tcPr>
            <w:tcW w:w="1276" w:type="dxa"/>
          </w:tcPr>
          <w:p w14:paraId="3A645C68" w14:textId="7ADB2D34" w:rsidR="00293A51" w:rsidRPr="00E9170B" w:rsidRDefault="007903D7" w:rsidP="00E352F6">
            <w:pPr>
              <w:jc w:val="left"/>
              <w:rPr>
                <w:sz w:val="19"/>
                <w:szCs w:val="19"/>
                <w:lang w:val="en-CA" w:eastAsia="en-CA"/>
              </w:rPr>
            </w:pPr>
            <w:r w:rsidRPr="00E9170B">
              <w:rPr>
                <w:sz w:val="19"/>
                <w:szCs w:val="19"/>
                <w:lang w:val="fr-FR" w:eastAsia="en-CA"/>
              </w:rPr>
              <w:t>PNUE</w:t>
            </w:r>
          </w:p>
        </w:tc>
        <w:tc>
          <w:tcPr>
            <w:tcW w:w="879" w:type="dxa"/>
          </w:tcPr>
          <w:p w14:paraId="3739E630" w14:textId="7A8EEFA4" w:rsidR="00293A51" w:rsidRPr="00E9170B" w:rsidRDefault="00293A51" w:rsidP="00293A51">
            <w:pPr>
              <w:jc w:val="center"/>
              <w:rPr>
                <w:sz w:val="19"/>
                <w:szCs w:val="19"/>
                <w:lang w:val="en-CA" w:eastAsia="en-CA"/>
              </w:rPr>
            </w:pPr>
            <w:r w:rsidRPr="00E9170B">
              <w:rPr>
                <w:sz w:val="19"/>
                <w:szCs w:val="19"/>
                <w:lang w:val="en-CA" w:eastAsia="en-CA"/>
              </w:rPr>
              <w:t>2020</w:t>
            </w:r>
          </w:p>
        </w:tc>
        <w:tc>
          <w:tcPr>
            <w:tcW w:w="1275" w:type="dxa"/>
          </w:tcPr>
          <w:p w14:paraId="43408233" w14:textId="644B0B6D" w:rsidR="00293A51" w:rsidRPr="00E9170B" w:rsidRDefault="00293A51" w:rsidP="00293A51">
            <w:pPr>
              <w:jc w:val="right"/>
              <w:rPr>
                <w:sz w:val="19"/>
                <w:szCs w:val="19"/>
                <w:lang w:val="en-CA" w:eastAsia="en-CA"/>
              </w:rPr>
            </w:pPr>
            <w:r w:rsidRPr="00E9170B">
              <w:rPr>
                <w:sz w:val="19"/>
                <w:szCs w:val="19"/>
                <w:lang w:val="en-CA" w:eastAsia="en-CA"/>
              </w:rPr>
              <w:t>67</w:t>
            </w:r>
            <w:r w:rsidR="00E9170B">
              <w:rPr>
                <w:sz w:val="19"/>
                <w:szCs w:val="19"/>
                <w:lang w:val="en-CA" w:eastAsia="en-CA"/>
              </w:rPr>
              <w:t> </w:t>
            </w:r>
            <w:r w:rsidRPr="00E9170B">
              <w:rPr>
                <w:sz w:val="19"/>
                <w:szCs w:val="19"/>
                <w:lang w:val="en-CA" w:eastAsia="en-CA"/>
              </w:rPr>
              <w:t>800</w:t>
            </w:r>
          </w:p>
        </w:tc>
        <w:tc>
          <w:tcPr>
            <w:tcW w:w="3373" w:type="dxa"/>
          </w:tcPr>
          <w:p w14:paraId="1CCFB24D" w14:textId="6035084B" w:rsidR="00293A51" w:rsidRPr="00AF592C" w:rsidRDefault="00EF5F07" w:rsidP="00E352F6">
            <w:pPr>
              <w:jc w:val="left"/>
              <w:rPr>
                <w:sz w:val="19"/>
                <w:szCs w:val="19"/>
                <w:lang w:val="fr-CA" w:eastAsia="en-CA"/>
              </w:rPr>
            </w:pPr>
            <w:r w:rsidRPr="00E9170B">
              <w:rPr>
                <w:sz w:val="19"/>
                <w:szCs w:val="19"/>
                <w:lang w:val="fr-FR" w:eastAsia="en-CA"/>
              </w:rPr>
              <w:t>Perturbations dues</w:t>
            </w:r>
            <w:r w:rsidR="007903D7" w:rsidRPr="00E9170B">
              <w:rPr>
                <w:sz w:val="19"/>
                <w:szCs w:val="19"/>
                <w:lang w:val="fr-FR" w:eastAsia="en-CA"/>
              </w:rPr>
              <w:t xml:space="preserve"> à la pandémie de Covid-19</w:t>
            </w:r>
          </w:p>
        </w:tc>
        <w:tc>
          <w:tcPr>
            <w:tcW w:w="5812" w:type="dxa"/>
          </w:tcPr>
          <w:p w14:paraId="66F7EA4B" w14:textId="71D6B4DF" w:rsidR="00293A51" w:rsidRPr="00AF592C" w:rsidRDefault="007903D7" w:rsidP="00E352F6">
            <w:pPr>
              <w:jc w:val="left"/>
              <w:rPr>
                <w:sz w:val="19"/>
                <w:szCs w:val="19"/>
                <w:lang w:val="fr-CA"/>
              </w:rPr>
            </w:pPr>
            <w:r w:rsidRPr="00E9170B">
              <w:rPr>
                <w:sz w:val="19"/>
                <w:szCs w:val="19"/>
                <w:lang w:val="fr-FR"/>
              </w:rPr>
              <w:t xml:space="preserve">Prendre note des retards dus à la pandémie de Covid-19 et inviter instamment le gouvernement du Bénin à coopérer avec le </w:t>
            </w:r>
            <w:r w:rsidRPr="00E9170B">
              <w:rPr>
                <w:sz w:val="19"/>
                <w:szCs w:val="19"/>
                <w:lang w:val="fr-FR" w:eastAsia="en-CA"/>
              </w:rPr>
              <w:t xml:space="preserve">PNUE afin que la cinquième tranche (2020) de la </w:t>
            </w:r>
            <w:r w:rsidRPr="00E9170B">
              <w:rPr>
                <w:sz w:val="19"/>
                <w:szCs w:val="19"/>
                <w:lang w:val="fr-FR"/>
              </w:rPr>
              <w:t>phase I du PGEH puisse être soumise lors de la 87</w:t>
            </w:r>
            <w:r w:rsidRPr="00E9170B">
              <w:rPr>
                <w:sz w:val="19"/>
                <w:szCs w:val="19"/>
                <w:vertAlign w:val="superscript"/>
                <w:lang w:val="fr-FR"/>
              </w:rPr>
              <w:t>e</w:t>
            </w:r>
            <w:r w:rsidR="00B81C1B" w:rsidRPr="00E9170B">
              <w:rPr>
                <w:sz w:val="19"/>
                <w:szCs w:val="19"/>
                <w:lang w:val="fr-FR"/>
              </w:rPr>
              <w:t xml:space="preserve"> </w:t>
            </w:r>
            <w:r w:rsidRPr="00E9170B">
              <w:rPr>
                <w:sz w:val="19"/>
                <w:szCs w:val="19"/>
                <w:lang w:val="fr-FR"/>
              </w:rPr>
              <w:t>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w:t>
            </w:r>
            <w:r w:rsidR="00B81C1B" w:rsidRPr="00E9170B">
              <w:rPr>
                <w:sz w:val="19"/>
                <w:szCs w:val="19"/>
                <w:lang w:val="fr-FR"/>
              </w:rPr>
              <w:t xml:space="preserve"> </w:t>
            </w:r>
            <w:r w:rsidRPr="00E9170B">
              <w:rPr>
                <w:sz w:val="19"/>
                <w:szCs w:val="19"/>
                <w:lang w:val="fr-FR"/>
              </w:rPr>
              <w:t>2020.</w:t>
            </w:r>
          </w:p>
        </w:tc>
      </w:tr>
      <w:tr w:rsidR="00F91E4F" w:rsidRPr="00B67439" w14:paraId="1D5C7B77" w14:textId="77777777" w:rsidTr="00785A57">
        <w:trPr>
          <w:trHeight w:val="677"/>
        </w:trPr>
        <w:tc>
          <w:tcPr>
            <w:tcW w:w="1560" w:type="dxa"/>
          </w:tcPr>
          <w:p w14:paraId="16DB03F5" w14:textId="5450D993" w:rsidR="00123F98" w:rsidRPr="00E9170B" w:rsidRDefault="007903D7" w:rsidP="00E352F6">
            <w:pPr>
              <w:jc w:val="left"/>
              <w:rPr>
                <w:sz w:val="19"/>
                <w:szCs w:val="19"/>
                <w:lang w:val="en-CA" w:eastAsia="en-CA"/>
              </w:rPr>
            </w:pPr>
            <w:r w:rsidRPr="00E9170B">
              <w:rPr>
                <w:sz w:val="19"/>
                <w:szCs w:val="19"/>
                <w:lang w:val="fr-FR" w:eastAsia="en-CA"/>
              </w:rPr>
              <w:t>Bosnie-Herzégovine (Phase I)</w:t>
            </w:r>
          </w:p>
        </w:tc>
        <w:tc>
          <w:tcPr>
            <w:tcW w:w="1276" w:type="dxa"/>
          </w:tcPr>
          <w:p w14:paraId="6B339B8D" w14:textId="6DDA4593" w:rsidR="00123F98" w:rsidRPr="00E9170B" w:rsidRDefault="007903D7" w:rsidP="00E352F6">
            <w:pPr>
              <w:jc w:val="left"/>
              <w:rPr>
                <w:sz w:val="19"/>
                <w:szCs w:val="19"/>
                <w:lang w:val="en-CA" w:eastAsia="en-CA"/>
              </w:rPr>
            </w:pPr>
            <w:r w:rsidRPr="00E9170B">
              <w:rPr>
                <w:sz w:val="19"/>
                <w:szCs w:val="19"/>
                <w:lang w:val="fr-FR" w:eastAsia="en-CA"/>
              </w:rPr>
              <w:t>ONUDI</w:t>
            </w:r>
          </w:p>
        </w:tc>
        <w:tc>
          <w:tcPr>
            <w:tcW w:w="879" w:type="dxa"/>
          </w:tcPr>
          <w:p w14:paraId="35E3705A" w14:textId="0D318685" w:rsidR="00123F98" w:rsidRPr="00E9170B" w:rsidRDefault="00123F98" w:rsidP="00123F98">
            <w:pPr>
              <w:jc w:val="center"/>
              <w:rPr>
                <w:sz w:val="19"/>
                <w:szCs w:val="19"/>
                <w:lang w:val="en-CA" w:eastAsia="en-CA"/>
              </w:rPr>
            </w:pPr>
            <w:r w:rsidRPr="00E9170B">
              <w:rPr>
                <w:sz w:val="19"/>
                <w:szCs w:val="19"/>
                <w:lang w:val="en-CA" w:eastAsia="en-CA"/>
              </w:rPr>
              <w:t>2020</w:t>
            </w:r>
          </w:p>
        </w:tc>
        <w:tc>
          <w:tcPr>
            <w:tcW w:w="1275" w:type="dxa"/>
          </w:tcPr>
          <w:p w14:paraId="7159F78C" w14:textId="275FD1F8" w:rsidR="00123F98" w:rsidRPr="00E9170B" w:rsidRDefault="00123F98" w:rsidP="00123F98">
            <w:pPr>
              <w:jc w:val="right"/>
              <w:rPr>
                <w:sz w:val="19"/>
                <w:szCs w:val="19"/>
                <w:lang w:val="en-CA" w:eastAsia="en-CA"/>
              </w:rPr>
            </w:pPr>
            <w:r w:rsidRPr="00E9170B">
              <w:rPr>
                <w:sz w:val="19"/>
                <w:szCs w:val="19"/>
                <w:lang w:val="en-CA" w:eastAsia="en-CA"/>
              </w:rPr>
              <w:t>32</w:t>
            </w:r>
            <w:r w:rsidR="00E9170B">
              <w:rPr>
                <w:sz w:val="19"/>
                <w:szCs w:val="19"/>
                <w:lang w:val="en-CA" w:eastAsia="en-CA"/>
              </w:rPr>
              <w:t> </w:t>
            </w:r>
            <w:r w:rsidRPr="00E9170B">
              <w:rPr>
                <w:sz w:val="19"/>
                <w:szCs w:val="19"/>
                <w:lang w:val="en-CA" w:eastAsia="en-CA"/>
              </w:rPr>
              <w:t>100</w:t>
            </w:r>
          </w:p>
        </w:tc>
        <w:tc>
          <w:tcPr>
            <w:tcW w:w="3373" w:type="dxa"/>
          </w:tcPr>
          <w:p w14:paraId="237AA14F" w14:textId="09FD7F62" w:rsidR="00123F98" w:rsidRPr="00AF592C" w:rsidRDefault="00EF5F07" w:rsidP="00E9170B">
            <w:pPr>
              <w:jc w:val="left"/>
              <w:rPr>
                <w:sz w:val="19"/>
                <w:szCs w:val="19"/>
                <w:lang w:val="fr-CA" w:eastAsia="en-CA"/>
              </w:rPr>
            </w:pPr>
            <w:r w:rsidRPr="00E9170B">
              <w:rPr>
                <w:sz w:val="19"/>
                <w:szCs w:val="19"/>
                <w:lang w:val="fr-FR" w:eastAsia="en-CA"/>
              </w:rPr>
              <w:t>Perturbations dues</w:t>
            </w:r>
            <w:r w:rsidR="000008EB" w:rsidRPr="00E9170B">
              <w:rPr>
                <w:sz w:val="19"/>
                <w:szCs w:val="19"/>
                <w:lang w:val="fr-FR" w:eastAsia="en-CA"/>
              </w:rPr>
              <w:t xml:space="preserve"> à la pandémie de Covid-19/difficultés internes ou externes/seuil de décaissement de 20 pour cent</w:t>
            </w:r>
          </w:p>
        </w:tc>
        <w:tc>
          <w:tcPr>
            <w:tcW w:w="5812" w:type="dxa"/>
          </w:tcPr>
          <w:p w14:paraId="328B1975" w14:textId="175737C7" w:rsidR="00123F98" w:rsidRPr="00AF592C" w:rsidRDefault="000008EB" w:rsidP="00E352F6">
            <w:pPr>
              <w:jc w:val="left"/>
              <w:rPr>
                <w:sz w:val="19"/>
                <w:szCs w:val="19"/>
                <w:lang w:val="fr-CA"/>
              </w:rPr>
            </w:pPr>
            <w:r w:rsidRPr="00E9170B">
              <w:rPr>
                <w:sz w:val="19"/>
                <w:szCs w:val="19"/>
                <w:lang w:val="fr-FR"/>
              </w:rPr>
              <w:t>Prendre note des retards dus à la pandémie de Covid-19 et du fait que le taux de décaissement global de la quatrième tranche (2018) de phase I du PGEH se situait au-dessous du seuil de décaissement de 20 pour cent</w:t>
            </w:r>
            <w:r w:rsidR="007C127E" w:rsidRPr="00E9170B">
              <w:rPr>
                <w:sz w:val="19"/>
                <w:szCs w:val="19"/>
                <w:lang w:val="fr-FR"/>
              </w:rPr>
              <w:t>,</w:t>
            </w:r>
            <w:r w:rsidRPr="00E9170B">
              <w:rPr>
                <w:sz w:val="19"/>
                <w:szCs w:val="19"/>
                <w:lang w:val="fr-FR"/>
              </w:rPr>
              <w:t xml:space="preserve"> et inviter instamment le gouvernement de Bosnie-Herzégovine</w:t>
            </w:r>
            <w:r w:rsidR="00B81C1B" w:rsidRPr="00E9170B">
              <w:rPr>
                <w:sz w:val="19"/>
                <w:szCs w:val="19"/>
                <w:lang w:val="fr-FR"/>
              </w:rPr>
              <w:t xml:space="preserve"> </w:t>
            </w:r>
            <w:r w:rsidRPr="00E9170B">
              <w:rPr>
                <w:sz w:val="19"/>
                <w:szCs w:val="19"/>
                <w:lang w:val="fr-FR"/>
              </w:rPr>
              <w:t>à coopérer avec l</w:t>
            </w:r>
            <w:r w:rsidR="0048249F">
              <w:rPr>
                <w:sz w:val="19"/>
                <w:szCs w:val="19"/>
                <w:lang w:val="fr-FR"/>
              </w:rPr>
              <w:t>’</w:t>
            </w:r>
            <w:r w:rsidRPr="00E9170B">
              <w:rPr>
                <w:sz w:val="19"/>
                <w:szCs w:val="19"/>
                <w:lang w:val="fr-FR"/>
              </w:rPr>
              <w:t>ONUDI afin que la cinquième tranche (2020) de la phase I puisse être soumise lors de la 87</w:t>
            </w:r>
            <w:r w:rsidRPr="00E9170B">
              <w:rPr>
                <w:sz w:val="19"/>
                <w:szCs w:val="19"/>
                <w:vertAlign w:val="superscript"/>
                <w:lang w:val="fr-FR"/>
              </w:rPr>
              <w:t>e</w:t>
            </w:r>
            <w:r w:rsidR="00B81C1B" w:rsidRPr="00E9170B">
              <w:rPr>
                <w:sz w:val="19"/>
                <w:szCs w:val="19"/>
                <w:lang w:val="fr-FR"/>
              </w:rPr>
              <w:t xml:space="preserve"> </w:t>
            </w:r>
            <w:r w:rsidRPr="00E9170B">
              <w:rPr>
                <w:sz w:val="19"/>
                <w:szCs w:val="19"/>
                <w:lang w:val="fr-FR"/>
              </w:rPr>
              <w:t>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 2020, étant entendu que le seuil de décaissement de 20 pour cent pour le financement de la tranche précédente a été atteint.</w:t>
            </w:r>
          </w:p>
        </w:tc>
      </w:tr>
      <w:tr w:rsidR="00F91E4F" w:rsidRPr="00B67439" w14:paraId="045CAF6F" w14:textId="77777777" w:rsidTr="00785A57">
        <w:trPr>
          <w:trHeight w:val="677"/>
        </w:trPr>
        <w:tc>
          <w:tcPr>
            <w:tcW w:w="1560" w:type="dxa"/>
          </w:tcPr>
          <w:p w14:paraId="27AB06E9" w14:textId="77777777" w:rsidR="00A21B07" w:rsidRDefault="000008EB" w:rsidP="00E352F6">
            <w:pPr>
              <w:jc w:val="left"/>
              <w:rPr>
                <w:sz w:val="19"/>
                <w:szCs w:val="19"/>
                <w:lang w:val="fr-FR" w:eastAsia="en-CA"/>
              </w:rPr>
            </w:pPr>
            <w:r w:rsidRPr="00E9170B">
              <w:rPr>
                <w:sz w:val="19"/>
                <w:szCs w:val="19"/>
                <w:lang w:val="fr-FR" w:eastAsia="en-CA"/>
              </w:rPr>
              <w:t>Burundi</w:t>
            </w:r>
          </w:p>
          <w:p w14:paraId="76C3D3B1" w14:textId="6734EDD6" w:rsidR="00F64F63" w:rsidRPr="00E9170B" w:rsidRDefault="000008EB" w:rsidP="00E352F6">
            <w:pPr>
              <w:jc w:val="left"/>
              <w:rPr>
                <w:sz w:val="19"/>
                <w:szCs w:val="19"/>
                <w:lang w:val="en-CA" w:eastAsia="en-CA"/>
              </w:rPr>
            </w:pPr>
            <w:r w:rsidRPr="00E9170B">
              <w:rPr>
                <w:sz w:val="19"/>
                <w:szCs w:val="19"/>
                <w:lang w:val="fr-FR" w:eastAsia="en-CA"/>
              </w:rPr>
              <w:t>(Phase I)</w:t>
            </w:r>
          </w:p>
        </w:tc>
        <w:tc>
          <w:tcPr>
            <w:tcW w:w="1276" w:type="dxa"/>
          </w:tcPr>
          <w:p w14:paraId="519D1693" w14:textId="60B79744" w:rsidR="00F64F63" w:rsidRPr="00E9170B" w:rsidRDefault="000008EB" w:rsidP="00E352F6">
            <w:pPr>
              <w:jc w:val="left"/>
              <w:rPr>
                <w:sz w:val="19"/>
                <w:szCs w:val="19"/>
                <w:lang w:val="en-CA" w:eastAsia="en-CA"/>
              </w:rPr>
            </w:pPr>
            <w:r w:rsidRPr="00E9170B">
              <w:rPr>
                <w:sz w:val="19"/>
                <w:szCs w:val="19"/>
                <w:lang w:val="fr-FR" w:eastAsia="en-CA"/>
              </w:rPr>
              <w:t>PNUE</w:t>
            </w:r>
          </w:p>
        </w:tc>
        <w:tc>
          <w:tcPr>
            <w:tcW w:w="879" w:type="dxa"/>
          </w:tcPr>
          <w:p w14:paraId="1277E730" w14:textId="05029BB7" w:rsidR="00F64F63" w:rsidRPr="00E9170B" w:rsidRDefault="00F64F63" w:rsidP="00F64F63">
            <w:pPr>
              <w:jc w:val="center"/>
              <w:rPr>
                <w:sz w:val="19"/>
                <w:szCs w:val="19"/>
                <w:lang w:val="en-CA" w:eastAsia="en-CA"/>
              </w:rPr>
            </w:pPr>
            <w:r w:rsidRPr="00E9170B">
              <w:rPr>
                <w:sz w:val="19"/>
                <w:szCs w:val="19"/>
                <w:lang w:val="en-CA" w:eastAsia="en-CA"/>
              </w:rPr>
              <w:t>2020</w:t>
            </w:r>
          </w:p>
        </w:tc>
        <w:tc>
          <w:tcPr>
            <w:tcW w:w="1275" w:type="dxa"/>
          </w:tcPr>
          <w:p w14:paraId="1CECD17D" w14:textId="7DDD436F" w:rsidR="00F64F63" w:rsidRPr="00E9170B" w:rsidRDefault="00F64F63" w:rsidP="00F64F63">
            <w:pPr>
              <w:jc w:val="right"/>
              <w:rPr>
                <w:sz w:val="19"/>
                <w:szCs w:val="19"/>
                <w:lang w:val="en-CA" w:eastAsia="en-CA"/>
              </w:rPr>
            </w:pPr>
            <w:r w:rsidRPr="00E9170B">
              <w:rPr>
                <w:sz w:val="19"/>
                <w:szCs w:val="19"/>
                <w:lang w:val="en-CA" w:eastAsia="en-CA"/>
              </w:rPr>
              <w:t>37</w:t>
            </w:r>
            <w:r w:rsidR="00E9170B">
              <w:rPr>
                <w:sz w:val="19"/>
                <w:szCs w:val="19"/>
                <w:lang w:val="en-CA" w:eastAsia="en-CA"/>
              </w:rPr>
              <w:t> </w:t>
            </w:r>
            <w:r w:rsidRPr="00E9170B">
              <w:rPr>
                <w:sz w:val="19"/>
                <w:szCs w:val="19"/>
                <w:lang w:val="en-CA" w:eastAsia="en-CA"/>
              </w:rPr>
              <w:t>516</w:t>
            </w:r>
          </w:p>
        </w:tc>
        <w:tc>
          <w:tcPr>
            <w:tcW w:w="3373" w:type="dxa"/>
          </w:tcPr>
          <w:p w14:paraId="442D72F7" w14:textId="43B53CFB" w:rsidR="00F64F63" w:rsidRPr="00AF592C" w:rsidRDefault="000008EB" w:rsidP="00A21B07">
            <w:pPr>
              <w:jc w:val="left"/>
              <w:rPr>
                <w:sz w:val="19"/>
                <w:szCs w:val="19"/>
                <w:lang w:val="fr-CA" w:eastAsia="en-CA"/>
              </w:rPr>
            </w:pPr>
            <w:r w:rsidRPr="00E9170B">
              <w:rPr>
                <w:sz w:val="19"/>
                <w:szCs w:val="19"/>
                <w:lang w:val="fr-FR" w:eastAsia="en-CA"/>
              </w:rPr>
              <w:t>Décisions/approbations du gouvernement</w:t>
            </w:r>
            <w:r w:rsidR="00A21B07">
              <w:rPr>
                <w:sz w:val="19"/>
                <w:szCs w:val="19"/>
                <w:lang w:val="fr-FR" w:eastAsia="en-CA"/>
              </w:rPr>
              <w:t>/</w:t>
            </w:r>
            <w:r w:rsidRPr="00E9170B">
              <w:rPr>
                <w:sz w:val="19"/>
                <w:szCs w:val="19"/>
                <w:lang w:val="fr-FR" w:eastAsia="en-CA"/>
              </w:rPr>
              <w:t>changements au sein de l</w:t>
            </w:r>
            <w:r w:rsidR="0048249F">
              <w:rPr>
                <w:sz w:val="19"/>
                <w:szCs w:val="19"/>
                <w:lang w:val="fr-FR" w:eastAsia="en-CA"/>
              </w:rPr>
              <w:t>’</w:t>
            </w:r>
            <w:r w:rsidRPr="00E9170B">
              <w:rPr>
                <w:sz w:val="19"/>
                <w:szCs w:val="19"/>
                <w:lang w:val="fr-FR" w:eastAsia="en-CA"/>
              </w:rPr>
              <w:t xml:space="preserve">UNO/ changements structurels/ </w:t>
            </w:r>
            <w:r w:rsidR="00A21B07" w:rsidRPr="00E9170B">
              <w:rPr>
                <w:sz w:val="19"/>
                <w:szCs w:val="19"/>
                <w:lang w:val="fr-FR" w:eastAsia="en-CA"/>
              </w:rPr>
              <w:t>/ suffisamment de fonds approuvés provenant de la tranche précédente</w:t>
            </w:r>
          </w:p>
        </w:tc>
        <w:tc>
          <w:tcPr>
            <w:tcW w:w="5812" w:type="dxa"/>
          </w:tcPr>
          <w:p w14:paraId="1EA03D4F" w14:textId="35F27FDA" w:rsidR="00F64F63" w:rsidRPr="00AF592C" w:rsidRDefault="000008EB" w:rsidP="00A21B07">
            <w:pPr>
              <w:jc w:val="left"/>
              <w:rPr>
                <w:sz w:val="19"/>
                <w:szCs w:val="19"/>
                <w:lang w:val="fr-CA"/>
              </w:rPr>
            </w:pPr>
            <w:r w:rsidRPr="00E9170B">
              <w:rPr>
                <w:sz w:val="19"/>
                <w:szCs w:val="19"/>
                <w:lang w:val="fr-FR"/>
              </w:rPr>
              <w:t>Prendre note des retards dus aux changements structurels au sein du gouvernement et de l</w:t>
            </w:r>
            <w:r w:rsidR="0048249F">
              <w:rPr>
                <w:sz w:val="19"/>
                <w:szCs w:val="19"/>
                <w:lang w:val="fr-FR"/>
              </w:rPr>
              <w:t>’</w:t>
            </w:r>
            <w:r w:rsidRPr="00E9170B">
              <w:rPr>
                <w:sz w:val="19"/>
                <w:szCs w:val="19"/>
                <w:lang w:val="fr-FR"/>
              </w:rPr>
              <w:t>UNO, et</w:t>
            </w:r>
            <w:r w:rsidR="00B81C1B" w:rsidRPr="00E9170B">
              <w:rPr>
                <w:sz w:val="19"/>
                <w:szCs w:val="19"/>
                <w:lang w:val="fr-FR"/>
              </w:rPr>
              <w:t xml:space="preserve"> </w:t>
            </w:r>
            <w:r w:rsidRPr="00E9170B">
              <w:rPr>
                <w:sz w:val="19"/>
                <w:szCs w:val="19"/>
                <w:lang w:val="fr-FR"/>
              </w:rPr>
              <w:t>inviter instamment le gouvernement du Burundi à coopérer avec le PNUE afin que la quatrième tranche</w:t>
            </w:r>
            <w:r w:rsidR="00B81C1B" w:rsidRPr="00E9170B">
              <w:rPr>
                <w:sz w:val="19"/>
                <w:szCs w:val="19"/>
                <w:lang w:val="fr-FR"/>
              </w:rPr>
              <w:t xml:space="preserve"> </w:t>
            </w:r>
            <w:r w:rsidRPr="00E9170B">
              <w:rPr>
                <w:sz w:val="19"/>
                <w:szCs w:val="19"/>
                <w:lang w:val="fr-FR"/>
              </w:rPr>
              <w:t>(2020)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w:t>
            </w:r>
          </w:p>
        </w:tc>
      </w:tr>
      <w:tr w:rsidR="00F91E4F" w:rsidRPr="00B67439" w14:paraId="17DEEA7F" w14:textId="77777777" w:rsidTr="00785A57">
        <w:trPr>
          <w:trHeight w:val="677"/>
        </w:trPr>
        <w:tc>
          <w:tcPr>
            <w:tcW w:w="1560" w:type="dxa"/>
          </w:tcPr>
          <w:p w14:paraId="7AB61B4A" w14:textId="03AF800A" w:rsidR="003C506F" w:rsidRPr="00E9170B" w:rsidRDefault="000008EB" w:rsidP="00E352F6">
            <w:pPr>
              <w:jc w:val="left"/>
              <w:rPr>
                <w:sz w:val="19"/>
                <w:szCs w:val="19"/>
                <w:lang w:val="en-CA" w:eastAsia="en-CA"/>
              </w:rPr>
            </w:pPr>
            <w:r w:rsidRPr="00E9170B">
              <w:rPr>
                <w:sz w:val="19"/>
                <w:szCs w:val="19"/>
                <w:lang w:val="fr-FR" w:eastAsia="en-CA"/>
              </w:rPr>
              <w:lastRenderedPageBreak/>
              <w:t>Tchad (Phase I)</w:t>
            </w:r>
          </w:p>
        </w:tc>
        <w:tc>
          <w:tcPr>
            <w:tcW w:w="1276" w:type="dxa"/>
          </w:tcPr>
          <w:p w14:paraId="3741E99C" w14:textId="7E76691A" w:rsidR="003C506F" w:rsidRPr="00E9170B" w:rsidRDefault="000008EB" w:rsidP="00E352F6">
            <w:pPr>
              <w:jc w:val="left"/>
              <w:rPr>
                <w:sz w:val="19"/>
                <w:szCs w:val="19"/>
                <w:lang w:val="en-CA" w:eastAsia="en-CA"/>
              </w:rPr>
            </w:pPr>
            <w:r w:rsidRPr="00E9170B">
              <w:rPr>
                <w:sz w:val="19"/>
                <w:szCs w:val="19"/>
                <w:lang w:val="fr-FR" w:eastAsia="en-CA"/>
              </w:rPr>
              <w:t>PNUE</w:t>
            </w:r>
          </w:p>
        </w:tc>
        <w:tc>
          <w:tcPr>
            <w:tcW w:w="879" w:type="dxa"/>
          </w:tcPr>
          <w:p w14:paraId="76ABC5BC" w14:textId="6AE4A7FB" w:rsidR="003C506F" w:rsidRPr="00E9170B" w:rsidRDefault="003C506F" w:rsidP="003C506F">
            <w:pPr>
              <w:jc w:val="center"/>
              <w:rPr>
                <w:sz w:val="19"/>
                <w:szCs w:val="19"/>
                <w:lang w:val="en-CA" w:eastAsia="en-CA"/>
              </w:rPr>
            </w:pPr>
            <w:r w:rsidRPr="00E9170B">
              <w:rPr>
                <w:sz w:val="19"/>
                <w:szCs w:val="19"/>
                <w:lang w:val="en-CA" w:eastAsia="en-CA"/>
              </w:rPr>
              <w:t>2020</w:t>
            </w:r>
          </w:p>
        </w:tc>
        <w:tc>
          <w:tcPr>
            <w:tcW w:w="1275" w:type="dxa"/>
          </w:tcPr>
          <w:p w14:paraId="36CDA2C0" w14:textId="057A9DDC" w:rsidR="003C506F" w:rsidRPr="00E9170B" w:rsidRDefault="003C506F" w:rsidP="003C506F">
            <w:pPr>
              <w:jc w:val="right"/>
              <w:rPr>
                <w:sz w:val="19"/>
                <w:szCs w:val="19"/>
                <w:lang w:val="en-CA" w:eastAsia="en-CA"/>
              </w:rPr>
            </w:pPr>
            <w:r w:rsidRPr="00E9170B">
              <w:rPr>
                <w:sz w:val="19"/>
                <w:szCs w:val="19"/>
                <w:lang w:val="en-CA" w:eastAsia="en-CA"/>
              </w:rPr>
              <w:t>73</w:t>
            </w:r>
            <w:r w:rsidR="00E9170B">
              <w:rPr>
                <w:sz w:val="19"/>
                <w:szCs w:val="19"/>
                <w:lang w:val="en-CA" w:eastAsia="en-CA"/>
              </w:rPr>
              <w:t> </w:t>
            </w:r>
            <w:r w:rsidRPr="00E9170B">
              <w:rPr>
                <w:sz w:val="19"/>
                <w:szCs w:val="19"/>
                <w:lang w:val="en-CA" w:eastAsia="en-CA"/>
              </w:rPr>
              <w:t>450</w:t>
            </w:r>
          </w:p>
        </w:tc>
        <w:tc>
          <w:tcPr>
            <w:tcW w:w="3373" w:type="dxa"/>
          </w:tcPr>
          <w:p w14:paraId="09E9777F" w14:textId="3164CC25" w:rsidR="003C506F" w:rsidRPr="00AF592C" w:rsidRDefault="00994EEC" w:rsidP="00994EEC">
            <w:pPr>
              <w:jc w:val="left"/>
              <w:rPr>
                <w:sz w:val="19"/>
                <w:szCs w:val="19"/>
                <w:lang w:val="fr-CA" w:eastAsia="en-CA"/>
              </w:rPr>
            </w:pPr>
            <w:r w:rsidRPr="00E9170B">
              <w:rPr>
                <w:sz w:val="19"/>
                <w:szCs w:val="19"/>
                <w:lang w:val="fr-FR" w:eastAsia="en-CA"/>
              </w:rPr>
              <w:t>Suffisamment de fonds approuvés provenant de la tranche précédente</w:t>
            </w:r>
            <w:r w:rsidR="000008EB" w:rsidRPr="00E9170B">
              <w:rPr>
                <w:sz w:val="19"/>
                <w:szCs w:val="19"/>
                <w:lang w:val="fr-FR" w:eastAsia="en-CA"/>
              </w:rPr>
              <w:t>/ difficultés internes ou externes</w:t>
            </w:r>
          </w:p>
        </w:tc>
        <w:tc>
          <w:tcPr>
            <w:tcW w:w="5812" w:type="dxa"/>
          </w:tcPr>
          <w:p w14:paraId="5C99EB26" w14:textId="6939A606" w:rsidR="003C506F" w:rsidRPr="00AF592C" w:rsidRDefault="000008EB" w:rsidP="00E352F6">
            <w:pPr>
              <w:jc w:val="left"/>
              <w:rPr>
                <w:sz w:val="19"/>
                <w:szCs w:val="19"/>
                <w:lang w:val="fr-CA"/>
              </w:rPr>
            </w:pPr>
            <w:r w:rsidRPr="00E9170B">
              <w:rPr>
                <w:sz w:val="19"/>
                <w:szCs w:val="19"/>
                <w:lang w:val="fr-FR"/>
              </w:rPr>
              <w:t>Prendre note des retards dus aux problèmes bancaires pour la réception des paiements et inviter instamment le gouvernement du Tchad à coopérer avec le PNUE afin que la cinquième tranche (2020)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w:t>
            </w:r>
            <w:r w:rsidR="00B81C1B" w:rsidRPr="00E9170B">
              <w:rPr>
                <w:sz w:val="19"/>
                <w:szCs w:val="19"/>
                <w:lang w:val="fr-FR"/>
              </w:rPr>
              <w:t xml:space="preserve"> </w:t>
            </w:r>
            <w:r w:rsidRPr="00E9170B">
              <w:rPr>
                <w:sz w:val="19"/>
                <w:szCs w:val="19"/>
                <w:lang w:val="fr-FR"/>
              </w:rPr>
              <w:t>2020.</w:t>
            </w:r>
          </w:p>
        </w:tc>
      </w:tr>
      <w:tr w:rsidR="00F91E4F" w:rsidRPr="00B67439" w14:paraId="142469E8" w14:textId="77777777" w:rsidTr="007C19F6">
        <w:trPr>
          <w:trHeight w:val="422"/>
        </w:trPr>
        <w:tc>
          <w:tcPr>
            <w:tcW w:w="1560" w:type="dxa"/>
          </w:tcPr>
          <w:p w14:paraId="45234DB8" w14:textId="4F441647" w:rsidR="002755E3" w:rsidRPr="00E9170B" w:rsidRDefault="000008EB" w:rsidP="00F74962">
            <w:pPr>
              <w:jc w:val="left"/>
              <w:rPr>
                <w:sz w:val="19"/>
                <w:szCs w:val="19"/>
                <w:lang w:val="en-CA" w:eastAsia="en-CA"/>
              </w:rPr>
            </w:pPr>
            <w:r w:rsidRPr="00E9170B">
              <w:rPr>
                <w:sz w:val="19"/>
                <w:szCs w:val="19"/>
                <w:lang w:val="fr-FR" w:eastAsia="en-CA"/>
              </w:rPr>
              <w:t>Comores</w:t>
            </w:r>
          </w:p>
          <w:p w14:paraId="484B541A" w14:textId="4FB85E44" w:rsidR="002755E3" w:rsidRPr="00E9170B" w:rsidRDefault="000008EB" w:rsidP="00E352F6">
            <w:pPr>
              <w:jc w:val="left"/>
              <w:rPr>
                <w:sz w:val="19"/>
                <w:szCs w:val="19"/>
                <w:lang w:val="en-CA" w:eastAsia="en-CA"/>
              </w:rPr>
            </w:pPr>
            <w:r w:rsidRPr="00E9170B">
              <w:rPr>
                <w:sz w:val="19"/>
                <w:szCs w:val="19"/>
                <w:lang w:val="fr-FR" w:eastAsia="en-CA"/>
              </w:rPr>
              <w:t>(Phase I)</w:t>
            </w:r>
          </w:p>
        </w:tc>
        <w:tc>
          <w:tcPr>
            <w:tcW w:w="1276" w:type="dxa"/>
          </w:tcPr>
          <w:p w14:paraId="0CE6532D" w14:textId="350197B9" w:rsidR="002755E3" w:rsidRPr="00E9170B" w:rsidRDefault="000008EB" w:rsidP="00E352F6">
            <w:pPr>
              <w:jc w:val="left"/>
              <w:rPr>
                <w:sz w:val="19"/>
                <w:szCs w:val="19"/>
                <w:lang w:val="en-CA" w:eastAsia="en-CA"/>
              </w:rPr>
            </w:pPr>
            <w:r w:rsidRPr="00E9170B">
              <w:rPr>
                <w:sz w:val="19"/>
                <w:szCs w:val="19"/>
                <w:lang w:val="fr-FR" w:eastAsia="en-CA"/>
              </w:rPr>
              <w:t>PNUE</w:t>
            </w:r>
          </w:p>
        </w:tc>
        <w:tc>
          <w:tcPr>
            <w:tcW w:w="879" w:type="dxa"/>
          </w:tcPr>
          <w:p w14:paraId="7B1194C6" w14:textId="1AB83C94" w:rsidR="002755E3" w:rsidRPr="00E9170B" w:rsidRDefault="002755E3" w:rsidP="00F74962">
            <w:pPr>
              <w:jc w:val="center"/>
              <w:rPr>
                <w:sz w:val="19"/>
                <w:szCs w:val="19"/>
                <w:lang w:val="en-CA" w:eastAsia="en-CA"/>
              </w:rPr>
            </w:pPr>
            <w:r w:rsidRPr="00E9170B">
              <w:rPr>
                <w:sz w:val="19"/>
                <w:szCs w:val="19"/>
                <w:lang w:val="en-CA" w:eastAsia="en-CA"/>
              </w:rPr>
              <w:t>2020</w:t>
            </w:r>
          </w:p>
        </w:tc>
        <w:tc>
          <w:tcPr>
            <w:tcW w:w="1275" w:type="dxa"/>
          </w:tcPr>
          <w:p w14:paraId="6C856F4E" w14:textId="38631D4E" w:rsidR="002755E3" w:rsidRPr="00E9170B" w:rsidRDefault="002755E3" w:rsidP="00F74962">
            <w:pPr>
              <w:jc w:val="right"/>
              <w:rPr>
                <w:sz w:val="19"/>
                <w:szCs w:val="19"/>
                <w:lang w:val="en-CA" w:eastAsia="en-CA"/>
              </w:rPr>
            </w:pPr>
            <w:r w:rsidRPr="00E9170B">
              <w:rPr>
                <w:sz w:val="19"/>
                <w:szCs w:val="19"/>
                <w:lang w:val="en-CA" w:eastAsia="en-CA"/>
              </w:rPr>
              <w:t>18</w:t>
            </w:r>
            <w:r w:rsidR="00E9170B">
              <w:rPr>
                <w:sz w:val="19"/>
                <w:szCs w:val="19"/>
                <w:lang w:val="en-CA" w:eastAsia="en-CA"/>
              </w:rPr>
              <w:t> </w:t>
            </w:r>
            <w:r w:rsidRPr="00E9170B">
              <w:rPr>
                <w:sz w:val="19"/>
                <w:szCs w:val="19"/>
                <w:lang w:val="en-CA" w:eastAsia="en-CA"/>
              </w:rPr>
              <w:t>080</w:t>
            </w:r>
          </w:p>
        </w:tc>
        <w:tc>
          <w:tcPr>
            <w:tcW w:w="3373" w:type="dxa"/>
          </w:tcPr>
          <w:p w14:paraId="560BFB72" w14:textId="6E36C39F" w:rsidR="002755E3" w:rsidRPr="00AF592C" w:rsidRDefault="00EF5F07" w:rsidP="00E352F6">
            <w:pPr>
              <w:jc w:val="left"/>
              <w:rPr>
                <w:sz w:val="19"/>
                <w:szCs w:val="19"/>
                <w:lang w:val="fr-CA" w:eastAsia="en-CA"/>
              </w:rPr>
            </w:pPr>
            <w:r w:rsidRPr="00E9170B">
              <w:rPr>
                <w:sz w:val="19"/>
                <w:szCs w:val="19"/>
                <w:lang w:val="fr-FR" w:eastAsia="en-CA"/>
              </w:rPr>
              <w:t>Perturbations dues</w:t>
            </w:r>
            <w:r w:rsidR="000008EB" w:rsidRPr="00E9170B">
              <w:rPr>
                <w:sz w:val="19"/>
                <w:szCs w:val="19"/>
                <w:lang w:val="fr-FR" w:eastAsia="en-CA"/>
              </w:rPr>
              <w:t xml:space="preserve"> à la pandémie de Covid-19</w:t>
            </w:r>
          </w:p>
        </w:tc>
        <w:tc>
          <w:tcPr>
            <w:tcW w:w="5812" w:type="dxa"/>
          </w:tcPr>
          <w:p w14:paraId="24BA24D9" w14:textId="42227278" w:rsidR="002755E3" w:rsidRPr="00AF592C" w:rsidRDefault="000008EB" w:rsidP="00E352F6">
            <w:pPr>
              <w:jc w:val="left"/>
              <w:rPr>
                <w:sz w:val="19"/>
                <w:szCs w:val="19"/>
                <w:lang w:val="fr-CA"/>
              </w:rPr>
            </w:pPr>
            <w:r w:rsidRPr="00E9170B">
              <w:rPr>
                <w:sz w:val="19"/>
                <w:szCs w:val="19"/>
                <w:lang w:val="fr-FR"/>
              </w:rPr>
              <w:t>Prendre note des retards dus aux contraintes imposées par la pandémie de Covid-19 et inviter instamment le gouvernement des Comores à coopérer avec le PNUE afin que la cinquième tranche (2020)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w:t>
            </w:r>
            <w:r w:rsidR="00B81C1B" w:rsidRPr="00E9170B">
              <w:rPr>
                <w:sz w:val="19"/>
                <w:szCs w:val="19"/>
                <w:lang w:val="fr-FR"/>
              </w:rPr>
              <w:t xml:space="preserve"> </w:t>
            </w:r>
            <w:r w:rsidRPr="00E9170B">
              <w:rPr>
                <w:sz w:val="19"/>
                <w:szCs w:val="19"/>
                <w:lang w:val="fr-FR"/>
              </w:rPr>
              <w:t>2020.</w:t>
            </w:r>
          </w:p>
        </w:tc>
      </w:tr>
      <w:tr w:rsidR="00F91E4F" w:rsidRPr="00B67439" w14:paraId="39199DC3" w14:textId="77777777" w:rsidTr="00785A57">
        <w:trPr>
          <w:trHeight w:val="677"/>
        </w:trPr>
        <w:tc>
          <w:tcPr>
            <w:tcW w:w="1560" w:type="dxa"/>
          </w:tcPr>
          <w:p w14:paraId="12B71007" w14:textId="122EE270" w:rsidR="00AC64B6" w:rsidRPr="00E9170B" w:rsidRDefault="000008EB" w:rsidP="00F74962">
            <w:pPr>
              <w:jc w:val="left"/>
              <w:rPr>
                <w:sz w:val="19"/>
                <w:szCs w:val="19"/>
                <w:lang w:val="en-CA" w:eastAsia="en-CA"/>
              </w:rPr>
            </w:pPr>
            <w:r w:rsidRPr="00E9170B">
              <w:rPr>
                <w:sz w:val="19"/>
                <w:szCs w:val="19"/>
                <w:lang w:val="fr-FR" w:eastAsia="en-CA"/>
              </w:rPr>
              <w:t>Congo</w:t>
            </w:r>
          </w:p>
          <w:p w14:paraId="3F0FBB95" w14:textId="135E712C" w:rsidR="00AC64B6" w:rsidRPr="00E9170B" w:rsidRDefault="000008EB" w:rsidP="00E352F6">
            <w:pPr>
              <w:jc w:val="left"/>
              <w:rPr>
                <w:sz w:val="19"/>
                <w:szCs w:val="19"/>
                <w:lang w:val="en-CA" w:eastAsia="en-CA"/>
              </w:rPr>
            </w:pPr>
            <w:r w:rsidRPr="00E9170B">
              <w:rPr>
                <w:sz w:val="19"/>
                <w:szCs w:val="19"/>
                <w:lang w:val="fr-FR" w:eastAsia="en-CA"/>
              </w:rPr>
              <w:t>(Phase I)</w:t>
            </w:r>
          </w:p>
        </w:tc>
        <w:tc>
          <w:tcPr>
            <w:tcW w:w="1276" w:type="dxa"/>
          </w:tcPr>
          <w:p w14:paraId="599C200A" w14:textId="0ADC63CB" w:rsidR="00AC64B6" w:rsidRPr="00E9170B" w:rsidRDefault="000008EB" w:rsidP="00E352F6">
            <w:pPr>
              <w:jc w:val="left"/>
              <w:rPr>
                <w:sz w:val="19"/>
                <w:szCs w:val="19"/>
                <w:lang w:val="en-CA" w:eastAsia="en-CA"/>
              </w:rPr>
            </w:pPr>
            <w:r w:rsidRPr="00E9170B">
              <w:rPr>
                <w:sz w:val="19"/>
                <w:szCs w:val="19"/>
                <w:lang w:val="fr-FR" w:eastAsia="en-CA"/>
              </w:rPr>
              <w:t>PNUE</w:t>
            </w:r>
          </w:p>
        </w:tc>
        <w:tc>
          <w:tcPr>
            <w:tcW w:w="879" w:type="dxa"/>
          </w:tcPr>
          <w:p w14:paraId="55860276" w14:textId="4E331616" w:rsidR="00AC64B6" w:rsidRPr="00E9170B" w:rsidRDefault="00AC64B6" w:rsidP="00F74962">
            <w:pPr>
              <w:jc w:val="center"/>
              <w:rPr>
                <w:sz w:val="19"/>
                <w:szCs w:val="19"/>
                <w:lang w:val="en-CA" w:eastAsia="en-CA"/>
              </w:rPr>
            </w:pPr>
            <w:r w:rsidRPr="00E9170B">
              <w:rPr>
                <w:sz w:val="19"/>
                <w:szCs w:val="19"/>
                <w:lang w:val="en-CA" w:eastAsia="en-CA"/>
              </w:rPr>
              <w:t>2020</w:t>
            </w:r>
          </w:p>
        </w:tc>
        <w:tc>
          <w:tcPr>
            <w:tcW w:w="1275" w:type="dxa"/>
          </w:tcPr>
          <w:p w14:paraId="1119591D" w14:textId="2B97E3D3" w:rsidR="00AC64B6" w:rsidRPr="00E9170B" w:rsidRDefault="00AC64B6" w:rsidP="00F74962">
            <w:pPr>
              <w:jc w:val="right"/>
              <w:rPr>
                <w:sz w:val="19"/>
                <w:szCs w:val="19"/>
                <w:lang w:val="en-CA" w:eastAsia="en-CA"/>
              </w:rPr>
            </w:pPr>
            <w:r w:rsidRPr="00E9170B">
              <w:rPr>
                <w:sz w:val="19"/>
                <w:szCs w:val="19"/>
                <w:lang w:val="en-CA" w:eastAsia="en-CA"/>
              </w:rPr>
              <w:t>39</w:t>
            </w:r>
            <w:r w:rsidR="00E9170B">
              <w:rPr>
                <w:sz w:val="19"/>
                <w:szCs w:val="19"/>
                <w:lang w:val="en-CA" w:eastAsia="en-CA"/>
              </w:rPr>
              <w:t> </w:t>
            </w:r>
            <w:r w:rsidRPr="00E9170B">
              <w:rPr>
                <w:sz w:val="19"/>
                <w:szCs w:val="19"/>
                <w:lang w:val="en-CA" w:eastAsia="en-CA"/>
              </w:rPr>
              <w:t>550</w:t>
            </w:r>
          </w:p>
        </w:tc>
        <w:tc>
          <w:tcPr>
            <w:tcW w:w="3373" w:type="dxa"/>
          </w:tcPr>
          <w:p w14:paraId="147C64C3" w14:textId="5E59BAB4" w:rsidR="00AC64B6" w:rsidRPr="00AF592C" w:rsidRDefault="000008EB" w:rsidP="00E9170B">
            <w:pPr>
              <w:jc w:val="left"/>
              <w:rPr>
                <w:sz w:val="19"/>
                <w:szCs w:val="19"/>
                <w:lang w:val="fr-CA" w:eastAsia="en-CA"/>
              </w:rPr>
            </w:pPr>
            <w:r w:rsidRPr="00E9170B">
              <w:rPr>
                <w:sz w:val="19"/>
                <w:szCs w:val="19"/>
                <w:lang w:val="fr-FR" w:eastAsia="en-CA"/>
              </w:rPr>
              <w:t>Décisions/approbations du gouvernement/changements au sein de l</w:t>
            </w:r>
            <w:r w:rsidR="0048249F">
              <w:rPr>
                <w:sz w:val="19"/>
                <w:szCs w:val="19"/>
                <w:lang w:val="fr-FR" w:eastAsia="en-CA"/>
              </w:rPr>
              <w:t>’</w:t>
            </w:r>
            <w:r w:rsidRPr="00E9170B">
              <w:rPr>
                <w:sz w:val="19"/>
                <w:szCs w:val="19"/>
                <w:lang w:val="fr-FR" w:eastAsia="en-CA"/>
              </w:rPr>
              <w:t xml:space="preserve">UNO/changements structurels/ </w:t>
            </w:r>
            <w:r w:rsidR="00994EEC" w:rsidRPr="00E9170B">
              <w:rPr>
                <w:sz w:val="19"/>
                <w:szCs w:val="19"/>
                <w:lang w:val="fr-FR" w:eastAsia="en-CA"/>
              </w:rPr>
              <w:t>suffisamment de fonds approuvés provenant de la tranche précédente</w:t>
            </w:r>
            <w:r w:rsidRPr="00E9170B">
              <w:rPr>
                <w:sz w:val="19"/>
                <w:szCs w:val="19"/>
                <w:lang w:val="fr-FR" w:eastAsia="en-CA"/>
              </w:rPr>
              <w:t>/ signature de l</w:t>
            </w:r>
            <w:r w:rsidR="0048249F">
              <w:rPr>
                <w:sz w:val="19"/>
                <w:szCs w:val="19"/>
                <w:lang w:val="fr-FR" w:eastAsia="en-CA"/>
              </w:rPr>
              <w:t>’</w:t>
            </w:r>
            <w:r w:rsidRPr="00E9170B">
              <w:rPr>
                <w:sz w:val="19"/>
                <w:szCs w:val="19"/>
                <w:lang w:val="fr-FR" w:eastAsia="en-CA"/>
              </w:rPr>
              <w:t xml:space="preserve">accord </w:t>
            </w:r>
            <w:r w:rsidR="00A21B07">
              <w:rPr>
                <w:sz w:val="19"/>
                <w:szCs w:val="19"/>
                <w:lang w:val="fr-FR" w:eastAsia="en-CA"/>
              </w:rPr>
              <w:t xml:space="preserve">et/ou du document </w:t>
            </w:r>
            <w:r w:rsidRPr="00E9170B">
              <w:rPr>
                <w:sz w:val="19"/>
                <w:szCs w:val="19"/>
                <w:lang w:val="fr-FR" w:eastAsia="en-CA"/>
              </w:rPr>
              <w:t xml:space="preserve"> de projet/</w:t>
            </w:r>
            <w:r w:rsidR="00E9170B" w:rsidRPr="00E9170B">
              <w:rPr>
                <w:sz w:val="19"/>
                <w:szCs w:val="19"/>
                <w:lang w:val="fr-FR" w:eastAsia="en-CA"/>
              </w:rPr>
              <w:t>p</w:t>
            </w:r>
            <w:r w:rsidR="00EF5F07" w:rsidRPr="00E9170B">
              <w:rPr>
                <w:sz w:val="19"/>
                <w:szCs w:val="19"/>
                <w:lang w:val="fr-FR" w:eastAsia="en-CA"/>
              </w:rPr>
              <w:t>erturbations dues</w:t>
            </w:r>
            <w:r w:rsidRPr="00E9170B">
              <w:rPr>
                <w:sz w:val="19"/>
                <w:szCs w:val="19"/>
                <w:lang w:val="fr-FR" w:eastAsia="en-CA"/>
              </w:rPr>
              <w:t xml:space="preserve"> à la pandémie de Covid-19</w:t>
            </w:r>
          </w:p>
        </w:tc>
        <w:tc>
          <w:tcPr>
            <w:tcW w:w="5812" w:type="dxa"/>
          </w:tcPr>
          <w:p w14:paraId="03323B4D" w14:textId="434A5103" w:rsidR="00AC64B6" w:rsidRPr="00AF592C" w:rsidRDefault="000008EB" w:rsidP="00A21B07">
            <w:pPr>
              <w:jc w:val="left"/>
              <w:rPr>
                <w:sz w:val="19"/>
                <w:szCs w:val="19"/>
                <w:lang w:val="fr-CA"/>
              </w:rPr>
            </w:pPr>
            <w:r w:rsidRPr="00E9170B">
              <w:rPr>
                <w:sz w:val="19"/>
                <w:szCs w:val="19"/>
                <w:lang w:val="fr-FR"/>
              </w:rPr>
              <w:t>Prendre note des retards au niveau d</w:t>
            </w:r>
            <w:r w:rsidR="00A21B07">
              <w:rPr>
                <w:sz w:val="19"/>
                <w:szCs w:val="19"/>
                <w:lang w:val="fr-FR"/>
              </w:rPr>
              <w:t>e l’</w:t>
            </w:r>
            <w:r w:rsidRPr="00E9170B">
              <w:rPr>
                <w:sz w:val="19"/>
                <w:szCs w:val="19"/>
                <w:lang w:val="fr-FR"/>
              </w:rPr>
              <w:t>approbation</w:t>
            </w:r>
            <w:r w:rsidR="00A21B07">
              <w:rPr>
                <w:sz w:val="19"/>
                <w:szCs w:val="19"/>
                <w:lang w:val="fr-FR"/>
              </w:rPr>
              <w:t xml:space="preserve"> </w:t>
            </w:r>
            <w:r w:rsidRPr="00E9170B">
              <w:rPr>
                <w:sz w:val="19"/>
                <w:szCs w:val="19"/>
                <w:lang w:val="fr-FR"/>
              </w:rPr>
              <w:t xml:space="preserve">du gouvernement </w:t>
            </w:r>
            <w:r w:rsidR="00A21B07">
              <w:rPr>
                <w:sz w:val="19"/>
                <w:szCs w:val="19"/>
                <w:lang w:val="fr-FR"/>
              </w:rPr>
              <w:t>du</w:t>
            </w:r>
            <w:r w:rsidRPr="00E9170B">
              <w:rPr>
                <w:sz w:val="19"/>
                <w:szCs w:val="19"/>
                <w:lang w:val="fr-FR"/>
              </w:rPr>
              <w:t xml:space="preserve"> document de projet et</w:t>
            </w:r>
            <w:r w:rsidR="00A21B07">
              <w:rPr>
                <w:sz w:val="19"/>
                <w:szCs w:val="19"/>
                <w:lang w:val="fr-FR"/>
              </w:rPr>
              <w:t xml:space="preserve"> de</w:t>
            </w:r>
            <w:r w:rsidRPr="00E9170B">
              <w:rPr>
                <w:sz w:val="19"/>
                <w:szCs w:val="19"/>
                <w:lang w:val="fr-FR"/>
              </w:rPr>
              <w:t xml:space="preserve"> la signature de l</w:t>
            </w:r>
            <w:r w:rsidR="0048249F">
              <w:rPr>
                <w:sz w:val="19"/>
                <w:szCs w:val="19"/>
                <w:lang w:val="fr-FR"/>
              </w:rPr>
              <w:t>’</w:t>
            </w:r>
            <w:r w:rsidRPr="00E9170B">
              <w:rPr>
                <w:sz w:val="19"/>
                <w:szCs w:val="19"/>
                <w:lang w:val="fr-FR"/>
              </w:rPr>
              <w:t>accord, et</w:t>
            </w:r>
            <w:r w:rsidR="00B81C1B" w:rsidRPr="00E9170B">
              <w:rPr>
                <w:sz w:val="19"/>
                <w:szCs w:val="19"/>
                <w:lang w:val="fr-FR"/>
              </w:rPr>
              <w:t xml:space="preserve"> </w:t>
            </w:r>
            <w:r w:rsidRPr="00E9170B">
              <w:rPr>
                <w:sz w:val="19"/>
                <w:szCs w:val="19"/>
                <w:lang w:val="fr-FR"/>
              </w:rPr>
              <w:t xml:space="preserve">inviter instamment le gouvernement du Congo à coopérer avec </w:t>
            </w:r>
            <w:r w:rsidR="00A21B07">
              <w:rPr>
                <w:sz w:val="19"/>
                <w:szCs w:val="19"/>
                <w:lang w:val="fr-FR"/>
              </w:rPr>
              <w:t xml:space="preserve">le </w:t>
            </w:r>
            <w:r w:rsidRPr="00E9170B">
              <w:rPr>
                <w:sz w:val="19"/>
                <w:szCs w:val="19"/>
                <w:lang w:val="fr-FR" w:eastAsia="en-CA"/>
              </w:rPr>
              <w:t>PNUE pour accélérer la signature de l</w:t>
            </w:r>
            <w:r w:rsidR="0048249F">
              <w:rPr>
                <w:sz w:val="19"/>
                <w:szCs w:val="19"/>
                <w:lang w:val="fr-FR" w:eastAsia="en-CA"/>
              </w:rPr>
              <w:t>’</w:t>
            </w:r>
            <w:r w:rsidRPr="00E9170B">
              <w:rPr>
                <w:sz w:val="19"/>
                <w:szCs w:val="19"/>
                <w:lang w:val="fr-FR" w:eastAsia="en-CA"/>
              </w:rPr>
              <w:t>accord</w:t>
            </w:r>
            <w:r w:rsidR="00B81C1B" w:rsidRPr="00E9170B">
              <w:rPr>
                <w:sz w:val="19"/>
                <w:szCs w:val="19"/>
                <w:lang w:val="fr-FR" w:eastAsia="en-CA"/>
              </w:rPr>
              <w:t xml:space="preserve"> </w:t>
            </w:r>
            <w:r w:rsidRPr="00E9170B">
              <w:rPr>
                <w:sz w:val="19"/>
                <w:szCs w:val="19"/>
                <w:lang w:val="fr-FR"/>
              </w:rPr>
              <w:t>afin que la cinquième tranche (2020)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 2020.</w:t>
            </w:r>
          </w:p>
        </w:tc>
      </w:tr>
      <w:tr w:rsidR="00F91E4F" w:rsidRPr="00B67439" w14:paraId="32F43285" w14:textId="77777777" w:rsidTr="00785A57">
        <w:trPr>
          <w:trHeight w:val="677"/>
        </w:trPr>
        <w:tc>
          <w:tcPr>
            <w:tcW w:w="1560" w:type="dxa"/>
          </w:tcPr>
          <w:p w14:paraId="414398D2" w14:textId="77777777" w:rsidR="00A21B07" w:rsidRDefault="000008EB" w:rsidP="00E352F6">
            <w:pPr>
              <w:jc w:val="left"/>
              <w:rPr>
                <w:sz w:val="19"/>
                <w:szCs w:val="19"/>
                <w:lang w:val="fr-FR" w:eastAsia="en-CA"/>
              </w:rPr>
            </w:pPr>
            <w:r w:rsidRPr="00E9170B">
              <w:rPr>
                <w:sz w:val="19"/>
                <w:szCs w:val="19"/>
                <w:lang w:val="fr-FR" w:eastAsia="en-CA"/>
              </w:rPr>
              <w:t>Djibouti</w:t>
            </w:r>
          </w:p>
          <w:p w14:paraId="20752CAB" w14:textId="594A7F56" w:rsidR="004C1212" w:rsidRPr="00A21B07" w:rsidRDefault="000008EB" w:rsidP="00E352F6">
            <w:pPr>
              <w:jc w:val="left"/>
              <w:rPr>
                <w:sz w:val="19"/>
                <w:szCs w:val="19"/>
                <w:lang w:val="fr-FR" w:eastAsia="en-CA"/>
              </w:rPr>
            </w:pPr>
            <w:r w:rsidRPr="00E9170B">
              <w:rPr>
                <w:sz w:val="19"/>
                <w:szCs w:val="19"/>
                <w:lang w:val="fr-FR" w:eastAsia="en-CA"/>
              </w:rPr>
              <w:t>(Phase I)</w:t>
            </w:r>
          </w:p>
        </w:tc>
        <w:tc>
          <w:tcPr>
            <w:tcW w:w="1276" w:type="dxa"/>
          </w:tcPr>
          <w:p w14:paraId="4A3F5883" w14:textId="62189BF3" w:rsidR="004C1212" w:rsidRPr="00E9170B" w:rsidRDefault="000008EB" w:rsidP="00E352F6">
            <w:pPr>
              <w:jc w:val="left"/>
              <w:rPr>
                <w:sz w:val="19"/>
                <w:szCs w:val="19"/>
                <w:lang w:val="en-CA" w:eastAsia="en-CA"/>
              </w:rPr>
            </w:pPr>
            <w:r w:rsidRPr="00E9170B">
              <w:rPr>
                <w:sz w:val="19"/>
                <w:szCs w:val="19"/>
                <w:lang w:val="fr-FR" w:eastAsia="en-CA"/>
              </w:rPr>
              <w:t>PNUE</w:t>
            </w:r>
          </w:p>
        </w:tc>
        <w:tc>
          <w:tcPr>
            <w:tcW w:w="879" w:type="dxa"/>
          </w:tcPr>
          <w:p w14:paraId="7B3382DC" w14:textId="7A06A44C" w:rsidR="004C1212" w:rsidRPr="00E9170B" w:rsidRDefault="004C1212" w:rsidP="004C1212">
            <w:pPr>
              <w:jc w:val="center"/>
              <w:rPr>
                <w:sz w:val="19"/>
                <w:szCs w:val="19"/>
                <w:lang w:val="en-CA" w:eastAsia="en-CA"/>
              </w:rPr>
            </w:pPr>
            <w:r w:rsidRPr="00E9170B">
              <w:rPr>
                <w:sz w:val="19"/>
                <w:szCs w:val="19"/>
                <w:lang w:val="en-CA" w:eastAsia="en-CA"/>
              </w:rPr>
              <w:t>2020</w:t>
            </w:r>
          </w:p>
        </w:tc>
        <w:tc>
          <w:tcPr>
            <w:tcW w:w="1275" w:type="dxa"/>
          </w:tcPr>
          <w:p w14:paraId="023039FF" w14:textId="4BC4BF68" w:rsidR="004C1212" w:rsidRPr="00E9170B" w:rsidRDefault="004C1212" w:rsidP="004C1212">
            <w:pPr>
              <w:jc w:val="right"/>
              <w:rPr>
                <w:sz w:val="19"/>
                <w:szCs w:val="19"/>
                <w:lang w:val="en-CA" w:eastAsia="en-CA"/>
              </w:rPr>
            </w:pPr>
            <w:r w:rsidRPr="00E9170B">
              <w:rPr>
                <w:sz w:val="19"/>
                <w:szCs w:val="19"/>
                <w:lang w:val="en-CA" w:eastAsia="en-CA"/>
              </w:rPr>
              <w:t>23</w:t>
            </w:r>
            <w:r w:rsidR="00E9170B">
              <w:rPr>
                <w:sz w:val="19"/>
                <w:szCs w:val="19"/>
                <w:lang w:val="en-CA" w:eastAsia="en-CA"/>
              </w:rPr>
              <w:t> </w:t>
            </w:r>
            <w:r w:rsidRPr="00E9170B">
              <w:rPr>
                <w:sz w:val="19"/>
                <w:szCs w:val="19"/>
                <w:lang w:val="en-CA" w:eastAsia="en-CA"/>
              </w:rPr>
              <w:t>730</w:t>
            </w:r>
          </w:p>
        </w:tc>
        <w:tc>
          <w:tcPr>
            <w:tcW w:w="3373" w:type="dxa"/>
          </w:tcPr>
          <w:p w14:paraId="0F2D99B9" w14:textId="7F83E1F9" w:rsidR="004C1212" w:rsidRPr="00AF592C" w:rsidRDefault="000008EB" w:rsidP="00E9170B">
            <w:pPr>
              <w:jc w:val="left"/>
              <w:rPr>
                <w:sz w:val="19"/>
                <w:szCs w:val="19"/>
                <w:lang w:val="fr-CA" w:eastAsia="en-CA"/>
              </w:rPr>
            </w:pPr>
            <w:r w:rsidRPr="00E9170B">
              <w:rPr>
                <w:sz w:val="19"/>
                <w:szCs w:val="19"/>
                <w:lang w:val="fr-FR" w:eastAsia="en-CA"/>
              </w:rPr>
              <w:t>Décisions/approbations du gouvernement/changements au sein de l</w:t>
            </w:r>
            <w:r w:rsidR="0048249F">
              <w:rPr>
                <w:sz w:val="19"/>
                <w:szCs w:val="19"/>
                <w:lang w:val="fr-FR" w:eastAsia="en-CA"/>
              </w:rPr>
              <w:t>’</w:t>
            </w:r>
            <w:r w:rsidRPr="00E9170B">
              <w:rPr>
                <w:sz w:val="19"/>
                <w:szCs w:val="19"/>
                <w:lang w:val="fr-FR" w:eastAsia="en-CA"/>
              </w:rPr>
              <w:t xml:space="preserve">UNO/changements structurels/ </w:t>
            </w:r>
            <w:r w:rsidR="00994EEC" w:rsidRPr="00E9170B">
              <w:rPr>
                <w:sz w:val="19"/>
                <w:szCs w:val="19"/>
                <w:lang w:val="fr-FR" w:eastAsia="en-CA"/>
              </w:rPr>
              <w:t>suffisamment de fonds approuvés provenant de la tranche précédente</w:t>
            </w:r>
            <w:r w:rsidRPr="00E9170B">
              <w:rPr>
                <w:sz w:val="19"/>
                <w:szCs w:val="19"/>
                <w:lang w:val="fr-FR" w:eastAsia="en-CA"/>
              </w:rPr>
              <w:t>/ signature de l</w:t>
            </w:r>
            <w:r w:rsidR="0048249F">
              <w:rPr>
                <w:sz w:val="19"/>
                <w:szCs w:val="19"/>
                <w:lang w:val="fr-FR" w:eastAsia="en-CA"/>
              </w:rPr>
              <w:t>’</w:t>
            </w:r>
            <w:r w:rsidRPr="00E9170B">
              <w:rPr>
                <w:sz w:val="19"/>
                <w:szCs w:val="19"/>
                <w:lang w:val="fr-FR" w:eastAsia="en-CA"/>
              </w:rPr>
              <w:t xml:space="preserve">accord </w:t>
            </w:r>
            <w:r w:rsidR="00A21B07">
              <w:rPr>
                <w:sz w:val="19"/>
                <w:szCs w:val="19"/>
                <w:lang w:val="fr-FR" w:eastAsia="en-CA"/>
              </w:rPr>
              <w:t xml:space="preserve">et/ou du document </w:t>
            </w:r>
            <w:r w:rsidRPr="00E9170B">
              <w:rPr>
                <w:sz w:val="19"/>
                <w:szCs w:val="19"/>
                <w:lang w:val="fr-FR" w:eastAsia="en-CA"/>
              </w:rPr>
              <w:t xml:space="preserve"> de projet/</w:t>
            </w:r>
            <w:r w:rsidR="00E9170B" w:rsidRPr="00E9170B">
              <w:rPr>
                <w:sz w:val="19"/>
                <w:szCs w:val="19"/>
                <w:lang w:val="fr-FR" w:eastAsia="en-CA"/>
              </w:rPr>
              <w:t>p</w:t>
            </w:r>
            <w:r w:rsidR="00EF5F07" w:rsidRPr="00E9170B">
              <w:rPr>
                <w:sz w:val="19"/>
                <w:szCs w:val="19"/>
                <w:lang w:val="fr-FR" w:eastAsia="en-CA"/>
              </w:rPr>
              <w:t>erturbations dues</w:t>
            </w:r>
            <w:r w:rsidRPr="00E9170B">
              <w:rPr>
                <w:sz w:val="19"/>
                <w:szCs w:val="19"/>
                <w:lang w:val="fr-FR" w:eastAsia="en-CA"/>
              </w:rPr>
              <w:t xml:space="preserve"> à la pandémie de Covid-19</w:t>
            </w:r>
          </w:p>
        </w:tc>
        <w:tc>
          <w:tcPr>
            <w:tcW w:w="5812" w:type="dxa"/>
          </w:tcPr>
          <w:p w14:paraId="636EF685" w14:textId="06C0BB68" w:rsidR="004C1212" w:rsidRPr="00AF592C" w:rsidRDefault="000008EB" w:rsidP="00E352F6">
            <w:pPr>
              <w:jc w:val="left"/>
              <w:rPr>
                <w:sz w:val="19"/>
                <w:szCs w:val="19"/>
                <w:lang w:val="fr-CA"/>
              </w:rPr>
            </w:pPr>
            <w:r w:rsidRPr="00E9170B">
              <w:rPr>
                <w:sz w:val="19"/>
                <w:szCs w:val="19"/>
                <w:lang w:val="fr-FR"/>
              </w:rPr>
              <w:t xml:space="preserve">Prendre note </w:t>
            </w:r>
            <w:r w:rsidR="00A21B07" w:rsidRPr="00E9170B">
              <w:rPr>
                <w:sz w:val="19"/>
                <w:szCs w:val="19"/>
                <w:lang w:val="fr-FR"/>
              </w:rPr>
              <w:t>des retards au niveau d</w:t>
            </w:r>
            <w:r w:rsidR="00A21B07">
              <w:rPr>
                <w:sz w:val="19"/>
                <w:szCs w:val="19"/>
                <w:lang w:val="fr-FR"/>
              </w:rPr>
              <w:t>e l’</w:t>
            </w:r>
            <w:r w:rsidR="00A21B07" w:rsidRPr="00E9170B">
              <w:rPr>
                <w:sz w:val="19"/>
                <w:szCs w:val="19"/>
                <w:lang w:val="fr-FR"/>
              </w:rPr>
              <w:t>approbation</w:t>
            </w:r>
            <w:r w:rsidR="00A21B07">
              <w:rPr>
                <w:sz w:val="19"/>
                <w:szCs w:val="19"/>
                <w:lang w:val="fr-FR"/>
              </w:rPr>
              <w:t xml:space="preserve"> </w:t>
            </w:r>
            <w:r w:rsidR="00A21B07" w:rsidRPr="00E9170B">
              <w:rPr>
                <w:sz w:val="19"/>
                <w:szCs w:val="19"/>
                <w:lang w:val="fr-FR"/>
              </w:rPr>
              <w:t xml:space="preserve">du gouvernement </w:t>
            </w:r>
            <w:r w:rsidR="00A21B07">
              <w:rPr>
                <w:sz w:val="19"/>
                <w:szCs w:val="19"/>
                <w:lang w:val="fr-FR"/>
              </w:rPr>
              <w:t>du</w:t>
            </w:r>
            <w:r w:rsidR="00A21B07" w:rsidRPr="00E9170B">
              <w:rPr>
                <w:sz w:val="19"/>
                <w:szCs w:val="19"/>
                <w:lang w:val="fr-FR"/>
              </w:rPr>
              <w:t xml:space="preserve"> document de projet </w:t>
            </w:r>
            <w:r w:rsidRPr="00E9170B">
              <w:rPr>
                <w:sz w:val="19"/>
                <w:szCs w:val="19"/>
                <w:lang w:val="fr-FR"/>
              </w:rPr>
              <w:t>et</w:t>
            </w:r>
            <w:r w:rsidR="00A21B07">
              <w:rPr>
                <w:sz w:val="19"/>
                <w:szCs w:val="19"/>
                <w:lang w:val="fr-FR"/>
              </w:rPr>
              <w:t xml:space="preserve"> de</w:t>
            </w:r>
            <w:r w:rsidRPr="00E9170B">
              <w:rPr>
                <w:sz w:val="19"/>
                <w:szCs w:val="19"/>
                <w:lang w:val="fr-FR"/>
              </w:rPr>
              <w:t xml:space="preserve"> la signature de l</w:t>
            </w:r>
            <w:r w:rsidR="0048249F">
              <w:rPr>
                <w:sz w:val="19"/>
                <w:szCs w:val="19"/>
                <w:lang w:val="fr-FR"/>
              </w:rPr>
              <w:t>’</w:t>
            </w:r>
            <w:r w:rsidRPr="00E9170B">
              <w:rPr>
                <w:sz w:val="19"/>
                <w:szCs w:val="19"/>
                <w:lang w:val="fr-FR"/>
              </w:rPr>
              <w:t>accord, et</w:t>
            </w:r>
            <w:r w:rsidR="00B81C1B" w:rsidRPr="00E9170B">
              <w:rPr>
                <w:sz w:val="19"/>
                <w:szCs w:val="19"/>
                <w:lang w:val="fr-FR"/>
              </w:rPr>
              <w:t xml:space="preserve"> </w:t>
            </w:r>
            <w:r w:rsidRPr="00E9170B">
              <w:rPr>
                <w:sz w:val="19"/>
                <w:szCs w:val="19"/>
                <w:lang w:val="fr-FR"/>
              </w:rPr>
              <w:t xml:space="preserve">inviter instamment le gouvernement de Djibouti à coopérer avec </w:t>
            </w:r>
            <w:r w:rsidR="0088760B" w:rsidRPr="00E9170B">
              <w:rPr>
                <w:sz w:val="19"/>
                <w:szCs w:val="19"/>
                <w:lang w:val="fr-FR"/>
              </w:rPr>
              <w:t xml:space="preserve">le </w:t>
            </w:r>
            <w:r w:rsidRPr="00E9170B">
              <w:rPr>
                <w:sz w:val="19"/>
                <w:szCs w:val="19"/>
                <w:lang w:val="fr-FR"/>
              </w:rPr>
              <w:t>PNUE pour accélérer la signature de l</w:t>
            </w:r>
            <w:r w:rsidR="0048249F">
              <w:rPr>
                <w:sz w:val="19"/>
                <w:szCs w:val="19"/>
                <w:lang w:val="fr-FR"/>
              </w:rPr>
              <w:t>’</w:t>
            </w:r>
            <w:r w:rsidRPr="00E9170B">
              <w:rPr>
                <w:sz w:val="19"/>
                <w:szCs w:val="19"/>
                <w:lang w:val="fr-FR"/>
              </w:rPr>
              <w:t>accord</w:t>
            </w:r>
            <w:r w:rsidR="00B81C1B" w:rsidRPr="00E9170B">
              <w:rPr>
                <w:sz w:val="19"/>
                <w:szCs w:val="19"/>
                <w:lang w:val="fr-FR"/>
              </w:rPr>
              <w:t xml:space="preserve"> </w:t>
            </w:r>
            <w:r w:rsidRPr="00E9170B">
              <w:rPr>
                <w:sz w:val="19"/>
                <w:szCs w:val="19"/>
                <w:lang w:val="fr-FR"/>
              </w:rPr>
              <w:t>afin que la quatrième tranche (2020)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 2020.</w:t>
            </w:r>
          </w:p>
        </w:tc>
      </w:tr>
      <w:tr w:rsidR="00F91E4F" w:rsidRPr="00B67439" w14:paraId="7CCF58FD" w14:textId="77777777" w:rsidTr="00785A57">
        <w:trPr>
          <w:trHeight w:val="677"/>
        </w:trPr>
        <w:tc>
          <w:tcPr>
            <w:tcW w:w="1560" w:type="dxa"/>
          </w:tcPr>
          <w:p w14:paraId="7421A783" w14:textId="3310601D" w:rsidR="004C7E1C" w:rsidRPr="00E9170B" w:rsidRDefault="000008EB" w:rsidP="004C7E1C">
            <w:pPr>
              <w:jc w:val="left"/>
              <w:rPr>
                <w:sz w:val="19"/>
                <w:szCs w:val="19"/>
                <w:lang w:val="en-CA" w:eastAsia="en-CA"/>
              </w:rPr>
            </w:pPr>
            <w:r w:rsidRPr="00E9170B">
              <w:rPr>
                <w:sz w:val="19"/>
                <w:szCs w:val="19"/>
                <w:lang w:val="fr-FR" w:eastAsia="en-CA"/>
              </w:rPr>
              <w:t>La Dominique</w:t>
            </w:r>
            <w:r w:rsidR="004C7E1C" w:rsidRPr="00E9170B">
              <w:rPr>
                <w:sz w:val="19"/>
                <w:szCs w:val="19"/>
                <w:lang w:val="en-CA" w:eastAsia="en-CA"/>
              </w:rPr>
              <w:t xml:space="preserve"> </w:t>
            </w:r>
          </w:p>
          <w:p w14:paraId="278C3FB2" w14:textId="716433DB" w:rsidR="004C7E1C" w:rsidRPr="00E9170B" w:rsidRDefault="000008EB" w:rsidP="00E352F6">
            <w:pPr>
              <w:jc w:val="left"/>
              <w:rPr>
                <w:sz w:val="19"/>
                <w:szCs w:val="19"/>
                <w:lang w:val="en-CA" w:eastAsia="en-CA"/>
              </w:rPr>
            </w:pPr>
            <w:r w:rsidRPr="00E9170B">
              <w:rPr>
                <w:sz w:val="19"/>
                <w:szCs w:val="19"/>
                <w:lang w:val="fr-FR" w:eastAsia="en-CA"/>
              </w:rPr>
              <w:t>(Phase I)</w:t>
            </w:r>
          </w:p>
        </w:tc>
        <w:tc>
          <w:tcPr>
            <w:tcW w:w="1276" w:type="dxa"/>
          </w:tcPr>
          <w:p w14:paraId="4A74635C" w14:textId="52902BF8" w:rsidR="004C7E1C" w:rsidRPr="00E9170B" w:rsidRDefault="000008EB" w:rsidP="00E352F6">
            <w:pPr>
              <w:jc w:val="left"/>
              <w:rPr>
                <w:sz w:val="19"/>
                <w:szCs w:val="19"/>
                <w:lang w:val="en-CA" w:eastAsia="en-CA"/>
              </w:rPr>
            </w:pPr>
            <w:r w:rsidRPr="00E9170B">
              <w:rPr>
                <w:sz w:val="19"/>
                <w:szCs w:val="19"/>
                <w:lang w:val="fr-FR" w:eastAsia="en-CA"/>
              </w:rPr>
              <w:t>PNUE</w:t>
            </w:r>
          </w:p>
        </w:tc>
        <w:tc>
          <w:tcPr>
            <w:tcW w:w="879" w:type="dxa"/>
          </w:tcPr>
          <w:p w14:paraId="6E149623" w14:textId="6A7BD3F5" w:rsidR="004C7E1C" w:rsidRPr="00E9170B" w:rsidRDefault="004C7E1C" w:rsidP="004C7E1C">
            <w:pPr>
              <w:jc w:val="center"/>
              <w:rPr>
                <w:sz w:val="19"/>
                <w:szCs w:val="19"/>
                <w:lang w:val="en-CA" w:eastAsia="en-CA"/>
              </w:rPr>
            </w:pPr>
            <w:r w:rsidRPr="00E9170B">
              <w:rPr>
                <w:sz w:val="19"/>
                <w:szCs w:val="19"/>
                <w:lang w:val="en-CA" w:eastAsia="en-CA"/>
              </w:rPr>
              <w:t>2020</w:t>
            </w:r>
          </w:p>
        </w:tc>
        <w:tc>
          <w:tcPr>
            <w:tcW w:w="1275" w:type="dxa"/>
          </w:tcPr>
          <w:p w14:paraId="26D0B520" w14:textId="6AD7C1CC" w:rsidR="004C7E1C" w:rsidRPr="00E9170B" w:rsidRDefault="004C7E1C" w:rsidP="004C7E1C">
            <w:pPr>
              <w:jc w:val="right"/>
              <w:rPr>
                <w:sz w:val="19"/>
                <w:szCs w:val="19"/>
                <w:lang w:val="en-CA" w:eastAsia="en-CA"/>
              </w:rPr>
            </w:pPr>
            <w:r w:rsidRPr="00E9170B">
              <w:rPr>
                <w:sz w:val="19"/>
                <w:szCs w:val="19"/>
                <w:lang w:val="en-CA" w:eastAsia="en-CA"/>
              </w:rPr>
              <w:t>18</w:t>
            </w:r>
            <w:r w:rsidR="00E9170B">
              <w:rPr>
                <w:sz w:val="19"/>
                <w:szCs w:val="19"/>
                <w:lang w:val="en-CA" w:eastAsia="en-CA"/>
              </w:rPr>
              <w:t> </w:t>
            </w:r>
            <w:r w:rsidRPr="00E9170B">
              <w:rPr>
                <w:sz w:val="19"/>
                <w:szCs w:val="19"/>
                <w:lang w:val="en-CA" w:eastAsia="en-CA"/>
              </w:rPr>
              <w:t>588</w:t>
            </w:r>
          </w:p>
        </w:tc>
        <w:tc>
          <w:tcPr>
            <w:tcW w:w="3373" w:type="dxa"/>
          </w:tcPr>
          <w:p w14:paraId="2FC16292" w14:textId="1512B18A" w:rsidR="004C7E1C" w:rsidRPr="00AF592C" w:rsidRDefault="000008EB" w:rsidP="00A21B07">
            <w:pPr>
              <w:jc w:val="left"/>
              <w:rPr>
                <w:sz w:val="19"/>
                <w:szCs w:val="19"/>
                <w:lang w:val="fr-CA" w:eastAsia="en-CA"/>
              </w:rPr>
            </w:pPr>
            <w:r w:rsidRPr="00E9170B">
              <w:rPr>
                <w:sz w:val="19"/>
                <w:szCs w:val="19"/>
                <w:lang w:val="fr-FR" w:eastAsia="en-CA"/>
              </w:rPr>
              <w:t>décisions/approbations du gouvernement/changements au sein de l</w:t>
            </w:r>
            <w:r w:rsidR="0048249F">
              <w:rPr>
                <w:sz w:val="19"/>
                <w:szCs w:val="19"/>
                <w:lang w:val="fr-FR" w:eastAsia="en-CA"/>
              </w:rPr>
              <w:t>’</w:t>
            </w:r>
            <w:r w:rsidRPr="00E9170B">
              <w:rPr>
                <w:sz w:val="19"/>
                <w:szCs w:val="19"/>
                <w:lang w:val="fr-FR" w:eastAsia="en-CA"/>
              </w:rPr>
              <w:t>UNO/changements structurels/</w:t>
            </w:r>
            <w:r w:rsidR="00994EEC" w:rsidRPr="00E9170B">
              <w:rPr>
                <w:sz w:val="19"/>
                <w:szCs w:val="19"/>
                <w:lang w:val="fr-FR" w:eastAsia="en-CA"/>
              </w:rPr>
              <w:t>suffisamment de fonds approuvés provenant de la tranche précédente</w:t>
            </w:r>
            <w:r w:rsidRPr="00E9170B">
              <w:rPr>
                <w:sz w:val="19"/>
                <w:szCs w:val="19"/>
                <w:lang w:val="fr-FR" w:eastAsia="en-CA"/>
              </w:rPr>
              <w:t>/</w:t>
            </w:r>
            <w:r w:rsidR="00E9170B" w:rsidRPr="00E9170B">
              <w:rPr>
                <w:sz w:val="19"/>
                <w:szCs w:val="19"/>
                <w:lang w:val="fr-FR" w:eastAsia="en-CA"/>
              </w:rPr>
              <w:t>s</w:t>
            </w:r>
            <w:r w:rsidRPr="00E9170B">
              <w:rPr>
                <w:sz w:val="19"/>
                <w:szCs w:val="19"/>
                <w:lang w:val="fr-FR" w:eastAsia="en-CA"/>
              </w:rPr>
              <w:t>oumission des rapports périodiques et financiers/difficultés internes ou externes/</w:t>
            </w:r>
            <w:r w:rsidR="00E9170B" w:rsidRPr="00E9170B">
              <w:rPr>
                <w:sz w:val="19"/>
                <w:szCs w:val="19"/>
                <w:lang w:val="fr-FR" w:eastAsia="en-CA"/>
              </w:rPr>
              <w:t>p</w:t>
            </w:r>
            <w:r w:rsidR="00EF5F07" w:rsidRPr="00E9170B">
              <w:rPr>
                <w:sz w:val="19"/>
                <w:szCs w:val="19"/>
                <w:lang w:val="fr-FR" w:eastAsia="en-CA"/>
              </w:rPr>
              <w:t>erturbations dues</w:t>
            </w:r>
            <w:r w:rsidRPr="00E9170B">
              <w:rPr>
                <w:sz w:val="19"/>
                <w:szCs w:val="19"/>
                <w:lang w:val="fr-FR" w:eastAsia="en-CA"/>
              </w:rPr>
              <w:t xml:space="preserve"> à la pandémie de COVID-19/seuil de décaissement de 20 pour cent</w:t>
            </w:r>
          </w:p>
        </w:tc>
        <w:tc>
          <w:tcPr>
            <w:tcW w:w="5812" w:type="dxa"/>
          </w:tcPr>
          <w:p w14:paraId="28EF3BA1" w14:textId="07590367" w:rsidR="004C7E1C" w:rsidRPr="00AF592C" w:rsidRDefault="000008EB" w:rsidP="00E352F6">
            <w:pPr>
              <w:jc w:val="left"/>
              <w:rPr>
                <w:sz w:val="19"/>
                <w:szCs w:val="19"/>
                <w:lang w:val="fr-CA"/>
              </w:rPr>
            </w:pPr>
            <w:r w:rsidRPr="00E9170B">
              <w:rPr>
                <w:sz w:val="19"/>
                <w:szCs w:val="19"/>
                <w:lang w:val="fr-FR"/>
              </w:rPr>
              <w:t>Prendre note des retards dus aux changements structurels au sein du gouvernement et de l</w:t>
            </w:r>
            <w:r w:rsidR="0048249F">
              <w:rPr>
                <w:sz w:val="19"/>
                <w:szCs w:val="19"/>
                <w:lang w:val="fr-FR"/>
              </w:rPr>
              <w:t>’</w:t>
            </w:r>
            <w:r w:rsidRPr="00E9170B">
              <w:rPr>
                <w:sz w:val="19"/>
                <w:szCs w:val="19"/>
                <w:lang w:val="fr-FR"/>
              </w:rPr>
              <w:t>UNO, de la no</w:t>
            </w:r>
            <w:r w:rsidR="0088760B" w:rsidRPr="00E9170B">
              <w:rPr>
                <w:sz w:val="19"/>
                <w:szCs w:val="19"/>
                <w:lang w:val="fr-FR"/>
              </w:rPr>
              <w:t>n</w:t>
            </w:r>
            <w:r w:rsidRPr="00E9170B">
              <w:rPr>
                <w:sz w:val="19"/>
                <w:szCs w:val="19"/>
                <w:lang w:val="fr-FR"/>
              </w:rPr>
              <w:t xml:space="preserve">-remise des rapports périodiques et financiers et </w:t>
            </w:r>
            <w:r w:rsidR="0088760B" w:rsidRPr="00E9170B">
              <w:rPr>
                <w:sz w:val="19"/>
                <w:szCs w:val="19"/>
                <w:lang w:val="fr-FR"/>
              </w:rPr>
              <w:t xml:space="preserve">du fait que </w:t>
            </w:r>
            <w:r w:rsidRPr="00E9170B">
              <w:rPr>
                <w:sz w:val="19"/>
                <w:szCs w:val="19"/>
                <w:lang w:val="fr-FR"/>
              </w:rPr>
              <w:t>le taux de décaissement global de la deuxième t</w:t>
            </w:r>
            <w:r w:rsidR="0088760B" w:rsidRPr="00E9170B">
              <w:rPr>
                <w:sz w:val="19"/>
                <w:szCs w:val="19"/>
                <w:lang w:val="fr-FR"/>
              </w:rPr>
              <w:t>r</w:t>
            </w:r>
            <w:r w:rsidRPr="00E9170B">
              <w:rPr>
                <w:sz w:val="19"/>
                <w:szCs w:val="19"/>
                <w:lang w:val="fr-FR"/>
              </w:rPr>
              <w:t>anche (2019) de la phase I du PGEH se situait au-dessous du seuil de 20 pour cent</w:t>
            </w:r>
            <w:r w:rsidR="0088760B" w:rsidRPr="00E9170B">
              <w:rPr>
                <w:sz w:val="19"/>
                <w:szCs w:val="19"/>
                <w:lang w:val="fr-FR"/>
              </w:rPr>
              <w:t>,</w:t>
            </w:r>
            <w:r w:rsidRPr="00E9170B">
              <w:rPr>
                <w:sz w:val="19"/>
                <w:szCs w:val="19"/>
                <w:lang w:val="fr-FR"/>
              </w:rPr>
              <w:t xml:space="preserve"> et inviter instamment le gouvernement de la Dominique à soumettre les rapports périodiques et financiers et à coopérer avec le PNUE afin que la troisième t</w:t>
            </w:r>
            <w:r w:rsidR="0088760B" w:rsidRPr="00E9170B">
              <w:rPr>
                <w:sz w:val="19"/>
                <w:szCs w:val="19"/>
                <w:lang w:val="fr-FR"/>
              </w:rPr>
              <w:t>r</w:t>
            </w:r>
            <w:r w:rsidRPr="00E9170B">
              <w:rPr>
                <w:sz w:val="19"/>
                <w:szCs w:val="19"/>
                <w:lang w:val="fr-FR"/>
              </w:rPr>
              <w:t>anche puisse être soumise à la 88</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action révisé pren</w:t>
            </w:r>
            <w:r w:rsidR="0088760B" w:rsidRPr="00E9170B">
              <w:rPr>
                <w:sz w:val="19"/>
                <w:szCs w:val="19"/>
                <w:lang w:val="fr-FR"/>
              </w:rPr>
              <w:t>ant</w:t>
            </w:r>
            <w:r w:rsidRPr="00E9170B">
              <w:rPr>
                <w:sz w:val="19"/>
                <w:szCs w:val="19"/>
                <w:lang w:val="fr-FR"/>
              </w:rPr>
              <w:t xml:space="preserve"> en compte la réaffectation de la tranche de 2020, étant entendu que le seuil de décaissement de 20 pour cent pour le financement de la tranche précédente a été atteint.</w:t>
            </w:r>
          </w:p>
        </w:tc>
      </w:tr>
      <w:tr w:rsidR="00F91E4F" w:rsidRPr="00B67439" w14:paraId="26F869A7" w14:textId="77777777" w:rsidTr="00785A57">
        <w:trPr>
          <w:trHeight w:val="677"/>
        </w:trPr>
        <w:tc>
          <w:tcPr>
            <w:tcW w:w="1560" w:type="dxa"/>
          </w:tcPr>
          <w:p w14:paraId="146BB4B1" w14:textId="15C28B5E" w:rsidR="00EF2201" w:rsidRPr="00E9170B" w:rsidRDefault="000008EB" w:rsidP="00E352F6">
            <w:pPr>
              <w:jc w:val="left"/>
              <w:rPr>
                <w:sz w:val="19"/>
                <w:szCs w:val="19"/>
                <w:lang w:val="en-CA" w:eastAsia="en-CA"/>
              </w:rPr>
            </w:pPr>
            <w:r w:rsidRPr="00E9170B">
              <w:rPr>
                <w:sz w:val="19"/>
                <w:szCs w:val="19"/>
                <w:lang w:val="fr-FR" w:eastAsia="en-CA"/>
              </w:rPr>
              <w:lastRenderedPageBreak/>
              <w:t>Guinée Équatoriale (Phase I)</w:t>
            </w:r>
          </w:p>
        </w:tc>
        <w:tc>
          <w:tcPr>
            <w:tcW w:w="1276" w:type="dxa"/>
          </w:tcPr>
          <w:p w14:paraId="02FF9DDB" w14:textId="5D301B77" w:rsidR="00EF2201" w:rsidRPr="00E9170B" w:rsidRDefault="000008EB" w:rsidP="00E352F6">
            <w:pPr>
              <w:jc w:val="left"/>
              <w:rPr>
                <w:sz w:val="19"/>
                <w:szCs w:val="19"/>
                <w:lang w:val="en-CA" w:eastAsia="en-CA"/>
              </w:rPr>
            </w:pPr>
            <w:r w:rsidRPr="00E9170B">
              <w:rPr>
                <w:sz w:val="19"/>
                <w:szCs w:val="19"/>
                <w:lang w:val="fr-FR" w:eastAsia="en-CA"/>
              </w:rPr>
              <w:t>PNUE</w:t>
            </w:r>
          </w:p>
        </w:tc>
        <w:tc>
          <w:tcPr>
            <w:tcW w:w="879" w:type="dxa"/>
          </w:tcPr>
          <w:p w14:paraId="23578CD6" w14:textId="2FAE62A8" w:rsidR="00EF2201" w:rsidRPr="00E9170B" w:rsidRDefault="00EF2201" w:rsidP="00EF2201">
            <w:pPr>
              <w:jc w:val="center"/>
              <w:rPr>
                <w:sz w:val="19"/>
                <w:szCs w:val="19"/>
                <w:lang w:val="en-CA" w:eastAsia="en-CA"/>
              </w:rPr>
            </w:pPr>
            <w:r w:rsidRPr="00E9170B">
              <w:rPr>
                <w:sz w:val="19"/>
                <w:szCs w:val="19"/>
                <w:lang w:val="en-CA" w:eastAsia="en-CA"/>
              </w:rPr>
              <w:t>2020</w:t>
            </w:r>
          </w:p>
        </w:tc>
        <w:tc>
          <w:tcPr>
            <w:tcW w:w="1275" w:type="dxa"/>
          </w:tcPr>
          <w:p w14:paraId="70C2C303" w14:textId="192113FE" w:rsidR="00EF2201" w:rsidRPr="00E9170B" w:rsidRDefault="00EF2201" w:rsidP="00EF2201">
            <w:pPr>
              <w:jc w:val="right"/>
              <w:rPr>
                <w:sz w:val="19"/>
                <w:szCs w:val="19"/>
                <w:lang w:val="en-CA" w:eastAsia="en-CA"/>
              </w:rPr>
            </w:pPr>
            <w:r w:rsidRPr="00E9170B">
              <w:rPr>
                <w:sz w:val="19"/>
                <w:szCs w:val="19"/>
                <w:lang w:val="en-CA" w:eastAsia="en-CA"/>
              </w:rPr>
              <w:t>33</w:t>
            </w:r>
            <w:r w:rsidR="00E9170B">
              <w:rPr>
                <w:sz w:val="19"/>
                <w:szCs w:val="19"/>
                <w:lang w:val="en-CA" w:eastAsia="en-CA"/>
              </w:rPr>
              <w:t> </w:t>
            </w:r>
            <w:r w:rsidRPr="00E9170B">
              <w:rPr>
                <w:sz w:val="19"/>
                <w:szCs w:val="19"/>
                <w:lang w:val="en-CA" w:eastAsia="en-CA"/>
              </w:rPr>
              <w:t>900</w:t>
            </w:r>
          </w:p>
        </w:tc>
        <w:tc>
          <w:tcPr>
            <w:tcW w:w="3373" w:type="dxa"/>
          </w:tcPr>
          <w:p w14:paraId="7AC02FB0" w14:textId="59644D5F" w:rsidR="00EF2201" w:rsidRPr="00AF592C" w:rsidRDefault="00EF5F07" w:rsidP="00E352F6">
            <w:pPr>
              <w:jc w:val="left"/>
              <w:rPr>
                <w:sz w:val="19"/>
                <w:szCs w:val="19"/>
                <w:lang w:val="fr-CA" w:eastAsia="en-CA"/>
              </w:rPr>
            </w:pPr>
            <w:r w:rsidRPr="00E9170B">
              <w:rPr>
                <w:sz w:val="19"/>
                <w:szCs w:val="19"/>
                <w:lang w:val="fr-FR" w:eastAsia="en-CA"/>
              </w:rPr>
              <w:t>Perturbations dues</w:t>
            </w:r>
            <w:r w:rsidR="000008EB" w:rsidRPr="00E9170B">
              <w:rPr>
                <w:sz w:val="19"/>
                <w:szCs w:val="19"/>
                <w:lang w:val="fr-FR" w:eastAsia="en-CA"/>
              </w:rPr>
              <w:t xml:space="preserve"> à la pandémie de Covid-19</w:t>
            </w:r>
          </w:p>
        </w:tc>
        <w:tc>
          <w:tcPr>
            <w:tcW w:w="5812" w:type="dxa"/>
          </w:tcPr>
          <w:p w14:paraId="39F27ED4" w14:textId="6CC7A413" w:rsidR="00EF2201" w:rsidRPr="00AF592C" w:rsidRDefault="000008EB" w:rsidP="00E352F6">
            <w:pPr>
              <w:jc w:val="left"/>
              <w:rPr>
                <w:sz w:val="19"/>
                <w:szCs w:val="19"/>
                <w:lang w:val="fr-CA"/>
              </w:rPr>
            </w:pPr>
            <w:r w:rsidRPr="00E9170B">
              <w:rPr>
                <w:sz w:val="19"/>
                <w:szCs w:val="19"/>
                <w:lang w:val="fr-FR"/>
              </w:rPr>
              <w:t>Prendre note des retards dus aux contraintes imposées par la pandémie de Covid-19 et inviter instamment le gouvernement de la Guinée Équatoriale à coopérer avec le PNUE afin que la quatrième tranche (2020)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w:t>
            </w:r>
            <w:r w:rsidR="00B81C1B" w:rsidRPr="00E9170B">
              <w:rPr>
                <w:sz w:val="19"/>
                <w:szCs w:val="19"/>
                <w:lang w:val="fr-FR"/>
              </w:rPr>
              <w:t xml:space="preserve"> </w:t>
            </w:r>
            <w:r w:rsidRPr="00E9170B">
              <w:rPr>
                <w:sz w:val="19"/>
                <w:szCs w:val="19"/>
                <w:lang w:val="fr-FR"/>
              </w:rPr>
              <w:t>2020.</w:t>
            </w:r>
          </w:p>
        </w:tc>
      </w:tr>
      <w:tr w:rsidR="00F91E4F" w:rsidRPr="00B67439" w14:paraId="264CEE23" w14:textId="77777777" w:rsidTr="00785A57">
        <w:trPr>
          <w:trHeight w:val="677"/>
        </w:trPr>
        <w:tc>
          <w:tcPr>
            <w:tcW w:w="1560" w:type="dxa"/>
          </w:tcPr>
          <w:p w14:paraId="43DF2D35" w14:textId="594B0BAD" w:rsidR="00BB094C" w:rsidRPr="00E9170B" w:rsidRDefault="000008EB" w:rsidP="00E352F6">
            <w:pPr>
              <w:jc w:val="left"/>
              <w:rPr>
                <w:sz w:val="19"/>
                <w:szCs w:val="19"/>
                <w:lang w:val="en-CA" w:eastAsia="en-CA"/>
              </w:rPr>
            </w:pPr>
            <w:r w:rsidRPr="00E9170B">
              <w:rPr>
                <w:sz w:val="19"/>
                <w:szCs w:val="19"/>
                <w:lang w:val="fr-FR" w:eastAsia="en-CA"/>
              </w:rPr>
              <w:t>Gabon (Phase I)</w:t>
            </w:r>
          </w:p>
        </w:tc>
        <w:tc>
          <w:tcPr>
            <w:tcW w:w="1276" w:type="dxa"/>
          </w:tcPr>
          <w:p w14:paraId="63D619C0" w14:textId="717DC4AD" w:rsidR="00BB094C" w:rsidRPr="00E9170B" w:rsidRDefault="000008EB" w:rsidP="00E352F6">
            <w:pPr>
              <w:jc w:val="left"/>
              <w:rPr>
                <w:sz w:val="19"/>
                <w:szCs w:val="19"/>
                <w:lang w:val="en-CA" w:eastAsia="en-CA"/>
              </w:rPr>
            </w:pPr>
            <w:r w:rsidRPr="00E9170B">
              <w:rPr>
                <w:sz w:val="19"/>
                <w:szCs w:val="19"/>
                <w:lang w:val="fr-FR" w:eastAsia="en-CA"/>
              </w:rPr>
              <w:t>PNUE</w:t>
            </w:r>
          </w:p>
        </w:tc>
        <w:tc>
          <w:tcPr>
            <w:tcW w:w="879" w:type="dxa"/>
          </w:tcPr>
          <w:p w14:paraId="27A6D03D" w14:textId="7434ED8A" w:rsidR="00BB094C" w:rsidRPr="00E9170B" w:rsidRDefault="00BB094C" w:rsidP="00BB094C">
            <w:pPr>
              <w:jc w:val="center"/>
              <w:rPr>
                <w:sz w:val="19"/>
                <w:szCs w:val="19"/>
                <w:lang w:val="en-CA" w:eastAsia="en-CA"/>
              </w:rPr>
            </w:pPr>
            <w:r w:rsidRPr="00E9170B">
              <w:rPr>
                <w:sz w:val="19"/>
                <w:szCs w:val="19"/>
                <w:lang w:val="en-CA" w:eastAsia="en-CA"/>
              </w:rPr>
              <w:t>2020</w:t>
            </w:r>
          </w:p>
        </w:tc>
        <w:tc>
          <w:tcPr>
            <w:tcW w:w="1275" w:type="dxa"/>
          </w:tcPr>
          <w:p w14:paraId="458F86CE" w14:textId="57B0E340" w:rsidR="00BB094C" w:rsidRPr="00E9170B" w:rsidRDefault="00BB094C" w:rsidP="00BB094C">
            <w:pPr>
              <w:jc w:val="right"/>
              <w:rPr>
                <w:sz w:val="19"/>
                <w:szCs w:val="19"/>
                <w:lang w:val="en-CA" w:eastAsia="en-CA"/>
              </w:rPr>
            </w:pPr>
            <w:r w:rsidRPr="00E9170B">
              <w:rPr>
                <w:sz w:val="19"/>
                <w:szCs w:val="19"/>
                <w:lang w:val="en-CA" w:eastAsia="en-CA"/>
              </w:rPr>
              <w:t>61</w:t>
            </w:r>
            <w:r w:rsidR="00E9170B">
              <w:rPr>
                <w:sz w:val="19"/>
                <w:szCs w:val="19"/>
                <w:lang w:val="en-CA" w:eastAsia="en-CA"/>
              </w:rPr>
              <w:t> </w:t>
            </w:r>
            <w:r w:rsidRPr="00E9170B">
              <w:rPr>
                <w:sz w:val="19"/>
                <w:szCs w:val="19"/>
                <w:lang w:val="en-CA" w:eastAsia="en-CA"/>
              </w:rPr>
              <w:t>020</w:t>
            </w:r>
          </w:p>
        </w:tc>
        <w:tc>
          <w:tcPr>
            <w:tcW w:w="3373" w:type="dxa"/>
          </w:tcPr>
          <w:p w14:paraId="2E337417" w14:textId="70D70DD5" w:rsidR="00BB094C" w:rsidRPr="00AF592C" w:rsidRDefault="000008EB" w:rsidP="00E9170B">
            <w:pPr>
              <w:jc w:val="left"/>
              <w:rPr>
                <w:sz w:val="19"/>
                <w:szCs w:val="19"/>
                <w:lang w:val="fr-CA" w:eastAsia="en-CA"/>
              </w:rPr>
            </w:pPr>
            <w:r w:rsidRPr="00E9170B">
              <w:rPr>
                <w:sz w:val="19"/>
                <w:szCs w:val="19"/>
                <w:lang w:val="fr-FR" w:eastAsia="en-CA"/>
              </w:rPr>
              <w:t>Décisions/approbations du gouvernement/changements au sein de l</w:t>
            </w:r>
            <w:r w:rsidR="0048249F">
              <w:rPr>
                <w:sz w:val="19"/>
                <w:szCs w:val="19"/>
                <w:lang w:val="fr-FR" w:eastAsia="en-CA"/>
              </w:rPr>
              <w:t>’</w:t>
            </w:r>
            <w:r w:rsidRPr="00E9170B">
              <w:rPr>
                <w:sz w:val="19"/>
                <w:szCs w:val="19"/>
                <w:lang w:val="fr-FR" w:eastAsia="en-CA"/>
              </w:rPr>
              <w:t>UNO/ changements structurels</w:t>
            </w:r>
          </w:p>
        </w:tc>
        <w:tc>
          <w:tcPr>
            <w:tcW w:w="5812" w:type="dxa"/>
          </w:tcPr>
          <w:p w14:paraId="06F95560" w14:textId="4AAF384A" w:rsidR="00BB094C" w:rsidRPr="00AF592C" w:rsidRDefault="000008EB" w:rsidP="00A21B07">
            <w:pPr>
              <w:jc w:val="left"/>
              <w:rPr>
                <w:sz w:val="19"/>
                <w:szCs w:val="19"/>
                <w:lang w:val="fr-CA"/>
              </w:rPr>
            </w:pPr>
            <w:r w:rsidRPr="00E9170B">
              <w:rPr>
                <w:sz w:val="19"/>
                <w:szCs w:val="19"/>
                <w:lang w:val="fr-FR"/>
              </w:rPr>
              <w:t>Prendre note des retards dus aux changements structurels au sein du gouvernement et de l</w:t>
            </w:r>
            <w:r w:rsidR="0048249F">
              <w:rPr>
                <w:sz w:val="19"/>
                <w:szCs w:val="19"/>
                <w:lang w:val="fr-FR"/>
              </w:rPr>
              <w:t>’</w:t>
            </w:r>
            <w:r w:rsidRPr="00E9170B">
              <w:rPr>
                <w:sz w:val="19"/>
                <w:szCs w:val="19"/>
                <w:lang w:val="fr-FR"/>
              </w:rPr>
              <w:t>unité nationale de l</w:t>
            </w:r>
            <w:r w:rsidR="0048249F">
              <w:rPr>
                <w:sz w:val="19"/>
                <w:szCs w:val="19"/>
                <w:lang w:val="fr-FR"/>
              </w:rPr>
              <w:t>’</w:t>
            </w:r>
            <w:r w:rsidRPr="00E9170B">
              <w:rPr>
                <w:sz w:val="19"/>
                <w:szCs w:val="19"/>
                <w:lang w:val="fr-FR"/>
              </w:rPr>
              <w:t>UNO, et</w:t>
            </w:r>
            <w:r w:rsidR="00B81C1B" w:rsidRPr="00E9170B">
              <w:rPr>
                <w:sz w:val="19"/>
                <w:szCs w:val="19"/>
                <w:lang w:val="fr-FR"/>
              </w:rPr>
              <w:t xml:space="preserve"> </w:t>
            </w:r>
            <w:r w:rsidRPr="00E9170B">
              <w:rPr>
                <w:sz w:val="19"/>
                <w:szCs w:val="19"/>
                <w:lang w:val="fr-FR"/>
              </w:rPr>
              <w:t>inviter instamment le gouvernement du Gabon à coopérer avec le PNUE afin que la cinquième tranche (2020)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 2020.</w:t>
            </w:r>
          </w:p>
        </w:tc>
      </w:tr>
      <w:tr w:rsidR="00F91E4F" w:rsidRPr="00B67439" w14:paraId="48736E3D" w14:textId="77777777" w:rsidTr="00785A57">
        <w:trPr>
          <w:trHeight w:val="677"/>
        </w:trPr>
        <w:tc>
          <w:tcPr>
            <w:tcW w:w="1560" w:type="dxa"/>
          </w:tcPr>
          <w:p w14:paraId="28E55997" w14:textId="2D04EC39" w:rsidR="00EA06AE" w:rsidRPr="00E9170B" w:rsidRDefault="000008EB" w:rsidP="009B523C">
            <w:pPr>
              <w:ind w:right="-131"/>
              <w:jc w:val="left"/>
              <w:rPr>
                <w:sz w:val="19"/>
                <w:szCs w:val="19"/>
                <w:lang w:val="en-CA" w:eastAsia="en-CA"/>
              </w:rPr>
            </w:pPr>
            <w:r w:rsidRPr="00E9170B">
              <w:rPr>
                <w:sz w:val="19"/>
                <w:szCs w:val="19"/>
                <w:lang w:val="fr-FR" w:eastAsia="en-CA"/>
              </w:rPr>
              <w:t>Grenade (</w:t>
            </w:r>
            <w:r w:rsidR="009B523C">
              <w:rPr>
                <w:sz w:val="19"/>
                <w:szCs w:val="19"/>
                <w:lang w:val="fr-FR" w:eastAsia="en-CA"/>
              </w:rPr>
              <w:t>Phas</w:t>
            </w:r>
            <w:r w:rsidRPr="00E9170B">
              <w:rPr>
                <w:sz w:val="19"/>
                <w:szCs w:val="19"/>
                <w:lang w:val="fr-FR" w:eastAsia="en-CA"/>
              </w:rPr>
              <w:t>e I)</w:t>
            </w:r>
          </w:p>
        </w:tc>
        <w:tc>
          <w:tcPr>
            <w:tcW w:w="1276" w:type="dxa"/>
          </w:tcPr>
          <w:p w14:paraId="01AAD073" w14:textId="50E7E2FC" w:rsidR="00EA06AE" w:rsidRPr="00E9170B" w:rsidRDefault="000008EB" w:rsidP="00E352F6">
            <w:pPr>
              <w:jc w:val="left"/>
              <w:rPr>
                <w:sz w:val="19"/>
                <w:szCs w:val="19"/>
                <w:lang w:val="en-CA" w:eastAsia="en-CA"/>
              </w:rPr>
            </w:pPr>
            <w:r w:rsidRPr="00E9170B">
              <w:rPr>
                <w:sz w:val="19"/>
                <w:szCs w:val="19"/>
                <w:lang w:val="fr-FR" w:eastAsia="en-CA"/>
              </w:rPr>
              <w:t>PNUE</w:t>
            </w:r>
          </w:p>
        </w:tc>
        <w:tc>
          <w:tcPr>
            <w:tcW w:w="879" w:type="dxa"/>
          </w:tcPr>
          <w:p w14:paraId="110B700C" w14:textId="416940B8" w:rsidR="00EA06AE" w:rsidRPr="00E9170B" w:rsidRDefault="00EA06AE" w:rsidP="00EA06AE">
            <w:pPr>
              <w:jc w:val="center"/>
              <w:rPr>
                <w:sz w:val="19"/>
                <w:szCs w:val="19"/>
                <w:lang w:val="en-CA" w:eastAsia="en-CA"/>
              </w:rPr>
            </w:pPr>
            <w:r w:rsidRPr="00E9170B">
              <w:rPr>
                <w:sz w:val="19"/>
                <w:szCs w:val="19"/>
                <w:lang w:val="en-CA" w:eastAsia="en-CA"/>
              </w:rPr>
              <w:t>2020</w:t>
            </w:r>
          </w:p>
        </w:tc>
        <w:tc>
          <w:tcPr>
            <w:tcW w:w="1275" w:type="dxa"/>
          </w:tcPr>
          <w:p w14:paraId="7ED62C89" w14:textId="1656C1F1" w:rsidR="00EA06AE" w:rsidRPr="00E9170B" w:rsidRDefault="00EA06AE" w:rsidP="00EA06AE">
            <w:pPr>
              <w:jc w:val="right"/>
              <w:rPr>
                <w:sz w:val="19"/>
                <w:szCs w:val="19"/>
                <w:lang w:val="en-CA" w:eastAsia="en-CA"/>
              </w:rPr>
            </w:pPr>
            <w:r w:rsidRPr="00E9170B">
              <w:rPr>
                <w:sz w:val="19"/>
                <w:szCs w:val="19"/>
                <w:lang w:val="en-CA" w:eastAsia="en-CA"/>
              </w:rPr>
              <w:t>23</w:t>
            </w:r>
            <w:r w:rsidR="00E9170B">
              <w:rPr>
                <w:sz w:val="19"/>
                <w:szCs w:val="19"/>
                <w:lang w:val="en-CA" w:eastAsia="en-CA"/>
              </w:rPr>
              <w:t> </w:t>
            </w:r>
            <w:r w:rsidRPr="00E9170B">
              <w:rPr>
                <w:sz w:val="19"/>
                <w:szCs w:val="19"/>
                <w:lang w:val="en-CA" w:eastAsia="en-CA"/>
              </w:rPr>
              <w:t>730</w:t>
            </w:r>
          </w:p>
        </w:tc>
        <w:tc>
          <w:tcPr>
            <w:tcW w:w="3373" w:type="dxa"/>
          </w:tcPr>
          <w:p w14:paraId="7977931B" w14:textId="3F0F5A55" w:rsidR="00EA06AE" w:rsidRPr="00AF592C" w:rsidRDefault="000008EB" w:rsidP="00E9170B">
            <w:pPr>
              <w:jc w:val="left"/>
              <w:rPr>
                <w:sz w:val="19"/>
                <w:szCs w:val="19"/>
                <w:lang w:val="fr-CA" w:eastAsia="en-CA"/>
              </w:rPr>
            </w:pPr>
            <w:r w:rsidRPr="00E9170B">
              <w:rPr>
                <w:sz w:val="19"/>
                <w:szCs w:val="19"/>
                <w:lang w:val="fr-FR" w:eastAsia="en-CA"/>
              </w:rPr>
              <w:t>Décisions/approbations du gouvernement/changements au sein de l</w:t>
            </w:r>
            <w:r w:rsidR="0048249F">
              <w:rPr>
                <w:sz w:val="19"/>
                <w:szCs w:val="19"/>
                <w:lang w:val="fr-FR" w:eastAsia="en-CA"/>
              </w:rPr>
              <w:t>’</w:t>
            </w:r>
            <w:r w:rsidRPr="00E9170B">
              <w:rPr>
                <w:sz w:val="19"/>
                <w:szCs w:val="19"/>
                <w:lang w:val="fr-FR" w:eastAsia="en-CA"/>
              </w:rPr>
              <w:t xml:space="preserve">UNO/changements structurels/ </w:t>
            </w:r>
            <w:r w:rsidR="00EF5F07" w:rsidRPr="00E9170B">
              <w:rPr>
                <w:sz w:val="19"/>
                <w:szCs w:val="19"/>
                <w:lang w:val="fr-FR" w:eastAsia="en-CA"/>
              </w:rPr>
              <w:t>perturbations dues</w:t>
            </w:r>
            <w:r w:rsidRPr="00E9170B">
              <w:rPr>
                <w:sz w:val="19"/>
                <w:szCs w:val="19"/>
                <w:lang w:val="fr-FR" w:eastAsia="en-CA"/>
              </w:rPr>
              <w:t xml:space="preserve"> à la pandémie de Covid-19</w:t>
            </w:r>
            <w:r w:rsidR="00A21B07">
              <w:rPr>
                <w:sz w:val="19"/>
                <w:szCs w:val="19"/>
                <w:lang w:val="fr-FR" w:eastAsia="en-CA"/>
              </w:rPr>
              <w:t>/</w:t>
            </w:r>
            <w:r w:rsidRPr="00E9170B">
              <w:rPr>
                <w:sz w:val="19"/>
                <w:szCs w:val="19"/>
                <w:lang w:val="fr-FR" w:eastAsia="en-CA"/>
              </w:rPr>
              <w:t xml:space="preserve"> </w:t>
            </w:r>
            <w:r w:rsidR="00A21B07">
              <w:rPr>
                <w:sz w:val="19"/>
                <w:szCs w:val="19"/>
                <w:lang w:val="fr-FR" w:eastAsia="en-CA"/>
              </w:rPr>
              <w:t>rapport de vérification manquant</w:t>
            </w:r>
            <w:r w:rsidRPr="00E9170B">
              <w:rPr>
                <w:sz w:val="19"/>
                <w:szCs w:val="19"/>
                <w:lang w:val="fr-FR" w:eastAsia="en-CA"/>
              </w:rPr>
              <w:t>/</w:t>
            </w:r>
            <w:r w:rsidR="00994EEC" w:rsidRPr="00E9170B">
              <w:rPr>
                <w:sz w:val="19"/>
                <w:szCs w:val="19"/>
                <w:lang w:val="fr-FR" w:eastAsia="en-CA"/>
              </w:rPr>
              <w:t>suffisamment de fonds approuvés provenant de la tranche précédente</w:t>
            </w:r>
            <w:r w:rsidRPr="00E9170B">
              <w:rPr>
                <w:sz w:val="19"/>
                <w:szCs w:val="19"/>
                <w:lang w:val="fr-FR" w:eastAsia="en-CA"/>
              </w:rPr>
              <w:t>/seuil de décaissement de 20 pour cent</w:t>
            </w:r>
          </w:p>
        </w:tc>
        <w:tc>
          <w:tcPr>
            <w:tcW w:w="5812" w:type="dxa"/>
          </w:tcPr>
          <w:p w14:paraId="7B535F14" w14:textId="148CD7B5" w:rsidR="00EA06AE" w:rsidRPr="00AF592C" w:rsidRDefault="000008EB" w:rsidP="00E352F6">
            <w:pPr>
              <w:jc w:val="left"/>
              <w:rPr>
                <w:sz w:val="19"/>
                <w:szCs w:val="19"/>
                <w:lang w:val="fr-CA"/>
              </w:rPr>
            </w:pPr>
            <w:r w:rsidRPr="00E9170B">
              <w:rPr>
                <w:sz w:val="19"/>
                <w:szCs w:val="19"/>
                <w:lang w:val="fr-FR"/>
              </w:rPr>
              <w:t>Prendre note des retards dus aux changements structurels au sein du gouvernement et de l</w:t>
            </w:r>
            <w:r w:rsidR="0048249F">
              <w:rPr>
                <w:sz w:val="19"/>
                <w:szCs w:val="19"/>
                <w:lang w:val="fr-FR"/>
              </w:rPr>
              <w:t>’</w:t>
            </w:r>
            <w:r w:rsidRPr="00E9170B">
              <w:rPr>
                <w:sz w:val="19"/>
                <w:szCs w:val="19"/>
                <w:lang w:val="fr-FR"/>
              </w:rPr>
              <w:t>UNO</w:t>
            </w:r>
            <w:r w:rsidR="007C127E" w:rsidRPr="00E9170B">
              <w:rPr>
                <w:sz w:val="19"/>
                <w:szCs w:val="19"/>
                <w:lang w:val="fr-FR"/>
              </w:rPr>
              <w:t>,</w:t>
            </w:r>
            <w:r w:rsidRPr="00E9170B">
              <w:rPr>
                <w:sz w:val="19"/>
                <w:szCs w:val="19"/>
                <w:lang w:val="fr-FR"/>
              </w:rPr>
              <w:t xml:space="preserve"> du fait que la vérification obligatoire des objectifs de consommation de HCFC n</w:t>
            </w:r>
            <w:r w:rsidR="0048249F">
              <w:rPr>
                <w:sz w:val="19"/>
                <w:szCs w:val="19"/>
                <w:lang w:val="fr-FR"/>
              </w:rPr>
              <w:t>’</w:t>
            </w:r>
            <w:r w:rsidRPr="00E9170B">
              <w:rPr>
                <w:sz w:val="19"/>
                <w:szCs w:val="19"/>
                <w:lang w:val="fr-FR"/>
              </w:rPr>
              <w:t>a pas été effectuée</w:t>
            </w:r>
            <w:r w:rsidR="00EF5F07" w:rsidRPr="00E9170B">
              <w:rPr>
                <w:sz w:val="19"/>
                <w:szCs w:val="19"/>
                <w:lang w:val="fr-FR"/>
              </w:rPr>
              <w:t xml:space="preserve">, </w:t>
            </w:r>
            <w:r w:rsidR="007C127E" w:rsidRPr="00E9170B">
              <w:rPr>
                <w:sz w:val="19"/>
                <w:szCs w:val="19"/>
                <w:lang w:val="fr-FR"/>
              </w:rPr>
              <w:t xml:space="preserve">et </w:t>
            </w:r>
            <w:r w:rsidR="00EF5F07" w:rsidRPr="00E9170B">
              <w:rPr>
                <w:sz w:val="19"/>
                <w:szCs w:val="19"/>
                <w:lang w:val="fr-FR"/>
              </w:rPr>
              <w:t>du fait que</w:t>
            </w:r>
            <w:r w:rsidRPr="00E9170B">
              <w:rPr>
                <w:sz w:val="19"/>
                <w:szCs w:val="19"/>
                <w:lang w:val="fr-FR"/>
              </w:rPr>
              <w:t xml:space="preserve"> le taux de décaissement global de la deuxième tranche (2016) de phase I du PGEH se situait au-dessous du seuil de décaissement de 20 pour cent, et inviter instamment le gouvernement de la Grenade à coopérer avec le PNUE pour mener à bien la vérification afin que la troisième tranche (2020) de la phase I du PGEH puisse être soumise lors de la 88</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 2020, étant entendu que le seuil de décaissement de 20 pour cent pour le financement de la tranche précédente a été atteint.</w:t>
            </w:r>
          </w:p>
        </w:tc>
      </w:tr>
      <w:tr w:rsidR="00F91E4F" w:rsidRPr="00B67439" w14:paraId="00CA1025" w14:textId="77777777" w:rsidTr="00785A57">
        <w:trPr>
          <w:trHeight w:val="677"/>
        </w:trPr>
        <w:tc>
          <w:tcPr>
            <w:tcW w:w="1560" w:type="dxa"/>
          </w:tcPr>
          <w:p w14:paraId="627F7D63" w14:textId="6BABD30B" w:rsidR="006A59EE" w:rsidRPr="00E9170B" w:rsidRDefault="0048249F" w:rsidP="00E352F6">
            <w:pPr>
              <w:ind w:right="-131"/>
              <w:jc w:val="left"/>
              <w:rPr>
                <w:sz w:val="19"/>
                <w:szCs w:val="19"/>
                <w:lang w:val="en-CA" w:eastAsia="en-CA"/>
              </w:rPr>
            </w:pPr>
            <w:r w:rsidRPr="00E9170B">
              <w:rPr>
                <w:sz w:val="19"/>
                <w:szCs w:val="19"/>
                <w:lang w:val="fr-FR" w:eastAsia="en-CA"/>
              </w:rPr>
              <w:t>Haïti</w:t>
            </w:r>
            <w:r w:rsidR="000008EB" w:rsidRPr="00E9170B">
              <w:rPr>
                <w:sz w:val="19"/>
                <w:szCs w:val="19"/>
                <w:lang w:val="fr-FR" w:eastAsia="en-CA"/>
              </w:rPr>
              <w:t xml:space="preserve"> (Phase I)</w:t>
            </w:r>
          </w:p>
        </w:tc>
        <w:tc>
          <w:tcPr>
            <w:tcW w:w="1276" w:type="dxa"/>
          </w:tcPr>
          <w:p w14:paraId="6A619E02" w14:textId="7C27E21E" w:rsidR="006A59EE" w:rsidRPr="00E9170B" w:rsidRDefault="000008EB" w:rsidP="006A59EE">
            <w:pPr>
              <w:jc w:val="left"/>
              <w:rPr>
                <w:sz w:val="19"/>
                <w:szCs w:val="19"/>
                <w:lang w:val="en-CA" w:eastAsia="en-CA"/>
              </w:rPr>
            </w:pPr>
            <w:r w:rsidRPr="00E9170B">
              <w:rPr>
                <w:sz w:val="19"/>
                <w:szCs w:val="19"/>
                <w:lang w:val="fr-FR" w:eastAsia="en-CA"/>
              </w:rPr>
              <w:t>PNUE</w:t>
            </w:r>
          </w:p>
          <w:p w14:paraId="4FFA2BAF" w14:textId="77777777" w:rsidR="006A59EE" w:rsidRPr="00E9170B" w:rsidRDefault="006A59EE" w:rsidP="006A59EE">
            <w:pPr>
              <w:jc w:val="left"/>
              <w:rPr>
                <w:sz w:val="19"/>
                <w:szCs w:val="19"/>
                <w:lang w:val="en-CA" w:eastAsia="en-CA"/>
              </w:rPr>
            </w:pPr>
          </w:p>
        </w:tc>
        <w:tc>
          <w:tcPr>
            <w:tcW w:w="879" w:type="dxa"/>
          </w:tcPr>
          <w:p w14:paraId="4B6AC7EB" w14:textId="3DF7A60B" w:rsidR="006A59EE" w:rsidRPr="00E9170B" w:rsidRDefault="006A59EE" w:rsidP="006A59EE">
            <w:pPr>
              <w:jc w:val="center"/>
              <w:rPr>
                <w:sz w:val="19"/>
                <w:szCs w:val="19"/>
                <w:lang w:val="en-CA" w:eastAsia="en-CA"/>
              </w:rPr>
            </w:pPr>
            <w:r w:rsidRPr="00E9170B">
              <w:rPr>
                <w:sz w:val="19"/>
                <w:szCs w:val="19"/>
                <w:lang w:val="en-CA" w:eastAsia="en-CA"/>
              </w:rPr>
              <w:t>2018</w:t>
            </w:r>
          </w:p>
        </w:tc>
        <w:tc>
          <w:tcPr>
            <w:tcW w:w="1275" w:type="dxa"/>
          </w:tcPr>
          <w:p w14:paraId="5A845910" w14:textId="53EB2BDD" w:rsidR="006A59EE" w:rsidRPr="00E9170B" w:rsidRDefault="006A59EE" w:rsidP="006A59EE">
            <w:pPr>
              <w:jc w:val="right"/>
              <w:rPr>
                <w:sz w:val="19"/>
                <w:szCs w:val="19"/>
                <w:lang w:val="en-CA" w:eastAsia="en-CA"/>
              </w:rPr>
            </w:pPr>
            <w:r w:rsidRPr="00E9170B">
              <w:rPr>
                <w:sz w:val="19"/>
                <w:szCs w:val="19"/>
                <w:lang w:val="en-CA" w:eastAsia="en-CA"/>
              </w:rPr>
              <w:t>95</w:t>
            </w:r>
            <w:r w:rsidR="00E9170B">
              <w:rPr>
                <w:sz w:val="19"/>
                <w:szCs w:val="19"/>
                <w:lang w:val="en-CA" w:eastAsia="en-CA"/>
              </w:rPr>
              <w:t> </w:t>
            </w:r>
            <w:r w:rsidRPr="00E9170B">
              <w:rPr>
                <w:sz w:val="19"/>
                <w:szCs w:val="19"/>
                <w:lang w:val="en-CA" w:eastAsia="en-CA"/>
              </w:rPr>
              <w:t>916</w:t>
            </w:r>
          </w:p>
        </w:tc>
        <w:tc>
          <w:tcPr>
            <w:tcW w:w="3373" w:type="dxa"/>
          </w:tcPr>
          <w:p w14:paraId="22599AB9" w14:textId="6A514688" w:rsidR="006A59EE" w:rsidRPr="00AF592C" w:rsidRDefault="000008EB" w:rsidP="00E9170B">
            <w:pPr>
              <w:jc w:val="left"/>
              <w:rPr>
                <w:sz w:val="19"/>
                <w:szCs w:val="19"/>
                <w:lang w:val="fr-CA" w:eastAsia="en-CA"/>
              </w:rPr>
            </w:pPr>
            <w:r w:rsidRPr="00E9170B">
              <w:rPr>
                <w:sz w:val="19"/>
                <w:szCs w:val="19"/>
                <w:lang w:val="fr-FR"/>
              </w:rPr>
              <w:t>Décisions/approbations du gouvernement/changements au sein de l</w:t>
            </w:r>
            <w:r w:rsidR="0048249F">
              <w:rPr>
                <w:sz w:val="19"/>
                <w:szCs w:val="19"/>
                <w:lang w:val="fr-FR"/>
              </w:rPr>
              <w:t>’</w:t>
            </w:r>
            <w:r w:rsidRPr="00E9170B">
              <w:rPr>
                <w:sz w:val="19"/>
                <w:szCs w:val="19"/>
                <w:lang w:val="fr-FR"/>
              </w:rPr>
              <w:t>UNO/changements structurels</w:t>
            </w:r>
            <w:r w:rsidR="00994EEC" w:rsidRPr="00E9170B">
              <w:rPr>
                <w:sz w:val="19"/>
                <w:szCs w:val="19"/>
                <w:lang w:val="fr-FR"/>
              </w:rPr>
              <w:t>/</w:t>
            </w:r>
            <w:r w:rsidR="00994EEC" w:rsidRPr="00E9170B">
              <w:rPr>
                <w:sz w:val="19"/>
                <w:szCs w:val="19"/>
                <w:lang w:val="fr-FR" w:eastAsia="en-CA"/>
              </w:rPr>
              <w:t>suffisamment de fonds approuvés provenant de la tranche précédente</w:t>
            </w:r>
            <w:r w:rsidRPr="00E9170B">
              <w:rPr>
                <w:sz w:val="19"/>
                <w:szCs w:val="19"/>
                <w:lang w:val="fr-FR"/>
              </w:rPr>
              <w:t>/seuil de décaissement de 20 pour cent</w:t>
            </w:r>
            <w:r w:rsidR="006A59EE" w:rsidRPr="00AF592C">
              <w:rPr>
                <w:sz w:val="19"/>
                <w:szCs w:val="19"/>
                <w:lang w:val="fr-CA"/>
              </w:rPr>
              <w:t xml:space="preserve"> </w:t>
            </w:r>
          </w:p>
        </w:tc>
        <w:tc>
          <w:tcPr>
            <w:tcW w:w="5812" w:type="dxa"/>
          </w:tcPr>
          <w:p w14:paraId="629171DD" w14:textId="54878F49" w:rsidR="006A59EE" w:rsidRPr="00AF592C" w:rsidRDefault="000008EB" w:rsidP="00A21B07">
            <w:pPr>
              <w:jc w:val="left"/>
              <w:rPr>
                <w:sz w:val="19"/>
                <w:szCs w:val="19"/>
                <w:lang w:val="fr-CA"/>
              </w:rPr>
            </w:pPr>
            <w:r w:rsidRPr="00E9170B">
              <w:rPr>
                <w:sz w:val="19"/>
                <w:szCs w:val="19"/>
                <w:lang w:val="fr-FR"/>
              </w:rPr>
              <w:t>Prendre note des retards dus aux changements structurels au sein du gouvernement et de l</w:t>
            </w:r>
            <w:r w:rsidR="0048249F">
              <w:rPr>
                <w:sz w:val="19"/>
                <w:szCs w:val="19"/>
                <w:lang w:val="fr-FR"/>
              </w:rPr>
              <w:t>’</w:t>
            </w:r>
            <w:r w:rsidRPr="00E9170B">
              <w:rPr>
                <w:sz w:val="19"/>
                <w:szCs w:val="19"/>
                <w:lang w:val="fr-FR"/>
              </w:rPr>
              <w:t>UNO</w:t>
            </w:r>
            <w:r w:rsidR="007C127E" w:rsidRPr="00E9170B">
              <w:rPr>
                <w:sz w:val="19"/>
                <w:szCs w:val="19"/>
                <w:lang w:val="fr-FR"/>
              </w:rPr>
              <w:t xml:space="preserve"> et</w:t>
            </w:r>
            <w:r w:rsidRPr="00E9170B">
              <w:rPr>
                <w:sz w:val="19"/>
                <w:szCs w:val="19"/>
                <w:lang w:val="fr-FR"/>
              </w:rPr>
              <w:t xml:space="preserve"> </w:t>
            </w:r>
            <w:r w:rsidR="00EF5F07" w:rsidRPr="00E9170B">
              <w:rPr>
                <w:sz w:val="19"/>
                <w:szCs w:val="19"/>
                <w:lang w:val="fr-FR"/>
              </w:rPr>
              <w:t>du fait que le</w:t>
            </w:r>
            <w:r w:rsidRPr="00E9170B">
              <w:rPr>
                <w:sz w:val="19"/>
                <w:szCs w:val="19"/>
                <w:lang w:val="fr-FR"/>
              </w:rPr>
              <w:t xml:space="preserve"> taux de décaissement global de la deuxième tranche (2014) de la phase I du PGEH se situait au-dessous du seuil de 20 pour cent</w:t>
            </w:r>
            <w:r w:rsidR="007C127E" w:rsidRPr="00E9170B">
              <w:rPr>
                <w:sz w:val="19"/>
                <w:szCs w:val="19"/>
                <w:lang w:val="fr-FR"/>
              </w:rPr>
              <w:t>,</w:t>
            </w:r>
            <w:r w:rsidRPr="00E9170B">
              <w:rPr>
                <w:sz w:val="19"/>
                <w:szCs w:val="19"/>
                <w:lang w:val="fr-FR"/>
              </w:rPr>
              <w:t xml:space="preserve"> et inviter instamment le gouvernement d</w:t>
            </w:r>
            <w:r w:rsidR="00A21B07">
              <w:rPr>
                <w:sz w:val="19"/>
                <w:szCs w:val="19"/>
                <w:lang w:val="fr-FR"/>
              </w:rPr>
              <w:t>’</w:t>
            </w:r>
            <w:r w:rsidRPr="00E9170B">
              <w:rPr>
                <w:sz w:val="19"/>
                <w:szCs w:val="19"/>
                <w:lang w:val="fr-FR"/>
              </w:rPr>
              <w:t>Haïti à coopérer avec le PNUE afin que la troisième tranche (2018) puisse être soumise à la 88</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w:t>
            </w:r>
            <w:r w:rsidRPr="00E9170B">
              <w:rPr>
                <w:sz w:val="19"/>
                <w:szCs w:val="19"/>
                <w:lang w:val="fr-FR"/>
              </w:rPr>
              <w:t xml:space="preserve"> prendre en compte la réaffectation de la tranche de 2018 et des tranches suivantes, étant entendu que le seuil de décaissement de 20 pour cent pour le financement de la tranche précédente a été atteint.</w:t>
            </w:r>
          </w:p>
        </w:tc>
      </w:tr>
      <w:tr w:rsidR="00F91E4F" w:rsidRPr="00B67439" w14:paraId="14EC56F7" w14:textId="77777777" w:rsidTr="001136F4">
        <w:trPr>
          <w:trHeight w:val="613"/>
        </w:trPr>
        <w:tc>
          <w:tcPr>
            <w:tcW w:w="1560" w:type="dxa"/>
            <w:vMerge w:val="restart"/>
            <w:hideMark/>
          </w:tcPr>
          <w:p w14:paraId="2A1FE3D4" w14:textId="0697FCD5" w:rsidR="001136F4" w:rsidRPr="00E9170B" w:rsidRDefault="007C127E" w:rsidP="00E352F6">
            <w:pPr>
              <w:jc w:val="right"/>
              <w:rPr>
                <w:sz w:val="19"/>
                <w:szCs w:val="19"/>
                <w:lang w:val="en-CA" w:eastAsia="en-CA"/>
              </w:rPr>
            </w:pPr>
            <w:r w:rsidRPr="00E9170B">
              <w:rPr>
                <w:sz w:val="19"/>
                <w:szCs w:val="19"/>
                <w:lang w:val="fr-FR" w:eastAsia="en-CA"/>
              </w:rPr>
              <w:t>Koweït (Phase I)</w:t>
            </w:r>
          </w:p>
        </w:tc>
        <w:tc>
          <w:tcPr>
            <w:tcW w:w="1276" w:type="dxa"/>
            <w:hideMark/>
          </w:tcPr>
          <w:p w14:paraId="2473FCC1" w14:textId="7F045311" w:rsidR="001136F4" w:rsidRPr="00E9170B" w:rsidRDefault="007C127E" w:rsidP="00E352F6">
            <w:pPr>
              <w:jc w:val="left"/>
              <w:rPr>
                <w:sz w:val="19"/>
                <w:szCs w:val="19"/>
                <w:lang w:val="en-CA" w:eastAsia="en-CA"/>
              </w:rPr>
            </w:pPr>
            <w:r w:rsidRPr="00E9170B">
              <w:rPr>
                <w:sz w:val="19"/>
                <w:szCs w:val="19"/>
                <w:lang w:val="fr-FR" w:eastAsia="en-CA"/>
              </w:rPr>
              <w:t>PNUE</w:t>
            </w:r>
          </w:p>
        </w:tc>
        <w:tc>
          <w:tcPr>
            <w:tcW w:w="879" w:type="dxa"/>
            <w:hideMark/>
          </w:tcPr>
          <w:p w14:paraId="10B44F8F" w14:textId="1411F7A3" w:rsidR="001136F4" w:rsidRPr="00E9170B" w:rsidRDefault="001136F4" w:rsidP="001136F4">
            <w:pPr>
              <w:jc w:val="center"/>
              <w:rPr>
                <w:sz w:val="19"/>
                <w:szCs w:val="19"/>
                <w:lang w:val="en-CA" w:eastAsia="en-CA"/>
              </w:rPr>
            </w:pPr>
            <w:r w:rsidRPr="00E9170B">
              <w:rPr>
                <w:sz w:val="19"/>
                <w:szCs w:val="19"/>
                <w:lang w:val="en-CA" w:eastAsia="en-CA"/>
              </w:rPr>
              <w:t>2020</w:t>
            </w:r>
          </w:p>
        </w:tc>
        <w:tc>
          <w:tcPr>
            <w:tcW w:w="1275" w:type="dxa"/>
            <w:hideMark/>
          </w:tcPr>
          <w:p w14:paraId="705CD373" w14:textId="67B018FF" w:rsidR="001136F4" w:rsidRPr="00E9170B" w:rsidRDefault="001136F4" w:rsidP="001136F4">
            <w:pPr>
              <w:jc w:val="right"/>
              <w:rPr>
                <w:sz w:val="19"/>
                <w:szCs w:val="19"/>
                <w:lang w:val="en-CA" w:eastAsia="en-CA"/>
              </w:rPr>
            </w:pPr>
            <w:r w:rsidRPr="00E9170B">
              <w:rPr>
                <w:sz w:val="19"/>
                <w:szCs w:val="19"/>
                <w:lang w:val="en-CA" w:eastAsia="en-CA"/>
              </w:rPr>
              <w:t>480</w:t>
            </w:r>
            <w:r w:rsidR="00E9170B">
              <w:rPr>
                <w:sz w:val="19"/>
                <w:szCs w:val="19"/>
                <w:lang w:val="en-CA" w:eastAsia="en-CA"/>
              </w:rPr>
              <w:t> </w:t>
            </w:r>
            <w:r w:rsidRPr="00E9170B">
              <w:rPr>
                <w:sz w:val="19"/>
                <w:szCs w:val="19"/>
                <w:lang w:val="en-CA" w:eastAsia="en-CA"/>
              </w:rPr>
              <w:t>303</w:t>
            </w:r>
          </w:p>
        </w:tc>
        <w:tc>
          <w:tcPr>
            <w:tcW w:w="3373" w:type="dxa"/>
            <w:hideMark/>
          </w:tcPr>
          <w:p w14:paraId="3428CCF4" w14:textId="511245D4" w:rsidR="001136F4" w:rsidRPr="00AF592C" w:rsidRDefault="007C127E" w:rsidP="00E9170B">
            <w:pPr>
              <w:jc w:val="left"/>
              <w:rPr>
                <w:sz w:val="19"/>
                <w:szCs w:val="19"/>
                <w:lang w:val="fr-CA"/>
              </w:rPr>
            </w:pPr>
            <w:r w:rsidRPr="00E9170B">
              <w:rPr>
                <w:sz w:val="19"/>
                <w:szCs w:val="19"/>
                <w:lang w:val="fr-FR"/>
              </w:rPr>
              <w:t>Perturbations dues à la pandémie de Covid-19/signature de l</w:t>
            </w:r>
            <w:r w:rsidR="0048249F">
              <w:rPr>
                <w:sz w:val="19"/>
                <w:szCs w:val="19"/>
                <w:lang w:val="fr-FR"/>
              </w:rPr>
              <w:t>’</w:t>
            </w:r>
            <w:r w:rsidRPr="00E9170B">
              <w:rPr>
                <w:sz w:val="19"/>
                <w:szCs w:val="19"/>
                <w:lang w:val="fr-FR"/>
              </w:rPr>
              <w:t xml:space="preserve">accord </w:t>
            </w:r>
            <w:r w:rsidR="00A21B07">
              <w:rPr>
                <w:sz w:val="19"/>
                <w:szCs w:val="19"/>
                <w:lang w:val="fr-FR"/>
              </w:rPr>
              <w:t xml:space="preserve">et/ou du document </w:t>
            </w:r>
            <w:r w:rsidRPr="00E9170B">
              <w:rPr>
                <w:sz w:val="19"/>
                <w:szCs w:val="19"/>
                <w:lang w:val="fr-FR"/>
              </w:rPr>
              <w:t xml:space="preserve"> de projet/seuil de décaissement de 20 pour cent</w:t>
            </w:r>
            <w:r w:rsidR="001136F4" w:rsidRPr="00AF592C">
              <w:rPr>
                <w:sz w:val="19"/>
                <w:szCs w:val="19"/>
                <w:lang w:val="fr-CA"/>
              </w:rPr>
              <w:t xml:space="preserve"> </w:t>
            </w:r>
          </w:p>
        </w:tc>
        <w:tc>
          <w:tcPr>
            <w:tcW w:w="5812" w:type="dxa"/>
            <w:vMerge w:val="restart"/>
          </w:tcPr>
          <w:p w14:paraId="1C4B6EF4" w14:textId="1C97C9DB" w:rsidR="001136F4" w:rsidRPr="00AF592C" w:rsidRDefault="007C127E" w:rsidP="00E352F6">
            <w:pPr>
              <w:jc w:val="left"/>
              <w:rPr>
                <w:sz w:val="19"/>
                <w:szCs w:val="19"/>
                <w:lang w:val="fr-CA" w:eastAsia="en-CA"/>
              </w:rPr>
            </w:pPr>
            <w:r w:rsidRPr="00E9170B">
              <w:rPr>
                <w:sz w:val="19"/>
                <w:szCs w:val="19"/>
                <w:lang w:val="fr-FR"/>
              </w:rPr>
              <w:t>Prendre note des retards dans la signature de l</w:t>
            </w:r>
            <w:r w:rsidR="0048249F">
              <w:rPr>
                <w:sz w:val="19"/>
                <w:szCs w:val="19"/>
                <w:lang w:val="fr-FR"/>
              </w:rPr>
              <w:t>’</w:t>
            </w:r>
            <w:r w:rsidRPr="00E9170B">
              <w:rPr>
                <w:sz w:val="19"/>
                <w:szCs w:val="19"/>
                <w:lang w:val="fr-FR"/>
              </w:rPr>
              <w:t>accord et du fait que le taux de décaissement global de la troisième tranche (2019) de phase I du PGEH se situait au-dessous du seuil de décaissement de 20 pour cent, et inviter instamment le gouvernement du Koweït à coopérer avec le PNUE pour accélérer la signature de l</w:t>
            </w:r>
            <w:r w:rsidR="0048249F">
              <w:rPr>
                <w:sz w:val="19"/>
                <w:szCs w:val="19"/>
                <w:lang w:val="fr-FR"/>
              </w:rPr>
              <w:t>’</w:t>
            </w:r>
            <w:r w:rsidRPr="00E9170B">
              <w:rPr>
                <w:sz w:val="19"/>
                <w:szCs w:val="19"/>
                <w:lang w:val="fr-FR"/>
              </w:rPr>
              <w:t>accord, et à coopérer également avec le PNUE et l</w:t>
            </w:r>
            <w:r w:rsidR="0048249F">
              <w:rPr>
                <w:sz w:val="19"/>
                <w:szCs w:val="19"/>
                <w:lang w:val="fr-FR"/>
              </w:rPr>
              <w:t>’</w:t>
            </w:r>
            <w:r w:rsidRPr="00E9170B">
              <w:rPr>
                <w:sz w:val="19"/>
                <w:szCs w:val="19"/>
                <w:lang w:val="fr-FR" w:eastAsia="en-CA"/>
              </w:rPr>
              <w:t>ONUDI</w:t>
            </w:r>
            <w:r w:rsidRPr="00E9170B">
              <w:rPr>
                <w:sz w:val="19"/>
                <w:szCs w:val="19"/>
                <w:lang w:val="fr-FR"/>
              </w:rPr>
              <w:t xml:space="preserve"> afin que la quatrième tranche (2020) de la phase I puisse être soumise lors de la 88</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w:t>
            </w:r>
            <w:r w:rsidRPr="00E9170B">
              <w:rPr>
                <w:sz w:val="19"/>
                <w:szCs w:val="19"/>
                <w:lang w:val="fr-FR"/>
              </w:rPr>
              <w:lastRenderedPageBreak/>
              <w:t xml:space="preserve">révisé </w:t>
            </w:r>
            <w:r w:rsidR="00607056" w:rsidRPr="00E9170B">
              <w:rPr>
                <w:sz w:val="19"/>
                <w:szCs w:val="19"/>
                <w:lang w:val="fr-FR"/>
              </w:rPr>
              <w:t>pour prendre en compte</w:t>
            </w:r>
            <w:r w:rsidRPr="00E9170B">
              <w:rPr>
                <w:sz w:val="19"/>
                <w:szCs w:val="19"/>
                <w:lang w:val="fr-FR"/>
              </w:rPr>
              <w:t xml:space="preserve"> la réaffectation de la tranche de 2020, étant entendu que le seuil de décaissement de 20 pour cent pour le financement de la tranche précédente a été atteint.</w:t>
            </w:r>
          </w:p>
        </w:tc>
      </w:tr>
      <w:tr w:rsidR="00F91E4F" w:rsidRPr="00B67439" w14:paraId="3A1F9377" w14:textId="77777777" w:rsidTr="00785A57">
        <w:trPr>
          <w:trHeight w:val="423"/>
        </w:trPr>
        <w:tc>
          <w:tcPr>
            <w:tcW w:w="1560" w:type="dxa"/>
            <w:vMerge/>
            <w:hideMark/>
          </w:tcPr>
          <w:p w14:paraId="49D110C8" w14:textId="77777777" w:rsidR="001136F4" w:rsidRPr="00AF592C" w:rsidRDefault="001136F4" w:rsidP="001136F4">
            <w:pPr>
              <w:jc w:val="left"/>
              <w:rPr>
                <w:sz w:val="19"/>
                <w:szCs w:val="19"/>
                <w:lang w:val="fr-CA" w:eastAsia="en-CA"/>
              </w:rPr>
            </w:pPr>
          </w:p>
        </w:tc>
        <w:tc>
          <w:tcPr>
            <w:tcW w:w="1276" w:type="dxa"/>
            <w:hideMark/>
          </w:tcPr>
          <w:p w14:paraId="747D9455" w14:textId="0608AE57" w:rsidR="001136F4" w:rsidRPr="00E9170B" w:rsidRDefault="007C127E" w:rsidP="00E352F6">
            <w:pPr>
              <w:jc w:val="left"/>
              <w:rPr>
                <w:sz w:val="19"/>
                <w:szCs w:val="19"/>
                <w:lang w:val="en-CA" w:eastAsia="en-CA"/>
              </w:rPr>
            </w:pPr>
            <w:r w:rsidRPr="00E9170B">
              <w:rPr>
                <w:sz w:val="19"/>
                <w:szCs w:val="19"/>
                <w:lang w:val="fr-FR" w:eastAsia="en-CA"/>
              </w:rPr>
              <w:t>ONUDI</w:t>
            </w:r>
          </w:p>
        </w:tc>
        <w:tc>
          <w:tcPr>
            <w:tcW w:w="879" w:type="dxa"/>
            <w:hideMark/>
          </w:tcPr>
          <w:p w14:paraId="10B06C41" w14:textId="72CC0B9F" w:rsidR="001136F4" w:rsidRPr="00E9170B" w:rsidRDefault="001136F4" w:rsidP="001136F4">
            <w:pPr>
              <w:jc w:val="center"/>
              <w:rPr>
                <w:sz w:val="19"/>
                <w:szCs w:val="19"/>
                <w:lang w:val="en-CA" w:eastAsia="en-CA"/>
              </w:rPr>
            </w:pPr>
            <w:r w:rsidRPr="00E9170B">
              <w:rPr>
                <w:sz w:val="19"/>
                <w:szCs w:val="19"/>
                <w:lang w:val="en-CA" w:eastAsia="en-CA"/>
              </w:rPr>
              <w:t>2020</w:t>
            </w:r>
          </w:p>
        </w:tc>
        <w:tc>
          <w:tcPr>
            <w:tcW w:w="1275" w:type="dxa"/>
            <w:hideMark/>
          </w:tcPr>
          <w:p w14:paraId="5B35B854" w14:textId="69BB004B" w:rsidR="001136F4" w:rsidRPr="00E9170B" w:rsidRDefault="001136F4" w:rsidP="001136F4">
            <w:pPr>
              <w:jc w:val="right"/>
              <w:rPr>
                <w:sz w:val="19"/>
                <w:szCs w:val="19"/>
                <w:lang w:val="en-CA" w:eastAsia="en-CA"/>
              </w:rPr>
            </w:pPr>
            <w:r w:rsidRPr="00E9170B">
              <w:rPr>
                <w:sz w:val="19"/>
                <w:szCs w:val="19"/>
                <w:lang w:val="en-CA" w:eastAsia="en-CA"/>
              </w:rPr>
              <w:t>984</w:t>
            </w:r>
            <w:r w:rsidR="00E9170B">
              <w:rPr>
                <w:sz w:val="19"/>
                <w:szCs w:val="19"/>
                <w:lang w:val="en-CA" w:eastAsia="en-CA"/>
              </w:rPr>
              <w:t> </w:t>
            </w:r>
            <w:r w:rsidRPr="00E9170B">
              <w:rPr>
                <w:sz w:val="19"/>
                <w:szCs w:val="19"/>
                <w:lang w:val="en-CA" w:eastAsia="en-CA"/>
              </w:rPr>
              <w:t>400</w:t>
            </w:r>
          </w:p>
        </w:tc>
        <w:tc>
          <w:tcPr>
            <w:tcW w:w="3373" w:type="dxa"/>
          </w:tcPr>
          <w:p w14:paraId="36ED49A1" w14:textId="686FEBEA" w:rsidR="001136F4" w:rsidRPr="00AF592C" w:rsidRDefault="007C127E" w:rsidP="00E9170B">
            <w:pPr>
              <w:jc w:val="left"/>
              <w:rPr>
                <w:sz w:val="19"/>
                <w:szCs w:val="19"/>
                <w:lang w:val="fr-CA"/>
              </w:rPr>
            </w:pPr>
            <w:r w:rsidRPr="00E9170B">
              <w:rPr>
                <w:sz w:val="19"/>
                <w:szCs w:val="19"/>
                <w:lang w:val="fr-FR"/>
              </w:rPr>
              <w:t xml:space="preserve">Perturbations dues à la pandémie de Covid-19/difficultés internes ou externes/seuil de décaissement de 20 </w:t>
            </w:r>
            <w:r w:rsidRPr="00E9170B">
              <w:rPr>
                <w:sz w:val="19"/>
                <w:szCs w:val="19"/>
                <w:lang w:val="fr-FR"/>
              </w:rPr>
              <w:lastRenderedPageBreak/>
              <w:t>pour cent</w:t>
            </w:r>
            <w:r w:rsidR="001136F4" w:rsidRPr="00AF592C">
              <w:rPr>
                <w:sz w:val="19"/>
                <w:szCs w:val="19"/>
                <w:lang w:val="fr-CA"/>
              </w:rPr>
              <w:t xml:space="preserve"> </w:t>
            </w:r>
          </w:p>
        </w:tc>
        <w:tc>
          <w:tcPr>
            <w:tcW w:w="5812" w:type="dxa"/>
            <w:vMerge/>
          </w:tcPr>
          <w:p w14:paraId="482E7A88" w14:textId="77777777" w:rsidR="001136F4" w:rsidRPr="00AF592C" w:rsidRDefault="001136F4" w:rsidP="001136F4">
            <w:pPr>
              <w:jc w:val="left"/>
              <w:rPr>
                <w:sz w:val="19"/>
                <w:szCs w:val="19"/>
                <w:lang w:val="fr-CA" w:eastAsia="en-CA"/>
              </w:rPr>
            </w:pPr>
          </w:p>
        </w:tc>
      </w:tr>
      <w:tr w:rsidR="00F91E4F" w:rsidRPr="00B67439" w14:paraId="1AE06C5F" w14:textId="77777777" w:rsidTr="00CC0145">
        <w:trPr>
          <w:trHeight w:val="329"/>
        </w:trPr>
        <w:tc>
          <w:tcPr>
            <w:tcW w:w="1560" w:type="dxa"/>
            <w:vMerge w:val="restart"/>
            <w:hideMark/>
          </w:tcPr>
          <w:p w14:paraId="33A26811" w14:textId="17BCA4A7" w:rsidR="002B045D" w:rsidRPr="00E9170B" w:rsidRDefault="007C127E" w:rsidP="002B045D">
            <w:pPr>
              <w:jc w:val="left"/>
              <w:rPr>
                <w:sz w:val="19"/>
                <w:szCs w:val="19"/>
                <w:lang w:val="en-CA" w:eastAsia="en-CA"/>
              </w:rPr>
            </w:pPr>
            <w:r w:rsidRPr="00E9170B">
              <w:rPr>
                <w:sz w:val="19"/>
                <w:szCs w:val="19"/>
                <w:lang w:val="fr-FR" w:eastAsia="en-CA"/>
              </w:rPr>
              <w:lastRenderedPageBreak/>
              <w:t>Mali (Phase I)</w:t>
            </w:r>
          </w:p>
          <w:p w14:paraId="787F34FB" w14:textId="77777777" w:rsidR="002B045D" w:rsidRPr="00E9170B" w:rsidRDefault="002B045D" w:rsidP="002B045D">
            <w:pPr>
              <w:jc w:val="left"/>
              <w:rPr>
                <w:sz w:val="19"/>
                <w:szCs w:val="19"/>
                <w:lang w:val="en-CA" w:eastAsia="en-CA"/>
              </w:rPr>
            </w:pPr>
          </w:p>
        </w:tc>
        <w:tc>
          <w:tcPr>
            <w:tcW w:w="1276" w:type="dxa"/>
            <w:hideMark/>
          </w:tcPr>
          <w:p w14:paraId="43207519" w14:textId="335622BC" w:rsidR="002B045D" w:rsidRPr="00E9170B" w:rsidRDefault="007C127E" w:rsidP="00E352F6">
            <w:pPr>
              <w:jc w:val="left"/>
              <w:rPr>
                <w:sz w:val="19"/>
                <w:szCs w:val="19"/>
                <w:lang w:val="en-CA" w:eastAsia="en-CA"/>
              </w:rPr>
            </w:pPr>
            <w:r w:rsidRPr="00E9170B">
              <w:rPr>
                <w:sz w:val="19"/>
                <w:szCs w:val="19"/>
                <w:lang w:val="fr-FR" w:eastAsia="en-CA"/>
              </w:rPr>
              <w:t>PNUD</w:t>
            </w:r>
          </w:p>
        </w:tc>
        <w:tc>
          <w:tcPr>
            <w:tcW w:w="879" w:type="dxa"/>
            <w:hideMark/>
          </w:tcPr>
          <w:p w14:paraId="4F3919EC" w14:textId="09DF4E8A" w:rsidR="002B045D" w:rsidRPr="00E9170B" w:rsidRDefault="002B045D" w:rsidP="002B045D">
            <w:pPr>
              <w:jc w:val="center"/>
              <w:rPr>
                <w:sz w:val="19"/>
                <w:szCs w:val="19"/>
                <w:lang w:val="en-CA" w:eastAsia="en-CA"/>
              </w:rPr>
            </w:pPr>
            <w:r w:rsidRPr="00E9170B">
              <w:rPr>
                <w:sz w:val="19"/>
                <w:szCs w:val="19"/>
                <w:lang w:val="en-CA" w:eastAsia="en-CA"/>
              </w:rPr>
              <w:t>2020</w:t>
            </w:r>
          </w:p>
        </w:tc>
        <w:tc>
          <w:tcPr>
            <w:tcW w:w="1275" w:type="dxa"/>
            <w:hideMark/>
          </w:tcPr>
          <w:p w14:paraId="5CA44468" w14:textId="1B749CFE" w:rsidR="002B045D" w:rsidRPr="00E9170B" w:rsidRDefault="002B045D" w:rsidP="002B045D">
            <w:pPr>
              <w:jc w:val="right"/>
              <w:rPr>
                <w:sz w:val="19"/>
                <w:szCs w:val="19"/>
                <w:lang w:val="en-CA" w:eastAsia="en-CA"/>
              </w:rPr>
            </w:pPr>
            <w:r w:rsidRPr="00E9170B">
              <w:rPr>
                <w:sz w:val="19"/>
                <w:szCs w:val="19"/>
                <w:lang w:val="en-CA" w:eastAsia="en-CA"/>
              </w:rPr>
              <w:t>30</w:t>
            </w:r>
            <w:r w:rsidR="00E9170B">
              <w:rPr>
                <w:sz w:val="19"/>
                <w:szCs w:val="19"/>
                <w:lang w:val="en-CA" w:eastAsia="en-CA"/>
              </w:rPr>
              <w:t> </w:t>
            </w:r>
            <w:r w:rsidRPr="00E9170B">
              <w:rPr>
                <w:sz w:val="19"/>
                <w:szCs w:val="19"/>
                <w:lang w:val="en-CA" w:eastAsia="en-CA"/>
              </w:rPr>
              <w:t>100</w:t>
            </w:r>
          </w:p>
        </w:tc>
        <w:tc>
          <w:tcPr>
            <w:tcW w:w="3373" w:type="dxa"/>
            <w:hideMark/>
          </w:tcPr>
          <w:p w14:paraId="24E1232C" w14:textId="3FA35FD6" w:rsidR="002B045D" w:rsidRPr="00AF592C" w:rsidRDefault="00994EEC" w:rsidP="00E352F6">
            <w:pPr>
              <w:jc w:val="left"/>
              <w:rPr>
                <w:sz w:val="19"/>
                <w:szCs w:val="19"/>
                <w:lang w:val="fr-CA"/>
              </w:rPr>
            </w:pPr>
            <w:r w:rsidRPr="00E9170B">
              <w:rPr>
                <w:sz w:val="19"/>
                <w:szCs w:val="19"/>
                <w:lang w:val="fr-FR" w:eastAsia="en-CA"/>
              </w:rPr>
              <w:t>Perturbations dues à la pandémie de Covid-19</w:t>
            </w:r>
            <w:r w:rsidR="007C127E" w:rsidRPr="00E9170B">
              <w:rPr>
                <w:sz w:val="19"/>
                <w:szCs w:val="19"/>
                <w:lang w:val="fr-FR"/>
              </w:rPr>
              <w:t>/difficultés internes ou externes</w:t>
            </w:r>
          </w:p>
        </w:tc>
        <w:tc>
          <w:tcPr>
            <w:tcW w:w="5812" w:type="dxa"/>
            <w:vMerge w:val="restart"/>
          </w:tcPr>
          <w:p w14:paraId="6C0F1D35" w14:textId="380EF8F2" w:rsidR="002B045D" w:rsidRPr="00AF592C" w:rsidRDefault="007C127E" w:rsidP="00E352F6">
            <w:pPr>
              <w:jc w:val="left"/>
              <w:rPr>
                <w:sz w:val="19"/>
                <w:szCs w:val="19"/>
                <w:lang w:val="fr-CA" w:eastAsia="en-CA"/>
              </w:rPr>
            </w:pPr>
            <w:r w:rsidRPr="00E9170B">
              <w:rPr>
                <w:sz w:val="19"/>
                <w:szCs w:val="19"/>
                <w:lang w:val="fr-FR"/>
              </w:rPr>
              <w:t>Prendre note des retards pris dans la signature de l</w:t>
            </w:r>
            <w:r w:rsidR="0048249F">
              <w:rPr>
                <w:sz w:val="19"/>
                <w:szCs w:val="19"/>
                <w:lang w:val="fr-FR"/>
              </w:rPr>
              <w:t>’</w:t>
            </w:r>
            <w:r w:rsidRPr="00E9170B">
              <w:rPr>
                <w:sz w:val="19"/>
                <w:szCs w:val="19"/>
                <w:lang w:val="fr-FR"/>
              </w:rPr>
              <w:t>accord dus à l</w:t>
            </w:r>
            <w:r w:rsidR="0048249F">
              <w:rPr>
                <w:sz w:val="19"/>
                <w:szCs w:val="19"/>
                <w:lang w:val="fr-FR"/>
              </w:rPr>
              <w:t>’</w:t>
            </w:r>
            <w:r w:rsidRPr="00E9170B">
              <w:rPr>
                <w:sz w:val="19"/>
                <w:szCs w:val="19"/>
                <w:lang w:val="fr-FR"/>
              </w:rPr>
              <w:t>instabilité régnant dans le pays et inviter instamment le gouvernement du Mali à coopérer avec le PNUE en vue d</w:t>
            </w:r>
            <w:r w:rsidR="0048249F">
              <w:rPr>
                <w:sz w:val="19"/>
                <w:szCs w:val="19"/>
                <w:lang w:val="fr-FR"/>
              </w:rPr>
              <w:t>’</w:t>
            </w:r>
            <w:r w:rsidRPr="00E9170B">
              <w:rPr>
                <w:sz w:val="19"/>
                <w:szCs w:val="19"/>
                <w:lang w:val="fr-FR"/>
              </w:rPr>
              <w:t>accélérer la signature de l</w:t>
            </w:r>
            <w:r w:rsidR="0048249F">
              <w:rPr>
                <w:sz w:val="19"/>
                <w:szCs w:val="19"/>
                <w:lang w:val="fr-FR"/>
              </w:rPr>
              <w:t>’</w:t>
            </w:r>
            <w:r w:rsidRPr="00E9170B">
              <w:rPr>
                <w:sz w:val="19"/>
                <w:szCs w:val="19"/>
                <w:lang w:val="fr-FR"/>
              </w:rPr>
              <w:t>accord</w:t>
            </w:r>
            <w:r w:rsidR="00607056" w:rsidRPr="00E9170B">
              <w:rPr>
                <w:sz w:val="19"/>
                <w:szCs w:val="19"/>
                <w:lang w:val="fr-FR"/>
              </w:rPr>
              <w:t xml:space="preserve">, </w:t>
            </w:r>
            <w:r w:rsidRPr="00E9170B">
              <w:rPr>
                <w:sz w:val="19"/>
                <w:szCs w:val="19"/>
                <w:lang w:val="fr-FR"/>
              </w:rPr>
              <w:t>et à coopérer également avec le PNUD et</w:t>
            </w:r>
            <w:r w:rsidR="00607056" w:rsidRPr="00E9170B">
              <w:rPr>
                <w:sz w:val="19"/>
                <w:szCs w:val="19"/>
                <w:lang w:val="fr-FR"/>
              </w:rPr>
              <w:t xml:space="preserve"> le</w:t>
            </w:r>
            <w:r w:rsidRPr="00E9170B">
              <w:rPr>
                <w:sz w:val="19"/>
                <w:szCs w:val="19"/>
                <w:lang w:val="fr-FR"/>
              </w:rPr>
              <w:t xml:space="preserve"> PNUE afin que la cinquième tranche (2020)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w:t>
            </w:r>
          </w:p>
        </w:tc>
      </w:tr>
      <w:tr w:rsidR="00F91E4F" w:rsidRPr="00B67439" w14:paraId="2736169E" w14:textId="77777777" w:rsidTr="00785A57">
        <w:trPr>
          <w:trHeight w:val="770"/>
        </w:trPr>
        <w:tc>
          <w:tcPr>
            <w:tcW w:w="1560" w:type="dxa"/>
            <w:vMerge/>
            <w:hideMark/>
          </w:tcPr>
          <w:p w14:paraId="2EAA4491" w14:textId="77777777" w:rsidR="002B045D" w:rsidRPr="00AF592C" w:rsidRDefault="002B045D" w:rsidP="002B045D">
            <w:pPr>
              <w:jc w:val="left"/>
              <w:rPr>
                <w:sz w:val="19"/>
                <w:szCs w:val="19"/>
                <w:lang w:val="fr-CA" w:eastAsia="en-CA"/>
              </w:rPr>
            </w:pPr>
          </w:p>
        </w:tc>
        <w:tc>
          <w:tcPr>
            <w:tcW w:w="1276" w:type="dxa"/>
            <w:hideMark/>
          </w:tcPr>
          <w:p w14:paraId="5515302A" w14:textId="2C4A40DA" w:rsidR="002B045D" w:rsidRPr="00E9170B" w:rsidRDefault="007C127E" w:rsidP="00E352F6">
            <w:pPr>
              <w:jc w:val="left"/>
              <w:rPr>
                <w:sz w:val="19"/>
                <w:szCs w:val="19"/>
                <w:lang w:val="en-CA" w:eastAsia="en-CA"/>
              </w:rPr>
            </w:pPr>
            <w:r w:rsidRPr="00E9170B">
              <w:rPr>
                <w:sz w:val="19"/>
                <w:szCs w:val="19"/>
                <w:lang w:val="fr-FR" w:eastAsia="en-CA"/>
              </w:rPr>
              <w:t>PNUE</w:t>
            </w:r>
          </w:p>
        </w:tc>
        <w:tc>
          <w:tcPr>
            <w:tcW w:w="879" w:type="dxa"/>
            <w:hideMark/>
          </w:tcPr>
          <w:p w14:paraId="28E58BA8" w14:textId="78FDA315" w:rsidR="002B045D" w:rsidRPr="00E9170B" w:rsidRDefault="002B045D" w:rsidP="002B045D">
            <w:pPr>
              <w:jc w:val="center"/>
              <w:rPr>
                <w:sz w:val="19"/>
                <w:szCs w:val="19"/>
                <w:lang w:val="en-CA" w:eastAsia="en-CA"/>
              </w:rPr>
            </w:pPr>
            <w:r w:rsidRPr="00E9170B">
              <w:rPr>
                <w:sz w:val="19"/>
                <w:szCs w:val="19"/>
                <w:lang w:val="en-CA" w:eastAsia="en-CA"/>
              </w:rPr>
              <w:t>2020</w:t>
            </w:r>
          </w:p>
        </w:tc>
        <w:tc>
          <w:tcPr>
            <w:tcW w:w="1275" w:type="dxa"/>
            <w:hideMark/>
          </w:tcPr>
          <w:p w14:paraId="092B820D" w14:textId="0F46EA6D" w:rsidR="002B045D" w:rsidRPr="00E9170B" w:rsidRDefault="002B045D" w:rsidP="002B045D">
            <w:pPr>
              <w:jc w:val="right"/>
              <w:rPr>
                <w:sz w:val="19"/>
                <w:szCs w:val="19"/>
                <w:lang w:val="en-CA" w:eastAsia="en-CA"/>
              </w:rPr>
            </w:pPr>
            <w:r w:rsidRPr="00E9170B">
              <w:rPr>
                <w:sz w:val="19"/>
                <w:szCs w:val="19"/>
                <w:lang w:val="en-CA" w:eastAsia="en-CA"/>
              </w:rPr>
              <w:t>31</w:t>
            </w:r>
            <w:r w:rsidR="00E9170B">
              <w:rPr>
                <w:sz w:val="19"/>
                <w:szCs w:val="19"/>
                <w:lang w:val="en-CA" w:eastAsia="en-CA"/>
              </w:rPr>
              <w:t> </w:t>
            </w:r>
            <w:r w:rsidRPr="00E9170B">
              <w:rPr>
                <w:sz w:val="19"/>
                <w:szCs w:val="19"/>
                <w:lang w:val="en-CA" w:eastAsia="en-CA"/>
              </w:rPr>
              <w:t>640</w:t>
            </w:r>
          </w:p>
        </w:tc>
        <w:tc>
          <w:tcPr>
            <w:tcW w:w="3373" w:type="dxa"/>
            <w:hideMark/>
          </w:tcPr>
          <w:p w14:paraId="6528F447" w14:textId="38FAE360" w:rsidR="002B045D" w:rsidRPr="00AF592C" w:rsidRDefault="007C127E" w:rsidP="00E9170B">
            <w:pPr>
              <w:jc w:val="left"/>
              <w:rPr>
                <w:sz w:val="19"/>
                <w:szCs w:val="19"/>
                <w:lang w:val="fr-CA"/>
              </w:rPr>
            </w:pPr>
            <w:r w:rsidRPr="00E9170B">
              <w:rPr>
                <w:sz w:val="19"/>
                <w:szCs w:val="19"/>
                <w:lang w:val="fr-FR"/>
              </w:rPr>
              <w:t>Décisions/approbations du gouvernement/changements au sein de l</w:t>
            </w:r>
            <w:r w:rsidR="0048249F">
              <w:rPr>
                <w:sz w:val="19"/>
                <w:szCs w:val="19"/>
                <w:lang w:val="fr-FR"/>
              </w:rPr>
              <w:t>’</w:t>
            </w:r>
            <w:r w:rsidRPr="00E9170B">
              <w:rPr>
                <w:sz w:val="19"/>
                <w:szCs w:val="19"/>
                <w:lang w:val="fr-FR"/>
              </w:rPr>
              <w:t>UNO/</w:t>
            </w:r>
            <w:r w:rsidR="00994EEC" w:rsidRPr="00E9170B">
              <w:rPr>
                <w:sz w:val="19"/>
                <w:szCs w:val="19"/>
                <w:lang w:val="fr-FR" w:eastAsia="en-CA"/>
              </w:rPr>
              <w:t>suffisamment de fonds approuvés provenant de la tranche précédente</w:t>
            </w:r>
            <w:r w:rsidRPr="00E9170B">
              <w:rPr>
                <w:sz w:val="19"/>
                <w:szCs w:val="19"/>
                <w:lang w:val="fr-FR"/>
              </w:rPr>
              <w:t>/signature de l</w:t>
            </w:r>
            <w:r w:rsidR="0048249F">
              <w:rPr>
                <w:sz w:val="19"/>
                <w:szCs w:val="19"/>
                <w:lang w:val="fr-FR"/>
              </w:rPr>
              <w:t>’</w:t>
            </w:r>
            <w:r w:rsidRPr="00E9170B">
              <w:rPr>
                <w:sz w:val="19"/>
                <w:szCs w:val="19"/>
                <w:lang w:val="fr-FR"/>
              </w:rPr>
              <w:t xml:space="preserve">accord </w:t>
            </w:r>
            <w:r w:rsidR="00A21B07">
              <w:rPr>
                <w:sz w:val="19"/>
                <w:szCs w:val="19"/>
                <w:lang w:val="fr-FR"/>
              </w:rPr>
              <w:t xml:space="preserve">et/ou du document </w:t>
            </w:r>
            <w:r w:rsidRPr="00E9170B">
              <w:rPr>
                <w:sz w:val="19"/>
                <w:szCs w:val="19"/>
                <w:lang w:val="fr-FR"/>
              </w:rPr>
              <w:t xml:space="preserve"> de projet</w:t>
            </w:r>
          </w:p>
        </w:tc>
        <w:tc>
          <w:tcPr>
            <w:tcW w:w="5812" w:type="dxa"/>
            <w:vMerge/>
          </w:tcPr>
          <w:p w14:paraId="6F30338A" w14:textId="77777777" w:rsidR="002B045D" w:rsidRPr="00AF592C" w:rsidRDefault="002B045D" w:rsidP="002B045D">
            <w:pPr>
              <w:jc w:val="left"/>
              <w:rPr>
                <w:sz w:val="19"/>
                <w:szCs w:val="19"/>
                <w:lang w:val="fr-CA" w:eastAsia="en-CA"/>
              </w:rPr>
            </w:pPr>
          </w:p>
        </w:tc>
      </w:tr>
      <w:tr w:rsidR="00F91E4F" w:rsidRPr="00B67439" w14:paraId="200BD34C" w14:textId="77777777" w:rsidTr="00785A57">
        <w:trPr>
          <w:trHeight w:val="206"/>
        </w:trPr>
        <w:tc>
          <w:tcPr>
            <w:tcW w:w="1560" w:type="dxa"/>
            <w:vMerge w:val="restart"/>
          </w:tcPr>
          <w:p w14:paraId="610E6B03" w14:textId="71DE2404" w:rsidR="00810026" w:rsidRPr="00E9170B" w:rsidRDefault="007C127E" w:rsidP="00E352F6">
            <w:pPr>
              <w:keepNext/>
              <w:jc w:val="left"/>
              <w:rPr>
                <w:sz w:val="19"/>
                <w:szCs w:val="19"/>
                <w:lang w:val="en-CA" w:eastAsia="en-CA"/>
              </w:rPr>
            </w:pPr>
            <w:r w:rsidRPr="00E9170B">
              <w:rPr>
                <w:sz w:val="19"/>
                <w:szCs w:val="19"/>
                <w:lang w:val="fr-FR" w:eastAsia="en-CA"/>
              </w:rPr>
              <w:t>Mauritanie (Phase I)</w:t>
            </w:r>
          </w:p>
        </w:tc>
        <w:tc>
          <w:tcPr>
            <w:tcW w:w="1276" w:type="dxa"/>
          </w:tcPr>
          <w:p w14:paraId="012C341A" w14:textId="3846724B" w:rsidR="00810026" w:rsidRPr="00E9170B" w:rsidRDefault="007C127E" w:rsidP="00E352F6">
            <w:pPr>
              <w:keepNext/>
              <w:jc w:val="left"/>
              <w:rPr>
                <w:sz w:val="19"/>
                <w:szCs w:val="19"/>
                <w:lang w:val="en-CA" w:eastAsia="en-CA"/>
              </w:rPr>
            </w:pPr>
            <w:r w:rsidRPr="00E9170B">
              <w:rPr>
                <w:sz w:val="19"/>
                <w:szCs w:val="19"/>
                <w:lang w:val="fr-FR" w:eastAsia="en-CA"/>
              </w:rPr>
              <w:t>PNUD</w:t>
            </w:r>
          </w:p>
        </w:tc>
        <w:tc>
          <w:tcPr>
            <w:tcW w:w="879" w:type="dxa"/>
          </w:tcPr>
          <w:p w14:paraId="17D76D0A" w14:textId="4DD35FE1" w:rsidR="00810026" w:rsidRPr="00E9170B" w:rsidRDefault="00810026" w:rsidP="00F74962">
            <w:pPr>
              <w:keepNext/>
              <w:jc w:val="center"/>
              <w:rPr>
                <w:sz w:val="19"/>
                <w:szCs w:val="19"/>
                <w:lang w:val="en-CA" w:eastAsia="en-CA"/>
              </w:rPr>
            </w:pPr>
            <w:r w:rsidRPr="00E9170B">
              <w:rPr>
                <w:sz w:val="19"/>
                <w:szCs w:val="19"/>
                <w:lang w:val="en-CA" w:eastAsia="en-CA"/>
              </w:rPr>
              <w:t>2020</w:t>
            </w:r>
          </w:p>
        </w:tc>
        <w:tc>
          <w:tcPr>
            <w:tcW w:w="1275" w:type="dxa"/>
          </w:tcPr>
          <w:p w14:paraId="3E7ED6D3" w14:textId="33506A5A" w:rsidR="00810026" w:rsidRPr="00E9170B" w:rsidRDefault="00810026" w:rsidP="00F74962">
            <w:pPr>
              <w:keepNext/>
              <w:jc w:val="right"/>
              <w:rPr>
                <w:sz w:val="19"/>
                <w:szCs w:val="19"/>
                <w:lang w:val="en-CA" w:eastAsia="en-CA"/>
              </w:rPr>
            </w:pPr>
            <w:r w:rsidRPr="00E9170B">
              <w:rPr>
                <w:sz w:val="19"/>
                <w:szCs w:val="19"/>
                <w:lang w:val="en-CA" w:eastAsia="en-CA"/>
              </w:rPr>
              <w:t>53</w:t>
            </w:r>
            <w:r w:rsidR="00E9170B">
              <w:rPr>
                <w:sz w:val="19"/>
                <w:szCs w:val="19"/>
                <w:lang w:val="en-CA" w:eastAsia="en-CA"/>
              </w:rPr>
              <w:t> </w:t>
            </w:r>
            <w:r w:rsidRPr="00E9170B">
              <w:rPr>
                <w:sz w:val="19"/>
                <w:szCs w:val="19"/>
                <w:lang w:val="en-CA" w:eastAsia="en-CA"/>
              </w:rPr>
              <w:t>500</w:t>
            </w:r>
          </w:p>
        </w:tc>
        <w:tc>
          <w:tcPr>
            <w:tcW w:w="3373" w:type="dxa"/>
          </w:tcPr>
          <w:p w14:paraId="230438DB" w14:textId="18CA8AA4" w:rsidR="00810026" w:rsidRPr="00AF592C" w:rsidRDefault="007C127E" w:rsidP="00E352F6">
            <w:pPr>
              <w:keepNext/>
              <w:jc w:val="left"/>
              <w:rPr>
                <w:sz w:val="19"/>
                <w:szCs w:val="19"/>
                <w:lang w:val="fr-CA"/>
              </w:rPr>
            </w:pPr>
            <w:r w:rsidRPr="00E9170B">
              <w:rPr>
                <w:sz w:val="19"/>
                <w:szCs w:val="19"/>
                <w:lang w:val="fr-FR"/>
              </w:rPr>
              <w:t>Retards de l</w:t>
            </w:r>
            <w:r w:rsidR="0048249F">
              <w:rPr>
                <w:sz w:val="19"/>
                <w:szCs w:val="19"/>
                <w:lang w:val="fr-FR"/>
              </w:rPr>
              <w:t>’</w:t>
            </w:r>
            <w:r w:rsidRPr="00E9170B">
              <w:rPr>
                <w:sz w:val="19"/>
                <w:szCs w:val="19"/>
                <w:lang w:val="fr-FR"/>
              </w:rPr>
              <w:t>agence d</w:t>
            </w:r>
            <w:r w:rsidR="0048249F">
              <w:rPr>
                <w:sz w:val="19"/>
                <w:szCs w:val="19"/>
                <w:lang w:val="fr-FR"/>
              </w:rPr>
              <w:t>’</w:t>
            </w:r>
            <w:r w:rsidRPr="00E9170B">
              <w:rPr>
                <w:sz w:val="19"/>
                <w:szCs w:val="19"/>
                <w:lang w:val="fr-FR"/>
              </w:rPr>
              <w:t>exécution/seuil de décaissement de 20 pour cent</w:t>
            </w:r>
            <w:r w:rsidR="00810026" w:rsidRPr="00AF592C">
              <w:rPr>
                <w:sz w:val="19"/>
                <w:szCs w:val="19"/>
                <w:lang w:val="fr-CA"/>
              </w:rPr>
              <w:t xml:space="preserve"> </w:t>
            </w:r>
          </w:p>
        </w:tc>
        <w:tc>
          <w:tcPr>
            <w:tcW w:w="5812" w:type="dxa"/>
            <w:vMerge w:val="restart"/>
          </w:tcPr>
          <w:p w14:paraId="7405DD68" w14:textId="4488FBB7" w:rsidR="00810026" w:rsidRPr="00AF592C" w:rsidRDefault="007C127E" w:rsidP="00E352F6">
            <w:pPr>
              <w:keepNext/>
              <w:jc w:val="left"/>
              <w:rPr>
                <w:sz w:val="19"/>
                <w:szCs w:val="19"/>
                <w:lang w:val="fr-CA"/>
              </w:rPr>
            </w:pPr>
            <w:r w:rsidRPr="00E9170B">
              <w:rPr>
                <w:sz w:val="19"/>
                <w:szCs w:val="19"/>
                <w:lang w:val="fr-FR"/>
              </w:rPr>
              <w:t>Prendre note des retards au niveau de l</w:t>
            </w:r>
            <w:r w:rsidR="0048249F">
              <w:rPr>
                <w:sz w:val="19"/>
                <w:szCs w:val="19"/>
                <w:lang w:val="fr-FR"/>
              </w:rPr>
              <w:t>’</w:t>
            </w:r>
            <w:r w:rsidRPr="00E9170B">
              <w:rPr>
                <w:sz w:val="19"/>
                <w:szCs w:val="19"/>
                <w:lang w:val="fr-FR"/>
              </w:rPr>
              <w:t>approbation du gouvernement du document de projet et de la signature de l</w:t>
            </w:r>
            <w:r w:rsidR="0048249F">
              <w:rPr>
                <w:sz w:val="19"/>
                <w:szCs w:val="19"/>
                <w:lang w:val="fr-FR"/>
              </w:rPr>
              <w:t>’</w:t>
            </w:r>
            <w:r w:rsidRPr="00E9170B">
              <w:rPr>
                <w:sz w:val="19"/>
                <w:szCs w:val="19"/>
                <w:lang w:val="fr-FR"/>
              </w:rPr>
              <w:t>accord, et</w:t>
            </w:r>
            <w:r w:rsidR="00B81C1B" w:rsidRPr="00E9170B">
              <w:rPr>
                <w:sz w:val="19"/>
                <w:szCs w:val="19"/>
                <w:lang w:val="fr-FR"/>
              </w:rPr>
              <w:t xml:space="preserve"> </w:t>
            </w:r>
            <w:r w:rsidRPr="00E9170B">
              <w:rPr>
                <w:sz w:val="19"/>
                <w:szCs w:val="19"/>
                <w:lang w:val="fr-FR"/>
              </w:rPr>
              <w:t>inviter instamment le gouvernement de la Mauritanie à coopérer avec PNUE pour accélérer la signature de l</w:t>
            </w:r>
            <w:r w:rsidR="0048249F">
              <w:rPr>
                <w:sz w:val="19"/>
                <w:szCs w:val="19"/>
                <w:lang w:val="fr-FR"/>
              </w:rPr>
              <w:t>’</w:t>
            </w:r>
            <w:r w:rsidRPr="00E9170B">
              <w:rPr>
                <w:sz w:val="19"/>
                <w:szCs w:val="19"/>
                <w:lang w:val="fr-FR"/>
              </w:rPr>
              <w:t>accord, et à coopérer également avec le PNUD et le PNUE</w:t>
            </w:r>
            <w:r w:rsidR="00B81C1B" w:rsidRPr="00E9170B">
              <w:rPr>
                <w:sz w:val="19"/>
                <w:szCs w:val="19"/>
                <w:lang w:val="fr-FR"/>
              </w:rPr>
              <w:t xml:space="preserve"> </w:t>
            </w:r>
            <w:r w:rsidRPr="00E9170B">
              <w:rPr>
                <w:sz w:val="19"/>
                <w:szCs w:val="19"/>
                <w:lang w:val="fr-FR"/>
              </w:rPr>
              <w:t>afin que la deuxième tranche (2020)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 et des tranches suivantes.</w:t>
            </w:r>
          </w:p>
        </w:tc>
      </w:tr>
      <w:tr w:rsidR="00F91E4F" w:rsidRPr="00B67439" w14:paraId="4DA121BA" w14:textId="77777777" w:rsidTr="00785A57">
        <w:trPr>
          <w:trHeight w:val="206"/>
        </w:trPr>
        <w:tc>
          <w:tcPr>
            <w:tcW w:w="1560" w:type="dxa"/>
            <w:vMerge/>
          </w:tcPr>
          <w:p w14:paraId="15EF1AD2" w14:textId="77777777" w:rsidR="00810026" w:rsidRPr="00AF592C" w:rsidRDefault="00810026" w:rsidP="00F74962">
            <w:pPr>
              <w:keepNext/>
              <w:jc w:val="left"/>
              <w:rPr>
                <w:sz w:val="19"/>
                <w:szCs w:val="19"/>
                <w:lang w:val="fr-CA" w:eastAsia="en-CA"/>
              </w:rPr>
            </w:pPr>
          </w:p>
        </w:tc>
        <w:tc>
          <w:tcPr>
            <w:tcW w:w="1276" w:type="dxa"/>
          </w:tcPr>
          <w:p w14:paraId="10E4A58F" w14:textId="51D45C5E" w:rsidR="00810026" w:rsidRPr="00E9170B" w:rsidRDefault="007C127E" w:rsidP="00E352F6">
            <w:pPr>
              <w:keepNext/>
              <w:jc w:val="left"/>
              <w:rPr>
                <w:sz w:val="19"/>
                <w:szCs w:val="19"/>
                <w:lang w:val="en-CA" w:eastAsia="en-CA"/>
              </w:rPr>
            </w:pPr>
            <w:r w:rsidRPr="00E9170B">
              <w:rPr>
                <w:sz w:val="19"/>
                <w:szCs w:val="19"/>
                <w:lang w:val="fr-FR" w:eastAsia="en-CA"/>
              </w:rPr>
              <w:t>PNUE</w:t>
            </w:r>
          </w:p>
        </w:tc>
        <w:tc>
          <w:tcPr>
            <w:tcW w:w="879" w:type="dxa"/>
          </w:tcPr>
          <w:p w14:paraId="2EB02C6D" w14:textId="6C4AB358" w:rsidR="00810026" w:rsidRPr="00E9170B" w:rsidRDefault="00810026" w:rsidP="00F74962">
            <w:pPr>
              <w:keepNext/>
              <w:jc w:val="center"/>
              <w:rPr>
                <w:sz w:val="19"/>
                <w:szCs w:val="19"/>
                <w:lang w:val="en-CA" w:eastAsia="en-CA"/>
              </w:rPr>
            </w:pPr>
            <w:r w:rsidRPr="00E9170B">
              <w:rPr>
                <w:sz w:val="19"/>
                <w:szCs w:val="19"/>
                <w:lang w:val="en-CA" w:eastAsia="en-CA"/>
              </w:rPr>
              <w:t>2020</w:t>
            </w:r>
          </w:p>
        </w:tc>
        <w:tc>
          <w:tcPr>
            <w:tcW w:w="1275" w:type="dxa"/>
          </w:tcPr>
          <w:p w14:paraId="37A52465" w14:textId="18BF69C2" w:rsidR="00810026" w:rsidRPr="00E9170B" w:rsidRDefault="00810026" w:rsidP="00F74962">
            <w:pPr>
              <w:keepNext/>
              <w:jc w:val="right"/>
              <w:rPr>
                <w:sz w:val="19"/>
                <w:szCs w:val="19"/>
                <w:lang w:val="en-CA" w:eastAsia="en-CA"/>
              </w:rPr>
            </w:pPr>
            <w:r w:rsidRPr="00E9170B">
              <w:rPr>
                <w:sz w:val="19"/>
                <w:szCs w:val="19"/>
                <w:lang w:val="en-CA" w:eastAsia="en-CA"/>
              </w:rPr>
              <w:t>28</w:t>
            </w:r>
            <w:r w:rsidR="00E9170B">
              <w:rPr>
                <w:sz w:val="19"/>
                <w:szCs w:val="19"/>
                <w:lang w:val="en-CA" w:eastAsia="en-CA"/>
              </w:rPr>
              <w:t> </w:t>
            </w:r>
            <w:r w:rsidRPr="00E9170B">
              <w:rPr>
                <w:sz w:val="19"/>
                <w:szCs w:val="19"/>
                <w:lang w:val="en-CA" w:eastAsia="en-CA"/>
              </w:rPr>
              <w:t>250</w:t>
            </w:r>
          </w:p>
        </w:tc>
        <w:tc>
          <w:tcPr>
            <w:tcW w:w="3373" w:type="dxa"/>
          </w:tcPr>
          <w:p w14:paraId="55720584" w14:textId="538AF983" w:rsidR="00810026" w:rsidRPr="00AF592C" w:rsidRDefault="007C127E" w:rsidP="00E9170B">
            <w:pPr>
              <w:keepNext/>
              <w:jc w:val="left"/>
              <w:rPr>
                <w:sz w:val="19"/>
                <w:szCs w:val="19"/>
                <w:lang w:val="fr-CA"/>
              </w:rPr>
            </w:pPr>
            <w:r w:rsidRPr="00E9170B">
              <w:rPr>
                <w:sz w:val="19"/>
                <w:szCs w:val="19"/>
                <w:lang w:val="fr-FR"/>
              </w:rPr>
              <w:t>Décisions/approbations du gouvernement/changements au sein de l</w:t>
            </w:r>
            <w:r w:rsidR="0048249F">
              <w:rPr>
                <w:sz w:val="19"/>
                <w:szCs w:val="19"/>
                <w:lang w:val="fr-FR"/>
              </w:rPr>
              <w:t>’</w:t>
            </w:r>
            <w:r w:rsidRPr="00E9170B">
              <w:rPr>
                <w:sz w:val="19"/>
                <w:szCs w:val="19"/>
                <w:lang w:val="fr-FR"/>
              </w:rPr>
              <w:t>UNO/changements structurels/ signature de l</w:t>
            </w:r>
            <w:r w:rsidR="0048249F">
              <w:rPr>
                <w:sz w:val="19"/>
                <w:szCs w:val="19"/>
                <w:lang w:val="fr-FR"/>
              </w:rPr>
              <w:t>’</w:t>
            </w:r>
            <w:r w:rsidRPr="00E9170B">
              <w:rPr>
                <w:sz w:val="19"/>
                <w:szCs w:val="19"/>
                <w:lang w:val="fr-FR"/>
              </w:rPr>
              <w:t xml:space="preserve">accord </w:t>
            </w:r>
            <w:r w:rsidR="00A21B07">
              <w:rPr>
                <w:sz w:val="19"/>
                <w:szCs w:val="19"/>
                <w:lang w:val="fr-FR"/>
              </w:rPr>
              <w:t xml:space="preserve">et/ou du document </w:t>
            </w:r>
            <w:r w:rsidRPr="00E9170B">
              <w:rPr>
                <w:sz w:val="19"/>
                <w:szCs w:val="19"/>
                <w:lang w:val="fr-FR"/>
              </w:rPr>
              <w:t xml:space="preserve"> de projet/</w:t>
            </w:r>
            <w:r w:rsidR="00994EEC" w:rsidRPr="00E9170B">
              <w:rPr>
                <w:sz w:val="19"/>
                <w:szCs w:val="19"/>
                <w:lang w:val="fr-FR" w:eastAsia="en-CA"/>
              </w:rPr>
              <w:t>Perturbations dues à la pandémie de Covid-19</w:t>
            </w:r>
          </w:p>
        </w:tc>
        <w:tc>
          <w:tcPr>
            <w:tcW w:w="5812" w:type="dxa"/>
            <w:vMerge/>
          </w:tcPr>
          <w:p w14:paraId="124A7618" w14:textId="77777777" w:rsidR="00810026" w:rsidRPr="00AF592C" w:rsidRDefault="00810026" w:rsidP="00F74962">
            <w:pPr>
              <w:keepNext/>
              <w:jc w:val="left"/>
              <w:rPr>
                <w:sz w:val="19"/>
                <w:szCs w:val="19"/>
                <w:lang w:val="fr-CA"/>
              </w:rPr>
            </w:pPr>
          </w:p>
        </w:tc>
      </w:tr>
      <w:tr w:rsidR="00F91E4F" w:rsidRPr="00B67439" w14:paraId="4AD9C006" w14:textId="77777777" w:rsidTr="00785A57">
        <w:trPr>
          <w:trHeight w:val="206"/>
        </w:trPr>
        <w:tc>
          <w:tcPr>
            <w:tcW w:w="1560" w:type="dxa"/>
            <w:vMerge w:val="restart"/>
          </w:tcPr>
          <w:p w14:paraId="585296FF" w14:textId="10C5A366" w:rsidR="00DB5B80" w:rsidRPr="00E9170B" w:rsidRDefault="007C127E" w:rsidP="0021299E">
            <w:pPr>
              <w:jc w:val="left"/>
              <w:rPr>
                <w:sz w:val="19"/>
                <w:szCs w:val="19"/>
                <w:lang w:val="en-CA" w:eastAsia="en-CA"/>
              </w:rPr>
            </w:pPr>
            <w:r w:rsidRPr="00E9170B">
              <w:rPr>
                <w:sz w:val="19"/>
                <w:szCs w:val="19"/>
                <w:lang w:val="fr-FR" w:eastAsia="en-CA"/>
              </w:rPr>
              <w:t>Mexique</w:t>
            </w:r>
          </w:p>
          <w:p w14:paraId="25D2260A" w14:textId="2285F883" w:rsidR="00DB5B80" w:rsidRPr="00E9170B" w:rsidRDefault="007C127E" w:rsidP="00A21B07">
            <w:pPr>
              <w:jc w:val="left"/>
              <w:rPr>
                <w:sz w:val="19"/>
                <w:szCs w:val="19"/>
                <w:lang w:val="en-CA" w:eastAsia="en-CA"/>
              </w:rPr>
            </w:pPr>
            <w:r w:rsidRPr="00E9170B">
              <w:rPr>
                <w:sz w:val="19"/>
                <w:szCs w:val="19"/>
                <w:lang w:val="fr-FR" w:eastAsia="en-CA"/>
              </w:rPr>
              <w:t>(</w:t>
            </w:r>
            <w:r w:rsidR="00A21B07">
              <w:rPr>
                <w:sz w:val="19"/>
                <w:szCs w:val="19"/>
                <w:lang w:val="fr-FR" w:eastAsia="en-CA"/>
              </w:rPr>
              <w:t>P</w:t>
            </w:r>
            <w:r w:rsidRPr="00E9170B">
              <w:rPr>
                <w:sz w:val="19"/>
                <w:szCs w:val="19"/>
                <w:lang w:val="fr-FR" w:eastAsia="en-CA"/>
              </w:rPr>
              <w:t>hase II)</w:t>
            </w:r>
          </w:p>
        </w:tc>
        <w:tc>
          <w:tcPr>
            <w:tcW w:w="1276" w:type="dxa"/>
          </w:tcPr>
          <w:p w14:paraId="0A0A04EF" w14:textId="14A424B3" w:rsidR="00DB5B80" w:rsidRPr="00E9170B" w:rsidRDefault="007C127E" w:rsidP="00E352F6">
            <w:pPr>
              <w:jc w:val="left"/>
              <w:rPr>
                <w:sz w:val="19"/>
                <w:szCs w:val="19"/>
                <w:lang w:val="en-CA" w:eastAsia="en-CA"/>
              </w:rPr>
            </w:pPr>
            <w:r w:rsidRPr="00E9170B">
              <w:rPr>
                <w:sz w:val="19"/>
                <w:szCs w:val="19"/>
                <w:lang w:val="fr-FR" w:eastAsia="en-CA"/>
              </w:rPr>
              <w:t>PNUE</w:t>
            </w:r>
          </w:p>
        </w:tc>
        <w:tc>
          <w:tcPr>
            <w:tcW w:w="879" w:type="dxa"/>
          </w:tcPr>
          <w:p w14:paraId="3D6BFA40" w14:textId="15B75832" w:rsidR="00DB5B80" w:rsidRPr="00E9170B" w:rsidRDefault="00DB5B80" w:rsidP="0021299E">
            <w:pPr>
              <w:jc w:val="center"/>
              <w:rPr>
                <w:sz w:val="19"/>
                <w:szCs w:val="19"/>
                <w:lang w:val="en-CA" w:eastAsia="en-CA"/>
              </w:rPr>
            </w:pPr>
            <w:r w:rsidRPr="00E9170B">
              <w:rPr>
                <w:sz w:val="19"/>
                <w:szCs w:val="19"/>
                <w:lang w:val="en-CA" w:eastAsia="en-CA"/>
              </w:rPr>
              <w:t>2020</w:t>
            </w:r>
          </w:p>
        </w:tc>
        <w:tc>
          <w:tcPr>
            <w:tcW w:w="1275" w:type="dxa"/>
          </w:tcPr>
          <w:p w14:paraId="726C3047" w14:textId="43789828" w:rsidR="00DB5B80" w:rsidRPr="00E9170B" w:rsidRDefault="00DB5B80" w:rsidP="0021299E">
            <w:pPr>
              <w:jc w:val="right"/>
              <w:rPr>
                <w:sz w:val="19"/>
                <w:szCs w:val="19"/>
                <w:lang w:val="en-CA" w:eastAsia="en-CA"/>
              </w:rPr>
            </w:pPr>
            <w:r w:rsidRPr="00E9170B">
              <w:rPr>
                <w:sz w:val="19"/>
                <w:szCs w:val="19"/>
                <w:lang w:val="en-CA" w:eastAsia="en-CA"/>
              </w:rPr>
              <w:t>45</w:t>
            </w:r>
            <w:r w:rsidR="00E9170B">
              <w:rPr>
                <w:sz w:val="19"/>
                <w:szCs w:val="19"/>
                <w:lang w:val="en-CA" w:eastAsia="en-CA"/>
              </w:rPr>
              <w:t> </w:t>
            </w:r>
            <w:r w:rsidRPr="00E9170B">
              <w:rPr>
                <w:sz w:val="19"/>
                <w:szCs w:val="19"/>
                <w:lang w:val="en-CA" w:eastAsia="en-CA"/>
              </w:rPr>
              <w:t>200</w:t>
            </w:r>
          </w:p>
        </w:tc>
        <w:tc>
          <w:tcPr>
            <w:tcW w:w="3373" w:type="dxa"/>
          </w:tcPr>
          <w:p w14:paraId="3B851B7D" w14:textId="27FA869E" w:rsidR="00DB5B80" w:rsidRPr="00AF592C" w:rsidRDefault="007C127E" w:rsidP="00E352F6">
            <w:pPr>
              <w:jc w:val="left"/>
              <w:rPr>
                <w:sz w:val="19"/>
                <w:szCs w:val="19"/>
                <w:lang w:val="fr-CA"/>
              </w:rPr>
            </w:pPr>
            <w:r w:rsidRPr="00E9170B">
              <w:rPr>
                <w:sz w:val="19"/>
                <w:szCs w:val="19"/>
                <w:lang w:val="fr-FR"/>
              </w:rPr>
              <w:t>Décisions/approbations du gouvernement/changements au sein de l</w:t>
            </w:r>
            <w:r w:rsidR="0048249F">
              <w:rPr>
                <w:sz w:val="19"/>
                <w:szCs w:val="19"/>
                <w:lang w:val="fr-FR"/>
              </w:rPr>
              <w:t>’</w:t>
            </w:r>
            <w:r w:rsidRPr="00E9170B">
              <w:rPr>
                <w:sz w:val="19"/>
                <w:szCs w:val="19"/>
                <w:lang w:val="fr-FR"/>
              </w:rPr>
              <w:t xml:space="preserve">UNO/ changements structurels/ </w:t>
            </w:r>
            <w:r w:rsidR="00994EEC" w:rsidRPr="00E9170B">
              <w:rPr>
                <w:sz w:val="19"/>
                <w:szCs w:val="19"/>
                <w:lang w:val="fr-FR" w:eastAsia="en-CA"/>
              </w:rPr>
              <w:t>Perturbations dues à la pandémie de Covid-19</w:t>
            </w:r>
            <w:r w:rsidRPr="00E9170B">
              <w:rPr>
                <w:sz w:val="19"/>
                <w:szCs w:val="19"/>
                <w:lang w:val="fr-FR"/>
              </w:rPr>
              <w:t>/ élément d</w:t>
            </w:r>
            <w:r w:rsidR="0048249F">
              <w:rPr>
                <w:sz w:val="19"/>
                <w:szCs w:val="19"/>
                <w:lang w:val="fr-FR"/>
              </w:rPr>
              <w:t>’</w:t>
            </w:r>
            <w:r w:rsidRPr="00E9170B">
              <w:rPr>
                <w:sz w:val="19"/>
                <w:szCs w:val="19"/>
                <w:lang w:val="fr-FR"/>
              </w:rPr>
              <w:t>investissement</w:t>
            </w:r>
          </w:p>
        </w:tc>
        <w:tc>
          <w:tcPr>
            <w:tcW w:w="5812" w:type="dxa"/>
            <w:vMerge w:val="restart"/>
          </w:tcPr>
          <w:p w14:paraId="7C7C6273" w14:textId="734E7C24" w:rsidR="00DB5B80" w:rsidRPr="00AF592C" w:rsidRDefault="007C127E" w:rsidP="00E352F6">
            <w:pPr>
              <w:jc w:val="left"/>
              <w:rPr>
                <w:sz w:val="19"/>
                <w:szCs w:val="19"/>
                <w:lang w:val="fr-CA"/>
              </w:rPr>
            </w:pPr>
            <w:r w:rsidRPr="00E9170B">
              <w:rPr>
                <w:sz w:val="19"/>
                <w:szCs w:val="19"/>
                <w:lang w:val="fr-FR"/>
              </w:rPr>
              <w:t>Prendre note des retards dus aux changements structurels au sein du gouvernement et de l</w:t>
            </w:r>
            <w:r w:rsidR="0048249F">
              <w:rPr>
                <w:sz w:val="19"/>
                <w:szCs w:val="19"/>
                <w:lang w:val="fr-FR"/>
              </w:rPr>
              <w:t>’</w:t>
            </w:r>
            <w:r w:rsidRPr="00E9170B">
              <w:rPr>
                <w:sz w:val="19"/>
                <w:szCs w:val="19"/>
                <w:lang w:val="fr-FR"/>
              </w:rPr>
              <w:t>UNO, et du fait que le taux de décaissement global de la troisième tranche (2018) de la phase II du PGEH se situait au-dessous du seuil de 20 pour cent, et inviter instamment le gouvernement du Mexique à coopérer avec le PNUE et l</w:t>
            </w:r>
            <w:r w:rsidR="0048249F">
              <w:rPr>
                <w:sz w:val="19"/>
                <w:szCs w:val="19"/>
                <w:lang w:val="fr-FR"/>
              </w:rPr>
              <w:t>’</w:t>
            </w:r>
            <w:r w:rsidRPr="00E9170B">
              <w:rPr>
                <w:sz w:val="19"/>
                <w:szCs w:val="19"/>
                <w:lang w:val="fr-FR"/>
              </w:rPr>
              <w:t>ONUDI afin que la quatrième tranche (2020) de la phase II puisse être soumise à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 et des tranches suivantes, étant entendu que le seuil de décaissement de 20 pour cent pour le financement de la tranche précédente a été atteint.</w:t>
            </w:r>
          </w:p>
        </w:tc>
      </w:tr>
      <w:tr w:rsidR="00F91E4F" w:rsidRPr="00B67439" w14:paraId="614765E0" w14:textId="77777777" w:rsidTr="00785A57">
        <w:trPr>
          <w:trHeight w:val="206"/>
        </w:trPr>
        <w:tc>
          <w:tcPr>
            <w:tcW w:w="1560" w:type="dxa"/>
            <w:vMerge/>
          </w:tcPr>
          <w:p w14:paraId="703E844F" w14:textId="77777777" w:rsidR="00DB5B80" w:rsidRPr="00AF592C" w:rsidRDefault="00DB5B80" w:rsidP="0021299E">
            <w:pPr>
              <w:jc w:val="left"/>
              <w:rPr>
                <w:sz w:val="19"/>
                <w:szCs w:val="19"/>
                <w:lang w:val="fr-CA" w:eastAsia="en-CA"/>
              </w:rPr>
            </w:pPr>
          </w:p>
        </w:tc>
        <w:tc>
          <w:tcPr>
            <w:tcW w:w="1276" w:type="dxa"/>
          </w:tcPr>
          <w:p w14:paraId="2966BB2B" w14:textId="0D9DB445" w:rsidR="00DB5B80" w:rsidRPr="00E9170B" w:rsidRDefault="007C127E" w:rsidP="00E352F6">
            <w:pPr>
              <w:jc w:val="left"/>
              <w:rPr>
                <w:sz w:val="19"/>
                <w:szCs w:val="19"/>
                <w:lang w:val="en-CA" w:eastAsia="en-CA"/>
              </w:rPr>
            </w:pPr>
            <w:r w:rsidRPr="00E9170B">
              <w:rPr>
                <w:sz w:val="19"/>
                <w:szCs w:val="19"/>
                <w:lang w:val="fr-FR" w:eastAsia="en-CA"/>
              </w:rPr>
              <w:t>ONUDI</w:t>
            </w:r>
          </w:p>
        </w:tc>
        <w:tc>
          <w:tcPr>
            <w:tcW w:w="879" w:type="dxa"/>
          </w:tcPr>
          <w:p w14:paraId="65272CD2" w14:textId="05D4DA67" w:rsidR="00DB5B80" w:rsidRPr="00E9170B" w:rsidRDefault="00DB5B80" w:rsidP="0021299E">
            <w:pPr>
              <w:jc w:val="center"/>
              <w:rPr>
                <w:sz w:val="19"/>
                <w:szCs w:val="19"/>
                <w:lang w:val="en-CA" w:eastAsia="en-CA"/>
              </w:rPr>
            </w:pPr>
            <w:r w:rsidRPr="00E9170B">
              <w:rPr>
                <w:sz w:val="19"/>
                <w:szCs w:val="19"/>
                <w:lang w:val="en-CA" w:eastAsia="en-CA"/>
              </w:rPr>
              <w:t>2020</w:t>
            </w:r>
          </w:p>
        </w:tc>
        <w:tc>
          <w:tcPr>
            <w:tcW w:w="1275" w:type="dxa"/>
          </w:tcPr>
          <w:p w14:paraId="2AEF6A14" w14:textId="013E368A" w:rsidR="00DB5B80" w:rsidRPr="00E9170B" w:rsidRDefault="00DB5B80" w:rsidP="0021299E">
            <w:pPr>
              <w:jc w:val="right"/>
              <w:rPr>
                <w:sz w:val="19"/>
                <w:szCs w:val="19"/>
                <w:lang w:val="en-CA" w:eastAsia="en-CA"/>
              </w:rPr>
            </w:pPr>
            <w:r w:rsidRPr="00E9170B">
              <w:rPr>
                <w:sz w:val="19"/>
                <w:szCs w:val="19"/>
                <w:lang w:val="en-CA" w:eastAsia="en-CA"/>
              </w:rPr>
              <w:t>1</w:t>
            </w:r>
            <w:r w:rsidR="00E9170B">
              <w:rPr>
                <w:sz w:val="19"/>
                <w:szCs w:val="19"/>
                <w:lang w:val="en-CA" w:eastAsia="en-CA"/>
              </w:rPr>
              <w:t> </w:t>
            </w:r>
            <w:r w:rsidRPr="00E9170B">
              <w:rPr>
                <w:sz w:val="19"/>
                <w:szCs w:val="19"/>
                <w:lang w:val="en-CA" w:eastAsia="en-CA"/>
              </w:rPr>
              <w:t>725</w:t>
            </w:r>
            <w:r w:rsidR="00E9170B">
              <w:rPr>
                <w:sz w:val="19"/>
                <w:szCs w:val="19"/>
                <w:lang w:val="en-CA" w:eastAsia="en-CA"/>
              </w:rPr>
              <w:t> </w:t>
            </w:r>
            <w:r w:rsidRPr="00E9170B">
              <w:rPr>
                <w:sz w:val="19"/>
                <w:szCs w:val="19"/>
                <w:lang w:val="en-CA" w:eastAsia="en-CA"/>
              </w:rPr>
              <w:t>215</w:t>
            </w:r>
          </w:p>
        </w:tc>
        <w:tc>
          <w:tcPr>
            <w:tcW w:w="3373" w:type="dxa"/>
          </w:tcPr>
          <w:p w14:paraId="3DC5496C" w14:textId="272F68AA" w:rsidR="00DB5B80" w:rsidRPr="00AF592C" w:rsidRDefault="007C127E" w:rsidP="00E9170B">
            <w:pPr>
              <w:jc w:val="left"/>
              <w:rPr>
                <w:sz w:val="19"/>
                <w:szCs w:val="19"/>
                <w:lang w:val="fr-CA"/>
              </w:rPr>
            </w:pPr>
            <w:r w:rsidRPr="00E9170B">
              <w:rPr>
                <w:sz w:val="19"/>
                <w:szCs w:val="19"/>
                <w:lang w:val="fr-FR"/>
              </w:rPr>
              <w:t>Décisions/approbations du gouvernement/ changements au sein de l</w:t>
            </w:r>
            <w:r w:rsidR="0048249F">
              <w:rPr>
                <w:sz w:val="19"/>
                <w:szCs w:val="19"/>
                <w:lang w:val="fr-FR"/>
              </w:rPr>
              <w:t>’</w:t>
            </w:r>
            <w:r w:rsidRPr="00E9170B">
              <w:rPr>
                <w:sz w:val="19"/>
                <w:szCs w:val="19"/>
                <w:lang w:val="fr-FR"/>
              </w:rPr>
              <w:t>UNO/changements structurels/ seuil de décaissement de 20 pour cent</w:t>
            </w:r>
            <w:r w:rsidR="00DB5B80" w:rsidRPr="00AF592C">
              <w:rPr>
                <w:sz w:val="19"/>
                <w:szCs w:val="19"/>
                <w:lang w:val="fr-CA"/>
              </w:rPr>
              <w:t xml:space="preserve"> </w:t>
            </w:r>
          </w:p>
        </w:tc>
        <w:tc>
          <w:tcPr>
            <w:tcW w:w="5812" w:type="dxa"/>
            <w:vMerge/>
          </w:tcPr>
          <w:p w14:paraId="549E8B00" w14:textId="77777777" w:rsidR="00DB5B80" w:rsidRPr="00AF592C" w:rsidRDefault="00DB5B80" w:rsidP="0021299E">
            <w:pPr>
              <w:jc w:val="left"/>
              <w:rPr>
                <w:sz w:val="19"/>
                <w:szCs w:val="19"/>
                <w:lang w:val="fr-CA"/>
              </w:rPr>
            </w:pPr>
          </w:p>
        </w:tc>
      </w:tr>
      <w:tr w:rsidR="00F91E4F" w:rsidRPr="00B67439" w14:paraId="07E1B0E3" w14:textId="77777777" w:rsidTr="001C1E47">
        <w:trPr>
          <w:trHeight w:val="321"/>
        </w:trPr>
        <w:tc>
          <w:tcPr>
            <w:tcW w:w="1560" w:type="dxa"/>
          </w:tcPr>
          <w:p w14:paraId="01CBB3D5" w14:textId="24B4F336" w:rsidR="00514F3B" w:rsidRPr="00E9170B" w:rsidRDefault="007C127E" w:rsidP="00E352F6">
            <w:pPr>
              <w:ind w:right="-131"/>
              <w:jc w:val="left"/>
              <w:rPr>
                <w:sz w:val="19"/>
                <w:szCs w:val="19"/>
                <w:lang w:val="en-CA" w:eastAsia="en-CA"/>
              </w:rPr>
            </w:pPr>
            <w:r w:rsidRPr="00E9170B">
              <w:rPr>
                <w:sz w:val="19"/>
                <w:szCs w:val="19"/>
                <w:lang w:val="fr-FR" w:eastAsia="en-CA"/>
              </w:rPr>
              <w:t>Mozambique (Phase I)</w:t>
            </w:r>
          </w:p>
        </w:tc>
        <w:tc>
          <w:tcPr>
            <w:tcW w:w="1276" w:type="dxa"/>
          </w:tcPr>
          <w:p w14:paraId="7EBEB609" w14:textId="40CF16A5" w:rsidR="00514F3B" w:rsidRPr="00E9170B" w:rsidRDefault="007C127E" w:rsidP="00E352F6">
            <w:pPr>
              <w:jc w:val="left"/>
              <w:rPr>
                <w:sz w:val="19"/>
                <w:szCs w:val="19"/>
                <w:lang w:val="en-CA" w:eastAsia="en-CA"/>
              </w:rPr>
            </w:pPr>
            <w:r w:rsidRPr="00E9170B">
              <w:rPr>
                <w:sz w:val="19"/>
                <w:szCs w:val="19"/>
                <w:lang w:val="fr-FR" w:eastAsia="en-CA"/>
              </w:rPr>
              <w:t>PNUE</w:t>
            </w:r>
          </w:p>
        </w:tc>
        <w:tc>
          <w:tcPr>
            <w:tcW w:w="879" w:type="dxa"/>
          </w:tcPr>
          <w:p w14:paraId="755A784C" w14:textId="614A2059" w:rsidR="00514F3B" w:rsidRPr="00E9170B" w:rsidRDefault="00514F3B" w:rsidP="0021299E">
            <w:pPr>
              <w:jc w:val="center"/>
              <w:rPr>
                <w:sz w:val="19"/>
                <w:szCs w:val="19"/>
                <w:lang w:val="en-CA" w:eastAsia="en-CA"/>
              </w:rPr>
            </w:pPr>
            <w:r w:rsidRPr="00E9170B">
              <w:rPr>
                <w:sz w:val="19"/>
                <w:szCs w:val="19"/>
                <w:lang w:val="en-CA" w:eastAsia="en-CA"/>
              </w:rPr>
              <w:t>2020</w:t>
            </w:r>
          </w:p>
        </w:tc>
        <w:tc>
          <w:tcPr>
            <w:tcW w:w="1275" w:type="dxa"/>
          </w:tcPr>
          <w:p w14:paraId="2AC5E449" w14:textId="1B136459" w:rsidR="00514F3B" w:rsidRPr="00E9170B" w:rsidRDefault="00514F3B" w:rsidP="0021299E">
            <w:pPr>
              <w:jc w:val="right"/>
              <w:rPr>
                <w:sz w:val="19"/>
                <w:szCs w:val="19"/>
                <w:lang w:val="en-CA" w:eastAsia="en-CA"/>
              </w:rPr>
            </w:pPr>
            <w:r w:rsidRPr="00E9170B">
              <w:rPr>
                <w:sz w:val="19"/>
                <w:szCs w:val="19"/>
                <w:lang w:val="en-CA" w:eastAsia="en-CA"/>
              </w:rPr>
              <w:t>33</w:t>
            </w:r>
            <w:r w:rsidR="00E9170B">
              <w:rPr>
                <w:sz w:val="19"/>
                <w:szCs w:val="19"/>
                <w:lang w:val="en-CA" w:eastAsia="en-CA"/>
              </w:rPr>
              <w:t> </w:t>
            </w:r>
            <w:r w:rsidRPr="00E9170B">
              <w:rPr>
                <w:sz w:val="19"/>
                <w:szCs w:val="19"/>
                <w:lang w:val="en-CA" w:eastAsia="en-CA"/>
              </w:rPr>
              <w:t>900</w:t>
            </w:r>
          </w:p>
        </w:tc>
        <w:tc>
          <w:tcPr>
            <w:tcW w:w="3373" w:type="dxa"/>
          </w:tcPr>
          <w:p w14:paraId="04D394EC" w14:textId="3D1764B5" w:rsidR="00514F3B" w:rsidRPr="00AF592C" w:rsidRDefault="007C127E" w:rsidP="00E352F6">
            <w:pPr>
              <w:jc w:val="left"/>
              <w:rPr>
                <w:sz w:val="19"/>
                <w:szCs w:val="19"/>
                <w:lang w:val="fr-CA"/>
              </w:rPr>
            </w:pPr>
            <w:r w:rsidRPr="00E9170B">
              <w:rPr>
                <w:sz w:val="19"/>
                <w:szCs w:val="19"/>
                <w:lang w:val="fr-FR"/>
              </w:rPr>
              <w:t>Seuil de décaissement de 20 pour cent</w:t>
            </w:r>
          </w:p>
        </w:tc>
        <w:tc>
          <w:tcPr>
            <w:tcW w:w="5812" w:type="dxa"/>
          </w:tcPr>
          <w:p w14:paraId="4404D164" w14:textId="7CC008F2" w:rsidR="00514F3B" w:rsidRPr="00AF592C" w:rsidRDefault="00446F34" w:rsidP="00E352F6">
            <w:pPr>
              <w:jc w:val="left"/>
              <w:rPr>
                <w:sz w:val="19"/>
                <w:szCs w:val="19"/>
                <w:lang w:val="fr-CA"/>
              </w:rPr>
            </w:pPr>
            <w:r w:rsidRPr="00E9170B">
              <w:rPr>
                <w:sz w:val="19"/>
                <w:szCs w:val="19"/>
                <w:lang w:val="fr-FR"/>
              </w:rPr>
              <w:t>Prendre note que</w:t>
            </w:r>
            <w:r w:rsidR="00B81C1B" w:rsidRPr="00E9170B">
              <w:rPr>
                <w:sz w:val="19"/>
                <w:szCs w:val="19"/>
                <w:lang w:val="fr-FR"/>
              </w:rPr>
              <w:t xml:space="preserve"> </w:t>
            </w:r>
            <w:r w:rsidRPr="00E9170B">
              <w:rPr>
                <w:sz w:val="19"/>
                <w:szCs w:val="19"/>
                <w:lang w:val="fr-FR"/>
              </w:rPr>
              <w:t xml:space="preserve">la cinquième tranche </w:t>
            </w:r>
            <w:r w:rsidR="007C127E" w:rsidRPr="00E9170B">
              <w:rPr>
                <w:sz w:val="19"/>
                <w:szCs w:val="19"/>
                <w:lang w:val="fr-FR"/>
              </w:rPr>
              <w:t xml:space="preserve">(2020) </w:t>
            </w:r>
            <w:r w:rsidRPr="00E9170B">
              <w:rPr>
                <w:sz w:val="19"/>
                <w:szCs w:val="19"/>
                <w:lang w:val="fr-FR"/>
              </w:rPr>
              <w:t xml:space="preserve">de la phase I du PGEH soumise à la </w:t>
            </w:r>
            <w:r w:rsidR="00885498" w:rsidRPr="00E9170B">
              <w:rPr>
                <w:sz w:val="19"/>
                <w:szCs w:val="19"/>
                <w:lang w:val="fr-FR"/>
              </w:rPr>
              <w:t>86</w:t>
            </w:r>
            <w:r w:rsidR="00885498" w:rsidRPr="00E9170B">
              <w:rPr>
                <w:sz w:val="19"/>
                <w:szCs w:val="19"/>
                <w:vertAlign w:val="superscript"/>
                <w:lang w:val="fr-FR"/>
              </w:rPr>
              <w:t>e</w:t>
            </w:r>
            <w:r w:rsidR="00885498" w:rsidRPr="00E9170B">
              <w:rPr>
                <w:sz w:val="19"/>
                <w:szCs w:val="19"/>
                <w:lang w:val="fr-FR"/>
              </w:rPr>
              <w:t xml:space="preserve"> </w:t>
            </w:r>
            <w:r w:rsidRPr="00E9170B">
              <w:rPr>
                <w:sz w:val="19"/>
                <w:szCs w:val="19"/>
                <w:lang w:val="fr-FR"/>
              </w:rPr>
              <w:t>réunion a été retirée parce que le taux de décaissement global de la troisième</w:t>
            </w:r>
            <w:r w:rsidR="007C127E" w:rsidRPr="00E9170B">
              <w:rPr>
                <w:sz w:val="19"/>
                <w:szCs w:val="19"/>
                <w:lang w:val="fr-FR"/>
              </w:rPr>
              <w:t xml:space="preserve"> (2016) </w:t>
            </w:r>
            <w:r w:rsidRPr="00E9170B">
              <w:rPr>
                <w:sz w:val="19"/>
                <w:szCs w:val="19"/>
                <w:lang w:val="fr-FR"/>
              </w:rPr>
              <w:t xml:space="preserve">et de la quatrième tranche </w:t>
            </w:r>
            <w:r w:rsidR="007C127E" w:rsidRPr="00E9170B">
              <w:rPr>
                <w:sz w:val="19"/>
                <w:szCs w:val="19"/>
                <w:lang w:val="fr-FR"/>
              </w:rPr>
              <w:t xml:space="preserve">(2018) </w:t>
            </w:r>
            <w:r w:rsidRPr="00E9170B">
              <w:rPr>
                <w:sz w:val="19"/>
                <w:szCs w:val="19"/>
                <w:lang w:val="fr-FR"/>
              </w:rPr>
              <w:t xml:space="preserve">se situait au-dessous du seuil des </w:t>
            </w:r>
            <w:r w:rsidR="007C127E" w:rsidRPr="00E9170B">
              <w:rPr>
                <w:sz w:val="19"/>
                <w:szCs w:val="19"/>
                <w:lang w:val="fr-FR"/>
              </w:rPr>
              <w:t>20 p</w:t>
            </w:r>
            <w:r w:rsidRPr="00E9170B">
              <w:rPr>
                <w:sz w:val="19"/>
                <w:szCs w:val="19"/>
                <w:lang w:val="fr-FR"/>
              </w:rPr>
              <w:t>our</w:t>
            </w:r>
            <w:r w:rsidR="007C127E" w:rsidRPr="00E9170B">
              <w:rPr>
                <w:sz w:val="19"/>
                <w:szCs w:val="19"/>
                <w:lang w:val="fr-FR"/>
              </w:rPr>
              <w:t> cent</w:t>
            </w:r>
            <w:r w:rsidRPr="00E9170B">
              <w:rPr>
                <w:sz w:val="19"/>
                <w:szCs w:val="19"/>
                <w:lang w:val="fr-FR"/>
              </w:rPr>
              <w:t xml:space="preserve">, et inviter instamment le gouvernement du </w:t>
            </w:r>
            <w:r w:rsidR="007C127E" w:rsidRPr="00E9170B">
              <w:rPr>
                <w:sz w:val="19"/>
                <w:szCs w:val="19"/>
                <w:lang w:val="fr-FR"/>
              </w:rPr>
              <w:t>Mozambique</w:t>
            </w:r>
            <w:r w:rsidRPr="00E9170B">
              <w:rPr>
                <w:sz w:val="19"/>
                <w:szCs w:val="19"/>
                <w:lang w:val="fr-FR"/>
              </w:rPr>
              <w:t xml:space="preserve"> à coopérer avec le</w:t>
            </w:r>
            <w:r w:rsidR="00B81C1B" w:rsidRPr="00E9170B">
              <w:rPr>
                <w:sz w:val="19"/>
                <w:szCs w:val="19"/>
                <w:lang w:val="fr-FR"/>
              </w:rPr>
              <w:t xml:space="preserve"> </w:t>
            </w:r>
            <w:r w:rsidRPr="00E9170B">
              <w:rPr>
                <w:sz w:val="19"/>
                <w:szCs w:val="19"/>
                <w:lang w:val="fr-FR"/>
              </w:rPr>
              <w:t>PNUE pour accélérer la mise en œuvre des troisième (2016) et quatrième (2018) tranches afin que la cinquième tranche</w:t>
            </w:r>
            <w:r w:rsidR="007C127E" w:rsidRPr="00E9170B">
              <w:rPr>
                <w:sz w:val="19"/>
                <w:szCs w:val="19"/>
                <w:lang w:val="fr-FR"/>
              </w:rPr>
              <w:t xml:space="preserve"> (2020) </w:t>
            </w:r>
            <w:r w:rsidRPr="00E9170B">
              <w:rPr>
                <w:sz w:val="19"/>
                <w:szCs w:val="19"/>
                <w:lang w:val="fr-FR"/>
              </w:rPr>
              <w:t>puisse être soumise à la 87</w:t>
            </w:r>
            <w:r w:rsidRPr="00E9170B">
              <w:rPr>
                <w:sz w:val="19"/>
                <w:szCs w:val="19"/>
                <w:vertAlign w:val="superscript"/>
                <w:lang w:val="fr-FR"/>
              </w:rPr>
              <w:t>e</w:t>
            </w:r>
            <w:r w:rsidRPr="00E9170B">
              <w:rPr>
                <w:sz w:val="19"/>
                <w:szCs w:val="19"/>
                <w:lang w:val="fr-FR"/>
              </w:rPr>
              <w:t xml:space="preserve"> réunion, étant entendu que le seuil de décaissement de 20 pour cent pour le financement de la tranche précédente a été atteint</w:t>
            </w:r>
            <w:r w:rsidR="007C127E" w:rsidRPr="00E9170B">
              <w:rPr>
                <w:sz w:val="19"/>
                <w:szCs w:val="19"/>
                <w:lang w:val="fr-FR"/>
              </w:rPr>
              <w:t>.</w:t>
            </w:r>
          </w:p>
        </w:tc>
      </w:tr>
      <w:tr w:rsidR="00F91E4F" w:rsidRPr="00B67439" w14:paraId="2819F7A1" w14:textId="77777777" w:rsidTr="001C1E47">
        <w:trPr>
          <w:trHeight w:val="321"/>
        </w:trPr>
        <w:tc>
          <w:tcPr>
            <w:tcW w:w="1560" w:type="dxa"/>
            <w:vMerge w:val="restart"/>
          </w:tcPr>
          <w:p w14:paraId="48064610" w14:textId="7E38BB92" w:rsidR="0083289D" w:rsidRPr="00E9170B" w:rsidRDefault="00446F34" w:rsidP="00F74962">
            <w:pPr>
              <w:ind w:right="-131"/>
              <w:jc w:val="left"/>
              <w:rPr>
                <w:sz w:val="19"/>
                <w:szCs w:val="19"/>
                <w:lang w:val="en-CA" w:eastAsia="en-CA"/>
              </w:rPr>
            </w:pPr>
            <w:r w:rsidRPr="00E9170B">
              <w:rPr>
                <w:sz w:val="19"/>
                <w:szCs w:val="19"/>
                <w:lang w:val="fr-FR" w:eastAsia="en-CA"/>
              </w:rPr>
              <w:lastRenderedPageBreak/>
              <w:t>Niger</w:t>
            </w:r>
            <w:r w:rsidR="00B81C1B" w:rsidRPr="00E9170B">
              <w:rPr>
                <w:sz w:val="19"/>
                <w:szCs w:val="19"/>
                <w:lang w:val="fr-FR" w:eastAsia="en-CA"/>
              </w:rPr>
              <w:t xml:space="preserve"> </w:t>
            </w:r>
          </w:p>
          <w:p w14:paraId="093994B6" w14:textId="0E547619" w:rsidR="00707EC1" w:rsidRPr="00E9170B" w:rsidRDefault="00446F34" w:rsidP="00E352F6">
            <w:pPr>
              <w:ind w:right="-131"/>
              <w:jc w:val="left"/>
              <w:rPr>
                <w:sz w:val="19"/>
                <w:szCs w:val="19"/>
                <w:lang w:val="en-CA" w:eastAsia="en-CA"/>
              </w:rPr>
            </w:pPr>
            <w:r w:rsidRPr="00E9170B">
              <w:rPr>
                <w:sz w:val="19"/>
                <w:szCs w:val="19"/>
                <w:lang w:val="fr-FR" w:eastAsia="en-CA"/>
              </w:rPr>
              <w:t>(Phase I)</w:t>
            </w:r>
          </w:p>
        </w:tc>
        <w:tc>
          <w:tcPr>
            <w:tcW w:w="1276" w:type="dxa"/>
          </w:tcPr>
          <w:p w14:paraId="010AB9DA" w14:textId="0528DEA0" w:rsidR="00707EC1" w:rsidRPr="00E9170B" w:rsidRDefault="00446F34" w:rsidP="00E352F6">
            <w:pPr>
              <w:jc w:val="left"/>
              <w:rPr>
                <w:sz w:val="19"/>
                <w:szCs w:val="19"/>
                <w:lang w:val="en-CA" w:eastAsia="en-CA"/>
              </w:rPr>
            </w:pPr>
            <w:r w:rsidRPr="00E9170B">
              <w:rPr>
                <w:sz w:val="19"/>
                <w:szCs w:val="19"/>
                <w:lang w:val="fr-FR" w:eastAsia="en-CA"/>
              </w:rPr>
              <w:t>PNUE</w:t>
            </w:r>
          </w:p>
        </w:tc>
        <w:tc>
          <w:tcPr>
            <w:tcW w:w="879" w:type="dxa"/>
          </w:tcPr>
          <w:p w14:paraId="1388885C" w14:textId="347336A7" w:rsidR="00707EC1" w:rsidRPr="00E9170B" w:rsidRDefault="00707EC1" w:rsidP="00F74962">
            <w:pPr>
              <w:jc w:val="center"/>
              <w:rPr>
                <w:sz w:val="19"/>
                <w:szCs w:val="19"/>
                <w:lang w:val="en-CA" w:eastAsia="en-CA"/>
              </w:rPr>
            </w:pPr>
            <w:r w:rsidRPr="00E9170B">
              <w:rPr>
                <w:sz w:val="19"/>
                <w:szCs w:val="19"/>
                <w:lang w:val="en-CA" w:eastAsia="en-CA"/>
              </w:rPr>
              <w:t>2020</w:t>
            </w:r>
          </w:p>
        </w:tc>
        <w:tc>
          <w:tcPr>
            <w:tcW w:w="1275" w:type="dxa"/>
          </w:tcPr>
          <w:p w14:paraId="77E3F2AF" w14:textId="04518E58" w:rsidR="00707EC1" w:rsidRPr="00E9170B" w:rsidRDefault="00707EC1" w:rsidP="00F74962">
            <w:pPr>
              <w:jc w:val="right"/>
              <w:rPr>
                <w:sz w:val="19"/>
                <w:szCs w:val="19"/>
                <w:lang w:val="en-CA" w:eastAsia="en-CA"/>
              </w:rPr>
            </w:pPr>
            <w:r w:rsidRPr="00E9170B">
              <w:rPr>
                <w:sz w:val="19"/>
                <w:szCs w:val="19"/>
                <w:lang w:val="en-CA" w:eastAsia="en-CA"/>
              </w:rPr>
              <w:t>56</w:t>
            </w:r>
            <w:r w:rsidR="00E9170B">
              <w:rPr>
                <w:sz w:val="19"/>
                <w:szCs w:val="19"/>
                <w:lang w:val="en-CA" w:eastAsia="en-CA"/>
              </w:rPr>
              <w:t> </w:t>
            </w:r>
            <w:r w:rsidRPr="00E9170B">
              <w:rPr>
                <w:sz w:val="19"/>
                <w:szCs w:val="19"/>
                <w:lang w:val="en-CA" w:eastAsia="en-CA"/>
              </w:rPr>
              <w:t>500</w:t>
            </w:r>
          </w:p>
        </w:tc>
        <w:tc>
          <w:tcPr>
            <w:tcW w:w="3373" w:type="dxa"/>
          </w:tcPr>
          <w:p w14:paraId="7EE210EE" w14:textId="46AB18EC" w:rsidR="00707EC1" w:rsidRPr="00AF592C" w:rsidRDefault="00994EEC" w:rsidP="00E9170B">
            <w:pPr>
              <w:jc w:val="left"/>
              <w:rPr>
                <w:sz w:val="19"/>
                <w:szCs w:val="19"/>
                <w:lang w:val="fr-CA"/>
              </w:rPr>
            </w:pPr>
            <w:r w:rsidRPr="00E9170B">
              <w:rPr>
                <w:sz w:val="19"/>
                <w:szCs w:val="19"/>
                <w:lang w:val="fr-FR" w:eastAsia="en-CA"/>
              </w:rPr>
              <w:t>Suffisamment de fonds approuvés provenant de la tranche précédente</w:t>
            </w:r>
            <w:r w:rsidR="00446F34" w:rsidRPr="00E9170B">
              <w:rPr>
                <w:sz w:val="19"/>
                <w:szCs w:val="19"/>
                <w:lang w:val="fr-FR"/>
              </w:rPr>
              <w:t>/ difficultés internes ou externes/seuil de décaissement de 20 pour cent</w:t>
            </w:r>
            <w:r w:rsidR="00B81C1B" w:rsidRPr="00E9170B">
              <w:rPr>
                <w:sz w:val="19"/>
                <w:szCs w:val="19"/>
                <w:lang w:val="fr-FR"/>
              </w:rPr>
              <w:t xml:space="preserve"> </w:t>
            </w:r>
          </w:p>
        </w:tc>
        <w:tc>
          <w:tcPr>
            <w:tcW w:w="5812" w:type="dxa"/>
            <w:vMerge w:val="restart"/>
          </w:tcPr>
          <w:p w14:paraId="41B06B87" w14:textId="684ACEBE" w:rsidR="00707EC1" w:rsidRPr="00AF592C" w:rsidRDefault="00446F34" w:rsidP="00E352F6">
            <w:pPr>
              <w:jc w:val="left"/>
              <w:rPr>
                <w:sz w:val="19"/>
                <w:szCs w:val="19"/>
                <w:lang w:val="fr-CA"/>
              </w:rPr>
            </w:pPr>
            <w:r w:rsidRPr="00E9170B">
              <w:rPr>
                <w:sz w:val="19"/>
                <w:szCs w:val="19"/>
                <w:lang w:val="fr-FR"/>
              </w:rPr>
              <w:t>Prendre note que le taux de décaissement global de la deuxième tranche (2019) de la phase I du PGEH se situait au-dessous du seuil de 20 pour cent, et inviter instamment le gouvernement du Niger à coopérer avec le PNUE et l</w:t>
            </w:r>
            <w:r w:rsidR="0048249F">
              <w:rPr>
                <w:sz w:val="19"/>
                <w:szCs w:val="19"/>
                <w:lang w:val="fr-FR"/>
              </w:rPr>
              <w:t>’</w:t>
            </w:r>
            <w:r w:rsidRPr="00E9170B">
              <w:rPr>
                <w:sz w:val="19"/>
                <w:szCs w:val="19"/>
                <w:lang w:val="fr-FR"/>
              </w:rPr>
              <w:t>ONUDI afin que la troisième tranche (2020) de la phase I puisse être soumise à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 étant entendu que le seuil de décaissement de 20 pour cent pour le financement de la tranche précédente a été atteint.</w:t>
            </w:r>
          </w:p>
        </w:tc>
      </w:tr>
      <w:tr w:rsidR="00F91E4F" w:rsidRPr="00B67439" w14:paraId="167FA31C" w14:textId="77777777" w:rsidTr="00311AA4">
        <w:trPr>
          <w:trHeight w:val="728"/>
        </w:trPr>
        <w:tc>
          <w:tcPr>
            <w:tcW w:w="1560" w:type="dxa"/>
            <w:vMerge/>
            <w:tcBorders>
              <w:bottom w:val="single" w:sz="4" w:space="0" w:color="auto"/>
            </w:tcBorders>
          </w:tcPr>
          <w:p w14:paraId="68E7D184" w14:textId="77777777" w:rsidR="00707EC1" w:rsidRPr="00AF592C" w:rsidRDefault="00707EC1" w:rsidP="00F74962">
            <w:pPr>
              <w:ind w:right="-131"/>
              <w:jc w:val="left"/>
              <w:rPr>
                <w:sz w:val="19"/>
                <w:szCs w:val="19"/>
                <w:lang w:val="fr-CA" w:eastAsia="en-CA"/>
              </w:rPr>
            </w:pPr>
          </w:p>
        </w:tc>
        <w:tc>
          <w:tcPr>
            <w:tcW w:w="1276" w:type="dxa"/>
            <w:tcBorders>
              <w:bottom w:val="single" w:sz="4" w:space="0" w:color="auto"/>
            </w:tcBorders>
          </w:tcPr>
          <w:p w14:paraId="205D9EAE" w14:textId="1DB78F0F" w:rsidR="00707EC1" w:rsidRPr="00E9170B" w:rsidRDefault="00446F34" w:rsidP="00E352F6">
            <w:pPr>
              <w:jc w:val="left"/>
              <w:rPr>
                <w:sz w:val="19"/>
                <w:szCs w:val="19"/>
                <w:lang w:val="en-CA" w:eastAsia="en-CA"/>
              </w:rPr>
            </w:pPr>
            <w:r w:rsidRPr="00E9170B">
              <w:rPr>
                <w:sz w:val="19"/>
                <w:szCs w:val="19"/>
                <w:lang w:val="fr-FR" w:eastAsia="en-CA"/>
              </w:rPr>
              <w:t>ONUDI</w:t>
            </w:r>
          </w:p>
        </w:tc>
        <w:tc>
          <w:tcPr>
            <w:tcW w:w="879" w:type="dxa"/>
            <w:tcBorders>
              <w:bottom w:val="single" w:sz="4" w:space="0" w:color="auto"/>
            </w:tcBorders>
          </w:tcPr>
          <w:p w14:paraId="429D3800" w14:textId="1BD2914B" w:rsidR="00707EC1" w:rsidRPr="00E9170B" w:rsidRDefault="00707EC1" w:rsidP="00F74962">
            <w:pPr>
              <w:jc w:val="center"/>
              <w:rPr>
                <w:sz w:val="19"/>
                <w:szCs w:val="19"/>
                <w:lang w:val="en-CA" w:eastAsia="en-CA"/>
              </w:rPr>
            </w:pPr>
            <w:r w:rsidRPr="00E9170B">
              <w:rPr>
                <w:sz w:val="19"/>
                <w:szCs w:val="19"/>
                <w:lang w:val="en-CA" w:eastAsia="en-CA"/>
              </w:rPr>
              <w:t>2020</w:t>
            </w:r>
          </w:p>
        </w:tc>
        <w:tc>
          <w:tcPr>
            <w:tcW w:w="1275" w:type="dxa"/>
            <w:tcBorders>
              <w:bottom w:val="single" w:sz="4" w:space="0" w:color="auto"/>
            </w:tcBorders>
          </w:tcPr>
          <w:p w14:paraId="247A3A15" w14:textId="5632C64D" w:rsidR="00707EC1" w:rsidRPr="00E9170B" w:rsidRDefault="00707EC1" w:rsidP="00F74962">
            <w:pPr>
              <w:jc w:val="right"/>
              <w:rPr>
                <w:sz w:val="19"/>
                <w:szCs w:val="19"/>
                <w:lang w:val="en-CA" w:eastAsia="en-CA"/>
              </w:rPr>
            </w:pPr>
            <w:r w:rsidRPr="00E9170B">
              <w:rPr>
                <w:sz w:val="19"/>
                <w:szCs w:val="19"/>
                <w:lang w:val="en-CA" w:eastAsia="en-CA"/>
              </w:rPr>
              <w:t>21</w:t>
            </w:r>
            <w:r w:rsidR="00E9170B">
              <w:rPr>
                <w:sz w:val="19"/>
                <w:szCs w:val="19"/>
                <w:lang w:val="en-CA" w:eastAsia="en-CA"/>
              </w:rPr>
              <w:t> </w:t>
            </w:r>
            <w:r w:rsidRPr="00E9170B">
              <w:rPr>
                <w:sz w:val="19"/>
                <w:szCs w:val="19"/>
                <w:lang w:val="en-CA" w:eastAsia="en-CA"/>
              </w:rPr>
              <w:t>400</w:t>
            </w:r>
          </w:p>
        </w:tc>
        <w:tc>
          <w:tcPr>
            <w:tcW w:w="3373" w:type="dxa"/>
            <w:tcBorders>
              <w:bottom w:val="single" w:sz="4" w:space="0" w:color="auto"/>
            </w:tcBorders>
          </w:tcPr>
          <w:p w14:paraId="0013088E" w14:textId="6F58BC77" w:rsidR="00707EC1" w:rsidRPr="00AF592C" w:rsidRDefault="00446F34" w:rsidP="00E9170B">
            <w:pPr>
              <w:jc w:val="left"/>
              <w:rPr>
                <w:sz w:val="19"/>
                <w:szCs w:val="19"/>
                <w:lang w:val="fr-CA"/>
              </w:rPr>
            </w:pPr>
            <w:r w:rsidRPr="00E9170B">
              <w:rPr>
                <w:sz w:val="19"/>
                <w:szCs w:val="19"/>
                <w:lang w:val="fr-FR"/>
              </w:rPr>
              <w:t>Décisions/approbations du gouvernement/changements au sein de l</w:t>
            </w:r>
            <w:r w:rsidR="0048249F">
              <w:rPr>
                <w:sz w:val="19"/>
                <w:szCs w:val="19"/>
                <w:lang w:val="fr-FR"/>
              </w:rPr>
              <w:t>’</w:t>
            </w:r>
            <w:r w:rsidRPr="00E9170B">
              <w:rPr>
                <w:sz w:val="19"/>
                <w:szCs w:val="19"/>
                <w:lang w:val="fr-FR"/>
              </w:rPr>
              <w:t>UNO/changements structurels/seuil de décaissement de 20 pour cent</w:t>
            </w:r>
            <w:r w:rsidR="00707EC1" w:rsidRPr="00AF592C">
              <w:rPr>
                <w:sz w:val="19"/>
                <w:szCs w:val="19"/>
                <w:lang w:val="fr-CA"/>
              </w:rPr>
              <w:t xml:space="preserve"> </w:t>
            </w:r>
          </w:p>
        </w:tc>
        <w:tc>
          <w:tcPr>
            <w:tcW w:w="5812" w:type="dxa"/>
            <w:vMerge/>
            <w:tcBorders>
              <w:bottom w:val="single" w:sz="4" w:space="0" w:color="auto"/>
            </w:tcBorders>
          </w:tcPr>
          <w:p w14:paraId="753BE9A7" w14:textId="77777777" w:rsidR="00707EC1" w:rsidRPr="00AF592C" w:rsidRDefault="00707EC1" w:rsidP="00F74962">
            <w:pPr>
              <w:jc w:val="left"/>
              <w:rPr>
                <w:sz w:val="19"/>
                <w:szCs w:val="19"/>
                <w:lang w:val="fr-CA"/>
              </w:rPr>
            </w:pPr>
          </w:p>
        </w:tc>
      </w:tr>
      <w:tr w:rsidR="00F91E4F" w:rsidRPr="00B67439" w14:paraId="6ED42CF8" w14:textId="77777777" w:rsidTr="004E0570">
        <w:trPr>
          <w:trHeight w:val="432"/>
        </w:trPr>
        <w:tc>
          <w:tcPr>
            <w:tcW w:w="1560" w:type="dxa"/>
            <w:vMerge w:val="restart"/>
            <w:tcBorders>
              <w:top w:val="single" w:sz="4" w:space="0" w:color="auto"/>
              <w:left w:val="single" w:sz="4" w:space="0" w:color="auto"/>
              <w:bottom w:val="single" w:sz="4" w:space="0" w:color="auto"/>
              <w:right w:val="single" w:sz="4" w:space="0" w:color="auto"/>
            </w:tcBorders>
          </w:tcPr>
          <w:p w14:paraId="1034C9C1" w14:textId="192F4C38" w:rsidR="00BF7E64" w:rsidRPr="00E9170B" w:rsidRDefault="00446F34" w:rsidP="00E352F6">
            <w:pPr>
              <w:keepNext/>
              <w:ind w:right="-131"/>
              <w:jc w:val="left"/>
              <w:rPr>
                <w:sz w:val="19"/>
                <w:szCs w:val="19"/>
                <w:lang w:val="en-CA" w:eastAsia="en-CA"/>
              </w:rPr>
            </w:pPr>
            <w:r w:rsidRPr="00E9170B">
              <w:rPr>
                <w:sz w:val="19"/>
                <w:szCs w:val="19"/>
                <w:lang w:val="fr-FR" w:eastAsia="en-CA"/>
              </w:rPr>
              <w:t>Nigeria (Phase II)</w:t>
            </w:r>
          </w:p>
        </w:tc>
        <w:tc>
          <w:tcPr>
            <w:tcW w:w="1276" w:type="dxa"/>
            <w:tcBorders>
              <w:top w:val="single" w:sz="4" w:space="0" w:color="auto"/>
              <w:left w:val="single" w:sz="4" w:space="0" w:color="auto"/>
              <w:bottom w:val="single" w:sz="4" w:space="0" w:color="auto"/>
              <w:right w:val="single" w:sz="4" w:space="0" w:color="auto"/>
            </w:tcBorders>
          </w:tcPr>
          <w:p w14:paraId="542CA2A4" w14:textId="797B4594" w:rsidR="00BF7E64" w:rsidRPr="00E9170B" w:rsidRDefault="00446F34" w:rsidP="00E352F6">
            <w:pPr>
              <w:keepNext/>
              <w:jc w:val="left"/>
              <w:rPr>
                <w:sz w:val="19"/>
                <w:szCs w:val="19"/>
                <w:lang w:val="en-CA" w:eastAsia="en-CA"/>
              </w:rPr>
            </w:pPr>
            <w:r w:rsidRPr="00E9170B">
              <w:rPr>
                <w:sz w:val="19"/>
                <w:szCs w:val="19"/>
                <w:lang w:val="fr-FR" w:eastAsia="en-CA"/>
              </w:rPr>
              <w:t>Italie</w:t>
            </w:r>
          </w:p>
        </w:tc>
        <w:tc>
          <w:tcPr>
            <w:tcW w:w="879" w:type="dxa"/>
            <w:tcBorders>
              <w:top w:val="single" w:sz="4" w:space="0" w:color="auto"/>
              <w:left w:val="single" w:sz="4" w:space="0" w:color="auto"/>
              <w:bottom w:val="single" w:sz="4" w:space="0" w:color="auto"/>
              <w:right w:val="single" w:sz="4" w:space="0" w:color="auto"/>
            </w:tcBorders>
          </w:tcPr>
          <w:p w14:paraId="4F6849E4" w14:textId="412D3421" w:rsidR="00BF7E64" w:rsidRPr="00E9170B" w:rsidRDefault="00BF7E64" w:rsidP="00F74962">
            <w:pPr>
              <w:keepNext/>
              <w:jc w:val="center"/>
              <w:rPr>
                <w:sz w:val="19"/>
                <w:szCs w:val="19"/>
                <w:lang w:val="en-CA" w:eastAsia="en-CA"/>
              </w:rPr>
            </w:pPr>
            <w:r w:rsidRPr="00E9170B">
              <w:rPr>
                <w:sz w:val="19"/>
                <w:szCs w:val="19"/>
                <w:lang w:val="en-CA" w:eastAsia="en-CA"/>
              </w:rPr>
              <w:t>2020</w:t>
            </w:r>
          </w:p>
        </w:tc>
        <w:tc>
          <w:tcPr>
            <w:tcW w:w="1275" w:type="dxa"/>
            <w:tcBorders>
              <w:top w:val="single" w:sz="4" w:space="0" w:color="auto"/>
              <w:left w:val="single" w:sz="4" w:space="0" w:color="auto"/>
              <w:bottom w:val="single" w:sz="4" w:space="0" w:color="auto"/>
              <w:right w:val="single" w:sz="4" w:space="0" w:color="auto"/>
            </w:tcBorders>
          </w:tcPr>
          <w:p w14:paraId="6EE78146" w14:textId="787FEACE" w:rsidR="00BF7E64" w:rsidRPr="00E9170B" w:rsidRDefault="00BF7E64" w:rsidP="00F74962">
            <w:pPr>
              <w:keepNext/>
              <w:jc w:val="right"/>
              <w:rPr>
                <w:sz w:val="19"/>
                <w:szCs w:val="19"/>
                <w:lang w:val="en-CA" w:eastAsia="en-CA"/>
              </w:rPr>
            </w:pPr>
            <w:r w:rsidRPr="00E9170B">
              <w:rPr>
                <w:sz w:val="19"/>
                <w:szCs w:val="19"/>
                <w:lang w:val="en-CA" w:eastAsia="en-CA"/>
              </w:rPr>
              <w:t>264</w:t>
            </w:r>
            <w:r w:rsidR="00E9170B">
              <w:rPr>
                <w:sz w:val="19"/>
                <w:szCs w:val="19"/>
                <w:lang w:val="en-CA" w:eastAsia="en-CA"/>
              </w:rPr>
              <w:t> </w:t>
            </w:r>
            <w:r w:rsidRPr="00E9170B">
              <w:rPr>
                <w:sz w:val="19"/>
                <w:szCs w:val="19"/>
                <w:lang w:val="en-CA" w:eastAsia="en-CA"/>
              </w:rPr>
              <w:t>840</w:t>
            </w:r>
          </w:p>
        </w:tc>
        <w:tc>
          <w:tcPr>
            <w:tcW w:w="3373" w:type="dxa"/>
            <w:vMerge w:val="restart"/>
            <w:tcBorders>
              <w:top w:val="single" w:sz="4" w:space="0" w:color="auto"/>
              <w:left w:val="single" w:sz="4" w:space="0" w:color="auto"/>
              <w:bottom w:val="single" w:sz="4" w:space="0" w:color="auto"/>
              <w:right w:val="single" w:sz="4" w:space="0" w:color="auto"/>
            </w:tcBorders>
          </w:tcPr>
          <w:p w14:paraId="42574547" w14:textId="620D4A88" w:rsidR="00BF7E64" w:rsidRPr="00AF592C" w:rsidRDefault="00446F34" w:rsidP="00E9170B">
            <w:pPr>
              <w:keepNext/>
              <w:jc w:val="left"/>
              <w:rPr>
                <w:sz w:val="19"/>
                <w:szCs w:val="19"/>
                <w:lang w:val="fr-CA"/>
              </w:rPr>
            </w:pPr>
            <w:r w:rsidRPr="00E9170B">
              <w:rPr>
                <w:sz w:val="19"/>
                <w:szCs w:val="19"/>
                <w:lang w:val="fr-FR"/>
              </w:rPr>
              <w:t>Décisions/approbations du gouvernement/changements au sein de l</w:t>
            </w:r>
            <w:r w:rsidR="0048249F">
              <w:rPr>
                <w:sz w:val="19"/>
                <w:szCs w:val="19"/>
                <w:lang w:val="fr-FR"/>
              </w:rPr>
              <w:t>’</w:t>
            </w:r>
            <w:r w:rsidRPr="00E9170B">
              <w:rPr>
                <w:sz w:val="19"/>
                <w:szCs w:val="19"/>
                <w:lang w:val="fr-FR"/>
              </w:rPr>
              <w:t xml:space="preserve">UNO/changements structurels/ difficultés internes ou externes/retards au </w:t>
            </w:r>
            <w:r w:rsidR="00E9170B" w:rsidRPr="00E9170B">
              <w:rPr>
                <w:sz w:val="19"/>
                <w:szCs w:val="19"/>
                <w:lang w:val="fr-FR"/>
              </w:rPr>
              <w:t>niveau de l</w:t>
            </w:r>
            <w:r w:rsidR="0048249F">
              <w:rPr>
                <w:sz w:val="19"/>
                <w:szCs w:val="19"/>
                <w:lang w:val="fr-FR"/>
              </w:rPr>
              <w:t>’</w:t>
            </w:r>
            <w:r w:rsidR="00E9170B" w:rsidRPr="00E9170B">
              <w:rPr>
                <w:sz w:val="19"/>
                <w:szCs w:val="19"/>
                <w:lang w:val="fr-FR"/>
              </w:rPr>
              <w:t>agence d</w:t>
            </w:r>
            <w:r w:rsidR="0048249F">
              <w:rPr>
                <w:sz w:val="19"/>
                <w:szCs w:val="19"/>
                <w:lang w:val="fr-FR"/>
              </w:rPr>
              <w:t>’</w:t>
            </w:r>
            <w:r w:rsidR="00E9170B" w:rsidRPr="00E9170B">
              <w:rPr>
                <w:sz w:val="19"/>
                <w:szCs w:val="19"/>
                <w:lang w:val="fr-FR"/>
              </w:rPr>
              <w:t>exécution/</w:t>
            </w:r>
            <w:r w:rsidRPr="00E9170B">
              <w:rPr>
                <w:sz w:val="19"/>
                <w:szCs w:val="19"/>
                <w:lang w:val="fr-FR"/>
              </w:rPr>
              <w:t>seuil de décaissement de 20 pour cent</w:t>
            </w:r>
            <w:r w:rsidR="00BF7E64" w:rsidRPr="00AF592C">
              <w:rPr>
                <w:sz w:val="19"/>
                <w:szCs w:val="19"/>
                <w:lang w:val="fr-CA"/>
              </w:rPr>
              <w:t xml:space="preserve"> </w:t>
            </w:r>
          </w:p>
        </w:tc>
        <w:tc>
          <w:tcPr>
            <w:tcW w:w="5812" w:type="dxa"/>
            <w:vMerge w:val="restart"/>
            <w:tcBorders>
              <w:top w:val="single" w:sz="4" w:space="0" w:color="auto"/>
              <w:left w:val="single" w:sz="4" w:space="0" w:color="auto"/>
              <w:bottom w:val="single" w:sz="4" w:space="0" w:color="auto"/>
              <w:right w:val="single" w:sz="4" w:space="0" w:color="auto"/>
            </w:tcBorders>
          </w:tcPr>
          <w:p w14:paraId="29098F88" w14:textId="53DD36D9" w:rsidR="00BF7E64" w:rsidRPr="00AF592C" w:rsidRDefault="00446F34" w:rsidP="009B523C">
            <w:pPr>
              <w:keepNext/>
              <w:jc w:val="left"/>
              <w:rPr>
                <w:sz w:val="19"/>
                <w:szCs w:val="19"/>
                <w:lang w:val="fr-CA"/>
              </w:rPr>
            </w:pPr>
            <w:r w:rsidRPr="00E9170B">
              <w:rPr>
                <w:sz w:val="19"/>
                <w:szCs w:val="19"/>
                <w:lang w:val="fr-FR"/>
              </w:rPr>
              <w:t>Prendre note des retards dus au processus de longue durée concern</w:t>
            </w:r>
            <w:r w:rsidR="009B523C">
              <w:rPr>
                <w:sz w:val="19"/>
                <w:szCs w:val="19"/>
                <w:lang w:val="fr-FR"/>
              </w:rPr>
              <w:t>a</w:t>
            </w:r>
            <w:r w:rsidRPr="00E9170B">
              <w:rPr>
                <w:sz w:val="19"/>
                <w:szCs w:val="19"/>
                <w:lang w:val="fr-FR"/>
              </w:rPr>
              <w:t>nt l</w:t>
            </w:r>
            <w:r w:rsidR="0048249F">
              <w:rPr>
                <w:sz w:val="19"/>
                <w:szCs w:val="19"/>
                <w:lang w:val="fr-FR"/>
              </w:rPr>
              <w:t>’</w:t>
            </w:r>
            <w:r w:rsidRPr="00E9170B">
              <w:rPr>
                <w:sz w:val="19"/>
                <w:szCs w:val="19"/>
                <w:lang w:val="fr-FR"/>
              </w:rPr>
              <w:t>achèvement et l</w:t>
            </w:r>
            <w:r w:rsidR="0048249F">
              <w:rPr>
                <w:sz w:val="19"/>
                <w:szCs w:val="19"/>
                <w:lang w:val="fr-FR"/>
              </w:rPr>
              <w:t>’</w:t>
            </w:r>
            <w:r w:rsidRPr="00E9170B">
              <w:rPr>
                <w:sz w:val="19"/>
                <w:szCs w:val="19"/>
                <w:lang w:val="fr-FR"/>
              </w:rPr>
              <w:t>approbation par les parties prenantes du document de projet de la phase II, et du fait que le taux de décaissement global de la première tranche (2018) de la phase II du PGEH se situait au-dessous du seuil de décaissement de 20 pour cent, et inviter instamment le gouvernement du Nigeria à coopérer avec le gouvernement de l</w:t>
            </w:r>
            <w:r w:rsidR="0048249F">
              <w:rPr>
                <w:sz w:val="19"/>
                <w:szCs w:val="19"/>
                <w:lang w:val="fr-FR"/>
              </w:rPr>
              <w:t>’</w:t>
            </w:r>
            <w:r w:rsidRPr="00E9170B">
              <w:rPr>
                <w:sz w:val="19"/>
                <w:szCs w:val="19"/>
                <w:lang w:val="fr-FR"/>
              </w:rPr>
              <w:t>Italie et le PNUD afin que la deuxième tranche (2020) de la phase II puisse être soumise à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w:t>
            </w:r>
            <w:r w:rsidR="00885498" w:rsidRPr="00E9170B">
              <w:rPr>
                <w:sz w:val="19"/>
                <w:szCs w:val="19"/>
                <w:lang w:val="fr-FR"/>
              </w:rPr>
              <w:t xml:space="preserve"> </w:t>
            </w:r>
            <w:r w:rsidRPr="00E9170B">
              <w:rPr>
                <w:sz w:val="19"/>
                <w:szCs w:val="19"/>
                <w:lang w:val="fr-FR"/>
              </w:rPr>
              <w:t>et des tranches suivantes, étant entendu que le seuil de décaissement de 20 pour cent pour le financement de la tranche précédente a été atteint.</w:t>
            </w:r>
          </w:p>
        </w:tc>
      </w:tr>
      <w:tr w:rsidR="00F91E4F" w:rsidRPr="00E9170B" w14:paraId="36018500" w14:textId="77777777" w:rsidTr="00DE159B">
        <w:trPr>
          <w:trHeight w:val="1691"/>
        </w:trPr>
        <w:tc>
          <w:tcPr>
            <w:tcW w:w="1560" w:type="dxa"/>
            <w:vMerge/>
            <w:tcBorders>
              <w:top w:val="single" w:sz="4" w:space="0" w:color="auto"/>
              <w:left w:val="single" w:sz="4" w:space="0" w:color="auto"/>
              <w:bottom w:val="single" w:sz="4" w:space="0" w:color="auto"/>
              <w:right w:val="single" w:sz="4" w:space="0" w:color="auto"/>
            </w:tcBorders>
          </w:tcPr>
          <w:p w14:paraId="033DE28E" w14:textId="77777777" w:rsidR="00BF7E64" w:rsidRPr="00AF592C" w:rsidRDefault="00BF7E64" w:rsidP="0021299E">
            <w:pPr>
              <w:ind w:right="-131"/>
              <w:jc w:val="left"/>
              <w:rPr>
                <w:sz w:val="19"/>
                <w:szCs w:val="19"/>
                <w:lang w:val="fr-CA" w:eastAsia="en-CA"/>
              </w:rPr>
            </w:pPr>
          </w:p>
        </w:tc>
        <w:tc>
          <w:tcPr>
            <w:tcW w:w="1276" w:type="dxa"/>
            <w:tcBorders>
              <w:top w:val="single" w:sz="4" w:space="0" w:color="auto"/>
              <w:left w:val="single" w:sz="4" w:space="0" w:color="auto"/>
              <w:bottom w:val="single" w:sz="4" w:space="0" w:color="auto"/>
              <w:right w:val="single" w:sz="4" w:space="0" w:color="auto"/>
            </w:tcBorders>
          </w:tcPr>
          <w:p w14:paraId="78290D44" w14:textId="1EE8043D" w:rsidR="00BF7E64" w:rsidRPr="00E9170B" w:rsidRDefault="00446F34" w:rsidP="00E352F6">
            <w:pPr>
              <w:jc w:val="left"/>
              <w:rPr>
                <w:sz w:val="19"/>
                <w:szCs w:val="19"/>
                <w:lang w:val="en-CA" w:eastAsia="en-CA"/>
              </w:rPr>
            </w:pPr>
            <w:r w:rsidRPr="00E9170B">
              <w:rPr>
                <w:sz w:val="19"/>
                <w:szCs w:val="19"/>
                <w:lang w:val="fr-FR" w:eastAsia="en-CA"/>
              </w:rPr>
              <w:t>PNUD</w:t>
            </w:r>
          </w:p>
        </w:tc>
        <w:tc>
          <w:tcPr>
            <w:tcW w:w="879" w:type="dxa"/>
            <w:tcBorders>
              <w:top w:val="single" w:sz="4" w:space="0" w:color="auto"/>
              <w:left w:val="single" w:sz="4" w:space="0" w:color="auto"/>
              <w:bottom w:val="single" w:sz="4" w:space="0" w:color="auto"/>
              <w:right w:val="single" w:sz="4" w:space="0" w:color="auto"/>
            </w:tcBorders>
          </w:tcPr>
          <w:p w14:paraId="59EEE5EF" w14:textId="6EE60FD2" w:rsidR="00BF7E64" w:rsidRPr="00E9170B" w:rsidRDefault="00BF7E64" w:rsidP="0021299E">
            <w:pPr>
              <w:jc w:val="center"/>
              <w:rPr>
                <w:sz w:val="19"/>
                <w:szCs w:val="19"/>
                <w:lang w:val="en-CA" w:eastAsia="en-CA"/>
              </w:rPr>
            </w:pPr>
            <w:r w:rsidRPr="00E9170B">
              <w:rPr>
                <w:sz w:val="19"/>
                <w:szCs w:val="19"/>
                <w:lang w:val="en-CA" w:eastAsia="en-CA"/>
              </w:rPr>
              <w:t>2020</w:t>
            </w:r>
          </w:p>
        </w:tc>
        <w:tc>
          <w:tcPr>
            <w:tcW w:w="1275" w:type="dxa"/>
            <w:tcBorders>
              <w:top w:val="single" w:sz="4" w:space="0" w:color="auto"/>
              <w:left w:val="single" w:sz="4" w:space="0" w:color="auto"/>
              <w:bottom w:val="single" w:sz="4" w:space="0" w:color="auto"/>
              <w:right w:val="single" w:sz="4" w:space="0" w:color="auto"/>
            </w:tcBorders>
          </w:tcPr>
          <w:p w14:paraId="3CF7F8E3" w14:textId="3816AEED" w:rsidR="00BF7E64" w:rsidRPr="00E9170B" w:rsidRDefault="00BF7E64" w:rsidP="0021299E">
            <w:pPr>
              <w:jc w:val="right"/>
              <w:rPr>
                <w:sz w:val="19"/>
                <w:szCs w:val="19"/>
                <w:lang w:val="en-CA" w:eastAsia="en-CA"/>
              </w:rPr>
            </w:pPr>
            <w:r w:rsidRPr="00E9170B">
              <w:rPr>
                <w:sz w:val="19"/>
                <w:szCs w:val="19"/>
                <w:lang w:val="en-CA" w:eastAsia="en-CA"/>
              </w:rPr>
              <w:t>1</w:t>
            </w:r>
            <w:r w:rsidR="00E9170B">
              <w:rPr>
                <w:sz w:val="19"/>
                <w:szCs w:val="19"/>
                <w:lang w:val="en-CA" w:eastAsia="en-CA"/>
              </w:rPr>
              <w:t> </w:t>
            </w:r>
            <w:r w:rsidRPr="00E9170B">
              <w:rPr>
                <w:sz w:val="19"/>
                <w:szCs w:val="19"/>
                <w:lang w:val="en-CA" w:eastAsia="en-CA"/>
              </w:rPr>
              <w:t>498</w:t>
            </w:r>
            <w:r w:rsidR="00E9170B">
              <w:rPr>
                <w:sz w:val="19"/>
                <w:szCs w:val="19"/>
                <w:lang w:val="en-CA" w:eastAsia="en-CA"/>
              </w:rPr>
              <w:t> </w:t>
            </w:r>
            <w:r w:rsidRPr="00E9170B">
              <w:rPr>
                <w:sz w:val="19"/>
                <w:szCs w:val="19"/>
                <w:lang w:val="en-CA" w:eastAsia="en-CA"/>
              </w:rPr>
              <w:t>000</w:t>
            </w:r>
          </w:p>
        </w:tc>
        <w:tc>
          <w:tcPr>
            <w:tcW w:w="3373" w:type="dxa"/>
            <w:vMerge/>
            <w:tcBorders>
              <w:top w:val="single" w:sz="4" w:space="0" w:color="auto"/>
              <w:left w:val="single" w:sz="4" w:space="0" w:color="auto"/>
              <w:bottom w:val="single" w:sz="4" w:space="0" w:color="auto"/>
              <w:right w:val="single" w:sz="4" w:space="0" w:color="auto"/>
            </w:tcBorders>
          </w:tcPr>
          <w:p w14:paraId="1013E7FF" w14:textId="2C838BEA" w:rsidR="00BF7E64" w:rsidRPr="00E9170B" w:rsidRDefault="00BF7E64" w:rsidP="0021299E">
            <w:pPr>
              <w:jc w:val="left"/>
              <w:rPr>
                <w:sz w:val="19"/>
                <w:szCs w:val="19"/>
              </w:rPr>
            </w:pPr>
          </w:p>
        </w:tc>
        <w:tc>
          <w:tcPr>
            <w:tcW w:w="5812" w:type="dxa"/>
            <w:vMerge/>
            <w:tcBorders>
              <w:top w:val="single" w:sz="4" w:space="0" w:color="auto"/>
              <w:left w:val="single" w:sz="4" w:space="0" w:color="auto"/>
              <w:bottom w:val="single" w:sz="4" w:space="0" w:color="auto"/>
              <w:right w:val="single" w:sz="4" w:space="0" w:color="auto"/>
            </w:tcBorders>
          </w:tcPr>
          <w:p w14:paraId="66B7D8B5" w14:textId="77777777" w:rsidR="00BF7E64" w:rsidRPr="00E9170B" w:rsidRDefault="00BF7E64" w:rsidP="0021299E">
            <w:pPr>
              <w:jc w:val="left"/>
              <w:rPr>
                <w:sz w:val="19"/>
                <w:szCs w:val="19"/>
                <w:lang w:val="en-CA"/>
              </w:rPr>
            </w:pPr>
          </w:p>
        </w:tc>
      </w:tr>
      <w:tr w:rsidR="00F91E4F" w:rsidRPr="00B67439" w14:paraId="1B062204" w14:textId="77777777" w:rsidTr="00C535AD">
        <w:trPr>
          <w:trHeight w:val="100"/>
        </w:trPr>
        <w:tc>
          <w:tcPr>
            <w:tcW w:w="1560" w:type="dxa"/>
            <w:vMerge w:val="restart"/>
            <w:tcBorders>
              <w:top w:val="single" w:sz="4" w:space="0" w:color="auto"/>
              <w:left w:val="single" w:sz="4" w:space="0" w:color="auto"/>
              <w:bottom w:val="single" w:sz="4" w:space="0" w:color="auto"/>
              <w:right w:val="single" w:sz="4" w:space="0" w:color="auto"/>
            </w:tcBorders>
          </w:tcPr>
          <w:p w14:paraId="6D1C482F" w14:textId="3B42DC35" w:rsidR="00F43CD1" w:rsidRPr="00E9170B" w:rsidRDefault="00446F34" w:rsidP="00E352F6">
            <w:pPr>
              <w:keepNext/>
              <w:ind w:right="-131"/>
              <w:jc w:val="left"/>
              <w:rPr>
                <w:sz w:val="19"/>
                <w:szCs w:val="19"/>
                <w:lang w:val="en-CA" w:eastAsia="en-CA"/>
              </w:rPr>
            </w:pPr>
            <w:r w:rsidRPr="00E9170B">
              <w:rPr>
                <w:sz w:val="19"/>
                <w:szCs w:val="19"/>
                <w:lang w:val="fr-FR" w:eastAsia="en-CA"/>
              </w:rPr>
              <w:t>Pakistan (Phase II)</w:t>
            </w:r>
          </w:p>
        </w:tc>
        <w:tc>
          <w:tcPr>
            <w:tcW w:w="1276" w:type="dxa"/>
            <w:tcBorders>
              <w:top w:val="single" w:sz="4" w:space="0" w:color="auto"/>
              <w:left w:val="single" w:sz="4" w:space="0" w:color="auto"/>
              <w:bottom w:val="single" w:sz="4" w:space="0" w:color="auto"/>
              <w:right w:val="single" w:sz="4" w:space="0" w:color="auto"/>
            </w:tcBorders>
          </w:tcPr>
          <w:p w14:paraId="710A35F9" w14:textId="0D52206C" w:rsidR="00F43CD1" w:rsidRPr="00E9170B" w:rsidRDefault="00446F34" w:rsidP="00E352F6">
            <w:pPr>
              <w:keepNext/>
              <w:jc w:val="left"/>
              <w:rPr>
                <w:sz w:val="19"/>
                <w:szCs w:val="19"/>
                <w:lang w:val="en-CA" w:eastAsia="en-CA"/>
              </w:rPr>
            </w:pPr>
            <w:r w:rsidRPr="00E9170B">
              <w:rPr>
                <w:sz w:val="19"/>
                <w:szCs w:val="19"/>
                <w:lang w:val="fr-FR" w:eastAsia="en-CA"/>
              </w:rPr>
              <w:t>PNUE</w:t>
            </w:r>
          </w:p>
        </w:tc>
        <w:tc>
          <w:tcPr>
            <w:tcW w:w="879" w:type="dxa"/>
            <w:tcBorders>
              <w:top w:val="single" w:sz="4" w:space="0" w:color="auto"/>
              <w:left w:val="single" w:sz="4" w:space="0" w:color="auto"/>
              <w:bottom w:val="single" w:sz="4" w:space="0" w:color="auto"/>
              <w:right w:val="single" w:sz="4" w:space="0" w:color="auto"/>
            </w:tcBorders>
          </w:tcPr>
          <w:p w14:paraId="2FC577E3" w14:textId="6C3F69A9" w:rsidR="00F43CD1" w:rsidRPr="00E9170B" w:rsidRDefault="00F43CD1" w:rsidP="00F74962">
            <w:pPr>
              <w:keepNext/>
              <w:jc w:val="center"/>
              <w:rPr>
                <w:sz w:val="19"/>
                <w:szCs w:val="19"/>
                <w:lang w:val="en-CA" w:eastAsia="en-CA"/>
              </w:rPr>
            </w:pPr>
            <w:r w:rsidRPr="00E9170B">
              <w:rPr>
                <w:sz w:val="19"/>
                <w:szCs w:val="19"/>
                <w:lang w:val="en-CA" w:eastAsia="en-CA"/>
              </w:rPr>
              <w:t>2020</w:t>
            </w:r>
          </w:p>
        </w:tc>
        <w:tc>
          <w:tcPr>
            <w:tcW w:w="1275" w:type="dxa"/>
            <w:tcBorders>
              <w:top w:val="single" w:sz="4" w:space="0" w:color="auto"/>
              <w:left w:val="single" w:sz="4" w:space="0" w:color="auto"/>
              <w:bottom w:val="single" w:sz="4" w:space="0" w:color="auto"/>
              <w:right w:val="single" w:sz="4" w:space="0" w:color="auto"/>
            </w:tcBorders>
          </w:tcPr>
          <w:p w14:paraId="4594FEA1" w14:textId="43A4520F" w:rsidR="00F43CD1" w:rsidRPr="00E9170B" w:rsidRDefault="00F43CD1" w:rsidP="00F74962">
            <w:pPr>
              <w:keepNext/>
              <w:jc w:val="right"/>
              <w:rPr>
                <w:sz w:val="19"/>
                <w:szCs w:val="19"/>
                <w:lang w:val="en-CA" w:eastAsia="en-CA"/>
              </w:rPr>
            </w:pPr>
            <w:r w:rsidRPr="00E9170B">
              <w:rPr>
                <w:sz w:val="19"/>
                <w:szCs w:val="19"/>
                <w:lang w:val="en-CA" w:eastAsia="en-CA"/>
              </w:rPr>
              <w:t>116</w:t>
            </w:r>
            <w:r w:rsidR="00E9170B">
              <w:rPr>
                <w:sz w:val="19"/>
                <w:szCs w:val="19"/>
                <w:lang w:val="en-CA" w:eastAsia="en-CA"/>
              </w:rPr>
              <w:t> </w:t>
            </w:r>
            <w:r w:rsidRPr="00E9170B">
              <w:rPr>
                <w:sz w:val="19"/>
                <w:szCs w:val="19"/>
                <w:lang w:val="en-CA" w:eastAsia="en-CA"/>
              </w:rPr>
              <w:t>378</w:t>
            </w:r>
          </w:p>
        </w:tc>
        <w:tc>
          <w:tcPr>
            <w:tcW w:w="3373" w:type="dxa"/>
            <w:tcBorders>
              <w:top w:val="single" w:sz="4" w:space="0" w:color="auto"/>
              <w:left w:val="single" w:sz="4" w:space="0" w:color="auto"/>
              <w:bottom w:val="single" w:sz="4" w:space="0" w:color="auto"/>
              <w:right w:val="single" w:sz="4" w:space="0" w:color="auto"/>
            </w:tcBorders>
          </w:tcPr>
          <w:p w14:paraId="7FF9450B" w14:textId="6B9C51C9" w:rsidR="00F43CD1" w:rsidRPr="00AF592C" w:rsidRDefault="00994EEC" w:rsidP="00E9170B">
            <w:pPr>
              <w:keepNext/>
              <w:jc w:val="left"/>
              <w:rPr>
                <w:sz w:val="19"/>
                <w:szCs w:val="19"/>
                <w:lang w:val="fr-CA"/>
              </w:rPr>
            </w:pPr>
            <w:r w:rsidRPr="00E9170B">
              <w:rPr>
                <w:sz w:val="19"/>
                <w:szCs w:val="19"/>
                <w:lang w:val="fr-FR" w:eastAsia="en-CA"/>
              </w:rPr>
              <w:t>Perturbations dues à la pandémie de Covid-19</w:t>
            </w:r>
            <w:r w:rsidR="00446F34" w:rsidRPr="00E9170B">
              <w:rPr>
                <w:sz w:val="19"/>
                <w:szCs w:val="19"/>
                <w:lang w:val="fr-FR"/>
              </w:rPr>
              <w:t>/seuil de décaissement de 20 pour cent</w:t>
            </w:r>
            <w:r w:rsidR="00F43CD1" w:rsidRPr="00AF592C">
              <w:rPr>
                <w:sz w:val="19"/>
                <w:szCs w:val="19"/>
                <w:lang w:val="fr-CA"/>
              </w:rPr>
              <w:t xml:space="preserve"> </w:t>
            </w:r>
          </w:p>
        </w:tc>
        <w:tc>
          <w:tcPr>
            <w:tcW w:w="5812" w:type="dxa"/>
            <w:vMerge w:val="restart"/>
            <w:tcBorders>
              <w:top w:val="single" w:sz="4" w:space="0" w:color="auto"/>
              <w:left w:val="single" w:sz="4" w:space="0" w:color="auto"/>
              <w:bottom w:val="single" w:sz="4" w:space="0" w:color="auto"/>
              <w:right w:val="single" w:sz="4" w:space="0" w:color="auto"/>
            </w:tcBorders>
          </w:tcPr>
          <w:p w14:paraId="18DAC00B" w14:textId="47FC0151" w:rsidR="00F43CD1" w:rsidRPr="00AF592C" w:rsidRDefault="00446F34" w:rsidP="00E352F6">
            <w:pPr>
              <w:keepNext/>
              <w:jc w:val="left"/>
              <w:rPr>
                <w:sz w:val="19"/>
                <w:szCs w:val="19"/>
                <w:lang w:val="fr-CA"/>
              </w:rPr>
            </w:pPr>
            <w:r w:rsidRPr="00E9170B">
              <w:rPr>
                <w:sz w:val="19"/>
                <w:szCs w:val="19"/>
                <w:lang w:val="fr-FR"/>
              </w:rPr>
              <w:t>Prendre note que le taux de décaissement global de la troisième tranche (2019) de la phase II du PGEH se situait au-dessous du seuil de 20 pour cent, et inviter instamment le gouvernement du Pakistan à coopérer avec le PNUE et l</w:t>
            </w:r>
            <w:r w:rsidR="0048249F">
              <w:rPr>
                <w:sz w:val="19"/>
                <w:szCs w:val="19"/>
                <w:lang w:val="fr-FR"/>
              </w:rPr>
              <w:t>’</w:t>
            </w:r>
            <w:r w:rsidRPr="00E9170B">
              <w:rPr>
                <w:sz w:val="19"/>
                <w:szCs w:val="19"/>
                <w:lang w:val="fr-FR"/>
              </w:rPr>
              <w:t>ONUDI afin que la quatrième tranche (2020) de la phase II puisse être soumise à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 étant entendu que le seuil de décaissement de 20 pour cent pour le financement de la tranche précédente a été atteint.</w:t>
            </w:r>
          </w:p>
        </w:tc>
      </w:tr>
      <w:tr w:rsidR="00F91E4F" w:rsidRPr="00B67439" w14:paraId="40729A15" w14:textId="77777777" w:rsidTr="00C535AD">
        <w:trPr>
          <w:trHeight w:val="100"/>
        </w:trPr>
        <w:tc>
          <w:tcPr>
            <w:tcW w:w="1560" w:type="dxa"/>
            <w:vMerge/>
            <w:tcBorders>
              <w:top w:val="single" w:sz="4" w:space="0" w:color="auto"/>
            </w:tcBorders>
          </w:tcPr>
          <w:p w14:paraId="4D75DAD1" w14:textId="77777777" w:rsidR="00F43CD1" w:rsidRPr="00AF592C" w:rsidRDefault="00F43CD1" w:rsidP="00F74962">
            <w:pPr>
              <w:keepNext/>
              <w:ind w:right="-131"/>
              <w:jc w:val="left"/>
              <w:rPr>
                <w:sz w:val="19"/>
                <w:szCs w:val="19"/>
                <w:lang w:val="fr-CA" w:eastAsia="en-CA"/>
              </w:rPr>
            </w:pPr>
          </w:p>
        </w:tc>
        <w:tc>
          <w:tcPr>
            <w:tcW w:w="1276" w:type="dxa"/>
            <w:tcBorders>
              <w:top w:val="single" w:sz="4" w:space="0" w:color="auto"/>
            </w:tcBorders>
          </w:tcPr>
          <w:p w14:paraId="3D5863E9" w14:textId="44316D72" w:rsidR="00F43CD1" w:rsidRPr="00E9170B" w:rsidRDefault="00446F34" w:rsidP="00E352F6">
            <w:pPr>
              <w:keepNext/>
              <w:jc w:val="left"/>
              <w:rPr>
                <w:sz w:val="19"/>
                <w:szCs w:val="19"/>
                <w:lang w:val="en-CA" w:eastAsia="en-CA"/>
              </w:rPr>
            </w:pPr>
            <w:r w:rsidRPr="00E9170B">
              <w:rPr>
                <w:sz w:val="19"/>
                <w:szCs w:val="19"/>
                <w:lang w:val="fr-FR" w:eastAsia="en-CA"/>
              </w:rPr>
              <w:t>ONUDI</w:t>
            </w:r>
          </w:p>
        </w:tc>
        <w:tc>
          <w:tcPr>
            <w:tcW w:w="879" w:type="dxa"/>
            <w:tcBorders>
              <w:top w:val="single" w:sz="4" w:space="0" w:color="auto"/>
            </w:tcBorders>
          </w:tcPr>
          <w:p w14:paraId="02FDAF46" w14:textId="4AD9181F" w:rsidR="00F43CD1" w:rsidRPr="00E9170B" w:rsidRDefault="00F43CD1" w:rsidP="00F74962">
            <w:pPr>
              <w:keepNext/>
              <w:jc w:val="center"/>
              <w:rPr>
                <w:sz w:val="19"/>
                <w:szCs w:val="19"/>
                <w:lang w:val="en-CA" w:eastAsia="en-CA"/>
              </w:rPr>
            </w:pPr>
            <w:r w:rsidRPr="00E9170B">
              <w:rPr>
                <w:sz w:val="19"/>
                <w:szCs w:val="19"/>
                <w:lang w:val="en-CA" w:eastAsia="en-CA"/>
              </w:rPr>
              <w:t>2020</w:t>
            </w:r>
          </w:p>
        </w:tc>
        <w:tc>
          <w:tcPr>
            <w:tcW w:w="1275" w:type="dxa"/>
            <w:tcBorders>
              <w:top w:val="single" w:sz="4" w:space="0" w:color="auto"/>
            </w:tcBorders>
          </w:tcPr>
          <w:p w14:paraId="5939CACC" w14:textId="46C74BD7" w:rsidR="00F43CD1" w:rsidRPr="00E9170B" w:rsidRDefault="00F43CD1" w:rsidP="00F74962">
            <w:pPr>
              <w:keepNext/>
              <w:jc w:val="right"/>
              <w:rPr>
                <w:sz w:val="19"/>
                <w:szCs w:val="19"/>
                <w:lang w:val="en-CA" w:eastAsia="en-CA"/>
              </w:rPr>
            </w:pPr>
            <w:r w:rsidRPr="00E9170B">
              <w:rPr>
                <w:sz w:val="19"/>
                <w:szCs w:val="19"/>
                <w:lang w:val="en-CA" w:eastAsia="en-CA"/>
              </w:rPr>
              <w:t>477</w:t>
            </w:r>
            <w:r w:rsidR="00E9170B">
              <w:rPr>
                <w:sz w:val="19"/>
                <w:szCs w:val="19"/>
                <w:lang w:val="en-CA" w:eastAsia="en-CA"/>
              </w:rPr>
              <w:t> </w:t>
            </w:r>
            <w:r w:rsidRPr="00E9170B">
              <w:rPr>
                <w:sz w:val="19"/>
                <w:szCs w:val="19"/>
                <w:lang w:val="en-CA" w:eastAsia="en-CA"/>
              </w:rPr>
              <w:t>990</w:t>
            </w:r>
          </w:p>
        </w:tc>
        <w:tc>
          <w:tcPr>
            <w:tcW w:w="3373" w:type="dxa"/>
            <w:tcBorders>
              <w:top w:val="single" w:sz="4" w:space="0" w:color="auto"/>
            </w:tcBorders>
          </w:tcPr>
          <w:p w14:paraId="1925E10F" w14:textId="30ECA8B3" w:rsidR="00F43CD1" w:rsidRPr="00AF592C" w:rsidRDefault="00446F34" w:rsidP="00E9170B">
            <w:pPr>
              <w:keepNext/>
              <w:jc w:val="left"/>
              <w:rPr>
                <w:sz w:val="19"/>
                <w:szCs w:val="19"/>
                <w:lang w:val="fr-CA"/>
              </w:rPr>
            </w:pPr>
            <w:r w:rsidRPr="00E9170B">
              <w:rPr>
                <w:sz w:val="19"/>
                <w:szCs w:val="19"/>
                <w:lang w:val="fr-FR"/>
              </w:rPr>
              <w:t>Décisions/approbations du gouvernement/changements au sein de l</w:t>
            </w:r>
            <w:r w:rsidR="0048249F">
              <w:rPr>
                <w:sz w:val="19"/>
                <w:szCs w:val="19"/>
                <w:lang w:val="fr-FR"/>
              </w:rPr>
              <w:t>’</w:t>
            </w:r>
            <w:r w:rsidRPr="00E9170B">
              <w:rPr>
                <w:sz w:val="19"/>
                <w:szCs w:val="19"/>
                <w:lang w:val="fr-FR"/>
              </w:rPr>
              <w:t>UNO/changements structurels/ retards au niveau de l</w:t>
            </w:r>
            <w:r w:rsidR="0048249F">
              <w:rPr>
                <w:sz w:val="19"/>
                <w:szCs w:val="19"/>
                <w:lang w:val="fr-FR"/>
              </w:rPr>
              <w:t>’</w:t>
            </w:r>
            <w:r w:rsidRPr="00E9170B">
              <w:rPr>
                <w:sz w:val="19"/>
                <w:szCs w:val="19"/>
                <w:lang w:val="fr-FR"/>
              </w:rPr>
              <w:t>entreprise/ difficultés internes ou externes/seuil de décaissement de 20 pour cent</w:t>
            </w:r>
            <w:r w:rsidR="00F43CD1" w:rsidRPr="00AF592C">
              <w:rPr>
                <w:sz w:val="19"/>
                <w:szCs w:val="19"/>
                <w:lang w:val="fr-CA"/>
              </w:rPr>
              <w:t xml:space="preserve"> </w:t>
            </w:r>
          </w:p>
        </w:tc>
        <w:tc>
          <w:tcPr>
            <w:tcW w:w="5812" w:type="dxa"/>
            <w:vMerge/>
            <w:tcBorders>
              <w:top w:val="single" w:sz="4" w:space="0" w:color="auto"/>
            </w:tcBorders>
          </w:tcPr>
          <w:p w14:paraId="5D37CAF9" w14:textId="77777777" w:rsidR="00F43CD1" w:rsidRPr="00AF592C" w:rsidRDefault="00F43CD1" w:rsidP="00F74962">
            <w:pPr>
              <w:keepNext/>
              <w:jc w:val="left"/>
              <w:rPr>
                <w:sz w:val="19"/>
                <w:szCs w:val="19"/>
                <w:lang w:val="fr-CA"/>
              </w:rPr>
            </w:pPr>
          </w:p>
        </w:tc>
      </w:tr>
      <w:tr w:rsidR="00F91E4F" w:rsidRPr="00B67439" w14:paraId="4BC18C2A" w14:textId="77777777" w:rsidTr="00243A19">
        <w:trPr>
          <w:trHeight w:val="464"/>
        </w:trPr>
        <w:tc>
          <w:tcPr>
            <w:tcW w:w="1560" w:type="dxa"/>
          </w:tcPr>
          <w:p w14:paraId="36B15C5D" w14:textId="4D64EE83" w:rsidR="00C86090" w:rsidRPr="00AF592C" w:rsidRDefault="00446F34" w:rsidP="0021299E">
            <w:pPr>
              <w:ind w:right="-131"/>
              <w:jc w:val="left"/>
              <w:rPr>
                <w:sz w:val="19"/>
                <w:szCs w:val="19"/>
                <w:lang w:val="fr-CA" w:eastAsia="en-CA"/>
              </w:rPr>
            </w:pPr>
            <w:r w:rsidRPr="00E9170B">
              <w:rPr>
                <w:sz w:val="19"/>
                <w:szCs w:val="19"/>
                <w:lang w:val="fr-FR" w:eastAsia="en-CA"/>
              </w:rPr>
              <w:t>Papouasie-Nouvelle-</w:t>
            </w:r>
            <w:r w:rsidR="00C86090" w:rsidRPr="00AF592C">
              <w:rPr>
                <w:sz w:val="19"/>
                <w:szCs w:val="19"/>
                <w:lang w:val="fr-CA" w:eastAsia="en-CA"/>
              </w:rPr>
              <w:t xml:space="preserve"> </w:t>
            </w:r>
          </w:p>
          <w:p w14:paraId="010ED0C6" w14:textId="69A77407" w:rsidR="00C86090" w:rsidRPr="00AF592C" w:rsidRDefault="00446F34" w:rsidP="00E352F6">
            <w:pPr>
              <w:ind w:right="-131"/>
              <w:jc w:val="left"/>
              <w:rPr>
                <w:sz w:val="19"/>
                <w:szCs w:val="19"/>
                <w:lang w:val="fr-CA" w:eastAsia="en-CA"/>
              </w:rPr>
            </w:pPr>
            <w:r w:rsidRPr="00E9170B">
              <w:rPr>
                <w:sz w:val="19"/>
                <w:szCs w:val="19"/>
                <w:lang w:val="fr-FR" w:eastAsia="en-CA"/>
              </w:rPr>
              <w:t>Guinée (Phase I)</w:t>
            </w:r>
          </w:p>
        </w:tc>
        <w:tc>
          <w:tcPr>
            <w:tcW w:w="1276" w:type="dxa"/>
          </w:tcPr>
          <w:p w14:paraId="306BE870" w14:textId="25C265B7" w:rsidR="00C86090" w:rsidRPr="00E9170B" w:rsidRDefault="00446F34" w:rsidP="00E352F6">
            <w:pPr>
              <w:jc w:val="left"/>
              <w:rPr>
                <w:sz w:val="19"/>
                <w:szCs w:val="19"/>
                <w:lang w:val="en-CA" w:eastAsia="en-CA"/>
              </w:rPr>
            </w:pPr>
            <w:r w:rsidRPr="00E9170B">
              <w:rPr>
                <w:sz w:val="19"/>
                <w:szCs w:val="19"/>
                <w:lang w:val="fr-FR" w:eastAsia="en-CA"/>
              </w:rPr>
              <w:t>Allemagne</w:t>
            </w:r>
          </w:p>
        </w:tc>
        <w:tc>
          <w:tcPr>
            <w:tcW w:w="879" w:type="dxa"/>
          </w:tcPr>
          <w:p w14:paraId="36C0E67C" w14:textId="238A91AF" w:rsidR="00C86090" w:rsidRPr="00E9170B" w:rsidRDefault="00C86090" w:rsidP="0021299E">
            <w:pPr>
              <w:jc w:val="center"/>
              <w:rPr>
                <w:sz w:val="19"/>
                <w:szCs w:val="19"/>
                <w:lang w:val="en-CA" w:eastAsia="en-CA"/>
              </w:rPr>
            </w:pPr>
            <w:r w:rsidRPr="00E9170B">
              <w:rPr>
                <w:sz w:val="19"/>
                <w:szCs w:val="19"/>
                <w:lang w:val="en-CA" w:eastAsia="en-CA"/>
              </w:rPr>
              <w:t>2020</w:t>
            </w:r>
          </w:p>
        </w:tc>
        <w:tc>
          <w:tcPr>
            <w:tcW w:w="1275" w:type="dxa"/>
          </w:tcPr>
          <w:p w14:paraId="2156E134" w14:textId="560BB8C8" w:rsidR="00C86090" w:rsidRPr="00E9170B" w:rsidRDefault="00C86090" w:rsidP="0021299E">
            <w:pPr>
              <w:jc w:val="right"/>
              <w:rPr>
                <w:sz w:val="19"/>
                <w:szCs w:val="19"/>
                <w:lang w:val="en-CA" w:eastAsia="en-CA"/>
              </w:rPr>
            </w:pPr>
            <w:r w:rsidRPr="00E9170B">
              <w:rPr>
                <w:sz w:val="19"/>
                <w:szCs w:val="19"/>
                <w:lang w:val="en-CA" w:eastAsia="en-CA"/>
              </w:rPr>
              <w:t>149</w:t>
            </w:r>
            <w:r w:rsidR="00E9170B">
              <w:rPr>
                <w:sz w:val="19"/>
                <w:szCs w:val="19"/>
                <w:lang w:val="en-CA" w:eastAsia="en-CA"/>
              </w:rPr>
              <w:t> </w:t>
            </w:r>
            <w:r w:rsidRPr="00E9170B">
              <w:rPr>
                <w:sz w:val="19"/>
                <w:szCs w:val="19"/>
                <w:lang w:val="en-CA" w:eastAsia="en-CA"/>
              </w:rPr>
              <w:t>812</w:t>
            </w:r>
          </w:p>
        </w:tc>
        <w:tc>
          <w:tcPr>
            <w:tcW w:w="3373" w:type="dxa"/>
          </w:tcPr>
          <w:p w14:paraId="1D0A41E3" w14:textId="686EBC17" w:rsidR="00C86090" w:rsidRPr="00E9170B" w:rsidRDefault="00446F34" w:rsidP="00994EEC">
            <w:pPr>
              <w:jc w:val="left"/>
              <w:rPr>
                <w:sz w:val="19"/>
                <w:szCs w:val="19"/>
              </w:rPr>
            </w:pPr>
            <w:r w:rsidRPr="00E9170B">
              <w:rPr>
                <w:sz w:val="19"/>
                <w:szCs w:val="19"/>
                <w:lang w:val="fr-FR"/>
              </w:rPr>
              <w:t>Non fourni</w:t>
            </w:r>
            <w:r w:rsidR="00994EEC" w:rsidRPr="00E9170B">
              <w:rPr>
                <w:sz w:val="19"/>
                <w:szCs w:val="19"/>
                <w:lang w:val="fr-FR"/>
              </w:rPr>
              <w:t>e</w:t>
            </w:r>
          </w:p>
        </w:tc>
        <w:tc>
          <w:tcPr>
            <w:tcW w:w="5812" w:type="dxa"/>
          </w:tcPr>
          <w:p w14:paraId="2D8E6B92" w14:textId="5D01A82C" w:rsidR="00C86090" w:rsidRPr="00AF592C" w:rsidRDefault="00446F34" w:rsidP="00E352F6">
            <w:pPr>
              <w:jc w:val="left"/>
              <w:rPr>
                <w:sz w:val="19"/>
                <w:szCs w:val="19"/>
                <w:lang w:val="fr-CA"/>
              </w:rPr>
            </w:pPr>
            <w:r w:rsidRPr="00E9170B">
              <w:rPr>
                <w:sz w:val="19"/>
                <w:szCs w:val="19"/>
                <w:lang w:val="fr-FR"/>
              </w:rPr>
              <w:t>Prendre note des retards dans la mise en œuvre de la troisième tranche (2016) de la phase I du PGEH, et inviter instamment le gouverne</w:t>
            </w:r>
            <w:r w:rsidRPr="00E9170B">
              <w:rPr>
                <w:sz w:val="19"/>
                <w:szCs w:val="19"/>
                <w:lang w:val="fr-FR" w:eastAsia="en-CA"/>
              </w:rPr>
              <w:t xml:space="preserve">ment de </w:t>
            </w:r>
            <w:r w:rsidR="00885498" w:rsidRPr="00E9170B">
              <w:rPr>
                <w:sz w:val="19"/>
                <w:szCs w:val="19"/>
                <w:lang w:val="fr-FR" w:eastAsia="en-CA"/>
              </w:rPr>
              <w:t xml:space="preserve">la </w:t>
            </w:r>
            <w:r w:rsidRPr="00E9170B">
              <w:rPr>
                <w:sz w:val="19"/>
                <w:szCs w:val="19"/>
                <w:lang w:val="fr-FR"/>
              </w:rPr>
              <w:t>Papouasie-Nouvelle-Guinée à coopérer avec le gouvernement de l</w:t>
            </w:r>
            <w:r w:rsidR="0048249F">
              <w:rPr>
                <w:sz w:val="19"/>
                <w:szCs w:val="19"/>
                <w:lang w:val="fr-FR"/>
              </w:rPr>
              <w:t>’</w:t>
            </w:r>
            <w:r w:rsidRPr="00E9170B">
              <w:rPr>
                <w:sz w:val="19"/>
                <w:szCs w:val="19"/>
                <w:lang w:val="fr-FR" w:eastAsia="en-CA"/>
              </w:rPr>
              <w:t xml:space="preserve">Allemagne </w:t>
            </w:r>
            <w:r w:rsidRPr="00E9170B">
              <w:rPr>
                <w:sz w:val="19"/>
                <w:szCs w:val="19"/>
                <w:lang w:val="fr-FR"/>
              </w:rPr>
              <w:t xml:space="preserve">afin que la quatrième tranche (2020) </w:t>
            </w:r>
            <w:r w:rsidR="00885498" w:rsidRPr="00E9170B">
              <w:rPr>
                <w:sz w:val="19"/>
                <w:szCs w:val="19"/>
                <w:lang w:val="fr-FR"/>
              </w:rPr>
              <w:t>de la phase I</w:t>
            </w:r>
            <w:r w:rsidRPr="00E9170B">
              <w:rPr>
                <w:sz w:val="19"/>
                <w:szCs w:val="19"/>
                <w:lang w:val="fr-FR"/>
              </w:rPr>
              <w:t xml:space="preserve"> puisse être soumise à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 et des tranches suivantes.</w:t>
            </w:r>
          </w:p>
        </w:tc>
      </w:tr>
      <w:tr w:rsidR="00F91E4F" w:rsidRPr="00B67439" w14:paraId="5E79FD32" w14:textId="77777777" w:rsidTr="00785A57">
        <w:trPr>
          <w:trHeight w:val="1263"/>
        </w:trPr>
        <w:tc>
          <w:tcPr>
            <w:tcW w:w="1560" w:type="dxa"/>
          </w:tcPr>
          <w:p w14:paraId="1644384A" w14:textId="4ECB169A" w:rsidR="00C86090" w:rsidRPr="00E9170B" w:rsidRDefault="00446F34" w:rsidP="0021299E">
            <w:pPr>
              <w:ind w:right="-131"/>
              <w:jc w:val="left"/>
              <w:rPr>
                <w:sz w:val="19"/>
                <w:szCs w:val="19"/>
                <w:lang w:val="en-CA" w:eastAsia="en-CA"/>
              </w:rPr>
            </w:pPr>
            <w:r w:rsidRPr="00E9170B">
              <w:rPr>
                <w:sz w:val="19"/>
                <w:szCs w:val="19"/>
                <w:lang w:val="fr-FR" w:eastAsia="en-CA"/>
              </w:rPr>
              <w:lastRenderedPageBreak/>
              <w:t>Philippines</w:t>
            </w:r>
          </w:p>
          <w:p w14:paraId="3F4868A0" w14:textId="15462C3C" w:rsidR="00C86090" w:rsidRPr="00E9170B" w:rsidRDefault="00446F34" w:rsidP="00E352F6">
            <w:pPr>
              <w:ind w:right="-131"/>
              <w:jc w:val="left"/>
              <w:rPr>
                <w:sz w:val="19"/>
                <w:szCs w:val="19"/>
                <w:lang w:val="en-CA" w:eastAsia="en-CA"/>
              </w:rPr>
            </w:pPr>
            <w:r w:rsidRPr="00E9170B">
              <w:rPr>
                <w:sz w:val="19"/>
                <w:szCs w:val="19"/>
                <w:lang w:val="fr-FR" w:eastAsia="en-CA"/>
              </w:rPr>
              <w:t>(Phase II)</w:t>
            </w:r>
          </w:p>
        </w:tc>
        <w:tc>
          <w:tcPr>
            <w:tcW w:w="1276" w:type="dxa"/>
          </w:tcPr>
          <w:p w14:paraId="57E28D21" w14:textId="012C4419" w:rsidR="00C86090" w:rsidRPr="00E9170B" w:rsidRDefault="00446F34" w:rsidP="00E352F6">
            <w:pPr>
              <w:jc w:val="left"/>
              <w:rPr>
                <w:sz w:val="19"/>
                <w:szCs w:val="19"/>
                <w:lang w:val="en-CA" w:eastAsia="en-CA"/>
              </w:rPr>
            </w:pPr>
            <w:r w:rsidRPr="00E9170B">
              <w:rPr>
                <w:sz w:val="19"/>
                <w:szCs w:val="19"/>
                <w:lang w:val="fr-FR" w:eastAsia="en-CA"/>
              </w:rPr>
              <w:t>ONUDI</w:t>
            </w:r>
          </w:p>
        </w:tc>
        <w:tc>
          <w:tcPr>
            <w:tcW w:w="879" w:type="dxa"/>
          </w:tcPr>
          <w:p w14:paraId="294CFE03" w14:textId="61320868" w:rsidR="00C86090" w:rsidRPr="00E9170B" w:rsidRDefault="00C86090" w:rsidP="0021299E">
            <w:pPr>
              <w:jc w:val="center"/>
              <w:rPr>
                <w:sz w:val="19"/>
                <w:szCs w:val="19"/>
                <w:lang w:val="en-CA" w:eastAsia="en-CA"/>
              </w:rPr>
            </w:pPr>
            <w:r w:rsidRPr="00E9170B">
              <w:rPr>
                <w:sz w:val="19"/>
                <w:szCs w:val="19"/>
                <w:lang w:val="en-CA" w:eastAsia="en-CA"/>
              </w:rPr>
              <w:t>2019</w:t>
            </w:r>
          </w:p>
        </w:tc>
        <w:tc>
          <w:tcPr>
            <w:tcW w:w="1275" w:type="dxa"/>
          </w:tcPr>
          <w:p w14:paraId="09B97676" w14:textId="7CDA5EA4" w:rsidR="00C86090" w:rsidRPr="00E9170B" w:rsidRDefault="00C86090" w:rsidP="00E9170B">
            <w:pPr>
              <w:jc w:val="right"/>
              <w:rPr>
                <w:sz w:val="19"/>
                <w:szCs w:val="19"/>
                <w:lang w:val="en-CA" w:eastAsia="en-CA"/>
              </w:rPr>
            </w:pPr>
            <w:r w:rsidRPr="00E9170B">
              <w:rPr>
                <w:sz w:val="19"/>
                <w:szCs w:val="19"/>
                <w:lang w:val="en-CA" w:eastAsia="en-CA"/>
              </w:rPr>
              <w:t>1</w:t>
            </w:r>
            <w:r w:rsidR="00E9170B">
              <w:rPr>
                <w:sz w:val="19"/>
                <w:szCs w:val="19"/>
                <w:lang w:val="en-CA" w:eastAsia="en-CA"/>
              </w:rPr>
              <w:t> </w:t>
            </w:r>
            <w:r w:rsidRPr="00E9170B">
              <w:rPr>
                <w:sz w:val="19"/>
                <w:szCs w:val="19"/>
                <w:lang w:val="en-CA" w:eastAsia="en-CA"/>
              </w:rPr>
              <w:t>551</w:t>
            </w:r>
            <w:r w:rsidR="00E9170B">
              <w:rPr>
                <w:sz w:val="19"/>
                <w:szCs w:val="19"/>
                <w:lang w:val="en-CA" w:eastAsia="en-CA"/>
              </w:rPr>
              <w:t> </w:t>
            </w:r>
            <w:r w:rsidRPr="00E9170B">
              <w:rPr>
                <w:sz w:val="19"/>
                <w:szCs w:val="19"/>
                <w:lang w:val="en-CA" w:eastAsia="en-CA"/>
              </w:rPr>
              <w:t>531</w:t>
            </w:r>
          </w:p>
        </w:tc>
        <w:tc>
          <w:tcPr>
            <w:tcW w:w="3373" w:type="dxa"/>
          </w:tcPr>
          <w:p w14:paraId="2B023747" w14:textId="3A63E8A5" w:rsidR="00C86090" w:rsidRPr="00AF592C" w:rsidRDefault="00446F34" w:rsidP="00E9170B">
            <w:pPr>
              <w:jc w:val="left"/>
              <w:rPr>
                <w:sz w:val="19"/>
                <w:szCs w:val="19"/>
                <w:lang w:val="fr-CA"/>
              </w:rPr>
            </w:pPr>
            <w:r w:rsidRPr="00E9170B">
              <w:rPr>
                <w:sz w:val="19"/>
                <w:szCs w:val="19"/>
                <w:lang w:val="fr-FR"/>
              </w:rPr>
              <w:t>Difficultés internes ou externes/seuil de décaissement de 20 pour cent</w:t>
            </w:r>
          </w:p>
        </w:tc>
        <w:tc>
          <w:tcPr>
            <w:tcW w:w="5812" w:type="dxa"/>
          </w:tcPr>
          <w:p w14:paraId="0F0F714B" w14:textId="071B03FD" w:rsidR="00C86090" w:rsidRPr="00AF592C" w:rsidRDefault="00446F34" w:rsidP="00E9170B">
            <w:pPr>
              <w:jc w:val="left"/>
              <w:rPr>
                <w:sz w:val="19"/>
                <w:szCs w:val="19"/>
                <w:lang w:val="fr-CA"/>
              </w:rPr>
            </w:pPr>
            <w:r w:rsidRPr="00E9170B">
              <w:rPr>
                <w:sz w:val="19"/>
                <w:szCs w:val="19"/>
                <w:lang w:val="fr-FR"/>
              </w:rPr>
              <w:t>Prendre note que le taux de décaissement global de la première tranche (2017) de la phase II du PGEH se situait au-dessous du seuil de 20 pour cent et inviter instamment le gouvernement des Philippines</w:t>
            </w:r>
            <w:r w:rsidR="00B81C1B" w:rsidRPr="00E9170B">
              <w:rPr>
                <w:sz w:val="19"/>
                <w:szCs w:val="19"/>
                <w:lang w:val="fr-FR"/>
              </w:rPr>
              <w:t xml:space="preserve"> </w:t>
            </w:r>
            <w:r w:rsidRPr="00E9170B">
              <w:rPr>
                <w:sz w:val="19"/>
                <w:szCs w:val="19"/>
                <w:lang w:val="fr-FR"/>
              </w:rPr>
              <w:t>à coopérer avec l</w:t>
            </w:r>
            <w:r w:rsidR="0048249F">
              <w:rPr>
                <w:sz w:val="19"/>
                <w:szCs w:val="19"/>
                <w:lang w:val="fr-FR"/>
              </w:rPr>
              <w:t>’</w:t>
            </w:r>
            <w:r w:rsidRPr="00E9170B">
              <w:rPr>
                <w:sz w:val="19"/>
                <w:szCs w:val="19"/>
                <w:lang w:val="fr-FR"/>
              </w:rPr>
              <w:t>ONUDI afin que la deuxième tranche (2019) de la phase II puisse être soumise à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2019 et des tranches suivantes, étant entendu que le seuil de décaissement de 20 pour cent pour le financement de la tranche précédente a été atteint.</w:t>
            </w:r>
          </w:p>
        </w:tc>
      </w:tr>
      <w:tr w:rsidR="00F91E4F" w:rsidRPr="00B67439" w14:paraId="51AE1E0B" w14:textId="77777777" w:rsidTr="00BF6950">
        <w:trPr>
          <w:trHeight w:val="872"/>
        </w:trPr>
        <w:tc>
          <w:tcPr>
            <w:tcW w:w="1560" w:type="dxa"/>
          </w:tcPr>
          <w:p w14:paraId="00B5CF79" w14:textId="50D775D3" w:rsidR="00C86090" w:rsidRPr="00E9170B" w:rsidRDefault="00446F34" w:rsidP="00E352F6">
            <w:pPr>
              <w:ind w:right="-131"/>
              <w:jc w:val="left"/>
              <w:rPr>
                <w:sz w:val="19"/>
                <w:szCs w:val="19"/>
                <w:lang w:val="en-CA" w:eastAsia="en-CA"/>
              </w:rPr>
            </w:pPr>
            <w:r w:rsidRPr="00AF592C">
              <w:rPr>
                <w:sz w:val="19"/>
                <w:szCs w:val="19"/>
                <w:lang w:val="en-US" w:eastAsia="en-CA"/>
              </w:rPr>
              <w:t>Saint-Kitts-et-Nevis (Phase I)</w:t>
            </w:r>
          </w:p>
        </w:tc>
        <w:tc>
          <w:tcPr>
            <w:tcW w:w="1276" w:type="dxa"/>
          </w:tcPr>
          <w:p w14:paraId="59E505A9" w14:textId="699A88D5" w:rsidR="00C86090" w:rsidRPr="00E9170B" w:rsidRDefault="00446F34" w:rsidP="0021299E">
            <w:pPr>
              <w:jc w:val="left"/>
              <w:rPr>
                <w:sz w:val="19"/>
                <w:szCs w:val="19"/>
                <w:lang w:val="en-CA" w:eastAsia="en-CA"/>
              </w:rPr>
            </w:pPr>
            <w:r w:rsidRPr="00E9170B">
              <w:rPr>
                <w:sz w:val="19"/>
                <w:szCs w:val="19"/>
                <w:lang w:val="fr-FR" w:eastAsia="en-CA"/>
              </w:rPr>
              <w:t>PNUE</w:t>
            </w:r>
          </w:p>
          <w:p w14:paraId="421700C8" w14:textId="77777777" w:rsidR="00C86090" w:rsidRPr="00E9170B" w:rsidRDefault="00C86090" w:rsidP="0021299E">
            <w:pPr>
              <w:jc w:val="left"/>
              <w:rPr>
                <w:sz w:val="19"/>
                <w:szCs w:val="19"/>
                <w:lang w:val="en-CA" w:eastAsia="en-CA"/>
              </w:rPr>
            </w:pPr>
          </w:p>
        </w:tc>
        <w:tc>
          <w:tcPr>
            <w:tcW w:w="879" w:type="dxa"/>
          </w:tcPr>
          <w:p w14:paraId="0785DC8A" w14:textId="5A0AF533" w:rsidR="00C86090" w:rsidRPr="00E9170B" w:rsidRDefault="00C86090" w:rsidP="0021299E">
            <w:pPr>
              <w:jc w:val="center"/>
              <w:rPr>
                <w:sz w:val="19"/>
                <w:szCs w:val="19"/>
                <w:lang w:val="en-CA" w:eastAsia="en-CA"/>
              </w:rPr>
            </w:pPr>
            <w:r w:rsidRPr="00E9170B">
              <w:rPr>
                <w:sz w:val="19"/>
                <w:szCs w:val="19"/>
                <w:lang w:val="en-CA" w:eastAsia="en-CA"/>
              </w:rPr>
              <w:t>2020</w:t>
            </w:r>
          </w:p>
        </w:tc>
        <w:tc>
          <w:tcPr>
            <w:tcW w:w="1275" w:type="dxa"/>
          </w:tcPr>
          <w:p w14:paraId="356A527B" w14:textId="2C301430" w:rsidR="00C86090" w:rsidRPr="00E9170B" w:rsidRDefault="00C86090" w:rsidP="0021299E">
            <w:pPr>
              <w:jc w:val="right"/>
              <w:rPr>
                <w:sz w:val="19"/>
                <w:szCs w:val="19"/>
                <w:lang w:val="en-CA" w:eastAsia="en-CA"/>
              </w:rPr>
            </w:pPr>
            <w:r w:rsidRPr="00E9170B">
              <w:rPr>
                <w:sz w:val="19"/>
                <w:szCs w:val="19"/>
                <w:lang w:val="en-CA" w:eastAsia="en-CA"/>
              </w:rPr>
              <w:t>19</w:t>
            </w:r>
            <w:r w:rsidR="00E9170B">
              <w:rPr>
                <w:sz w:val="19"/>
                <w:szCs w:val="19"/>
                <w:lang w:val="en-CA" w:eastAsia="en-CA"/>
              </w:rPr>
              <w:t> </w:t>
            </w:r>
            <w:r w:rsidRPr="00E9170B">
              <w:rPr>
                <w:sz w:val="19"/>
                <w:szCs w:val="19"/>
                <w:lang w:val="en-CA" w:eastAsia="en-CA"/>
              </w:rPr>
              <w:t>097</w:t>
            </w:r>
          </w:p>
        </w:tc>
        <w:tc>
          <w:tcPr>
            <w:tcW w:w="3373" w:type="dxa"/>
          </w:tcPr>
          <w:p w14:paraId="34DC8B41" w14:textId="6691A48A" w:rsidR="00C86090" w:rsidRPr="00AF592C" w:rsidRDefault="00994EEC" w:rsidP="00E9170B">
            <w:pPr>
              <w:jc w:val="left"/>
              <w:rPr>
                <w:sz w:val="19"/>
                <w:szCs w:val="19"/>
                <w:lang w:val="fr-CA" w:eastAsia="en-CA"/>
              </w:rPr>
            </w:pPr>
            <w:r w:rsidRPr="00E9170B">
              <w:rPr>
                <w:sz w:val="19"/>
                <w:szCs w:val="19"/>
                <w:lang w:val="fr-FR" w:eastAsia="en-CA"/>
              </w:rPr>
              <w:t>Perturbations dues à la pandémie de Covid-19</w:t>
            </w:r>
            <w:r w:rsidR="00446F34" w:rsidRPr="00E9170B">
              <w:rPr>
                <w:sz w:val="19"/>
                <w:szCs w:val="19"/>
                <w:lang w:val="fr-FR"/>
              </w:rPr>
              <w:t xml:space="preserve">/ </w:t>
            </w:r>
            <w:r w:rsidR="00A21B07">
              <w:rPr>
                <w:sz w:val="19"/>
                <w:szCs w:val="19"/>
                <w:lang w:val="fr-FR"/>
              </w:rPr>
              <w:t>rapport de vérification manquant</w:t>
            </w:r>
            <w:r w:rsidR="00446F34" w:rsidRPr="00E9170B">
              <w:rPr>
                <w:sz w:val="19"/>
                <w:szCs w:val="19"/>
                <w:lang w:val="fr-FR"/>
              </w:rPr>
              <w:t xml:space="preserve">/ </w:t>
            </w:r>
            <w:r w:rsidRPr="00E9170B">
              <w:rPr>
                <w:sz w:val="19"/>
                <w:szCs w:val="19"/>
                <w:lang w:val="fr-FR" w:eastAsia="en-CA"/>
              </w:rPr>
              <w:t>suffisamment de fonds approuvés provenant de la tranche précédente</w:t>
            </w:r>
            <w:r w:rsidR="00446F34" w:rsidRPr="00E9170B">
              <w:rPr>
                <w:sz w:val="19"/>
                <w:szCs w:val="19"/>
                <w:lang w:val="fr-FR"/>
              </w:rPr>
              <w:t>/soumission des rapports périodiques et financiers/seuil de décaissement de 20 pour cent</w:t>
            </w:r>
            <w:r w:rsidR="00C86090" w:rsidRPr="00AF592C">
              <w:rPr>
                <w:sz w:val="19"/>
                <w:szCs w:val="19"/>
                <w:lang w:val="fr-CA"/>
              </w:rPr>
              <w:t xml:space="preserve"> </w:t>
            </w:r>
          </w:p>
        </w:tc>
        <w:tc>
          <w:tcPr>
            <w:tcW w:w="5812" w:type="dxa"/>
          </w:tcPr>
          <w:p w14:paraId="0BD6FCD5" w14:textId="75D1431A" w:rsidR="00C86090" w:rsidRPr="00AF592C" w:rsidRDefault="00446F34" w:rsidP="00E352F6">
            <w:pPr>
              <w:jc w:val="left"/>
              <w:rPr>
                <w:sz w:val="19"/>
                <w:szCs w:val="19"/>
                <w:lang w:val="fr-CA"/>
              </w:rPr>
            </w:pPr>
            <w:r w:rsidRPr="00E9170B">
              <w:rPr>
                <w:sz w:val="19"/>
                <w:szCs w:val="19"/>
                <w:lang w:val="fr-FR"/>
              </w:rPr>
              <w:t>Prendre note des retards dus à la non-remise des rapports périodiques et financiers, du fait que la vérification obligatoire des objectifs de consommation de HCFC n</w:t>
            </w:r>
            <w:r w:rsidR="0048249F">
              <w:rPr>
                <w:sz w:val="19"/>
                <w:szCs w:val="19"/>
                <w:lang w:val="fr-FR"/>
              </w:rPr>
              <w:t>’</w:t>
            </w:r>
            <w:r w:rsidRPr="00E9170B">
              <w:rPr>
                <w:sz w:val="19"/>
                <w:szCs w:val="19"/>
                <w:lang w:val="fr-FR"/>
              </w:rPr>
              <w:t>a pas été effectuée, et du fait que le taux de décaissement global de la deuxième tranche (2015) de phase I du PGEH se situait au-dessous du seuil de décaissement de 20 pour cent, et inviter instamment le gouvernement de Saint-Kitts-et-Nevis à coopérer avec le PNUE pour mener à bien la vérification afin que la troisième tranche (2020)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 étant entendu que le seuil de décaissement de 20 pour cent pour le financement de la tranche précédente a été atteint.</w:t>
            </w:r>
          </w:p>
        </w:tc>
      </w:tr>
      <w:tr w:rsidR="00F91E4F" w:rsidRPr="00B67439" w14:paraId="1B92BC80" w14:textId="77777777" w:rsidTr="00C535AD">
        <w:trPr>
          <w:trHeight w:val="602"/>
        </w:trPr>
        <w:tc>
          <w:tcPr>
            <w:tcW w:w="1560" w:type="dxa"/>
          </w:tcPr>
          <w:p w14:paraId="56F26904" w14:textId="1027EB4D" w:rsidR="00C86090" w:rsidRPr="00E9170B" w:rsidRDefault="00446F34" w:rsidP="0021299E">
            <w:pPr>
              <w:ind w:right="-131"/>
              <w:jc w:val="left"/>
              <w:rPr>
                <w:sz w:val="19"/>
                <w:szCs w:val="19"/>
                <w:lang w:val="en-CA" w:eastAsia="en-CA"/>
              </w:rPr>
            </w:pPr>
            <w:r w:rsidRPr="00E9170B">
              <w:rPr>
                <w:sz w:val="19"/>
                <w:szCs w:val="19"/>
                <w:lang w:val="fr-FR" w:eastAsia="en-CA"/>
              </w:rPr>
              <w:t>Sainte-Lucie</w:t>
            </w:r>
            <w:r w:rsidR="00C86090" w:rsidRPr="00E9170B">
              <w:rPr>
                <w:sz w:val="19"/>
                <w:szCs w:val="19"/>
                <w:lang w:val="en-CA" w:eastAsia="en-CA"/>
              </w:rPr>
              <w:t xml:space="preserve"> </w:t>
            </w:r>
          </w:p>
          <w:p w14:paraId="379EF95E" w14:textId="6F83203C" w:rsidR="00C86090" w:rsidRPr="00E9170B" w:rsidRDefault="00446F34" w:rsidP="00E352F6">
            <w:pPr>
              <w:ind w:right="-131"/>
              <w:jc w:val="left"/>
              <w:rPr>
                <w:sz w:val="19"/>
                <w:szCs w:val="19"/>
                <w:lang w:val="en-CA" w:eastAsia="en-CA"/>
              </w:rPr>
            </w:pPr>
            <w:r w:rsidRPr="00E9170B">
              <w:rPr>
                <w:sz w:val="19"/>
                <w:szCs w:val="19"/>
                <w:lang w:val="fr-FR" w:eastAsia="en-CA"/>
              </w:rPr>
              <w:t>(Phase I)</w:t>
            </w:r>
          </w:p>
        </w:tc>
        <w:tc>
          <w:tcPr>
            <w:tcW w:w="1276" w:type="dxa"/>
          </w:tcPr>
          <w:p w14:paraId="68D15FF7" w14:textId="6E4A4619" w:rsidR="00C86090" w:rsidRPr="00E9170B" w:rsidRDefault="00446F34" w:rsidP="00E352F6">
            <w:pPr>
              <w:jc w:val="left"/>
              <w:rPr>
                <w:sz w:val="19"/>
                <w:szCs w:val="19"/>
                <w:lang w:val="en-CA" w:eastAsia="en-CA"/>
              </w:rPr>
            </w:pPr>
            <w:r w:rsidRPr="00E9170B">
              <w:rPr>
                <w:sz w:val="19"/>
                <w:szCs w:val="19"/>
                <w:lang w:val="fr-FR" w:eastAsia="en-CA"/>
              </w:rPr>
              <w:t>PNUE</w:t>
            </w:r>
          </w:p>
        </w:tc>
        <w:tc>
          <w:tcPr>
            <w:tcW w:w="879" w:type="dxa"/>
          </w:tcPr>
          <w:p w14:paraId="435B783F" w14:textId="238AA748" w:rsidR="00C86090" w:rsidRPr="00E9170B" w:rsidRDefault="00C86090" w:rsidP="0021299E">
            <w:pPr>
              <w:jc w:val="center"/>
              <w:rPr>
                <w:sz w:val="19"/>
                <w:szCs w:val="19"/>
                <w:lang w:val="en-CA" w:eastAsia="en-CA"/>
              </w:rPr>
            </w:pPr>
            <w:r w:rsidRPr="00E9170B">
              <w:rPr>
                <w:sz w:val="19"/>
                <w:szCs w:val="19"/>
                <w:lang w:val="en-CA" w:eastAsia="en-CA"/>
              </w:rPr>
              <w:t>2020</w:t>
            </w:r>
          </w:p>
        </w:tc>
        <w:tc>
          <w:tcPr>
            <w:tcW w:w="1275" w:type="dxa"/>
          </w:tcPr>
          <w:p w14:paraId="2720E9D9" w14:textId="03B3D471" w:rsidR="00C86090" w:rsidRPr="00E9170B" w:rsidRDefault="00C86090" w:rsidP="0021299E">
            <w:pPr>
              <w:jc w:val="right"/>
              <w:rPr>
                <w:sz w:val="19"/>
                <w:szCs w:val="19"/>
                <w:lang w:val="en-CA" w:eastAsia="en-CA"/>
              </w:rPr>
            </w:pPr>
            <w:r w:rsidRPr="00E9170B">
              <w:rPr>
                <w:sz w:val="19"/>
                <w:szCs w:val="19"/>
                <w:lang w:val="en-CA" w:eastAsia="en-CA"/>
              </w:rPr>
              <w:t>23</w:t>
            </w:r>
            <w:r w:rsidR="00E9170B">
              <w:rPr>
                <w:sz w:val="19"/>
                <w:szCs w:val="19"/>
                <w:lang w:val="en-CA" w:eastAsia="en-CA"/>
              </w:rPr>
              <w:t> </w:t>
            </w:r>
            <w:r w:rsidRPr="00E9170B">
              <w:rPr>
                <w:sz w:val="19"/>
                <w:szCs w:val="19"/>
                <w:lang w:val="en-CA" w:eastAsia="en-CA"/>
              </w:rPr>
              <w:t>730</w:t>
            </w:r>
          </w:p>
        </w:tc>
        <w:tc>
          <w:tcPr>
            <w:tcW w:w="3373" w:type="dxa"/>
          </w:tcPr>
          <w:p w14:paraId="34B7DEF5" w14:textId="5E8F6652" w:rsidR="00C86090" w:rsidRPr="00AF592C" w:rsidRDefault="00446F34" w:rsidP="00E9170B">
            <w:pPr>
              <w:jc w:val="left"/>
              <w:rPr>
                <w:sz w:val="19"/>
                <w:szCs w:val="19"/>
                <w:lang w:val="fr-CA"/>
              </w:rPr>
            </w:pPr>
            <w:r w:rsidRPr="00E9170B">
              <w:rPr>
                <w:sz w:val="19"/>
                <w:szCs w:val="19"/>
                <w:lang w:val="fr-FR"/>
              </w:rPr>
              <w:t>Décisions/approbations du gouvernement/changements au sein de l</w:t>
            </w:r>
            <w:r w:rsidR="0048249F">
              <w:rPr>
                <w:sz w:val="19"/>
                <w:szCs w:val="19"/>
                <w:lang w:val="fr-FR"/>
              </w:rPr>
              <w:t>’</w:t>
            </w:r>
            <w:r w:rsidRPr="00E9170B">
              <w:rPr>
                <w:sz w:val="19"/>
                <w:szCs w:val="19"/>
                <w:lang w:val="fr-FR"/>
              </w:rPr>
              <w:t xml:space="preserve">UNO/ changements structurels/ </w:t>
            </w:r>
            <w:r w:rsidR="00994EEC" w:rsidRPr="00E9170B">
              <w:rPr>
                <w:sz w:val="19"/>
                <w:szCs w:val="19"/>
                <w:lang w:val="fr-FR" w:eastAsia="en-CA"/>
              </w:rPr>
              <w:t>Perturbations dues à la pandémie de Covid-19</w:t>
            </w:r>
            <w:r w:rsidRPr="00E9170B">
              <w:rPr>
                <w:sz w:val="19"/>
                <w:szCs w:val="19"/>
                <w:lang w:val="fr-FR"/>
              </w:rPr>
              <w:t>/</w:t>
            </w:r>
            <w:r w:rsidR="00A21B07">
              <w:rPr>
                <w:sz w:val="19"/>
                <w:szCs w:val="19"/>
                <w:lang w:val="fr-FR"/>
              </w:rPr>
              <w:t>rapport de vérification manquant</w:t>
            </w:r>
            <w:r w:rsidRPr="00E9170B">
              <w:rPr>
                <w:sz w:val="19"/>
                <w:szCs w:val="19"/>
                <w:lang w:val="fr-FR"/>
              </w:rPr>
              <w:t>/</w:t>
            </w:r>
            <w:r w:rsidR="00E9170B" w:rsidRPr="00E9170B">
              <w:rPr>
                <w:sz w:val="19"/>
                <w:szCs w:val="19"/>
                <w:lang w:val="fr-FR" w:eastAsia="en-CA"/>
              </w:rPr>
              <w:t>suffisamment de fonds approuvés provenant de la tranche précédente</w:t>
            </w:r>
            <w:r w:rsidRPr="00E9170B">
              <w:rPr>
                <w:sz w:val="19"/>
                <w:szCs w:val="19"/>
                <w:lang w:val="fr-FR"/>
              </w:rPr>
              <w:t>/seuil de décaissement de 20 pour cent</w:t>
            </w:r>
          </w:p>
        </w:tc>
        <w:tc>
          <w:tcPr>
            <w:tcW w:w="5812" w:type="dxa"/>
          </w:tcPr>
          <w:p w14:paraId="0CF12E88" w14:textId="48419E61" w:rsidR="00C86090" w:rsidRPr="00AF592C" w:rsidRDefault="00446F34" w:rsidP="00E352F6">
            <w:pPr>
              <w:jc w:val="left"/>
              <w:rPr>
                <w:sz w:val="19"/>
                <w:szCs w:val="19"/>
                <w:lang w:val="fr-CA" w:eastAsia="en-CA"/>
              </w:rPr>
            </w:pPr>
            <w:r w:rsidRPr="00E9170B">
              <w:rPr>
                <w:sz w:val="19"/>
                <w:szCs w:val="19"/>
                <w:lang w:val="fr-FR"/>
              </w:rPr>
              <w:t>Prendre note des retards dus à la non-remise des rapports périodiques et financiers, du fait que la vérification obligatoire des objectifs de consommation de HCFC n</w:t>
            </w:r>
            <w:r w:rsidR="0048249F">
              <w:rPr>
                <w:sz w:val="19"/>
                <w:szCs w:val="19"/>
                <w:lang w:val="fr-FR"/>
              </w:rPr>
              <w:t>’</w:t>
            </w:r>
            <w:r w:rsidRPr="00E9170B">
              <w:rPr>
                <w:sz w:val="19"/>
                <w:szCs w:val="19"/>
                <w:lang w:val="fr-FR"/>
              </w:rPr>
              <w:t>a pas été effectuée, et du fait que le taux de décaissement global de la quatrième tranche (2018) de phase I du PGEH se situait au-dessous du seuil de décaissement de 20 pour cent, et inviter instamment le gouvernement de Sainte-Lucie à coopérer avec le PNUE pour mener à bien la vérification afin que la cinquième tranche (2020) de la phase I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action révisé pour prendre en compte la réaffectation de la tranche de 2020, étant entendu que le seuil de décaissement de 20 pour cent pour le financement de la tranche précédente a été atteint.</w:t>
            </w:r>
          </w:p>
        </w:tc>
      </w:tr>
      <w:tr w:rsidR="00F91E4F" w:rsidRPr="00B67439" w14:paraId="297AC486" w14:textId="77777777" w:rsidTr="0059752F">
        <w:trPr>
          <w:trHeight w:val="673"/>
        </w:trPr>
        <w:tc>
          <w:tcPr>
            <w:tcW w:w="1560" w:type="dxa"/>
          </w:tcPr>
          <w:p w14:paraId="1FC35B59" w14:textId="759D50D2" w:rsidR="00C86090" w:rsidRPr="00E9170B" w:rsidRDefault="00446F34" w:rsidP="00E352F6">
            <w:pPr>
              <w:ind w:right="-131"/>
              <w:jc w:val="left"/>
              <w:rPr>
                <w:sz w:val="19"/>
                <w:szCs w:val="19"/>
                <w:lang w:val="en-CA" w:eastAsia="en-CA"/>
              </w:rPr>
            </w:pPr>
            <w:r w:rsidRPr="00E9170B">
              <w:rPr>
                <w:sz w:val="19"/>
                <w:szCs w:val="19"/>
                <w:lang w:val="fr-FR" w:eastAsia="en-CA"/>
              </w:rPr>
              <w:t>Arabie Saoudite</w:t>
            </w:r>
            <w:r w:rsidR="00B81C1B" w:rsidRPr="00E9170B">
              <w:rPr>
                <w:sz w:val="19"/>
                <w:szCs w:val="19"/>
                <w:lang w:val="fr-FR" w:eastAsia="en-CA"/>
              </w:rPr>
              <w:t xml:space="preserve"> </w:t>
            </w:r>
            <w:r w:rsidRPr="00E9170B">
              <w:rPr>
                <w:sz w:val="19"/>
                <w:szCs w:val="19"/>
                <w:lang w:val="fr-FR" w:eastAsia="en-CA"/>
              </w:rPr>
              <w:t>(Phase I)</w:t>
            </w:r>
          </w:p>
        </w:tc>
        <w:tc>
          <w:tcPr>
            <w:tcW w:w="1276" w:type="dxa"/>
          </w:tcPr>
          <w:p w14:paraId="24942686" w14:textId="41C13C50" w:rsidR="00C86090" w:rsidRPr="00E9170B" w:rsidRDefault="00446F34" w:rsidP="00E352F6">
            <w:pPr>
              <w:jc w:val="left"/>
              <w:rPr>
                <w:sz w:val="19"/>
                <w:szCs w:val="19"/>
                <w:lang w:val="en-CA" w:eastAsia="en-CA"/>
              </w:rPr>
            </w:pPr>
            <w:r w:rsidRPr="00E9170B">
              <w:rPr>
                <w:sz w:val="19"/>
                <w:szCs w:val="19"/>
                <w:lang w:val="fr-FR" w:eastAsia="en-CA"/>
              </w:rPr>
              <w:t>ONUDI</w:t>
            </w:r>
          </w:p>
        </w:tc>
        <w:tc>
          <w:tcPr>
            <w:tcW w:w="879" w:type="dxa"/>
          </w:tcPr>
          <w:p w14:paraId="62969734" w14:textId="77777777" w:rsidR="00C86090" w:rsidRPr="00E9170B" w:rsidRDefault="00C86090" w:rsidP="0021299E">
            <w:pPr>
              <w:jc w:val="center"/>
              <w:rPr>
                <w:sz w:val="19"/>
                <w:szCs w:val="19"/>
                <w:lang w:val="en-CA" w:eastAsia="en-CA"/>
              </w:rPr>
            </w:pPr>
            <w:r w:rsidRPr="00E9170B">
              <w:rPr>
                <w:sz w:val="19"/>
                <w:szCs w:val="19"/>
                <w:lang w:val="en-CA" w:eastAsia="en-CA"/>
              </w:rPr>
              <w:t>2016</w:t>
            </w:r>
          </w:p>
        </w:tc>
        <w:tc>
          <w:tcPr>
            <w:tcW w:w="1275" w:type="dxa"/>
          </w:tcPr>
          <w:p w14:paraId="46338C64" w14:textId="2FD7BB0C" w:rsidR="00C86090" w:rsidRPr="00E9170B" w:rsidRDefault="00C86090" w:rsidP="0021299E">
            <w:pPr>
              <w:jc w:val="right"/>
              <w:rPr>
                <w:sz w:val="19"/>
                <w:szCs w:val="19"/>
                <w:lang w:val="en-CA" w:eastAsia="en-CA"/>
              </w:rPr>
            </w:pPr>
            <w:r w:rsidRPr="00E9170B">
              <w:rPr>
                <w:sz w:val="19"/>
                <w:szCs w:val="19"/>
                <w:lang w:val="en-CA" w:eastAsia="en-CA"/>
              </w:rPr>
              <w:t>909</w:t>
            </w:r>
            <w:r w:rsidR="00E9170B">
              <w:rPr>
                <w:sz w:val="19"/>
                <w:szCs w:val="19"/>
                <w:lang w:val="en-CA" w:eastAsia="en-CA"/>
              </w:rPr>
              <w:t> </w:t>
            </w:r>
            <w:r w:rsidRPr="00E9170B">
              <w:rPr>
                <w:sz w:val="19"/>
                <w:szCs w:val="19"/>
                <w:lang w:val="en-CA" w:eastAsia="en-CA"/>
              </w:rPr>
              <w:t>500</w:t>
            </w:r>
          </w:p>
        </w:tc>
        <w:tc>
          <w:tcPr>
            <w:tcW w:w="3373" w:type="dxa"/>
          </w:tcPr>
          <w:p w14:paraId="429DC4C0" w14:textId="13B1D802" w:rsidR="00C86090" w:rsidRPr="00E9170B" w:rsidRDefault="00446F34" w:rsidP="00E352F6">
            <w:pPr>
              <w:jc w:val="left"/>
              <w:rPr>
                <w:sz w:val="19"/>
                <w:szCs w:val="19"/>
              </w:rPr>
            </w:pPr>
            <w:r w:rsidRPr="00E9170B">
              <w:rPr>
                <w:sz w:val="19"/>
                <w:szCs w:val="19"/>
                <w:lang w:val="fr-FR"/>
              </w:rPr>
              <w:t>Conditions d</w:t>
            </w:r>
            <w:r w:rsidR="0048249F">
              <w:rPr>
                <w:sz w:val="19"/>
                <w:szCs w:val="19"/>
                <w:lang w:val="fr-FR"/>
              </w:rPr>
              <w:t>’</w:t>
            </w:r>
            <w:r w:rsidRPr="00E9170B">
              <w:rPr>
                <w:sz w:val="19"/>
                <w:szCs w:val="19"/>
                <w:lang w:val="fr-FR"/>
              </w:rPr>
              <w:t>approbation</w:t>
            </w:r>
          </w:p>
        </w:tc>
        <w:tc>
          <w:tcPr>
            <w:tcW w:w="5812" w:type="dxa"/>
          </w:tcPr>
          <w:p w14:paraId="3991CD39" w14:textId="41C6CAA9" w:rsidR="00C86090" w:rsidRPr="00AF592C" w:rsidRDefault="00446F34" w:rsidP="009B523C">
            <w:pPr>
              <w:jc w:val="left"/>
              <w:rPr>
                <w:sz w:val="19"/>
                <w:szCs w:val="19"/>
                <w:lang w:val="fr-CA"/>
              </w:rPr>
            </w:pPr>
            <w:r w:rsidRPr="00E9170B">
              <w:rPr>
                <w:sz w:val="19"/>
                <w:szCs w:val="19"/>
                <w:lang w:val="fr-FR" w:eastAsia="en-CA"/>
              </w:rPr>
              <w:t>L</w:t>
            </w:r>
            <w:r w:rsidR="0048249F">
              <w:rPr>
                <w:sz w:val="19"/>
                <w:szCs w:val="19"/>
                <w:lang w:val="fr-FR" w:eastAsia="en-CA"/>
              </w:rPr>
              <w:t>’</w:t>
            </w:r>
            <w:r w:rsidRPr="00E9170B">
              <w:rPr>
                <w:sz w:val="19"/>
                <w:szCs w:val="19"/>
                <w:lang w:val="fr-FR" w:eastAsia="en-CA"/>
              </w:rPr>
              <w:t>annulation de la phase I du PGEH pour l</w:t>
            </w:r>
            <w:r w:rsidR="0048249F">
              <w:rPr>
                <w:sz w:val="19"/>
                <w:szCs w:val="19"/>
                <w:lang w:val="fr-FR" w:eastAsia="en-CA"/>
              </w:rPr>
              <w:t>’</w:t>
            </w:r>
            <w:r w:rsidRPr="00E9170B">
              <w:rPr>
                <w:sz w:val="19"/>
                <w:szCs w:val="19"/>
                <w:lang w:val="fr-FR" w:eastAsia="en-CA"/>
              </w:rPr>
              <w:t>Arabie Saoudite est examinée dans le rapport périodique de l</w:t>
            </w:r>
            <w:r w:rsidR="0048249F">
              <w:rPr>
                <w:sz w:val="19"/>
                <w:szCs w:val="19"/>
                <w:lang w:val="fr-FR" w:eastAsia="en-CA"/>
              </w:rPr>
              <w:t>’</w:t>
            </w:r>
            <w:r w:rsidRPr="00E9170B">
              <w:rPr>
                <w:sz w:val="19"/>
                <w:szCs w:val="19"/>
                <w:lang w:val="fr-FR" w:eastAsia="en-CA"/>
              </w:rPr>
              <w:t xml:space="preserve">ONUDI </w:t>
            </w:r>
            <w:r w:rsidR="009B523C">
              <w:rPr>
                <w:sz w:val="19"/>
                <w:szCs w:val="19"/>
                <w:lang w:val="fr-FR" w:eastAsia="en-CA"/>
              </w:rPr>
              <w:t>au</w:t>
            </w:r>
            <w:r w:rsidRPr="00E9170B">
              <w:rPr>
                <w:sz w:val="19"/>
                <w:szCs w:val="19"/>
                <w:lang w:val="fr-FR" w:eastAsia="en-CA"/>
              </w:rPr>
              <w:t xml:space="preserve"> 31 décembre 2019 soumis à la 86</w:t>
            </w:r>
            <w:r w:rsidRPr="00E9170B">
              <w:rPr>
                <w:sz w:val="19"/>
                <w:szCs w:val="19"/>
                <w:vertAlign w:val="superscript"/>
                <w:lang w:val="fr-FR" w:eastAsia="en-CA"/>
              </w:rPr>
              <w:t>e</w:t>
            </w:r>
            <w:r w:rsidRPr="00E9170B">
              <w:rPr>
                <w:sz w:val="19"/>
                <w:szCs w:val="19"/>
                <w:lang w:val="fr-FR" w:eastAsia="en-CA"/>
              </w:rPr>
              <w:t xml:space="preserve"> réunion (</w:t>
            </w:r>
            <w:r w:rsidRPr="00E9170B">
              <w:rPr>
                <w:sz w:val="19"/>
                <w:szCs w:val="19"/>
                <w:lang w:val="fr-FR"/>
              </w:rPr>
              <w:t>UNEP/OzL.Pro/ExCom/86/19).</w:t>
            </w:r>
          </w:p>
        </w:tc>
      </w:tr>
      <w:tr w:rsidR="00F91E4F" w:rsidRPr="00B67439" w14:paraId="67F1E1BD" w14:textId="77777777" w:rsidTr="00785A57">
        <w:trPr>
          <w:trHeight w:val="650"/>
        </w:trPr>
        <w:tc>
          <w:tcPr>
            <w:tcW w:w="1560" w:type="dxa"/>
          </w:tcPr>
          <w:p w14:paraId="7C9BE326" w14:textId="223671A4" w:rsidR="00C86090" w:rsidRPr="00E9170B" w:rsidRDefault="00446F34" w:rsidP="00E352F6">
            <w:pPr>
              <w:ind w:right="-131"/>
              <w:jc w:val="left"/>
              <w:rPr>
                <w:sz w:val="19"/>
                <w:szCs w:val="19"/>
                <w:lang w:val="en-CA" w:eastAsia="en-CA"/>
              </w:rPr>
            </w:pPr>
            <w:r w:rsidRPr="00E9170B">
              <w:rPr>
                <w:sz w:val="19"/>
                <w:szCs w:val="19"/>
                <w:lang w:val="fr-FR" w:eastAsia="en-CA"/>
              </w:rPr>
              <w:t>Somalie (Phase I)</w:t>
            </w:r>
          </w:p>
        </w:tc>
        <w:tc>
          <w:tcPr>
            <w:tcW w:w="1276" w:type="dxa"/>
          </w:tcPr>
          <w:p w14:paraId="036620EB" w14:textId="5EC7FDD1" w:rsidR="00C86090" w:rsidRPr="00E9170B" w:rsidRDefault="00446F34" w:rsidP="00E352F6">
            <w:pPr>
              <w:ind w:right="-131"/>
              <w:jc w:val="left"/>
              <w:rPr>
                <w:sz w:val="19"/>
                <w:szCs w:val="19"/>
                <w:lang w:val="en-CA" w:eastAsia="en-CA"/>
              </w:rPr>
            </w:pPr>
            <w:r w:rsidRPr="00E9170B">
              <w:rPr>
                <w:sz w:val="19"/>
                <w:szCs w:val="19"/>
                <w:lang w:val="fr-FR" w:eastAsia="en-CA"/>
              </w:rPr>
              <w:t>ONUDI</w:t>
            </w:r>
          </w:p>
        </w:tc>
        <w:tc>
          <w:tcPr>
            <w:tcW w:w="879" w:type="dxa"/>
          </w:tcPr>
          <w:p w14:paraId="00099172" w14:textId="7B653747" w:rsidR="00C86090" w:rsidRPr="00E9170B" w:rsidRDefault="00C86090" w:rsidP="0021299E">
            <w:pPr>
              <w:jc w:val="center"/>
              <w:rPr>
                <w:sz w:val="19"/>
                <w:szCs w:val="19"/>
                <w:lang w:val="en-CA" w:eastAsia="en-CA"/>
              </w:rPr>
            </w:pPr>
            <w:r w:rsidRPr="00E9170B">
              <w:rPr>
                <w:sz w:val="19"/>
                <w:szCs w:val="19"/>
                <w:lang w:val="en-CA" w:eastAsia="en-CA"/>
              </w:rPr>
              <w:t>2020</w:t>
            </w:r>
          </w:p>
        </w:tc>
        <w:tc>
          <w:tcPr>
            <w:tcW w:w="1275" w:type="dxa"/>
          </w:tcPr>
          <w:p w14:paraId="0A1D6D20" w14:textId="7595A18B" w:rsidR="00C86090" w:rsidRPr="00E9170B" w:rsidRDefault="00C86090" w:rsidP="0021299E">
            <w:pPr>
              <w:jc w:val="right"/>
              <w:rPr>
                <w:sz w:val="19"/>
                <w:szCs w:val="19"/>
                <w:lang w:val="en-CA" w:eastAsia="en-CA"/>
              </w:rPr>
            </w:pPr>
            <w:r w:rsidRPr="00E9170B">
              <w:rPr>
                <w:sz w:val="19"/>
                <w:szCs w:val="19"/>
                <w:lang w:val="en-CA" w:eastAsia="en-CA"/>
              </w:rPr>
              <w:t>42</w:t>
            </w:r>
            <w:r w:rsidR="00E9170B">
              <w:rPr>
                <w:sz w:val="19"/>
                <w:szCs w:val="19"/>
                <w:lang w:val="en-CA" w:eastAsia="en-CA"/>
              </w:rPr>
              <w:t> </w:t>
            </w:r>
            <w:r w:rsidRPr="00E9170B">
              <w:rPr>
                <w:sz w:val="19"/>
                <w:szCs w:val="19"/>
                <w:lang w:val="en-CA" w:eastAsia="en-CA"/>
              </w:rPr>
              <w:t>800</w:t>
            </w:r>
          </w:p>
        </w:tc>
        <w:tc>
          <w:tcPr>
            <w:tcW w:w="3373" w:type="dxa"/>
          </w:tcPr>
          <w:p w14:paraId="25F02CA2" w14:textId="1E9DE599" w:rsidR="00C86090" w:rsidRPr="00AF592C" w:rsidRDefault="00446F34" w:rsidP="00E9170B">
            <w:pPr>
              <w:jc w:val="left"/>
              <w:rPr>
                <w:sz w:val="19"/>
                <w:szCs w:val="19"/>
                <w:lang w:val="fr-CA"/>
              </w:rPr>
            </w:pPr>
            <w:r w:rsidRPr="00E9170B">
              <w:rPr>
                <w:sz w:val="19"/>
                <w:szCs w:val="19"/>
                <w:lang w:val="fr-FR"/>
              </w:rPr>
              <w:t>Décisions/approbations du gouvernement/changements au sein de l</w:t>
            </w:r>
            <w:r w:rsidR="0048249F">
              <w:rPr>
                <w:sz w:val="19"/>
                <w:szCs w:val="19"/>
                <w:lang w:val="fr-FR"/>
              </w:rPr>
              <w:t>’</w:t>
            </w:r>
            <w:r w:rsidRPr="00E9170B">
              <w:rPr>
                <w:sz w:val="19"/>
                <w:szCs w:val="19"/>
                <w:lang w:val="fr-FR"/>
              </w:rPr>
              <w:t>UNO/changements structurels</w:t>
            </w:r>
          </w:p>
        </w:tc>
        <w:tc>
          <w:tcPr>
            <w:tcW w:w="5812" w:type="dxa"/>
          </w:tcPr>
          <w:p w14:paraId="09ED1957" w14:textId="67DE4D71" w:rsidR="00C86090" w:rsidRPr="00AF592C" w:rsidRDefault="00446F34" w:rsidP="00E352F6">
            <w:pPr>
              <w:jc w:val="left"/>
              <w:rPr>
                <w:sz w:val="19"/>
                <w:szCs w:val="19"/>
                <w:lang w:val="fr-CA"/>
              </w:rPr>
            </w:pPr>
            <w:r w:rsidRPr="00E9170B">
              <w:rPr>
                <w:sz w:val="19"/>
                <w:szCs w:val="19"/>
                <w:lang w:val="fr-FR"/>
              </w:rPr>
              <w:t>Prendre note des retards dus aux modalités complexes de mise en œuvre</w:t>
            </w:r>
            <w:r w:rsidR="00B81C1B" w:rsidRPr="00E9170B">
              <w:rPr>
                <w:sz w:val="19"/>
                <w:szCs w:val="19"/>
                <w:lang w:val="fr-FR"/>
              </w:rPr>
              <w:t xml:space="preserve"> </w:t>
            </w:r>
            <w:r w:rsidRPr="00E9170B">
              <w:rPr>
                <w:sz w:val="19"/>
                <w:szCs w:val="19"/>
                <w:lang w:val="fr-FR"/>
              </w:rPr>
              <w:t>établies entre l</w:t>
            </w:r>
            <w:r w:rsidR="0048249F">
              <w:rPr>
                <w:sz w:val="19"/>
                <w:szCs w:val="19"/>
                <w:lang w:val="fr-FR"/>
              </w:rPr>
              <w:t>’</w:t>
            </w:r>
            <w:r w:rsidRPr="00E9170B">
              <w:rPr>
                <w:sz w:val="19"/>
                <w:szCs w:val="19"/>
                <w:lang w:val="fr-FR"/>
              </w:rPr>
              <w:t>ONUDI et l</w:t>
            </w:r>
            <w:r w:rsidR="0048249F">
              <w:rPr>
                <w:sz w:val="19"/>
                <w:szCs w:val="19"/>
                <w:lang w:val="fr-FR"/>
              </w:rPr>
              <w:t>’</w:t>
            </w:r>
            <w:r w:rsidRPr="00E9170B">
              <w:rPr>
                <w:sz w:val="19"/>
                <w:szCs w:val="19"/>
                <w:lang w:val="fr-FR"/>
              </w:rPr>
              <w:t xml:space="preserve">UNO, et inviter instamment le gouvernement de la Somalie à coopérer avec </w:t>
            </w:r>
            <w:r w:rsidR="00885498" w:rsidRPr="00E9170B">
              <w:rPr>
                <w:sz w:val="19"/>
                <w:szCs w:val="19"/>
                <w:lang w:val="fr-FR"/>
              </w:rPr>
              <w:t>l</w:t>
            </w:r>
            <w:r w:rsidR="0048249F">
              <w:rPr>
                <w:sz w:val="19"/>
                <w:szCs w:val="19"/>
                <w:lang w:val="fr-FR"/>
              </w:rPr>
              <w:t>’</w:t>
            </w:r>
            <w:r w:rsidRPr="00E9170B">
              <w:rPr>
                <w:sz w:val="19"/>
                <w:szCs w:val="19"/>
                <w:lang w:val="fr-FR"/>
              </w:rPr>
              <w:t>ONUDI afin que la troisième tranche (2020)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action révisé pour prendre en compte la réaffectation de la tranche de 2020.</w:t>
            </w:r>
          </w:p>
        </w:tc>
      </w:tr>
      <w:tr w:rsidR="00F91E4F" w:rsidRPr="00B67439" w14:paraId="1E985FA0" w14:textId="77777777" w:rsidTr="00B9092E">
        <w:trPr>
          <w:trHeight w:val="1880"/>
        </w:trPr>
        <w:tc>
          <w:tcPr>
            <w:tcW w:w="1560" w:type="dxa"/>
          </w:tcPr>
          <w:p w14:paraId="3D5C34F2" w14:textId="7F86E17A" w:rsidR="00C86090" w:rsidRPr="00AF592C" w:rsidRDefault="00446F34" w:rsidP="00E352F6">
            <w:pPr>
              <w:ind w:right="-131"/>
              <w:jc w:val="left"/>
              <w:rPr>
                <w:sz w:val="19"/>
                <w:szCs w:val="19"/>
                <w:lang w:val="fr-CA" w:eastAsia="en-CA"/>
              </w:rPr>
            </w:pPr>
            <w:r w:rsidRPr="00E9170B">
              <w:rPr>
                <w:sz w:val="19"/>
                <w:szCs w:val="19"/>
                <w:lang w:val="fr-FR" w:eastAsia="en-CA"/>
              </w:rPr>
              <w:lastRenderedPageBreak/>
              <w:t>Afrique Du Sud (Phase I)</w:t>
            </w:r>
          </w:p>
        </w:tc>
        <w:tc>
          <w:tcPr>
            <w:tcW w:w="1276" w:type="dxa"/>
          </w:tcPr>
          <w:p w14:paraId="1567F697" w14:textId="2EAD51F1" w:rsidR="00C86090" w:rsidRPr="00E9170B" w:rsidRDefault="00446F34" w:rsidP="00E352F6">
            <w:pPr>
              <w:ind w:right="-131"/>
              <w:jc w:val="left"/>
              <w:rPr>
                <w:sz w:val="19"/>
                <w:szCs w:val="19"/>
                <w:lang w:val="en-CA" w:eastAsia="en-CA"/>
              </w:rPr>
            </w:pPr>
            <w:r w:rsidRPr="00E9170B">
              <w:rPr>
                <w:sz w:val="19"/>
                <w:szCs w:val="19"/>
                <w:lang w:val="fr-FR" w:eastAsia="en-CA"/>
              </w:rPr>
              <w:t>ONUDI</w:t>
            </w:r>
          </w:p>
        </w:tc>
        <w:tc>
          <w:tcPr>
            <w:tcW w:w="879" w:type="dxa"/>
          </w:tcPr>
          <w:p w14:paraId="506BCE0E" w14:textId="501288DC" w:rsidR="00C86090" w:rsidRPr="00E9170B" w:rsidRDefault="00C86090" w:rsidP="0021299E">
            <w:pPr>
              <w:jc w:val="center"/>
              <w:rPr>
                <w:sz w:val="19"/>
                <w:szCs w:val="19"/>
                <w:lang w:val="en-CA" w:eastAsia="en-CA"/>
              </w:rPr>
            </w:pPr>
            <w:r w:rsidRPr="00E9170B">
              <w:rPr>
                <w:sz w:val="19"/>
                <w:szCs w:val="19"/>
                <w:lang w:val="en-CA" w:eastAsia="en-CA"/>
              </w:rPr>
              <w:t>2018</w:t>
            </w:r>
          </w:p>
        </w:tc>
        <w:tc>
          <w:tcPr>
            <w:tcW w:w="1275" w:type="dxa"/>
          </w:tcPr>
          <w:p w14:paraId="52CCC8B3" w14:textId="62DB0460" w:rsidR="00C86090" w:rsidRPr="00E9170B" w:rsidRDefault="00C86090" w:rsidP="0021299E">
            <w:pPr>
              <w:jc w:val="right"/>
              <w:rPr>
                <w:sz w:val="19"/>
                <w:szCs w:val="19"/>
                <w:lang w:val="en-CA" w:eastAsia="en-CA"/>
              </w:rPr>
            </w:pPr>
            <w:r w:rsidRPr="00E9170B">
              <w:rPr>
                <w:sz w:val="19"/>
                <w:szCs w:val="19"/>
                <w:lang w:val="en-CA" w:eastAsia="en-CA"/>
              </w:rPr>
              <w:t>191</w:t>
            </w:r>
            <w:r w:rsidR="00E9170B">
              <w:rPr>
                <w:sz w:val="19"/>
                <w:szCs w:val="19"/>
                <w:lang w:val="en-CA" w:eastAsia="en-CA"/>
              </w:rPr>
              <w:t> </w:t>
            </w:r>
            <w:r w:rsidRPr="00E9170B">
              <w:rPr>
                <w:sz w:val="19"/>
                <w:szCs w:val="19"/>
                <w:lang w:val="en-CA" w:eastAsia="en-CA"/>
              </w:rPr>
              <w:t>273</w:t>
            </w:r>
          </w:p>
        </w:tc>
        <w:tc>
          <w:tcPr>
            <w:tcW w:w="3373" w:type="dxa"/>
          </w:tcPr>
          <w:p w14:paraId="153C5E29" w14:textId="241446B1" w:rsidR="00C86090" w:rsidRPr="00AF592C" w:rsidRDefault="00994EEC" w:rsidP="00E9170B">
            <w:pPr>
              <w:jc w:val="left"/>
              <w:rPr>
                <w:sz w:val="19"/>
                <w:szCs w:val="19"/>
                <w:lang w:val="fr-CA"/>
              </w:rPr>
            </w:pPr>
            <w:r w:rsidRPr="00E9170B">
              <w:rPr>
                <w:sz w:val="19"/>
                <w:szCs w:val="19"/>
                <w:lang w:val="fr-FR" w:eastAsia="en-CA"/>
              </w:rPr>
              <w:t>Perturbations dues à la pandémie de Covid-19</w:t>
            </w:r>
            <w:r w:rsidR="00446F34" w:rsidRPr="00E9170B">
              <w:rPr>
                <w:sz w:val="19"/>
                <w:szCs w:val="19"/>
                <w:lang w:val="fr-FR"/>
              </w:rPr>
              <w:t>/difficultés internes ou externes</w:t>
            </w:r>
            <w:r w:rsidR="00E9170B" w:rsidRPr="00E9170B">
              <w:rPr>
                <w:sz w:val="19"/>
                <w:szCs w:val="19"/>
                <w:lang w:val="fr-FR"/>
              </w:rPr>
              <w:t>/</w:t>
            </w:r>
            <w:r w:rsidR="00446F34" w:rsidRPr="00E9170B">
              <w:rPr>
                <w:sz w:val="19"/>
                <w:szCs w:val="19"/>
                <w:lang w:val="fr-FR"/>
              </w:rPr>
              <w:t>seuil de décaissement de 20 pour cent</w:t>
            </w:r>
          </w:p>
        </w:tc>
        <w:tc>
          <w:tcPr>
            <w:tcW w:w="5812" w:type="dxa"/>
          </w:tcPr>
          <w:p w14:paraId="47F50A49" w14:textId="300A6617" w:rsidR="00C86090" w:rsidRPr="00AF592C" w:rsidRDefault="00446F34" w:rsidP="00E352F6">
            <w:pPr>
              <w:jc w:val="left"/>
              <w:rPr>
                <w:sz w:val="19"/>
                <w:szCs w:val="19"/>
                <w:lang w:val="fr-CA"/>
              </w:rPr>
            </w:pPr>
            <w:r w:rsidRPr="00E9170B">
              <w:rPr>
                <w:sz w:val="19"/>
                <w:szCs w:val="19"/>
                <w:lang w:val="fr-FR"/>
              </w:rPr>
              <w:t xml:space="preserve">Prendre note des retards dus </w:t>
            </w:r>
            <w:r w:rsidR="00F45E86" w:rsidRPr="00E9170B">
              <w:rPr>
                <w:sz w:val="19"/>
                <w:szCs w:val="19"/>
                <w:lang w:val="fr-FR"/>
              </w:rPr>
              <w:t>aux contraintes imposées par la pandémie de Covid-1</w:t>
            </w:r>
            <w:r w:rsidRPr="00E9170B">
              <w:rPr>
                <w:sz w:val="19"/>
                <w:szCs w:val="19"/>
                <w:lang w:val="fr-FR"/>
              </w:rPr>
              <w:t>9 et du fait que le taux de décaissement global de la quatrième tranche (201</w:t>
            </w:r>
            <w:r w:rsidR="00F45E86" w:rsidRPr="00E9170B">
              <w:rPr>
                <w:sz w:val="19"/>
                <w:szCs w:val="19"/>
                <w:lang w:val="fr-FR"/>
              </w:rPr>
              <w:t>6</w:t>
            </w:r>
            <w:r w:rsidRPr="00E9170B">
              <w:rPr>
                <w:sz w:val="19"/>
                <w:szCs w:val="19"/>
                <w:lang w:val="fr-FR"/>
              </w:rPr>
              <w:t>) de phase I du PGEH se situait au-dessous du seuil de décaissement de 20 pour cent</w:t>
            </w:r>
            <w:r w:rsidR="00F45E86" w:rsidRPr="00E9170B">
              <w:rPr>
                <w:sz w:val="19"/>
                <w:szCs w:val="19"/>
                <w:lang w:val="fr-FR"/>
              </w:rPr>
              <w:t>,</w:t>
            </w:r>
            <w:r w:rsidRPr="00E9170B">
              <w:rPr>
                <w:sz w:val="19"/>
                <w:szCs w:val="19"/>
                <w:lang w:val="fr-FR"/>
              </w:rPr>
              <w:t xml:space="preserve"> et inviter instamment le gouvernement de </w:t>
            </w:r>
            <w:r w:rsidR="00F45E86" w:rsidRPr="00E9170B">
              <w:rPr>
                <w:sz w:val="19"/>
                <w:szCs w:val="19"/>
                <w:lang w:val="fr-FR"/>
              </w:rPr>
              <w:t>l</w:t>
            </w:r>
            <w:r w:rsidR="0048249F">
              <w:rPr>
                <w:sz w:val="19"/>
                <w:szCs w:val="19"/>
                <w:lang w:val="fr-FR"/>
              </w:rPr>
              <w:t>’</w:t>
            </w:r>
            <w:r w:rsidR="00F45E86" w:rsidRPr="00E9170B">
              <w:rPr>
                <w:sz w:val="19"/>
                <w:szCs w:val="19"/>
                <w:lang w:val="fr-FR"/>
              </w:rPr>
              <w:t xml:space="preserve">Afrique du Sud </w:t>
            </w:r>
            <w:r w:rsidRPr="00E9170B">
              <w:rPr>
                <w:sz w:val="19"/>
                <w:szCs w:val="19"/>
                <w:lang w:val="fr-FR"/>
              </w:rPr>
              <w:t>à coopérer avec l</w:t>
            </w:r>
            <w:r w:rsidR="0048249F">
              <w:rPr>
                <w:sz w:val="19"/>
                <w:szCs w:val="19"/>
                <w:lang w:val="fr-FR"/>
              </w:rPr>
              <w:t>’</w:t>
            </w:r>
            <w:r w:rsidRPr="00E9170B">
              <w:rPr>
                <w:sz w:val="19"/>
                <w:szCs w:val="19"/>
                <w:lang w:val="fr-FR"/>
              </w:rPr>
              <w:t>ONUDI afin que la cinquième tranche (20</w:t>
            </w:r>
            <w:r w:rsidR="00F45E86" w:rsidRPr="00E9170B">
              <w:rPr>
                <w:sz w:val="19"/>
                <w:szCs w:val="19"/>
                <w:lang w:val="fr-FR"/>
              </w:rPr>
              <w:t>18</w:t>
            </w:r>
            <w:r w:rsidRPr="00E9170B">
              <w:rPr>
                <w:sz w:val="19"/>
                <w:szCs w:val="19"/>
                <w:lang w:val="fr-FR"/>
              </w:rPr>
              <w:t>) de la phase I puisse être soumise lors de la 87</w:t>
            </w:r>
            <w:r w:rsidRPr="00E9170B">
              <w:rPr>
                <w:sz w:val="19"/>
                <w:szCs w:val="19"/>
                <w:vertAlign w:val="superscript"/>
                <w:lang w:val="fr-FR"/>
              </w:rPr>
              <w:t>e</w:t>
            </w:r>
            <w:r w:rsidR="00F45E86" w:rsidRPr="00E9170B">
              <w:rPr>
                <w:sz w:val="19"/>
                <w:szCs w:val="19"/>
                <w:lang w:val="fr-FR"/>
              </w:rPr>
              <w:t xml:space="preserve"> </w:t>
            </w:r>
            <w:r w:rsidRPr="00E9170B">
              <w:rPr>
                <w:sz w:val="19"/>
                <w:szCs w:val="19"/>
                <w:lang w:val="fr-FR"/>
              </w:rPr>
              <w:t>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w:t>
            </w:r>
            <w:r w:rsidR="00F45E86" w:rsidRPr="00E9170B">
              <w:rPr>
                <w:sz w:val="19"/>
                <w:szCs w:val="19"/>
                <w:lang w:val="fr-FR"/>
              </w:rPr>
              <w:t>18</w:t>
            </w:r>
            <w:r w:rsidRPr="00E9170B">
              <w:rPr>
                <w:sz w:val="19"/>
                <w:szCs w:val="19"/>
                <w:lang w:val="fr-FR"/>
              </w:rPr>
              <w:t>, étant entendu que le seuil de décaissement de 20 pour cent pour le financement de la tranche précédente a été atteint.</w:t>
            </w:r>
          </w:p>
        </w:tc>
      </w:tr>
      <w:tr w:rsidR="00F91E4F" w:rsidRPr="00B67439" w14:paraId="38919561" w14:textId="77777777" w:rsidTr="00785A57">
        <w:trPr>
          <w:trHeight w:val="525"/>
        </w:trPr>
        <w:tc>
          <w:tcPr>
            <w:tcW w:w="1560" w:type="dxa"/>
            <w:vMerge w:val="restart"/>
          </w:tcPr>
          <w:p w14:paraId="15CF24E3" w14:textId="030F66DA" w:rsidR="00C86090" w:rsidRPr="00AF592C" w:rsidRDefault="00F45E86" w:rsidP="00E352F6">
            <w:pPr>
              <w:jc w:val="left"/>
              <w:rPr>
                <w:sz w:val="19"/>
                <w:szCs w:val="19"/>
                <w:lang w:val="fr-CA" w:eastAsia="en-CA"/>
              </w:rPr>
            </w:pPr>
            <w:r w:rsidRPr="00E9170B">
              <w:rPr>
                <w:sz w:val="19"/>
                <w:szCs w:val="19"/>
                <w:lang w:val="fr-FR" w:eastAsia="en-CA"/>
              </w:rPr>
              <w:t>Soudan du Sud</w:t>
            </w:r>
            <w:r w:rsidR="00B81C1B" w:rsidRPr="00E9170B">
              <w:rPr>
                <w:sz w:val="19"/>
                <w:szCs w:val="19"/>
                <w:lang w:val="fr-FR" w:eastAsia="en-CA"/>
              </w:rPr>
              <w:t xml:space="preserve"> </w:t>
            </w:r>
            <w:r w:rsidRPr="00E9170B">
              <w:rPr>
                <w:sz w:val="19"/>
                <w:szCs w:val="19"/>
                <w:lang w:val="fr-FR" w:eastAsia="en-CA"/>
              </w:rPr>
              <w:t>(Phase I)</w:t>
            </w:r>
          </w:p>
        </w:tc>
        <w:tc>
          <w:tcPr>
            <w:tcW w:w="1276" w:type="dxa"/>
          </w:tcPr>
          <w:p w14:paraId="46C6E890" w14:textId="6C0B5DFF" w:rsidR="00C86090" w:rsidRPr="00E9170B" w:rsidRDefault="00F45E86" w:rsidP="00E352F6">
            <w:pPr>
              <w:rPr>
                <w:sz w:val="19"/>
                <w:szCs w:val="19"/>
                <w:lang w:val="en-CA" w:eastAsia="en-CA"/>
              </w:rPr>
            </w:pPr>
            <w:r w:rsidRPr="00E9170B">
              <w:rPr>
                <w:sz w:val="19"/>
                <w:szCs w:val="19"/>
                <w:lang w:val="fr-FR" w:eastAsia="en-CA"/>
              </w:rPr>
              <w:t>PNUD</w:t>
            </w:r>
          </w:p>
        </w:tc>
        <w:tc>
          <w:tcPr>
            <w:tcW w:w="879" w:type="dxa"/>
          </w:tcPr>
          <w:p w14:paraId="57D4BCD2" w14:textId="77777777" w:rsidR="00C86090" w:rsidRPr="00E9170B" w:rsidRDefault="00C86090" w:rsidP="0021299E">
            <w:pPr>
              <w:jc w:val="center"/>
              <w:rPr>
                <w:sz w:val="19"/>
                <w:szCs w:val="19"/>
                <w:lang w:val="en-CA" w:eastAsia="en-CA"/>
              </w:rPr>
            </w:pPr>
            <w:r w:rsidRPr="00E9170B">
              <w:rPr>
                <w:sz w:val="19"/>
                <w:szCs w:val="19"/>
                <w:lang w:val="en-CA" w:eastAsia="en-CA"/>
              </w:rPr>
              <w:t>2018</w:t>
            </w:r>
          </w:p>
        </w:tc>
        <w:tc>
          <w:tcPr>
            <w:tcW w:w="1275" w:type="dxa"/>
          </w:tcPr>
          <w:p w14:paraId="175C9C55" w14:textId="4F209D23" w:rsidR="00C86090" w:rsidRPr="00E9170B" w:rsidRDefault="00C86090" w:rsidP="0021299E">
            <w:pPr>
              <w:jc w:val="right"/>
              <w:rPr>
                <w:sz w:val="19"/>
                <w:szCs w:val="19"/>
                <w:lang w:val="en-CA" w:eastAsia="en-CA"/>
              </w:rPr>
            </w:pPr>
            <w:r w:rsidRPr="00E9170B">
              <w:rPr>
                <w:sz w:val="19"/>
                <w:szCs w:val="19"/>
                <w:lang w:val="en-CA" w:eastAsia="en-CA"/>
              </w:rPr>
              <w:t>54</w:t>
            </w:r>
            <w:r w:rsidR="00E9170B">
              <w:rPr>
                <w:sz w:val="19"/>
                <w:szCs w:val="19"/>
                <w:lang w:val="en-CA" w:eastAsia="en-CA"/>
              </w:rPr>
              <w:t> </w:t>
            </w:r>
            <w:r w:rsidRPr="00E9170B">
              <w:rPr>
                <w:sz w:val="19"/>
                <w:szCs w:val="19"/>
                <w:lang w:val="en-CA" w:eastAsia="en-CA"/>
              </w:rPr>
              <w:t>500</w:t>
            </w:r>
          </w:p>
        </w:tc>
        <w:tc>
          <w:tcPr>
            <w:tcW w:w="3373" w:type="dxa"/>
          </w:tcPr>
          <w:p w14:paraId="56E62CC3" w14:textId="133A93D9" w:rsidR="00C86090" w:rsidRPr="00E9170B" w:rsidRDefault="00F45E86" w:rsidP="00E352F6">
            <w:pPr>
              <w:jc w:val="left"/>
              <w:rPr>
                <w:sz w:val="19"/>
                <w:szCs w:val="19"/>
              </w:rPr>
            </w:pPr>
            <w:r w:rsidRPr="00E9170B">
              <w:rPr>
                <w:sz w:val="19"/>
                <w:szCs w:val="19"/>
                <w:lang w:val="fr-FR"/>
              </w:rPr>
              <w:t>Situation</w:t>
            </w:r>
            <w:r w:rsidR="00B81C1B" w:rsidRPr="00E9170B">
              <w:rPr>
                <w:sz w:val="19"/>
                <w:szCs w:val="19"/>
                <w:lang w:val="fr-FR"/>
              </w:rPr>
              <w:t xml:space="preserve"> </w:t>
            </w:r>
            <w:r w:rsidRPr="00E9170B">
              <w:rPr>
                <w:sz w:val="19"/>
                <w:szCs w:val="19"/>
                <w:lang w:val="fr-FR"/>
              </w:rPr>
              <w:t>politique instable</w:t>
            </w:r>
          </w:p>
        </w:tc>
        <w:tc>
          <w:tcPr>
            <w:tcW w:w="5812" w:type="dxa"/>
            <w:vMerge w:val="restart"/>
          </w:tcPr>
          <w:p w14:paraId="57502468" w14:textId="5CD4C734" w:rsidR="00C86090" w:rsidRPr="00AF592C" w:rsidRDefault="00F45E86" w:rsidP="00E352F6">
            <w:pPr>
              <w:jc w:val="left"/>
              <w:rPr>
                <w:sz w:val="19"/>
                <w:szCs w:val="19"/>
                <w:lang w:val="fr-CA"/>
              </w:rPr>
            </w:pPr>
            <w:r w:rsidRPr="00E9170B">
              <w:rPr>
                <w:sz w:val="19"/>
                <w:szCs w:val="19"/>
                <w:lang w:val="fr-FR"/>
              </w:rPr>
              <w:t>Prendre note des retards dus aux changements structurels dans le pays</w:t>
            </w:r>
            <w:r w:rsidR="00B81C1B" w:rsidRPr="00E9170B">
              <w:rPr>
                <w:sz w:val="19"/>
                <w:szCs w:val="19"/>
                <w:lang w:val="fr-FR"/>
              </w:rPr>
              <w:t xml:space="preserve"> </w:t>
            </w:r>
            <w:r w:rsidRPr="00E9170B">
              <w:rPr>
                <w:sz w:val="19"/>
                <w:szCs w:val="19"/>
                <w:lang w:val="fr-FR"/>
              </w:rPr>
              <w:t>et aux contraintes imposées par la pandémie de Covid-19, et du fait que le taux de décaissement global de la première tranche (2016) de phase I du PGEH se situait au-dessous du seuil de décaissement de 20 pour cent, et inviter instamment le gouvernement du Soudan du Sud à coopérer avec le PNUD et le PNUE afin que la deuxième tranche (2018) de la phase I puisse être soumise lors de la 87</w:t>
            </w:r>
            <w:r w:rsidRPr="00E9170B">
              <w:rPr>
                <w:sz w:val="19"/>
                <w:szCs w:val="19"/>
                <w:vertAlign w:val="superscript"/>
                <w:lang w:val="fr-FR"/>
              </w:rPr>
              <w:t>e</w:t>
            </w:r>
            <w:r w:rsidR="00B81C1B" w:rsidRPr="00E9170B">
              <w:rPr>
                <w:sz w:val="19"/>
                <w:szCs w:val="19"/>
                <w:lang w:val="fr-FR"/>
              </w:rPr>
              <w:t xml:space="preserve"> </w:t>
            </w:r>
            <w:r w:rsidRPr="00E9170B">
              <w:rPr>
                <w:sz w:val="19"/>
                <w:szCs w:val="19"/>
                <w:lang w:val="fr-FR"/>
              </w:rPr>
              <w:t>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2018 et des tranches suivantes, étant entendu que le seuil de décaissement de 20 pour cent pour le financement de la tranche précédente a été atteint.</w:t>
            </w:r>
          </w:p>
        </w:tc>
      </w:tr>
      <w:tr w:rsidR="00F91E4F" w:rsidRPr="00B67439" w14:paraId="29812160" w14:textId="77777777" w:rsidTr="00785A57">
        <w:trPr>
          <w:trHeight w:val="264"/>
        </w:trPr>
        <w:tc>
          <w:tcPr>
            <w:tcW w:w="1560" w:type="dxa"/>
            <w:vMerge/>
          </w:tcPr>
          <w:p w14:paraId="441C7DC9" w14:textId="77777777" w:rsidR="00C86090" w:rsidRPr="00AF592C" w:rsidRDefault="00C86090" w:rsidP="0021299E">
            <w:pPr>
              <w:jc w:val="left"/>
              <w:rPr>
                <w:sz w:val="19"/>
                <w:szCs w:val="19"/>
                <w:lang w:val="fr-CA" w:eastAsia="en-CA"/>
              </w:rPr>
            </w:pPr>
          </w:p>
        </w:tc>
        <w:tc>
          <w:tcPr>
            <w:tcW w:w="1276" w:type="dxa"/>
          </w:tcPr>
          <w:p w14:paraId="14124FCE" w14:textId="68A18835" w:rsidR="00C86090" w:rsidRPr="00E9170B" w:rsidRDefault="00F45E86" w:rsidP="00E352F6">
            <w:pPr>
              <w:rPr>
                <w:sz w:val="19"/>
                <w:szCs w:val="19"/>
                <w:lang w:val="en-CA" w:eastAsia="en-CA"/>
              </w:rPr>
            </w:pPr>
            <w:r w:rsidRPr="00E9170B">
              <w:rPr>
                <w:sz w:val="19"/>
                <w:szCs w:val="19"/>
                <w:lang w:val="fr-FR" w:eastAsia="en-CA"/>
              </w:rPr>
              <w:t>PNUE</w:t>
            </w:r>
          </w:p>
        </w:tc>
        <w:tc>
          <w:tcPr>
            <w:tcW w:w="879" w:type="dxa"/>
          </w:tcPr>
          <w:p w14:paraId="1D8C45C4" w14:textId="77777777" w:rsidR="00C86090" w:rsidRPr="00E9170B" w:rsidRDefault="00C86090" w:rsidP="0021299E">
            <w:pPr>
              <w:jc w:val="center"/>
              <w:rPr>
                <w:sz w:val="19"/>
                <w:szCs w:val="19"/>
                <w:lang w:val="en-CA" w:eastAsia="en-CA"/>
              </w:rPr>
            </w:pPr>
            <w:r w:rsidRPr="00E9170B">
              <w:rPr>
                <w:sz w:val="19"/>
                <w:szCs w:val="19"/>
                <w:lang w:val="en-CA" w:eastAsia="en-CA"/>
              </w:rPr>
              <w:t>2018</w:t>
            </w:r>
          </w:p>
        </w:tc>
        <w:tc>
          <w:tcPr>
            <w:tcW w:w="1275" w:type="dxa"/>
          </w:tcPr>
          <w:p w14:paraId="295D1EF6" w14:textId="795E6405" w:rsidR="00C86090" w:rsidRPr="00E9170B" w:rsidRDefault="00C86090" w:rsidP="0021299E">
            <w:pPr>
              <w:jc w:val="right"/>
              <w:rPr>
                <w:sz w:val="19"/>
                <w:szCs w:val="19"/>
                <w:lang w:val="en-CA" w:eastAsia="en-CA"/>
              </w:rPr>
            </w:pPr>
            <w:r w:rsidRPr="00E9170B">
              <w:rPr>
                <w:sz w:val="19"/>
                <w:szCs w:val="19"/>
                <w:lang w:val="en-CA" w:eastAsia="en-CA"/>
              </w:rPr>
              <w:t>79</w:t>
            </w:r>
            <w:r w:rsidR="00E9170B">
              <w:rPr>
                <w:sz w:val="19"/>
                <w:szCs w:val="19"/>
                <w:lang w:val="en-CA" w:eastAsia="en-CA"/>
              </w:rPr>
              <w:t> </w:t>
            </w:r>
            <w:r w:rsidRPr="00E9170B">
              <w:rPr>
                <w:sz w:val="19"/>
                <w:szCs w:val="19"/>
                <w:lang w:val="en-CA" w:eastAsia="en-CA"/>
              </w:rPr>
              <w:t>665</w:t>
            </w:r>
          </w:p>
        </w:tc>
        <w:tc>
          <w:tcPr>
            <w:tcW w:w="3373" w:type="dxa"/>
          </w:tcPr>
          <w:p w14:paraId="74798407" w14:textId="38E8AB73" w:rsidR="00C86090" w:rsidRPr="00AF592C" w:rsidRDefault="00994EEC" w:rsidP="00E9170B">
            <w:pPr>
              <w:jc w:val="left"/>
              <w:rPr>
                <w:sz w:val="19"/>
                <w:szCs w:val="19"/>
                <w:lang w:val="fr-CA"/>
              </w:rPr>
            </w:pPr>
            <w:r w:rsidRPr="00E9170B">
              <w:rPr>
                <w:sz w:val="19"/>
                <w:szCs w:val="19"/>
                <w:lang w:val="fr-FR" w:eastAsia="en-CA"/>
              </w:rPr>
              <w:t>Perturbations dues à la pandémie de Covid-19</w:t>
            </w:r>
            <w:r w:rsidR="00F45E86" w:rsidRPr="00E9170B">
              <w:rPr>
                <w:sz w:val="19"/>
                <w:szCs w:val="19"/>
                <w:lang w:val="fr-FR"/>
              </w:rPr>
              <w:t>/seuil de décaissement de 20 pour cent</w:t>
            </w:r>
            <w:r w:rsidR="00C86090" w:rsidRPr="00AF592C">
              <w:rPr>
                <w:sz w:val="19"/>
                <w:szCs w:val="19"/>
                <w:lang w:val="fr-CA"/>
              </w:rPr>
              <w:t xml:space="preserve"> </w:t>
            </w:r>
          </w:p>
        </w:tc>
        <w:tc>
          <w:tcPr>
            <w:tcW w:w="5812" w:type="dxa"/>
            <w:vMerge/>
          </w:tcPr>
          <w:p w14:paraId="74CAF760" w14:textId="77777777" w:rsidR="00C86090" w:rsidRPr="00AF592C" w:rsidRDefault="00C86090" w:rsidP="0021299E">
            <w:pPr>
              <w:jc w:val="left"/>
              <w:rPr>
                <w:sz w:val="19"/>
                <w:szCs w:val="19"/>
                <w:lang w:val="fr-CA"/>
              </w:rPr>
            </w:pPr>
          </w:p>
        </w:tc>
      </w:tr>
      <w:tr w:rsidR="00F91E4F" w:rsidRPr="00B67439" w14:paraId="270B574F" w14:textId="77777777" w:rsidTr="00FE1C75">
        <w:trPr>
          <w:trHeight w:val="100"/>
        </w:trPr>
        <w:tc>
          <w:tcPr>
            <w:tcW w:w="1560" w:type="dxa"/>
            <w:vMerge w:val="restart"/>
          </w:tcPr>
          <w:p w14:paraId="71D67926" w14:textId="2938CB62" w:rsidR="00C86090" w:rsidRPr="00E9170B" w:rsidRDefault="00F45E86" w:rsidP="0021299E">
            <w:pPr>
              <w:ind w:right="-131"/>
              <w:jc w:val="left"/>
              <w:rPr>
                <w:sz w:val="19"/>
                <w:szCs w:val="19"/>
                <w:lang w:val="en-CA" w:eastAsia="en-CA"/>
              </w:rPr>
            </w:pPr>
            <w:r w:rsidRPr="00E9170B">
              <w:rPr>
                <w:sz w:val="19"/>
                <w:szCs w:val="19"/>
                <w:lang w:val="fr-FR" w:eastAsia="en-CA"/>
              </w:rPr>
              <w:t>Suriname</w:t>
            </w:r>
            <w:r w:rsidR="00C86090" w:rsidRPr="00E9170B">
              <w:rPr>
                <w:sz w:val="19"/>
                <w:szCs w:val="19"/>
                <w:lang w:val="en-CA" w:eastAsia="en-CA"/>
              </w:rPr>
              <w:t xml:space="preserve"> </w:t>
            </w:r>
          </w:p>
          <w:p w14:paraId="2BFBEC7F" w14:textId="270F0EF6" w:rsidR="00C86090" w:rsidRPr="00E9170B" w:rsidRDefault="00F45E86" w:rsidP="00E352F6">
            <w:pPr>
              <w:ind w:right="-131"/>
              <w:jc w:val="left"/>
              <w:rPr>
                <w:sz w:val="19"/>
                <w:szCs w:val="19"/>
                <w:lang w:val="en-CA" w:eastAsia="en-CA"/>
              </w:rPr>
            </w:pPr>
            <w:r w:rsidRPr="00E9170B">
              <w:rPr>
                <w:sz w:val="19"/>
                <w:szCs w:val="19"/>
                <w:lang w:val="fr-FR" w:eastAsia="en-CA"/>
              </w:rPr>
              <w:t>(Phase I)</w:t>
            </w:r>
          </w:p>
        </w:tc>
        <w:tc>
          <w:tcPr>
            <w:tcW w:w="1276" w:type="dxa"/>
          </w:tcPr>
          <w:p w14:paraId="7AAC8998" w14:textId="144300C9" w:rsidR="00C86090" w:rsidRPr="00E9170B" w:rsidRDefault="00F45E86" w:rsidP="00E352F6">
            <w:pPr>
              <w:rPr>
                <w:sz w:val="19"/>
                <w:szCs w:val="19"/>
                <w:lang w:val="en-CA" w:eastAsia="en-CA"/>
              </w:rPr>
            </w:pPr>
            <w:r w:rsidRPr="00E9170B">
              <w:rPr>
                <w:sz w:val="19"/>
                <w:szCs w:val="19"/>
                <w:lang w:val="fr-FR" w:eastAsia="en-CA"/>
              </w:rPr>
              <w:t>PNUE</w:t>
            </w:r>
          </w:p>
        </w:tc>
        <w:tc>
          <w:tcPr>
            <w:tcW w:w="879" w:type="dxa"/>
          </w:tcPr>
          <w:p w14:paraId="482774AB" w14:textId="4C838731" w:rsidR="00C86090" w:rsidRPr="00E9170B" w:rsidRDefault="00C86090" w:rsidP="0021299E">
            <w:pPr>
              <w:jc w:val="center"/>
              <w:rPr>
                <w:sz w:val="19"/>
                <w:szCs w:val="19"/>
                <w:lang w:val="en-CA" w:eastAsia="en-CA"/>
              </w:rPr>
            </w:pPr>
            <w:r w:rsidRPr="00E9170B">
              <w:rPr>
                <w:sz w:val="19"/>
                <w:szCs w:val="19"/>
                <w:lang w:val="en-CA" w:eastAsia="en-CA"/>
              </w:rPr>
              <w:t>2020</w:t>
            </w:r>
          </w:p>
        </w:tc>
        <w:tc>
          <w:tcPr>
            <w:tcW w:w="1275" w:type="dxa"/>
          </w:tcPr>
          <w:p w14:paraId="2CB3A60E" w14:textId="0F94001E" w:rsidR="00C86090" w:rsidRPr="00E9170B" w:rsidRDefault="00C86090" w:rsidP="0021299E">
            <w:pPr>
              <w:jc w:val="right"/>
              <w:rPr>
                <w:sz w:val="19"/>
                <w:szCs w:val="19"/>
                <w:lang w:val="en-CA" w:eastAsia="en-CA"/>
              </w:rPr>
            </w:pPr>
            <w:r w:rsidRPr="00E9170B">
              <w:rPr>
                <w:sz w:val="19"/>
                <w:szCs w:val="19"/>
                <w:lang w:val="en-CA" w:eastAsia="en-CA"/>
              </w:rPr>
              <w:t>15</w:t>
            </w:r>
            <w:r w:rsidR="00E9170B">
              <w:rPr>
                <w:sz w:val="19"/>
                <w:szCs w:val="19"/>
                <w:lang w:val="en-CA" w:eastAsia="en-CA"/>
              </w:rPr>
              <w:t> </w:t>
            </w:r>
            <w:r w:rsidRPr="00E9170B">
              <w:rPr>
                <w:sz w:val="19"/>
                <w:szCs w:val="19"/>
                <w:lang w:val="en-CA" w:eastAsia="en-CA"/>
              </w:rPr>
              <w:t>255</w:t>
            </w:r>
          </w:p>
        </w:tc>
        <w:tc>
          <w:tcPr>
            <w:tcW w:w="3373" w:type="dxa"/>
          </w:tcPr>
          <w:p w14:paraId="02F62A13" w14:textId="7AEF9251" w:rsidR="00C86090" w:rsidRPr="00AF592C" w:rsidRDefault="00994EEC" w:rsidP="00E9170B">
            <w:pPr>
              <w:jc w:val="left"/>
              <w:rPr>
                <w:sz w:val="19"/>
                <w:szCs w:val="19"/>
                <w:lang w:val="fr-CA"/>
              </w:rPr>
            </w:pPr>
            <w:r w:rsidRPr="00E9170B">
              <w:rPr>
                <w:sz w:val="19"/>
                <w:szCs w:val="19"/>
                <w:lang w:val="fr-FR" w:eastAsia="en-CA"/>
              </w:rPr>
              <w:t>Perturbations dues à la pandémie de Covid-19</w:t>
            </w:r>
            <w:r w:rsidR="00F45E86" w:rsidRPr="00E9170B">
              <w:rPr>
                <w:sz w:val="19"/>
                <w:szCs w:val="19"/>
                <w:lang w:val="fr-FR"/>
              </w:rPr>
              <w:t>/</w:t>
            </w:r>
            <w:r w:rsidR="00E9170B" w:rsidRPr="00E9170B">
              <w:rPr>
                <w:sz w:val="19"/>
                <w:szCs w:val="19"/>
                <w:lang w:val="fr-FR" w:eastAsia="en-CA"/>
              </w:rPr>
              <w:t>suffisamment de fonds approuvés provenant de la tranche précédente</w:t>
            </w:r>
            <w:r w:rsidR="00F45E86" w:rsidRPr="00E9170B">
              <w:rPr>
                <w:sz w:val="19"/>
                <w:szCs w:val="19"/>
                <w:lang w:val="fr-FR"/>
              </w:rPr>
              <w:t>/seuil de décaissement de 20 pour cent</w:t>
            </w:r>
            <w:r w:rsidR="00C86090" w:rsidRPr="00AF592C">
              <w:rPr>
                <w:sz w:val="19"/>
                <w:szCs w:val="19"/>
                <w:lang w:val="fr-CA"/>
              </w:rPr>
              <w:t xml:space="preserve"> </w:t>
            </w:r>
          </w:p>
        </w:tc>
        <w:tc>
          <w:tcPr>
            <w:tcW w:w="5812" w:type="dxa"/>
            <w:vMerge w:val="restart"/>
          </w:tcPr>
          <w:p w14:paraId="38B8DD37" w14:textId="631A51A2" w:rsidR="00C86090" w:rsidRPr="00AF592C" w:rsidRDefault="00F45E86" w:rsidP="00E352F6">
            <w:pPr>
              <w:jc w:val="left"/>
              <w:rPr>
                <w:sz w:val="19"/>
                <w:szCs w:val="19"/>
                <w:lang w:val="fr-CA"/>
              </w:rPr>
            </w:pPr>
            <w:r w:rsidRPr="00E9170B">
              <w:rPr>
                <w:sz w:val="19"/>
                <w:szCs w:val="19"/>
                <w:lang w:val="fr-FR"/>
              </w:rPr>
              <w:t>Prendre note des retards dus aux contraintes imposées par la pandémie de Covid-19 et inviter instamment le gouvernement du Suriname à coopérer avec le PNUE et l</w:t>
            </w:r>
            <w:r w:rsidR="0048249F">
              <w:rPr>
                <w:sz w:val="19"/>
                <w:szCs w:val="19"/>
                <w:lang w:val="fr-FR"/>
              </w:rPr>
              <w:t>’</w:t>
            </w:r>
            <w:r w:rsidRPr="00E9170B">
              <w:rPr>
                <w:sz w:val="19"/>
                <w:szCs w:val="19"/>
                <w:lang w:val="fr-FR"/>
              </w:rPr>
              <w:t>ONUDI afin que la quatrième tranche (2020) de la phase I du PGEH puisse être soumise lors de la 88</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w:t>
            </w:r>
            <w:r w:rsidR="00B81C1B" w:rsidRPr="00E9170B">
              <w:rPr>
                <w:sz w:val="19"/>
                <w:szCs w:val="19"/>
                <w:lang w:val="fr-FR"/>
              </w:rPr>
              <w:t xml:space="preserve"> </w:t>
            </w:r>
            <w:r w:rsidRPr="00E9170B">
              <w:rPr>
                <w:sz w:val="19"/>
                <w:szCs w:val="19"/>
                <w:lang w:val="fr-FR"/>
              </w:rPr>
              <w:t>2020.</w:t>
            </w:r>
            <w:r w:rsidR="002C2F51" w:rsidRPr="00AF592C">
              <w:rPr>
                <w:sz w:val="19"/>
                <w:szCs w:val="19"/>
                <w:lang w:val="fr-CA"/>
              </w:rPr>
              <w:t xml:space="preserve"> </w:t>
            </w:r>
          </w:p>
        </w:tc>
      </w:tr>
      <w:tr w:rsidR="00F91E4F" w:rsidRPr="00B67439" w14:paraId="5B854002" w14:textId="77777777" w:rsidTr="00FE1C75">
        <w:trPr>
          <w:trHeight w:val="50"/>
        </w:trPr>
        <w:tc>
          <w:tcPr>
            <w:tcW w:w="1560" w:type="dxa"/>
            <w:vMerge/>
          </w:tcPr>
          <w:p w14:paraId="039FE73B" w14:textId="77777777" w:rsidR="00C86090" w:rsidRPr="00AF592C" w:rsidRDefault="00C86090" w:rsidP="0021299E">
            <w:pPr>
              <w:jc w:val="left"/>
              <w:rPr>
                <w:sz w:val="19"/>
                <w:szCs w:val="19"/>
                <w:lang w:val="fr-CA" w:eastAsia="en-CA"/>
              </w:rPr>
            </w:pPr>
          </w:p>
        </w:tc>
        <w:tc>
          <w:tcPr>
            <w:tcW w:w="1276" w:type="dxa"/>
          </w:tcPr>
          <w:p w14:paraId="287664C1" w14:textId="15E1DAAC" w:rsidR="00C86090" w:rsidRPr="00E9170B" w:rsidRDefault="00F45E86" w:rsidP="00E352F6">
            <w:pPr>
              <w:rPr>
                <w:sz w:val="19"/>
                <w:szCs w:val="19"/>
                <w:lang w:val="en-CA" w:eastAsia="en-CA"/>
              </w:rPr>
            </w:pPr>
            <w:r w:rsidRPr="00E9170B">
              <w:rPr>
                <w:sz w:val="19"/>
                <w:szCs w:val="19"/>
                <w:lang w:val="fr-FR" w:eastAsia="en-CA"/>
              </w:rPr>
              <w:t>ONUDI</w:t>
            </w:r>
          </w:p>
        </w:tc>
        <w:tc>
          <w:tcPr>
            <w:tcW w:w="879" w:type="dxa"/>
          </w:tcPr>
          <w:p w14:paraId="6103FAEE" w14:textId="595A9E1C" w:rsidR="00C86090" w:rsidRPr="00E9170B" w:rsidRDefault="00C86090" w:rsidP="0021299E">
            <w:pPr>
              <w:jc w:val="center"/>
              <w:rPr>
                <w:sz w:val="19"/>
                <w:szCs w:val="19"/>
                <w:lang w:val="en-CA" w:eastAsia="en-CA"/>
              </w:rPr>
            </w:pPr>
            <w:r w:rsidRPr="00E9170B">
              <w:rPr>
                <w:sz w:val="19"/>
                <w:szCs w:val="19"/>
                <w:lang w:val="en-CA" w:eastAsia="en-CA"/>
              </w:rPr>
              <w:t>2020</w:t>
            </w:r>
          </w:p>
        </w:tc>
        <w:tc>
          <w:tcPr>
            <w:tcW w:w="1275" w:type="dxa"/>
          </w:tcPr>
          <w:p w14:paraId="70BE6CDA" w14:textId="7D47FB0D" w:rsidR="00C86090" w:rsidRPr="00E9170B" w:rsidRDefault="00C86090" w:rsidP="0021299E">
            <w:pPr>
              <w:jc w:val="right"/>
              <w:rPr>
                <w:sz w:val="19"/>
                <w:szCs w:val="19"/>
                <w:lang w:val="en-CA" w:eastAsia="en-CA"/>
              </w:rPr>
            </w:pPr>
            <w:r w:rsidRPr="00E9170B">
              <w:rPr>
                <w:sz w:val="19"/>
                <w:szCs w:val="19"/>
                <w:lang w:val="en-CA" w:eastAsia="en-CA"/>
              </w:rPr>
              <w:t>9</w:t>
            </w:r>
            <w:r w:rsidR="00E9170B">
              <w:rPr>
                <w:sz w:val="19"/>
                <w:szCs w:val="19"/>
                <w:lang w:val="en-CA" w:eastAsia="en-CA"/>
              </w:rPr>
              <w:t> </w:t>
            </w:r>
            <w:r w:rsidRPr="00E9170B">
              <w:rPr>
                <w:sz w:val="19"/>
                <w:szCs w:val="19"/>
                <w:lang w:val="en-CA" w:eastAsia="en-CA"/>
              </w:rPr>
              <w:t>810</w:t>
            </w:r>
          </w:p>
        </w:tc>
        <w:tc>
          <w:tcPr>
            <w:tcW w:w="3373" w:type="dxa"/>
          </w:tcPr>
          <w:p w14:paraId="5462D2B7" w14:textId="2B9A7A45" w:rsidR="00C86090" w:rsidRPr="00AF592C" w:rsidRDefault="00F45E86" w:rsidP="00E9170B">
            <w:pPr>
              <w:jc w:val="left"/>
              <w:rPr>
                <w:sz w:val="19"/>
                <w:szCs w:val="19"/>
                <w:lang w:val="fr-CA"/>
              </w:rPr>
            </w:pPr>
            <w:r w:rsidRPr="00E9170B">
              <w:rPr>
                <w:sz w:val="19"/>
                <w:szCs w:val="19"/>
                <w:lang w:val="fr-FR"/>
              </w:rPr>
              <w:t>Décisions/approbations du gouvernement/changements au sein de l</w:t>
            </w:r>
            <w:r w:rsidR="0048249F">
              <w:rPr>
                <w:sz w:val="19"/>
                <w:szCs w:val="19"/>
                <w:lang w:val="fr-FR"/>
              </w:rPr>
              <w:t>’</w:t>
            </w:r>
            <w:r w:rsidRPr="00E9170B">
              <w:rPr>
                <w:sz w:val="19"/>
                <w:szCs w:val="19"/>
                <w:lang w:val="fr-FR"/>
              </w:rPr>
              <w:t>UNO/changements structurels/ agence principale pas prête pour la présentation</w:t>
            </w:r>
            <w:r w:rsidR="00B81C1B" w:rsidRPr="00E9170B">
              <w:rPr>
                <w:sz w:val="19"/>
                <w:szCs w:val="19"/>
                <w:lang w:val="fr-FR"/>
              </w:rPr>
              <w:t xml:space="preserve"> </w:t>
            </w:r>
            <w:r w:rsidRPr="00E9170B">
              <w:rPr>
                <w:sz w:val="19"/>
                <w:szCs w:val="19"/>
                <w:lang w:val="fr-FR"/>
              </w:rPr>
              <w:t>de la tranche</w:t>
            </w:r>
          </w:p>
        </w:tc>
        <w:tc>
          <w:tcPr>
            <w:tcW w:w="5812" w:type="dxa"/>
            <w:vMerge/>
          </w:tcPr>
          <w:p w14:paraId="6E3AA97E" w14:textId="77777777" w:rsidR="00C86090" w:rsidRPr="00AF592C" w:rsidRDefault="00C86090" w:rsidP="0021299E">
            <w:pPr>
              <w:jc w:val="left"/>
              <w:rPr>
                <w:sz w:val="19"/>
                <w:szCs w:val="19"/>
                <w:lang w:val="fr-CA"/>
              </w:rPr>
            </w:pPr>
          </w:p>
        </w:tc>
      </w:tr>
      <w:tr w:rsidR="00F91E4F" w:rsidRPr="00B67439" w14:paraId="6E700304" w14:textId="77777777" w:rsidTr="008D0476">
        <w:trPr>
          <w:trHeight w:val="463"/>
        </w:trPr>
        <w:tc>
          <w:tcPr>
            <w:tcW w:w="1560" w:type="dxa"/>
          </w:tcPr>
          <w:p w14:paraId="3A65B79A" w14:textId="44CCA3CB" w:rsidR="00C86090" w:rsidRPr="00E9170B" w:rsidRDefault="00F45E86" w:rsidP="0021299E">
            <w:pPr>
              <w:jc w:val="left"/>
              <w:rPr>
                <w:sz w:val="19"/>
                <w:szCs w:val="19"/>
                <w:lang w:val="en-CA" w:eastAsia="en-CA"/>
              </w:rPr>
            </w:pPr>
            <w:r w:rsidRPr="00E9170B">
              <w:rPr>
                <w:sz w:val="19"/>
                <w:szCs w:val="19"/>
                <w:lang w:val="fr-FR" w:eastAsia="en-CA"/>
              </w:rPr>
              <w:t>Thaïlande</w:t>
            </w:r>
            <w:r w:rsidR="00C86090" w:rsidRPr="00E9170B">
              <w:rPr>
                <w:sz w:val="19"/>
                <w:szCs w:val="19"/>
                <w:lang w:val="en-CA" w:eastAsia="en-CA"/>
              </w:rPr>
              <w:t xml:space="preserve"> </w:t>
            </w:r>
          </w:p>
          <w:p w14:paraId="6D1A8E2A" w14:textId="47A0C90B" w:rsidR="00C86090" w:rsidRPr="00E9170B" w:rsidRDefault="00F45E86" w:rsidP="00E352F6">
            <w:pPr>
              <w:jc w:val="left"/>
              <w:rPr>
                <w:sz w:val="19"/>
                <w:szCs w:val="19"/>
                <w:lang w:val="en-CA" w:eastAsia="en-CA"/>
              </w:rPr>
            </w:pPr>
            <w:r w:rsidRPr="00E9170B">
              <w:rPr>
                <w:sz w:val="19"/>
                <w:szCs w:val="19"/>
                <w:lang w:val="fr-FR" w:eastAsia="en-CA"/>
              </w:rPr>
              <w:t>(Phase II)</w:t>
            </w:r>
          </w:p>
        </w:tc>
        <w:tc>
          <w:tcPr>
            <w:tcW w:w="1276" w:type="dxa"/>
          </w:tcPr>
          <w:p w14:paraId="2ECCDDA4" w14:textId="7EBCF99C" w:rsidR="00C86090" w:rsidRPr="00E9170B" w:rsidRDefault="00F45E86" w:rsidP="00E352F6">
            <w:pPr>
              <w:jc w:val="left"/>
              <w:rPr>
                <w:sz w:val="19"/>
                <w:szCs w:val="19"/>
                <w:lang w:val="en-CA" w:eastAsia="en-CA"/>
              </w:rPr>
            </w:pPr>
            <w:r w:rsidRPr="00E9170B">
              <w:rPr>
                <w:sz w:val="19"/>
                <w:szCs w:val="19"/>
                <w:lang w:val="fr-FR" w:eastAsia="en-CA"/>
              </w:rPr>
              <w:t>Banque mondiale</w:t>
            </w:r>
          </w:p>
        </w:tc>
        <w:tc>
          <w:tcPr>
            <w:tcW w:w="879" w:type="dxa"/>
          </w:tcPr>
          <w:p w14:paraId="045FA423" w14:textId="133C39D1" w:rsidR="00C86090" w:rsidRPr="00E9170B" w:rsidRDefault="00C86090" w:rsidP="0021299E">
            <w:pPr>
              <w:jc w:val="center"/>
              <w:rPr>
                <w:sz w:val="19"/>
                <w:szCs w:val="19"/>
                <w:lang w:val="en-CA" w:eastAsia="en-CA"/>
              </w:rPr>
            </w:pPr>
            <w:r w:rsidRPr="00E9170B">
              <w:rPr>
                <w:sz w:val="19"/>
                <w:szCs w:val="19"/>
                <w:lang w:val="en-CA" w:eastAsia="en-CA"/>
              </w:rPr>
              <w:t>2020</w:t>
            </w:r>
          </w:p>
        </w:tc>
        <w:tc>
          <w:tcPr>
            <w:tcW w:w="1275" w:type="dxa"/>
          </w:tcPr>
          <w:p w14:paraId="64289819" w14:textId="12C32682" w:rsidR="00C86090" w:rsidRPr="00E9170B" w:rsidRDefault="00C86090" w:rsidP="0021299E">
            <w:pPr>
              <w:jc w:val="right"/>
              <w:rPr>
                <w:sz w:val="19"/>
                <w:szCs w:val="19"/>
                <w:lang w:val="en-CA" w:eastAsia="en-CA"/>
              </w:rPr>
            </w:pPr>
            <w:r w:rsidRPr="00E9170B">
              <w:rPr>
                <w:sz w:val="19"/>
                <w:szCs w:val="19"/>
                <w:lang w:val="en-CA" w:eastAsia="en-CA"/>
              </w:rPr>
              <w:t>2</w:t>
            </w:r>
            <w:r w:rsidR="00E9170B">
              <w:rPr>
                <w:sz w:val="19"/>
                <w:szCs w:val="19"/>
                <w:lang w:val="en-CA" w:eastAsia="en-CA"/>
              </w:rPr>
              <w:t> </w:t>
            </w:r>
            <w:r w:rsidRPr="00E9170B">
              <w:rPr>
                <w:sz w:val="19"/>
                <w:szCs w:val="19"/>
                <w:lang w:val="en-CA" w:eastAsia="en-CA"/>
              </w:rPr>
              <w:t>264</w:t>
            </w:r>
            <w:r w:rsidR="00E9170B">
              <w:rPr>
                <w:sz w:val="19"/>
                <w:szCs w:val="19"/>
                <w:lang w:val="en-CA" w:eastAsia="en-CA"/>
              </w:rPr>
              <w:t> </w:t>
            </w:r>
            <w:r w:rsidRPr="00E9170B">
              <w:rPr>
                <w:sz w:val="19"/>
                <w:szCs w:val="19"/>
                <w:lang w:val="en-CA" w:eastAsia="en-CA"/>
              </w:rPr>
              <w:t>689</w:t>
            </w:r>
          </w:p>
        </w:tc>
        <w:tc>
          <w:tcPr>
            <w:tcW w:w="3373" w:type="dxa"/>
          </w:tcPr>
          <w:p w14:paraId="045FD891" w14:textId="42F5E86C" w:rsidR="00C86090" w:rsidRPr="00AF592C" w:rsidRDefault="00F45E86" w:rsidP="00E352F6">
            <w:pPr>
              <w:jc w:val="left"/>
              <w:rPr>
                <w:sz w:val="19"/>
                <w:szCs w:val="19"/>
                <w:lang w:val="fr-CA" w:eastAsia="en-CA"/>
              </w:rPr>
            </w:pPr>
            <w:r w:rsidRPr="00E9170B">
              <w:rPr>
                <w:sz w:val="19"/>
                <w:szCs w:val="19"/>
                <w:lang w:val="fr-FR" w:eastAsia="en-CA"/>
              </w:rPr>
              <w:t>Signature de l</w:t>
            </w:r>
            <w:r w:rsidR="0048249F">
              <w:rPr>
                <w:sz w:val="19"/>
                <w:szCs w:val="19"/>
                <w:lang w:val="fr-FR" w:eastAsia="en-CA"/>
              </w:rPr>
              <w:t>’</w:t>
            </w:r>
            <w:r w:rsidRPr="00E9170B">
              <w:rPr>
                <w:sz w:val="19"/>
                <w:szCs w:val="19"/>
                <w:lang w:val="fr-FR" w:eastAsia="en-CA"/>
              </w:rPr>
              <w:t xml:space="preserve">accord </w:t>
            </w:r>
            <w:r w:rsidR="00A21B07">
              <w:rPr>
                <w:sz w:val="19"/>
                <w:szCs w:val="19"/>
                <w:lang w:val="fr-FR" w:eastAsia="en-CA"/>
              </w:rPr>
              <w:t xml:space="preserve">et/ou du document </w:t>
            </w:r>
            <w:r w:rsidRPr="00E9170B">
              <w:rPr>
                <w:sz w:val="19"/>
                <w:szCs w:val="19"/>
                <w:lang w:val="fr-FR" w:eastAsia="en-CA"/>
              </w:rPr>
              <w:t xml:space="preserve"> de projet/ seuil de décaissement de 20 pour cent</w:t>
            </w:r>
          </w:p>
        </w:tc>
        <w:tc>
          <w:tcPr>
            <w:tcW w:w="5812" w:type="dxa"/>
          </w:tcPr>
          <w:p w14:paraId="6C03F236" w14:textId="12D451EC" w:rsidR="00C86090" w:rsidRPr="00AF592C" w:rsidRDefault="00F45E86" w:rsidP="00E352F6">
            <w:pPr>
              <w:jc w:val="left"/>
              <w:rPr>
                <w:sz w:val="19"/>
                <w:szCs w:val="19"/>
                <w:lang w:val="fr-CA"/>
              </w:rPr>
            </w:pPr>
            <w:r w:rsidRPr="00E9170B">
              <w:rPr>
                <w:sz w:val="19"/>
                <w:szCs w:val="19"/>
                <w:lang w:val="fr-FR"/>
              </w:rPr>
              <w:t>Prendre note des retards dans la signature de l</w:t>
            </w:r>
            <w:r w:rsidR="0048249F">
              <w:rPr>
                <w:sz w:val="19"/>
                <w:szCs w:val="19"/>
                <w:lang w:val="fr-FR"/>
              </w:rPr>
              <w:t>’</w:t>
            </w:r>
            <w:r w:rsidRPr="00E9170B">
              <w:rPr>
                <w:sz w:val="19"/>
                <w:szCs w:val="19"/>
                <w:lang w:val="fr-FR"/>
              </w:rPr>
              <w:t>accord et du fait que le taux de décaissement global de la première tranche (2018) de phase II du PGEH se situait au-dessous du seuil de décaissement de 20 pour cent, et inviter instamment le gouvernement de la Thaïlande à coopérer avec la Banque mondiale pour accélérer la signature de l</w:t>
            </w:r>
            <w:r w:rsidR="0048249F">
              <w:rPr>
                <w:sz w:val="19"/>
                <w:szCs w:val="19"/>
                <w:lang w:val="fr-FR"/>
              </w:rPr>
              <w:t>’</w:t>
            </w:r>
            <w:r w:rsidRPr="00E9170B">
              <w:rPr>
                <w:sz w:val="19"/>
                <w:szCs w:val="19"/>
                <w:lang w:val="fr-FR"/>
              </w:rPr>
              <w:t>accord afin que deuxième tranche (2020) de la phase II puisse être soumise lors de la 88</w:t>
            </w:r>
            <w:r w:rsidRPr="00E9170B">
              <w:rPr>
                <w:sz w:val="19"/>
                <w:szCs w:val="19"/>
                <w:vertAlign w:val="superscript"/>
                <w:lang w:val="fr-FR"/>
              </w:rPr>
              <w:t>e </w:t>
            </w:r>
            <w:r w:rsidRPr="00E9170B">
              <w:rPr>
                <w:sz w:val="19"/>
                <w:szCs w:val="19"/>
                <w:lang w:val="fr-FR"/>
              </w:rPr>
              <w:t>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2020 et des tranches suivantes, étant entendu que le seuil de décaissement de 20 pour cent pour le financement de la tranche précédente a été atteint.</w:t>
            </w:r>
          </w:p>
        </w:tc>
      </w:tr>
      <w:tr w:rsidR="00F91E4F" w:rsidRPr="00B67439" w14:paraId="4609BE1D" w14:textId="77777777" w:rsidTr="00DA6A94">
        <w:trPr>
          <w:trHeight w:val="1044"/>
        </w:trPr>
        <w:tc>
          <w:tcPr>
            <w:tcW w:w="1560" w:type="dxa"/>
          </w:tcPr>
          <w:p w14:paraId="74C08765" w14:textId="2646C716" w:rsidR="00C86090" w:rsidRPr="00E9170B" w:rsidRDefault="00F45E86" w:rsidP="00E352F6">
            <w:pPr>
              <w:jc w:val="left"/>
              <w:rPr>
                <w:sz w:val="19"/>
                <w:szCs w:val="19"/>
                <w:lang w:val="en-CA" w:eastAsia="en-CA"/>
              </w:rPr>
            </w:pPr>
            <w:r w:rsidRPr="00E9170B">
              <w:rPr>
                <w:sz w:val="19"/>
                <w:szCs w:val="19"/>
                <w:lang w:val="fr-FR" w:eastAsia="en-CA"/>
              </w:rPr>
              <w:lastRenderedPageBreak/>
              <w:t>Togo (Phase I)</w:t>
            </w:r>
          </w:p>
        </w:tc>
        <w:tc>
          <w:tcPr>
            <w:tcW w:w="1276" w:type="dxa"/>
          </w:tcPr>
          <w:p w14:paraId="19172A00" w14:textId="1770CD54" w:rsidR="00C86090" w:rsidRPr="00E9170B" w:rsidRDefault="00F45E86" w:rsidP="00E352F6">
            <w:pPr>
              <w:jc w:val="left"/>
              <w:rPr>
                <w:sz w:val="19"/>
                <w:szCs w:val="19"/>
                <w:lang w:val="en-CA" w:eastAsia="en-CA"/>
              </w:rPr>
            </w:pPr>
            <w:r w:rsidRPr="00E9170B">
              <w:rPr>
                <w:sz w:val="19"/>
                <w:szCs w:val="19"/>
                <w:lang w:val="fr-FR" w:eastAsia="en-CA"/>
              </w:rPr>
              <w:t>PNUE</w:t>
            </w:r>
          </w:p>
        </w:tc>
        <w:tc>
          <w:tcPr>
            <w:tcW w:w="879" w:type="dxa"/>
          </w:tcPr>
          <w:p w14:paraId="28B302AA" w14:textId="0EC60461" w:rsidR="00C86090" w:rsidRPr="00E9170B" w:rsidRDefault="00C86090" w:rsidP="00C86090">
            <w:pPr>
              <w:jc w:val="center"/>
              <w:rPr>
                <w:sz w:val="19"/>
                <w:szCs w:val="19"/>
                <w:lang w:val="en-CA" w:eastAsia="en-CA"/>
              </w:rPr>
            </w:pPr>
            <w:r w:rsidRPr="00E9170B">
              <w:rPr>
                <w:sz w:val="19"/>
                <w:szCs w:val="19"/>
                <w:lang w:val="en-CA" w:eastAsia="en-CA"/>
              </w:rPr>
              <w:t>2020</w:t>
            </w:r>
          </w:p>
        </w:tc>
        <w:tc>
          <w:tcPr>
            <w:tcW w:w="1275" w:type="dxa"/>
          </w:tcPr>
          <w:p w14:paraId="767A043A" w14:textId="642FDFDB" w:rsidR="00C86090" w:rsidRPr="00E9170B" w:rsidRDefault="00C86090" w:rsidP="00C86090">
            <w:pPr>
              <w:jc w:val="right"/>
              <w:rPr>
                <w:sz w:val="19"/>
                <w:szCs w:val="19"/>
                <w:lang w:val="en-CA" w:eastAsia="en-CA"/>
              </w:rPr>
            </w:pPr>
            <w:r w:rsidRPr="00E9170B">
              <w:rPr>
                <w:sz w:val="19"/>
                <w:szCs w:val="19"/>
                <w:lang w:val="en-CA" w:eastAsia="en-CA"/>
              </w:rPr>
              <w:t>71</w:t>
            </w:r>
            <w:r w:rsidR="00E9170B">
              <w:rPr>
                <w:sz w:val="19"/>
                <w:szCs w:val="19"/>
                <w:lang w:val="en-CA" w:eastAsia="en-CA"/>
              </w:rPr>
              <w:t> </w:t>
            </w:r>
            <w:r w:rsidRPr="00E9170B">
              <w:rPr>
                <w:sz w:val="19"/>
                <w:szCs w:val="19"/>
                <w:lang w:val="en-CA" w:eastAsia="en-CA"/>
              </w:rPr>
              <w:t>190</w:t>
            </w:r>
          </w:p>
        </w:tc>
        <w:tc>
          <w:tcPr>
            <w:tcW w:w="3373" w:type="dxa"/>
          </w:tcPr>
          <w:p w14:paraId="4201286B" w14:textId="3E34482A" w:rsidR="00C86090" w:rsidRPr="00AF592C" w:rsidRDefault="009B523C" w:rsidP="009B523C">
            <w:pPr>
              <w:jc w:val="left"/>
              <w:rPr>
                <w:sz w:val="19"/>
                <w:szCs w:val="19"/>
                <w:lang w:val="fr-CA" w:eastAsia="en-CA"/>
              </w:rPr>
            </w:pPr>
            <w:r w:rsidRPr="00E9170B">
              <w:rPr>
                <w:sz w:val="19"/>
                <w:szCs w:val="19"/>
                <w:lang w:val="fr-FR" w:eastAsia="en-CA"/>
              </w:rPr>
              <w:t xml:space="preserve">Perturbations dues à la </w:t>
            </w:r>
            <w:r w:rsidR="00F45E86" w:rsidRPr="00E9170B">
              <w:rPr>
                <w:sz w:val="19"/>
                <w:szCs w:val="19"/>
                <w:lang w:val="fr-FR" w:eastAsia="en-CA"/>
              </w:rPr>
              <w:t>pandémie de Covid-19</w:t>
            </w:r>
          </w:p>
        </w:tc>
        <w:tc>
          <w:tcPr>
            <w:tcW w:w="5812" w:type="dxa"/>
          </w:tcPr>
          <w:p w14:paraId="41787ABF" w14:textId="0CF5E224" w:rsidR="00C86090" w:rsidRPr="00AF592C" w:rsidRDefault="00F45E86" w:rsidP="00E352F6">
            <w:pPr>
              <w:jc w:val="left"/>
              <w:rPr>
                <w:sz w:val="19"/>
                <w:szCs w:val="19"/>
                <w:lang w:val="fr-CA"/>
              </w:rPr>
            </w:pPr>
            <w:r w:rsidRPr="00E9170B">
              <w:rPr>
                <w:sz w:val="19"/>
                <w:szCs w:val="19"/>
                <w:lang w:val="fr-FR"/>
              </w:rPr>
              <w:t>Prendre note des retards dus aux contraintes imposées par la pandémie de Covid-19 et inviter instamment le gouvernement du Togo à coopérer avec le PNUE afin que la cinquième tranche (2020) de la phase 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w:t>
            </w:r>
            <w:r w:rsidR="00B81C1B" w:rsidRPr="00E9170B">
              <w:rPr>
                <w:sz w:val="19"/>
                <w:szCs w:val="19"/>
                <w:lang w:val="fr-FR"/>
              </w:rPr>
              <w:t xml:space="preserve"> </w:t>
            </w:r>
            <w:r w:rsidRPr="00E9170B">
              <w:rPr>
                <w:sz w:val="19"/>
                <w:szCs w:val="19"/>
                <w:lang w:val="fr-FR"/>
              </w:rPr>
              <w:t>2020.</w:t>
            </w:r>
          </w:p>
        </w:tc>
      </w:tr>
      <w:tr w:rsidR="00F91E4F" w:rsidRPr="00B67439" w14:paraId="2C05EF29" w14:textId="77777777" w:rsidTr="00785A57">
        <w:trPr>
          <w:trHeight w:val="1263"/>
        </w:trPr>
        <w:tc>
          <w:tcPr>
            <w:tcW w:w="1560" w:type="dxa"/>
          </w:tcPr>
          <w:p w14:paraId="59EA3152" w14:textId="556C7318" w:rsidR="00C86090" w:rsidRPr="00AF592C" w:rsidRDefault="00F45E86" w:rsidP="00C86090">
            <w:pPr>
              <w:jc w:val="left"/>
              <w:rPr>
                <w:sz w:val="19"/>
                <w:szCs w:val="19"/>
                <w:lang w:val="fr-CA" w:eastAsia="en-CA"/>
              </w:rPr>
            </w:pPr>
            <w:r w:rsidRPr="00E9170B">
              <w:rPr>
                <w:sz w:val="19"/>
                <w:szCs w:val="19"/>
                <w:lang w:val="fr-FR" w:eastAsia="en-CA"/>
              </w:rPr>
              <w:t>Venezuela (République bolivarienne du)</w:t>
            </w:r>
            <w:r w:rsidR="00C86090" w:rsidRPr="00AF592C">
              <w:rPr>
                <w:sz w:val="19"/>
                <w:szCs w:val="19"/>
                <w:lang w:val="fr-CA" w:eastAsia="en-CA"/>
              </w:rPr>
              <w:t xml:space="preserve"> </w:t>
            </w:r>
          </w:p>
          <w:p w14:paraId="087301A4" w14:textId="2383F526" w:rsidR="00C86090" w:rsidRPr="00AF592C" w:rsidRDefault="00F45E86" w:rsidP="00E352F6">
            <w:pPr>
              <w:jc w:val="left"/>
              <w:rPr>
                <w:sz w:val="19"/>
                <w:szCs w:val="19"/>
                <w:lang w:val="fr-CA" w:eastAsia="en-CA"/>
              </w:rPr>
            </w:pPr>
            <w:r w:rsidRPr="00E9170B">
              <w:rPr>
                <w:sz w:val="19"/>
                <w:szCs w:val="19"/>
                <w:lang w:val="fr-FR" w:eastAsia="en-CA"/>
              </w:rPr>
              <w:t>(Phase II)</w:t>
            </w:r>
          </w:p>
        </w:tc>
        <w:tc>
          <w:tcPr>
            <w:tcW w:w="1276" w:type="dxa"/>
          </w:tcPr>
          <w:p w14:paraId="49493D77" w14:textId="49797934" w:rsidR="00C86090" w:rsidRPr="00E9170B" w:rsidRDefault="00F45E86" w:rsidP="00E352F6">
            <w:pPr>
              <w:jc w:val="left"/>
              <w:rPr>
                <w:sz w:val="19"/>
                <w:szCs w:val="19"/>
                <w:lang w:val="en-CA" w:eastAsia="en-CA"/>
              </w:rPr>
            </w:pPr>
            <w:r w:rsidRPr="00E9170B">
              <w:rPr>
                <w:sz w:val="19"/>
                <w:szCs w:val="19"/>
                <w:lang w:val="fr-FR" w:eastAsia="en-CA"/>
              </w:rPr>
              <w:t>ONUDI</w:t>
            </w:r>
          </w:p>
        </w:tc>
        <w:tc>
          <w:tcPr>
            <w:tcW w:w="879" w:type="dxa"/>
          </w:tcPr>
          <w:p w14:paraId="19C7D4C6" w14:textId="77777777" w:rsidR="00C86090" w:rsidRPr="00E9170B" w:rsidRDefault="00C86090" w:rsidP="00C86090">
            <w:pPr>
              <w:jc w:val="center"/>
              <w:rPr>
                <w:sz w:val="19"/>
                <w:szCs w:val="19"/>
                <w:lang w:val="en-CA" w:eastAsia="en-CA"/>
              </w:rPr>
            </w:pPr>
            <w:r w:rsidRPr="00E9170B">
              <w:rPr>
                <w:sz w:val="19"/>
                <w:szCs w:val="19"/>
                <w:lang w:val="en-CA" w:eastAsia="en-CA"/>
              </w:rPr>
              <w:t>2019</w:t>
            </w:r>
          </w:p>
        </w:tc>
        <w:tc>
          <w:tcPr>
            <w:tcW w:w="1275" w:type="dxa"/>
          </w:tcPr>
          <w:p w14:paraId="223A81E7" w14:textId="25FD7D54" w:rsidR="00C86090" w:rsidRPr="00E9170B" w:rsidRDefault="00C86090" w:rsidP="00C86090">
            <w:pPr>
              <w:jc w:val="right"/>
              <w:rPr>
                <w:sz w:val="19"/>
                <w:szCs w:val="19"/>
                <w:lang w:val="en-CA" w:eastAsia="en-CA"/>
              </w:rPr>
            </w:pPr>
            <w:r w:rsidRPr="00E9170B">
              <w:rPr>
                <w:sz w:val="19"/>
                <w:szCs w:val="19"/>
                <w:lang w:val="en-CA" w:eastAsia="en-CA"/>
              </w:rPr>
              <w:t>615</w:t>
            </w:r>
            <w:r w:rsidR="00E9170B">
              <w:rPr>
                <w:sz w:val="19"/>
                <w:szCs w:val="19"/>
                <w:lang w:val="en-CA" w:eastAsia="en-CA"/>
              </w:rPr>
              <w:t> </w:t>
            </w:r>
            <w:r w:rsidRPr="00E9170B">
              <w:rPr>
                <w:sz w:val="19"/>
                <w:szCs w:val="19"/>
                <w:lang w:val="en-CA" w:eastAsia="en-CA"/>
              </w:rPr>
              <w:t>250</w:t>
            </w:r>
          </w:p>
        </w:tc>
        <w:tc>
          <w:tcPr>
            <w:tcW w:w="3373" w:type="dxa"/>
          </w:tcPr>
          <w:p w14:paraId="399649D1" w14:textId="25654740" w:rsidR="00C86090" w:rsidRPr="00E9170B" w:rsidRDefault="00F45E86" w:rsidP="00E352F6">
            <w:pPr>
              <w:jc w:val="left"/>
              <w:rPr>
                <w:sz w:val="19"/>
                <w:szCs w:val="19"/>
              </w:rPr>
            </w:pPr>
            <w:r w:rsidRPr="00E9170B">
              <w:rPr>
                <w:sz w:val="19"/>
                <w:szCs w:val="19"/>
                <w:lang w:val="fr-FR" w:eastAsia="en-CA"/>
              </w:rPr>
              <w:t>Difficultés internes ou externes</w:t>
            </w:r>
          </w:p>
        </w:tc>
        <w:tc>
          <w:tcPr>
            <w:tcW w:w="5812" w:type="dxa"/>
          </w:tcPr>
          <w:p w14:paraId="559ABB07" w14:textId="070E7C56" w:rsidR="00C86090" w:rsidRPr="00AF592C" w:rsidRDefault="00F45E86" w:rsidP="00E352F6">
            <w:pPr>
              <w:jc w:val="left"/>
              <w:rPr>
                <w:sz w:val="19"/>
                <w:szCs w:val="19"/>
                <w:lang w:val="fr-CA" w:eastAsia="en-CA"/>
              </w:rPr>
            </w:pPr>
            <w:r w:rsidRPr="00E9170B">
              <w:rPr>
                <w:sz w:val="19"/>
                <w:szCs w:val="19"/>
                <w:lang w:val="fr-FR"/>
              </w:rPr>
              <w:t>Prendre note des retards dus aux difficultés à mettre en œuvre</w:t>
            </w:r>
            <w:r w:rsidR="00B81C1B" w:rsidRPr="00E9170B">
              <w:rPr>
                <w:sz w:val="19"/>
                <w:szCs w:val="19"/>
                <w:lang w:val="fr-FR"/>
              </w:rPr>
              <w:t xml:space="preserve"> </w:t>
            </w:r>
            <w:r w:rsidRPr="00E9170B">
              <w:rPr>
                <w:sz w:val="19"/>
                <w:szCs w:val="19"/>
                <w:lang w:val="fr-FR"/>
              </w:rPr>
              <w:t>les activités du projet dans le pays, et inviter instamment le</w:t>
            </w:r>
            <w:r w:rsidR="00B81C1B" w:rsidRPr="00E9170B">
              <w:rPr>
                <w:sz w:val="19"/>
                <w:szCs w:val="19"/>
                <w:lang w:val="fr-FR"/>
              </w:rPr>
              <w:t xml:space="preserve"> </w:t>
            </w:r>
            <w:r w:rsidRPr="00E9170B">
              <w:rPr>
                <w:sz w:val="19"/>
                <w:szCs w:val="19"/>
                <w:lang w:val="fr-FR"/>
              </w:rPr>
              <w:t>gouvernement de</w:t>
            </w:r>
            <w:r w:rsidR="00B81C1B" w:rsidRPr="00E9170B">
              <w:rPr>
                <w:sz w:val="19"/>
                <w:szCs w:val="19"/>
                <w:lang w:val="fr-FR"/>
              </w:rPr>
              <w:t xml:space="preserve"> </w:t>
            </w:r>
            <w:r w:rsidRPr="00E9170B">
              <w:rPr>
                <w:sz w:val="19"/>
                <w:szCs w:val="19"/>
                <w:lang w:val="fr-FR"/>
              </w:rPr>
              <w:t>la République bolivarienne du</w:t>
            </w:r>
            <w:r w:rsidR="00B81C1B" w:rsidRPr="00E9170B">
              <w:rPr>
                <w:sz w:val="19"/>
                <w:szCs w:val="19"/>
                <w:lang w:val="fr-FR"/>
              </w:rPr>
              <w:t xml:space="preserve"> </w:t>
            </w:r>
            <w:r w:rsidRPr="00E9170B">
              <w:rPr>
                <w:sz w:val="19"/>
                <w:szCs w:val="19"/>
                <w:lang w:val="fr-FR"/>
              </w:rPr>
              <w:t>Venezuela à coopérer avec l</w:t>
            </w:r>
            <w:r w:rsidR="0048249F">
              <w:rPr>
                <w:sz w:val="19"/>
                <w:szCs w:val="19"/>
                <w:lang w:val="fr-FR"/>
              </w:rPr>
              <w:t>’</w:t>
            </w:r>
            <w:r w:rsidRPr="00E9170B">
              <w:rPr>
                <w:sz w:val="19"/>
                <w:szCs w:val="19"/>
                <w:lang w:val="fr-FR"/>
              </w:rPr>
              <w:t>ONUDI afin que la deuxième tranche (2019) de la phase II du PGEH puisse être soumise lors de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action révisé pour prendre en compte la réaffectation de la tranche de</w:t>
            </w:r>
            <w:r w:rsidR="00B81C1B" w:rsidRPr="00E9170B">
              <w:rPr>
                <w:sz w:val="19"/>
                <w:szCs w:val="19"/>
                <w:lang w:val="fr-FR"/>
              </w:rPr>
              <w:t xml:space="preserve"> </w:t>
            </w:r>
            <w:r w:rsidRPr="00E9170B">
              <w:rPr>
                <w:sz w:val="19"/>
                <w:szCs w:val="19"/>
                <w:lang w:val="fr-FR"/>
              </w:rPr>
              <w:t>2019 et des tranches suivantes.</w:t>
            </w:r>
          </w:p>
        </w:tc>
      </w:tr>
      <w:tr w:rsidR="00F91E4F" w:rsidRPr="00B67439" w14:paraId="3BFDC30B" w14:textId="77777777" w:rsidTr="003934F3">
        <w:trPr>
          <w:trHeight w:val="1021"/>
        </w:trPr>
        <w:tc>
          <w:tcPr>
            <w:tcW w:w="1560" w:type="dxa"/>
            <w:vMerge w:val="restart"/>
          </w:tcPr>
          <w:p w14:paraId="7F68F753" w14:textId="046EC467" w:rsidR="00C86090" w:rsidRPr="00E9170B" w:rsidRDefault="00F45E86" w:rsidP="00C86090">
            <w:pPr>
              <w:jc w:val="left"/>
              <w:rPr>
                <w:sz w:val="19"/>
                <w:szCs w:val="19"/>
                <w:lang w:val="en-CA" w:eastAsia="en-CA"/>
              </w:rPr>
            </w:pPr>
            <w:r w:rsidRPr="00E9170B">
              <w:rPr>
                <w:sz w:val="19"/>
                <w:szCs w:val="19"/>
                <w:lang w:val="fr-FR" w:eastAsia="en-CA"/>
              </w:rPr>
              <w:t>Viet Nam</w:t>
            </w:r>
            <w:r w:rsidR="00C86090" w:rsidRPr="00E9170B">
              <w:rPr>
                <w:sz w:val="19"/>
                <w:szCs w:val="19"/>
                <w:lang w:val="en-CA" w:eastAsia="en-CA"/>
              </w:rPr>
              <w:t xml:space="preserve"> </w:t>
            </w:r>
          </w:p>
          <w:p w14:paraId="569044DE" w14:textId="236E50AE" w:rsidR="00C86090" w:rsidRPr="00E9170B" w:rsidRDefault="00F45E86" w:rsidP="00E352F6">
            <w:pPr>
              <w:jc w:val="left"/>
              <w:rPr>
                <w:b/>
                <w:sz w:val="19"/>
                <w:szCs w:val="19"/>
                <w:lang w:val="en-CA" w:eastAsia="en-CA"/>
              </w:rPr>
            </w:pPr>
            <w:r w:rsidRPr="00E9170B">
              <w:rPr>
                <w:sz w:val="19"/>
                <w:szCs w:val="19"/>
                <w:lang w:val="fr-FR" w:eastAsia="en-CA"/>
              </w:rPr>
              <w:t>(Phase II)</w:t>
            </w:r>
          </w:p>
        </w:tc>
        <w:tc>
          <w:tcPr>
            <w:tcW w:w="1276" w:type="dxa"/>
          </w:tcPr>
          <w:p w14:paraId="77AED99A" w14:textId="2E283A46" w:rsidR="00C86090" w:rsidRPr="00E9170B" w:rsidRDefault="00F45E86" w:rsidP="00E352F6">
            <w:pPr>
              <w:jc w:val="left"/>
              <w:rPr>
                <w:sz w:val="19"/>
                <w:szCs w:val="19"/>
                <w:lang w:val="en-CA" w:eastAsia="en-CA"/>
              </w:rPr>
            </w:pPr>
            <w:r w:rsidRPr="00E9170B">
              <w:rPr>
                <w:sz w:val="19"/>
                <w:szCs w:val="19"/>
                <w:lang w:val="fr-FR" w:eastAsia="en-CA"/>
              </w:rPr>
              <w:t>Banque mondiale</w:t>
            </w:r>
          </w:p>
        </w:tc>
        <w:tc>
          <w:tcPr>
            <w:tcW w:w="879" w:type="dxa"/>
          </w:tcPr>
          <w:p w14:paraId="09DEEACD" w14:textId="58B0A658" w:rsidR="00C86090" w:rsidRPr="00E9170B" w:rsidRDefault="00C86090" w:rsidP="00C86090">
            <w:pPr>
              <w:jc w:val="center"/>
              <w:rPr>
                <w:sz w:val="19"/>
                <w:szCs w:val="19"/>
                <w:lang w:val="en-CA" w:eastAsia="en-CA"/>
              </w:rPr>
            </w:pPr>
            <w:r w:rsidRPr="00E9170B">
              <w:rPr>
                <w:sz w:val="19"/>
                <w:szCs w:val="19"/>
                <w:lang w:val="en-CA" w:eastAsia="en-CA"/>
              </w:rPr>
              <w:t>2018</w:t>
            </w:r>
          </w:p>
        </w:tc>
        <w:tc>
          <w:tcPr>
            <w:tcW w:w="1275" w:type="dxa"/>
          </w:tcPr>
          <w:p w14:paraId="47E265B5" w14:textId="6A9E8579" w:rsidR="00C86090" w:rsidRPr="00E9170B" w:rsidRDefault="00C86090" w:rsidP="00C86090">
            <w:pPr>
              <w:jc w:val="right"/>
              <w:rPr>
                <w:sz w:val="19"/>
                <w:szCs w:val="19"/>
                <w:lang w:val="en-CA" w:eastAsia="en-CA"/>
              </w:rPr>
            </w:pPr>
            <w:r w:rsidRPr="00E9170B">
              <w:rPr>
                <w:sz w:val="19"/>
                <w:szCs w:val="19"/>
                <w:lang w:val="en-CA" w:eastAsia="en-CA"/>
              </w:rPr>
              <w:t>4</w:t>
            </w:r>
            <w:r w:rsidR="00E9170B">
              <w:rPr>
                <w:sz w:val="19"/>
                <w:szCs w:val="19"/>
                <w:lang w:val="en-CA" w:eastAsia="en-CA"/>
              </w:rPr>
              <w:t> </w:t>
            </w:r>
            <w:r w:rsidRPr="00E9170B">
              <w:rPr>
                <w:sz w:val="19"/>
                <w:szCs w:val="19"/>
                <w:lang w:val="en-CA" w:eastAsia="en-CA"/>
              </w:rPr>
              <w:t>045</w:t>
            </w:r>
            <w:r w:rsidR="00E9170B">
              <w:rPr>
                <w:sz w:val="19"/>
                <w:szCs w:val="19"/>
                <w:lang w:val="en-CA" w:eastAsia="en-CA"/>
              </w:rPr>
              <w:t> </w:t>
            </w:r>
            <w:r w:rsidRPr="00E9170B">
              <w:rPr>
                <w:sz w:val="19"/>
                <w:szCs w:val="19"/>
                <w:lang w:val="en-CA" w:eastAsia="en-CA"/>
              </w:rPr>
              <w:t>945</w:t>
            </w:r>
          </w:p>
        </w:tc>
        <w:tc>
          <w:tcPr>
            <w:tcW w:w="3373" w:type="dxa"/>
            <w:vMerge w:val="restart"/>
          </w:tcPr>
          <w:p w14:paraId="5364A32D" w14:textId="1BA79E7F" w:rsidR="00C86090" w:rsidRPr="00AF592C" w:rsidRDefault="00F45E86" w:rsidP="00E352F6">
            <w:pPr>
              <w:jc w:val="left"/>
              <w:rPr>
                <w:b/>
                <w:sz w:val="19"/>
                <w:szCs w:val="19"/>
                <w:lang w:val="fr-CA" w:eastAsia="en-CA"/>
              </w:rPr>
            </w:pPr>
            <w:r w:rsidRPr="00E9170B">
              <w:rPr>
                <w:sz w:val="19"/>
                <w:szCs w:val="19"/>
                <w:lang w:val="fr-FR" w:eastAsia="en-CA"/>
              </w:rPr>
              <w:t>Seuil de décaissement de 20 pour cent</w:t>
            </w:r>
          </w:p>
        </w:tc>
        <w:tc>
          <w:tcPr>
            <w:tcW w:w="5812" w:type="dxa"/>
            <w:vMerge w:val="restart"/>
            <w:shd w:val="clear" w:color="auto" w:fill="auto"/>
          </w:tcPr>
          <w:p w14:paraId="56D4C7B1" w14:textId="2BE63E53" w:rsidR="00C86090" w:rsidRPr="00AF592C" w:rsidRDefault="00F45E86" w:rsidP="00E352F6">
            <w:pPr>
              <w:jc w:val="left"/>
              <w:rPr>
                <w:b/>
                <w:sz w:val="19"/>
                <w:szCs w:val="19"/>
                <w:lang w:val="fr-CA" w:eastAsia="en-CA"/>
              </w:rPr>
            </w:pPr>
            <w:r w:rsidRPr="00E9170B">
              <w:rPr>
                <w:sz w:val="19"/>
                <w:szCs w:val="19"/>
                <w:lang w:val="fr-FR"/>
              </w:rPr>
              <w:t>Prendre note que le taux de décaissement global de la deuxième tranche (2017) de la phase II du PGEH se situait au-dessous du seuil de décaissement 20 pour cent, et inviter instamment le gouvernement du Viet Nam</w:t>
            </w:r>
            <w:r w:rsidR="00B81C1B" w:rsidRPr="00E9170B">
              <w:rPr>
                <w:sz w:val="19"/>
                <w:szCs w:val="19"/>
                <w:lang w:val="fr-FR"/>
              </w:rPr>
              <w:t xml:space="preserve"> </w:t>
            </w:r>
            <w:r w:rsidRPr="00E9170B">
              <w:rPr>
                <w:sz w:val="19"/>
                <w:szCs w:val="19"/>
                <w:lang w:val="fr-FR"/>
              </w:rPr>
              <w:t>à coopérer avec le gouvernement du Japon et la Banque mondiale afin que la troisième tranche (2018) de la phase II puisse être soumise à la 87</w:t>
            </w:r>
            <w:r w:rsidRPr="00E9170B">
              <w:rPr>
                <w:sz w:val="19"/>
                <w:szCs w:val="19"/>
                <w:vertAlign w:val="superscript"/>
                <w:lang w:val="fr-FR"/>
              </w:rPr>
              <w:t>e</w:t>
            </w:r>
            <w:r w:rsidRPr="00E9170B">
              <w:rPr>
                <w:sz w:val="19"/>
                <w:szCs w:val="19"/>
                <w:lang w:val="fr-FR"/>
              </w:rPr>
              <w:t xml:space="preserve"> réunion assortie d</w:t>
            </w:r>
            <w:r w:rsidR="0048249F">
              <w:rPr>
                <w:sz w:val="19"/>
                <w:szCs w:val="19"/>
                <w:lang w:val="fr-FR"/>
              </w:rPr>
              <w:t>’</w:t>
            </w:r>
            <w:r w:rsidRPr="00E9170B">
              <w:rPr>
                <w:sz w:val="19"/>
                <w:szCs w:val="19"/>
                <w:lang w:val="fr-FR"/>
              </w:rPr>
              <w:t>un plan d</w:t>
            </w:r>
            <w:r w:rsidR="0048249F">
              <w:rPr>
                <w:sz w:val="19"/>
                <w:szCs w:val="19"/>
                <w:lang w:val="fr-FR"/>
              </w:rPr>
              <w:t>’</w:t>
            </w:r>
            <w:r w:rsidRPr="00E9170B">
              <w:rPr>
                <w:sz w:val="19"/>
                <w:szCs w:val="19"/>
                <w:lang w:val="fr-FR"/>
              </w:rPr>
              <w:t xml:space="preserve">action révisé </w:t>
            </w:r>
            <w:r w:rsidR="00607056" w:rsidRPr="00E9170B">
              <w:rPr>
                <w:sz w:val="19"/>
                <w:szCs w:val="19"/>
                <w:lang w:val="fr-FR"/>
              </w:rPr>
              <w:t>pour prendre en compte</w:t>
            </w:r>
            <w:r w:rsidRPr="00E9170B">
              <w:rPr>
                <w:sz w:val="19"/>
                <w:szCs w:val="19"/>
                <w:lang w:val="fr-FR"/>
              </w:rPr>
              <w:t xml:space="preserve"> la réaffectation de la tranche de 2018 et des tranches suivantes, étant entendu que le seuil de décaissement de 20 pour cent pour le financement de la tranche précédente a été atteint.</w:t>
            </w:r>
          </w:p>
        </w:tc>
      </w:tr>
      <w:tr w:rsidR="00F91E4F" w:rsidRPr="00E9170B" w14:paraId="12204F86" w14:textId="77777777" w:rsidTr="003934F3">
        <w:trPr>
          <w:trHeight w:val="287"/>
        </w:trPr>
        <w:tc>
          <w:tcPr>
            <w:tcW w:w="1560" w:type="dxa"/>
            <w:vMerge/>
          </w:tcPr>
          <w:p w14:paraId="69478529" w14:textId="77777777" w:rsidR="00C86090" w:rsidRPr="00AF592C" w:rsidRDefault="00C86090" w:rsidP="00C86090">
            <w:pPr>
              <w:jc w:val="left"/>
              <w:rPr>
                <w:b/>
                <w:sz w:val="19"/>
                <w:szCs w:val="19"/>
                <w:lang w:val="fr-CA" w:eastAsia="en-CA"/>
              </w:rPr>
            </w:pPr>
          </w:p>
        </w:tc>
        <w:tc>
          <w:tcPr>
            <w:tcW w:w="1276" w:type="dxa"/>
          </w:tcPr>
          <w:p w14:paraId="77CC5DBE" w14:textId="20698E28" w:rsidR="00C86090" w:rsidRPr="00E9170B" w:rsidRDefault="00F45E86" w:rsidP="00E352F6">
            <w:pPr>
              <w:jc w:val="left"/>
              <w:rPr>
                <w:sz w:val="19"/>
                <w:szCs w:val="19"/>
                <w:lang w:val="en-CA" w:eastAsia="en-CA"/>
              </w:rPr>
            </w:pPr>
            <w:r w:rsidRPr="00E9170B">
              <w:rPr>
                <w:sz w:val="19"/>
                <w:szCs w:val="19"/>
                <w:lang w:val="fr-FR" w:eastAsia="en-CA"/>
              </w:rPr>
              <w:t>Japon</w:t>
            </w:r>
          </w:p>
        </w:tc>
        <w:tc>
          <w:tcPr>
            <w:tcW w:w="879" w:type="dxa"/>
          </w:tcPr>
          <w:p w14:paraId="763538C8" w14:textId="387C6EC5" w:rsidR="00C86090" w:rsidRPr="00E9170B" w:rsidRDefault="00C86090" w:rsidP="00C86090">
            <w:pPr>
              <w:jc w:val="center"/>
              <w:rPr>
                <w:sz w:val="19"/>
                <w:szCs w:val="19"/>
                <w:lang w:val="en-CA" w:eastAsia="en-CA"/>
              </w:rPr>
            </w:pPr>
            <w:r w:rsidRPr="00E9170B">
              <w:rPr>
                <w:sz w:val="19"/>
                <w:szCs w:val="19"/>
                <w:lang w:val="en-CA" w:eastAsia="en-CA"/>
              </w:rPr>
              <w:t>2018</w:t>
            </w:r>
          </w:p>
        </w:tc>
        <w:tc>
          <w:tcPr>
            <w:tcW w:w="1275" w:type="dxa"/>
          </w:tcPr>
          <w:p w14:paraId="72D04D1C" w14:textId="0C4CB222" w:rsidR="00C86090" w:rsidRPr="00E9170B" w:rsidRDefault="00C86090" w:rsidP="00C86090">
            <w:pPr>
              <w:jc w:val="right"/>
              <w:rPr>
                <w:sz w:val="19"/>
                <w:szCs w:val="19"/>
                <w:lang w:val="en-CA" w:eastAsia="en-CA"/>
              </w:rPr>
            </w:pPr>
            <w:r w:rsidRPr="00E9170B">
              <w:rPr>
                <w:sz w:val="19"/>
                <w:szCs w:val="19"/>
                <w:lang w:val="en-CA" w:eastAsia="en-CA"/>
              </w:rPr>
              <w:t>29</w:t>
            </w:r>
            <w:r w:rsidR="00E9170B">
              <w:rPr>
                <w:sz w:val="19"/>
                <w:szCs w:val="19"/>
                <w:lang w:val="en-CA" w:eastAsia="en-CA"/>
              </w:rPr>
              <w:t> </w:t>
            </w:r>
            <w:r w:rsidRPr="00E9170B">
              <w:rPr>
                <w:sz w:val="19"/>
                <w:szCs w:val="19"/>
                <w:lang w:val="en-CA" w:eastAsia="en-CA"/>
              </w:rPr>
              <w:t>832</w:t>
            </w:r>
          </w:p>
        </w:tc>
        <w:tc>
          <w:tcPr>
            <w:tcW w:w="3373" w:type="dxa"/>
            <w:vMerge/>
          </w:tcPr>
          <w:p w14:paraId="3C2B2023" w14:textId="77777777" w:rsidR="00C86090" w:rsidRPr="00E9170B" w:rsidRDefault="00C86090" w:rsidP="00C86090">
            <w:pPr>
              <w:jc w:val="left"/>
              <w:rPr>
                <w:b/>
                <w:sz w:val="19"/>
                <w:szCs w:val="19"/>
                <w:lang w:val="en-CA" w:eastAsia="en-CA"/>
              </w:rPr>
            </w:pPr>
          </w:p>
        </w:tc>
        <w:tc>
          <w:tcPr>
            <w:tcW w:w="5812" w:type="dxa"/>
            <w:vMerge/>
            <w:shd w:val="clear" w:color="auto" w:fill="auto"/>
          </w:tcPr>
          <w:p w14:paraId="5D7CA705" w14:textId="77777777" w:rsidR="00C86090" w:rsidRPr="00E9170B" w:rsidRDefault="00C86090" w:rsidP="00C86090">
            <w:pPr>
              <w:jc w:val="left"/>
              <w:rPr>
                <w:b/>
                <w:sz w:val="19"/>
                <w:szCs w:val="19"/>
                <w:lang w:val="en-CA" w:eastAsia="en-CA"/>
              </w:rPr>
            </w:pPr>
          </w:p>
        </w:tc>
      </w:tr>
      <w:tr w:rsidR="00F91E4F" w:rsidRPr="00E9170B" w14:paraId="48661DCB" w14:textId="77777777" w:rsidTr="00785A57">
        <w:trPr>
          <w:trHeight w:val="287"/>
        </w:trPr>
        <w:tc>
          <w:tcPr>
            <w:tcW w:w="1560" w:type="dxa"/>
            <w:hideMark/>
          </w:tcPr>
          <w:p w14:paraId="7AB4B5C8" w14:textId="0E6F730F" w:rsidR="00C86090" w:rsidRPr="00E9170B" w:rsidRDefault="00F45E86" w:rsidP="00E352F6">
            <w:pPr>
              <w:jc w:val="left"/>
              <w:rPr>
                <w:b/>
                <w:sz w:val="19"/>
                <w:szCs w:val="19"/>
                <w:lang w:val="en-CA" w:eastAsia="en-CA"/>
              </w:rPr>
            </w:pPr>
            <w:r w:rsidRPr="00E9170B">
              <w:rPr>
                <w:b/>
                <w:sz w:val="19"/>
                <w:szCs w:val="19"/>
                <w:lang w:val="fr-FR" w:eastAsia="en-CA"/>
              </w:rPr>
              <w:t>Total</w:t>
            </w:r>
          </w:p>
        </w:tc>
        <w:tc>
          <w:tcPr>
            <w:tcW w:w="1276" w:type="dxa"/>
          </w:tcPr>
          <w:p w14:paraId="01AEBB36" w14:textId="77777777" w:rsidR="00C86090" w:rsidRPr="00E9170B" w:rsidRDefault="00C86090" w:rsidP="00C86090">
            <w:pPr>
              <w:jc w:val="center"/>
              <w:rPr>
                <w:b/>
                <w:sz w:val="19"/>
                <w:szCs w:val="19"/>
                <w:lang w:val="en-CA" w:eastAsia="en-CA"/>
              </w:rPr>
            </w:pPr>
          </w:p>
        </w:tc>
        <w:tc>
          <w:tcPr>
            <w:tcW w:w="879" w:type="dxa"/>
          </w:tcPr>
          <w:p w14:paraId="2750BC58" w14:textId="77777777" w:rsidR="00C86090" w:rsidRPr="00E9170B" w:rsidRDefault="00C86090" w:rsidP="00C86090">
            <w:pPr>
              <w:jc w:val="center"/>
              <w:rPr>
                <w:b/>
                <w:sz w:val="19"/>
                <w:szCs w:val="19"/>
                <w:lang w:val="en-CA" w:eastAsia="en-CA"/>
              </w:rPr>
            </w:pPr>
          </w:p>
        </w:tc>
        <w:tc>
          <w:tcPr>
            <w:tcW w:w="1275" w:type="dxa"/>
            <w:hideMark/>
          </w:tcPr>
          <w:p w14:paraId="5F563883" w14:textId="4E2CFFB5" w:rsidR="00C86090" w:rsidRPr="00E9170B" w:rsidRDefault="0000137A" w:rsidP="00C86090">
            <w:pPr>
              <w:jc w:val="right"/>
              <w:rPr>
                <w:b/>
                <w:sz w:val="19"/>
                <w:szCs w:val="19"/>
                <w:lang w:val="en-CA" w:eastAsia="en-CA"/>
              </w:rPr>
            </w:pPr>
            <w:r w:rsidRPr="00E9170B">
              <w:rPr>
                <w:b/>
                <w:sz w:val="19"/>
                <w:szCs w:val="19"/>
                <w:lang w:val="en-CA" w:eastAsia="en-CA"/>
              </w:rPr>
              <w:t>19</w:t>
            </w:r>
            <w:r w:rsidR="00E9170B">
              <w:rPr>
                <w:b/>
                <w:sz w:val="19"/>
                <w:szCs w:val="19"/>
                <w:lang w:val="en-CA" w:eastAsia="en-CA"/>
              </w:rPr>
              <w:t> </w:t>
            </w:r>
            <w:r w:rsidRPr="00E9170B">
              <w:rPr>
                <w:b/>
                <w:sz w:val="19"/>
                <w:szCs w:val="19"/>
                <w:lang w:val="en-CA" w:eastAsia="en-CA"/>
              </w:rPr>
              <w:t>074</w:t>
            </w:r>
            <w:r w:rsidR="00E9170B">
              <w:rPr>
                <w:b/>
                <w:sz w:val="19"/>
                <w:szCs w:val="19"/>
                <w:lang w:val="en-CA" w:eastAsia="en-CA"/>
              </w:rPr>
              <w:t> </w:t>
            </w:r>
            <w:r w:rsidRPr="00E9170B">
              <w:rPr>
                <w:b/>
                <w:sz w:val="19"/>
                <w:szCs w:val="19"/>
                <w:lang w:val="en-CA" w:eastAsia="en-CA"/>
              </w:rPr>
              <w:t>412</w:t>
            </w:r>
          </w:p>
        </w:tc>
        <w:tc>
          <w:tcPr>
            <w:tcW w:w="3373" w:type="dxa"/>
          </w:tcPr>
          <w:p w14:paraId="09C2E172" w14:textId="77777777" w:rsidR="00C86090" w:rsidRPr="00E9170B" w:rsidRDefault="00C86090" w:rsidP="00C86090">
            <w:pPr>
              <w:jc w:val="left"/>
              <w:rPr>
                <w:b/>
                <w:sz w:val="19"/>
                <w:szCs w:val="19"/>
                <w:lang w:val="en-CA" w:eastAsia="en-CA"/>
              </w:rPr>
            </w:pPr>
          </w:p>
        </w:tc>
        <w:tc>
          <w:tcPr>
            <w:tcW w:w="5812" w:type="dxa"/>
          </w:tcPr>
          <w:p w14:paraId="144F7C74" w14:textId="77777777" w:rsidR="00C86090" w:rsidRPr="00E9170B" w:rsidRDefault="00C86090" w:rsidP="00C86090">
            <w:pPr>
              <w:jc w:val="left"/>
              <w:rPr>
                <w:b/>
                <w:sz w:val="19"/>
                <w:szCs w:val="19"/>
                <w:lang w:val="en-CA" w:eastAsia="en-CA"/>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C19F6" w:rsidRPr="00E9170B" w14:paraId="2313E7D1" w14:textId="77777777" w:rsidTr="007A17F6">
        <w:trPr>
          <w:jc w:val="center"/>
        </w:trPr>
        <w:tc>
          <w:tcPr>
            <w:tcW w:w="1915" w:type="dxa"/>
          </w:tcPr>
          <w:p w14:paraId="66CBAA7A" w14:textId="77777777" w:rsidR="007C19F6" w:rsidRPr="00E9170B" w:rsidRDefault="007C19F6" w:rsidP="007A17F6">
            <w:pPr>
              <w:rPr>
                <w:sz w:val="19"/>
                <w:szCs w:val="19"/>
              </w:rPr>
            </w:pPr>
          </w:p>
        </w:tc>
        <w:tc>
          <w:tcPr>
            <w:tcW w:w="1915" w:type="dxa"/>
          </w:tcPr>
          <w:p w14:paraId="200D6950" w14:textId="77B98904" w:rsidR="004E0570" w:rsidRPr="00E9170B" w:rsidRDefault="004E0570" w:rsidP="007A17F6">
            <w:pPr>
              <w:rPr>
                <w:sz w:val="19"/>
                <w:szCs w:val="19"/>
              </w:rPr>
            </w:pPr>
          </w:p>
          <w:p w14:paraId="2E57F698" w14:textId="3A87501A" w:rsidR="00C535AD" w:rsidRPr="00E9170B" w:rsidRDefault="00C535AD" w:rsidP="007A17F6">
            <w:pPr>
              <w:rPr>
                <w:sz w:val="19"/>
                <w:szCs w:val="19"/>
              </w:rPr>
            </w:pPr>
          </w:p>
        </w:tc>
        <w:tc>
          <w:tcPr>
            <w:tcW w:w="1915" w:type="dxa"/>
            <w:tcBorders>
              <w:bottom w:val="single" w:sz="4" w:space="0" w:color="auto"/>
            </w:tcBorders>
          </w:tcPr>
          <w:p w14:paraId="7F9BEAC0" w14:textId="77777777" w:rsidR="007C19F6" w:rsidRPr="00E9170B" w:rsidRDefault="007C19F6" w:rsidP="007C19F6">
            <w:pPr>
              <w:spacing w:before="120"/>
              <w:rPr>
                <w:sz w:val="19"/>
                <w:szCs w:val="19"/>
              </w:rPr>
            </w:pPr>
          </w:p>
        </w:tc>
        <w:tc>
          <w:tcPr>
            <w:tcW w:w="1915" w:type="dxa"/>
          </w:tcPr>
          <w:p w14:paraId="1B89B72C" w14:textId="77777777" w:rsidR="007C19F6" w:rsidRPr="00E9170B" w:rsidRDefault="007C19F6" w:rsidP="007A17F6">
            <w:pPr>
              <w:rPr>
                <w:sz w:val="19"/>
                <w:szCs w:val="19"/>
              </w:rPr>
            </w:pPr>
          </w:p>
        </w:tc>
        <w:tc>
          <w:tcPr>
            <w:tcW w:w="1916" w:type="dxa"/>
          </w:tcPr>
          <w:p w14:paraId="0D44CA5C" w14:textId="77777777" w:rsidR="007C19F6" w:rsidRPr="00E9170B" w:rsidRDefault="007C19F6" w:rsidP="007A17F6">
            <w:pPr>
              <w:rPr>
                <w:sz w:val="19"/>
                <w:szCs w:val="19"/>
              </w:rPr>
            </w:pPr>
          </w:p>
        </w:tc>
      </w:tr>
    </w:tbl>
    <w:p w14:paraId="32F78AD7" w14:textId="2E355DCB" w:rsidR="00E85409" w:rsidRPr="00F91E4F" w:rsidRDefault="00E85409" w:rsidP="004E7F9C">
      <w:pPr>
        <w:rPr>
          <w:lang w:val="en-CA"/>
        </w:rPr>
      </w:pPr>
    </w:p>
    <w:sectPr w:rsidR="00E85409" w:rsidRPr="00F91E4F" w:rsidSect="007C19F6">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26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EBD4" w14:textId="77777777" w:rsidR="003E763F" w:rsidRDefault="003E763F" w:rsidP="004A504B">
      <w:r>
        <w:separator/>
      </w:r>
    </w:p>
  </w:endnote>
  <w:endnote w:type="continuationSeparator" w:id="0">
    <w:p w14:paraId="096A6CF8" w14:textId="77777777" w:rsidR="003E763F" w:rsidRDefault="003E763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F8B1" w14:textId="4350E9D8" w:rsidR="00A21B07" w:rsidRPr="0033525D" w:rsidRDefault="00A21B07">
    <w:pPr>
      <w:jc w:val="center"/>
    </w:pPr>
    <w:r>
      <w:fldChar w:fldCharType="begin"/>
    </w:r>
    <w:r>
      <w:instrText xml:space="preserve"> PAGE </w:instrText>
    </w:r>
    <w:r>
      <w:fldChar w:fldCharType="separate"/>
    </w:r>
    <w:r w:rsidR="00B67439">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C027" w14:textId="45DC80C0" w:rsidR="00A21B07" w:rsidRPr="0033525D" w:rsidRDefault="00A21B07">
    <w:pPr>
      <w:jc w:val="center"/>
    </w:pPr>
    <w:r>
      <w:fldChar w:fldCharType="begin"/>
    </w:r>
    <w:r>
      <w:instrText xml:space="preserve"> PAGE </w:instrText>
    </w:r>
    <w:r>
      <w:fldChar w:fldCharType="separate"/>
    </w:r>
    <w:r w:rsidR="00B67439">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96470"/>
      <w:docPartObj>
        <w:docPartGallery w:val="Page Numbers (Bottom of Page)"/>
        <w:docPartUnique/>
      </w:docPartObj>
    </w:sdtPr>
    <w:sdtEndPr>
      <w:rPr>
        <w:noProof/>
      </w:rPr>
    </w:sdtEndPr>
    <w:sdtContent>
      <w:p w14:paraId="73386F8E" w14:textId="77777777" w:rsidR="00A21B07" w:rsidRDefault="00A21B07" w:rsidP="00B81C1B">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248E06D9" w14:textId="571CA102" w:rsidR="00A21B07" w:rsidRPr="00AF592C" w:rsidRDefault="00A21B07" w:rsidP="00B81C1B">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AF592C">
          <w:rPr>
            <w:sz w:val="18"/>
            <w:szCs w:val="18"/>
            <w:lang w:val="fr-CA"/>
          </w:rPr>
          <w:t>.</w:t>
        </w:r>
      </w:p>
      <w:p w14:paraId="77A98121" w14:textId="77777777" w:rsidR="00A21B07" w:rsidRPr="00AF592C" w:rsidRDefault="00A21B07" w:rsidP="002C74F3">
        <w:pPr>
          <w:pBdr>
            <w:top w:val="single" w:sz="4" w:space="1" w:color="auto"/>
            <w:left w:val="single" w:sz="4" w:space="4" w:color="auto"/>
            <w:bottom w:val="single" w:sz="4" w:space="1" w:color="auto"/>
            <w:right w:val="single" w:sz="4" w:space="4" w:color="auto"/>
          </w:pBdr>
          <w:jc w:val="center"/>
          <w:rPr>
            <w:sz w:val="18"/>
            <w:szCs w:val="18"/>
            <w:lang w:val="fr-CA"/>
          </w:rPr>
        </w:pPr>
      </w:p>
      <w:p w14:paraId="3CCBC813" w14:textId="77777777" w:rsidR="00A21B07" w:rsidRPr="005A30B9" w:rsidRDefault="003E763F" w:rsidP="002C74F3">
        <w:pPr>
          <w:pStyle w:val="Foote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1B32" w14:textId="502D2DBD" w:rsidR="00A21B07" w:rsidRPr="0033525D" w:rsidRDefault="00A21B07">
    <w:pPr>
      <w:jc w:val="center"/>
    </w:pPr>
    <w:r>
      <w:fldChar w:fldCharType="begin"/>
    </w:r>
    <w:r>
      <w:instrText xml:space="preserve"> PAGE </w:instrText>
    </w:r>
    <w:r>
      <w:fldChar w:fldCharType="separate"/>
    </w:r>
    <w:r w:rsidR="00B67439">
      <w:rPr>
        <w:noProof/>
      </w:rPr>
      <w:t>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879F" w14:textId="30463127" w:rsidR="00A21B07" w:rsidRPr="0033525D" w:rsidRDefault="00A21B07">
    <w:pPr>
      <w:jc w:val="center"/>
    </w:pPr>
    <w:r>
      <w:fldChar w:fldCharType="begin"/>
    </w:r>
    <w:r>
      <w:instrText xml:space="preserve"> PAGE </w:instrText>
    </w:r>
    <w:r>
      <w:fldChar w:fldCharType="separate"/>
    </w:r>
    <w:r w:rsidR="00B67439">
      <w:rPr>
        <w:noProof/>
      </w:rPr>
      <w:t>5</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9C8E" w14:textId="7C4BA6E6" w:rsidR="00A21B07" w:rsidRPr="0033525D" w:rsidRDefault="00A21B07" w:rsidP="007C19F6">
    <w:pPr>
      <w:jc w:val="center"/>
    </w:pPr>
    <w:r>
      <w:fldChar w:fldCharType="begin"/>
    </w:r>
    <w:r>
      <w:instrText xml:space="preserve"> PAGE </w:instrText>
    </w:r>
    <w:r>
      <w:fldChar w:fldCharType="separate"/>
    </w:r>
    <w:r w:rsidR="00B67439">
      <w:rPr>
        <w:noProof/>
      </w:rPr>
      <w:t>1</w:t>
    </w:r>
    <w:r>
      <w:rPr>
        <w:noProof/>
      </w:rPr>
      <w:fldChar w:fldCharType="end"/>
    </w:r>
  </w:p>
  <w:p w14:paraId="1274BB87" w14:textId="77777777" w:rsidR="00A21B07" w:rsidRPr="007C19F6" w:rsidRDefault="00A21B07" w:rsidP="007C19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5E8A" w14:textId="77777777" w:rsidR="003E763F" w:rsidRDefault="003E763F" w:rsidP="004A504B">
      <w:r>
        <w:separator/>
      </w:r>
    </w:p>
  </w:footnote>
  <w:footnote w:type="continuationSeparator" w:id="0">
    <w:p w14:paraId="63D12271" w14:textId="77777777" w:rsidR="003E763F" w:rsidRDefault="003E763F" w:rsidP="004A504B">
      <w:r>
        <w:continuationSeparator/>
      </w:r>
    </w:p>
  </w:footnote>
  <w:footnote w:id="1">
    <w:p w14:paraId="7992D1EB" w14:textId="77777777" w:rsidR="00A21B07" w:rsidRPr="00AF592C" w:rsidRDefault="00A21B07" w:rsidP="00E42204">
      <w:pPr>
        <w:pStyle w:val="FootnoteText"/>
        <w:rPr>
          <w:lang w:val="fr-CA"/>
        </w:rPr>
      </w:pPr>
      <w:r>
        <w:rPr>
          <w:rStyle w:val="FootnoteReference"/>
        </w:rPr>
        <w:footnoteRef/>
      </w:r>
      <w:r w:rsidRPr="00AF592C">
        <w:rPr>
          <w:lang w:val="fr-CA"/>
        </w:rPr>
        <w:t xml:space="preserve"> </w:t>
      </w:r>
      <w:r w:rsidRPr="004226D8">
        <w:rPr>
          <w:lang w:val="fr-FR"/>
        </w:rPr>
        <w:t>À cause du coronavirus (COVID-19)</w:t>
      </w:r>
      <w:r>
        <w:rPr>
          <w:lang w:val="fr-FR"/>
        </w:rPr>
        <w:t>.</w:t>
      </w:r>
    </w:p>
  </w:footnote>
  <w:footnote w:id="2">
    <w:p w14:paraId="6A26D4C4" w14:textId="57AE4303" w:rsidR="00A21B07" w:rsidRDefault="00A21B07" w:rsidP="00B81C1B">
      <w:pPr>
        <w:pStyle w:val="FootnoteText"/>
        <w:pBdr>
          <w:top w:val="single" w:sz="4" w:space="1" w:color="E9FFFF"/>
          <w:left w:val="single" w:sz="4" w:space="4" w:color="E9FFFF"/>
          <w:bottom w:val="single" w:sz="4" w:space="1" w:color="E9FFFF"/>
          <w:right w:val="single" w:sz="4" w:space="4" w:color="E9FFFF"/>
        </w:pBdr>
        <w:rPr>
          <w:lang w:val="fr-CA"/>
        </w:rPr>
      </w:pPr>
      <w:r w:rsidRPr="00F91E4F">
        <w:rPr>
          <w:rStyle w:val="FootnoteReference"/>
        </w:rPr>
        <w:footnoteRef/>
      </w:r>
      <w:r w:rsidRPr="00AF592C">
        <w:rPr>
          <w:lang w:val="fr-CA"/>
        </w:rPr>
        <w:t xml:space="preserve"> </w:t>
      </w:r>
      <w:r w:rsidRPr="00B81C1B">
        <w:rPr>
          <w:lang w:val="fr-FR"/>
        </w:rPr>
        <w:t>Le Comité Exécutif a décidé d’inclure à l’ordre du jour des prochaines réunions une rubrique distincte portant</w:t>
      </w:r>
      <w:r>
        <w:rPr>
          <w:lang w:val="fr-FR"/>
        </w:rPr>
        <w:t xml:space="preserve"> sur les retards dans la proposition des tranches annuelles et le décaissement des fonds pour les tranches et les obligations.</w:t>
      </w:r>
      <w:r w:rsidRPr="00AF592C">
        <w:rPr>
          <w:lang w:val="fr-CA"/>
        </w:rPr>
        <w:t xml:space="preserve"> </w:t>
      </w:r>
    </w:p>
    <w:p w14:paraId="534D9E9C" w14:textId="77777777" w:rsidR="00B67439" w:rsidRPr="00AF592C" w:rsidRDefault="00B67439" w:rsidP="00B81C1B">
      <w:pPr>
        <w:pStyle w:val="FootnoteText"/>
        <w:pBdr>
          <w:top w:val="single" w:sz="4" w:space="1" w:color="E9FFFF"/>
          <w:left w:val="single" w:sz="4" w:space="4" w:color="E9FFFF"/>
          <w:bottom w:val="single" w:sz="4" w:space="1" w:color="E9FFFF"/>
          <w:right w:val="single" w:sz="4" w:space="4" w:color="E9FFFF"/>
        </w:pBdr>
        <w:rPr>
          <w:lang w:val="fr-CA"/>
        </w:rPr>
      </w:pPr>
    </w:p>
  </w:footnote>
  <w:footnote w:id="3">
    <w:p w14:paraId="011F87BB" w14:textId="4D8B2D00" w:rsidR="00A21B07" w:rsidRPr="00AF592C" w:rsidRDefault="00A21B07" w:rsidP="00FC5E69">
      <w:pPr>
        <w:pStyle w:val="FootnoteText"/>
        <w:rPr>
          <w:lang w:val="fr-CA"/>
        </w:rPr>
      </w:pPr>
      <w:r w:rsidRPr="00F91E4F">
        <w:rPr>
          <w:rStyle w:val="FootnoteReference"/>
        </w:rPr>
        <w:footnoteRef/>
      </w:r>
      <w:r w:rsidRPr="00AF592C">
        <w:rPr>
          <w:lang w:val="fr-CA"/>
        </w:rPr>
        <w:t xml:space="preserve"> </w:t>
      </w:r>
      <w:r w:rsidRPr="00384D92">
        <w:rPr>
          <w:lang w:val="fr-FR"/>
        </w:rPr>
        <w:t>À l’exclusion d’un pays (la République bolivarienne du Venezuela), dont la demande de tranche a été soumise à la 84</w:t>
      </w:r>
      <w:r w:rsidRPr="00384D92">
        <w:rPr>
          <w:vertAlign w:val="superscript"/>
          <w:lang w:val="fr-FR"/>
        </w:rPr>
        <w:t>e</w:t>
      </w:r>
      <w:r w:rsidRPr="00384D92">
        <w:rPr>
          <w:lang w:val="fr-FR"/>
        </w:rPr>
        <w:t xml:space="preserve"> réunion mais a ensuite</w:t>
      </w:r>
      <w:r>
        <w:rPr>
          <w:lang w:val="fr-FR"/>
        </w:rPr>
        <w:t xml:space="preserve"> </w:t>
      </w:r>
      <w:r w:rsidRPr="00384D92">
        <w:rPr>
          <w:lang w:val="fr-FR"/>
        </w:rPr>
        <w:t>été retirée.</w:t>
      </w:r>
      <w:r w:rsidRPr="00AF592C">
        <w:rPr>
          <w:lang w:val="fr-CA"/>
        </w:rPr>
        <w:t xml:space="preserve"> </w:t>
      </w:r>
    </w:p>
  </w:footnote>
  <w:footnote w:id="4">
    <w:p w14:paraId="777C8E2F" w14:textId="7447DDCD" w:rsidR="00A21B07" w:rsidRPr="00AF592C" w:rsidRDefault="00A21B07" w:rsidP="00384D92">
      <w:pPr>
        <w:pStyle w:val="FootnoteText"/>
        <w:rPr>
          <w:lang w:val="fr-CA"/>
        </w:rPr>
      </w:pPr>
      <w:r w:rsidRPr="00F91E4F">
        <w:rPr>
          <w:rStyle w:val="FootnoteReference"/>
        </w:rPr>
        <w:footnoteRef/>
      </w:r>
      <w:r w:rsidRPr="00AF592C">
        <w:rPr>
          <w:lang w:val="fr-CA"/>
        </w:rPr>
        <w:t xml:space="preserve"> </w:t>
      </w:r>
      <w:r w:rsidRPr="00384D92">
        <w:rPr>
          <w:lang w:val="fr-FR"/>
        </w:rPr>
        <w:t>En guise de comparaison, lors de la 84</w:t>
      </w:r>
      <w:r w:rsidRPr="00384D92">
        <w:rPr>
          <w:vertAlign w:val="superscript"/>
          <w:lang w:val="fr-FR"/>
        </w:rPr>
        <w:t>e</w:t>
      </w:r>
      <w:r w:rsidRPr="00384D92">
        <w:rPr>
          <w:lang w:val="fr-FR"/>
        </w:rPr>
        <w:t xml:space="preserve"> réunion, 14 tranches concernant 10 pays n’avaient pas été soumises.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9AA7" w14:textId="0F468258" w:rsidR="00A21B07" w:rsidRPr="0033525D" w:rsidRDefault="003E763F">
    <w:r>
      <w:fldChar w:fldCharType="begin"/>
    </w:r>
    <w:r>
      <w:instrText xml:space="preserve"> DOCPROPERTY "Document number"  \* MERGEFORMAT </w:instrText>
    </w:r>
    <w:r>
      <w:fldChar w:fldCharType="separate"/>
    </w:r>
    <w:r w:rsidR="009B523C">
      <w:t>UNEP/OzL.Pro/ExCom/86/24</w:t>
    </w:r>
    <w:r>
      <w:fldChar w:fldCharType="end"/>
    </w:r>
  </w:p>
  <w:p w14:paraId="15DADBA7" w14:textId="77777777" w:rsidR="00A21B07" w:rsidRPr="0033525D" w:rsidRDefault="00A21B07"/>
  <w:p w14:paraId="08294720" w14:textId="77777777" w:rsidR="00A21B07" w:rsidRPr="0033525D" w:rsidRDefault="00A21B0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20E0" w14:textId="160024C3" w:rsidR="00A21B07" w:rsidRPr="0033525D" w:rsidRDefault="003E763F">
    <w:pPr>
      <w:jc w:val="right"/>
    </w:pPr>
    <w:r>
      <w:fldChar w:fldCharType="begin"/>
    </w:r>
    <w:r>
      <w:instrText xml:space="preserve"> DOCPROPERTY "Document number"  \* MERGEFORMAT </w:instrText>
    </w:r>
    <w:r>
      <w:fldChar w:fldCharType="separate"/>
    </w:r>
    <w:r w:rsidR="009B523C">
      <w:t>UNEP/OzL.Pro/ExCom/86/24</w:t>
    </w:r>
    <w:r>
      <w:fldChar w:fldCharType="end"/>
    </w:r>
  </w:p>
  <w:p w14:paraId="6C931BD9" w14:textId="77777777" w:rsidR="00A21B07" w:rsidRPr="0033525D" w:rsidRDefault="00A21B07"/>
  <w:p w14:paraId="62A031F1" w14:textId="77777777" w:rsidR="00A21B07" w:rsidRPr="0033525D" w:rsidRDefault="00A21B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BBC" w14:textId="294C733E" w:rsidR="00A21B07" w:rsidRPr="0033525D" w:rsidRDefault="003E763F">
    <w:r>
      <w:fldChar w:fldCharType="begin"/>
    </w:r>
    <w:r>
      <w:instrText xml:space="preserve"> DOCPROPERTY "Document number"  \* MERGEFORMAT </w:instrText>
    </w:r>
    <w:r>
      <w:fldChar w:fldCharType="separate"/>
    </w:r>
    <w:r w:rsidR="009B523C">
      <w:t>UNEP/OzL.Pro/ExCom/86/24</w:t>
    </w:r>
    <w:r>
      <w:fldChar w:fldCharType="end"/>
    </w:r>
  </w:p>
  <w:p w14:paraId="1817CC72" w14:textId="43575EDE" w:rsidR="00A21B07" w:rsidRPr="0033525D" w:rsidRDefault="00A21B07">
    <w:r>
      <w:t>Annexe I</w:t>
    </w:r>
  </w:p>
  <w:p w14:paraId="640B0063" w14:textId="77777777" w:rsidR="00A21B07" w:rsidRPr="0033525D" w:rsidRDefault="00A21B0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9FD8" w14:textId="5665F44C" w:rsidR="00A21B07" w:rsidRDefault="003E763F" w:rsidP="007C19F6">
    <w:pPr>
      <w:pStyle w:val="Header"/>
      <w:jc w:val="right"/>
    </w:pPr>
    <w:r>
      <w:fldChar w:fldCharType="begin"/>
    </w:r>
    <w:r>
      <w:instrText xml:space="preserve"> DOCPROPERTY "Document number"  \* MERGEFORMAT </w:instrText>
    </w:r>
    <w:r>
      <w:fldChar w:fldCharType="separate"/>
    </w:r>
    <w:r w:rsidR="009B523C">
      <w:t>UNEP/OzL.Pro/ExCom/86/24</w:t>
    </w:r>
    <w:r>
      <w:fldChar w:fldCharType="end"/>
    </w:r>
  </w:p>
  <w:p w14:paraId="35230ABE" w14:textId="09DF5161" w:rsidR="00A21B07" w:rsidRDefault="00A21B07" w:rsidP="007C19F6">
    <w:pPr>
      <w:pStyle w:val="Header"/>
      <w:jc w:val="right"/>
    </w:pPr>
    <w:r>
      <w:t>Annexe I</w:t>
    </w:r>
  </w:p>
  <w:p w14:paraId="1E65A943" w14:textId="77777777" w:rsidR="00A21B07" w:rsidRPr="0033525D" w:rsidRDefault="00A21B0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5B796" w14:textId="3549A600" w:rsidR="00A21B07" w:rsidRDefault="003E763F" w:rsidP="007C19F6">
    <w:pPr>
      <w:pStyle w:val="Header"/>
      <w:jc w:val="right"/>
    </w:pPr>
    <w:r>
      <w:fldChar w:fldCharType="begin"/>
    </w:r>
    <w:r>
      <w:instrText xml:space="preserve"> DOCPROPERTY "Document number"  \* MERGEFORMAT </w:instrText>
    </w:r>
    <w:r>
      <w:fldChar w:fldCharType="separate"/>
    </w:r>
    <w:r w:rsidR="009B523C">
      <w:t>UNEP/OzL.Pro/ExCom/86/24</w:t>
    </w:r>
    <w:r>
      <w:fldChar w:fldCharType="end"/>
    </w:r>
  </w:p>
  <w:p w14:paraId="520E5830" w14:textId="2D58D104" w:rsidR="00A21B07" w:rsidRDefault="00A21B07" w:rsidP="007C19F6">
    <w:pPr>
      <w:pStyle w:val="Header"/>
      <w:jc w:val="right"/>
    </w:pPr>
    <w:r>
      <w:t>Annexe 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142"/>
        </w:tabs>
        <w:ind w:left="142"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FC5E69"/>
    <w:rsid w:val="000008EB"/>
    <w:rsid w:val="00000FED"/>
    <w:rsid w:val="0000137A"/>
    <w:rsid w:val="0000434E"/>
    <w:rsid w:val="000211A9"/>
    <w:rsid w:val="00027458"/>
    <w:rsid w:val="00031260"/>
    <w:rsid w:val="0003681A"/>
    <w:rsid w:val="000372B7"/>
    <w:rsid w:val="00045295"/>
    <w:rsid w:val="00050F6E"/>
    <w:rsid w:val="00061EC2"/>
    <w:rsid w:val="00065569"/>
    <w:rsid w:val="00067C64"/>
    <w:rsid w:val="00070142"/>
    <w:rsid w:val="00080ED0"/>
    <w:rsid w:val="00085B8F"/>
    <w:rsid w:val="00090481"/>
    <w:rsid w:val="000978F7"/>
    <w:rsid w:val="000A3826"/>
    <w:rsid w:val="000A6C26"/>
    <w:rsid w:val="000A7D64"/>
    <w:rsid w:val="000B056A"/>
    <w:rsid w:val="000B5919"/>
    <w:rsid w:val="000B5C66"/>
    <w:rsid w:val="000D52A4"/>
    <w:rsid w:val="000E07BC"/>
    <w:rsid w:val="000E3A25"/>
    <w:rsid w:val="000F1CD4"/>
    <w:rsid w:val="000F4103"/>
    <w:rsid w:val="000F4FB3"/>
    <w:rsid w:val="000F70A7"/>
    <w:rsid w:val="00106901"/>
    <w:rsid w:val="001136F4"/>
    <w:rsid w:val="00113CCA"/>
    <w:rsid w:val="00122F25"/>
    <w:rsid w:val="00123F98"/>
    <w:rsid w:val="00135980"/>
    <w:rsid w:val="001420D3"/>
    <w:rsid w:val="00147D45"/>
    <w:rsid w:val="0015180F"/>
    <w:rsid w:val="001609DC"/>
    <w:rsid w:val="00163704"/>
    <w:rsid w:val="00164719"/>
    <w:rsid w:val="00166FC4"/>
    <w:rsid w:val="001677AC"/>
    <w:rsid w:val="00176CF2"/>
    <w:rsid w:val="001804EA"/>
    <w:rsid w:val="00181025"/>
    <w:rsid w:val="00190A61"/>
    <w:rsid w:val="00192264"/>
    <w:rsid w:val="001A3342"/>
    <w:rsid w:val="001A3E3D"/>
    <w:rsid w:val="001A7049"/>
    <w:rsid w:val="001B1E40"/>
    <w:rsid w:val="001B2E36"/>
    <w:rsid w:val="001C1E47"/>
    <w:rsid w:val="001C6371"/>
    <w:rsid w:val="001C764E"/>
    <w:rsid w:val="001E1052"/>
    <w:rsid w:val="001E21B1"/>
    <w:rsid w:val="001E2F93"/>
    <w:rsid w:val="001E4554"/>
    <w:rsid w:val="001E53D2"/>
    <w:rsid w:val="001E61E5"/>
    <w:rsid w:val="001E7800"/>
    <w:rsid w:val="001F0BBC"/>
    <w:rsid w:val="001F2159"/>
    <w:rsid w:val="001F5057"/>
    <w:rsid w:val="00203298"/>
    <w:rsid w:val="00203942"/>
    <w:rsid w:val="00205B04"/>
    <w:rsid w:val="00210B8B"/>
    <w:rsid w:val="002125F3"/>
    <w:rsid w:val="0021299E"/>
    <w:rsid w:val="00214863"/>
    <w:rsid w:val="002153B8"/>
    <w:rsid w:val="002156B4"/>
    <w:rsid w:val="00223430"/>
    <w:rsid w:val="00224FCD"/>
    <w:rsid w:val="00225AAB"/>
    <w:rsid w:val="00230464"/>
    <w:rsid w:val="00243A19"/>
    <w:rsid w:val="002475D0"/>
    <w:rsid w:val="00253222"/>
    <w:rsid w:val="00262847"/>
    <w:rsid w:val="0027411B"/>
    <w:rsid w:val="002755E3"/>
    <w:rsid w:val="00281BB2"/>
    <w:rsid w:val="00287EE2"/>
    <w:rsid w:val="00293A51"/>
    <w:rsid w:val="002A28ED"/>
    <w:rsid w:val="002B045D"/>
    <w:rsid w:val="002B254E"/>
    <w:rsid w:val="002B3F41"/>
    <w:rsid w:val="002B72E9"/>
    <w:rsid w:val="002C00F4"/>
    <w:rsid w:val="002C2F51"/>
    <w:rsid w:val="002C74F3"/>
    <w:rsid w:val="002C7998"/>
    <w:rsid w:val="002D4BD2"/>
    <w:rsid w:val="002F1E53"/>
    <w:rsid w:val="002F2CAA"/>
    <w:rsid w:val="0030052C"/>
    <w:rsid w:val="003011B4"/>
    <w:rsid w:val="00311AA4"/>
    <w:rsid w:val="003129EF"/>
    <w:rsid w:val="00316A04"/>
    <w:rsid w:val="00316EB8"/>
    <w:rsid w:val="00325FC9"/>
    <w:rsid w:val="00326D1E"/>
    <w:rsid w:val="003306E1"/>
    <w:rsid w:val="003320E4"/>
    <w:rsid w:val="0033525D"/>
    <w:rsid w:val="003414F3"/>
    <w:rsid w:val="00352CED"/>
    <w:rsid w:val="0035613E"/>
    <w:rsid w:val="00362499"/>
    <w:rsid w:val="00363EE9"/>
    <w:rsid w:val="003676EF"/>
    <w:rsid w:val="00372559"/>
    <w:rsid w:val="003742B8"/>
    <w:rsid w:val="0037482B"/>
    <w:rsid w:val="00376128"/>
    <w:rsid w:val="00376FC1"/>
    <w:rsid w:val="0037742E"/>
    <w:rsid w:val="00377D56"/>
    <w:rsid w:val="0038245A"/>
    <w:rsid w:val="003831B3"/>
    <w:rsid w:val="00383EF1"/>
    <w:rsid w:val="003840E6"/>
    <w:rsid w:val="00384D92"/>
    <w:rsid w:val="00385CFC"/>
    <w:rsid w:val="0039337A"/>
    <w:rsid w:val="003934F3"/>
    <w:rsid w:val="003A10CF"/>
    <w:rsid w:val="003A3189"/>
    <w:rsid w:val="003A3CA7"/>
    <w:rsid w:val="003B33BD"/>
    <w:rsid w:val="003B569D"/>
    <w:rsid w:val="003C12E2"/>
    <w:rsid w:val="003C3C0E"/>
    <w:rsid w:val="003C506F"/>
    <w:rsid w:val="003D42A6"/>
    <w:rsid w:val="003D4F21"/>
    <w:rsid w:val="003D4FAC"/>
    <w:rsid w:val="003E763F"/>
    <w:rsid w:val="003E7906"/>
    <w:rsid w:val="003F3C50"/>
    <w:rsid w:val="003F497D"/>
    <w:rsid w:val="00406A6A"/>
    <w:rsid w:val="00406B22"/>
    <w:rsid w:val="00412B4F"/>
    <w:rsid w:val="00413F36"/>
    <w:rsid w:val="004243BA"/>
    <w:rsid w:val="004328A7"/>
    <w:rsid w:val="00434C74"/>
    <w:rsid w:val="00442FF8"/>
    <w:rsid w:val="00446F34"/>
    <w:rsid w:val="00456EB4"/>
    <w:rsid w:val="004718F3"/>
    <w:rsid w:val="00475040"/>
    <w:rsid w:val="0048249F"/>
    <w:rsid w:val="00482BB8"/>
    <w:rsid w:val="004875BA"/>
    <w:rsid w:val="00493D40"/>
    <w:rsid w:val="004946BD"/>
    <w:rsid w:val="00494A94"/>
    <w:rsid w:val="00494E60"/>
    <w:rsid w:val="004967B6"/>
    <w:rsid w:val="004A504B"/>
    <w:rsid w:val="004A6911"/>
    <w:rsid w:val="004B54E0"/>
    <w:rsid w:val="004B7384"/>
    <w:rsid w:val="004C0BA1"/>
    <w:rsid w:val="004C1212"/>
    <w:rsid w:val="004C1B53"/>
    <w:rsid w:val="004C4269"/>
    <w:rsid w:val="004C7E1C"/>
    <w:rsid w:val="004D6236"/>
    <w:rsid w:val="004D7F90"/>
    <w:rsid w:val="004E0570"/>
    <w:rsid w:val="004E4DBB"/>
    <w:rsid w:val="004E4E41"/>
    <w:rsid w:val="004E7901"/>
    <w:rsid w:val="004E7F9C"/>
    <w:rsid w:val="004F3493"/>
    <w:rsid w:val="004F5143"/>
    <w:rsid w:val="00506174"/>
    <w:rsid w:val="00512B09"/>
    <w:rsid w:val="00514F3B"/>
    <w:rsid w:val="00515327"/>
    <w:rsid w:val="005220ED"/>
    <w:rsid w:val="00525C43"/>
    <w:rsid w:val="00527504"/>
    <w:rsid w:val="00533796"/>
    <w:rsid w:val="00537343"/>
    <w:rsid w:val="005547FD"/>
    <w:rsid w:val="00555D75"/>
    <w:rsid w:val="00557493"/>
    <w:rsid w:val="00560DF0"/>
    <w:rsid w:val="0056759C"/>
    <w:rsid w:val="00572830"/>
    <w:rsid w:val="00574F5C"/>
    <w:rsid w:val="00580041"/>
    <w:rsid w:val="00583793"/>
    <w:rsid w:val="00591D0D"/>
    <w:rsid w:val="0059513E"/>
    <w:rsid w:val="0059752F"/>
    <w:rsid w:val="005A1426"/>
    <w:rsid w:val="005A6D9F"/>
    <w:rsid w:val="005B48FF"/>
    <w:rsid w:val="005D363F"/>
    <w:rsid w:val="005D621D"/>
    <w:rsid w:val="005E088A"/>
    <w:rsid w:val="005E1672"/>
    <w:rsid w:val="005F008F"/>
    <w:rsid w:val="0060159E"/>
    <w:rsid w:val="00604C15"/>
    <w:rsid w:val="00607056"/>
    <w:rsid w:val="006158D5"/>
    <w:rsid w:val="00616A39"/>
    <w:rsid w:val="00625D83"/>
    <w:rsid w:val="006347E4"/>
    <w:rsid w:val="00652DDE"/>
    <w:rsid w:val="006623E7"/>
    <w:rsid w:val="00662B80"/>
    <w:rsid w:val="00670F6C"/>
    <w:rsid w:val="006852C7"/>
    <w:rsid w:val="006852CE"/>
    <w:rsid w:val="006859A5"/>
    <w:rsid w:val="00685B1E"/>
    <w:rsid w:val="00686F26"/>
    <w:rsid w:val="00692D14"/>
    <w:rsid w:val="00696282"/>
    <w:rsid w:val="006A59EE"/>
    <w:rsid w:val="006A6E87"/>
    <w:rsid w:val="006B65C7"/>
    <w:rsid w:val="006C1727"/>
    <w:rsid w:val="006C32FD"/>
    <w:rsid w:val="006C39CE"/>
    <w:rsid w:val="006D0FCC"/>
    <w:rsid w:val="006D21F5"/>
    <w:rsid w:val="006E126D"/>
    <w:rsid w:val="006E1FC3"/>
    <w:rsid w:val="00704CE9"/>
    <w:rsid w:val="0070616B"/>
    <w:rsid w:val="00706295"/>
    <w:rsid w:val="00706FDA"/>
    <w:rsid w:val="00707EC1"/>
    <w:rsid w:val="00711F9A"/>
    <w:rsid w:val="00713810"/>
    <w:rsid w:val="00717331"/>
    <w:rsid w:val="007303A5"/>
    <w:rsid w:val="00730B3E"/>
    <w:rsid w:val="0073420B"/>
    <w:rsid w:val="0074760E"/>
    <w:rsid w:val="00754ABA"/>
    <w:rsid w:val="00755C3E"/>
    <w:rsid w:val="00756D99"/>
    <w:rsid w:val="00760644"/>
    <w:rsid w:val="00763132"/>
    <w:rsid w:val="00770E77"/>
    <w:rsid w:val="00785A57"/>
    <w:rsid w:val="007903D7"/>
    <w:rsid w:val="0079674E"/>
    <w:rsid w:val="007A1546"/>
    <w:rsid w:val="007A17F6"/>
    <w:rsid w:val="007A228C"/>
    <w:rsid w:val="007A368E"/>
    <w:rsid w:val="007A5868"/>
    <w:rsid w:val="007A66C8"/>
    <w:rsid w:val="007B04CE"/>
    <w:rsid w:val="007B4137"/>
    <w:rsid w:val="007B6871"/>
    <w:rsid w:val="007B7A2F"/>
    <w:rsid w:val="007C127E"/>
    <w:rsid w:val="007C19F6"/>
    <w:rsid w:val="007C3D33"/>
    <w:rsid w:val="007C5AEE"/>
    <w:rsid w:val="007D0906"/>
    <w:rsid w:val="007D193B"/>
    <w:rsid w:val="007D294A"/>
    <w:rsid w:val="007D47D2"/>
    <w:rsid w:val="007D6EC0"/>
    <w:rsid w:val="007D7E1D"/>
    <w:rsid w:val="007F420A"/>
    <w:rsid w:val="00803E7A"/>
    <w:rsid w:val="008054EB"/>
    <w:rsid w:val="00810026"/>
    <w:rsid w:val="008165DD"/>
    <w:rsid w:val="00831979"/>
    <w:rsid w:val="0083289D"/>
    <w:rsid w:val="008406B5"/>
    <w:rsid w:val="00850E8B"/>
    <w:rsid w:val="00851352"/>
    <w:rsid w:val="00857077"/>
    <w:rsid w:val="00863230"/>
    <w:rsid w:val="008658DB"/>
    <w:rsid w:val="00865BD0"/>
    <w:rsid w:val="008717D8"/>
    <w:rsid w:val="0087215C"/>
    <w:rsid w:val="00875D25"/>
    <w:rsid w:val="00880E35"/>
    <w:rsid w:val="00885498"/>
    <w:rsid w:val="008875FE"/>
    <w:rsid w:val="0088760B"/>
    <w:rsid w:val="00887F8E"/>
    <w:rsid w:val="00892244"/>
    <w:rsid w:val="0089272A"/>
    <w:rsid w:val="00896234"/>
    <w:rsid w:val="00897E43"/>
    <w:rsid w:val="008A7930"/>
    <w:rsid w:val="008B696D"/>
    <w:rsid w:val="008C5738"/>
    <w:rsid w:val="008C7EAD"/>
    <w:rsid w:val="008D0476"/>
    <w:rsid w:val="008D0CFE"/>
    <w:rsid w:val="008D1C6F"/>
    <w:rsid w:val="008D6152"/>
    <w:rsid w:val="008E3456"/>
    <w:rsid w:val="008E5D80"/>
    <w:rsid w:val="008F0F81"/>
    <w:rsid w:val="008F27BF"/>
    <w:rsid w:val="008F3E85"/>
    <w:rsid w:val="00903CA1"/>
    <w:rsid w:val="00905F9B"/>
    <w:rsid w:val="009142EC"/>
    <w:rsid w:val="009144BA"/>
    <w:rsid w:val="009154C3"/>
    <w:rsid w:val="009171EA"/>
    <w:rsid w:val="00922F89"/>
    <w:rsid w:val="00923540"/>
    <w:rsid w:val="00926767"/>
    <w:rsid w:val="009306F2"/>
    <w:rsid w:val="009361D5"/>
    <w:rsid w:val="009428A4"/>
    <w:rsid w:val="00950B7C"/>
    <w:rsid w:val="0096221E"/>
    <w:rsid w:val="009640D9"/>
    <w:rsid w:val="009659F4"/>
    <w:rsid w:val="009700FF"/>
    <w:rsid w:val="00970D60"/>
    <w:rsid w:val="009724F4"/>
    <w:rsid w:val="009725B7"/>
    <w:rsid w:val="00985EE3"/>
    <w:rsid w:val="009866FF"/>
    <w:rsid w:val="0099390E"/>
    <w:rsid w:val="00994EEC"/>
    <w:rsid w:val="009960E5"/>
    <w:rsid w:val="009A21D2"/>
    <w:rsid w:val="009A3987"/>
    <w:rsid w:val="009A7ADC"/>
    <w:rsid w:val="009A7C84"/>
    <w:rsid w:val="009B0666"/>
    <w:rsid w:val="009B523C"/>
    <w:rsid w:val="009B7A5C"/>
    <w:rsid w:val="009C19B7"/>
    <w:rsid w:val="009C5ABB"/>
    <w:rsid w:val="009D7C51"/>
    <w:rsid w:val="009E196C"/>
    <w:rsid w:val="009E6326"/>
    <w:rsid w:val="009F36BF"/>
    <w:rsid w:val="00A07252"/>
    <w:rsid w:val="00A111B6"/>
    <w:rsid w:val="00A21B07"/>
    <w:rsid w:val="00A26D27"/>
    <w:rsid w:val="00A376EE"/>
    <w:rsid w:val="00A42A99"/>
    <w:rsid w:val="00A44C68"/>
    <w:rsid w:val="00A5151A"/>
    <w:rsid w:val="00A5181C"/>
    <w:rsid w:val="00A57E0A"/>
    <w:rsid w:val="00A70D01"/>
    <w:rsid w:val="00A74816"/>
    <w:rsid w:val="00A802F7"/>
    <w:rsid w:val="00A823F6"/>
    <w:rsid w:val="00A8719E"/>
    <w:rsid w:val="00A93064"/>
    <w:rsid w:val="00AA0A89"/>
    <w:rsid w:val="00AA500E"/>
    <w:rsid w:val="00AA6429"/>
    <w:rsid w:val="00AB3395"/>
    <w:rsid w:val="00AB7F57"/>
    <w:rsid w:val="00AC01AA"/>
    <w:rsid w:val="00AC449F"/>
    <w:rsid w:val="00AC4F72"/>
    <w:rsid w:val="00AC64B6"/>
    <w:rsid w:val="00AD5CF5"/>
    <w:rsid w:val="00AD73F5"/>
    <w:rsid w:val="00AE7C5D"/>
    <w:rsid w:val="00AF32CA"/>
    <w:rsid w:val="00AF592C"/>
    <w:rsid w:val="00AF741A"/>
    <w:rsid w:val="00B00346"/>
    <w:rsid w:val="00B018F5"/>
    <w:rsid w:val="00B01ADB"/>
    <w:rsid w:val="00B04161"/>
    <w:rsid w:val="00B056F9"/>
    <w:rsid w:val="00B11E3D"/>
    <w:rsid w:val="00B17E82"/>
    <w:rsid w:val="00B318D7"/>
    <w:rsid w:val="00B3344F"/>
    <w:rsid w:val="00B40E93"/>
    <w:rsid w:val="00B4575A"/>
    <w:rsid w:val="00B575BA"/>
    <w:rsid w:val="00B67439"/>
    <w:rsid w:val="00B71608"/>
    <w:rsid w:val="00B76429"/>
    <w:rsid w:val="00B81C1B"/>
    <w:rsid w:val="00B859A6"/>
    <w:rsid w:val="00B870A9"/>
    <w:rsid w:val="00B9092E"/>
    <w:rsid w:val="00B956D4"/>
    <w:rsid w:val="00B97446"/>
    <w:rsid w:val="00BA3008"/>
    <w:rsid w:val="00BA43CE"/>
    <w:rsid w:val="00BA7432"/>
    <w:rsid w:val="00BA7C87"/>
    <w:rsid w:val="00BB094C"/>
    <w:rsid w:val="00BB2764"/>
    <w:rsid w:val="00BC1AA0"/>
    <w:rsid w:val="00BC1E71"/>
    <w:rsid w:val="00BC2495"/>
    <w:rsid w:val="00BC2B0A"/>
    <w:rsid w:val="00BC7EB9"/>
    <w:rsid w:val="00BD2643"/>
    <w:rsid w:val="00BD56B1"/>
    <w:rsid w:val="00BD6558"/>
    <w:rsid w:val="00BF2F76"/>
    <w:rsid w:val="00BF3022"/>
    <w:rsid w:val="00BF3214"/>
    <w:rsid w:val="00BF5573"/>
    <w:rsid w:val="00BF6950"/>
    <w:rsid w:val="00BF7E64"/>
    <w:rsid w:val="00C15867"/>
    <w:rsid w:val="00C2296D"/>
    <w:rsid w:val="00C23155"/>
    <w:rsid w:val="00C23F39"/>
    <w:rsid w:val="00C40130"/>
    <w:rsid w:val="00C40C41"/>
    <w:rsid w:val="00C45885"/>
    <w:rsid w:val="00C479BE"/>
    <w:rsid w:val="00C50F22"/>
    <w:rsid w:val="00C523CB"/>
    <w:rsid w:val="00C535AD"/>
    <w:rsid w:val="00C57971"/>
    <w:rsid w:val="00C65BD7"/>
    <w:rsid w:val="00C76211"/>
    <w:rsid w:val="00C76BA4"/>
    <w:rsid w:val="00C8241D"/>
    <w:rsid w:val="00C83A48"/>
    <w:rsid w:val="00C85865"/>
    <w:rsid w:val="00C85E85"/>
    <w:rsid w:val="00C86090"/>
    <w:rsid w:val="00CA2E98"/>
    <w:rsid w:val="00CA2EAE"/>
    <w:rsid w:val="00CA3EF0"/>
    <w:rsid w:val="00CA4AC1"/>
    <w:rsid w:val="00CA5749"/>
    <w:rsid w:val="00CB0316"/>
    <w:rsid w:val="00CB0B11"/>
    <w:rsid w:val="00CB0CC7"/>
    <w:rsid w:val="00CB426A"/>
    <w:rsid w:val="00CB5354"/>
    <w:rsid w:val="00CB6D19"/>
    <w:rsid w:val="00CC0145"/>
    <w:rsid w:val="00CC3C9E"/>
    <w:rsid w:val="00CC52C6"/>
    <w:rsid w:val="00CC58B9"/>
    <w:rsid w:val="00CC6A14"/>
    <w:rsid w:val="00CC70A3"/>
    <w:rsid w:val="00CC7BB0"/>
    <w:rsid w:val="00CD4442"/>
    <w:rsid w:val="00CD53C3"/>
    <w:rsid w:val="00CD574E"/>
    <w:rsid w:val="00CD783A"/>
    <w:rsid w:val="00CE4C22"/>
    <w:rsid w:val="00CF41EC"/>
    <w:rsid w:val="00CF5D04"/>
    <w:rsid w:val="00D019CC"/>
    <w:rsid w:val="00D04DE4"/>
    <w:rsid w:val="00D063F1"/>
    <w:rsid w:val="00D11444"/>
    <w:rsid w:val="00D14F22"/>
    <w:rsid w:val="00D30B00"/>
    <w:rsid w:val="00D350F4"/>
    <w:rsid w:val="00D401D2"/>
    <w:rsid w:val="00D43ED5"/>
    <w:rsid w:val="00D4741C"/>
    <w:rsid w:val="00D53F25"/>
    <w:rsid w:val="00D57918"/>
    <w:rsid w:val="00D73DC6"/>
    <w:rsid w:val="00D74C1A"/>
    <w:rsid w:val="00D754C1"/>
    <w:rsid w:val="00D77393"/>
    <w:rsid w:val="00D779BA"/>
    <w:rsid w:val="00D77A35"/>
    <w:rsid w:val="00D805F1"/>
    <w:rsid w:val="00D81B3E"/>
    <w:rsid w:val="00D90C70"/>
    <w:rsid w:val="00D90E49"/>
    <w:rsid w:val="00D96ADE"/>
    <w:rsid w:val="00DA0CE2"/>
    <w:rsid w:val="00DA1968"/>
    <w:rsid w:val="00DA6A94"/>
    <w:rsid w:val="00DA77B7"/>
    <w:rsid w:val="00DB207E"/>
    <w:rsid w:val="00DB5B80"/>
    <w:rsid w:val="00DC391E"/>
    <w:rsid w:val="00DC3F79"/>
    <w:rsid w:val="00DC6A10"/>
    <w:rsid w:val="00DD11AE"/>
    <w:rsid w:val="00DD66B6"/>
    <w:rsid w:val="00DE159B"/>
    <w:rsid w:val="00DE3316"/>
    <w:rsid w:val="00DE657E"/>
    <w:rsid w:val="00DF4704"/>
    <w:rsid w:val="00DF5D0F"/>
    <w:rsid w:val="00E00E1C"/>
    <w:rsid w:val="00E024AA"/>
    <w:rsid w:val="00E12288"/>
    <w:rsid w:val="00E15C77"/>
    <w:rsid w:val="00E1641D"/>
    <w:rsid w:val="00E250F1"/>
    <w:rsid w:val="00E30BE4"/>
    <w:rsid w:val="00E33AA6"/>
    <w:rsid w:val="00E352F6"/>
    <w:rsid w:val="00E3550D"/>
    <w:rsid w:val="00E4121C"/>
    <w:rsid w:val="00E42204"/>
    <w:rsid w:val="00E52838"/>
    <w:rsid w:val="00E5402B"/>
    <w:rsid w:val="00E547DC"/>
    <w:rsid w:val="00E614E0"/>
    <w:rsid w:val="00E71686"/>
    <w:rsid w:val="00E71856"/>
    <w:rsid w:val="00E73F7F"/>
    <w:rsid w:val="00E7442D"/>
    <w:rsid w:val="00E85409"/>
    <w:rsid w:val="00E85BBB"/>
    <w:rsid w:val="00E865D2"/>
    <w:rsid w:val="00E9170B"/>
    <w:rsid w:val="00EA06AE"/>
    <w:rsid w:val="00EA429F"/>
    <w:rsid w:val="00EA4F9E"/>
    <w:rsid w:val="00EA63CA"/>
    <w:rsid w:val="00EA6D3B"/>
    <w:rsid w:val="00EB00AD"/>
    <w:rsid w:val="00EB136C"/>
    <w:rsid w:val="00EB480E"/>
    <w:rsid w:val="00EB4C95"/>
    <w:rsid w:val="00EB5EC6"/>
    <w:rsid w:val="00EB7FC9"/>
    <w:rsid w:val="00EC4513"/>
    <w:rsid w:val="00ED27E8"/>
    <w:rsid w:val="00ED7137"/>
    <w:rsid w:val="00ED787E"/>
    <w:rsid w:val="00ED7EA2"/>
    <w:rsid w:val="00EE52C8"/>
    <w:rsid w:val="00EE7DF4"/>
    <w:rsid w:val="00EF06EA"/>
    <w:rsid w:val="00EF2201"/>
    <w:rsid w:val="00EF5E58"/>
    <w:rsid w:val="00EF5F07"/>
    <w:rsid w:val="00F077E5"/>
    <w:rsid w:val="00F106A1"/>
    <w:rsid w:val="00F170F1"/>
    <w:rsid w:val="00F21088"/>
    <w:rsid w:val="00F23413"/>
    <w:rsid w:val="00F2776E"/>
    <w:rsid w:val="00F327E7"/>
    <w:rsid w:val="00F35746"/>
    <w:rsid w:val="00F43CD1"/>
    <w:rsid w:val="00F447C7"/>
    <w:rsid w:val="00F45359"/>
    <w:rsid w:val="00F459B4"/>
    <w:rsid w:val="00F45E86"/>
    <w:rsid w:val="00F518D8"/>
    <w:rsid w:val="00F5211B"/>
    <w:rsid w:val="00F554A9"/>
    <w:rsid w:val="00F64F63"/>
    <w:rsid w:val="00F716FD"/>
    <w:rsid w:val="00F71EED"/>
    <w:rsid w:val="00F74726"/>
    <w:rsid w:val="00F74962"/>
    <w:rsid w:val="00F80355"/>
    <w:rsid w:val="00F8583F"/>
    <w:rsid w:val="00F86C64"/>
    <w:rsid w:val="00F87C43"/>
    <w:rsid w:val="00F91E4F"/>
    <w:rsid w:val="00FA05BC"/>
    <w:rsid w:val="00FA60AF"/>
    <w:rsid w:val="00FB0C81"/>
    <w:rsid w:val="00FB6C93"/>
    <w:rsid w:val="00FC2200"/>
    <w:rsid w:val="00FC2540"/>
    <w:rsid w:val="00FC2982"/>
    <w:rsid w:val="00FC5E69"/>
    <w:rsid w:val="00FC6705"/>
    <w:rsid w:val="00FE1C75"/>
    <w:rsid w:val="00FE2463"/>
    <w:rsid w:val="00FF0204"/>
    <w:rsid w:val="00FF3AED"/>
    <w:rsid w:val="00FF3C18"/>
    <w:rsid w:val="00FF69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9C996"/>
  <w15:docId w15:val="{9867939C-0A8C-49D1-9B60-BFAC53F2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tabs>
        <w:tab w:val="clear" w:pos="142"/>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 Char1, Char1 Char Char,Fußnotentextf"/>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6E126D"/>
    <w:rPr>
      <w:lang w:val="en-GB"/>
    </w:rPr>
  </w:style>
  <w:style w:type="character" w:styleId="FootnoteReference">
    <w:name w:val="footnote reference"/>
    <w:aliases w:val="16 Point,Superscript 6 Point,Footnote text,Footnote Text1,Footnote Text2"/>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FC5E69"/>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ink w:val="Heading3"/>
    <w:locked/>
    <w:rsid w:val="00FC5E69"/>
    <w:rPr>
      <w:sz w:val="22"/>
      <w:szCs w:val="22"/>
      <w:lang w:val="en-GB"/>
    </w:rPr>
  </w:style>
  <w:style w:type="character" w:customStyle="1" w:styleId="FooterChar">
    <w:name w:val="Footer Char"/>
    <w:basedOn w:val="DefaultParagraphFont"/>
    <w:link w:val="Footer"/>
    <w:uiPriority w:val="99"/>
    <w:rsid w:val="00FC5E6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578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776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UNEP/OzL.Pro/ExCom/86/24</Document_x0020_Number>
    <Posted_x0020_after_x0020_IAP xmlns="5ee7b459-7658-46de-b3a9-b270cabc2a0e">true</Posted_x0020_after_x0020_IAP>
  </documentManagement>
</p:properties>
</file>

<file path=customXml/itemProps1.xml><?xml version="1.0" encoding="utf-8"?>
<ds:datastoreItem xmlns:ds="http://schemas.openxmlformats.org/officeDocument/2006/customXml" ds:itemID="{EAD2322E-7AAF-4CB9-8E2D-372B3B9BA0A0}"/>
</file>

<file path=customXml/itemProps2.xml><?xml version="1.0" encoding="utf-8"?>
<ds:datastoreItem xmlns:ds="http://schemas.openxmlformats.org/officeDocument/2006/customXml" ds:itemID="{97E0BB91-B33D-4C4B-88E2-80F9DBBDE797}"/>
</file>

<file path=customXml/itemProps3.xml><?xml version="1.0" encoding="utf-8"?>
<ds:datastoreItem xmlns:ds="http://schemas.openxmlformats.org/officeDocument/2006/customXml" ds:itemID="{20B37CFD-AD4A-449E-AD75-C9505CF51A57}"/>
</file>

<file path=customXml/itemProps4.xml><?xml version="1.0" encoding="utf-8"?>
<ds:datastoreItem xmlns:ds="http://schemas.openxmlformats.org/officeDocument/2006/customXml" ds:itemID="{D91AF07E-F035-4086-9881-CD98BDD357DB}"/>
</file>

<file path=docProps/app.xml><?xml version="1.0" encoding="utf-8"?>
<Properties xmlns="http://schemas.openxmlformats.org/officeDocument/2006/extended-properties" xmlns:vt="http://schemas.openxmlformats.org/officeDocument/2006/docPropsVTypes">
  <Template>Eec86G</Template>
  <TotalTime>670</TotalTime>
  <Pages>13</Pages>
  <Words>5342</Words>
  <Characters>30453</Characters>
  <Application>Microsoft Office Word</Application>
  <DocSecurity>0</DocSecurity>
  <Lines>253</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Retards dans la soumission des tranches</vt:lpstr>
      <vt:lpstr>Tranche submission delays</vt:lpstr>
    </vt:vector>
  </TitlesOfParts>
  <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Retards dans la soumission des tranches</dc:title>
  <dc:creator/>
  <cp:lastModifiedBy>HB</cp:lastModifiedBy>
  <cp:revision>17</cp:revision>
  <cp:lastPrinted>2020-11-11T14:15:00Z</cp:lastPrinted>
  <dcterms:created xsi:type="dcterms:W3CDTF">2020-11-09T15:21:00Z</dcterms:created>
  <dcterms:modified xsi:type="dcterms:W3CDTF">2020-11-26T20:51:00Z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UNEP/OzL.Pro/ExCom/86/24</vt:lpwstr>
  </property>
  <property fmtid="{D5CDD505-2E9C-101B-9397-08002B2CF9AE}" pid="3" name="Revision date">
    <vt:lpwstr>11/2/2020</vt:lpwstr>
  </property>
  <property fmtid="{D5CDD505-2E9C-101B-9397-08002B2CF9AE}" pid="4" name="ContentTypeId">
    <vt:lpwstr>0x01010021475DA1A9724F448487545E7E03A732</vt:lpwstr>
  </property>
</Properties>
</file>