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Ind w:w="-432" w:type="dxa"/>
        <w:tblLayout w:type="fixed"/>
        <w:tblLook w:val="0000" w:firstRow="0" w:lastRow="0" w:firstColumn="0" w:lastColumn="0" w:noHBand="0" w:noVBand="0"/>
      </w:tblPr>
      <w:tblGrid>
        <w:gridCol w:w="2070"/>
        <w:gridCol w:w="3582"/>
        <w:gridCol w:w="4590"/>
      </w:tblGrid>
      <w:tr w:rsidR="003D75E3" w:rsidRPr="004231C4" w14:paraId="348B13DE" w14:textId="77777777" w:rsidTr="003D75E3">
        <w:trPr>
          <w:trHeight w:val="720"/>
        </w:trPr>
        <w:tc>
          <w:tcPr>
            <w:tcW w:w="5652" w:type="dxa"/>
            <w:gridSpan w:val="2"/>
            <w:tcBorders>
              <w:bottom w:val="single" w:sz="18" w:space="0" w:color="auto"/>
            </w:tcBorders>
          </w:tcPr>
          <w:p w14:paraId="48E3B720" w14:textId="77777777" w:rsidR="003D75E3" w:rsidRPr="004231C4" w:rsidRDefault="003D75E3" w:rsidP="003D75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4231C4">
              <w:rPr>
                <w:rFonts w:ascii="Univers" w:hAnsi="Univers"/>
                <w:b/>
                <w:sz w:val="28"/>
                <w:szCs w:val="28"/>
                <w:lang w:val="fr-CA"/>
              </w:rPr>
              <w:t>NATIONS</w:t>
            </w:r>
          </w:p>
          <w:p w14:paraId="62F51BF7" w14:textId="77777777" w:rsidR="003D75E3" w:rsidRPr="004231C4" w:rsidRDefault="003D75E3" w:rsidP="003D75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4231C4">
              <w:rPr>
                <w:rFonts w:ascii="Univers" w:hAnsi="Univers"/>
                <w:b/>
                <w:sz w:val="28"/>
                <w:szCs w:val="28"/>
                <w:lang w:val="fr-CA"/>
              </w:rPr>
              <w:t>UNIES</w:t>
            </w:r>
          </w:p>
        </w:tc>
        <w:tc>
          <w:tcPr>
            <w:tcW w:w="4590" w:type="dxa"/>
            <w:tcBorders>
              <w:bottom w:val="single" w:sz="18" w:space="0" w:color="auto"/>
            </w:tcBorders>
          </w:tcPr>
          <w:p w14:paraId="703ECEA9" w14:textId="77777777" w:rsidR="003D75E3" w:rsidRPr="004231C4" w:rsidRDefault="003D75E3" w:rsidP="003D75E3">
            <w:pPr>
              <w:jc w:val="right"/>
              <w:rPr>
                <w:sz w:val="52"/>
                <w:szCs w:val="52"/>
                <w:lang w:val="fr-CA"/>
              </w:rPr>
            </w:pPr>
            <w:r w:rsidRPr="004231C4">
              <w:rPr>
                <w:rFonts w:ascii="Univers Bold" w:hAnsi="Univers Bold"/>
                <w:b/>
                <w:sz w:val="72"/>
                <w:lang w:val="fr-CA"/>
              </w:rPr>
              <w:t>EP</w:t>
            </w:r>
          </w:p>
        </w:tc>
      </w:tr>
      <w:tr w:rsidR="003D75E3" w:rsidRPr="004231C4" w14:paraId="3F550BDC" w14:textId="77777777" w:rsidTr="003D7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68609D5" w14:textId="77777777" w:rsidR="003D75E3" w:rsidRPr="004231C4" w:rsidRDefault="003D75E3" w:rsidP="003D75E3">
            <w:pPr>
              <w:spacing w:before="120"/>
              <w:rPr>
                <w:lang w:val="fr-CA"/>
              </w:rPr>
            </w:pPr>
            <w:r w:rsidRPr="004231C4">
              <w:rPr>
                <w:noProof/>
                <w:lang w:val="en-US"/>
              </w:rPr>
              <mc:AlternateContent>
                <mc:Choice Requires="wpg">
                  <w:drawing>
                    <wp:anchor distT="0" distB="0" distL="114300" distR="114300" simplePos="0" relativeHeight="251659264" behindDoc="0" locked="0" layoutInCell="1" allowOverlap="1" wp14:anchorId="191D39FF" wp14:editId="1146BAF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7D14E756"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582" w:type="dxa"/>
            <w:tcBorders>
              <w:top w:val="nil"/>
              <w:left w:val="nil"/>
              <w:bottom w:val="single" w:sz="36" w:space="0" w:color="auto"/>
              <w:right w:val="nil"/>
            </w:tcBorders>
          </w:tcPr>
          <w:p w14:paraId="6F341694" w14:textId="77777777" w:rsidR="003D75E3" w:rsidRDefault="003D75E3" w:rsidP="003D75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C5322AD" w14:textId="357AEB3F" w:rsidR="003D75E3" w:rsidRPr="004231C4" w:rsidRDefault="003D75E3" w:rsidP="003D75E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Pr>
                <w:rFonts w:ascii="Univers" w:hAnsi="Univers"/>
                <w:b/>
                <w:sz w:val="32"/>
                <w:lang w:val="fr-CA"/>
              </w:rPr>
              <w:t xml:space="preserve">Programme des Nations Unies </w:t>
            </w:r>
            <w:r>
              <w:rPr>
                <w:rFonts w:ascii="Univers" w:hAnsi="Univers"/>
                <w:b/>
                <w:sz w:val="32"/>
                <w:lang w:val="fr-CA"/>
              </w:rPr>
              <w:br/>
              <w:t>pour l</w:t>
            </w:r>
            <w:r w:rsidR="00551CEE">
              <w:rPr>
                <w:rFonts w:ascii="Univers" w:hAnsi="Univers"/>
                <w:b/>
                <w:sz w:val="32"/>
                <w:lang w:val="fr-CA"/>
              </w:rPr>
              <w:t>’</w:t>
            </w:r>
            <w:r>
              <w:rPr>
                <w:rFonts w:ascii="Univers" w:hAnsi="Univers"/>
                <w:b/>
                <w:sz w:val="32"/>
                <w:lang w:val="fr-CA"/>
              </w:rPr>
              <w:t>environnement</w:t>
            </w:r>
          </w:p>
          <w:p w14:paraId="5C662AE0" w14:textId="77777777" w:rsidR="003D75E3" w:rsidRPr="004231C4" w:rsidRDefault="003D75E3" w:rsidP="003D75E3">
            <w:pPr>
              <w:spacing w:before="720"/>
              <w:ind w:left="158"/>
              <w:rPr>
                <w:lang w:val="fr-CA"/>
              </w:rPr>
            </w:pPr>
          </w:p>
        </w:tc>
        <w:tc>
          <w:tcPr>
            <w:tcW w:w="4590" w:type="dxa"/>
            <w:tcBorders>
              <w:top w:val="nil"/>
              <w:left w:val="nil"/>
              <w:bottom w:val="single" w:sz="36" w:space="0" w:color="auto"/>
              <w:right w:val="nil"/>
            </w:tcBorders>
          </w:tcPr>
          <w:p w14:paraId="5687C005" w14:textId="77777777" w:rsidR="003D75E3" w:rsidRDefault="003D75E3" w:rsidP="003D75E3">
            <w:pPr>
              <w:rPr>
                <w:lang w:val="fr-CA"/>
              </w:rPr>
            </w:pPr>
          </w:p>
          <w:p w14:paraId="30DE6831" w14:textId="77777777" w:rsidR="003D75E3" w:rsidRPr="004231C4" w:rsidRDefault="003D75E3" w:rsidP="003D75E3">
            <w:pPr>
              <w:ind w:left="876"/>
              <w:rPr>
                <w:lang w:val="fr-CA"/>
              </w:rPr>
            </w:pPr>
            <w:r w:rsidRPr="004231C4">
              <w:rPr>
                <w:lang w:val="fr-CA"/>
              </w:rPr>
              <w:t>Distr.</w:t>
            </w:r>
          </w:p>
          <w:p w14:paraId="5F4FFA9D" w14:textId="77777777" w:rsidR="003D75E3" w:rsidRPr="004231C4" w:rsidRDefault="003D75E3" w:rsidP="003D75E3">
            <w:pPr>
              <w:ind w:left="876"/>
              <w:rPr>
                <w:lang w:val="fr-CA"/>
              </w:rPr>
            </w:pPr>
            <w:r>
              <w:rPr>
                <w:lang w:val="fr-CA"/>
              </w:rPr>
              <w:t>GÉNÉRALE</w:t>
            </w:r>
          </w:p>
          <w:p w14:paraId="1A4E3892" w14:textId="77777777" w:rsidR="003D75E3" w:rsidRPr="004231C4" w:rsidRDefault="003D75E3" w:rsidP="003D75E3">
            <w:pPr>
              <w:ind w:left="876"/>
              <w:rPr>
                <w:lang w:val="fr-CA"/>
              </w:rPr>
            </w:pPr>
          </w:p>
          <w:p w14:paraId="45DD0338" w14:textId="2FDA97D0" w:rsidR="003D75E3" w:rsidRPr="004231C4" w:rsidRDefault="003D75E3" w:rsidP="003D75E3">
            <w:pPr>
              <w:ind w:left="876"/>
              <w:rPr>
                <w:lang w:val="fr-CA"/>
              </w:rPr>
            </w:pPr>
            <w:r w:rsidRPr="004231C4">
              <w:rPr>
                <w:lang w:val="fr-CA"/>
              </w:rPr>
              <w:fldChar w:fldCharType="begin"/>
            </w:r>
            <w:r w:rsidRPr="004231C4">
              <w:rPr>
                <w:lang w:val="fr-CA"/>
              </w:rPr>
              <w:instrText xml:space="preserve"> DOCPROPERTY "Document number"  \* MERGEFORMAT </w:instrText>
            </w:r>
            <w:r w:rsidRPr="004231C4">
              <w:rPr>
                <w:lang w:val="fr-CA"/>
              </w:rPr>
              <w:fldChar w:fldCharType="separate"/>
            </w:r>
            <w:r w:rsidRPr="004231C4">
              <w:rPr>
                <w:lang w:val="fr-CA"/>
              </w:rPr>
              <w:t>UNEP/OzL.Pro/ExCom/86/</w:t>
            </w:r>
            <w:r>
              <w:rPr>
                <w:lang w:val="fr-CA"/>
              </w:rPr>
              <w:t>34</w:t>
            </w:r>
            <w:r w:rsidRPr="004231C4">
              <w:rPr>
                <w:lang w:val="fr-CA"/>
              </w:rPr>
              <w:fldChar w:fldCharType="end"/>
            </w:r>
          </w:p>
          <w:p w14:paraId="4AD14E70" w14:textId="127CA941" w:rsidR="003D75E3" w:rsidRPr="004231C4" w:rsidRDefault="003D75E3" w:rsidP="003D75E3">
            <w:pPr>
              <w:ind w:left="876"/>
              <w:rPr>
                <w:lang w:val="fr-CA"/>
              </w:rPr>
            </w:pPr>
            <w:r w:rsidRPr="004231C4">
              <w:rPr>
                <w:lang w:val="fr-CA"/>
              </w:rPr>
              <w:fldChar w:fldCharType="begin"/>
            </w:r>
            <w:r w:rsidRPr="004231C4">
              <w:rPr>
                <w:lang w:val="fr-CA"/>
              </w:rPr>
              <w:instrText xml:space="preserve"> DOCPROPERTY "Revision date" \@ "d MMMM YYYY"  \* MERGEFORMAT </w:instrText>
            </w:r>
            <w:r w:rsidRPr="004231C4">
              <w:rPr>
                <w:lang w:val="fr-CA"/>
              </w:rPr>
              <w:fldChar w:fldCharType="separate"/>
            </w:r>
            <w:r>
              <w:rPr>
                <w:lang w:val="fr-CA"/>
              </w:rPr>
              <w:t>2 novembre 2020</w:t>
            </w:r>
            <w:r w:rsidRPr="004231C4">
              <w:rPr>
                <w:lang w:val="fr-CA"/>
              </w:rPr>
              <w:fldChar w:fldCharType="end"/>
            </w:r>
          </w:p>
          <w:p w14:paraId="5ABB0962" w14:textId="77777777" w:rsidR="003D75E3" w:rsidRPr="004231C4" w:rsidRDefault="003D75E3" w:rsidP="003D75E3">
            <w:pPr>
              <w:ind w:left="876"/>
              <w:rPr>
                <w:caps/>
                <w:lang w:val="fr-CA"/>
              </w:rPr>
            </w:pPr>
          </w:p>
          <w:p w14:paraId="5463E79E" w14:textId="77777777" w:rsidR="003D75E3" w:rsidRDefault="003D75E3" w:rsidP="003D75E3">
            <w:pPr>
              <w:ind w:left="876"/>
              <w:rPr>
                <w:lang w:val="fr-CA"/>
              </w:rPr>
            </w:pPr>
            <w:r>
              <w:rPr>
                <w:lang w:val="fr-CA"/>
              </w:rPr>
              <w:t>FRANÇAIS</w:t>
            </w:r>
          </w:p>
          <w:p w14:paraId="17B96B46" w14:textId="77777777" w:rsidR="003D75E3" w:rsidRPr="004231C4" w:rsidRDefault="003D75E3" w:rsidP="003D75E3">
            <w:pPr>
              <w:ind w:left="876"/>
              <w:rPr>
                <w:lang w:val="fr-CA"/>
              </w:rPr>
            </w:pPr>
            <w:r w:rsidRPr="004231C4">
              <w:rPr>
                <w:lang w:val="fr-CA"/>
              </w:rPr>
              <w:t>ORIGINAL</w:t>
            </w:r>
            <w:r>
              <w:rPr>
                <w:lang w:val="fr-CA"/>
              </w:rPr>
              <w:t xml:space="preserve"> </w:t>
            </w:r>
            <w:r w:rsidRPr="004231C4">
              <w:rPr>
                <w:lang w:val="fr-CA"/>
              </w:rPr>
              <w:t xml:space="preserve">: </w:t>
            </w:r>
            <w:r>
              <w:rPr>
                <w:lang w:val="fr-CA"/>
              </w:rPr>
              <w:t>ANGLAIS</w:t>
            </w:r>
          </w:p>
        </w:tc>
      </w:tr>
    </w:tbl>
    <w:p w14:paraId="3CB4CFF0" w14:textId="3FE21347" w:rsidR="003D75E3" w:rsidRPr="004231C4" w:rsidRDefault="003D75E3" w:rsidP="003D75E3">
      <w:pPr>
        <w:jc w:val="left"/>
        <w:rPr>
          <w:lang w:val="fr-CA"/>
        </w:rPr>
      </w:pPr>
      <w:r w:rsidRPr="004231C4">
        <w:rPr>
          <w:lang w:val="fr-CA"/>
        </w:rPr>
        <w:t xml:space="preserve">COMITÉ EXÉCUTIF </w:t>
      </w:r>
      <w:r w:rsidRPr="004231C4">
        <w:rPr>
          <w:lang w:val="fr-CA"/>
        </w:rPr>
        <w:br/>
      </w:r>
      <w:r w:rsidR="00551CEE">
        <w:rPr>
          <w:lang w:val="fr-CA"/>
        </w:rPr>
        <w:t xml:space="preserve"> </w:t>
      </w:r>
      <w:r w:rsidRPr="004231C4">
        <w:rPr>
          <w:lang w:val="fr-CA"/>
        </w:rPr>
        <w:t xml:space="preserve">DU FONDS MULTILATÉRAL AUX FINS </w:t>
      </w:r>
      <w:r w:rsidRPr="004231C4">
        <w:rPr>
          <w:lang w:val="fr-CA"/>
        </w:rPr>
        <w:br/>
      </w:r>
      <w:r w:rsidR="00551CEE">
        <w:rPr>
          <w:lang w:val="fr-CA"/>
        </w:rPr>
        <w:t xml:space="preserve"> </w:t>
      </w:r>
      <w:r w:rsidRPr="004231C4">
        <w:rPr>
          <w:lang w:val="fr-CA"/>
        </w:rPr>
        <w:t>D</w:t>
      </w:r>
      <w:r w:rsidR="00551CEE">
        <w:rPr>
          <w:lang w:val="fr-CA"/>
        </w:rPr>
        <w:t>’</w:t>
      </w:r>
      <w:r w:rsidRPr="004231C4">
        <w:rPr>
          <w:lang w:val="fr-CA"/>
        </w:rPr>
        <w:t>APPLICATION DU PROTOCOLE DE MONTRÉAL</w:t>
      </w:r>
      <w:r w:rsidRPr="004231C4">
        <w:rPr>
          <w:lang w:val="fr-CA"/>
        </w:rPr>
        <w:br/>
        <w:t>Quatre-vingt-sixième réunion</w:t>
      </w:r>
    </w:p>
    <w:p w14:paraId="7F99FBEE" w14:textId="77777777" w:rsidR="003D75E3" w:rsidRPr="004231C4" w:rsidRDefault="003D75E3" w:rsidP="003D75E3">
      <w:pPr>
        <w:jc w:val="left"/>
        <w:rPr>
          <w:lang w:val="fr-CA"/>
        </w:rPr>
      </w:pPr>
      <w:r w:rsidRPr="004231C4">
        <w:rPr>
          <w:lang w:val="fr-CA"/>
        </w:rPr>
        <w:t>Montréal, 2 – 6 novembre 2020</w:t>
      </w:r>
    </w:p>
    <w:p w14:paraId="5162E02E" w14:textId="77777777" w:rsidR="003D75E3" w:rsidRPr="004231C4" w:rsidRDefault="003D75E3" w:rsidP="003D75E3">
      <w:pPr>
        <w:jc w:val="left"/>
        <w:rPr>
          <w:lang w:val="fr-CA"/>
        </w:rPr>
      </w:pPr>
      <w:r w:rsidRPr="004231C4">
        <w:rPr>
          <w:lang w:val="fr-CA"/>
        </w:rPr>
        <w:t>Reportée</w:t>
      </w:r>
      <w:r>
        <w:rPr>
          <w:lang w:val="fr-CA"/>
        </w:rPr>
        <w:t xml:space="preserve"> </w:t>
      </w:r>
      <w:r w:rsidRPr="004231C4">
        <w:rPr>
          <w:lang w:val="fr-CA"/>
        </w:rPr>
        <w:t>: 8 – 12 mars 2021</w:t>
      </w:r>
      <w:r w:rsidRPr="004231C4">
        <w:rPr>
          <w:rStyle w:val="FootnoteReference"/>
          <w:lang w:val="fr-CA"/>
        </w:rPr>
        <w:footnoteReference w:id="1"/>
      </w:r>
    </w:p>
    <w:p w14:paraId="593F3554" w14:textId="77777777" w:rsidR="003D75E3" w:rsidRPr="004231C4" w:rsidRDefault="003D75E3" w:rsidP="003D75E3">
      <w:pPr>
        <w:jc w:val="left"/>
        <w:rPr>
          <w:lang w:val="fr-CA"/>
        </w:rPr>
      </w:pPr>
    </w:p>
    <w:p w14:paraId="68EDB194" w14:textId="77777777" w:rsidR="003D75E3" w:rsidRPr="004231C4" w:rsidRDefault="003D75E3" w:rsidP="003D75E3">
      <w:pPr>
        <w:jc w:val="left"/>
        <w:rPr>
          <w:lang w:val="fr-CA"/>
        </w:rPr>
      </w:pPr>
    </w:p>
    <w:p w14:paraId="01C26159" w14:textId="77777777" w:rsidR="003D75E3" w:rsidRDefault="003D75E3" w:rsidP="003D75E3">
      <w:pPr>
        <w:pStyle w:val="Title1"/>
        <w:rPr>
          <w:lang w:val="fr-CA"/>
        </w:rPr>
      </w:pPr>
    </w:p>
    <w:p w14:paraId="3BE3406E" w14:textId="77777777" w:rsidR="00857077" w:rsidRPr="000F13C8" w:rsidRDefault="00857077" w:rsidP="00704CE9">
      <w:pPr>
        <w:jc w:val="left"/>
        <w:rPr>
          <w:lang w:val="fr-CA"/>
        </w:rPr>
      </w:pPr>
    </w:p>
    <w:p w14:paraId="182B876B" w14:textId="77777777" w:rsidR="00C15867" w:rsidRPr="000F13C8" w:rsidRDefault="00C15867" w:rsidP="00857077">
      <w:pPr>
        <w:jc w:val="left"/>
        <w:rPr>
          <w:lang w:val="fr-CA"/>
        </w:rPr>
      </w:pPr>
    </w:p>
    <w:p w14:paraId="58F6C3F9" w14:textId="77777777" w:rsidR="004E7F9C" w:rsidRPr="000F13C8" w:rsidRDefault="004E7F9C" w:rsidP="004E7F9C">
      <w:pPr>
        <w:pStyle w:val="Title1"/>
        <w:rPr>
          <w:lang w:val="fr-CA"/>
        </w:rPr>
      </w:pPr>
    </w:p>
    <w:p w14:paraId="0DC918D4" w14:textId="77777777" w:rsidR="00CF1B88" w:rsidRPr="000F13C8" w:rsidRDefault="00CF1B88" w:rsidP="00CF1B88">
      <w:pPr>
        <w:pStyle w:val="StyleHeader4Para4Left0Firstline0"/>
        <w:numPr>
          <w:ilvl w:val="0"/>
          <w:numId w:val="0"/>
        </w:numPr>
        <w:jc w:val="center"/>
        <w:rPr>
          <w:b/>
          <w:sz w:val="22"/>
          <w:lang w:val="fr-CA"/>
        </w:rPr>
      </w:pPr>
    </w:p>
    <w:p w14:paraId="107B4AF2" w14:textId="77777777" w:rsidR="00F15AE3" w:rsidRDefault="000F13C8" w:rsidP="0015279B">
      <w:pPr>
        <w:pStyle w:val="StyleHeader4Para4Left0Firstline0"/>
        <w:numPr>
          <w:ilvl w:val="0"/>
          <w:numId w:val="0"/>
        </w:numPr>
        <w:spacing w:after="0"/>
        <w:jc w:val="center"/>
        <w:rPr>
          <w:b/>
          <w:sz w:val="22"/>
          <w:rtl/>
          <w:lang w:val="fr-FR"/>
        </w:rPr>
      </w:pPr>
      <w:r w:rsidRPr="008611AB">
        <w:rPr>
          <w:b/>
          <w:sz w:val="22"/>
          <w:lang w:val="fr-FR"/>
        </w:rPr>
        <w:t xml:space="preserve">AMENDEMENTS AU </w:t>
      </w:r>
      <w:bookmarkStart w:id="0" w:name="_GoBack"/>
      <w:r w:rsidRPr="008611AB">
        <w:rPr>
          <w:b/>
          <w:sz w:val="22"/>
          <w:lang w:val="fr-FR"/>
        </w:rPr>
        <w:t xml:space="preserve">PROGRAMME DE TRAVAIL DU </w:t>
      </w:r>
      <w:r>
        <w:rPr>
          <w:b/>
          <w:sz w:val="22"/>
          <w:lang w:val="fr-FR"/>
        </w:rPr>
        <w:t>PNUE</w:t>
      </w:r>
    </w:p>
    <w:p w14:paraId="76CA29AB" w14:textId="5A4E7F6C" w:rsidR="00CF1B88" w:rsidRPr="000F13C8" w:rsidRDefault="000F13C8" w:rsidP="0015279B">
      <w:pPr>
        <w:pStyle w:val="StyleHeader4Para4Left0Firstline0"/>
        <w:numPr>
          <w:ilvl w:val="0"/>
          <w:numId w:val="0"/>
        </w:numPr>
        <w:spacing w:after="0"/>
        <w:jc w:val="center"/>
        <w:rPr>
          <w:b/>
          <w:sz w:val="22"/>
          <w:lang w:val="fr-CA"/>
        </w:rPr>
      </w:pPr>
      <w:r w:rsidRPr="008611AB">
        <w:rPr>
          <w:b/>
          <w:sz w:val="22"/>
          <w:lang w:val="fr-FR"/>
        </w:rPr>
        <w:t xml:space="preserve"> POUR L</w:t>
      </w:r>
      <w:r>
        <w:rPr>
          <w:b/>
          <w:sz w:val="22"/>
          <w:lang w:val="fr-FR"/>
        </w:rPr>
        <w:t>’</w:t>
      </w:r>
      <w:r w:rsidRPr="008611AB">
        <w:rPr>
          <w:b/>
          <w:sz w:val="22"/>
          <w:lang w:val="fr-FR"/>
        </w:rPr>
        <w:t xml:space="preserve">ANNEE </w:t>
      </w:r>
      <w:bookmarkEnd w:id="0"/>
      <w:r w:rsidRPr="008611AB">
        <w:rPr>
          <w:b/>
          <w:sz w:val="22"/>
          <w:lang w:val="fr-FR"/>
        </w:rPr>
        <w:t>2020</w:t>
      </w:r>
    </w:p>
    <w:p w14:paraId="44AD8F37" w14:textId="77777777" w:rsidR="00081985" w:rsidRPr="000F13C8" w:rsidRDefault="00081985" w:rsidP="00081985">
      <w:pPr>
        <w:pStyle w:val="StyleHeader4Para4Left0Firstline0"/>
        <w:numPr>
          <w:ilvl w:val="0"/>
          <w:numId w:val="0"/>
        </w:numPr>
        <w:jc w:val="center"/>
        <w:rPr>
          <w:b/>
          <w:sz w:val="22"/>
          <w:lang w:val="fr-CA"/>
        </w:rPr>
      </w:pPr>
    </w:p>
    <w:p w14:paraId="515C01D4" w14:textId="77777777" w:rsidR="00081985" w:rsidRPr="000F13C8" w:rsidRDefault="00081985" w:rsidP="00081985">
      <w:pPr>
        <w:pStyle w:val="StyleHeader4Para4Left0Firstline0"/>
        <w:numPr>
          <w:ilvl w:val="0"/>
          <w:numId w:val="0"/>
        </w:numPr>
        <w:rPr>
          <w:lang w:val="fr-CA"/>
        </w:rPr>
      </w:pPr>
    </w:p>
    <w:p w14:paraId="51BEFB7B" w14:textId="77777777" w:rsidR="00081985" w:rsidRPr="000F13C8" w:rsidRDefault="00081985" w:rsidP="00081985">
      <w:pPr>
        <w:pStyle w:val="StyleHeader4Para4Left0Firstline0"/>
        <w:numPr>
          <w:ilvl w:val="0"/>
          <w:numId w:val="0"/>
        </w:numPr>
        <w:rPr>
          <w:lang w:val="fr-CA"/>
        </w:rPr>
      </w:pPr>
    </w:p>
    <w:p w14:paraId="26C272E1" w14:textId="77777777" w:rsidR="00081985" w:rsidRPr="000F13C8" w:rsidRDefault="00081985" w:rsidP="00081985">
      <w:pPr>
        <w:pStyle w:val="StyleHeader4Para4Left0Firstline0"/>
        <w:numPr>
          <w:ilvl w:val="0"/>
          <w:numId w:val="0"/>
        </w:numPr>
        <w:rPr>
          <w:lang w:val="fr-CA"/>
        </w:rPr>
      </w:pPr>
    </w:p>
    <w:p w14:paraId="0CBDE960" w14:textId="77777777" w:rsidR="008C5738" w:rsidRPr="000F13C8" w:rsidRDefault="008C5738" w:rsidP="00BB2764">
      <w:pPr>
        <w:pStyle w:val="StyleHeader4Para4Left0Firstline0"/>
        <w:numPr>
          <w:ilvl w:val="0"/>
          <w:numId w:val="0"/>
        </w:numPr>
        <w:jc w:val="left"/>
        <w:rPr>
          <w:sz w:val="22"/>
          <w:lang w:val="fr-CA"/>
        </w:rPr>
      </w:pPr>
    </w:p>
    <w:p w14:paraId="6CAEADDC" w14:textId="77777777" w:rsidR="00BB2764" w:rsidRPr="000F13C8" w:rsidRDefault="00BB2764" w:rsidP="00BB2764">
      <w:pPr>
        <w:rPr>
          <w:lang w:val="fr-CA"/>
        </w:rPr>
      </w:pPr>
    </w:p>
    <w:p w14:paraId="0450D4A6" w14:textId="77777777" w:rsidR="008C5738" w:rsidRPr="000F13C8" w:rsidRDefault="004E7F9C" w:rsidP="00BB2764">
      <w:pPr>
        <w:pStyle w:val="StyleHeader4Para4Left0Firstline0"/>
        <w:numPr>
          <w:ilvl w:val="0"/>
          <w:numId w:val="0"/>
        </w:numPr>
        <w:tabs>
          <w:tab w:val="clear" w:pos="2880"/>
          <w:tab w:val="clear" w:pos="5760"/>
        </w:tabs>
        <w:jc w:val="center"/>
        <w:rPr>
          <w:b/>
          <w:sz w:val="22"/>
          <w:lang w:val="fr-CA"/>
        </w:rPr>
      </w:pPr>
      <w:r w:rsidRPr="000F13C8">
        <w:rPr>
          <w:b/>
          <w:sz w:val="22"/>
          <w:lang w:val="fr-CA"/>
        </w:rPr>
        <w:br w:type="page"/>
      </w:r>
    </w:p>
    <w:p w14:paraId="2BFAA45F" w14:textId="5C4C3AF2" w:rsidR="00CF1B88" w:rsidRPr="000F13C8" w:rsidRDefault="008611AB" w:rsidP="008611AB">
      <w:pPr>
        <w:spacing w:after="240" w:line="360" w:lineRule="auto"/>
        <w:jc w:val="center"/>
        <w:rPr>
          <w:b/>
          <w:color w:val="000000" w:themeColor="text1"/>
          <w:lang w:val="fr-CA"/>
        </w:rPr>
      </w:pPr>
      <w:r w:rsidRPr="008611AB">
        <w:rPr>
          <w:b/>
          <w:color w:val="000000" w:themeColor="text1"/>
          <w:lang w:val="fr-FR"/>
        </w:rPr>
        <w:lastRenderedPageBreak/>
        <w:t>OBSERVATIONS ET RECOMMANDATION DU SECRÉTARIAT DU FONDS</w:t>
      </w:r>
    </w:p>
    <w:p w14:paraId="253878EF" w14:textId="6666B653" w:rsidR="008611AB" w:rsidRPr="008611AB" w:rsidRDefault="008611AB" w:rsidP="004A1F6C">
      <w:pPr>
        <w:pStyle w:val="Heading1"/>
        <w:tabs>
          <w:tab w:val="clear" w:pos="90"/>
          <w:tab w:val="num" w:pos="0"/>
        </w:tabs>
        <w:ind w:left="0"/>
        <w:rPr>
          <w:lang w:val="en-CA"/>
        </w:rPr>
      </w:pPr>
      <w:r w:rsidRPr="008611AB">
        <w:rPr>
          <w:lang w:val="fr-FR"/>
        </w:rPr>
        <w:t>Le PNUE demande au Comité exécutif d</w:t>
      </w:r>
      <w:r w:rsidR="00551CEE">
        <w:rPr>
          <w:lang w:val="fr-FR"/>
        </w:rPr>
        <w:t>’</w:t>
      </w:r>
      <w:r w:rsidRPr="008611AB">
        <w:rPr>
          <w:lang w:val="fr-FR"/>
        </w:rPr>
        <w:t>approuver le montant de 2 744 597 $US, plus 168 935 $US de frais d</w:t>
      </w:r>
      <w:r w:rsidR="00551CEE">
        <w:rPr>
          <w:lang w:val="fr-FR"/>
        </w:rPr>
        <w:t>’</w:t>
      </w:r>
      <w:r w:rsidRPr="008611AB">
        <w:rPr>
          <w:lang w:val="fr-FR"/>
        </w:rPr>
        <w:t>appui d</w:t>
      </w:r>
      <w:r w:rsidR="00551CEE">
        <w:rPr>
          <w:lang w:val="fr-FR"/>
        </w:rPr>
        <w:t>’</w:t>
      </w:r>
      <w:r w:rsidRPr="008611AB">
        <w:rPr>
          <w:lang w:val="fr-FR"/>
        </w:rPr>
        <w:t>agence, au titre des amendements à son programme de travail de l</w:t>
      </w:r>
      <w:r w:rsidR="00551CEE">
        <w:rPr>
          <w:lang w:val="fr-FR"/>
        </w:rPr>
        <w:t>’</w:t>
      </w:r>
      <w:r w:rsidRPr="008611AB">
        <w:rPr>
          <w:lang w:val="fr-FR"/>
        </w:rPr>
        <w:t>année 2020 répertoriés au tableau 1</w:t>
      </w:r>
      <w:r w:rsidRPr="008611AB">
        <w:rPr>
          <w:rStyle w:val="FootnoteReference"/>
          <w:lang w:val="en-CA"/>
        </w:rPr>
        <w:footnoteReference w:id="2"/>
      </w:r>
      <w:r w:rsidR="003D75E3">
        <w:rPr>
          <w:lang w:val="fr-FR"/>
        </w:rPr>
        <w:t>.</w:t>
      </w:r>
      <w:r w:rsidRPr="000F13C8">
        <w:rPr>
          <w:lang w:val="fr-CA"/>
        </w:rPr>
        <w:t xml:space="preserve"> </w:t>
      </w:r>
      <w:r w:rsidRPr="008611AB">
        <w:rPr>
          <w:lang w:val="fr-FR"/>
        </w:rPr>
        <w:t>La demande soumise est jointe au présent document.</w:t>
      </w:r>
    </w:p>
    <w:p w14:paraId="6411DE89" w14:textId="39971055" w:rsidR="00CF1B88" w:rsidRPr="000F13C8" w:rsidRDefault="008611AB" w:rsidP="002343D0">
      <w:pPr>
        <w:pStyle w:val="Heading1"/>
        <w:numPr>
          <w:ilvl w:val="0"/>
          <w:numId w:val="0"/>
        </w:numPr>
        <w:spacing w:after="0"/>
        <w:rPr>
          <w:b/>
          <w:lang w:val="fr-CA"/>
        </w:rPr>
      </w:pPr>
      <w:r w:rsidRPr="008611AB">
        <w:rPr>
          <w:b/>
          <w:lang w:val="fr-FR"/>
        </w:rPr>
        <w:t>Tableau 1 : Amendements au programme de travail du PNUE pour 2020</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4911"/>
        <w:gridCol w:w="1635"/>
        <w:gridCol w:w="1519"/>
      </w:tblGrid>
      <w:tr w:rsidR="00CF1B88" w:rsidRPr="00CF1B88" w14:paraId="789ED3E4" w14:textId="77777777" w:rsidTr="003D75E3">
        <w:trPr>
          <w:trHeight w:val="690"/>
          <w:tblHeader/>
        </w:trPr>
        <w:tc>
          <w:tcPr>
            <w:tcW w:w="817" w:type="pct"/>
          </w:tcPr>
          <w:p w14:paraId="1C931493" w14:textId="7E87F29A" w:rsidR="00CF1B88" w:rsidRPr="008611AB" w:rsidRDefault="008611AB" w:rsidP="006E723A">
            <w:pPr>
              <w:jc w:val="center"/>
              <w:rPr>
                <w:b/>
                <w:color w:val="000000" w:themeColor="text1"/>
                <w:sz w:val="20"/>
                <w:szCs w:val="20"/>
                <w:lang w:val="en-CA"/>
              </w:rPr>
            </w:pPr>
            <w:bookmarkStart w:id="1" w:name="tblHere"/>
            <w:r w:rsidRPr="008611AB">
              <w:rPr>
                <w:b/>
                <w:color w:val="000000" w:themeColor="text1"/>
                <w:sz w:val="20"/>
                <w:szCs w:val="20"/>
                <w:lang w:val="fr-FR"/>
              </w:rPr>
              <w:t>Pays</w:t>
            </w:r>
          </w:p>
        </w:tc>
        <w:tc>
          <w:tcPr>
            <w:tcW w:w="2547" w:type="pct"/>
          </w:tcPr>
          <w:p w14:paraId="518906F8" w14:textId="152579CC" w:rsidR="00CF1B88" w:rsidRPr="008611AB" w:rsidRDefault="008611AB" w:rsidP="006E723A">
            <w:pPr>
              <w:jc w:val="center"/>
              <w:rPr>
                <w:b/>
                <w:color w:val="000000" w:themeColor="text1"/>
                <w:sz w:val="20"/>
                <w:szCs w:val="20"/>
                <w:lang w:val="en-CA"/>
              </w:rPr>
            </w:pPr>
            <w:r w:rsidRPr="008611AB">
              <w:rPr>
                <w:b/>
                <w:color w:val="000000" w:themeColor="text1"/>
                <w:sz w:val="20"/>
                <w:szCs w:val="20"/>
                <w:lang w:val="fr-FR"/>
              </w:rPr>
              <w:t>Activité/Projet</w:t>
            </w:r>
          </w:p>
        </w:tc>
        <w:tc>
          <w:tcPr>
            <w:tcW w:w="848" w:type="pct"/>
          </w:tcPr>
          <w:p w14:paraId="10DD4172" w14:textId="70958CC6" w:rsidR="00CF1B88" w:rsidRPr="008611AB" w:rsidRDefault="008611AB" w:rsidP="006E723A">
            <w:pPr>
              <w:jc w:val="center"/>
              <w:rPr>
                <w:b/>
                <w:color w:val="000000" w:themeColor="text1"/>
                <w:sz w:val="20"/>
                <w:szCs w:val="20"/>
                <w:lang w:val="en-CA"/>
              </w:rPr>
            </w:pPr>
            <w:r w:rsidRPr="008611AB">
              <w:rPr>
                <w:b/>
                <w:color w:val="000000" w:themeColor="text1"/>
                <w:sz w:val="20"/>
                <w:szCs w:val="20"/>
                <w:lang w:val="fr-FR"/>
              </w:rPr>
              <w:t>Montant demandé ($US)</w:t>
            </w:r>
          </w:p>
        </w:tc>
        <w:tc>
          <w:tcPr>
            <w:tcW w:w="788" w:type="pct"/>
          </w:tcPr>
          <w:p w14:paraId="132474BB" w14:textId="119C299F" w:rsidR="00CF1B88" w:rsidRPr="008611AB" w:rsidRDefault="008611AB" w:rsidP="006E723A">
            <w:pPr>
              <w:jc w:val="center"/>
              <w:rPr>
                <w:b/>
                <w:color w:val="000000" w:themeColor="text1"/>
                <w:sz w:val="20"/>
                <w:szCs w:val="20"/>
                <w:lang w:val="en-CA"/>
              </w:rPr>
            </w:pPr>
            <w:r w:rsidRPr="008611AB">
              <w:rPr>
                <w:b/>
                <w:color w:val="000000" w:themeColor="text1"/>
                <w:sz w:val="20"/>
                <w:szCs w:val="20"/>
                <w:lang w:val="fr-FR"/>
              </w:rPr>
              <w:t>Montant recommandé ($US) </w:t>
            </w:r>
          </w:p>
        </w:tc>
      </w:tr>
      <w:tr w:rsidR="00CF1B88" w:rsidRPr="00F15AE3" w14:paraId="5D6F6146" w14:textId="77777777" w:rsidTr="008611AB">
        <w:trPr>
          <w:trHeight w:val="219"/>
        </w:trPr>
        <w:tc>
          <w:tcPr>
            <w:tcW w:w="5000" w:type="pct"/>
            <w:gridSpan w:val="4"/>
          </w:tcPr>
          <w:p w14:paraId="0033C73F" w14:textId="19B3F167" w:rsidR="00CF1B88" w:rsidRPr="000F13C8" w:rsidRDefault="008611AB" w:rsidP="006E723A">
            <w:pPr>
              <w:widowControl w:val="0"/>
              <w:rPr>
                <w:color w:val="000000" w:themeColor="text1"/>
                <w:sz w:val="20"/>
                <w:szCs w:val="20"/>
                <w:lang w:val="fr-CA"/>
              </w:rPr>
            </w:pPr>
            <w:r w:rsidRPr="008611AB">
              <w:rPr>
                <w:b/>
                <w:color w:val="000000" w:themeColor="text1"/>
                <w:sz w:val="20"/>
                <w:szCs w:val="20"/>
                <w:lang w:val="fr-FR"/>
              </w:rPr>
              <w:t>SECTION A :</w:t>
            </w:r>
            <w:r w:rsidR="00CF1B88" w:rsidRPr="000F13C8">
              <w:rPr>
                <w:b/>
                <w:color w:val="000000" w:themeColor="text1"/>
                <w:sz w:val="20"/>
                <w:szCs w:val="20"/>
                <w:lang w:val="fr-CA"/>
              </w:rPr>
              <w:t xml:space="preserve"> </w:t>
            </w:r>
            <w:r w:rsidRPr="008611AB">
              <w:rPr>
                <w:b/>
                <w:color w:val="000000" w:themeColor="text1"/>
                <w:sz w:val="20"/>
                <w:szCs w:val="20"/>
                <w:lang w:val="fr-FR"/>
              </w:rPr>
              <w:t>ACTIVITÉS RECOMMANDÉES POUR APPROBATION GLOBALE</w:t>
            </w:r>
          </w:p>
        </w:tc>
      </w:tr>
      <w:tr w:rsidR="00CF1B88" w:rsidRPr="00F15AE3" w14:paraId="6337F0D5" w14:textId="77777777" w:rsidTr="008611AB">
        <w:trPr>
          <w:trHeight w:val="235"/>
        </w:trPr>
        <w:tc>
          <w:tcPr>
            <w:tcW w:w="5000" w:type="pct"/>
            <w:gridSpan w:val="4"/>
          </w:tcPr>
          <w:p w14:paraId="14F3ACC6" w14:textId="79B6BE32" w:rsidR="00CF1B88" w:rsidRPr="000F13C8" w:rsidRDefault="008611AB" w:rsidP="006E723A">
            <w:pPr>
              <w:rPr>
                <w:b/>
                <w:bCs/>
                <w:color w:val="000000" w:themeColor="text1"/>
                <w:sz w:val="20"/>
                <w:szCs w:val="20"/>
                <w:lang w:val="fr-CA"/>
              </w:rPr>
            </w:pPr>
            <w:r w:rsidRPr="008611AB">
              <w:rPr>
                <w:b/>
                <w:bCs/>
                <w:color w:val="000000" w:themeColor="text1"/>
                <w:sz w:val="20"/>
                <w:szCs w:val="20"/>
                <w:lang w:val="fr-FR"/>
              </w:rPr>
              <w:t>A1 : Renouvellement des projets de renforcement des institutions</w:t>
            </w:r>
          </w:p>
        </w:tc>
      </w:tr>
      <w:tr w:rsidR="00A63DCB" w:rsidRPr="00CF1B88" w14:paraId="16679D6C" w14:textId="77777777" w:rsidTr="003D75E3">
        <w:trPr>
          <w:trHeight w:val="219"/>
        </w:trPr>
        <w:tc>
          <w:tcPr>
            <w:tcW w:w="817" w:type="pct"/>
            <w:vAlign w:val="bottom"/>
          </w:tcPr>
          <w:p w14:paraId="741F1177" w14:textId="3527E82E" w:rsidR="00A63DCB" w:rsidRPr="008611AB" w:rsidRDefault="008611AB" w:rsidP="006E723A">
            <w:pPr>
              <w:jc w:val="left"/>
              <w:rPr>
                <w:color w:val="000000"/>
                <w:sz w:val="20"/>
                <w:szCs w:val="20"/>
                <w:lang w:val="en-US"/>
              </w:rPr>
            </w:pPr>
            <w:r w:rsidRPr="008611AB">
              <w:rPr>
                <w:color w:val="000000"/>
                <w:sz w:val="20"/>
                <w:szCs w:val="20"/>
                <w:lang w:val="fr-FR"/>
              </w:rPr>
              <w:t>Brunei Darussalam</w:t>
            </w:r>
          </w:p>
        </w:tc>
        <w:tc>
          <w:tcPr>
            <w:tcW w:w="2547" w:type="pct"/>
            <w:vAlign w:val="center"/>
          </w:tcPr>
          <w:p w14:paraId="66EDE642" w14:textId="01E2224E"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w:t>
            </w:r>
            <w:r w:rsidR="003D75E3">
              <w:rPr>
                <w:sz w:val="20"/>
                <w:szCs w:val="20"/>
                <w:lang w:val="fr-FR"/>
              </w:rPr>
              <w:t>ph</w:t>
            </w:r>
            <w:r w:rsidRPr="008611AB">
              <w:rPr>
                <w:sz w:val="20"/>
                <w:szCs w:val="20"/>
                <w:lang w:val="fr-FR"/>
              </w:rPr>
              <w:t>ase VII)</w:t>
            </w:r>
          </w:p>
        </w:tc>
        <w:tc>
          <w:tcPr>
            <w:tcW w:w="848" w:type="pct"/>
          </w:tcPr>
          <w:p w14:paraId="4FA75EB2" w14:textId="69EBFADD" w:rsidR="00A63DCB" w:rsidRPr="00A63DCB" w:rsidRDefault="00A63DCB" w:rsidP="00A63DCB">
            <w:pPr>
              <w:jc w:val="right"/>
              <w:rPr>
                <w:color w:val="000000"/>
                <w:sz w:val="20"/>
                <w:szCs w:val="20"/>
              </w:rPr>
            </w:pPr>
            <w:r w:rsidRPr="00A63DCB">
              <w:rPr>
                <w:sz w:val="20"/>
                <w:szCs w:val="20"/>
              </w:rPr>
              <w:t>89</w:t>
            </w:r>
            <w:r w:rsidR="00DF1C37">
              <w:rPr>
                <w:sz w:val="20"/>
                <w:szCs w:val="20"/>
              </w:rPr>
              <w:t> </w:t>
            </w:r>
            <w:r w:rsidRPr="00A63DCB">
              <w:rPr>
                <w:sz w:val="20"/>
                <w:szCs w:val="20"/>
              </w:rPr>
              <w:t>600</w:t>
            </w:r>
          </w:p>
        </w:tc>
        <w:tc>
          <w:tcPr>
            <w:tcW w:w="788" w:type="pct"/>
          </w:tcPr>
          <w:p w14:paraId="62E8C201" w14:textId="570EEBD4" w:rsidR="00A63DCB" w:rsidRPr="00DD0196" w:rsidRDefault="00A63DCB" w:rsidP="00A63DCB">
            <w:pPr>
              <w:jc w:val="right"/>
              <w:rPr>
                <w:color w:val="000000"/>
                <w:sz w:val="20"/>
                <w:szCs w:val="20"/>
              </w:rPr>
            </w:pPr>
            <w:r w:rsidRPr="00A63DCB">
              <w:rPr>
                <w:sz w:val="20"/>
                <w:szCs w:val="20"/>
              </w:rPr>
              <w:t>89</w:t>
            </w:r>
            <w:r w:rsidR="00DF1C37">
              <w:rPr>
                <w:sz w:val="20"/>
                <w:szCs w:val="20"/>
              </w:rPr>
              <w:t> </w:t>
            </w:r>
            <w:r w:rsidRPr="00A63DCB">
              <w:rPr>
                <w:sz w:val="20"/>
                <w:szCs w:val="20"/>
              </w:rPr>
              <w:t>600</w:t>
            </w:r>
          </w:p>
        </w:tc>
      </w:tr>
      <w:tr w:rsidR="00A63DCB" w:rsidRPr="00CF1B88" w14:paraId="6C9B1DAC" w14:textId="77777777" w:rsidTr="003D75E3">
        <w:trPr>
          <w:trHeight w:val="219"/>
        </w:trPr>
        <w:tc>
          <w:tcPr>
            <w:tcW w:w="817" w:type="pct"/>
            <w:vAlign w:val="bottom"/>
          </w:tcPr>
          <w:p w14:paraId="57B4FD38" w14:textId="53873352" w:rsidR="00A63DCB" w:rsidRPr="008611AB" w:rsidRDefault="008611AB" w:rsidP="006E723A">
            <w:pPr>
              <w:jc w:val="left"/>
              <w:rPr>
                <w:color w:val="000000"/>
                <w:sz w:val="20"/>
                <w:szCs w:val="20"/>
              </w:rPr>
            </w:pPr>
            <w:r w:rsidRPr="008611AB">
              <w:rPr>
                <w:color w:val="000000"/>
                <w:sz w:val="20"/>
                <w:szCs w:val="20"/>
                <w:lang w:val="fr-FR"/>
              </w:rPr>
              <w:t>Cap Vert</w:t>
            </w:r>
          </w:p>
        </w:tc>
        <w:tc>
          <w:tcPr>
            <w:tcW w:w="2547" w:type="pct"/>
            <w:vAlign w:val="center"/>
          </w:tcPr>
          <w:p w14:paraId="5563411B" w14:textId="0C610AA5"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w:t>
            </w:r>
            <w:r w:rsidR="003D75E3">
              <w:rPr>
                <w:sz w:val="20"/>
                <w:szCs w:val="20"/>
                <w:lang w:val="fr-FR"/>
              </w:rPr>
              <w:t>p</w:t>
            </w:r>
            <w:r w:rsidRPr="008611AB">
              <w:rPr>
                <w:sz w:val="20"/>
                <w:szCs w:val="20"/>
                <w:lang w:val="fr-FR"/>
              </w:rPr>
              <w:t>hase VII)</w:t>
            </w:r>
          </w:p>
        </w:tc>
        <w:tc>
          <w:tcPr>
            <w:tcW w:w="848" w:type="pct"/>
          </w:tcPr>
          <w:p w14:paraId="5BC59AFF" w14:textId="4E5FBCF8"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46D821F2" w14:textId="659040CD"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1CB64F48" w14:textId="77777777" w:rsidTr="003D75E3">
        <w:trPr>
          <w:trHeight w:val="219"/>
        </w:trPr>
        <w:tc>
          <w:tcPr>
            <w:tcW w:w="817" w:type="pct"/>
            <w:vAlign w:val="bottom"/>
          </w:tcPr>
          <w:p w14:paraId="2940D4A2" w14:textId="26907C6F" w:rsidR="00A63DCB" w:rsidRPr="008611AB" w:rsidRDefault="008611AB" w:rsidP="006E723A">
            <w:pPr>
              <w:jc w:val="left"/>
              <w:rPr>
                <w:color w:val="000000"/>
                <w:sz w:val="20"/>
                <w:szCs w:val="20"/>
              </w:rPr>
            </w:pPr>
            <w:r w:rsidRPr="008611AB">
              <w:rPr>
                <w:color w:val="000000"/>
                <w:sz w:val="20"/>
                <w:szCs w:val="20"/>
                <w:lang w:val="fr-FR"/>
              </w:rPr>
              <w:t>République dominicaine</w:t>
            </w:r>
          </w:p>
        </w:tc>
        <w:tc>
          <w:tcPr>
            <w:tcW w:w="2547" w:type="pct"/>
            <w:vAlign w:val="center"/>
          </w:tcPr>
          <w:p w14:paraId="372A1A6D" w14:textId="492C3317"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XI)</w:t>
            </w:r>
          </w:p>
        </w:tc>
        <w:tc>
          <w:tcPr>
            <w:tcW w:w="848" w:type="pct"/>
          </w:tcPr>
          <w:p w14:paraId="65449DB0" w14:textId="73B5A3B5" w:rsidR="00A63DCB" w:rsidRPr="00A63DCB" w:rsidRDefault="00A63DCB" w:rsidP="00A63DCB">
            <w:pPr>
              <w:jc w:val="right"/>
              <w:rPr>
                <w:color w:val="000000"/>
                <w:sz w:val="20"/>
                <w:szCs w:val="20"/>
              </w:rPr>
            </w:pPr>
            <w:r w:rsidRPr="00A63DCB">
              <w:rPr>
                <w:sz w:val="20"/>
                <w:szCs w:val="20"/>
              </w:rPr>
              <w:t>171</w:t>
            </w:r>
            <w:r w:rsidR="00DF1C37">
              <w:rPr>
                <w:sz w:val="20"/>
                <w:szCs w:val="20"/>
              </w:rPr>
              <w:t> </w:t>
            </w:r>
            <w:r w:rsidRPr="00A63DCB">
              <w:rPr>
                <w:sz w:val="20"/>
                <w:szCs w:val="20"/>
              </w:rPr>
              <w:t>946</w:t>
            </w:r>
          </w:p>
        </w:tc>
        <w:tc>
          <w:tcPr>
            <w:tcW w:w="788" w:type="pct"/>
          </w:tcPr>
          <w:p w14:paraId="14625DD4" w14:textId="7D024A5E" w:rsidR="00A63DCB" w:rsidRPr="00DD0196" w:rsidRDefault="00A63DCB" w:rsidP="00A63DCB">
            <w:pPr>
              <w:jc w:val="right"/>
              <w:rPr>
                <w:color w:val="000000"/>
                <w:sz w:val="20"/>
                <w:szCs w:val="20"/>
              </w:rPr>
            </w:pPr>
            <w:r w:rsidRPr="00A63DCB">
              <w:rPr>
                <w:sz w:val="20"/>
                <w:szCs w:val="20"/>
              </w:rPr>
              <w:t>171</w:t>
            </w:r>
            <w:r w:rsidR="00DF1C37">
              <w:rPr>
                <w:sz w:val="20"/>
                <w:szCs w:val="20"/>
              </w:rPr>
              <w:t> </w:t>
            </w:r>
            <w:r w:rsidRPr="00A63DCB">
              <w:rPr>
                <w:sz w:val="20"/>
                <w:szCs w:val="20"/>
              </w:rPr>
              <w:t>946</w:t>
            </w:r>
          </w:p>
        </w:tc>
      </w:tr>
      <w:tr w:rsidR="00A63DCB" w:rsidRPr="00CF1B88" w14:paraId="71386888" w14:textId="77777777" w:rsidTr="003D75E3">
        <w:trPr>
          <w:trHeight w:val="219"/>
        </w:trPr>
        <w:tc>
          <w:tcPr>
            <w:tcW w:w="817" w:type="pct"/>
            <w:vAlign w:val="bottom"/>
          </w:tcPr>
          <w:p w14:paraId="4986408D" w14:textId="7E8D3C54" w:rsidR="00A63DCB" w:rsidRPr="008611AB" w:rsidRDefault="008611AB" w:rsidP="006E723A">
            <w:pPr>
              <w:jc w:val="left"/>
              <w:rPr>
                <w:color w:val="000000"/>
                <w:sz w:val="20"/>
                <w:szCs w:val="20"/>
              </w:rPr>
            </w:pPr>
            <w:r w:rsidRPr="008611AB">
              <w:rPr>
                <w:color w:val="000000"/>
                <w:sz w:val="20"/>
                <w:szCs w:val="20"/>
                <w:lang w:val="fr-FR"/>
              </w:rPr>
              <w:t>Éthiopie</w:t>
            </w:r>
          </w:p>
        </w:tc>
        <w:tc>
          <w:tcPr>
            <w:tcW w:w="2547" w:type="pct"/>
            <w:vAlign w:val="center"/>
          </w:tcPr>
          <w:p w14:paraId="3E672B67" w14:textId="52BD6B56"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w:t>
            </w:r>
            <w:r w:rsidR="003D75E3">
              <w:rPr>
                <w:sz w:val="20"/>
                <w:szCs w:val="20"/>
                <w:lang w:val="fr-FR"/>
              </w:rPr>
              <w:t>p</w:t>
            </w:r>
            <w:r w:rsidRPr="008611AB">
              <w:rPr>
                <w:sz w:val="20"/>
                <w:szCs w:val="20"/>
                <w:lang w:val="fr-FR"/>
              </w:rPr>
              <w:t>hase VIII)</w:t>
            </w:r>
          </w:p>
        </w:tc>
        <w:tc>
          <w:tcPr>
            <w:tcW w:w="848" w:type="pct"/>
          </w:tcPr>
          <w:p w14:paraId="16F8E184" w14:textId="07A8FAC1"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64F04949" w14:textId="6EAABB97"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0F30E8B1" w14:textId="77777777" w:rsidTr="003D75E3">
        <w:trPr>
          <w:trHeight w:val="219"/>
        </w:trPr>
        <w:tc>
          <w:tcPr>
            <w:tcW w:w="817" w:type="pct"/>
            <w:vAlign w:val="bottom"/>
          </w:tcPr>
          <w:p w14:paraId="678D7C2F" w14:textId="6B4954BE" w:rsidR="00A63DCB" w:rsidRPr="008611AB" w:rsidRDefault="008611AB" w:rsidP="006E723A">
            <w:pPr>
              <w:jc w:val="left"/>
              <w:rPr>
                <w:color w:val="000000"/>
                <w:sz w:val="20"/>
                <w:szCs w:val="20"/>
              </w:rPr>
            </w:pPr>
            <w:r w:rsidRPr="008611AB">
              <w:rPr>
                <w:color w:val="000000"/>
                <w:sz w:val="20"/>
                <w:szCs w:val="20"/>
                <w:lang w:val="fr-FR"/>
              </w:rPr>
              <w:t>Fidji</w:t>
            </w:r>
          </w:p>
        </w:tc>
        <w:tc>
          <w:tcPr>
            <w:tcW w:w="2547" w:type="pct"/>
            <w:vAlign w:val="center"/>
          </w:tcPr>
          <w:p w14:paraId="39E1F410" w14:textId="2946B357"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XII)</w:t>
            </w:r>
          </w:p>
        </w:tc>
        <w:tc>
          <w:tcPr>
            <w:tcW w:w="848" w:type="pct"/>
          </w:tcPr>
          <w:p w14:paraId="2C5CCD40" w14:textId="31FD4F7F"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7F3AD601" w14:textId="633E0531"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3ACD502F" w14:textId="77777777" w:rsidTr="003D75E3">
        <w:trPr>
          <w:trHeight w:val="219"/>
        </w:trPr>
        <w:tc>
          <w:tcPr>
            <w:tcW w:w="817" w:type="pct"/>
            <w:vAlign w:val="bottom"/>
          </w:tcPr>
          <w:p w14:paraId="484B348B" w14:textId="6DCDA38A" w:rsidR="00A63DCB" w:rsidRPr="008611AB" w:rsidRDefault="008611AB" w:rsidP="006E723A">
            <w:pPr>
              <w:jc w:val="left"/>
              <w:rPr>
                <w:color w:val="000000"/>
                <w:sz w:val="20"/>
                <w:szCs w:val="20"/>
              </w:rPr>
            </w:pPr>
            <w:r w:rsidRPr="008611AB">
              <w:rPr>
                <w:color w:val="000000"/>
                <w:sz w:val="20"/>
                <w:szCs w:val="20"/>
                <w:lang w:val="fr-FR"/>
              </w:rPr>
              <w:t>Kenya</w:t>
            </w:r>
          </w:p>
        </w:tc>
        <w:tc>
          <w:tcPr>
            <w:tcW w:w="2547" w:type="pct"/>
            <w:vAlign w:val="center"/>
          </w:tcPr>
          <w:p w14:paraId="082B8FB7" w14:textId="18554441"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XII)</w:t>
            </w:r>
          </w:p>
        </w:tc>
        <w:tc>
          <w:tcPr>
            <w:tcW w:w="848" w:type="pct"/>
          </w:tcPr>
          <w:p w14:paraId="0A352372" w14:textId="640C9DC1" w:rsidR="00A63DCB" w:rsidRPr="00A63DCB" w:rsidRDefault="00A63DCB" w:rsidP="00A63DCB">
            <w:pPr>
              <w:jc w:val="right"/>
              <w:rPr>
                <w:color w:val="000000"/>
                <w:sz w:val="20"/>
                <w:szCs w:val="20"/>
              </w:rPr>
            </w:pPr>
            <w:r w:rsidRPr="00A63DCB">
              <w:rPr>
                <w:sz w:val="20"/>
                <w:szCs w:val="20"/>
              </w:rPr>
              <w:t>194</w:t>
            </w:r>
            <w:r w:rsidR="00DF1C37">
              <w:rPr>
                <w:sz w:val="20"/>
                <w:szCs w:val="20"/>
              </w:rPr>
              <w:t> </w:t>
            </w:r>
            <w:r w:rsidRPr="00A63DCB">
              <w:rPr>
                <w:sz w:val="20"/>
                <w:szCs w:val="20"/>
              </w:rPr>
              <w:t>134</w:t>
            </w:r>
          </w:p>
        </w:tc>
        <w:tc>
          <w:tcPr>
            <w:tcW w:w="788" w:type="pct"/>
          </w:tcPr>
          <w:p w14:paraId="339D763A" w14:textId="2E608D52" w:rsidR="00A63DCB" w:rsidRPr="00DD0196" w:rsidRDefault="00A63DCB" w:rsidP="00A63DCB">
            <w:pPr>
              <w:jc w:val="right"/>
              <w:rPr>
                <w:color w:val="000000"/>
                <w:sz w:val="20"/>
                <w:szCs w:val="20"/>
              </w:rPr>
            </w:pPr>
            <w:r w:rsidRPr="00A63DCB">
              <w:rPr>
                <w:sz w:val="20"/>
                <w:szCs w:val="20"/>
              </w:rPr>
              <w:t>194</w:t>
            </w:r>
            <w:r w:rsidR="00DF1C37">
              <w:rPr>
                <w:sz w:val="20"/>
                <w:szCs w:val="20"/>
              </w:rPr>
              <w:t> </w:t>
            </w:r>
            <w:r w:rsidRPr="00A63DCB">
              <w:rPr>
                <w:sz w:val="20"/>
                <w:szCs w:val="20"/>
              </w:rPr>
              <w:t>134</w:t>
            </w:r>
          </w:p>
        </w:tc>
      </w:tr>
      <w:tr w:rsidR="00A63DCB" w:rsidRPr="00CF1B88" w14:paraId="0C7D7C3B" w14:textId="77777777" w:rsidTr="003D75E3">
        <w:trPr>
          <w:trHeight w:val="219"/>
        </w:trPr>
        <w:tc>
          <w:tcPr>
            <w:tcW w:w="817" w:type="pct"/>
            <w:vAlign w:val="bottom"/>
          </w:tcPr>
          <w:p w14:paraId="009DD376" w14:textId="12E700BA" w:rsidR="00A63DCB" w:rsidRPr="008611AB" w:rsidRDefault="008611AB" w:rsidP="006E723A">
            <w:pPr>
              <w:jc w:val="left"/>
              <w:rPr>
                <w:color w:val="000000"/>
                <w:sz w:val="20"/>
                <w:szCs w:val="20"/>
              </w:rPr>
            </w:pPr>
            <w:r w:rsidRPr="008611AB">
              <w:rPr>
                <w:color w:val="000000"/>
                <w:sz w:val="20"/>
                <w:szCs w:val="20"/>
                <w:lang w:val="fr-FR"/>
              </w:rPr>
              <w:t>Kirghizistan</w:t>
            </w:r>
          </w:p>
        </w:tc>
        <w:tc>
          <w:tcPr>
            <w:tcW w:w="2547" w:type="pct"/>
            <w:vAlign w:val="center"/>
          </w:tcPr>
          <w:p w14:paraId="41C6115C" w14:textId="61B21CE2"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 </w:t>
            </w:r>
          </w:p>
        </w:tc>
        <w:tc>
          <w:tcPr>
            <w:tcW w:w="848" w:type="pct"/>
          </w:tcPr>
          <w:p w14:paraId="6694D8CD" w14:textId="128E879B" w:rsidR="00A63DCB" w:rsidRPr="00A63DCB" w:rsidRDefault="00A63DCB" w:rsidP="00A63DCB">
            <w:pPr>
              <w:jc w:val="right"/>
              <w:rPr>
                <w:color w:val="000000"/>
                <w:sz w:val="20"/>
                <w:szCs w:val="20"/>
              </w:rPr>
            </w:pPr>
            <w:r w:rsidRPr="00A63DCB">
              <w:rPr>
                <w:sz w:val="20"/>
                <w:szCs w:val="20"/>
              </w:rPr>
              <w:t>148</w:t>
            </w:r>
            <w:r w:rsidR="00DF1C37">
              <w:rPr>
                <w:sz w:val="20"/>
                <w:szCs w:val="20"/>
              </w:rPr>
              <w:t> </w:t>
            </w:r>
            <w:r w:rsidRPr="00A63DCB">
              <w:rPr>
                <w:sz w:val="20"/>
                <w:szCs w:val="20"/>
              </w:rPr>
              <w:t>262</w:t>
            </w:r>
          </w:p>
        </w:tc>
        <w:tc>
          <w:tcPr>
            <w:tcW w:w="788" w:type="pct"/>
          </w:tcPr>
          <w:p w14:paraId="774E28BB" w14:textId="4FFEF3F1" w:rsidR="00A63DCB" w:rsidRPr="00DD0196" w:rsidRDefault="00A63DCB" w:rsidP="00A63DCB">
            <w:pPr>
              <w:jc w:val="right"/>
              <w:rPr>
                <w:color w:val="000000"/>
                <w:sz w:val="20"/>
                <w:szCs w:val="20"/>
              </w:rPr>
            </w:pPr>
            <w:r w:rsidRPr="00A63DCB">
              <w:rPr>
                <w:sz w:val="20"/>
                <w:szCs w:val="20"/>
              </w:rPr>
              <w:t>148</w:t>
            </w:r>
            <w:r w:rsidR="00DF1C37">
              <w:rPr>
                <w:sz w:val="20"/>
                <w:szCs w:val="20"/>
              </w:rPr>
              <w:t> </w:t>
            </w:r>
            <w:r w:rsidRPr="00A63DCB">
              <w:rPr>
                <w:sz w:val="20"/>
                <w:szCs w:val="20"/>
              </w:rPr>
              <w:t>262</w:t>
            </w:r>
          </w:p>
        </w:tc>
      </w:tr>
      <w:tr w:rsidR="00A63DCB" w:rsidRPr="00CF1B88" w14:paraId="795C2D08" w14:textId="77777777" w:rsidTr="003D75E3">
        <w:trPr>
          <w:trHeight w:val="219"/>
        </w:trPr>
        <w:tc>
          <w:tcPr>
            <w:tcW w:w="817" w:type="pct"/>
            <w:vAlign w:val="bottom"/>
          </w:tcPr>
          <w:p w14:paraId="4684B9D5" w14:textId="031C379D" w:rsidR="00A63DCB" w:rsidRPr="008611AB" w:rsidRDefault="008611AB" w:rsidP="006E723A">
            <w:pPr>
              <w:jc w:val="left"/>
              <w:rPr>
                <w:color w:val="000000"/>
                <w:sz w:val="20"/>
                <w:szCs w:val="20"/>
              </w:rPr>
            </w:pPr>
            <w:r w:rsidRPr="008611AB">
              <w:rPr>
                <w:color w:val="000000"/>
                <w:sz w:val="20"/>
                <w:szCs w:val="20"/>
                <w:lang w:val="fr-FR"/>
              </w:rPr>
              <w:t>Mauritanie</w:t>
            </w:r>
          </w:p>
        </w:tc>
        <w:tc>
          <w:tcPr>
            <w:tcW w:w="2547" w:type="pct"/>
            <w:vAlign w:val="center"/>
          </w:tcPr>
          <w:p w14:paraId="6CD9E7EF" w14:textId="5AD9E355"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(phase VII)</w:t>
            </w:r>
          </w:p>
        </w:tc>
        <w:tc>
          <w:tcPr>
            <w:tcW w:w="848" w:type="pct"/>
          </w:tcPr>
          <w:p w14:paraId="7EA3A791" w14:textId="180EE95A"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67606DAB" w14:textId="15CC8681"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4802DCEA" w14:textId="77777777" w:rsidTr="003D75E3">
        <w:trPr>
          <w:trHeight w:val="219"/>
        </w:trPr>
        <w:tc>
          <w:tcPr>
            <w:tcW w:w="817" w:type="pct"/>
            <w:vAlign w:val="bottom"/>
          </w:tcPr>
          <w:p w14:paraId="200EF1C8" w14:textId="5339F7D8" w:rsidR="00A63DCB" w:rsidRPr="008611AB" w:rsidRDefault="008611AB" w:rsidP="006E723A">
            <w:pPr>
              <w:rPr>
                <w:color w:val="000000"/>
                <w:sz w:val="20"/>
                <w:szCs w:val="20"/>
              </w:rPr>
            </w:pPr>
            <w:r w:rsidRPr="008611AB">
              <w:rPr>
                <w:color w:val="000000"/>
                <w:sz w:val="20"/>
                <w:szCs w:val="20"/>
                <w:lang w:val="fr-FR"/>
              </w:rPr>
              <w:t>Nauru</w:t>
            </w:r>
          </w:p>
        </w:tc>
        <w:tc>
          <w:tcPr>
            <w:tcW w:w="2547" w:type="pct"/>
            <w:vAlign w:val="center"/>
          </w:tcPr>
          <w:p w14:paraId="785E4C4F" w14:textId="73F32ACA"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(phase VI)</w:t>
            </w:r>
          </w:p>
        </w:tc>
        <w:tc>
          <w:tcPr>
            <w:tcW w:w="848" w:type="pct"/>
          </w:tcPr>
          <w:p w14:paraId="54A27DEA" w14:textId="4E8C8C79"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78C566BA" w14:textId="746CC75F"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7CA45E18" w14:textId="77777777" w:rsidTr="003D75E3">
        <w:trPr>
          <w:trHeight w:val="50"/>
        </w:trPr>
        <w:tc>
          <w:tcPr>
            <w:tcW w:w="817" w:type="pct"/>
            <w:vAlign w:val="bottom"/>
          </w:tcPr>
          <w:p w14:paraId="30E1D3DA" w14:textId="1F89375A" w:rsidR="00A63DCB" w:rsidRPr="008611AB" w:rsidRDefault="008611AB" w:rsidP="006E723A">
            <w:pPr>
              <w:rPr>
                <w:color w:val="000000"/>
                <w:sz w:val="20"/>
                <w:szCs w:val="20"/>
              </w:rPr>
            </w:pPr>
            <w:r w:rsidRPr="008611AB">
              <w:rPr>
                <w:color w:val="000000"/>
                <w:sz w:val="20"/>
                <w:szCs w:val="20"/>
                <w:lang w:val="fr-FR"/>
              </w:rPr>
              <w:t>Nicaragua</w:t>
            </w:r>
          </w:p>
        </w:tc>
        <w:tc>
          <w:tcPr>
            <w:tcW w:w="2547" w:type="pct"/>
            <w:vAlign w:val="center"/>
          </w:tcPr>
          <w:p w14:paraId="628919AD" w14:textId="73EADC2A"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 </w:t>
            </w:r>
          </w:p>
        </w:tc>
        <w:tc>
          <w:tcPr>
            <w:tcW w:w="848" w:type="pct"/>
          </w:tcPr>
          <w:p w14:paraId="40AAE6A0" w14:textId="2DAA92D3"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775E6DBA" w14:textId="4ABF8E17"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429D4943" w14:textId="77777777" w:rsidTr="003D75E3">
        <w:trPr>
          <w:trHeight w:val="219"/>
        </w:trPr>
        <w:tc>
          <w:tcPr>
            <w:tcW w:w="817" w:type="pct"/>
            <w:vAlign w:val="bottom"/>
          </w:tcPr>
          <w:p w14:paraId="48BAC3B7" w14:textId="5A4EF907" w:rsidR="00A63DCB" w:rsidRPr="008611AB" w:rsidRDefault="008611AB" w:rsidP="006E723A">
            <w:pPr>
              <w:rPr>
                <w:color w:val="000000"/>
                <w:sz w:val="20"/>
                <w:szCs w:val="20"/>
              </w:rPr>
            </w:pPr>
            <w:r w:rsidRPr="008611AB">
              <w:rPr>
                <w:color w:val="000000"/>
                <w:sz w:val="20"/>
                <w:szCs w:val="20"/>
                <w:lang w:val="fr-FR"/>
              </w:rPr>
              <w:t>Sainte-Lucie</w:t>
            </w:r>
          </w:p>
        </w:tc>
        <w:tc>
          <w:tcPr>
            <w:tcW w:w="2547" w:type="pct"/>
            <w:vAlign w:val="center"/>
          </w:tcPr>
          <w:p w14:paraId="3FF32D34" w14:textId="7C422ED9"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XI)</w:t>
            </w:r>
          </w:p>
        </w:tc>
        <w:tc>
          <w:tcPr>
            <w:tcW w:w="848" w:type="pct"/>
          </w:tcPr>
          <w:p w14:paraId="6F1A090B" w14:textId="6C89A70B" w:rsidR="00A63DCB" w:rsidRPr="00A63DCB"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c>
          <w:tcPr>
            <w:tcW w:w="788" w:type="pct"/>
          </w:tcPr>
          <w:p w14:paraId="54D9CD14" w14:textId="0DF0FD46" w:rsidR="00A63DCB" w:rsidRPr="00DD0196" w:rsidRDefault="00A63DCB" w:rsidP="00A63DCB">
            <w:pPr>
              <w:jc w:val="right"/>
              <w:rPr>
                <w:color w:val="000000"/>
                <w:sz w:val="20"/>
                <w:szCs w:val="20"/>
              </w:rPr>
            </w:pPr>
            <w:r w:rsidRPr="00A63DCB">
              <w:rPr>
                <w:sz w:val="20"/>
                <w:szCs w:val="20"/>
              </w:rPr>
              <w:t>85</w:t>
            </w:r>
            <w:r w:rsidR="00DF1C37">
              <w:rPr>
                <w:sz w:val="20"/>
                <w:szCs w:val="20"/>
              </w:rPr>
              <w:t> </w:t>
            </w:r>
            <w:r w:rsidRPr="00A63DCB">
              <w:rPr>
                <w:sz w:val="20"/>
                <w:szCs w:val="20"/>
              </w:rPr>
              <w:t>000</w:t>
            </w:r>
          </w:p>
        </w:tc>
      </w:tr>
      <w:tr w:rsidR="00A63DCB" w:rsidRPr="00CF1B88" w14:paraId="5B83F51D" w14:textId="77777777" w:rsidTr="003D75E3">
        <w:trPr>
          <w:trHeight w:val="170"/>
        </w:trPr>
        <w:tc>
          <w:tcPr>
            <w:tcW w:w="817" w:type="pct"/>
            <w:vAlign w:val="bottom"/>
          </w:tcPr>
          <w:p w14:paraId="271076BE" w14:textId="792506BE" w:rsidR="00A63DCB" w:rsidRPr="008611AB" w:rsidRDefault="008611AB" w:rsidP="006E723A">
            <w:pPr>
              <w:rPr>
                <w:color w:val="000000"/>
                <w:sz w:val="20"/>
                <w:szCs w:val="20"/>
              </w:rPr>
            </w:pPr>
            <w:r w:rsidRPr="008611AB">
              <w:rPr>
                <w:color w:val="000000"/>
                <w:sz w:val="20"/>
                <w:szCs w:val="20"/>
                <w:lang w:val="fr-FR"/>
              </w:rPr>
              <w:t>Suriname</w:t>
            </w:r>
          </w:p>
        </w:tc>
        <w:tc>
          <w:tcPr>
            <w:tcW w:w="2547" w:type="pct"/>
            <w:vAlign w:val="center"/>
          </w:tcPr>
          <w:p w14:paraId="3DA823FA" w14:textId="5B4AACF4" w:rsidR="00A63DCB" w:rsidRPr="000F13C8" w:rsidRDefault="008611AB" w:rsidP="003D75E3">
            <w:pPr>
              <w:snapToGrid w:val="0"/>
              <w:jc w:val="left"/>
              <w:rPr>
                <w:sz w:val="20"/>
                <w:szCs w:val="20"/>
                <w:lang w:val="fr-CA"/>
              </w:rPr>
            </w:pPr>
            <w:r w:rsidRPr="008611AB">
              <w:rPr>
                <w:sz w:val="20"/>
                <w:szCs w:val="20"/>
                <w:lang w:val="fr-FR"/>
              </w:rPr>
              <w:t>Renouvellement du projet de renforcement des institutions (phase VII)</w:t>
            </w:r>
          </w:p>
        </w:tc>
        <w:tc>
          <w:tcPr>
            <w:tcW w:w="848" w:type="pct"/>
          </w:tcPr>
          <w:p w14:paraId="7678F633" w14:textId="057C16C8" w:rsidR="00A63DCB" w:rsidRPr="00A63DCB" w:rsidRDefault="00A63DCB" w:rsidP="00A63DCB">
            <w:pPr>
              <w:jc w:val="right"/>
              <w:rPr>
                <w:color w:val="000000"/>
                <w:sz w:val="20"/>
                <w:szCs w:val="20"/>
              </w:rPr>
            </w:pPr>
            <w:r w:rsidRPr="00A63DCB">
              <w:rPr>
                <w:sz w:val="20"/>
                <w:szCs w:val="20"/>
              </w:rPr>
              <w:t>93</w:t>
            </w:r>
            <w:r w:rsidR="00DF1C37">
              <w:rPr>
                <w:sz w:val="20"/>
                <w:szCs w:val="20"/>
              </w:rPr>
              <w:t> </w:t>
            </w:r>
            <w:r w:rsidRPr="00A63DCB">
              <w:rPr>
                <w:sz w:val="20"/>
                <w:szCs w:val="20"/>
              </w:rPr>
              <w:t>866</w:t>
            </w:r>
          </w:p>
        </w:tc>
        <w:tc>
          <w:tcPr>
            <w:tcW w:w="788" w:type="pct"/>
          </w:tcPr>
          <w:p w14:paraId="1989EE34" w14:textId="251E9C82" w:rsidR="00A63DCB" w:rsidRPr="00DD0196" w:rsidRDefault="00A63DCB" w:rsidP="00A63DCB">
            <w:pPr>
              <w:jc w:val="right"/>
              <w:rPr>
                <w:color w:val="000000"/>
                <w:sz w:val="20"/>
                <w:szCs w:val="20"/>
              </w:rPr>
            </w:pPr>
            <w:r w:rsidRPr="00A63DCB">
              <w:rPr>
                <w:sz w:val="20"/>
                <w:szCs w:val="20"/>
              </w:rPr>
              <w:t>93</w:t>
            </w:r>
            <w:r w:rsidR="00DF1C37">
              <w:rPr>
                <w:sz w:val="20"/>
                <w:szCs w:val="20"/>
              </w:rPr>
              <w:t> </w:t>
            </w:r>
            <w:r w:rsidRPr="00A63DCB">
              <w:rPr>
                <w:sz w:val="20"/>
                <w:szCs w:val="20"/>
              </w:rPr>
              <w:t>866</w:t>
            </w:r>
          </w:p>
        </w:tc>
      </w:tr>
      <w:tr w:rsidR="00A63DCB" w:rsidRPr="00CF1B88" w14:paraId="36233EFC" w14:textId="77777777" w:rsidTr="003D75E3">
        <w:trPr>
          <w:trHeight w:val="219"/>
        </w:trPr>
        <w:tc>
          <w:tcPr>
            <w:tcW w:w="817" w:type="pct"/>
            <w:vAlign w:val="bottom"/>
          </w:tcPr>
          <w:p w14:paraId="705F4A86" w14:textId="54282C61" w:rsidR="00A63DCB" w:rsidRPr="008611AB" w:rsidRDefault="008611AB" w:rsidP="006E723A">
            <w:pPr>
              <w:rPr>
                <w:color w:val="000000"/>
                <w:sz w:val="20"/>
                <w:szCs w:val="20"/>
              </w:rPr>
            </w:pPr>
            <w:r w:rsidRPr="008611AB">
              <w:rPr>
                <w:color w:val="000000"/>
                <w:sz w:val="20"/>
                <w:szCs w:val="20"/>
                <w:lang w:val="fr-FR"/>
              </w:rPr>
              <w:t>Viet Nam</w:t>
            </w:r>
          </w:p>
        </w:tc>
        <w:tc>
          <w:tcPr>
            <w:tcW w:w="2547" w:type="pct"/>
            <w:vAlign w:val="center"/>
          </w:tcPr>
          <w:p w14:paraId="12BAF397" w14:textId="16DD7B5E" w:rsidR="00A63DCB" w:rsidRPr="000F13C8" w:rsidRDefault="008611AB" w:rsidP="006E723A">
            <w:pPr>
              <w:snapToGrid w:val="0"/>
              <w:jc w:val="left"/>
              <w:rPr>
                <w:sz w:val="20"/>
                <w:szCs w:val="20"/>
                <w:lang w:val="fr-CA"/>
              </w:rPr>
            </w:pPr>
            <w:r w:rsidRPr="008611AB">
              <w:rPr>
                <w:sz w:val="20"/>
                <w:szCs w:val="20"/>
                <w:lang w:val="fr-FR"/>
              </w:rPr>
              <w:t>Renouvellement du projet de renforcement des institutions (phase XIII)</w:t>
            </w:r>
          </w:p>
        </w:tc>
        <w:tc>
          <w:tcPr>
            <w:tcW w:w="848" w:type="pct"/>
          </w:tcPr>
          <w:p w14:paraId="291F938A" w14:textId="5F70B698" w:rsidR="00A63DCB" w:rsidRPr="00A63DCB" w:rsidRDefault="00A63DCB" w:rsidP="00A63DCB">
            <w:pPr>
              <w:jc w:val="right"/>
              <w:rPr>
                <w:color w:val="000000"/>
                <w:sz w:val="20"/>
                <w:szCs w:val="20"/>
              </w:rPr>
            </w:pPr>
            <w:r w:rsidRPr="00A63DCB">
              <w:rPr>
                <w:sz w:val="20"/>
                <w:szCs w:val="20"/>
              </w:rPr>
              <w:t>152</w:t>
            </w:r>
            <w:r w:rsidR="00DF1C37">
              <w:rPr>
                <w:sz w:val="20"/>
                <w:szCs w:val="20"/>
              </w:rPr>
              <w:t> </w:t>
            </w:r>
            <w:r w:rsidRPr="00A63DCB">
              <w:rPr>
                <w:sz w:val="20"/>
                <w:szCs w:val="20"/>
              </w:rPr>
              <w:t>289</w:t>
            </w:r>
          </w:p>
        </w:tc>
        <w:tc>
          <w:tcPr>
            <w:tcW w:w="788" w:type="pct"/>
          </w:tcPr>
          <w:p w14:paraId="3B6BEB00" w14:textId="344FCB41" w:rsidR="00A63DCB" w:rsidRPr="00DD0196" w:rsidRDefault="00A63DCB" w:rsidP="00A63DCB">
            <w:pPr>
              <w:jc w:val="right"/>
              <w:rPr>
                <w:color w:val="000000"/>
                <w:sz w:val="20"/>
                <w:szCs w:val="20"/>
              </w:rPr>
            </w:pPr>
            <w:r w:rsidRPr="00A63DCB">
              <w:rPr>
                <w:sz w:val="20"/>
                <w:szCs w:val="20"/>
              </w:rPr>
              <w:t>152</w:t>
            </w:r>
            <w:r w:rsidR="00DF1C37">
              <w:rPr>
                <w:sz w:val="20"/>
                <w:szCs w:val="20"/>
              </w:rPr>
              <w:t> </w:t>
            </w:r>
            <w:r w:rsidRPr="00A63DCB">
              <w:rPr>
                <w:sz w:val="20"/>
                <w:szCs w:val="20"/>
              </w:rPr>
              <w:t>289</w:t>
            </w:r>
          </w:p>
        </w:tc>
      </w:tr>
      <w:tr w:rsidR="00A63DCB" w:rsidRPr="00CF1B88" w14:paraId="4CD93EF2" w14:textId="77777777" w:rsidTr="003D75E3">
        <w:trPr>
          <w:trHeight w:val="235"/>
        </w:trPr>
        <w:tc>
          <w:tcPr>
            <w:tcW w:w="3364" w:type="pct"/>
            <w:gridSpan w:val="2"/>
          </w:tcPr>
          <w:p w14:paraId="0134172D" w14:textId="2DBD3D85" w:rsidR="00A63DCB" w:rsidRPr="008611AB" w:rsidRDefault="008611AB" w:rsidP="006E723A">
            <w:pPr>
              <w:jc w:val="right"/>
              <w:rPr>
                <w:color w:val="000000" w:themeColor="text1"/>
                <w:sz w:val="20"/>
                <w:szCs w:val="20"/>
                <w:lang w:val="en-CA"/>
              </w:rPr>
            </w:pPr>
            <w:r w:rsidRPr="008611AB">
              <w:rPr>
                <w:color w:val="000000" w:themeColor="text1"/>
                <w:sz w:val="20"/>
                <w:szCs w:val="20"/>
                <w:lang w:val="fr-FR"/>
              </w:rPr>
              <w:t>Total pour A1</w:t>
            </w:r>
          </w:p>
        </w:tc>
        <w:tc>
          <w:tcPr>
            <w:tcW w:w="848" w:type="pct"/>
          </w:tcPr>
          <w:p w14:paraId="4669D3B7" w14:textId="7F614CA1" w:rsidR="00A63DCB" w:rsidRPr="00DD0196" w:rsidRDefault="00A63DCB" w:rsidP="00A63DCB">
            <w:pPr>
              <w:jc w:val="right"/>
              <w:rPr>
                <w:color w:val="000000" w:themeColor="text1"/>
                <w:sz w:val="20"/>
                <w:szCs w:val="20"/>
                <w:lang w:val="en-CA"/>
              </w:rPr>
            </w:pPr>
            <w:r>
              <w:rPr>
                <w:color w:val="000000" w:themeColor="text1"/>
                <w:sz w:val="20"/>
                <w:szCs w:val="20"/>
                <w:lang w:val="en-CA"/>
              </w:rPr>
              <w:t>1</w:t>
            </w:r>
            <w:r w:rsidR="00DF1C37">
              <w:rPr>
                <w:color w:val="000000" w:themeColor="text1"/>
                <w:sz w:val="20"/>
                <w:szCs w:val="20"/>
                <w:lang w:val="en-CA"/>
              </w:rPr>
              <w:t> </w:t>
            </w:r>
            <w:r>
              <w:rPr>
                <w:color w:val="000000" w:themeColor="text1"/>
                <w:sz w:val="20"/>
                <w:szCs w:val="20"/>
                <w:lang w:val="en-CA"/>
              </w:rPr>
              <w:t>445</w:t>
            </w:r>
            <w:r w:rsidR="00DF1C37">
              <w:rPr>
                <w:color w:val="000000" w:themeColor="text1"/>
                <w:sz w:val="20"/>
                <w:szCs w:val="20"/>
                <w:lang w:val="en-CA"/>
              </w:rPr>
              <w:t> </w:t>
            </w:r>
            <w:r>
              <w:rPr>
                <w:color w:val="000000" w:themeColor="text1"/>
                <w:sz w:val="20"/>
                <w:szCs w:val="20"/>
                <w:lang w:val="en-CA"/>
              </w:rPr>
              <w:t>097</w:t>
            </w:r>
          </w:p>
        </w:tc>
        <w:tc>
          <w:tcPr>
            <w:tcW w:w="788" w:type="pct"/>
          </w:tcPr>
          <w:p w14:paraId="64EC006D" w14:textId="69E60971" w:rsidR="00A63DCB" w:rsidRPr="00DD0196" w:rsidRDefault="00A63DCB" w:rsidP="00A63DCB">
            <w:pPr>
              <w:jc w:val="right"/>
              <w:rPr>
                <w:color w:val="000000" w:themeColor="text1"/>
                <w:sz w:val="20"/>
                <w:szCs w:val="20"/>
                <w:lang w:val="en-CA"/>
              </w:rPr>
            </w:pPr>
            <w:r>
              <w:rPr>
                <w:color w:val="000000" w:themeColor="text1"/>
                <w:sz w:val="20"/>
                <w:szCs w:val="20"/>
                <w:lang w:val="en-CA"/>
              </w:rPr>
              <w:t>1</w:t>
            </w:r>
            <w:r w:rsidR="00DF1C37">
              <w:rPr>
                <w:color w:val="000000" w:themeColor="text1"/>
                <w:sz w:val="20"/>
                <w:szCs w:val="20"/>
                <w:lang w:val="en-CA"/>
              </w:rPr>
              <w:t> </w:t>
            </w:r>
            <w:r>
              <w:rPr>
                <w:color w:val="000000" w:themeColor="text1"/>
                <w:sz w:val="20"/>
                <w:szCs w:val="20"/>
                <w:lang w:val="en-CA"/>
              </w:rPr>
              <w:t>445</w:t>
            </w:r>
            <w:r w:rsidR="00DF1C37">
              <w:rPr>
                <w:color w:val="000000" w:themeColor="text1"/>
                <w:sz w:val="20"/>
                <w:szCs w:val="20"/>
                <w:lang w:val="en-CA"/>
              </w:rPr>
              <w:t> </w:t>
            </w:r>
            <w:r>
              <w:rPr>
                <w:color w:val="000000" w:themeColor="text1"/>
                <w:sz w:val="20"/>
                <w:szCs w:val="20"/>
                <w:lang w:val="en-CA"/>
              </w:rPr>
              <w:t>097</w:t>
            </w:r>
          </w:p>
        </w:tc>
      </w:tr>
      <w:tr w:rsidR="00A63DCB" w:rsidRPr="00F15AE3" w14:paraId="76C4080B" w14:textId="77777777" w:rsidTr="008611AB">
        <w:trPr>
          <w:trHeight w:val="235"/>
        </w:trPr>
        <w:tc>
          <w:tcPr>
            <w:tcW w:w="5000" w:type="pct"/>
            <w:gridSpan w:val="4"/>
          </w:tcPr>
          <w:p w14:paraId="34DF54C6" w14:textId="71A352BE" w:rsidR="00A63DCB" w:rsidRPr="000F13C8" w:rsidRDefault="008611AB" w:rsidP="006E723A">
            <w:pPr>
              <w:jc w:val="left"/>
              <w:rPr>
                <w:color w:val="000000" w:themeColor="text1"/>
                <w:sz w:val="20"/>
                <w:szCs w:val="20"/>
                <w:highlight w:val="yellow"/>
                <w:lang w:val="fr-CA"/>
              </w:rPr>
            </w:pPr>
            <w:r w:rsidRPr="008611AB">
              <w:rPr>
                <w:b/>
                <w:color w:val="000000" w:themeColor="text1"/>
                <w:sz w:val="20"/>
                <w:szCs w:val="20"/>
                <w:lang w:val="fr-FR"/>
              </w:rPr>
              <w:t>A2 : Assistance technique pour la préparation des rapports de vérification de la consommation de HCFC</w:t>
            </w:r>
          </w:p>
        </w:tc>
      </w:tr>
      <w:tr w:rsidR="00252F40" w:rsidRPr="00CF1B88" w14:paraId="7307F9BC" w14:textId="77777777" w:rsidTr="003D75E3">
        <w:trPr>
          <w:trHeight w:val="235"/>
        </w:trPr>
        <w:tc>
          <w:tcPr>
            <w:tcW w:w="817" w:type="pct"/>
            <w:vAlign w:val="bottom"/>
          </w:tcPr>
          <w:p w14:paraId="59757F36" w14:textId="18C87D84" w:rsidR="00252F40" w:rsidRPr="008611AB" w:rsidRDefault="008611AB" w:rsidP="006E723A">
            <w:pPr>
              <w:snapToGrid w:val="0"/>
              <w:rPr>
                <w:color w:val="000000"/>
                <w:sz w:val="20"/>
                <w:szCs w:val="20"/>
              </w:rPr>
            </w:pPr>
            <w:r w:rsidRPr="008611AB">
              <w:rPr>
                <w:color w:val="000000"/>
                <w:sz w:val="20"/>
                <w:szCs w:val="20"/>
                <w:lang w:val="fr-FR"/>
              </w:rPr>
              <w:t>Barbade</w:t>
            </w:r>
          </w:p>
        </w:tc>
        <w:tc>
          <w:tcPr>
            <w:tcW w:w="2547" w:type="pct"/>
            <w:vAlign w:val="center"/>
          </w:tcPr>
          <w:p w14:paraId="0B9E2625" w14:textId="03D3CDAA" w:rsidR="00252F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4D29FFA8" w14:textId="17761601" w:rsidR="00252F40" w:rsidRPr="00252F40" w:rsidRDefault="00252F40" w:rsidP="00252F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5F419BEF" w14:textId="5C6A749C" w:rsidR="00252F40" w:rsidRPr="00252F40" w:rsidRDefault="00252F40" w:rsidP="00252F40">
            <w:pPr>
              <w:jc w:val="right"/>
              <w:rPr>
                <w:sz w:val="20"/>
                <w:szCs w:val="20"/>
              </w:rPr>
            </w:pPr>
            <w:r w:rsidRPr="00252F40">
              <w:rPr>
                <w:sz w:val="20"/>
                <w:szCs w:val="20"/>
              </w:rPr>
              <w:t>30</w:t>
            </w:r>
            <w:r w:rsidR="00DF1C37">
              <w:rPr>
                <w:sz w:val="20"/>
                <w:szCs w:val="20"/>
              </w:rPr>
              <w:t> </w:t>
            </w:r>
            <w:r w:rsidRPr="00252F40">
              <w:rPr>
                <w:sz w:val="20"/>
                <w:szCs w:val="20"/>
              </w:rPr>
              <w:t>000</w:t>
            </w:r>
          </w:p>
        </w:tc>
      </w:tr>
      <w:tr w:rsidR="00252F40" w:rsidRPr="00CF1B88" w14:paraId="48E6119E" w14:textId="77777777" w:rsidTr="003D75E3">
        <w:trPr>
          <w:trHeight w:val="235"/>
        </w:trPr>
        <w:tc>
          <w:tcPr>
            <w:tcW w:w="817" w:type="pct"/>
            <w:vAlign w:val="bottom"/>
          </w:tcPr>
          <w:p w14:paraId="28EA749E" w14:textId="75277EE3" w:rsidR="00252F40" w:rsidRPr="008611AB" w:rsidRDefault="008611AB" w:rsidP="006E723A">
            <w:pPr>
              <w:snapToGrid w:val="0"/>
              <w:rPr>
                <w:color w:val="000000"/>
                <w:sz w:val="20"/>
                <w:szCs w:val="20"/>
              </w:rPr>
            </w:pPr>
            <w:r w:rsidRPr="008611AB">
              <w:rPr>
                <w:color w:val="000000"/>
                <w:sz w:val="20"/>
                <w:szCs w:val="20"/>
                <w:lang w:val="fr-FR"/>
              </w:rPr>
              <w:t>Burundi</w:t>
            </w:r>
          </w:p>
        </w:tc>
        <w:tc>
          <w:tcPr>
            <w:tcW w:w="2547" w:type="pct"/>
            <w:vAlign w:val="center"/>
          </w:tcPr>
          <w:p w14:paraId="45889BA7" w14:textId="1CD7C87D" w:rsidR="00252F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 du PGEH</w:t>
            </w:r>
          </w:p>
        </w:tc>
        <w:tc>
          <w:tcPr>
            <w:tcW w:w="848" w:type="pct"/>
          </w:tcPr>
          <w:p w14:paraId="24C82FBC" w14:textId="0E579426" w:rsidR="00252F40" w:rsidRPr="00252F40" w:rsidRDefault="00252F40" w:rsidP="00252F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2EDBFF83" w14:textId="03B7363A" w:rsidR="00252F40" w:rsidRPr="00252F40" w:rsidRDefault="00252F40" w:rsidP="00252F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2CEFC36D" w14:textId="77777777" w:rsidTr="003D75E3">
        <w:trPr>
          <w:trHeight w:val="235"/>
        </w:trPr>
        <w:tc>
          <w:tcPr>
            <w:tcW w:w="817" w:type="pct"/>
            <w:vAlign w:val="bottom"/>
          </w:tcPr>
          <w:p w14:paraId="3D9669B4" w14:textId="5020C4AC" w:rsidR="005A5C40" w:rsidRPr="008611AB" w:rsidRDefault="008611AB" w:rsidP="006E723A">
            <w:pPr>
              <w:snapToGrid w:val="0"/>
              <w:rPr>
                <w:color w:val="000000"/>
                <w:sz w:val="20"/>
                <w:szCs w:val="20"/>
              </w:rPr>
            </w:pPr>
            <w:r w:rsidRPr="008611AB">
              <w:rPr>
                <w:color w:val="000000"/>
                <w:sz w:val="20"/>
                <w:szCs w:val="20"/>
                <w:lang w:val="fr-FR"/>
              </w:rPr>
              <w:t>La Dominique</w:t>
            </w:r>
          </w:p>
        </w:tc>
        <w:tc>
          <w:tcPr>
            <w:tcW w:w="2547" w:type="pct"/>
            <w:vAlign w:val="center"/>
          </w:tcPr>
          <w:p w14:paraId="4E61F4C8" w14:textId="0D8E0074" w:rsidR="005A5C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1EF8870F" w14:textId="177EFAA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3F61FB3A" w14:textId="32437AFD"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56C9AC0D" w14:textId="77777777" w:rsidTr="003D75E3">
        <w:trPr>
          <w:trHeight w:val="235"/>
        </w:trPr>
        <w:tc>
          <w:tcPr>
            <w:tcW w:w="817" w:type="pct"/>
            <w:vAlign w:val="bottom"/>
          </w:tcPr>
          <w:p w14:paraId="050C3C3E" w14:textId="665AC3D2" w:rsidR="005A5C40" w:rsidRPr="008611AB" w:rsidRDefault="008611AB" w:rsidP="006E723A">
            <w:pPr>
              <w:snapToGrid w:val="0"/>
              <w:rPr>
                <w:color w:val="000000"/>
                <w:sz w:val="20"/>
                <w:szCs w:val="20"/>
              </w:rPr>
            </w:pPr>
            <w:r w:rsidRPr="008611AB">
              <w:rPr>
                <w:color w:val="000000"/>
                <w:sz w:val="20"/>
                <w:szCs w:val="20"/>
                <w:lang w:val="fr-FR"/>
              </w:rPr>
              <w:t>Guinée équatoriale</w:t>
            </w:r>
          </w:p>
        </w:tc>
        <w:tc>
          <w:tcPr>
            <w:tcW w:w="2547" w:type="pct"/>
            <w:vAlign w:val="center"/>
          </w:tcPr>
          <w:p w14:paraId="416FC966" w14:textId="6B2A01CE"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 du PGEH</w:t>
            </w:r>
          </w:p>
        </w:tc>
        <w:tc>
          <w:tcPr>
            <w:tcW w:w="848" w:type="pct"/>
          </w:tcPr>
          <w:p w14:paraId="788E34B4" w14:textId="54AD2C01"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0288D7C1" w14:textId="0A23BBD2"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3A7C99B5" w14:textId="77777777" w:rsidTr="003D75E3">
        <w:trPr>
          <w:trHeight w:val="235"/>
        </w:trPr>
        <w:tc>
          <w:tcPr>
            <w:tcW w:w="817" w:type="pct"/>
            <w:vAlign w:val="bottom"/>
          </w:tcPr>
          <w:p w14:paraId="73417BB6" w14:textId="5EC26C24" w:rsidR="005A5C40" w:rsidRPr="008611AB" w:rsidRDefault="008611AB" w:rsidP="006E723A">
            <w:pPr>
              <w:snapToGrid w:val="0"/>
              <w:rPr>
                <w:color w:val="000000"/>
                <w:sz w:val="20"/>
                <w:szCs w:val="20"/>
              </w:rPr>
            </w:pPr>
            <w:r w:rsidRPr="008611AB">
              <w:rPr>
                <w:color w:val="000000"/>
                <w:sz w:val="20"/>
                <w:szCs w:val="20"/>
                <w:lang w:val="fr-FR"/>
              </w:rPr>
              <w:t>Eswatini</w:t>
            </w:r>
          </w:p>
        </w:tc>
        <w:tc>
          <w:tcPr>
            <w:tcW w:w="2547" w:type="pct"/>
            <w:vAlign w:val="center"/>
          </w:tcPr>
          <w:p w14:paraId="3233DD92" w14:textId="2B27F261" w:rsidR="005A5C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0AC7E59C" w14:textId="63AC2EC5"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31C054A9" w14:textId="7AC30EC5"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470F10F9" w14:textId="77777777" w:rsidTr="003D75E3">
        <w:trPr>
          <w:trHeight w:val="235"/>
        </w:trPr>
        <w:tc>
          <w:tcPr>
            <w:tcW w:w="817" w:type="pct"/>
            <w:vAlign w:val="bottom"/>
          </w:tcPr>
          <w:p w14:paraId="71309C38" w14:textId="718837C6" w:rsidR="005A5C40" w:rsidRPr="008611AB" w:rsidRDefault="008611AB" w:rsidP="006E723A">
            <w:pPr>
              <w:snapToGrid w:val="0"/>
              <w:rPr>
                <w:color w:val="000000"/>
                <w:sz w:val="20"/>
                <w:szCs w:val="20"/>
              </w:rPr>
            </w:pPr>
            <w:r w:rsidRPr="008611AB">
              <w:rPr>
                <w:color w:val="000000"/>
                <w:sz w:val="20"/>
                <w:szCs w:val="20"/>
                <w:lang w:val="fr-FR"/>
              </w:rPr>
              <w:t>Guyana</w:t>
            </w:r>
          </w:p>
        </w:tc>
        <w:tc>
          <w:tcPr>
            <w:tcW w:w="2547" w:type="pct"/>
            <w:vAlign w:val="center"/>
          </w:tcPr>
          <w:p w14:paraId="70E6102B" w14:textId="09AED773"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II du PGEH</w:t>
            </w:r>
          </w:p>
        </w:tc>
        <w:tc>
          <w:tcPr>
            <w:tcW w:w="848" w:type="pct"/>
          </w:tcPr>
          <w:p w14:paraId="45073D54" w14:textId="2049A124"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41C89529" w14:textId="79F62072"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4176F45F" w14:textId="77777777" w:rsidTr="003D75E3">
        <w:trPr>
          <w:trHeight w:val="235"/>
        </w:trPr>
        <w:tc>
          <w:tcPr>
            <w:tcW w:w="817" w:type="pct"/>
            <w:vAlign w:val="bottom"/>
          </w:tcPr>
          <w:p w14:paraId="317B5A9A" w14:textId="7D66DD4F" w:rsidR="005A5C40" w:rsidRPr="008611AB" w:rsidRDefault="008611AB" w:rsidP="006E723A">
            <w:pPr>
              <w:snapToGrid w:val="0"/>
              <w:rPr>
                <w:color w:val="000000"/>
                <w:sz w:val="20"/>
                <w:szCs w:val="20"/>
              </w:rPr>
            </w:pPr>
            <w:r w:rsidRPr="008611AB">
              <w:rPr>
                <w:color w:val="000000"/>
                <w:sz w:val="20"/>
                <w:szCs w:val="20"/>
                <w:lang w:val="fr-FR"/>
              </w:rPr>
              <w:t>Haïti</w:t>
            </w:r>
          </w:p>
        </w:tc>
        <w:tc>
          <w:tcPr>
            <w:tcW w:w="2547" w:type="pct"/>
            <w:vAlign w:val="center"/>
          </w:tcPr>
          <w:p w14:paraId="644FA660" w14:textId="6CC61403" w:rsidR="005A5C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5EAEA84F" w14:textId="43E4220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6D7BCD11" w14:textId="7F3B648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65431564" w14:textId="77777777" w:rsidTr="003D75E3">
        <w:trPr>
          <w:trHeight w:val="235"/>
        </w:trPr>
        <w:tc>
          <w:tcPr>
            <w:tcW w:w="817" w:type="pct"/>
            <w:vAlign w:val="bottom"/>
          </w:tcPr>
          <w:p w14:paraId="6DAAFB17" w14:textId="7993C0D3" w:rsidR="005A5C40" w:rsidRPr="008611AB" w:rsidRDefault="008611AB" w:rsidP="006E723A">
            <w:pPr>
              <w:snapToGrid w:val="0"/>
              <w:rPr>
                <w:color w:val="000000"/>
                <w:sz w:val="20"/>
                <w:szCs w:val="20"/>
              </w:rPr>
            </w:pPr>
            <w:r w:rsidRPr="008611AB">
              <w:rPr>
                <w:color w:val="000000"/>
                <w:sz w:val="20"/>
                <w:szCs w:val="20"/>
                <w:lang w:val="fr-FR"/>
              </w:rPr>
              <w:t>Mali</w:t>
            </w:r>
          </w:p>
        </w:tc>
        <w:tc>
          <w:tcPr>
            <w:tcW w:w="2547" w:type="pct"/>
            <w:vAlign w:val="center"/>
          </w:tcPr>
          <w:p w14:paraId="536F8409" w14:textId="61F7FC21"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 du PGEH</w:t>
            </w:r>
          </w:p>
        </w:tc>
        <w:tc>
          <w:tcPr>
            <w:tcW w:w="848" w:type="pct"/>
          </w:tcPr>
          <w:p w14:paraId="78292FA6" w14:textId="27D184F6"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5F15E019" w14:textId="489F6051"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241D8CE4" w14:textId="77777777" w:rsidTr="003D75E3">
        <w:trPr>
          <w:trHeight w:val="235"/>
        </w:trPr>
        <w:tc>
          <w:tcPr>
            <w:tcW w:w="817" w:type="pct"/>
            <w:vAlign w:val="bottom"/>
          </w:tcPr>
          <w:p w14:paraId="08D49A24" w14:textId="1EDB9443" w:rsidR="005A5C40" w:rsidRPr="008611AB" w:rsidRDefault="008611AB" w:rsidP="006E723A">
            <w:pPr>
              <w:snapToGrid w:val="0"/>
              <w:rPr>
                <w:color w:val="000000"/>
                <w:sz w:val="20"/>
                <w:szCs w:val="20"/>
              </w:rPr>
            </w:pPr>
            <w:r w:rsidRPr="008611AB">
              <w:rPr>
                <w:color w:val="000000"/>
                <w:sz w:val="20"/>
                <w:szCs w:val="20"/>
                <w:lang w:val="fr-FR"/>
              </w:rPr>
              <w:t>Mozambique</w:t>
            </w:r>
          </w:p>
        </w:tc>
        <w:tc>
          <w:tcPr>
            <w:tcW w:w="2547" w:type="pct"/>
            <w:vAlign w:val="center"/>
          </w:tcPr>
          <w:p w14:paraId="5F29FD71" w14:textId="14F16E8F" w:rsidR="005A5C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68ECB1E3" w14:textId="79115BFB"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5B714980" w14:textId="44C9F60F"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0CDCB943" w14:textId="77777777" w:rsidTr="003D75E3">
        <w:trPr>
          <w:trHeight w:val="235"/>
        </w:trPr>
        <w:tc>
          <w:tcPr>
            <w:tcW w:w="817" w:type="pct"/>
            <w:vAlign w:val="bottom"/>
          </w:tcPr>
          <w:p w14:paraId="4EDEFC7C" w14:textId="4B8D06FB" w:rsidR="005A5C40" w:rsidRPr="008611AB" w:rsidRDefault="008611AB" w:rsidP="006E723A">
            <w:pPr>
              <w:snapToGrid w:val="0"/>
              <w:rPr>
                <w:color w:val="000000"/>
                <w:sz w:val="20"/>
                <w:szCs w:val="20"/>
              </w:rPr>
            </w:pPr>
            <w:r w:rsidRPr="008611AB">
              <w:rPr>
                <w:color w:val="000000"/>
                <w:sz w:val="20"/>
                <w:szCs w:val="20"/>
                <w:lang w:val="fr-FR"/>
              </w:rPr>
              <w:t>Myanmar </w:t>
            </w:r>
          </w:p>
        </w:tc>
        <w:tc>
          <w:tcPr>
            <w:tcW w:w="2547" w:type="pct"/>
            <w:vAlign w:val="center"/>
          </w:tcPr>
          <w:p w14:paraId="5B89066C" w14:textId="650EF383"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 du PGEH</w:t>
            </w:r>
          </w:p>
        </w:tc>
        <w:tc>
          <w:tcPr>
            <w:tcW w:w="848" w:type="pct"/>
          </w:tcPr>
          <w:p w14:paraId="32C85439" w14:textId="52CDD6D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4A53D344" w14:textId="38A9B1D6"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457F3902" w14:textId="77777777" w:rsidTr="003D75E3">
        <w:trPr>
          <w:trHeight w:val="235"/>
        </w:trPr>
        <w:tc>
          <w:tcPr>
            <w:tcW w:w="817" w:type="pct"/>
            <w:vAlign w:val="bottom"/>
          </w:tcPr>
          <w:p w14:paraId="4BE7C3ED" w14:textId="78D6B60B" w:rsidR="005A5C40" w:rsidRPr="008611AB" w:rsidRDefault="008611AB" w:rsidP="006E723A">
            <w:pPr>
              <w:snapToGrid w:val="0"/>
              <w:rPr>
                <w:color w:val="000000"/>
                <w:sz w:val="20"/>
                <w:szCs w:val="20"/>
              </w:rPr>
            </w:pPr>
            <w:r w:rsidRPr="008611AB">
              <w:rPr>
                <w:color w:val="000000"/>
                <w:sz w:val="20"/>
                <w:szCs w:val="20"/>
                <w:lang w:val="fr-FR"/>
              </w:rPr>
              <w:t>Sierra Leone</w:t>
            </w:r>
          </w:p>
        </w:tc>
        <w:tc>
          <w:tcPr>
            <w:tcW w:w="2547" w:type="pct"/>
            <w:vAlign w:val="center"/>
          </w:tcPr>
          <w:p w14:paraId="1554486C" w14:textId="476B9366" w:rsidR="005A5C40" w:rsidRPr="000F13C8" w:rsidRDefault="008611AB" w:rsidP="006E723A">
            <w:pPr>
              <w:snapToGrid w:val="0"/>
              <w:rPr>
                <w:sz w:val="20"/>
                <w:szCs w:val="20"/>
                <w:lang w:val="fr-CA"/>
              </w:rPr>
            </w:pPr>
            <w:r w:rsidRPr="008611AB">
              <w:rPr>
                <w:sz w:val="20"/>
                <w:szCs w:val="20"/>
                <w:lang w:val="fr-FR"/>
              </w:rPr>
              <w:t>Rapport de vérification pour la phase I du PGEH</w:t>
            </w:r>
          </w:p>
        </w:tc>
        <w:tc>
          <w:tcPr>
            <w:tcW w:w="848" w:type="pct"/>
          </w:tcPr>
          <w:p w14:paraId="5D6B0B3C" w14:textId="7548CB7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6E9AD8E2" w14:textId="3A6F26EF"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3002B3DC" w14:textId="77777777" w:rsidTr="003D75E3">
        <w:trPr>
          <w:trHeight w:val="235"/>
        </w:trPr>
        <w:tc>
          <w:tcPr>
            <w:tcW w:w="817" w:type="pct"/>
            <w:vAlign w:val="bottom"/>
          </w:tcPr>
          <w:p w14:paraId="3C4FA5C0" w14:textId="4F56B202" w:rsidR="005A5C40" w:rsidRPr="008611AB" w:rsidRDefault="008611AB" w:rsidP="006E723A">
            <w:pPr>
              <w:snapToGrid w:val="0"/>
              <w:rPr>
                <w:color w:val="000000"/>
                <w:sz w:val="20"/>
                <w:szCs w:val="20"/>
              </w:rPr>
            </w:pPr>
            <w:r w:rsidRPr="008611AB">
              <w:rPr>
                <w:color w:val="000000"/>
                <w:sz w:val="20"/>
                <w:szCs w:val="20"/>
                <w:lang w:val="fr-FR"/>
              </w:rPr>
              <w:lastRenderedPageBreak/>
              <w:t>Suriname</w:t>
            </w:r>
          </w:p>
        </w:tc>
        <w:tc>
          <w:tcPr>
            <w:tcW w:w="2547" w:type="pct"/>
            <w:vAlign w:val="center"/>
          </w:tcPr>
          <w:p w14:paraId="56967DDB" w14:textId="7C14C756"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 du PGEH</w:t>
            </w:r>
          </w:p>
        </w:tc>
        <w:tc>
          <w:tcPr>
            <w:tcW w:w="848" w:type="pct"/>
          </w:tcPr>
          <w:p w14:paraId="666722DB" w14:textId="7F9980F8"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1DB125C5" w14:textId="71455AC5"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5A5C40" w:rsidRPr="00CF1B88" w14:paraId="07C04967" w14:textId="77777777" w:rsidTr="003D75E3">
        <w:trPr>
          <w:trHeight w:val="235"/>
        </w:trPr>
        <w:tc>
          <w:tcPr>
            <w:tcW w:w="817" w:type="pct"/>
            <w:vAlign w:val="bottom"/>
          </w:tcPr>
          <w:p w14:paraId="10E84DEA" w14:textId="0821F533" w:rsidR="005A5C40" w:rsidRPr="008611AB" w:rsidRDefault="008611AB" w:rsidP="006E723A">
            <w:pPr>
              <w:snapToGrid w:val="0"/>
              <w:rPr>
                <w:color w:val="000000"/>
                <w:sz w:val="20"/>
                <w:szCs w:val="20"/>
              </w:rPr>
            </w:pPr>
            <w:r w:rsidRPr="008611AB">
              <w:rPr>
                <w:color w:val="000000"/>
                <w:sz w:val="20"/>
                <w:szCs w:val="20"/>
                <w:lang w:val="fr-FR"/>
              </w:rPr>
              <w:t>Timor-Leste</w:t>
            </w:r>
          </w:p>
        </w:tc>
        <w:tc>
          <w:tcPr>
            <w:tcW w:w="2547" w:type="pct"/>
            <w:vAlign w:val="center"/>
          </w:tcPr>
          <w:p w14:paraId="3B01CD25" w14:textId="388C5032" w:rsidR="005A5C40" w:rsidRPr="000F13C8" w:rsidRDefault="008611AB" w:rsidP="006E723A">
            <w:pPr>
              <w:snapToGrid w:val="0"/>
              <w:rPr>
                <w:color w:val="000000" w:themeColor="text1"/>
                <w:sz w:val="20"/>
                <w:szCs w:val="20"/>
                <w:lang w:val="fr-CA"/>
              </w:rPr>
            </w:pPr>
            <w:r w:rsidRPr="008611AB">
              <w:rPr>
                <w:color w:val="000000" w:themeColor="text1"/>
                <w:sz w:val="20"/>
                <w:szCs w:val="20"/>
                <w:lang w:val="fr-FR"/>
              </w:rPr>
              <w:t>Rapport de vérification pour la phase II du PGEH</w:t>
            </w:r>
          </w:p>
        </w:tc>
        <w:tc>
          <w:tcPr>
            <w:tcW w:w="848" w:type="pct"/>
          </w:tcPr>
          <w:p w14:paraId="4F27D4B0" w14:textId="119C79C3"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c>
          <w:tcPr>
            <w:tcW w:w="788" w:type="pct"/>
          </w:tcPr>
          <w:p w14:paraId="46175262" w14:textId="554632AC" w:rsidR="005A5C40" w:rsidRPr="00252F40" w:rsidRDefault="005A5C40" w:rsidP="005A5C40">
            <w:pPr>
              <w:jc w:val="right"/>
              <w:rPr>
                <w:sz w:val="20"/>
                <w:szCs w:val="20"/>
              </w:rPr>
            </w:pPr>
            <w:r w:rsidRPr="00252F40">
              <w:rPr>
                <w:sz w:val="20"/>
                <w:szCs w:val="20"/>
              </w:rPr>
              <w:t>30</w:t>
            </w:r>
            <w:r w:rsidR="00DF1C37">
              <w:rPr>
                <w:sz w:val="20"/>
                <w:szCs w:val="20"/>
              </w:rPr>
              <w:t> </w:t>
            </w:r>
            <w:r w:rsidRPr="00252F40">
              <w:rPr>
                <w:sz w:val="20"/>
                <w:szCs w:val="20"/>
              </w:rPr>
              <w:t>000</w:t>
            </w:r>
          </w:p>
        </w:tc>
      </w:tr>
      <w:tr w:rsidR="004C3650" w:rsidRPr="00252F40" w14:paraId="64C2C540" w14:textId="77777777" w:rsidTr="003D75E3">
        <w:trPr>
          <w:trHeight w:val="235"/>
        </w:trPr>
        <w:tc>
          <w:tcPr>
            <w:tcW w:w="3364" w:type="pct"/>
            <w:gridSpan w:val="2"/>
          </w:tcPr>
          <w:p w14:paraId="3B0C82F3" w14:textId="23EC9DD7" w:rsidR="004C3650" w:rsidRPr="008611AB" w:rsidRDefault="008611AB" w:rsidP="006E723A">
            <w:pPr>
              <w:jc w:val="right"/>
              <w:rPr>
                <w:color w:val="000000" w:themeColor="text1"/>
                <w:sz w:val="20"/>
                <w:szCs w:val="20"/>
                <w:lang w:val="en-CA"/>
              </w:rPr>
            </w:pPr>
            <w:r w:rsidRPr="008611AB">
              <w:rPr>
                <w:color w:val="000000" w:themeColor="text1"/>
                <w:sz w:val="20"/>
                <w:szCs w:val="20"/>
                <w:lang w:val="fr-FR"/>
              </w:rPr>
              <w:t>Sous-total pour B2 </w:t>
            </w:r>
          </w:p>
        </w:tc>
        <w:tc>
          <w:tcPr>
            <w:tcW w:w="848" w:type="pct"/>
          </w:tcPr>
          <w:p w14:paraId="6A0876B2" w14:textId="483F0B74" w:rsidR="004C3650" w:rsidRPr="00252F40" w:rsidRDefault="004C3650" w:rsidP="00553794">
            <w:pPr>
              <w:jc w:val="right"/>
              <w:rPr>
                <w:color w:val="000000" w:themeColor="text1"/>
                <w:sz w:val="20"/>
                <w:szCs w:val="20"/>
                <w:lang w:val="en-CA"/>
              </w:rPr>
            </w:pPr>
            <w:r>
              <w:rPr>
                <w:color w:val="000000" w:themeColor="text1"/>
                <w:sz w:val="20"/>
                <w:szCs w:val="20"/>
                <w:lang w:val="en-CA"/>
              </w:rPr>
              <w:t>390</w:t>
            </w:r>
            <w:r w:rsidR="00DF1C37">
              <w:rPr>
                <w:color w:val="000000" w:themeColor="text1"/>
                <w:sz w:val="20"/>
                <w:szCs w:val="20"/>
                <w:lang w:val="en-CA"/>
              </w:rPr>
              <w:t> </w:t>
            </w:r>
            <w:r>
              <w:rPr>
                <w:color w:val="000000" w:themeColor="text1"/>
                <w:sz w:val="20"/>
                <w:szCs w:val="20"/>
                <w:lang w:val="en-CA"/>
              </w:rPr>
              <w:t>000</w:t>
            </w:r>
          </w:p>
        </w:tc>
        <w:tc>
          <w:tcPr>
            <w:tcW w:w="788" w:type="pct"/>
          </w:tcPr>
          <w:p w14:paraId="61BE835F" w14:textId="6D6E96B8" w:rsidR="004C3650" w:rsidRPr="00252F40" w:rsidRDefault="004C3650" w:rsidP="00553794">
            <w:pPr>
              <w:jc w:val="right"/>
              <w:rPr>
                <w:color w:val="000000" w:themeColor="text1"/>
                <w:sz w:val="20"/>
                <w:szCs w:val="20"/>
                <w:lang w:val="en-CA"/>
              </w:rPr>
            </w:pPr>
            <w:r>
              <w:rPr>
                <w:color w:val="000000" w:themeColor="text1"/>
                <w:sz w:val="20"/>
                <w:szCs w:val="20"/>
                <w:lang w:val="en-CA"/>
              </w:rPr>
              <w:t>390</w:t>
            </w:r>
            <w:r w:rsidR="00DF1C37">
              <w:rPr>
                <w:color w:val="000000" w:themeColor="text1"/>
                <w:sz w:val="20"/>
                <w:szCs w:val="20"/>
                <w:lang w:val="en-CA"/>
              </w:rPr>
              <w:t> </w:t>
            </w:r>
            <w:r>
              <w:rPr>
                <w:color w:val="000000" w:themeColor="text1"/>
                <w:sz w:val="20"/>
                <w:szCs w:val="20"/>
                <w:lang w:val="en-CA"/>
              </w:rPr>
              <w:t>00</w:t>
            </w:r>
            <w:r w:rsidRPr="00252F40">
              <w:rPr>
                <w:color w:val="000000" w:themeColor="text1"/>
                <w:sz w:val="20"/>
                <w:szCs w:val="20"/>
                <w:lang w:val="en-CA"/>
              </w:rPr>
              <w:t>0</w:t>
            </w:r>
          </w:p>
        </w:tc>
      </w:tr>
      <w:tr w:rsidR="004C3650" w:rsidRPr="00760EDC" w14:paraId="41AF69E2" w14:textId="77777777" w:rsidTr="003D75E3">
        <w:trPr>
          <w:trHeight w:val="235"/>
        </w:trPr>
        <w:tc>
          <w:tcPr>
            <w:tcW w:w="3364" w:type="pct"/>
            <w:gridSpan w:val="2"/>
          </w:tcPr>
          <w:p w14:paraId="1F161E1D" w14:textId="03FCC08B" w:rsidR="004C3650" w:rsidRPr="008611AB" w:rsidRDefault="008611AB" w:rsidP="006E723A">
            <w:pPr>
              <w:jc w:val="right"/>
              <w:rPr>
                <w:color w:val="000000" w:themeColor="text1"/>
                <w:sz w:val="20"/>
                <w:szCs w:val="20"/>
                <w:lang w:val="en-CA"/>
              </w:rPr>
            </w:pPr>
            <w:r w:rsidRPr="008611AB">
              <w:rPr>
                <w:color w:val="000000" w:themeColor="text1"/>
                <w:sz w:val="20"/>
                <w:szCs w:val="20"/>
                <w:lang w:val="fr-FR"/>
              </w:rPr>
              <w:t>Coût</w:t>
            </w:r>
            <w:r>
              <w:rPr>
                <w:color w:val="000000" w:themeColor="text1"/>
                <w:sz w:val="20"/>
                <w:szCs w:val="20"/>
                <w:lang w:val="fr-FR"/>
              </w:rPr>
              <w:t>s</w:t>
            </w:r>
            <w:r w:rsidRPr="008611AB">
              <w:rPr>
                <w:color w:val="000000" w:themeColor="text1"/>
                <w:sz w:val="20"/>
                <w:szCs w:val="20"/>
                <w:lang w:val="fr-FR"/>
              </w:rPr>
              <w:t xml:space="preserve"> d</w:t>
            </w:r>
            <w:r w:rsidR="00551CEE">
              <w:rPr>
                <w:color w:val="000000" w:themeColor="text1"/>
                <w:sz w:val="20"/>
                <w:szCs w:val="20"/>
                <w:lang w:val="fr-FR"/>
              </w:rPr>
              <w:t>’</w:t>
            </w:r>
            <w:r w:rsidRPr="008611AB">
              <w:rPr>
                <w:color w:val="000000" w:themeColor="text1"/>
                <w:sz w:val="20"/>
                <w:szCs w:val="20"/>
                <w:lang w:val="fr-FR"/>
              </w:rPr>
              <w:t>appui d</w:t>
            </w:r>
            <w:r w:rsidR="00551CEE">
              <w:rPr>
                <w:color w:val="000000" w:themeColor="text1"/>
                <w:sz w:val="20"/>
                <w:szCs w:val="20"/>
                <w:lang w:val="fr-FR"/>
              </w:rPr>
              <w:t>’</w:t>
            </w:r>
            <w:r w:rsidRPr="008611AB">
              <w:rPr>
                <w:color w:val="000000" w:themeColor="text1"/>
                <w:sz w:val="20"/>
                <w:szCs w:val="20"/>
                <w:lang w:val="fr-FR"/>
              </w:rPr>
              <w:t>agence</w:t>
            </w:r>
          </w:p>
        </w:tc>
        <w:tc>
          <w:tcPr>
            <w:tcW w:w="848" w:type="pct"/>
          </w:tcPr>
          <w:p w14:paraId="2E8E0DA9" w14:textId="784415B5" w:rsidR="004C3650" w:rsidRPr="00760EDC" w:rsidRDefault="004C3650" w:rsidP="00553794">
            <w:pPr>
              <w:jc w:val="right"/>
              <w:rPr>
                <w:color w:val="000000" w:themeColor="text1"/>
                <w:sz w:val="20"/>
                <w:szCs w:val="20"/>
                <w:lang w:val="en-CA"/>
              </w:rPr>
            </w:pPr>
            <w:r>
              <w:rPr>
                <w:color w:val="000000" w:themeColor="text1"/>
                <w:sz w:val="20"/>
                <w:szCs w:val="20"/>
                <w:lang w:val="en-CA"/>
              </w:rPr>
              <w:t>50</w:t>
            </w:r>
            <w:r w:rsidR="00DF1C37">
              <w:rPr>
                <w:color w:val="000000" w:themeColor="text1"/>
                <w:sz w:val="20"/>
                <w:szCs w:val="20"/>
                <w:lang w:val="en-CA"/>
              </w:rPr>
              <w:t> </w:t>
            </w:r>
            <w:r>
              <w:rPr>
                <w:color w:val="000000" w:themeColor="text1"/>
                <w:sz w:val="20"/>
                <w:szCs w:val="20"/>
                <w:lang w:val="en-CA"/>
              </w:rPr>
              <w:t>700</w:t>
            </w:r>
          </w:p>
        </w:tc>
        <w:tc>
          <w:tcPr>
            <w:tcW w:w="788" w:type="pct"/>
          </w:tcPr>
          <w:p w14:paraId="1AAEDF0B" w14:textId="4934AA19" w:rsidR="004C3650" w:rsidRPr="00760EDC" w:rsidRDefault="004C3650" w:rsidP="00553794">
            <w:pPr>
              <w:jc w:val="right"/>
              <w:rPr>
                <w:color w:val="000000" w:themeColor="text1"/>
                <w:sz w:val="20"/>
                <w:szCs w:val="20"/>
                <w:lang w:val="en-CA"/>
              </w:rPr>
            </w:pPr>
            <w:r>
              <w:rPr>
                <w:color w:val="000000" w:themeColor="text1"/>
                <w:sz w:val="20"/>
                <w:szCs w:val="20"/>
                <w:lang w:val="en-CA"/>
              </w:rPr>
              <w:t>50</w:t>
            </w:r>
            <w:r w:rsidR="00DF1C37">
              <w:rPr>
                <w:color w:val="000000" w:themeColor="text1"/>
                <w:sz w:val="20"/>
                <w:szCs w:val="20"/>
                <w:lang w:val="en-CA"/>
              </w:rPr>
              <w:t> </w:t>
            </w:r>
            <w:r>
              <w:rPr>
                <w:color w:val="000000" w:themeColor="text1"/>
                <w:sz w:val="20"/>
                <w:szCs w:val="20"/>
                <w:lang w:val="en-CA"/>
              </w:rPr>
              <w:t>700</w:t>
            </w:r>
          </w:p>
        </w:tc>
      </w:tr>
      <w:tr w:rsidR="004C3650" w:rsidRPr="00CF1B88" w14:paraId="2B9E313D" w14:textId="77777777" w:rsidTr="003D75E3">
        <w:trPr>
          <w:trHeight w:val="235"/>
        </w:trPr>
        <w:tc>
          <w:tcPr>
            <w:tcW w:w="3364" w:type="pct"/>
            <w:gridSpan w:val="2"/>
          </w:tcPr>
          <w:p w14:paraId="4EE7119C" w14:textId="5A4ABB8B" w:rsidR="004C3650" w:rsidRPr="008611AB" w:rsidRDefault="008611AB" w:rsidP="006E723A">
            <w:pPr>
              <w:snapToGrid w:val="0"/>
              <w:jc w:val="right"/>
              <w:rPr>
                <w:color w:val="000000" w:themeColor="text1"/>
                <w:sz w:val="20"/>
                <w:szCs w:val="20"/>
                <w:lang w:val="en-CA"/>
              </w:rPr>
            </w:pPr>
            <w:r w:rsidRPr="008611AB">
              <w:rPr>
                <w:color w:val="000000" w:themeColor="text1"/>
                <w:sz w:val="20"/>
                <w:szCs w:val="20"/>
                <w:lang w:val="fr-FR"/>
              </w:rPr>
              <w:t>Total pour A2</w:t>
            </w:r>
          </w:p>
        </w:tc>
        <w:tc>
          <w:tcPr>
            <w:tcW w:w="848" w:type="pct"/>
          </w:tcPr>
          <w:p w14:paraId="119B784C" w14:textId="199CF628" w:rsidR="004C3650" w:rsidRPr="00252F40" w:rsidRDefault="004C3650" w:rsidP="004C3650">
            <w:pPr>
              <w:jc w:val="right"/>
              <w:rPr>
                <w:sz w:val="20"/>
                <w:szCs w:val="20"/>
              </w:rPr>
            </w:pPr>
            <w:r>
              <w:rPr>
                <w:color w:val="000000" w:themeColor="text1"/>
                <w:sz w:val="20"/>
                <w:szCs w:val="20"/>
                <w:lang w:val="en-CA"/>
              </w:rPr>
              <w:t>440</w:t>
            </w:r>
            <w:r w:rsidR="00DF1C37">
              <w:rPr>
                <w:color w:val="000000" w:themeColor="text1"/>
                <w:sz w:val="20"/>
                <w:szCs w:val="20"/>
                <w:lang w:val="en-CA"/>
              </w:rPr>
              <w:t> </w:t>
            </w:r>
            <w:r>
              <w:rPr>
                <w:color w:val="000000" w:themeColor="text1"/>
                <w:sz w:val="20"/>
                <w:szCs w:val="20"/>
                <w:lang w:val="en-CA"/>
              </w:rPr>
              <w:t>700</w:t>
            </w:r>
          </w:p>
        </w:tc>
        <w:tc>
          <w:tcPr>
            <w:tcW w:w="788" w:type="pct"/>
          </w:tcPr>
          <w:p w14:paraId="1462C14C" w14:textId="42D0A3DA" w:rsidR="004C3650" w:rsidRPr="00252F40" w:rsidRDefault="004C3650" w:rsidP="004C3650">
            <w:pPr>
              <w:jc w:val="right"/>
              <w:rPr>
                <w:sz w:val="20"/>
                <w:szCs w:val="20"/>
              </w:rPr>
            </w:pPr>
            <w:r>
              <w:rPr>
                <w:color w:val="000000" w:themeColor="text1"/>
                <w:sz w:val="20"/>
                <w:szCs w:val="20"/>
                <w:lang w:val="en-CA"/>
              </w:rPr>
              <w:t>440</w:t>
            </w:r>
            <w:r w:rsidR="00DF1C37">
              <w:rPr>
                <w:color w:val="000000" w:themeColor="text1"/>
                <w:sz w:val="20"/>
                <w:szCs w:val="20"/>
                <w:lang w:val="en-CA"/>
              </w:rPr>
              <w:t> </w:t>
            </w:r>
            <w:r>
              <w:rPr>
                <w:color w:val="000000" w:themeColor="text1"/>
                <w:sz w:val="20"/>
                <w:szCs w:val="20"/>
                <w:lang w:val="en-CA"/>
              </w:rPr>
              <w:t>700</w:t>
            </w:r>
          </w:p>
        </w:tc>
      </w:tr>
      <w:tr w:rsidR="006E24B7" w:rsidRPr="00F15AE3" w14:paraId="348CF81A" w14:textId="77777777" w:rsidTr="008611AB">
        <w:trPr>
          <w:trHeight w:val="235"/>
        </w:trPr>
        <w:tc>
          <w:tcPr>
            <w:tcW w:w="5000" w:type="pct"/>
            <w:gridSpan w:val="4"/>
          </w:tcPr>
          <w:p w14:paraId="1030A094" w14:textId="6A387D2A" w:rsidR="006E24B7" w:rsidRPr="000F13C8" w:rsidRDefault="008611AB" w:rsidP="006E723A">
            <w:pPr>
              <w:jc w:val="left"/>
              <w:rPr>
                <w:color w:val="000000" w:themeColor="text1"/>
                <w:sz w:val="20"/>
                <w:szCs w:val="20"/>
                <w:lang w:val="fr-CA"/>
              </w:rPr>
            </w:pPr>
            <w:r w:rsidRPr="008611AB">
              <w:rPr>
                <w:b/>
                <w:color w:val="000000" w:themeColor="text1"/>
                <w:sz w:val="20"/>
                <w:szCs w:val="20"/>
                <w:lang w:val="fr-FR"/>
              </w:rPr>
              <w:t>A3 : Préparation de projet pour les plans de gestion de l</w:t>
            </w:r>
            <w:r w:rsidR="00551CEE">
              <w:rPr>
                <w:b/>
                <w:color w:val="000000" w:themeColor="text1"/>
                <w:sz w:val="20"/>
                <w:szCs w:val="20"/>
                <w:lang w:val="fr-FR"/>
              </w:rPr>
              <w:t>’</w:t>
            </w:r>
            <w:r w:rsidRPr="008611AB">
              <w:rPr>
                <w:b/>
                <w:color w:val="000000" w:themeColor="text1"/>
                <w:sz w:val="20"/>
                <w:szCs w:val="20"/>
                <w:lang w:val="fr-FR"/>
              </w:rPr>
              <w:t>élimination des HCFC (PGEH) </w:t>
            </w:r>
          </w:p>
        </w:tc>
      </w:tr>
      <w:tr w:rsidR="005F595C" w:rsidRPr="00CF1B88" w14:paraId="7E49ECDA" w14:textId="77777777" w:rsidTr="003D75E3">
        <w:trPr>
          <w:trHeight w:val="235"/>
        </w:trPr>
        <w:tc>
          <w:tcPr>
            <w:tcW w:w="817" w:type="pct"/>
            <w:vAlign w:val="bottom"/>
          </w:tcPr>
          <w:p w14:paraId="1C10907D" w14:textId="0B3E03D4" w:rsidR="005F595C" w:rsidRPr="008611AB" w:rsidRDefault="008611AB" w:rsidP="006E723A">
            <w:pPr>
              <w:snapToGrid w:val="0"/>
              <w:rPr>
                <w:color w:val="000000"/>
                <w:sz w:val="20"/>
                <w:szCs w:val="20"/>
              </w:rPr>
            </w:pPr>
            <w:r w:rsidRPr="008611AB">
              <w:rPr>
                <w:color w:val="000000"/>
                <w:sz w:val="20"/>
                <w:szCs w:val="20"/>
                <w:lang w:val="fr-FR"/>
              </w:rPr>
              <w:t>Barbade</w:t>
            </w:r>
          </w:p>
        </w:tc>
        <w:tc>
          <w:tcPr>
            <w:tcW w:w="2547" w:type="pct"/>
            <w:vAlign w:val="center"/>
          </w:tcPr>
          <w:p w14:paraId="4283CA46" w14:textId="27EC5252" w:rsidR="005F595C" w:rsidRPr="000F13C8" w:rsidRDefault="008611AB" w:rsidP="006E723A">
            <w:pPr>
              <w:snapToGrid w:val="0"/>
              <w:rPr>
                <w:color w:val="000000" w:themeColor="text1"/>
                <w:sz w:val="20"/>
                <w:szCs w:val="20"/>
                <w:lang w:val="fr-CA"/>
              </w:rPr>
            </w:pPr>
            <w:r w:rsidRPr="008611AB">
              <w:rPr>
                <w:color w:val="000000" w:themeColor="text1"/>
                <w:sz w:val="20"/>
                <w:szCs w:val="20"/>
                <w:lang w:val="fr-FR"/>
              </w:rPr>
              <w:t>Préparation d</w:t>
            </w:r>
            <w:r w:rsidR="00551CEE">
              <w:rPr>
                <w:color w:val="000000" w:themeColor="text1"/>
                <w:sz w:val="20"/>
                <w:szCs w:val="20"/>
                <w:lang w:val="fr-FR"/>
              </w:rPr>
              <w:t>’</w:t>
            </w:r>
            <w:r w:rsidRPr="008611AB">
              <w:rPr>
                <w:color w:val="000000" w:themeColor="text1"/>
                <w:sz w:val="20"/>
                <w:szCs w:val="20"/>
                <w:lang w:val="fr-FR"/>
              </w:rPr>
              <w:t>un PGEH (phase II</w:t>
            </w:r>
          </w:p>
        </w:tc>
        <w:tc>
          <w:tcPr>
            <w:tcW w:w="848" w:type="pct"/>
          </w:tcPr>
          <w:p w14:paraId="54F3C87A" w14:textId="55742E59" w:rsidR="005F595C" w:rsidRPr="00252F40" w:rsidRDefault="005F595C" w:rsidP="005F595C">
            <w:pPr>
              <w:jc w:val="right"/>
              <w:rPr>
                <w:sz w:val="20"/>
                <w:szCs w:val="20"/>
              </w:rPr>
            </w:pPr>
            <w:r>
              <w:rPr>
                <w:sz w:val="20"/>
                <w:szCs w:val="20"/>
              </w:rPr>
              <w:t>30</w:t>
            </w:r>
            <w:r w:rsidR="00DF1C37">
              <w:rPr>
                <w:sz w:val="20"/>
                <w:szCs w:val="20"/>
              </w:rPr>
              <w:t> </w:t>
            </w:r>
            <w:r>
              <w:rPr>
                <w:sz w:val="20"/>
                <w:szCs w:val="20"/>
              </w:rPr>
              <w:t>000</w:t>
            </w:r>
          </w:p>
        </w:tc>
        <w:tc>
          <w:tcPr>
            <w:tcW w:w="788" w:type="pct"/>
          </w:tcPr>
          <w:p w14:paraId="275EE37D" w14:textId="09603B14" w:rsidR="005F595C" w:rsidRPr="00252F40" w:rsidRDefault="005F595C" w:rsidP="005F595C">
            <w:pPr>
              <w:jc w:val="right"/>
              <w:rPr>
                <w:sz w:val="20"/>
                <w:szCs w:val="20"/>
              </w:rPr>
            </w:pPr>
            <w:r>
              <w:rPr>
                <w:sz w:val="20"/>
                <w:szCs w:val="20"/>
              </w:rPr>
              <w:t>30</w:t>
            </w:r>
            <w:r w:rsidR="00DF1C37">
              <w:rPr>
                <w:sz w:val="20"/>
                <w:szCs w:val="20"/>
              </w:rPr>
              <w:t> </w:t>
            </w:r>
            <w:r>
              <w:rPr>
                <w:sz w:val="20"/>
                <w:szCs w:val="20"/>
              </w:rPr>
              <w:t>000</w:t>
            </w:r>
          </w:p>
        </w:tc>
      </w:tr>
      <w:tr w:rsidR="005F595C" w:rsidRPr="00CF1B88" w14:paraId="7C59A28E" w14:textId="77777777" w:rsidTr="003D75E3">
        <w:trPr>
          <w:trHeight w:val="235"/>
        </w:trPr>
        <w:tc>
          <w:tcPr>
            <w:tcW w:w="817" w:type="pct"/>
            <w:vAlign w:val="bottom"/>
          </w:tcPr>
          <w:p w14:paraId="6AF0EB15" w14:textId="6002D9A2" w:rsidR="005F595C" w:rsidRPr="008611AB" w:rsidRDefault="008611AB" w:rsidP="006E723A">
            <w:pPr>
              <w:snapToGrid w:val="0"/>
              <w:rPr>
                <w:color w:val="000000"/>
                <w:sz w:val="20"/>
                <w:szCs w:val="20"/>
              </w:rPr>
            </w:pPr>
            <w:r w:rsidRPr="008611AB">
              <w:rPr>
                <w:color w:val="000000"/>
                <w:sz w:val="20"/>
                <w:szCs w:val="20"/>
                <w:lang w:val="fr-FR"/>
              </w:rPr>
              <w:t>Chili***</w:t>
            </w:r>
          </w:p>
        </w:tc>
        <w:tc>
          <w:tcPr>
            <w:tcW w:w="2547" w:type="pct"/>
            <w:vAlign w:val="center"/>
          </w:tcPr>
          <w:p w14:paraId="377783A2" w14:textId="2DA60A21" w:rsidR="005F595C" w:rsidRPr="000F13C8" w:rsidRDefault="008611AB" w:rsidP="006E723A">
            <w:pPr>
              <w:snapToGrid w:val="0"/>
              <w:rPr>
                <w:color w:val="000000" w:themeColor="text1"/>
                <w:sz w:val="20"/>
                <w:szCs w:val="20"/>
                <w:lang w:val="fr-CA"/>
              </w:rPr>
            </w:pPr>
            <w:r w:rsidRPr="008611AB">
              <w:rPr>
                <w:color w:val="000000" w:themeColor="text1"/>
                <w:sz w:val="20"/>
                <w:szCs w:val="20"/>
                <w:lang w:val="fr-FR"/>
              </w:rPr>
              <w:t>Préparation d</w:t>
            </w:r>
            <w:r w:rsidR="00551CEE">
              <w:rPr>
                <w:color w:val="000000" w:themeColor="text1"/>
                <w:sz w:val="20"/>
                <w:szCs w:val="20"/>
                <w:lang w:val="fr-FR"/>
              </w:rPr>
              <w:t>’</w:t>
            </w:r>
            <w:r w:rsidRPr="008611AB">
              <w:rPr>
                <w:color w:val="000000" w:themeColor="text1"/>
                <w:sz w:val="20"/>
                <w:szCs w:val="20"/>
                <w:lang w:val="fr-FR"/>
              </w:rPr>
              <w:t>un PGEH (phase III)</w:t>
            </w:r>
          </w:p>
        </w:tc>
        <w:tc>
          <w:tcPr>
            <w:tcW w:w="848" w:type="pct"/>
          </w:tcPr>
          <w:p w14:paraId="7F01B331" w14:textId="32D35746" w:rsidR="005F595C" w:rsidRPr="00252F40" w:rsidRDefault="005F595C" w:rsidP="005F595C">
            <w:pPr>
              <w:jc w:val="right"/>
              <w:rPr>
                <w:sz w:val="20"/>
                <w:szCs w:val="20"/>
              </w:rPr>
            </w:pPr>
            <w:r>
              <w:rPr>
                <w:sz w:val="20"/>
                <w:szCs w:val="20"/>
              </w:rPr>
              <w:t>15</w:t>
            </w:r>
            <w:r w:rsidR="00DF1C37">
              <w:rPr>
                <w:sz w:val="20"/>
                <w:szCs w:val="20"/>
              </w:rPr>
              <w:t> </w:t>
            </w:r>
            <w:r>
              <w:rPr>
                <w:sz w:val="20"/>
                <w:szCs w:val="20"/>
              </w:rPr>
              <w:t>000</w:t>
            </w:r>
          </w:p>
        </w:tc>
        <w:tc>
          <w:tcPr>
            <w:tcW w:w="788" w:type="pct"/>
          </w:tcPr>
          <w:p w14:paraId="7F445ABB" w14:textId="3DE31E10" w:rsidR="005F595C" w:rsidRPr="00252F40" w:rsidRDefault="005F595C" w:rsidP="005F595C">
            <w:pPr>
              <w:jc w:val="right"/>
              <w:rPr>
                <w:sz w:val="20"/>
                <w:szCs w:val="20"/>
              </w:rPr>
            </w:pPr>
            <w:r>
              <w:rPr>
                <w:sz w:val="20"/>
                <w:szCs w:val="20"/>
              </w:rPr>
              <w:t>15</w:t>
            </w:r>
            <w:r w:rsidR="00DF1C37">
              <w:rPr>
                <w:sz w:val="20"/>
                <w:szCs w:val="20"/>
              </w:rPr>
              <w:t> </w:t>
            </w:r>
            <w:r>
              <w:rPr>
                <w:sz w:val="20"/>
                <w:szCs w:val="20"/>
              </w:rPr>
              <w:t>000</w:t>
            </w:r>
          </w:p>
        </w:tc>
      </w:tr>
      <w:tr w:rsidR="005F595C" w:rsidRPr="00CF1B88" w14:paraId="68C844B4" w14:textId="77777777" w:rsidTr="003D75E3">
        <w:trPr>
          <w:trHeight w:val="235"/>
        </w:trPr>
        <w:tc>
          <w:tcPr>
            <w:tcW w:w="817" w:type="pct"/>
            <w:vAlign w:val="bottom"/>
          </w:tcPr>
          <w:p w14:paraId="7340F54F" w14:textId="77843A40" w:rsidR="005F595C" w:rsidRPr="008611AB" w:rsidRDefault="008611AB" w:rsidP="006E723A">
            <w:pPr>
              <w:snapToGrid w:val="0"/>
              <w:rPr>
                <w:color w:val="000000"/>
                <w:sz w:val="20"/>
                <w:szCs w:val="20"/>
              </w:rPr>
            </w:pPr>
            <w:r w:rsidRPr="008611AB">
              <w:rPr>
                <w:color w:val="000000"/>
                <w:sz w:val="20"/>
                <w:szCs w:val="20"/>
                <w:lang w:val="fr-FR"/>
              </w:rPr>
              <w:t>Guinée***</w:t>
            </w:r>
          </w:p>
        </w:tc>
        <w:tc>
          <w:tcPr>
            <w:tcW w:w="2547" w:type="pct"/>
            <w:vAlign w:val="center"/>
          </w:tcPr>
          <w:p w14:paraId="1E0FBA3B" w14:textId="7283295D" w:rsidR="005F595C" w:rsidRPr="000F13C8" w:rsidRDefault="008611AB" w:rsidP="006E723A">
            <w:pPr>
              <w:snapToGrid w:val="0"/>
              <w:rPr>
                <w:color w:val="000000" w:themeColor="text1"/>
                <w:sz w:val="20"/>
                <w:szCs w:val="20"/>
                <w:lang w:val="fr-CA"/>
              </w:rPr>
            </w:pPr>
            <w:r w:rsidRPr="008611AB">
              <w:rPr>
                <w:color w:val="000000" w:themeColor="text1"/>
                <w:sz w:val="20"/>
                <w:szCs w:val="20"/>
                <w:lang w:val="fr-FR"/>
              </w:rPr>
              <w:t>Préparation d</w:t>
            </w:r>
            <w:r w:rsidR="00551CEE">
              <w:rPr>
                <w:color w:val="000000" w:themeColor="text1"/>
                <w:sz w:val="20"/>
                <w:szCs w:val="20"/>
                <w:lang w:val="fr-FR"/>
              </w:rPr>
              <w:t>’</w:t>
            </w:r>
            <w:r w:rsidRPr="008611AB">
              <w:rPr>
                <w:color w:val="000000" w:themeColor="text1"/>
                <w:sz w:val="20"/>
                <w:szCs w:val="20"/>
                <w:lang w:val="fr-FR"/>
              </w:rPr>
              <w:t>un PGEH (phase II)</w:t>
            </w:r>
          </w:p>
        </w:tc>
        <w:tc>
          <w:tcPr>
            <w:tcW w:w="848" w:type="pct"/>
          </w:tcPr>
          <w:p w14:paraId="5C683DE0" w14:textId="595FCAE4" w:rsidR="005F595C" w:rsidRPr="00252F40" w:rsidRDefault="005F595C" w:rsidP="005F595C">
            <w:pPr>
              <w:jc w:val="right"/>
              <w:rPr>
                <w:sz w:val="20"/>
                <w:szCs w:val="20"/>
              </w:rPr>
            </w:pPr>
            <w:r>
              <w:rPr>
                <w:sz w:val="20"/>
                <w:szCs w:val="20"/>
              </w:rPr>
              <w:t>20</w:t>
            </w:r>
            <w:r w:rsidR="00DF1C37">
              <w:rPr>
                <w:sz w:val="20"/>
                <w:szCs w:val="20"/>
              </w:rPr>
              <w:t> </w:t>
            </w:r>
            <w:r>
              <w:rPr>
                <w:sz w:val="20"/>
                <w:szCs w:val="20"/>
              </w:rPr>
              <w:t>000</w:t>
            </w:r>
          </w:p>
        </w:tc>
        <w:tc>
          <w:tcPr>
            <w:tcW w:w="788" w:type="pct"/>
          </w:tcPr>
          <w:p w14:paraId="261AAF6A" w14:textId="11C2AD6F" w:rsidR="005F595C" w:rsidRPr="00252F40" w:rsidRDefault="005F595C" w:rsidP="005F595C">
            <w:pPr>
              <w:jc w:val="right"/>
              <w:rPr>
                <w:sz w:val="20"/>
                <w:szCs w:val="20"/>
              </w:rPr>
            </w:pPr>
            <w:r>
              <w:rPr>
                <w:sz w:val="20"/>
                <w:szCs w:val="20"/>
              </w:rPr>
              <w:t>20</w:t>
            </w:r>
            <w:r w:rsidR="00DF1C37">
              <w:rPr>
                <w:sz w:val="20"/>
                <w:szCs w:val="20"/>
              </w:rPr>
              <w:t> </w:t>
            </w:r>
            <w:r>
              <w:rPr>
                <w:sz w:val="20"/>
                <w:szCs w:val="20"/>
              </w:rPr>
              <w:t>000</w:t>
            </w:r>
          </w:p>
        </w:tc>
      </w:tr>
      <w:tr w:rsidR="005F595C" w:rsidRPr="00CF1B88" w14:paraId="6632EA0A" w14:textId="77777777" w:rsidTr="003D75E3">
        <w:trPr>
          <w:trHeight w:val="235"/>
        </w:trPr>
        <w:tc>
          <w:tcPr>
            <w:tcW w:w="817" w:type="pct"/>
            <w:vAlign w:val="bottom"/>
          </w:tcPr>
          <w:p w14:paraId="4F450199" w14:textId="0C9A8AF4" w:rsidR="005F595C" w:rsidRPr="008611AB" w:rsidRDefault="008611AB" w:rsidP="006E723A">
            <w:pPr>
              <w:snapToGrid w:val="0"/>
              <w:rPr>
                <w:color w:val="000000"/>
                <w:sz w:val="20"/>
                <w:szCs w:val="20"/>
              </w:rPr>
            </w:pPr>
            <w:r w:rsidRPr="008611AB">
              <w:rPr>
                <w:color w:val="000000"/>
                <w:sz w:val="20"/>
                <w:szCs w:val="20"/>
                <w:lang w:val="fr-FR"/>
              </w:rPr>
              <w:t>Oman****</w:t>
            </w:r>
          </w:p>
        </w:tc>
        <w:tc>
          <w:tcPr>
            <w:tcW w:w="2547" w:type="pct"/>
            <w:vAlign w:val="center"/>
          </w:tcPr>
          <w:p w14:paraId="255B2D6A" w14:textId="48204662" w:rsidR="005F595C" w:rsidRPr="000F13C8" w:rsidRDefault="008611AB" w:rsidP="006E723A">
            <w:pPr>
              <w:snapToGrid w:val="0"/>
              <w:rPr>
                <w:color w:val="000000" w:themeColor="text1"/>
                <w:sz w:val="20"/>
                <w:szCs w:val="20"/>
                <w:lang w:val="fr-CA"/>
              </w:rPr>
            </w:pPr>
            <w:r w:rsidRPr="008611AB">
              <w:rPr>
                <w:color w:val="000000" w:themeColor="text1"/>
                <w:sz w:val="20"/>
                <w:szCs w:val="20"/>
                <w:lang w:val="fr-FR"/>
              </w:rPr>
              <w:t>Préparation d</w:t>
            </w:r>
            <w:r w:rsidR="00551CEE">
              <w:rPr>
                <w:color w:val="000000" w:themeColor="text1"/>
                <w:sz w:val="20"/>
                <w:szCs w:val="20"/>
                <w:lang w:val="fr-FR"/>
              </w:rPr>
              <w:t>’</w:t>
            </w:r>
            <w:r w:rsidRPr="008611AB">
              <w:rPr>
                <w:color w:val="000000" w:themeColor="text1"/>
                <w:sz w:val="20"/>
                <w:szCs w:val="20"/>
                <w:lang w:val="fr-FR"/>
              </w:rPr>
              <w:t>un PGEH (phase III)</w:t>
            </w:r>
          </w:p>
        </w:tc>
        <w:tc>
          <w:tcPr>
            <w:tcW w:w="848" w:type="pct"/>
          </w:tcPr>
          <w:p w14:paraId="35EA0563" w14:textId="0C7D51BC" w:rsidR="005F595C" w:rsidRPr="00252F40" w:rsidRDefault="003D6DA5" w:rsidP="005F595C">
            <w:pPr>
              <w:jc w:val="right"/>
              <w:rPr>
                <w:sz w:val="20"/>
                <w:szCs w:val="20"/>
              </w:rPr>
            </w:pPr>
            <w:r>
              <w:rPr>
                <w:sz w:val="20"/>
                <w:szCs w:val="20"/>
              </w:rPr>
              <w:t>2</w:t>
            </w:r>
            <w:r w:rsidR="005F595C">
              <w:rPr>
                <w:sz w:val="20"/>
                <w:szCs w:val="20"/>
              </w:rPr>
              <w:t>0</w:t>
            </w:r>
            <w:r w:rsidR="00DF1C37">
              <w:rPr>
                <w:sz w:val="20"/>
                <w:szCs w:val="20"/>
              </w:rPr>
              <w:t> </w:t>
            </w:r>
            <w:r w:rsidR="005F595C">
              <w:rPr>
                <w:sz w:val="20"/>
                <w:szCs w:val="20"/>
              </w:rPr>
              <w:t>000</w:t>
            </w:r>
          </w:p>
        </w:tc>
        <w:tc>
          <w:tcPr>
            <w:tcW w:w="788" w:type="pct"/>
          </w:tcPr>
          <w:p w14:paraId="6DDD848C" w14:textId="4FC471C5" w:rsidR="005F595C" w:rsidRPr="00252F40" w:rsidRDefault="00593F57" w:rsidP="005F595C">
            <w:pPr>
              <w:jc w:val="right"/>
              <w:rPr>
                <w:sz w:val="20"/>
                <w:szCs w:val="20"/>
              </w:rPr>
            </w:pPr>
            <w:r>
              <w:rPr>
                <w:sz w:val="20"/>
                <w:szCs w:val="20"/>
              </w:rPr>
              <w:t>20</w:t>
            </w:r>
            <w:r w:rsidR="00DF1C37">
              <w:rPr>
                <w:sz w:val="20"/>
                <w:szCs w:val="20"/>
              </w:rPr>
              <w:t> </w:t>
            </w:r>
            <w:r w:rsidR="005F595C">
              <w:rPr>
                <w:sz w:val="20"/>
                <w:szCs w:val="20"/>
              </w:rPr>
              <w:t>000</w:t>
            </w:r>
          </w:p>
        </w:tc>
      </w:tr>
      <w:tr w:rsidR="005F595C" w:rsidRPr="00CF1B88" w14:paraId="418F40F4" w14:textId="77777777" w:rsidTr="003D75E3">
        <w:trPr>
          <w:trHeight w:val="235"/>
        </w:trPr>
        <w:tc>
          <w:tcPr>
            <w:tcW w:w="817" w:type="pct"/>
            <w:vAlign w:val="bottom"/>
          </w:tcPr>
          <w:p w14:paraId="622C3511" w14:textId="7F6AC010" w:rsidR="005F595C" w:rsidRPr="008611AB" w:rsidRDefault="008611AB" w:rsidP="006E723A">
            <w:pPr>
              <w:snapToGrid w:val="0"/>
              <w:rPr>
                <w:color w:val="000000"/>
                <w:sz w:val="20"/>
                <w:szCs w:val="20"/>
              </w:rPr>
            </w:pPr>
            <w:r w:rsidRPr="008611AB">
              <w:rPr>
                <w:color w:val="000000"/>
                <w:sz w:val="20"/>
                <w:szCs w:val="20"/>
                <w:lang w:val="fr-FR"/>
              </w:rPr>
              <w:t>Arabie saoudite****</w:t>
            </w:r>
          </w:p>
        </w:tc>
        <w:tc>
          <w:tcPr>
            <w:tcW w:w="2547" w:type="pct"/>
            <w:vAlign w:val="center"/>
          </w:tcPr>
          <w:p w14:paraId="54FCB86F" w14:textId="38122BE4" w:rsidR="005F595C" w:rsidRPr="000F13C8" w:rsidRDefault="008611AB" w:rsidP="006E723A">
            <w:pPr>
              <w:snapToGrid w:val="0"/>
              <w:rPr>
                <w:color w:val="000000" w:themeColor="text1"/>
                <w:sz w:val="20"/>
                <w:szCs w:val="20"/>
                <w:lang w:val="fr-CA"/>
              </w:rPr>
            </w:pPr>
            <w:r w:rsidRPr="008611AB">
              <w:rPr>
                <w:color w:val="000000" w:themeColor="text1"/>
                <w:sz w:val="20"/>
                <w:szCs w:val="20"/>
                <w:lang w:val="fr-FR"/>
              </w:rPr>
              <w:t>Préparation d</w:t>
            </w:r>
            <w:r w:rsidR="00551CEE">
              <w:rPr>
                <w:color w:val="000000" w:themeColor="text1"/>
                <w:sz w:val="20"/>
                <w:szCs w:val="20"/>
                <w:lang w:val="fr-FR"/>
              </w:rPr>
              <w:t>’</w:t>
            </w:r>
            <w:r w:rsidRPr="008611AB">
              <w:rPr>
                <w:color w:val="000000" w:themeColor="text1"/>
                <w:sz w:val="20"/>
                <w:szCs w:val="20"/>
                <w:lang w:val="fr-FR"/>
              </w:rPr>
              <w:t>un PGEH (phase II)</w:t>
            </w:r>
          </w:p>
        </w:tc>
        <w:tc>
          <w:tcPr>
            <w:tcW w:w="848" w:type="pct"/>
          </w:tcPr>
          <w:p w14:paraId="7E3C6804" w14:textId="3AB4E9EC" w:rsidR="005F595C" w:rsidRPr="00252F40" w:rsidRDefault="005F595C" w:rsidP="005F595C">
            <w:pPr>
              <w:jc w:val="right"/>
              <w:rPr>
                <w:sz w:val="20"/>
                <w:szCs w:val="20"/>
              </w:rPr>
            </w:pPr>
            <w:r>
              <w:rPr>
                <w:sz w:val="20"/>
                <w:szCs w:val="20"/>
              </w:rPr>
              <w:t>45</w:t>
            </w:r>
            <w:r w:rsidR="00DF1C37">
              <w:rPr>
                <w:sz w:val="20"/>
                <w:szCs w:val="20"/>
              </w:rPr>
              <w:t> </w:t>
            </w:r>
            <w:r>
              <w:rPr>
                <w:sz w:val="20"/>
                <w:szCs w:val="20"/>
              </w:rPr>
              <w:t>000</w:t>
            </w:r>
          </w:p>
        </w:tc>
        <w:tc>
          <w:tcPr>
            <w:tcW w:w="788" w:type="pct"/>
          </w:tcPr>
          <w:p w14:paraId="6E6F5EA8" w14:textId="1F31EF7F" w:rsidR="005F595C" w:rsidRPr="00252F40" w:rsidRDefault="005F595C" w:rsidP="005F595C">
            <w:pPr>
              <w:jc w:val="right"/>
              <w:rPr>
                <w:sz w:val="20"/>
                <w:szCs w:val="20"/>
              </w:rPr>
            </w:pPr>
            <w:r>
              <w:rPr>
                <w:sz w:val="20"/>
                <w:szCs w:val="20"/>
              </w:rPr>
              <w:t>45</w:t>
            </w:r>
            <w:r w:rsidR="00DF1C37">
              <w:rPr>
                <w:sz w:val="20"/>
                <w:szCs w:val="20"/>
              </w:rPr>
              <w:t> </w:t>
            </w:r>
            <w:r>
              <w:rPr>
                <w:sz w:val="20"/>
                <w:szCs w:val="20"/>
              </w:rPr>
              <w:t>000</w:t>
            </w:r>
          </w:p>
        </w:tc>
      </w:tr>
      <w:tr w:rsidR="00EE4A85" w:rsidRPr="00CF1B88" w14:paraId="6D21D478" w14:textId="77777777" w:rsidTr="003D75E3">
        <w:trPr>
          <w:trHeight w:val="235"/>
        </w:trPr>
        <w:tc>
          <w:tcPr>
            <w:tcW w:w="3364" w:type="pct"/>
            <w:gridSpan w:val="2"/>
          </w:tcPr>
          <w:p w14:paraId="681D65D9" w14:textId="726766A2" w:rsidR="00EE4A85" w:rsidRPr="008611AB" w:rsidRDefault="008611AB" w:rsidP="006E723A">
            <w:pPr>
              <w:snapToGrid w:val="0"/>
              <w:jc w:val="right"/>
              <w:rPr>
                <w:color w:val="000000" w:themeColor="text1"/>
                <w:sz w:val="20"/>
                <w:szCs w:val="20"/>
                <w:lang w:val="en-CA"/>
              </w:rPr>
            </w:pPr>
            <w:r w:rsidRPr="008611AB">
              <w:rPr>
                <w:color w:val="000000" w:themeColor="text1"/>
                <w:sz w:val="20"/>
                <w:szCs w:val="20"/>
                <w:lang w:val="fr-FR"/>
              </w:rPr>
              <w:t>Sous-total pour A3 </w:t>
            </w:r>
          </w:p>
        </w:tc>
        <w:tc>
          <w:tcPr>
            <w:tcW w:w="848" w:type="pct"/>
          </w:tcPr>
          <w:p w14:paraId="4AD934FC" w14:textId="595C9FF6" w:rsidR="00EE4A85" w:rsidRPr="00252F40" w:rsidRDefault="00EE4A85" w:rsidP="00EE4A85">
            <w:pPr>
              <w:jc w:val="right"/>
              <w:rPr>
                <w:sz w:val="20"/>
                <w:szCs w:val="20"/>
              </w:rPr>
            </w:pPr>
            <w:r>
              <w:rPr>
                <w:sz w:val="20"/>
                <w:szCs w:val="20"/>
              </w:rPr>
              <w:t>130</w:t>
            </w:r>
            <w:r w:rsidR="00DF1C37">
              <w:rPr>
                <w:sz w:val="20"/>
                <w:szCs w:val="20"/>
              </w:rPr>
              <w:t> </w:t>
            </w:r>
            <w:r>
              <w:rPr>
                <w:sz w:val="20"/>
                <w:szCs w:val="20"/>
              </w:rPr>
              <w:t>000</w:t>
            </w:r>
          </w:p>
        </w:tc>
        <w:tc>
          <w:tcPr>
            <w:tcW w:w="788" w:type="pct"/>
          </w:tcPr>
          <w:p w14:paraId="09D28AC1" w14:textId="0DAE63C9" w:rsidR="00EE4A85" w:rsidRPr="00252F40" w:rsidRDefault="00EE4A85" w:rsidP="00EE4A85">
            <w:pPr>
              <w:jc w:val="right"/>
              <w:rPr>
                <w:sz w:val="20"/>
                <w:szCs w:val="20"/>
              </w:rPr>
            </w:pPr>
            <w:r>
              <w:rPr>
                <w:sz w:val="20"/>
                <w:szCs w:val="20"/>
              </w:rPr>
              <w:t>130</w:t>
            </w:r>
            <w:r w:rsidR="00DF1C37">
              <w:rPr>
                <w:sz w:val="20"/>
                <w:szCs w:val="20"/>
              </w:rPr>
              <w:t> </w:t>
            </w:r>
            <w:r>
              <w:rPr>
                <w:sz w:val="20"/>
                <w:szCs w:val="20"/>
              </w:rPr>
              <w:t>000</w:t>
            </w:r>
          </w:p>
        </w:tc>
      </w:tr>
      <w:tr w:rsidR="00EE4A85" w:rsidRPr="00CF1B88" w14:paraId="2632012E" w14:textId="77777777" w:rsidTr="003D75E3">
        <w:trPr>
          <w:trHeight w:val="235"/>
        </w:trPr>
        <w:tc>
          <w:tcPr>
            <w:tcW w:w="3364" w:type="pct"/>
            <w:gridSpan w:val="2"/>
          </w:tcPr>
          <w:p w14:paraId="68CA6D4E" w14:textId="12AF5977" w:rsidR="00EE4A85" w:rsidRPr="008611AB" w:rsidRDefault="008611AB" w:rsidP="006E723A">
            <w:pPr>
              <w:jc w:val="right"/>
              <w:rPr>
                <w:color w:val="000000" w:themeColor="text1"/>
                <w:sz w:val="20"/>
                <w:szCs w:val="20"/>
                <w:lang w:val="en-CA"/>
              </w:rPr>
            </w:pPr>
            <w:r w:rsidRPr="008611AB">
              <w:rPr>
                <w:color w:val="000000" w:themeColor="text1"/>
                <w:sz w:val="20"/>
                <w:szCs w:val="20"/>
                <w:lang w:val="fr-FR"/>
              </w:rPr>
              <w:t>Coûts d</w:t>
            </w:r>
            <w:r w:rsidR="00551CEE">
              <w:rPr>
                <w:color w:val="000000" w:themeColor="text1"/>
                <w:sz w:val="20"/>
                <w:szCs w:val="20"/>
                <w:lang w:val="fr-FR"/>
              </w:rPr>
              <w:t>’</w:t>
            </w:r>
            <w:r w:rsidRPr="008611AB">
              <w:rPr>
                <w:color w:val="000000" w:themeColor="text1"/>
                <w:sz w:val="20"/>
                <w:szCs w:val="20"/>
                <w:lang w:val="fr-FR"/>
              </w:rPr>
              <w:t>appui d</w:t>
            </w:r>
            <w:r w:rsidR="00551CEE">
              <w:rPr>
                <w:color w:val="000000" w:themeColor="text1"/>
                <w:sz w:val="20"/>
                <w:szCs w:val="20"/>
                <w:lang w:val="fr-FR"/>
              </w:rPr>
              <w:t>’</w:t>
            </w:r>
            <w:r w:rsidRPr="008611AB">
              <w:rPr>
                <w:color w:val="000000" w:themeColor="text1"/>
                <w:sz w:val="20"/>
                <w:szCs w:val="20"/>
                <w:lang w:val="fr-FR"/>
              </w:rPr>
              <w:t>agence</w:t>
            </w:r>
          </w:p>
        </w:tc>
        <w:tc>
          <w:tcPr>
            <w:tcW w:w="848" w:type="pct"/>
          </w:tcPr>
          <w:p w14:paraId="38D04784" w14:textId="2FD413B0" w:rsidR="00EE4A85" w:rsidRDefault="00EE4A85" w:rsidP="00EE4A85">
            <w:pPr>
              <w:jc w:val="right"/>
              <w:rPr>
                <w:color w:val="000000" w:themeColor="text1"/>
                <w:sz w:val="20"/>
                <w:szCs w:val="20"/>
                <w:lang w:val="en-CA"/>
              </w:rPr>
            </w:pPr>
            <w:r>
              <w:rPr>
                <w:color w:val="000000" w:themeColor="text1"/>
                <w:sz w:val="20"/>
                <w:szCs w:val="20"/>
                <w:lang w:val="en-CA"/>
              </w:rPr>
              <w:t>16</w:t>
            </w:r>
            <w:r w:rsidR="00DF1C37">
              <w:rPr>
                <w:color w:val="000000" w:themeColor="text1"/>
                <w:sz w:val="20"/>
                <w:szCs w:val="20"/>
                <w:lang w:val="en-CA"/>
              </w:rPr>
              <w:t> </w:t>
            </w:r>
            <w:r>
              <w:rPr>
                <w:color w:val="000000" w:themeColor="text1"/>
                <w:sz w:val="20"/>
                <w:szCs w:val="20"/>
                <w:lang w:val="en-CA"/>
              </w:rPr>
              <w:t>900</w:t>
            </w:r>
          </w:p>
        </w:tc>
        <w:tc>
          <w:tcPr>
            <w:tcW w:w="788" w:type="pct"/>
          </w:tcPr>
          <w:p w14:paraId="2954684C" w14:textId="15FA5485" w:rsidR="00EE4A85" w:rsidRDefault="00EE4A85" w:rsidP="00EE4A85">
            <w:pPr>
              <w:jc w:val="right"/>
              <w:rPr>
                <w:color w:val="000000" w:themeColor="text1"/>
                <w:sz w:val="20"/>
                <w:szCs w:val="20"/>
                <w:lang w:val="en-CA"/>
              </w:rPr>
            </w:pPr>
            <w:r>
              <w:rPr>
                <w:color w:val="000000" w:themeColor="text1"/>
                <w:sz w:val="20"/>
                <w:szCs w:val="20"/>
                <w:lang w:val="en-CA"/>
              </w:rPr>
              <w:t>16</w:t>
            </w:r>
            <w:r w:rsidR="00DF1C37">
              <w:rPr>
                <w:color w:val="000000" w:themeColor="text1"/>
                <w:sz w:val="20"/>
                <w:szCs w:val="20"/>
                <w:lang w:val="en-CA"/>
              </w:rPr>
              <w:t> </w:t>
            </w:r>
            <w:r>
              <w:rPr>
                <w:color w:val="000000" w:themeColor="text1"/>
                <w:sz w:val="20"/>
                <w:szCs w:val="20"/>
                <w:lang w:val="en-CA"/>
              </w:rPr>
              <w:t>900</w:t>
            </w:r>
          </w:p>
        </w:tc>
      </w:tr>
      <w:tr w:rsidR="00EE4A85" w:rsidRPr="00CF1B88" w14:paraId="7EE6D946" w14:textId="77777777" w:rsidTr="003D75E3">
        <w:trPr>
          <w:trHeight w:val="235"/>
        </w:trPr>
        <w:tc>
          <w:tcPr>
            <w:tcW w:w="3364" w:type="pct"/>
            <w:gridSpan w:val="2"/>
          </w:tcPr>
          <w:p w14:paraId="422957C5" w14:textId="06E665E4" w:rsidR="00EE4A85" w:rsidRPr="008611AB" w:rsidRDefault="008611AB" w:rsidP="006E723A">
            <w:pPr>
              <w:jc w:val="right"/>
              <w:rPr>
                <w:color w:val="000000" w:themeColor="text1"/>
                <w:sz w:val="20"/>
                <w:szCs w:val="20"/>
                <w:lang w:val="en-CA"/>
              </w:rPr>
            </w:pPr>
            <w:r w:rsidRPr="008611AB">
              <w:rPr>
                <w:color w:val="000000" w:themeColor="text1"/>
                <w:sz w:val="20"/>
                <w:szCs w:val="20"/>
                <w:lang w:val="fr-FR"/>
              </w:rPr>
              <w:t>Total pour A3</w:t>
            </w:r>
          </w:p>
        </w:tc>
        <w:tc>
          <w:tcPr>
            <w:tcW w:w="848" w:type="pct"/>
          </w:tcPr>
          <w:p w14:paraId="4718F469" w14:textId="0FBFFD47" w:rsidR="00EE4A85" w:rsidRDefault="00EE4A85" w:rsidP="00EE4A85">
            <w:pPr>
              <w:jc w:val="right"/>
              <w:rPr>
                <w:color w:val="000000" w:themeColor="text1"/>
                <w:sz w:val="20"/>
                <w:szCs w:val="20"/>
                <w:lang w:val="en-CA"/>
              </w:rPr>
            </w:pPr>
            <w:r>
              <w:rPr>
                <w:color w:val="000000" w:themeColor="text1"/>
                <w:sz w:val="20"/>
                <w:szCs w:val="20"/>
                <w:lang w:val="en-CA"/>
              </w:rPr>
              <w:t>146</w:t>
            </w:r>
            <w:r w:rsidR="00DF1C37">
              <w:rPr>
                <w:color w:val="000000" w:themeColor="text1"/>
                <w:sz w:val="20"/>
                <w:szCs w:val="20"/>
                <w:lang w:val="en-CA"/>
              </w:rPr>
              <w:t> </w:t>
            </w:r>
            <w:r>
              <w:rPr>
                <w:color w:val="000000" w:themeColor="text1"/>
                <w:sz w:val="20"/>
                <w:szCs w:val="20"/>
                <w:lang w:val="en-CA"/>
              </w:rPr>
              <w:t>900</w:t>
            </w:r>
          </w:p>
        </w:tc>
        <w:tc>
          <w:tcPr>
            <w:tcW w:w="788" w:type="pct"/>
          </w:tcPr>
          <w:p w14:paraId="236543CD" w14:textId="48F99D9E" w:rsidR="00EE4A85" w:rsidRDefault="00EE4A85" w:rsidP="00EE4A85">
            <w:pPr>
              <w:jc w:val="right"/>
              <w:rPr>
                <w:color w:val="000000" w:themeColor="text1"/>
                <w:sz w:val="20"/>
                <w:szCs w:val="20"/>
                <w:lang w:val="en-CA"/>
              </w:rPr>
            </w:pPr>
            <w:r>
              <w:rPr>
                <w:color w:val="000000" w:themeColor="text1"/>
                <w:sz w:val="20"/>
                <w:szCs w:val="20"/>
                <w:lang w:val="en-CA"/>
              </w:rPr>
              <w:t>146</w:t>
            </w:r>
            <w:r w:rsidR="00DF1C37">
              <w:rPr>
                <w:color w:val="000000" w:themeColor="text1"/>
                <w:sz w:val="20"/>
                <w:szCs w:val="20"/>
                <w:lang w:val="en-CA"/>
              </w:rPr>
              <w:t> </w:t>
            </w:r>
            <w:r>
              <w:rPr>
                <w:color w:val="000000" w:themeColor="text1"/>
                <w:sz w:val="20"/>
                <w:szCs w:val="20"/>
                <w:lang w:val="en-CA"/>
              </w:rPr>
              <w:t>900</w:t>
            </w:r>
          </w:p>
        </w:tc>
      </w:tr>
      <w:tr w:rsidR="00EE4A85" w:rsidRPr="00F15AE3" w14:paraId="7EBDEE17" w14:textId="77777777" w:rsidTr="008611AB">
        <w:trPr>
          <w:trHeight w:val="235"/>
        </w:trPr>
        <w:tc>
          <w:tcPr>
            <w:tcW w:w="5000" w:type="pct"/>
            <w:gridSpan w:val="4"/>
          </w:tcPr>
          <w:p w14:paraId="39294161" w14:textId="7851DA2B" w:rsidR="00EE4A85" w:rsidRPr="000F13C8" w:rsidRDefault="008611AB" w:rsidP="006E723A">
            <w:pPr>
              <w:jc w:val="left"/>
              <w:rPr>
                <w:b/>
                <w:color w:val="000000" w:themeColor="text1"/>
                <w:sz w:val="20"/>
                <w:szCs w:val="20"/>
                <w:lang w:val="fr-CA"/>
              </w:rPr>
            </w:pPr>
            <w:r w:rsidRPr="008611AB">
              <w:rPr>
                <w:b/>
                <w:color w:val="000000" w:themeColor="text1"/>
                <w:sz w:val="20"/>
                <w:szCs w:val="20"/>
                <w:lang w:val="fr-FR"/>
              </w:rPr>
              <w:t>SECTION B :</w:t>
            </w:r>
            <w:r w:rsidR="00EE4A85" w:rsidRPr="000F13C8">
              <w:rPr>
                <w:b/>
                <w:color w:val="000000" w:themeColor="text1"/>
                <w:sz w:val="20"/>
                <w:szCs w:val="20"/>
                <w:lang w:val="fr-CA"/>
              </w:rPr>
              <w:t xml:space="preserve"> </w:t>
            </w:r>
            <w:r w:rsidRPr="008611AB">
              <w:rPr>
                <w:b/>
                <w:color w:val="000000" w:themeColor="text1"/>
                <w:sz w:val="20"/>
                <w:szCs w:val="20"/>
                <w:lang w:val="fr-FR"/>
              </w:rPr>
              <w:t>ACTIVITÉS RECOMMANDÉES POUR EXAMEN INDIVIDUEL</w:t>
            </w:r>
          </w:p>
        </w:tc>
      </w:tr>
      <w:tr w:rsidR="00EE4A85" w:rsidRPr="00F15AE3" w14:paraId="2FFA1AF8" w14:textId="77777777" w:rsidTr="008611AB">
        <w:trPr>
          <w:trHeight w:val="235"/>
        </w:trPr>
        <w:tc>
          <w:tcPr>
            <w:tcW w:w="5000" w:type="pct"/>
            <w:gridSpan w:val="4"/>
            <w:tcBorders>
              <w:top w:val="single" w:sz="4" w:space="0" w:color="auto"/>
              <w:left w:val="single" w:sz="4" w:space="0" w:color="auto"/>
              <w:bottom w:val="single" w:sz="4" w:space="0" w:color="auto"/>
              <w:right w:val="single" w:sz="4" w:space="0" w:color="auto"/>
            </w:tcBorders>
          </w:tcPr>
          <w:p w14:paraId="5763EFF9" w14:textId="2AF78138" w:rsidR="00EE4A85" w:rsidRPr="000F13C8" w:rsidRDefault="008611AB" w:rsidP="006E723A">
            <w:pPr>
              <w:jc w:val="left"/>
              <w:rPr>
                <w:b/>
                <w:color w:val="000000" w:themeColor="text1"/>
                <w:sz w:val="20"/>
                <w:szCs w:val="20"/>
                <w:lang w:val="fr-CA"/>
              </w:rPr>
            </w:pPr>
            <w:r w:rsidRPr="008611AB">
              <w:rPr>
                <w:b/>
                <w:color w:val="000000" w:themeColor="text1"/>
                <w:sz w:val="20"/>
                <w:szCs w:val="20"/>
                <w:lang w:val="fr-FR"/>
              </w:rPr>
              <w:t xml:space="preserve">B1: </w:t>
            </w:r>
            <w:r w:rsidRPr="008611AB">
              <w:rPr>
                <w:b/>
                <w:sz w:val="20"/>
                <w:szCs w:val="20"/>
                <w:lang w:val="fr-FR"/>
              </w:rPr>
              <w:t>Préparation</w:t>
            </w:r>
            <w:r w:rsidR="00551CEE">
              <w:rPr>
                <w:b/>
                <w:sz w:val="20"/>
                <w:szCs w:val="20"/>
                <w:lang w:val="fr-FR"/>
              </w:rPr>
              <w:t xml:space="preserve"> </w:t>
            </w:r>
            <w:r w:rsidRPr="008611AB">
              <w:rPr>
                <w:b/>
                <w:sz w:val="20"/>
                <w:szCs w:val="20"/>
                <w:lang w:val="fr-FR"/>
              </w:rPr>
              <w:t>de projet pour les plans de gestion de la réduction progressive des HFC</w:t>
            </w:r>
          </w:p>
        </w:tc>
      </w:tr>
      <w:tr w:rsidR="007B12E2" w:rsidRPr="000F6805" w14:paraId="24872D5A" w14:textId="77777777" w:rsidTr="003D75E3">
        <w:trPr>
          <w:trHeight w:val="235"/>
        </w:trPr>
        <w:tc>
          <w:tcPr>
            <w:tcW w:w="817" w:type="pct"/>
            <w:tcBorders>
              <w:top w:val="single" w:sz="4" w:space="0" w:color="auto"/>
              <w:left w:val="single" w:sz="4" w:space="0" w:color="auto"/>
              <w:bottom w:val="single" w:sz="4" w:space="0" w:color="auto"/>
              <w:right w:val="single" w:sz="4" w:space="0" w:color="auto"/>
            </w:tcBorders>
          </w:tcPr>
          <w:p w14:paraId="3510329F" w14:textId="21F5FED5" w:rsidR="007B12E2" w:rsidRPr="008611AB" w:rsidRDefault="008611AB" w:rsidP="006E723A">
            <w:pPr>
              <w:jc w:val="left"/>
              <w:rPr>
                <w:color w:val="000000"/>
                <w:sz w:val="20"/>
                <w:szCs w:val="20"/>
                <w:lang w:val="en-CA"/>
              </w:rPr>
            </w:pPr>
            <w:r w:rsidRPr="008611AB">
              <w:rPr>
                <w:color w:val="000000"/>
                <w:sz w:val="20"/>
                <w:szCs w:val="20"/>
                <w:lang w:val="fr-FR"/>
              </w:rPr>
              <w:t>Albanie****§</w:t>
            </w:r>
          </w:p>
        </w:tc>
        <w:tc>
          <w:tcPr>
            <w:tcW w:w="2547" w:type="pct"/>
            <w:tcBorders>
              <w:top w:val="single" w:sz="4" w:space="0" w:color="auto"/>
              <w:left w:val="single" w:sz="4" w:space="0" w:color="auto"/>
              <w:bottom w:val="single" w:sz="4" w:space="0" w:color="auto"/>
              <w:right w:val="single" w:sz="4" w:space="0" w:color="auto"/>
            </w:tcBorders>
          </w:tcPr>
          <w:p w14:paraId="4972D607" w14:textId="66EE1B47" w:rsidR="007B12E2"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Borders>
              <w:top w:val="single" w:sz="4" w:space="0" w:color="auto"/>
              <w:left w:val="single" w:sz="4" w:space="0" w:color="auto"/>
              <w:bottom w:val="single" w:sz="4" w:space="0" w:color="auto"/>
              <w:right w:val="single" w:sz="4" w:space="0" w:color="auto"/>
            </w:tcBorders>
          </w:tcPr>
          <w:p w14:paraId="5589A355" w14:textId="19DA5663" w:rsidR="007B12E2" w:rsidRPr="000F6805" w:rsidRDefault="007B12E2" w:rsidP="000C6172">
            <w:pPr>
              <w:jc w:val="right"/>
              <w:rPr>
                <w:color w:val="000000" w:themeColor="text1"/>
                <w:sz w:val="20"/>
                <w:szCs w:val="20"/>
                <w:lang w:val="en-CA"/>
              </w:rPr>
            </w:pPr>
            <w:r w:rsidRPr="000F6805">
              <w:rPr>
                <w:color w:val="000000" w:themeColor="text1"/>
                <w:sz w:val="20"/>
                <w:szCs w:val="20"/>
                <w:lang w:val="en-CA"/>
              </w:rPr>
              <w:t>31</w:t>
            </w:r>
            <w:r w:rsidR="00DF1C37">
              <w:rPr>
                <w:color w:val="000000" w:themeColor="text1"/>
                <w:sz w:val="20"/>
                <w:szCs w:val="20"/>
                <w:lang w:val="en-CA"/>
              </w:rPr>
              <w:t> </w:t>
            </w:r>
            <w:r w:rsidRPr="000F6805">
              <w:rPr>
                <w:color w:val="000000" w:themeColor="text1"/>
                <w:sz w:val="20"/>
                <w:szCs w:val="20"/>
                <w:lang w:val="en-CA"/>
              </w:rPr>
              <w:t>500</w:t>
            </w:r>
          </w:p>
        </w:tc>
        <w:tc>
          <w:tcPr>
            <w:tcW w:w="788" w:type="pct"/>
            <w:tcBorders>
              <w:top w:val="single" w:sz="4" w:space="0" w:color="auto"/>
              <w:left w:val="single" w:sz="4" w:space="0" w:color="auto"/>
              <w:bottom w:val="single" w:sz="4" w:space="0" w:color="auto"/>
              <w:right w:val="single" w:sz="4" w:space="0" w:color="auto"/>
            </w:tcBorders>
          </w:tcPr>
          <w:p w14:paraId="1C4BD716" w14:textId="77777777" w:rsidR="007B12E2" w:rsidRPr="000F6805" w:rsidRDefault="007B12E2" w:rsidP="000C6172">
            <w:pPr>
              <w:jc w:val="right"/>
              <w:rPr>
                <w:color w:val="000000" w:themeColor="text1"/>
                <w:sz w:val="20"/>
                <w:szCs w:val="20"/>
                <w:lang w:val="en-CA"/>
              </w:rPr>
            </w:pPr>
            <w:r w:rsidRPr="000F6805">
              <w:rPr>
                <w:color w:val="000000" w:themeColor="text1"/>
                <w:sz w:val="20"/>
                <w:szCs w:val="20"/>
                <w:lang w:val="en-CA"/>
              </w:rPr>
              <w:t>*****</w:t>
            </w:r>
          </w:p>
        </w:tc>
      </w:tr>
      <w:tr w:rsidR="00342F5D" w:rsidRPr="000F6805" w14:paraId="3CBBEFD5" w14:textId="77777777" w:rsidTr="003D75E3">
        <w:trPr>
          <w:trHeight w:val="235"/>
        </w:trPr>
        <w:tc>
          <w:tcPr>
            <w:tcW w:w="817" w:type="pct"/>
          </w:tcPr>
          <w:p w14:paraId="6FE92823" w14:textId="31961813" w:rsidR="00342F5D" w:rsidRPr="008611AB" w:rsidRDefault="008611AB" w:rsidP="006E723A">
            <w:pPr>
              <w:jc w:val="left"/>
              <w:rPr>
                <w:color w:val="000000" w:themeColor="text1"/>
                <w:sz w:val="20"/>
                <w:szCs w:val="20"/>
                <w:lang w:val="en-CA"/>
              </w:rPr>
            </w:pPr>
            <w:r w:rsidRPr="008611AB">
              <w:rPr>
                <w:color w:val="000000" w:themeColor="text1"/>
                <w:sz w:val="20"/>
                <w:szCs w:val="20"/>
                <w:lang w:val="fr-FR"/>
              </w:rPr>
              <w:t>Arménie</w:t>
            </w:r>
          </w:p>
        </w:tc>
        <w:tc>
          <w:tcPr>
            <w:tcW w:w="2547" w:type="pct"/>
          </w:tcPr>
          <w:p w14:paraId="5EB5BE99" w14:textId="6725375F" w:rsidR="00342F5D" w:rsidRPr="000F13C8" w:rsidRDefault="008611AB" w:rsidP="006E723A">
            <w:pPr>
              <w:rPr>
                <w:bCs/>
                <w:sz w:val="20"/>
                <w:szCs w:val="20"/>
                <w:lang w:val="fr-CA"/>
              </w:rPr>
            </w:pPr>
            <w:r w:rsidRPr="008611AB">
              <w:rPr>
                <w:bCs/>
                <w:sz w:val="20"/>
                <w:szCs w:val="20"/>
                <w:lang w:val="fr-FR"/>
              </w:rPr>
              <w:t>Préparation du plan de gestion de la réduction progressive des HFC</w:t>
            </w:r>
          </w:p>
        </w:tc>
        <w:tc>
          <w:tcPr>
            <w:tcW w:w="848" w:type="pct"/>
          </w:tcPr>
          <w:p w14:paraId="7D5DE565" w14:textId="369E9AD7"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150</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16365086" w14:textId="4E2F023C"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51A6C350" w14:textId="77777777" w:rsidTr="003D75E3">
        <w:trPr>
          <w:trHeight w:val="235"/>
        </w:trPr>
        <w:tc>
          <w:tcPr>
            <w:tcW w:w="817" w:type="pct"/>
          </w:tcPr>
          <w:p w14:paraId="28E96B12" w14:textId="7A8C5E65" w:rsidR="00342F5D" w:rsidRPr="008611AB" w:rsidRDefault="008611AB" w:rsidP="006E723A">
            <w:pPr>
              <w:jc w:val="left"/>
              <w:rPr>
                <w:color w:val="000000" w:themeColor="text1"/>
                <w:sz w:val="20"/>
                <w:szCs w:val="20"/>
                <w:lang w:val="en-CA"/>
              </w:rPr>
            </w:pPr>
            <w:r w:rsidRPr="008611AB">
              <w:rPr>
                <w:color w:val="000000" w:themeColor="text1"/>
                <w:sz w:val="20"/>
                <w:szCs w:val="20"/>
                <w:lang w:val="fr-FR"/>
              </w:rPr>
              <w:t>Bhoutan*</w:t>
            </w:r>
          </w:p>
        </w:tc>
        <w:tc>
          <w:tcPr>
            <w:tcW w:w="2547" w:type="pct"/>
          </w:tcPr>
          <w:p w14:paraId="1DBD5640" w14:textId="1CA20FDB"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03A29E62" w14:textId="07C2D575"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75</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10A2D3DF" w14:textId="25F69A3F"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32290197" w14:textId="77777777" w:rsidTr="003D75E3">
        <w:trPr>
          <w:trHeight w:val="235"/>
        </w:trPr>
        <w:tc>
          <w:tcPr>
            <w:tcW w:w="817" w:type="pct"/>
          </w:tcPr>
          <w:p w14:paraId="059FC1D6" w14:textId="0F1BF222" w:rsidR="00342F5D" w:rsidRPr="008611AB" w:rsidRDefault="008611AB" w:rsidP="006E723A">
            <w:pPr>
              <w:jc w:val="left"/>
              <w:rPr>
                <w:color w:val="000000" w:themeColor="text1"/>
                <w:sz w:val="20"/>
                <w:szCs w:val="20"/>
                <w:lang w:val="en-CA"/>
              </w:rPr>
            </w:pPr>
            <w:r w:rsidRPr="008611AB">
              <w:rPr>
                <w:color w:val="000000" w:themeColor="text1"/>
                <w:sz w:val="20"/>
                <w:szCs w:val="20"/>
                <w:lang w:val="fr-FR"/>
              </w:rPr>
              <w:t>Ghana**</w:t>
            </w:r>
          </w:p>
        </w:tc>
        <w:tc>
          <w:tcPr>
            <w:tcW w:w="2547" w:type="pct"/>
          </w:tcPr>
          <w:p w14:paraId="5CDBE630" w14:textId="2182D623"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7B1AA928" w14:textId="4BCE1EFE"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45</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48D86F0C" w14:textId="279BE69F"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64B362BD" w14:textId="77777777" w:rsidTr="003D75E3">
        <w:trPr>
          <w:trHeight w:val="235"/>
        </w:trPr>
        <w:tc>
          <w:tcPr>
            <w:tcW w:w="817" w:type="pct"/>
          </w:tcPr>
          <w:p w14:paraId="6A2EDCB6" w14:textId="30422B2D" w:rsidR="00342F5D" w:rsidRPr="008611AB" w:rsidRDefault="008611AB" w:rsidP="006E723A">
            <w:pPr>
              <w:jc w:val="left"/>
              <w:rPr>
                <w:color w:val="000000" w:themeColor="text1"/>
                <w:sz w:val="20"/>
                <w:szCs w:val="20"/>
                <w:lang w:val="en-CA"/>
              </w:rPr>
            </w:pPr>
            <w:r w:rsidRPr="008611AB">
              <w:rPr>
                <w:color w:val="000000" w:themeColor="text1"/>
                <w:sz w:val="20"/>
                <w:szCs w:val="20"/>
                <w:lang w:val="fr-FR"/>
              </w:rPr>
              <w:t>Kirghizistan**</w:t>
            </w:r>
          </w:p>
        </w:tc>
        <w:tc>
          <w:tcPr>
            <w:tcW w:w="2547" w:type="pct"/>
          </w:tcPr>
          <w:p w14:paraId="22D630AC" w14:textId="29C31D26"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0E16084F" w14:textId="20BA5E04"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25</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7E497FA9" w14:textId="6C975276"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72FD892D" w14:textId="77777777" w:rsidTr="003D75E3">
        <w:trPr>
          <w:trHeight w:val="235"/>
        </w:trPr>
        <w:tc>
          <w:tcPr>
            <w:tcW w:w="817" w:type="pct"/>
          </w:tcPr>
          <w:p w14:paraId="50DFDFAD" w14:textId="29D15E9E" w:rsidR="00342F5D" w:rsidRPr="008611AB" w:rsidRDefault="008611AB" w:rsidP="006E723A">
            <w:pPr>
              <w:jc w:val="left"/>
              <w:rPr>
                <w:color w:val="000000"/>
                <w:sz w:val="20"/>
                <w:szCs w:val="20"/>
              </w:rPr>
            </w:pPr>
            <w:r w:rsidRPr="008611AB">
              <w:rPr>
                <w:color w:val="000000"/>
                <w:sz w:val="20"/>
                <w:szCs w:val="20"/>
                <w:lang w:val="fr-FR"/>
              </w:rPr>
              <w:t>RDP lao*</w:t>
            </w:r>
          </w:p>
        </w:tc>
        <w:tc>
          <w:tcPr>
            <w:tcW w:w="2547" w:type="pct"/>
          </w:tcPr>
          <w:p w14:paraId="3794C2B8" w14:textId="6A03334D" w:rsidR="00342F5D" w:rsidRPr="000F13C8" w:rsidRDefault="008611AB" w:rsidP="006E723A">
            <w:pPr>
              <w:rPr>
                <w:bCs/>
                <w:sz w:val="20"/>
                <w:szCs w:val="20"/>
                <w:lang w:val="fr-CA"/>
              </w:rPr>
            </w:pPr>
            <w:r w:rsidRPr="008611AB">
              <w:rPr>
                <w:bCs/>
                <w:sz w:val="20"/>
                <w:szCs w:val="20"/>
                <w:lang w:val="fr-FR"/>
              </w:rPr>
              <w:t>Préparation du plan de gestion de la réduction progressive des HFC</w:t>
            </w:r>
          </w:p>
        </w:tc>
        <w:tc>
          <w:tcPr>
            <w:tcW w:w="848" w:type="pct"/>
          </w:tcPr>
          <w:p w14:paraId="60FEE2A3" w14:textId="574E405E"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75</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2D49603B" w14:textId="2A8B84AB"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07D34153" w14:textId="77777777" w:rsidTr="003D75E3">
        <w:trPr>
          <w:trHeight w:val="235"/>
        </w:trPr>
        <w:tc>
          <w:tcPr>
            <w:tcW w:w="817" w:type="pct"/>
          </w:tcPr>
          <w:p w14:paraId="03848A13" w14:textId="3981EC9D" w:rsidR="00342F5D" w:rsidRPr="008611AB" w:rsidRDefault="008611AB" w:rsidP="006E723A">
            <w:pPr>
              <w:jc w:val="left"/>
              <w:rPr>
                <w:color w:val="000000"/>
                <w:sz w:val="20"/>
                <w:szCs w:val="20"/>
              </w:rPr>
            </w:pPr>
            <w:r w:rsidRPr="008611AB">
              <w:rPr>
                <w:color w:val="000000"/>
                <w:sz w:val="20"/>
                <w:szCs w:val="20"/>
                <w:lang w:val="fr-FR"/>
              </w:rPr>
              <w:t>Maldives*</w:t>
            </w:r>
          </w:p>
        </w:tc>
        <w:tc>
          <w:tcPr>
            <w:tcW w:w="2547" w:type="pct"/>
          </w:tcPr>
          <w:p w14:paraId="0EB19ECC" w14:textId="01206EDD"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4F25ABCF" w14:textId="08B7E576" w:rsidR="00342F5D" w:rsidRPr="000F6805" w:rsidRDefault="000E5310" w:rsidP="00342F5D">
            <w:pPr>
              <w:jc w:val="right"/>
              <w:rPr>
                <w:color w:val="000000" w:themeColor="text1"/>
                <w:sz w:val="20"/>
                <w:szCs w:val="20"/>
                <w:lang w:val="en-CA"/>
              </w:rPr>
            </w:pPr>
            <w:r w:rsidRPr="000F6805">
              <w:rPr>
                <w:color w:val="000000" w:themeColor="text1"/>
                <w:sz w:val="20"/>
                <w:szCs w:val="20"/>
                <w:lang w:val="en-CA"/>
              </w:rPr>
              <w:t>75</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733D0AC6" w14:textId="0FF58101"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2A29917B" w14:textId="77777777" w:rsidTr="003D75E3">
        <w:trPr>
          <w:trHeight w:val="235"/>
        </w:trPr>
        <w:tc>
          <w:tcPr>
            <w:tcW w:w="817" w:type="pct"/>
          </w:tcPr>
          <w:p w14:paraId="4E7DB623" w14:textId="2FE2BA19" w:rsidR="00342F5D" w:rsidRPr="008611AB" w:rsidRDefault="008611AB" w:rsidP="006E723A">
            <w:pPr>
              <w:jc w:val="left"/>
              <w:rPr>
                <w:color w:val="000000"/>
                <w:sz w:val="20"/>
                <w:szCs w:val="20"/>
              </w:rPr>
            </w:pPr>
            <w:r w:rsidRPr="008611AB">
              <w:rPr>
                <w:color w:val="000000"/>
                <w:sz w:val="20"/>
                <w:szCs w:val="20"/>
                <w:lang w:val="fr-FR"/>
              </w:rPr>
              <w:t>Mexique****</w:t>
            </w:r>
          </w:p>
        </w:tc>
        <w:tc>
          <w:tcPr>
            <w:tcW w:w="2547" w:type="pct"/>
          </w:tcPr>
          <w:p w14:paraId="47C14444" w14:textId="2651B19C"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5C64BF97" w14:textId="6E267405" w:rsidR="00342F5D" w:rsidRPr="000F6805" w:rsidRDefault="000E5310" w:rsidP="00342F5D">
            <w:pPr>
              <w:jc w:val="right"/>
              <w:rPr>
                <w:color w:val="000000" w:themeColor="text1"/>
                <w:sz w:val="20"/>
                <w:szCs w:val="20"/>
                <w:lang w:val="en-CA"/>
              </w:rPr>
            </w:pPr>
            <w:r w:rsidRPr="000F6805">
              <w:rPr>
                <w:color w:val="000000" w:themeColor="text1"/>
                <w:sz w:val="20"/>
                <w:szCs w:val="20"/>
                <w:lang w:val="en-CA"/>
              </w:rPr>
              <w:t>35</w:t>
            </w:r>
            <w:r w:rsidR="00DF1C37">
              <w:rPr>
                <w:color w:val="000000" w:themeColor="text1"/>
                <w:sz w:val="20"/>
                <w:szCs w:val="20"/>
                <w:lang w:val="en-CA"/>
              </w:rPr>
              <w:t> </w:t>
            </w:r>
            <w:r w:rsidR="00342F5D" w:rsidRPr="000F6805">
              <w:rPr>
                <w:color w:val="000000" w:themeColor="text1"/>
                <w:sz w:val="20"/>
                <w:szCs w:val="20"/>
                <w:lang w:val="en-CA"/>
              </w:rPr>
              <w:t>000</w:t>
            </w:r>
          </w:p>
        </w:tc>
        <w:tc>
          <w:tcPr>
            <w:tcW w:w="788" w:type="pct"/>
          </w:tcPr>
          <w:p w14:paraId="2016EA5C" w14:textId="58248C43"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285C28BC" w14:textId="77777777" w:rsidTr="003D75E3">
        <w:trPr>
          <w:trHeight w:val="235"/>
        </w:trPr>
        <w:tc>
          <w:tcPr>
            <w:tcW w:w="817" w:type="pct"/>
          </w:tcPr>
          <w:p w14:paraId="17BEEF28" w14:textId="4B326FB8" w:rsidR="00342F5D" w:rsidRPr="008611AB" w:rsidRDefault="008611AB" w:rsidP="006E723A">
            <w:pPr>
              <w:jc w:val="left"/>
              <w:rPr>
                <w:color w:val="000000"/>
                <w:sz w:val="20"/>
                <w:szCs w:val="20"/>
              </w:rPr>
            </w:pPr>
            <w:r w:rsidRPr="008611AB">
              <w:rPr>
                <w:color w:val="000000"/>
                <w:sz w:val="20"/>
                <w:szCs w:val="20"/>
                <w:lang w:val="fr-FR"/>
              </w:rPr>
              <w:t>Nigeria**</w:t>
            </w:r>
          </w:p>
        </w:tc>
        <w:tc>
          <w:tcPr>
            <w:tcW w:w="2547" w:type="pct"/>
          </w:tcPr>
          <w:p w14:paraId="12E99259" w14:textId="133BEDCA" w:rsidR="00342F5D" w:rsidRPr="000F13C8" w:rsidRDefault="008611AB" w:rsidP="006E723A">
            <w:pPr>
              <w:rPr>
                <w:sz w:val="20"/>
                <w:szCs w:val="20"/>
                <w:lang w:val="fr-CA"/>
              </w:rPr>
            </w:pPr>
            <w:r w:rsidRPr="008611AB">
              <w:rPr>
                <w:bCs/>
                <w:sz w:val="20"/>
                <w:szCs w:val="20"/>
                <w:lang w:val="fr-FR"/>
              </w:rPr>
              <w:t>Préparation du plan de gestion de la réduction progressive des HFC</w:t>
            </w:r>
          </w:p>
        </w:tc>
        <w:tc>
          <w:tcPr>
            <w:tcW w:w="848" w:type="pct"/>
          </w:tcPr>
          <w:p w14:paraId="25A01861" w14:textId="622B4A8C" w:rsidR="00342F5D" w:rsidRPr="000F6805" w:rsidRDefault="000E5310" w:rsidP="00342F5D">
            <w:pPr>
              <w:jc w:val="right"/>
              <w:rPr>
                <w:color w:val="000000" w:themeColor="text1"/>
                <w:sz w:val="20"/>
                <w:szCs w:val="20"/>
                <w:lang w:val="en-CA"/>
              </w:rPr>
            </w:pPr>
            <w:r w:rsidRPr="000F6805">
              <w:rPr>
                <w:color w:val="000000" w:themeColor="text1"/>
                <w:sz w:val="20"/>
                <w:szCs w:val="20"/>
                <w:lang w:val="en-CA"/>
              </w:rPr>
              <w:t>58</w:t>
            </w:r>
            <w:r w:rsidR="00DF1C37">
              <w:rPr>
                <w:color w:val="000000" w:themeColor="text1"/>
                <w:sz w:val="20"/>
                <w:szCs w:val="20"/>
                <w:lang w:val="en-CA"/>
              </w:rPr>
              <w:t> </w:t>
            </w:r>
            <w:r w:rsidR="00342F5D" w:rsidRPr="000F6805">
              <w:rPr>
                <w:color w:val="000000" w:themeColor="text1"/>
                <w:sz w:val="20"/>
                <w:szCs w:val="20"/>
                <w:lang w:val="en-CA"/>
              </w:rPr>
              <w:t>000</w:t>
            </w:r>
          </w:p>
        </w:tc>
        <w:tc>
          <w:tcPr>
            <w:tcW w:w="788" w:type="pct"/>
          </w:tcPr>
          <w:p w14:paraId="09D415FC" w14:textId="003E48DD"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342F5D" w:rsidRPr="000F6805" w14:paraId="476AE2B2" w14:textId="77777777" w:rsidTr="003D75E3">
        <w:trPr>
          <w:trHeight w:val="235"/>
        </w:trPr>
        <w:tc>
          <w:tcPr>
            <w:tcW w:w="817" w:type="pct"/>
          </w:tcPr>
          <w:p w14:paraId="72937302" w14:textId="05C554EB" w:rsidR="00342F5D" w:rsidRPr="008611AB" w:rsidRDefault="008611AB" w:rsidP="006E723A">
            <w:pPr>
              <w:jc w:val="left"/>
              <w:rPr>
                <w:color w:val="000000"/>
                <w:sz w:val="20"/>
                <w:szCs w:val="20"/>
              </w:rPr>
            </w:pPr>
            <w:r w:rsidRPr="008611AB">
              <w:rPr>
                <w:color w:val="000000"/>
                <w:sz w:val="20"/>
                <w:szCs w:val="20"/>
                <w:lang w:val="fr-FR"/>
              </w:rPr>
              <w:t>Sénégal***</w:t>
            </w:r>
          </w:p>
        </w:tc>
        <w:tc>
          <w:tcPr>
            <w:tcW w:w="2547" w:type="pct"/>
          </w:tcPr>
          <w:p w14:paraId="1DB01534" w14:textId="78EE6767" w:rsidR="00342F5D" w:rsidRPr="000F13C8" w:rsidRDefault="008611AB" w:rsidP="006E723A">
            <w:pPr>
              <w:rPr>
                <w:bCs/>
                <w:sz w:val="20"/>
                <w:szCs w:val="20"/>
                <w:lang w:val="fr-CA"/>
              </w:rPr>
            </w:pPr>
            <w:r w:rsidRPr="008611AB">
              <w:rPr>
                <w:bCs/>
                <w:sz w:val="20"/>
                <w:szCs w:val="20"/>
                <w:lang w:val="fr-FR"/>
              </w:rPr>
              <w:t>Préparation du plan de gestion de la réduction progressive des HFC</w:t>
            </w:r>
          </w:p>
        </w:tc>
        <w:tc>
          <w:tcPr>
            <w:tcW w:w="848" w:type="pct"/>
          </w:tcPr>
          <w:p w14:paraId="072A40F0" w14:textId="40AA6799" w:rsidR="00342F5D" w:rsidRPr="000F6805" w:rsidRDefault="000E5310" w:rsidP="00342F5D">
            <w:pPr>
              <w:jc w:val="right"/>
              <w:rPr>
                <w:color w:val="000000" w:themeColor="text1"/>
                <w:sz w:val="20"/>
                <w:szCs w:val="20"/>
                <w:lang w:val="en-CA"/>
              </w:rPr>
            </w:pPr>
            <w:r w:rsidRPr="000F6805">
              <w:rPr>
                <w:color w:val="000000" w:themeColor="text1"/>
                <w:sz w:val="20"/>
                <w:szCs w:val="20"/>
                <w:lang w:val="en-CA"/>
              </w:rPr>
              <w:t>60</w:t>
            </w:r>
            <w:r w:rsidR="00DF1C37">
              <w:rPr>
                <w:color w:val="000000" w:themeColor="text1"/>
                <w:sz w:val="20"/>
                <w:szCs w:val="20"/>
                <w:lang w:val="en-CA"/>
              </w:rPr>
              <w:t> </w:t>
            </w:r>
            <w:r w:rsidR="00342F5D" w:rsidRPr="000F6805">
              <w:rPr>
                <w:color w:val="000000" w:themeColor="text1"/>
                <w:sz w:val="20"/>
                <w:szCs w:val="20"/>
                <w:lang w:val="en-CA"/>
              </w:rPr>
              <w:t>000</w:t>
            </w:r>
          </w:p>
        </w:tc>
        <w:tc>
          <w:tcPr>
            <w:tcW w:w="788" w:type="pct"/>
          </w:tcPr>
          <w:p w14:paraId="7B09F0E1" w14:textId="2CE633E0" w:rsidR="00342F5D" w:rsidRPr="000F6805" w:rsidRDefault="00342F5D" w:rsidP="00342F5D">
            <w:pPr>
              <w:jc w:val="right"/>
              <w:rPr>
                <w:color w:val="000000" w:themeColor="text1"/>
                <w:sz w:val="20"/>
                <w:szCs w:val="20"/>
                <w:lang w:val="en-CA"/>
              </w:rPr>
            </w:pPr>
            <w:r w:rsidRPr="000F6805">
              <w:rPr>
                <w:color w:val="000000" w:themeColor="text1"/>
                <w:sz w:val="20"/>
                <w:szCs w:val="20"/>
                <w:lang w:val="en-CA"/>
              </w:rPr>
              <w:t>*****</w:t>
            </w:r>
          </w:p>
        </w:tc>
      </w:tr>
      <w:tr w:rsidR="000E5310" w:rsidRPr="000F6805" w14:paraId="20FEE946" w14:textId="77777777" w:rsidTr="003D75E3">
        <w:trPr>
          <w:trHeight w:val="235"/>
        </w:trPr>
        <w:tc>
          <w:tcPr>
            <w:tcW w:w="817" w:type="pct"/>
          </w:tcPr>
          <w:p w14:paraId="70A39382" w14:textId="775B837A" w:rsidR="000E5310" w:rsidRPr="008611AB" w:rsidRDefault="008611AB" w:rsidP="006E723A">
            <w:pPr>
              <w:jc w:val="left"/>
              <w:rPr>
                <w:color w:val="000000"/>
                <w:sz w:val="20"/>
                <w:szCs w:val="20"/>
              </w:rPr>
            </w:pPr>
            <w:r w:rsidRPr="008611AB">
              <w:rPr>
                <w:color w:val="000000"/>
                <w:sz w:val="20"/>
                <w:szCs w:val="20"/>
                <w:lang w:val="fr-FR"/>
              </w:rPr>
              <w:t>Turkménistan</w:t>
            </w:r>
          </w:p>
        </w:tc>
        <w:tc>
          <w:tcPr>
            <w:tcW w:w="2547" w:type="pct"/>
          </w:tcPr>
          <w:p w14:paraId="4E5ECD99" w14:textId="1BFE7D9B" w:rsidR="000E5310" w:rsidRPr="000F13C8" w:rsidRDefault="008611AB" w:rsidP="006E723A">
            <w:pPr>
              <w:rPr>
                <w:bCs/>
                <w:sz w:val="20"/>
                <w:szCs w:val="20"/>
                <w:lang w:val="fr-CA"/>
              </w:rPr>
            </w:pPr>
            <w:r w:rsidRPr="008611AB">
              <w:rPr>
                <w:bCs/>
                <w:sz w:val="20"/>
                <w:szCs w:val="20"/>
                <w:lang w:val="fr-FR"/>
              </w:rPr>
              <w:t>Préparation du plan de gestion de la réduction progressive des HFC</w:t>
            </w:r>
          </w:p>
        </w:tc>
        <w:tc>
          <w:tcPr>
            <w:tcW w:w="848" w:type="pct"/>
          </w:tcPr>
          <w:p w14:paraId="26024BAA" w14:textId="32E3D1C3" w:rsidR="000E5310" w:rsidRPr="000F6805" w:rsidRDefault="000E5310" w:rsidP="000E5310">
            <w:pPr>
              <w:jc w:val="right"/>
              <w:rPr>
                <w:color w:val="000000" w:themeColor="text1"/>
                <w:sz w:val="20"/>
                <w:szCs w:val="20"/>
                <w:lang w:val="en-CA"/>
              </w:rPr>
            </w:pPr>
            <w:r w:rsidRPr="000F6805">
              <w:rPr>
                <w:color w:val="000000" w:themeColor="text1"/>
                <w:sz w:val="20"/>
                <w:szCs w:val="20"/>
                <w:lang w:val="en-CA"/>
              </w:rPr>
              <w:t>150</w:t>
            </w:r>
            <w:r w:rsidR="00DF1C37">
              <w:rPr>
                <w:color w:val="000000" w:themeColor="text1"/>
                <w:sz w:val="20"/>
                <w:szCs w:val="20"/>
                <w:lang w:val="en-CA"/>
              </w:rPr>
              <w:t> </w:t>
            </w:r>
            <w:r w:rsidRPr="000F6805">
              <w:rPr>
                <w:color w:val="000000" w:themeColor="text1"/>
                <w:sz w:val="20"/>
                <w:szCs w:val="20"/>
                <w:lang w:val="en-CA"/>
              </w:rPr>
              <w:t>000</w:t>
            </w:r>
          </w:p>
        </w:tc>
        <w:tc>
          <w:tcPr>
            <w:tcW w:w="788" w:type="pct"/>
          </w:tcPr>
          <w:p w14:paraId="411D6D82" w14:textId="77777777" w:rsidR="000E5310" w:rsidRPr="000F6805" w:rsidRDefault="000E5310" w:rsidP="000E5310">
            <w:pPr>
              <w:jc w:val="right"/>
              <w:rPr>
                <w:color w:val="000000" w:themeColor="text1"/>
                <w:sz w:val="20"/>
                <w:szCs w:val="20"/>
                <w:lang w:val="en-CA"/>
              </w:rPr>
            </w:pPr>
          </w:p>
        </w:tc>
      </w:tr>
      <w:tr w:rsidR="000E5310" w:rsidRPr="000F6805" w14:paraId="33DF0DE7" w14:textId="77777777" w:rsidTr="003D75E3">
        <w:trPr>
          <w:trHeight w:val="235"/>
        </w:trPr>
        <w:tc>
          <w:tcPr>
            <w:tcW w:w="3364" w:type="pct"/>
            <w:gridSpan w:val="2"/>
          </w:tcPr>
          <w:p w14:paraId="6A87A359" w14:textId="6C14D379" w:rsidR="000E5310" w:rsidRPr="008611AB" w:rsidRDefault="008611AB" w:rsidP="006E723A">
            <w:pPr>
              <w:jc w:val="right"/>
              <w:rPr>
                <w:color w:val="000000" w:themeColor="text1"/>
                <w:sz w:val="20"/>
                <w:szCs w:val="20"/>
                <w:lang w:val="en-CA"/>
              </w:rPr>
            </w:pPr>
            <w:r w:rsidRPr="008611AB">
              <w:rPr>
                <w:color w:val="000000" w:themeColor="text1"/>
                <w:sz w:val="20"/>
                <w:szCs w:val="20"/>
                <w:lang w:val="fr-FR"/>
              </w:rPr>
              <w:t>Sous-total pour B1 </w:t>
            </w:r>
          </w:p>
        </w:tc>
        <w:tc>
          <w:tcPr>
            <w:tcW w:w="848" w:type="pct"/>
          </w:tcPr>
          <w:p w14:paraId="7092819E" w14:textId="4B72FCF6" w:rsidR="000E5310" w:rsidRPr="000F6805" w:rsidRDefault="007B12E2" w:rsidP="000E5310">
            <w:pPr>
              <w:jc w:val="right"/>
              <w:rPr>
                <w:color w:val="000000" w:themeColor="text1"/>
                <w:sz w:val="20"/>
                <w:szCs w:val="20"/>
                <w:lang w:val="en-CA"/>
              </w:rPr>
            </w:pPr>
            <w:r w:rsidRPr="000F6805">
              <w:rPr>
                <w:color w:val="000000" w:themeColor="text1"/>
                <w:sz w:val="20"/>
                <w:szCs w:val="20"/>
                <w:lang w:val="en-CA"/>
              </w:rPr>
              <w:t>779</w:t>
            </w:r>
            <w:r w:rsidR="00DF1C37">
              <w:rPr>
                <w:color w:val="000000" w:themeColor="text1"/>
                <w:sz w:val="20"/>
                <w:szCs w:val="20"/>
                <w:lang w:val="en-CA"/>
              </w:rPr>
              <w:t> </w:t>
            </w:r>
            <w:r w:rsidRPr="000F6805">
              <w:rPr>
                <w:color w:val="000000" w:themeColor="text1"/>
                <w:sz w:val="20"/>
                <w:szCs w:val="20"/>
                <w:lang w:val="en-CA"/>
              </w:rPr>
              <w:t>500</w:t>
            </w:r>
          </w:p>
        </w:tc>
        <w:tc>
          <w:tcPr>
            <w:tcW w:w="788" w:type="pct"/>
          </w:tcPr>
          <w:p w14:paraId="3F838701" w14:textId="77777777" w:rsidR="000E5310" w:rsidRPr="000F6805" w:rsidRDefault="000E5310" w:rsidP="000E5310">
            <w:pPr>
              <w:jc w:val="right"/>
              <w:rPr>
                <w:color w:val="000000" w:themeColor="text1"/>
                <w:sz w:val="20"/>
                <w:szCs w:val="20"/>
                <w:lang w:val="en-CA"/>
              </w:rPr>
            </w:pPr>
            <w:r w:rsidRPr="000F6805">
              <w:rPr>
                <w:color w:val="000000" w:themeColor="text1"/>
                <w:sz w:val="20"/>
                <w:szCs w:val="20"/>
                <w:lang w:val="en-CA"/>
              </w:rPr>
              <w:t>***</w:t>
            </w:r>
          </w:p>
        </w:tc>
      </w:tr>
      <w:tr w:rsidR="000E5310" w:rsidRPr="000F6805" w14:paraId="060CA970" w14:textId="77777777" w:rsidTr="003D75E3">
        <w:trPr>
          <w:trHeight w:val="235"/>
        </w:trPr>
        <w:tc>
          <w:tcPr>
            <w:tcW w:w="3364" w:type="pct"/>
            <w:gridSpan w:val="2"/>
          </w:tcPr>
          <w:p w14:paraId="0F2516E9" w14:textId="3C66F609" w:rsidR="000E5310" w:rsidRPr="008611AB" w:rsidRDefault="008611AB" w:rsidP="006E723A">
            <w:pPr>
              <w:jc w:val="right"/>
              <w:rPr>
                <w:color w:val="000000" w:themeColor="text1"/>
                <w:sz w:val="20"/>
                <w:szCs w:val="20"/>
                <w:lang w:val="en-CA"/>
              </w:rPr>
            </w:pPr>
            <w:r w:rsidRPr="008611AB">
              <w:rPr>
                <w:color w:val="000000" w:themeColor="text1"/>
                <w:sz w:val="20"/>
                <w:szCs w:val="20"/>
                <w:lang w:val="fr-FR"/>
              </w:rPr>
              <w:t>Coûts d</w:t>
            </w:r>
            <w:r w:rsidR="00551CEE">
              <w:rPr>
                <w:color w:val="000000" w:themeColor="text1"/>
                <w:sz w:val="20"/>
                <w:szCs w:val="20"/>
                <w:lang w:val="fr-FR"/>
              </w:rPr>
              <w:t>’</w:t>
            </w:r>
            <w:r w:rsidRPr="008611AB">
              <w:rPr>
                <w:color w:val="000000" w:themeColor="text1"/>
                <w:sz w:val="20"/>
                <w:szCs w:val="20"/>
                <w:lang w:val="fr-FR"/>
              </w:rPr>
              <w:t>appui d</w:t>
            </w:r>
            <w:r w:rsidR="00551CEE">
              <w:rPr>
                <w:color w:val="000000" w:themeColor="text1"/>
                <w:sz w:val="20"/>
                <w:szCs w:val="20"/>
                <w:lang w:val="fr-FR"/>
              </w:rPr>
              <w:t>’</w:t>
            </w:r>
            <w:r w:rsidRPr="008611AB">
              <w:rPr>
                <w:color w:val="000000" w:themeColor="text1"/>
                <w:sz w:val="20"/>
                <w:szCs w:val="20"/>
                <w:lang w:val="fr-FR"/>
              </w:rPr>
              <w:t>agence</w:t>
            </w:r>
          </w:p>
        </w:tc>
        <w:tc>
          <w:tcPr>
            <w:tcW w:w="848" w:type="pct"/>
          </w:tcPr>
          <w:p w14:paraId="1CECA0C5" w14:textId="057F18F4" w:rsidR="000E5310" w:rsidRPr="000F6805" w:rsidRDefault="007B12E2" w:rsidP="000E5310">
            <w:pPr>
              <w:jc w:val="right"/>
              <w:rPr>
                <w:color w:val="000000" w:themeColor="text1"/>
                <w:sz w:val="20"/>
                <w:szCs w:val="20"/>
                <w:lang w:val="en-CA"/>
              </w:rPr>
            </w:pPr>
            <w:r w:rsidRPr="000F6805">
              <w:rPr>
                <w:color w:val="000000" w:themeColor="text1"/>
                <w:sz w:val="20"/>
                <w:szCs w:val="20"/>
                <w:lang w:val="en-CA"/>
              </w:rPr>
              <w:t>101</w:t>
            </w:r>
            <w:r w:rsidR="00DF1C37">
              <w:rPr>
                <w:color w:val="000000" w:themeColor="text1"/>
                <w:sz w:val="20"/>
                <w:szCs w:val="20"/>
                <w:lang w:val="en-CA"/>
              </w:rPr>
              <w:t> </w:t>
            </w:r>
            <w:r w:rsidRPr="000F6805">
              <w:rPr>
                <w:color w:val="000000" w:themeColor="text1"/>
                <w:sz w:val="20"/>
                <w:szCs w:val="20"/>
                <w:lang w:val="en-CA"/>
              </w:rPr>
              <w:t>335</w:t>
            </w:r>
          </w:p>
        </w:tc>
        <w:tc>
          <w:tcPr>
            <w:tcW w:w="788" w:type="pct"/>
          </w:tcPr>
          <w:p w14:paraId="3CE05AEA" w14:textId="77777777" w:rsidR="000E5310" w:rsidRPr="000F6805" w:rsidRDefault="000E5310" w:rsidP="000E5310">
            <w:pPr>
              <w:jc w:val="right"/>
              <w:rPr>
                <w:color w:val="000000" w:themeColor="text1"/>
                <w:sz w:val="20"/>
                <w:szCs w:val="20"/>
                <w:lang w:val="en-CA"/>
              </w:rPr>
            </w:pPr>
            <w:r w:rsidRPr="000F6805">
              <w:rPr>
                <w:color w:val="000000" w:themeColor="text1"/>
                <w:sz w:val="20"/>
                <w:szCs w:val="20"/>
                <w:lang w:val="en-CA"/>
              </w:rPr>
              <w:t>***</w:t>
            </w:r>
          </w:p>
        </w:tc>
      </w:tr>
      <w:tr w:rsidR="000E5310" w:rsidRPr="000F6805" w14:paraId="5CE900D9" w14:textId="77777777" w:rsidTr="003D75E3">
        <w:trPr>
          <w:trHeight w:val="235"/>
        </w:trPr>
        <w:tc>
          <w:tcPr>
            <w:tcW w:w="3364" w:type="pct"/>
            <w:gridSpan w:val="2"/>
          </w:tcPr>
          <w:p w14:paraId="2ECCECC7" w14:textId="03821D6C" w:rsidR="000E5310" w:rsidRPr="008611AB" w:rsidRDefault="008611AB" w:rsidP="006E723A">
            <w:pPr>
              <w:jc w:val="right"/>
              <w:rPr>
                <w:color w:val="000000" w:themeColor="text1"/>
                <w:sz w:val="20"/>
                <w:szCs w:val="20"/>
                <w:lang w:val="en-CA"/>
              </w:rPr>
            </w:pPr>
            <w:r w:rsidRPr="008611AB">
              <w:rPr>
                <w:color w:val="000000" w:themeColor="text1"/>
                <w:sz w:val="20"/>
                <w:szCs w:val="20"/>
                <w:lang w:val="fr-FR"/>
              </w:rPr>
              <w:t>Total pour B1</w:t>
            </w:r>
          </w:p>
        </w:tc>
        <w:tc>
          <w:tcPr>
            <w:tcW w:w="848" w:type="pct"/>
          </w:tcPr>
          <w:p w14:paraId="06A465E3" w14:textId="573DD757" w:rsidR="000E5310" w:rsidRPr="000F6805" w:rsidRDefault="007B12E2" w:rsidP="007B12E2">
            <w:pPr>
              <w:jc w:val="right"/>
              <w:rPr>
                <w:color w:val="000000" w:themeColor="text1"/>
                <w:sz w:val="20"/>
                <w:szCs w:val="20"/>
                <w:lang w:val="en-CA"/>
              </w:rPr>
            </w:pPr>
            <w:r w:rsidRPr="000F6805">
              <w:rPr>
                <w:color w:val="000000" w:themeColor="text1"/>
                <w:sz w:val="20"/>
                <w:szCs w:val="20"/>
                <w:lang w:val="en-CA"/>
              </w:rPr>
              <w:t>880</w:t>
            </w:r>
            <w:r w:rsidR="00DF1C37">
              <w:rPr>
                <w:color w:val="000000" w:themeColor="text1"/>
                <w:sz w:val="20"/>
                <w:szCs w:val="20"/>
                <w:lang w:val="en-CA"/>
              </w:rPr>
              <w:t> </w:t>
            </w:r>
            <w:r w:rsidRPr="000F6805">
              <w:rPr>
                <w:color w:val="000000" w:themeColor="text1"/>
                <w:sz w:val="20"/>
                <w:szCs w:val="20"/>
                <w:lang w:val="en-CA"/>
              </w:rPr>
              <w:t>835</w:t>
            </w:r>
          </w:p>
        </w:tc>
        <w:tc>
          <w:tcPr>
            <w:tcW w:w="788" w:type="pct"/>
          </w:tcPr>
          <w:p w14:paraId="6BE575E7" w14:textId="77777777" w:rsidR="000E5310" w:rsidRPr="000F6805" w:rsidRDefault="000E5310" w:rsidP="000E5310">
            <w:pPr>
              <w:jc w:val="right"/>
              <w:rPr>
                <w:color w:val="000000" w:themeColor="text1"/>
                <w:sz w:val="20"/>
                <w:szCs w:val="20"/>
                <w:lang w:val="en-CA"/>
              </w:rPr>
            </w:pPr>
            <w:r w:rsidRPr="000F6805">
              <w:rPr>
                <w:color w:val="000000" w:themeColor="text1"/>
                <w:sz w:val="20"/>
                <w:szCs w:val="20"/>
                <w:lang w:val="en-CA"/>
              </w:rPr>
              <w:t>***</w:t>
            </w:r>
          </w:p>
        </w:tc>
      </w:tr>
      <w:tr w:rsidR="000E5310" w:rsidRPr="000F6805" w14:paraId="2F0A5EE1" w14:textId="77777777" w:rsidTr="003D75E3">
        <w:trPr>
          <w:trHeight w:val="235"/>
        </w:trPr>
        <w:tc>
          <w:tcPr>
            <w:tcW w:w="3364" w:type="pct"/>
            <w:gridSpan w:val="2"/>
            <w:tcBorders>
              <w:top w:val="single" w:sz="4" w:space="0" w:color="auto"/>
              <w:left w:val="single" w:sz="4" w:space="0" w:color="auto"/>
              <w:bottom w:val="single" w:sz="4" w:space="0" w:color="auto"/>
              <w:right w:val="single" w:sz="4" w:space="0" w:color="auto"/>
            </w:tcBorders>
          </w:tcPr>
          <w:p w14:paraId="71D26E41" w14:textId="49D3A252" w:rsidR="000E5310" w:rsidRPr="000F13C8" w:rsidRDefault="008611AB" w:rsidP="006E723A">
            <w:pPr>
              <w:jc w:val="right"/>
              <w:rPr>
                <w:color w:val="000000" w:themeColor="text1"/>
                <w:sz w:val="20"/>
                <w:szCs w:val="20"/>
                <w:lang w:val="fr-CA"/>
              </w:rPr>
            </w:pPr>
            <w:r w:rsidRPr="008611AB">
              <w:rPr>
                <w:color w:val="000000" w:themeColor="text1"/>
                <w:sz w:val="20"/>
                <w:szCs w:val="20"/>
                <w:lang w:val="fr-FR"/>
              </w:rPr>
              <w:t>Grand total</w:t>
            </w:r>
            <w:r w:rsidR="00551CEE">
              <w:rPr>
                <w:color w:val="000000" w:themeColor="text1"/>
                <w:sz w:val="20"/>
                <w:szCs w:val="20"/>
                <w:lang w:val="fr-FR"/>
              </w:rPr>
              <w:t xml:space="preserve"> </w:t>
            </w:r>
            <w:r w:rsidRPr="008611AB">
              <w:rPr>
                <w:color w:val="000000" w:themeColor="text1"/>
                <w:sz w:val="20"/>
                <w:szCs w:val="20"/>
                <w:lang w:val="fr-FR"/>
              </w:rPr>
              <w:t>nécessaire ?? (A1, A2, B1)</w:t>
            </w:r>
          </w:p>
        </w:tc>
        <w:tc>
          <w:tcPr>
            <w:tcW w:w="848" w:type="pct"/>
            <w:tcBorders>
              <w:top w:val="single" w:sz="4" w:space="0" w:color="auto"/>
              <w:left w:val="single" w:sz="4" w:space="0" w:color="auto"/>
              <w:bottom w:val="single" w:sz="4" w:space="0" w:color="auto"/>
              <w:right w:val="single" w:sz="4" w:space="0" w:color="auto"/>
            </w:tcBorders>
          </w:tcPr>
          <w:p w14:paraId="30DCA342" w14:textId="5FED5B16" w:rsidR="000E5310" w:rsidRPr="000F6805" w:rsidRDefault="007B12E2" w:rsidP="000E5310">
            <w:pPr>
              <w:jc w:val="right"/>
              <w:rPr>
                <w:color w:val="000000" w:themeColor="text1"/>
                <w:sz w:val="20"/>
                <w:szCs w:val="20"/>
                <w:lang w:val="en-CA"/>
              </w:rPr>
            </w:pPr>
            <w:r w:rsidRPr="000F6805">
              <w:rPr>
                <w:color w:val="000000" w:themeColor="text1"/>
                <w:sz w:val="20"/>
                <w:szCs w:val="20"/>
                <w:lang w:val="en-CA"/>
              </w:rPr>
              <w:t>2</w:t>
            </w:r>
            <w:r w:rsidR="00DF1C37">
              <w:rPr>
                <w:color w:val="000000" w:themeColor="text1"/>
                <w:sz w:val="20"/>
                <w:szCs w:val="20"/>
                <w:lang w:val="en-CA"/>
              </w:rPr>
              <w:t> </w:t>
            </w:r>
            <w:r w:rsidRPr="000F6805">
              <w:rPr>
                <w:color w:val="000000" w:themeColor="text1"/>
                <w:sz w:val="20"/>
                <w:szCs w:val="20"/>
                <w:lang w:val="en-CA"/>
              </w:rPr>
              <w:t>913</w:t>
            </w:r>
            <w:r w:rsidR="00DF1C37">
              <w:rPr>
                <w:color w:val="000000" w:themeColor="text1"/>
                <w:sz w:val="20"/>
                <w:szCs w:val="20"/>
                <w:lang w:val="en-CA"/>
              </w:rPr>
              <w:t> </w:t>
            </w:r>
            <w:r w:rsidRPr="000F6805">
              <w:rPr>
                <w:color w:val="000000" w:themeColor="text1"/>
                <w:sz w:val="20"/>
                <w:szCs w:val="20"/>
                <w:lang w:val="en-CA"/>
              </w:rPr>
              <w:t>532</w:t>
            </w:r>
          </w:p>
        </w:tc>
        <w:tc>
          <w:tcPr>
            <w:tcW w:w="788" w:type="pct"/>
            <w:tcBorders>
              <w:top w:val="single" w:sz="4" w:space="0" w:color="auto"/>
              <w:left w:val="single" w:sz="4" w:space="0" w:color="auto"/>
              <w:bottom w:val="single" w:sz="4" w:space="0" w:color="auto"/>
              <w:right w:val="single" w:sz="4" w:space="0" w:color="auto"/>
            </w:tcBorders>
          </w:tcPr>
          <w:p w14:paraId="1B6FE755" w14:textId="69731BA6" w:rsidR="000E5310" w:rsidRPr="000F6805" w:rsidRDefault="00EB12A8" w:rsidP="00EB12A8">
            <w:pPr>
              <w:jc w:val="right"/>
              <w:rPr>
                <w:color w:val="000000" w:themeColor="text1"/>
                <w:sz w:val="20"/>
                <w:szCs w:val="20"/>
                <w:lang w:val="en-CA"/>
              </w:rPr>
            </w:pPr>
            <w:r w:rsidRPr="000F6805">
              <w:rPr>
                <w:color w:val="000000" w:themeColor="text1"/>
                <w:sz w:val="20"/>
                <w:szCs w:val="20"/>
                <w:lang w:val="en-CA"/>
              </w:rPr>
              <w:t>2</w:t>
            </w:r>
            <w:r w:rsidR="00DF1C37">
              <w:rPr>
                <w:color w:val="000000" w:themeColor="text1"/>
                <w:sz w:val="20"/>
                <w:szCs w:val="20"/>
                <w:lang w:val="en-CA"/>
              </w:rPr>
              <w:t> </w:t>
            </w:r>
            <w:r w:rsidRPr="000F6805">
              <w:rPr>
                <w:color w:val="000000" w:themeColor="text1"/>
                <w:sz w:val="20"/>
                <w:szCs w:val="20"/>
                <w:lang w:val="en-CA"/>
              </w:rPr>
              <w:t>032</w:t>
            </w:r>
            <w:r w:rsidR="00DF1C37">
              <w:rPr>
                <w:color w:val="000000" w:themeColor="text1"/>
                <w:sz w:val="20"/>
                <w:szCs w:val="20"/>
                <w:lang w:val="en-CA"/>
              </w:rPr>
              <w:t> </w:t>
            </w:r>
            <w:r w:rsidRPr="000F6805">
              <w:rPr>
                <w:color w:val="000000" w:themeColor="text1"/>
                <w:sz w:val="20"/>
                <w:szCs w:val="20"/>
                <w:lang w:val="en-CA"/>
              </w:rPr>
              <w:t>697</w:t>
            </w:r>
          </w:p>
        </w:tc>
      </w:tr>
    </w:tbl>
    <w:bookmarkEnd w:id="1"/>
    <w:p w14:paraId="704B1C88" w14:textId="52CCD0B4" w:rsidR="006E24B7" w:rsidRPr="000F13C8" w:rsidRDefault="008611AB" w:rsidP="006E24B7">
      <w:pPr>
        <w:tabs>
          <w:tab w:val="left" w:pos="8280"/>
        </w:tabs>
        <w:rPr>
          <w:sz w:val="19"/>
          <w:szCs w:val="19"/>
          <w:lang w:val="fr-CA"/>
        </w:rPr>
      </w:pPr>
      <w:r w:rsidRPr="008611AB">
        <w:rPr>
          <w:sz w:val="19"/>
          <w:szCs w:val="19"/>
          <w:lang w:val="fr-FR"/>
        </w:rPr>
        <w:t>*PNUD en tant qu</w:t>
      </w:r>
      <w:r w:rsidR="00551CEE">
        <w:rPr>
          <w:sz w:val="19"/>
          <w:szCs w:val="19"/>
          <w:lang w:val="fr-FR"/>
        </w:rPr>
        <w:t>’</w:t>
      </w:r>
      <w:r w:rsidRPr="008611AB">
        <w:rPr>
          <w:sz w:val="19"/>
          <w:szCs w:val="19"/>
          <w:lang w:val="fr-FR"/>
        </w:rPr>
        <w:t>agence d</w:t>
      </w:r>
      <w:r w:rsidR="00551CEE">
        <w:rPr>
          <w:sz w:val="19"/>
          <w:szCs w:val="19"/>
          <w:lang w:val="fr-FR"/>
        </w:rPr>
        <w:t>’</w:t>
      </w:r>
      <w:r w:rsidRPr="008611AB">
        <w:rPr>
          <w:sz w:val="19"/>
          <w:szCs w:val="19"/>
          <w:lang w:val="fr-FR"/>
        </w:rPr>
        <w:t>exécution coopéra</w:t>
      </w:r>
      <w:r w:rsidR="000C6172">
        <w:rPr>
          <w:sz w:val="19"/>
          <w:szCs w:val="19"/>
          <w:lang w:val="fr-FR"/>
        </w:rPr>
        <w:t>nte</w:t>
      </w:r>
    </w:p>
    <w:p w14:paraId="407ACF6B" w14:textId="275E8D38" w:rsidR="006E24B7" w:rsidRPr="000F13C8" w:rsidRDefault="008611AB" w:rsidP="00CF1B88">
      <w:pPr>
        <w:tabs>
          <w:tab w:val="left" w:pos="8280"/>
        </w:tabs>
        <w:rPr>
          <w:sz w:val="19"/>
          <w:szCs w:val="19"/>
          <w:lang w:val="fr-CA"/>
        </w:rPr>
      </w:pPr>
      <w:r w:rsidRPr="008611AB">
        <w:rPr>
          <w:sz w:val="19"/>
          <w:szCs w:val="19"/>
          <w:lang w:val="fr-FR"/>
        </w:rPr>
        <w:t>** PNUD en tant qu</w:t>
      </w:r>
      <w:r w:rsidR="00551CEE">
        <w:rPr>
          <w:sz w:val="19"/>
          <w:szCs w:val="19"/>
          <w:lang w:val="fr-FR"/>
        </w:rPr>
        <w:t>’</w:t>
      </w:r>
      <w:r w:rsidRPr="008611AB">
        <w:rPr>
          <w:sz w:val="19"/>
          <w:szCs w:val="19"/>
          <w:lang w:val="fr-FR"/>
        </w:rPr>
        <w:t>agence</w:t>
      </w:r>
      <w:r w:rsidR="00551CEE">
        <w:rPr>
          <w:sz w:val="19"/>
          <w:szCs w:val="19"/>
          <w:lang w:val="fr-FR"/>
        </w:rPr>
        <w:t xml:space="preserve"> </w:t>
      </w:r>
      <w:r w:rsidRPr="008611AB">
        <w:rPr>
          <w:sz w:val="19"/>
          <w:szCs w:val="19"/>
          <w:lang w:val="fr-FR"/>
        </w:rPr>
        <w:t>d</w:t>
      </w:r>
      <w:r w:rsidR="00551CEE">
        <w:rPr>
          <w:sz w:val="19"/>
          <w:szCs w:val="19"/>
          <w:lang w:val="fr-FR"/>
        </w:rPr>
        <w:t>’</w:t>
      </w:r>
      <w:r w:rsidRPr="008611AB">
        <w:rPr>
          <w:sz w:val="19"/>
          <w:szCs w:val="19"/>
          <w:lang w:val="fr-FR"/>
        </w:rPr>
        <w:t>exécution principale</w:t>
      </w:r>
    </w:p>
    <w:p w14:paraId="5BD13335" w14:textId="2583B787" w:rsidR="000E5310" w:rsidRPr="000F13C8" w:rsidRDefault="008611AB" w:rsidP="000E5310">
      <w:pPr>
        <w:tabs>
          <w:tab w:val="left" w:pos="8280"/>
        </w:tabs>
        <w:rPr>
          <w:sz w:val="19"/>
          <w:szCs w:val="19"/>
          <w:lang w:val="fr-CA"/>
        </w:rPr>
      </w:pPr>
      <w:r w:rsidRPr="008611AB">
        <w:rPr>
          <w:sz w:val="19"/>
          <w:szCs w:val="19"/>
          <w:lang w:val="fr-FR"/>
        </w:rPr>
        <w:t>***ONUDI en tant qu</w:t>
      </w:r>
      <w:r w:rsidR="00551CEE">
        <w:rPr>
          <w:sz w:val="19"/>
          <w:szCs w:val="19"/>
          <w:lang w:val="fr-FR"/>
        </w:rPr>
        <w:t>’</w:t>
      </w:r>
      <w:r w:rsidRPr="008611AB">
        <w:rPr>
          <w:sz w:val="19"/>
          <w:szCs w:val="19"/>
          <w:lang w:val="fr-FR"/>
        </w:rPr>
        <w:t>agence d</w:t>
      </w:r>
      <w:r w:rsidR="00551CEE">
        <w:rPr>
          <w:sz w:val="19"/>
          <w:szCs w:val="19"/>
          <w:lang w:val="fr-FR"/>
        </w:rPr>
        <w:t>’</w:t>
      </w:r>
      <w:r w:rsidRPr="008611AB">
        <w:rPr>
          <w:sz w:val="19"/>
          <w:szCs w:val="19"/>
          <w:lang w:val="fr-FR"/>
        </w:rPr>
        <w:t>exécution coopéra</w:t>
      </w:r>
      <w:r w:rsidR="000C6172">
        <w:rPr>
          <w:sz w:val="19"/>
          <w:szCs w:val="19"/>
          <w:lang w:val="fr-FR"/>
        </w:rPr>
        <w:t>nte</w:t>
      </w:r>
    </w:p>
    <w:p w14:paraId="5DEC5BB1" w14:textId="05C9B412" w:rsidR="000E5310" w:rsidRPr="000F13C8" w:rsidRDefault="008611AB" w:rsidP="00CF1B88">
      <w:pPr>
        <w:tabs>
          <w:tab w:val="left" w:pos="8280"/>
        </w:tabs>
        <w:rPr>
          <w:sz w:val="19"/>
          <w:szCs w:val="19"/>
          <w:lang w:val="fr-CA"/>
        </w:rPr>
      </w:pPr>
      <w:r w:rsidRPr="008611AB">
        <w:rPr>
          <w:sz w:val="19"/>
          <w:szCs w:val="19"/>
          <w:lang w:val="fr-FR"/>
        </w:rPr>
        <w:t>**</w:t>
      </w:r>
      <w:r>
        <w:rPr>
          <w:sz w:val="19"/>
          <w:szCs w:val="19"/>
          <w:lang w:val="fr-FR"/>
        </w:rPr>
        <w:t>**</w:t>
      </w:r>
      <w:r w:rsidRPr="008611AB">
        <w:rPr>
          <w:sz w:val="19"/>
          <w:szCs w:val="19"/>
          <w:lang w:val="fr-FR"/>
        </w:rPr>
        <w:t xml:space="preserve"> ONUDI en tant qu</w:t>
      </w:r>
      <w:r w:rsidR="00551CEE">
        <w:rPr>
          <w:sz w:val="19"/>
          <w:szCs w:val="19"/>
          <w:lang w:val="fr-FR"/>
        </w:rPr>
        <w:t>’</w:t>
      </w:r>
      <w:r w:rsidRPr="008611AB">
        <w:rPr>
          <w:sz w:val="19"/>
          <w:szCs w:val="19"/>
          <w:lang w:val="fr-FR"/>
        </w:rPr>
        <w:t>agence d</w:t>
      </w:r>
      <w:r w:rsidR="00551CEE">
        <w:rPr>
          <w:sz w:val="19"/>
          <w:szCs w:val="19"/>
          <w:lang w:val="fr-FR"/>
        </w:rPr>
        <w:t>’</w:t>
      </w:r>
      <w:r w:rsidRPr="008611AB">
        <w:rPr>
          <w:sz w:val="19"/>
          <w:szCs w:val="19"/>
          <w:lang w:val="fr-FR"/>
        </w:rPr>
        <w:t>exécution principale</w:t>
      </w:r>
    </w:p>
    <w:p w14:paraId="7E6B63B9" w14:textId="7B8BAD00" w:rsidR="00CF1B88" w:rsidRPr="000F13C8" w:rsidRDefault="008611AB" w:rsidP="00CF1B88">
      <w:pPr>
        <w:tabs>
          <w:tab w:val="left" w:pos="8280"/>
        </w:tabs>
        <w:rPr>
          <w:sz w:val="19"/>
          <w:szCs w:val="19"/>
          <w:lang w:val="fr-CA"/>
        </w:rPr>
      </w:pPr>
      <w:r w:rsidRPr="008611AB">
        <w:rPr>
          <w:sz w:val="19"/>
          <w:szCs w:val="19"/>
          <w:lang w:val="fr-FR"/>
        </w:rPr>
        <w:t>***** Pour examen individuel</w:t>
      </w:r>
    </w:p>
    <w:p w14:paraId="6E1FBCBD" w14:textId="3407047A" w:rsidR="00770F02" w:rsidRPr="000F13C8" w:rsidRDefault="008611AB" w:rsidP="00CF1B88">
      <w:pPr>
        <w:tabs>
          <w:tab w:val="left" w:pos="8280"/>
        </w:tabs>
        <w:rPr>
          <w:sz w:val="19"/>
          <w:szCs w:val="19"/>
          <w:lang w:val="fr-CA"/>
        </w:rPr>
      </w:pPr>
      <w:r w:rsidRPr="008611AB">
        <w:rPr>
          <w:sz w:val="19"/>
          <w:szCs w:val="19"/>
          <w:lang w:val="fr-FR"/>
        </w:rPr>
        <w:t>§ Soumis à la 85</w:t>
      </w:r>
      <w:r w:rsidRPr="008611AB">
        <w:rPr>
          <w:sz w:val="19"/>
          <w:szCs w:val="19"/>
          <w:vertAlign w:val="superscript"/>
          <w:lang w:val="fr-FR"/>
        </w:rPr>
        <w:t>e</w:t>
      </w:r>
      <w:r w:rsidRPr="008611AB">
        <w:rPr>
          <w:sz w:val="19"/>
          <w:szCs w:val="19"/>
          <w:lang w:val="fr-FR"/>
        </w:rPr>
        <w:t xml:space="preserve"> réunion</w:t>
      </w:r>
    </w:p>
    <w:p w14:paraId="14F0451C" w14:textId="77777777" w:rsidR="00770F02" w:rsidRPr="000F13C8" w:rsidRDefault="00770F02" w:rsidP="00CF1B88">
      <w:pPr>
        <w:tabs>
          <w:tab w:val="left" w:pos="8280"/>
        </w:tabs>
        <w:rPr>
          <w:sz w:val="19"/>
          <w:szCs w:val="19"/>
          <w:lang w:val="fr-CA"/>
        </w:rPr>
      </w:pPr>
    </w:p>
    <w:p w14:paraId="6C9FF40F" w14:textId="5FDA720B" w:rsidR="00CF1B88" w:rsidRPr="000F13C8" w:rsidRDefault="008611AB" w:rsidP="004A1F6C">
      <w:pPr>
        <w:keepNext/>
        <w:keepLines/>
        <w:spacing w:after="240"/>
        <w:rPr>
          <w:b/>
          <w:color w:val="000000" w:themeColor="text1"/>
          <w:lang w:val="fr-CA"/>
        </w:rPr>
      </w:pPr>
      <w:r w:rsidRPr="008611AB">
        <w:rPr>
          <w:b/>
          <w:color w:val="000000" w:themeColor="text1"/>
          <w:lang w:val="fr-FR"/>
        </w:rPr>
        <w:lastRenderedPageBreak/>
        <w:t>SECTION A :</w:t>
      </w:r>
      <w:r w:rsidR="00CF1B88" w:rsidRPr="000F13C8">
        <w:rPr>
          <w:b/>
          <w:color w:val="000000" w:themeColor="text1"/>
          <w:lang w:val="fr-CA"/>
        </w:rPr>
        <w:t xml:space="preserve"> </w:t>
      </w:r>
      <w:r w:rsidRPr="008611AB">
        <w:rPr>
          <w:b/>
          <w:color w:val="000000" w:themeColor="text1"/>
          <w:lang w:val="fr-FR"/>
        </w:rPr>
        <w:t>ACTIVITÉS RECOMMANDÉES POUR APPROBATION GLOBALE</w:t>
      </w:r>
    </w:p>
    <w:p w14:paraId="4F62E3F3" w14:textId="6568D5F1" w:rsidR="00CF1B88" w:rsidRPr="000F13C8" w:rsidRDefault="008611AB" w:rsidP="004A1F6C">
      <w:pPr>
        <w:keepNext/>
        <w:keepLines/>
        <w:spacing w:after="240"/>
        <w:rPr>
          <w:b/>
          <w:bCs/>
          <w:color w:val="000000" w:themeColor="text1"/>
          <w:lang w:val="fr-CA"/>
        </w:rPr>
      </w:pPr>
      <w:r w:rsidRPr="008611AB">
        <w:rPr>
          <w:b/>
          <w:color w:val="000000" w:themeColor="text1"/>
          <w:lang w:val="fr-FR"/>
        </w:rPr>
        <w:t>A1 : Renouvellement des projets de renforcement des institutions</w:t>
      </w:r>
    </w:p>
    <w:p w14:paraId="1FCFCEE6" w14:textId="654AEC95" w:rsidR="00CF1B88" w:rsidRPr="008611AB" w:rsidRDefault="008611AB" w:rsidP="004A1F6C">
      <w:pPr>
        <w:spacing w:after="240"/>
        <w:rPr>
          <w:b/>
          <w:color w:val="000000" w:themeColor="text1"/>
        </w:rPr>
      </w:pPr>
      <w:r w:rsidRPr="008611AB">
        <w:rPr>
          <w:b/>
          <w:color w:val="000000" w:themeColor="text1"/>
          <w:lang w:val="fr-FR"/>
        </w:rPr>
        <w:t>Description de</w:t>
      </w:r>
      <w:r w:rsidR="000C6172">
        <w:rPr>
          <w:b/>
          <w:color w:val="000000" w:themeColor="text1"/>
          <w:lang w:val="fr-FR"/>
        </w:rPr>
        <w:t>s</w:t>
      </w:r>
      <w:r w:rsidRPr="008611AB">
        <w:rPr>
          <w:b/>
          <w:color w:val="000000" w:themeColor="text1"/>
          <w:lang w:val="fr-FR"/>
        </w:rPr>
        <w:t xml:space="preserve"> projet</w:t>
      </w:r>
      <w:r w:rsidR="000C6172">
        <w:rPr>
          <w:b/>
          <w:color w:val="000000" w:themeColor="text1"/>
          <w:lang w:val="fr-FR"/>
        </w:rPr>
        <w:t>s</w:t>
      </w:r>
    </w:p>
    <w:p w14:paraId="3726CB28" w14:textId="773A4D95" w:rsidR="008611AB" w:rsidRPr="008611AB" w:rsidRDefault="008611AB" w:rsidP="004A1F6C">
      <w:pPr>
        <w:pStyle w:val="Heading1"/>
        <w:ind w:left="0"/>
        <w:rPr>
          <w:lang w:val="en-CA" w:eastAsia="en-CA"/>
        </w:rPr>
      </w:pPr>
      <w:r w:rsidRPr="008611AB">
        <w:rPr>
          <w:lang w:val="fr-FR" w:eastAsia="en-CA"/>
        </w:rPr>
        <w:t xml:space="preserve">Le PNUE a présenté </w:t>
      </w:r>
      <w:r>
        <w:rPr>
          <w:lang w:val="fr-FR" w:eastAsia="en-CA"/>
        </w:rPr>
        <w:t>des</w:t>
      </w:r>
      <w:r w:rsidRPr="008611AB">
        <w:rPr>
          <w:lang w:val="fr-FR" w:eastAsia="en-CA"/>
        </w:rPr>
        <w:t xml:space="preserve"> demande</w:t>
      </w:r>
      <w:r>
        <w:rPr>
          <w:lang w:val="fr-FR" w:eastAsia="en-CA"/>
        </w:rPr>
        <w:t>s</w:t>
      </w:r>
      <w:r w:rsidRPr="008611AB">
        <w:rPr>
          <w:lang w:val="fr-FR" w:eastAsia="en-CA"/>
        </w:rPr>
        <w:t xml:space="preserve"> de renouvellement des projets de renforcement des institutions pour les pays mentionnés au tableau 1 dans la section A1. Ces projets sont décrits à l</w:t>
      </w:r>
      <w:r w:rsidR="00551CEE">
        <w:rPr>
          <w:lang w:val="fr-FR" w:eastAsia="en-CA"/>
        </w:rPr>
        <w:t>’</w:t>
      </w:r>
      <w:r w:rsidRPr="008611AB">
        <w:rPr>
          <w:lang w:val="fr-FR" w:eastAsia="en-CA"/>
        </w:rPr>
        <w:t>annexe 1 du présent document.</w:t>
      </w:r>
    </w:p>
    <w:p w14:paraId="1712D091" w14:textId="510B5CD1" w:rsidR="00CF1B88" w:rsidRPr="008611AB" w:rsidRDefault="008611AB" w:rsidP="004A1F6C">
      <w:pPr>
        <w:autoSpaceDE w:val="0"/>
        <w:autoSpaceDN w:val="0"/>
        <w:adjustRightInd w:val="0"/>
        <w:spacing w:after="240"/>
        <w:rPr>
          <w:b/>
          <w:bCs/>
          <w:color w:val="000000" w:themeColor="text1"/>
          <w:lang w:val="en-CA" w:eastAsia="en-CA"/>
        </w:rPr>
      </w:pPr>
      <w:r w:rsidRPr="008611AB">
        <w:rPr>
          <w:b/>
          <w:bCs/>
          <w:color w:val="000000" w:themeColor="text1"/>
          <w:lang w:val="fr-FR" w:eastAsia="en-CA"/>
        </w:rPr>
        <w:t>Observations du Secrétariat</w:t>
      </w:r>
    </w:p>
    <w:p w14:paraId="5375C1E4" w14:textId="7A471EA3" w:rsidR="008611AB" w:rsidRPr="000F13C8" w:rsidRDefault="008611AB" w:rsidP="004A1F6C">
      <w:pPr>
        <w:pStyle w:val="Heading1"/>
        <w:ind w:left="0"/>
        <w:rPr>
          <w:lang w:val="fr-CA"/>
        </w:rPr>
      </w:pPr>
      <w:r w:rsidRPr="008611AB">
        <w:rPr>
          <w:lang w:val="fr-FR"/>
        </w:rPr>
        <w:t>Le Secrétariat a examiné les demandes de renouvellement de 13 projets de renforcement des institutions soumises par le PNUD au nom des gouvernements concernés à la lumière des lignes directrices et des décisions pertinentes se rapportant à l</w:t>
      </w:r>
      <w:r w:rsidR="00551CEE">
        <w:rPr>
          <w:lang w:val="fr-FR"/>
        </w:rPr>
        <w:t>’</w:t>
      </w:r>
      <w:r w:rsidRPr="008611AB">
        <w:rPr>
          <w:lang w:val="fr-FR"/>
        </w:rPr>
        <w:t>admissibilité et aux niveaux de financement.</w:t>
      </w:r>
      <w:r w:rsidRPr="000F13C8">
        <w:rPr>
          <w:lang w:val="fr-CA"/>
        </w:rPr>
        <w:t xml:space="preserve"> </w:t>
      </w:r>
      <w:r w:rsidRPr="008611AB">
        <w:rPr>
          <w:lang w:val="fr-FR"/>
        </w:rPr>
        <w:t>Ces demandes ont été recoupées avec les informations contenues dans le plan de travail initial du renforcement des institutions pour la phase précédente, le programme de pays et les données communiquées au titre de l</w:t>
      </w:r>
      <w:r w:rsidR="00551CEE">
        <w:rPr>
          <w:lang w:val="fr-FR"/>
        </w:rPr>
        <w:t>’</w:t>
      </w:r>
      <w:r w:rsidRPr="008611AB">
        <w:rPr>
          <w:lang w:val="fr-FR"/>
        </w:rPr>
        <w:t>article 7, le rapport le plus récent sur la mise en œuvre du plan de gestion de l</w:t>
      </w:r>
      <w:r w:rsidR="00551CEE">
        <w:rPr>
          <w:lang w:val="fr-FR"/>
        </w:rPr>
        <w:t>’</w:t>
      </w:r>
      <w:r w:rsidRPr="008611AB">
        <w:rPr>
          <w:lang w:val="fr-FR"/>
        </w:rPr>
        <w:t>élimination des HCFC (PGEH), le rapport périodique de l</w:t>
      </w:r>
      <w:r w:rsidR="00551CEE">
        <w:rPr>
          <w:lang w:val="fr-FR"/>
        </w:rPr>
        <w:t>’</w:t>
      </w:r>
      <w:r w:rsidRPr="008611AB">
        <w:rPr>
          <w:lang w:val="fr-FR"/>
        </w:rPr>
        <w:t>agence et toutes décisions pertinentes de la Réunion des Parties.</w:t>
      </w:r>
      <w:r w:rsidRPr="000F13C8">
        <w:rPr>
          <w:lang w:val="fr-CA"/>
        </w:rPr>
        <w:t xml:space="preserve"> </w:t>
      </w:r>
      <w:r w:rsidRPr="008611AB">
        <w:rPr>
          <w:lang w:val="fr-FR"/>
        </w:rPr>
        <w:t>Il a été noté que ces pays ont soumis les données de leur programme de pays pour 2019 et qu</w:t>
      </w:r>
      <w:r w:rsidR="00551CEE">
        <w:rPr>
          <w:lang w:val="fr-FR"/>
        </w:rPr>
        <w:t>’</w:t>
      </w:r>
      <w:r w:rsidRPr="008611AB">
        <w:rPr>
          <w:lang w:val="fr-FR"/>
        </w:rPr>
        <w:t>ils sont en conformité avec les objectifs de réglementation aux termes du Protocole de Montréal, et que leur consommation annuelle de HCFC ne dépasse pas la consommation annuelle maximale admissible indiquée dans leur accord respectif de PGEH conclu avec le Comité exécutif.</w:t>
      </w:r>
      <w:r w:rsidRPr="000F13C8">
        <w:rPr>
          <w:lang w:val="fr-CA"/>
        </w:rPr>
        <w:t xml:space="preserve"> </w:t>
      </w:r>
      <w:r w:rsidRPr="008611AB">
        <w:rPr>
          <w:lang w:val="fr-FR"/>
        </w:rPr>
        <w:t>En outre, les demandes soumises comprennent des indicateurs de performance pour les activités prévues pour la prochaine phase d</w:t>
      </w:r>
      <w:r w:rsidR="008C1378">
        <w:rPr>
          <w:lang w:val="fr-FR"/>
        </w:rPr>
        <w:t>u</w:t>
      </w:r>
      <w:r w:rsidRPr="008611AB">
        <w:rPr>
          <w:lang w:val="fr-FR"/>
        </w:rPr>
        <w:t xml:space="preserve"> projet de renforcement des institutions, conformément à la décision 74/51(e).</w:t>
      </w:r>
    </w:p>
    <w:p w14:paraId="45D3549C" w14:textId="6D717A23" w:rsidR="00CF1B88" w:rsidRPr="008611AB" w:rsidRDefault="008611AB" w:rsidP="004A1F6C">
      <w:pPr>
        <w:autoSpaceDE w:val="0"/>
        <w:autoSpaceDN w:val="0"/>
        <w:adjustRightInd w:val="0"/>
        <w:spacing w:after="240"/>
        <w:rPr>
          <w:b/>
          <w:bCs/>
          <w:color w:val="000000" w:themeColor="text1"/>
          <w:lang w:val="en-CA" w:eastAsia="en-CA"/>
        </w:rPr>
      </w:pPr>
      <w:r w:rsidRPr="008611AB">
        <w:rPr>
          <w:b/>
          <w:bCs/>
          <w:color w:val="000000" w:themeColor="text1"/>
          <w:lang w:val="fr-FR" w:eastAsia="en-CA"/>
        </w:rPr>
        <w:t>Recommandations du Secrétariat</w:t>
      </w:r>
    </w:p>
    <w:p w14:paraId="4BD9FBA5" w14:textId="7DAEFF2B" w:rsidR="008611AB" w:rsidRPr="000F13C8" w:rsidRDefault="008611AB" w:rsidP="004A1F6C">
      <w:pPr>
        <w:pStyle w:val="Heading1"/>
        <w:ind w:left="0"/>
        <w:rPr>
          <w:lang w:val="fr-CA"/>
        </w:rPr>
      </w:pPr>
      <w:r w:rsidRPr="008611AB">
        <w:rPr>
          <w:lang w:val="fr-FR"/>
        </w:rPr>
        <w:t>Le Secrétariat recommande l</w:t>
      </w:r>
      <w:r w:rsidR="00551CEE">
        <w:rPr>
          <w:lang w:val="fr-FR"/>
        </w:rPr>
        <w:t>’</w:t>
      </w:r>
      <w:r w:rsidRPr="008611AB">
        <w:rPr>
          <w:lang w:val="fr-FR"/>
        </w:rPr>
        <w:t>approbation globale des demandes de renouvellement du renforcement des institutions pour le</w:t>
      </w:r>
      <w:r w:rsidR="00551CEE">
        <w:rPr>
          <w:lang w:val="fr-FR"/>
        </w:rPr>
        <w:t xml:space="preserve"> </w:t>
      </w:r>
      <w:r w:rsidRPr="008611AB">
        <w:rPr>
          <w:lang w:val="fr-FR"/>
        </w:rPr>
        <w:t>Brunei Darussalam, le Cap Vert, la République Dominicaine, l</w:t>
      </w:r>
      <w:r w:rsidR="00551CEE">
        <w:rPr>
          <w:lang w:val="fr-FR"/>
        </w:rPr>
        <w:t>’</w:t>
      </w:r>
      <w:r w:rsidRPr="008611AB">
        <w:rPr>
          <w:lang w:val="fr-FR"/>
        </w:rPr>
        <w:t xml:space="preserve">Éthiopie, Fidji, le Kenya, le Kirghizistan, la Mauritanie, </w:t>
      </w:r>
      <w:r w:rsidR="008C1378">
        <w:rPr>
          <w:lang w:val="fr-FR"/>
        </w:rPr>
        <w:t xml:space="preserve">Nauru, </w:t>
      </w:r>
      <w:r w:rsidRPr="008611AB">
        <w:rPr>
          <w:lang w:val="fr-FR"/>
        </w:rPr>
        <w:t>le Nicaragua, Sainte-Lucie, le Suriname et le Viet Nam au niveau de financement indiqué à la section A1 du tableau 1 du présent document.</w:t>
      </w:r>
      <w:r w:rsidRPr="000F13C8">
        <w:rPr>
          <w:lang w:val="fr-CA"/>
        </w:rPr>
        <w:t xml:space="preserve"> </w:t>
      </w:r>
      <w:r w:rsidRPr="008611AB">
        <w:rPr>
          <w:lang w:val="fr-FR"/>
        </w:rPr>
        <w:t>Le Comité exécutif pourrait souhaiter faire part des observations présentées à l</w:t>
      </w:r>
      <w:r w:rsidR="00551CEE">
        <w:rPr>
          <w:lang w:val="fr-FR"/>
        </w:rPr>
        <w:t>’</w:t>
      </w:r>
      <w:r w:rsidRPr="008611AB">
        <w:rPr>
          <w:lang w:val="fr-FR"/>
        </w:rPr>
        <w:t>annexe II du présent documen</w:t>
      </w:r>
      <w:r w:rsidR="007046E6">
        <w:rPr>
          <w:lang w:val="fr-FR"/>
        </w:rPr>
        <w:t xml:space="preserve">t </w:t>
      </w:r>
      <w:r w:rsidR="007046E6" w:rsidRPr="008611AB">
        <w:rPr>
          <w:lang w:val="fr-FR"/>
        </w:rPr>
        <w:t>au gouvernement des pays précédemment</w:t>
      </w:r>
      <w:r w:rsidR="007046E6">
        <w:rPr>
          <w:lang w:val="fr-FR"/>
        </w:rPr>
        <w:t xml:space="preserve"> cités</w:t>
      </w:r>
      <w:r w:rsidRPr="008611AB">
        <w:rPr>
          <w:lang w:val="fr-FR"/>
        </w:rPr>
        <w:t>.</w:t>
      </w:r>
    </w:p>
    <w:p w14:paraId="5991D362" w14:textId="5579333C" w:rsidR="00CF1B88" w:rsidRPr="000F13C8" w:rsidRDefault="008611AB" w:rsidP="004A1F6C">
      <w:pPr>
        <w:keepNext/>
        <w:spacing w:after="240"/>
        <w:rPr>
          <w:b/>
          <w:lang w:val="fr-CA"/>
        </w:rPr>
      </w:pPr>
      <w:r w:rsidRPr="008611AB">
        <w:rPr>
          <w:b/>
          <w:lang w:val="fr-FR"/>
        </w:rPr>
        <w:t>A2 : Assistance technique pour la préparation des rapports de vérification de la consommation de HCFC</w:t>
      </w:r>
    </w:p>
    <w:p w14:paraId="518051B7" w14:textId="456972FC" w:rsidR="00E30D2B" w:rsidRPr="008611AB" w:rsidRDefault="008611AB" w:rsidP="004A1F6C">
      <w:pPr>
        <w:keepNext/>
        <w:spacing w:after="240"/>
        <w:rPr>
          <w:b/>
        </w:rPr>
      </w:pPr>
      <w:r w:rsidRPr="008611AB">
        <w:rPr>
          <w:b/>
          <w:lang w:val="fr-FR"/>
        </w:rPr>
        <w:t>Description de projet</w:t>
      </w:r>
    </w:p>
    <w:p w14:paraId="353057E1" w14:textId="4F0E73B7" w:rsidR="008611AB" w:rsidRPr="000F13C8" w:rsidRDefault="000C6172" w:rsidP="004A1F6C">
      <w:pPr>
        <w:pStyle w:val="Heading1"/>
        <w:ind w:left="0"/>
        <w:rPr>
          <w:lang w:val="fr-CA"/>
        </w:rPr>
      </w:pPr>
      <w:r w:rsidRPr="000C6172">
        <w:rPr>
          <w:lang w:val="fr-FR"/>
        </w:rPr>
        <w:t xml:space="preserve">Le </w:t>
      </w:r>
      <w:r w:rsidR="001D3518">
        <w:rPr>
          <w:lang w:val="fr-FR"/>
        </w:rPr>
        <w:t>Comité exécutif</w:t>
      </w:r>
      <w:r w:rsidRPr="000C6172">
        <w:rPr>
          <w:lang w:val="fr-FR"/>
        </w:rPr>
        <w:t xml:space="preserve"> a demandé aux agences bilatérales et d</w:t>
      </w:r>
      <w:r w:rsidR="00551CEE">
        <w:rPr>
          <w:lang w:val="fr-FR"/>
        </w:rPr>
        <w:t>’</w:t>
      </w:r>
      <w:r w:rsidRPr="000C6172">
        <w:rPr>
          <w:lang w:val="fr-FR"/>
        </w:rPr>
        <w:t>exécution concernées d</w:t>
      </w:r>
      <w:r w:rsidR="00551CEE">
        <w:rPr>
          <w:lang w:val="fr-FR"/>
        </w:rPr>
        <w:t>’</w:t>
      </w:r>
      <w:r w:rsidRPr="000C6172">
        <w:rPr>
          <w:lang w:val="fr-FR"/>
        </w:rPr>
        <w:t>inclure dans leurs amendements à leur programme de travail respectif soumis à la 86</w:t>
      </w:r>
      <w:r w:rsidRPr="000C6172">
        <w:rPr>
          <w:vertAlign w:val="superscript"/>
          <w:lang w:val="fr-FR"/>
        </w:rPr>
        <w:t>e</w:t>
      </w:r>
      <w:r w:rsidRPr="000C6172">
        <w:rPr>
          <w:lang w:val="fr-FR"/>
        </w:rPr>
        <w:t xml:space="preserve"> réunion le financement de la préparation des rapports de vérification pour la phase I ou la phase II des PGEH de la Barbade, du Burundi, de la Dominique, de la Guinée Équatoriale, de l</w:t>
      </w:r>
      <w:r w:rsidR="00551CEE">
        <w:rPr>
          <w:lang w:val="fr-FR"/>
        </w:rPr>
        <w:t>’</w:t>
      </w:r>
      <w:r w:rsidRPr="000C6172">
        <w:rPr>
          <w:lang w:val="fr-FR"/>
        </w:rPr>
        <w:t>Eswatini, du Guyana, d</w:t>
      </w:r>
      <w:r w:rsidR="00551CEE">
        <w:rPr>
          <w:lang w:val="fr-FR"/>
        </w:rPr>
        <w:t>’</w:t>
      </w:r>
      <w:r w:rsidRPr="000C6172">
        <w:rPr>
          <w:lang w:val="fr-FR"/>
        </w:rPr>
        <w:t xml:space="preserve">Haïti, du Mali, du Mozambique, du Myanmar, de </w:t>
      </w:r>
      <w:r w:rsidR="008C1378">
        <w:rPr>
          <w:lang w:val="fr-FR"/>
        </w:rPr>
        <w:t xml:space="preserve">la </w:t>
      </w:r>
      <w:r w:rsidRPr="000C6172">
        <w:rPr>
          <w:lang w:val="fr-FR"/>
        </w:rPr>
        <w:t>Sierra Leone, du Suriname et d</w:t>
      </w:r>
      <w:r>
        <w:rPr>
          <w:lang w:val="fr-FR"/>
        </w:rPr>
        <w:t>u</w:t>
      </w:r>
      <w:r w:rsidRPr="000C6172">
        <w:rPr>
          <w:lang w:val="fr-FR"/>
        </w:rPr>
        <w:t xml:space="preserve"> Timor-Leste</w:t>
      </w:r>
      <w:r w:rsidRPr="000C6172">
        <w:rPr>
          <w:rStyle w:val="FootnoteReference"/>
          <w:lang w:val="fr-FR"/>
        </w:rPr>
        <w:footnoteReference w:id="3"/>
      </w:r>
      <w:r w:rsidR="007046E6">
        <w:rPr>
          <w:lang w:val="fr-FR"/>
        </w:rPr>
        <w:t>,</w:t>
      </w:r>
      <w:r w:rsidRPr="000C6172">
        <w:rPr>
          <w:lang w:val="fr-FR"/>
        </w:rPr>
        <w:t xml:space="preserve"> pays pour lesquels le PNUE est agence d</w:t>
      </w:r>
      <w:r w:rsidR="00551CEE">
        <w:rPr>
          <w:lang w:val="fr-FR"/>
        </w:rPr>
        <w:t>’</w:t>
      </w:r>
      <w:r w:rsidRPr="000C6172">
        <w:rPr>
          <w:lang w:val="fr-FR"/>
        </w:rPr>
        <w:t>exécution principale.</w:t>
      </w:r>
      <w:r w:rsidRPr="000F13C8">
        <w:rPr>
          <w:lang w:val="fr-CA"/>
        </w:rPr>
        <w:t xml:space="preserve"> </w:t>
      </w:r>
    </w:p>
    <w:p w14:paraId="1CB67670" w14:textId="318035A5" w:rsidR="00E30D2B" w:rsidRPr="000C6172" w:rsidRDefault="000C6172" w:rsidP="004A1F6C">
      <w:pPr>
        <w:pStyle w:val="Heading1"/>
        <w:keepNext/>
        <w:numPr>
          <w:ilvl w:val="0"/>
          <w:numId w:val="0"/>
        </w:numPr>
        <w:rPr>
          <w:b/>
          <w:lang w:val="en-CA"/>
        </w:rPr>
      </w:pPr>
      <w:r w:rsidRPr="000C6172">
        <w:rPr>
          <w:b/>
          <w:lang w:val="fr-FR"/>
        </w:rPr>
        <w:t>Observations du Secrétariat</w:t>
      </w:r>
    </w:p>
    <w:p w14:paraId="6B09953F" w14:textId="297B003F" w:rsidR="000C6172" w:rsidRPr="000F13C8" w:rsidRDefault="000C6172" w:rsidP="004A1F6C">
      <w:pPr>
        <w:pStyle w:val="Heading1"/>
        <w:ind w:left="0"/>
        <w:rPr>
          <w:lang w:val="fr-CA"/>
        </w:rPr>
      </w:pPr>
      <w:r w:rsidRPr="000C6172">
        <w:rPr>
          <w:lang w:val="fr-FR"/>
        </w:rPr>
        <w:t>Le Secrétariat a noté que le financement demandé était conforme aux fonds approuvés lors de précédentes réunions pour des vérifications semblables.</w:t>
      </w:r>
      <w:r w:rsidRPr="000F13C8">
        <w:rPr>
          <w:lang w:val="fr-CA"/>
        </w:rPr>
        <w:t xml:space="preserve"> </w:t>
      </w:r>
      <w:r w:rsidRPr="000C6172">
        <w:rPr>
          <w:lang w:val="fr-FR"/>
        </w:rPr>
        <w:t xml:space="preserve">Il a également noté que le rapport de vérification </w:t>
      </w:r>
      <w:r w:rsidRPr="000C6172">
        <w:rPr>
          <w:lang w:val="fr-FR"/>
        </w:rPr>
        <w:lastRenderedPageBreak/>
        <w:t xml:space="preserve">devait être soumis au moins 10 semaines avant la réunion du Comité exécutif </w:t>
      </w:r>
      <w:r w:rsidR="007046E6">
        <w:rPr>
          <w:lang w:val="fr-FR"/>
        </w:rPr>
        <w:t>au cours</w:t>
      </w:r>
      <w:r w:rsidRPr="000C6172">
        <w:rPr>
          <w:lang w:val="fr-FR"/>
        </w:rPr>
        <w:t xml:space="preserve"> de laquelle </w:t>
      </w:r>
      <w:r w:rsidR="008C1378">
        <w:rPr>
          <w:lang w:val="fr-FR"/>
        </w:rPr>
        <w:t xml:space="preserve">sera </w:t>
      </w:r>
      <w:r w:rsidRPr="000C6172">
        <w:rPr>
          <w:lang w:val="fr-FR"/>
        </w:rPr>
        <w:t>demandée la prochaine tranche de financement du PGEH.</w:t>
      </w:r>
    </w:p>
    <w:p w14:paraId="1F8EEF10" w14:textId="4D29AA82" w:rsidR="00E30D2B" w:rsidRPr="000C6172" w:rsidRDefault="000C6172" w:rsidP="004A1F6C">
      <w:pPr>
        <w:spacing w:after="240"/>
        <w:rPr>
          <w:b/>
        </w:rPr>
      </w:pPr>
      <w:r w:rsidRPr="000C6172">
        <w:rPr>
          <w:b/>
          <w:lang w:val="fr-FR"/>
        </w:rPr>
        <w:t>Recommandations du Secrétariat</w:t>
      </w:r>
    </w:p>
    <w:p w14:paraId="1621CE92" w14:textId="2FEA217A" w:rsidR="000C6172" w:rsidRPr="000F13C8" w:rsidRDefault="000C6172" w:rsidP="004A1F6C">
      <w:pPr>
        <w:pStyle w:val="Heading1"/>
        <w:ind w:left="0"/>
        <w:rPr>
          <w:lang w:val="fr-CA"/>
        </w:rPr>
      </w:pPr>
      <w:r w:rsidRPr="000C6172">
        <w:rPr>
          <w:lang w:val="fr-FR"/>
        </w:rPr>
        <w:t>Le Secrétariat recommande l</w:t>
      </w:r>
      <w:r w:rsidR="00551CEE">
        <w:rPr>
          <w:lang w:val="fr-FR"/>
        </w:rPr>
        <w:t>’</w:t>
      </w:r>
      <w:r w:rsidRPr="000C6172">
        <w:rPr>
          <w:lang w:val="fr-FR"/>
        </w:rPr>
        <w:t>approbation globale de la préparation des rapports de vérification se rapportant à la phase I ou la phase II des plans de gestion de l</w:t>
      </w:r>
      <w:r w:rsidR="00551CEE">
        <w:rPr>
          <w:lang w:val="fr-FR"/>
        </w:rPr>
        <w:t>’</w:t>
      </w:r>
      <w:r w:rsidRPr="000C6172">
        <w:rPr>
          <w:lang w:val="fr-FR"/>
        </w:rPr>
        <w:t>élimination des HCFC pour la Barbade, le Burundi, la Dominique, la Guinée Équatoriale, l</w:t>
      </w:r>
      <w:r w:rsidR="00551CEE">
        <w:rPr>
          <w:lang w:val="fr-FR"/>
        </w:rPr>
        <w:t>’</w:t>
      </w:r>
      <w:r w:rsidRPr="000C6172">
        <w:rPr>
          <w:lang w:val="fr-FR"/>
        </w:rPr>
        <w:t>Eswatini, le Guyana, l</w:t>
      </w:r>
      <w:r w:rsidR="00551CEE">
        <w:rPr>
          <w:lang w:val="fr-FR"/>
        </w:rPr>
        <w:t>’</w:t>
      </w:r>
      <w:r w:rsidRPr="000C6172">
        <w:rPr>
          <w:lang w:val="fr-FR"/>
        </w:rPr>
        <w:t xml:space="preserve">Haïti, le Mali, le Mozambique, le Myanmar, la Sierra Leone, le Suriname et le Timor-Leste au niveau de financement indiqué à la section A2 du tableau 1, à condition que les rapports de vérification soient soumis au moins 10 semaines avant la réunion du Comité exécutif </w:t>
      </w:r>
      <w:r w:rsidR="007046E6">
        <w:rPr>
          <w:lang w:val="fr-FR"/>
        </w:rPr>
        <w:t>au cours</w:t>
      </w:r>
      <w:r w:rsidRPr="000C6172">
        <w:rPr>
          <w:lang w:val="fr-FR"/>
        </w:rPr>
        <w:t xml:space="preserve"> de laquelle le financement de la tranche suivante du PGEH de ces pays </w:t>
      </w:r>
      <w:r w:rsidR="008C1378">
        <w:rPr>
          <w:lang w:val="fr-FR"/>
        </w:rPr>
        <w:t>sera</w:t>
      </w:r>
      <w:r w:rsidRPr="000C6172">
        <w:rPr>
          <w:lang w:val="fr-FR"/>
        </w:rPr>
        <w:t xml:space="preserve"> sollicité.</w:t>
      </w:r>
    </w:p>
    <w:p w14:paraId="34AD9F56" w14:textId="056EFD71" w:rsidR="00553794" w:rsidRPr="000F13C8" w:rsidRDefault="000C6172" w:rsidP="004A1F6C">
      <w:pPr>
        <w:keepNext/>
        <w:keepLines/>
        <w:spacing w:after="240"/>
        <w:rPr>
          <w:b/>
          <w:lang w:val="fr-CA"/>
        </w:rPr>
      </w:pPr>
      <w:r w:rsidRPr="000C6172">
        <w:rPr>
          <w:b/>
          <w:lang w:val="fr-FR"/>
        </w:rPr>
        <w:t>A3 : Préparation de projet pour les plans de gestion de l</w:t>
      </w:r>
      <w:r w:rsidR="00551CEE">
        <w:rPr>
          <w:b/>
          <w:lang w:val="fr-FR"/>
        </w:rPr>
        <w:t>’</w:t>
      </w:r>
      <w:r w:rsidRPr="000C6172">
        <w:rPr>
          <w:b/>
          <w:lang w:val="fr-FR"/>
        </w:rPr>
        <w:t>élimination des HCFC</w:t>
      </w:r>
    </w:p>
    <w:p w14:paraId="03C6681C" w14:textId="5EDC6B6F" w:rsidR="00553794" w:rsidRPr="000C6172" w:rsidRDefault="000C6172" w:rsidP="004A1F6C">
      <w:pPr>
        <w:keepNext/>
        <w:keepLines/>
        <w:spacing w:after="240"/>
        <w:rPr>
          <w:b/>
        </w:rPr>
      </w:pPr>
      <w:r w:rsidRPr="000C6172">
        <w:rPr>
          <w:b/>
          <w:lang w:val="fr-FR"/>
        </w:rPr>
        <w:t>Description des projets</w:t>
      </w:r>
    </w:p>
    <w:p w14:paraId="5AFA3447" w14:textId="5D43A1D5" w:rsidR="000C6172" w:rsidRPr="000F13C8" w:rsidRDefault="000C6172" w:rsidP="004A1F6C">
      <w:pPr>
        <w:pStyle w:val="Heading1"/>
        <w:ind w:left="0"/>
        <w:rPr>
          <w:lang w:val="fr-CA"/>
        </w:rPr>
      </w:pPr>
      <w:r w:rsidRPr="000C6172">
        <w:rPr>
          <w:lang w:val="fr-FR"/>
        </w:rPr>
        <w:t>Le PNUE a présenté des demandes pour la préparation de la phase II du PGEH pour un pays visé à l</w:t>
      </w:r>
      <w:r w:rsidR="00551CEE">
        <w:rPr>
          <w:lang w:val="fr-FR"/>
        </w:rPr>
        <w:t>’</w:t>
      </w:r>
      <w:r w:rsidR="007046E6">
        <w:rPr>
          <w:lang w:val="fr-FR"/>
        </w:rPr>
        <w:t>a</w:t>
      </w:r>
      <w:r w:rsidRPr="000C6172">
        <w:rPr>
          <w:lang w:val="fr-FR"/>
        </w:rPr>
        <w:t>rticle 5 en qualité d</w:t>
      </w:r>
      <w:r w:rsidR="00551CEE">
        <w:rPr>
          <w:lang w:val="fr-FR"/>
        </w:rPr>
        <w:t>’</w:t>
      </w:r>
      <w:r w:rsidRPr="000C6172">
        <w:rPr>
          <w:lang w:val="fr-FR"/>
        </w:rPr>
        <w:t>agence d</w:t>
      </w:r>
      <w:r w:rsidR="00551CEE">
        <w:rPr>
          <w:lang w:val="fr-FR"/>
        </w:rPr>
        <w:t>’</w:t>
      </w:r>
      <w:r w:rsidRPr="000C6172">
        <w:rPr>
          <w:lang w:val="fr-FR"/>
        </w:rPr>
        <w:t>exécution désignée ; pour un autre pays en tant qu</w:t>
      </w:r>
      <w:r w:rsidR="00551CEE">
        <w:rPr>
          <w:lang w:val="fr-FR"/>
        </w:rPr>
        <w:t>’</w:t>
      </w:r>
      <w:r w:rsidRPr="000C6172">
        <w:rPr>
          <w:lang w:val="fr-FR"/>
        </w:rPr>
        <w:t>agence d</w:t>
      </w:r>
      <w:r w:rsidR="00551CEE">
        <w:rPr>
          <w:lang w:val="fr-FR"/>
        </w:rPr>
        <w:t>’</w:t>
      </w:r>
      <w:r w:rsidRPr="000C6172">
        <w:rPr>
          <w:lang w:val="fr-FR"/>
        </w:rPr>
        <w:t>exécution principale</w:t>
      </w:r>
      <w:r w:rsidR="008C1378">
        <w:rPr>
          <w:lang w:val="fr-FR"/>
        </w:rPr>
        <w:t>,</w:t>
      </w:r>
      <w:r w:rsidRPr="000C6172">
        <w:rPr>
          <w:lang w:val="fr-FR"/>
        </w:rPr>
        <w:t xml:space="preserve"> avec l</w:t>
      </w:r>
      <w:r w:rsidR="00551CEE">
        <w:rPr>
          <w:lang w:val="fr-FR"/>
        </w:rPr>
        <w:t>’</w:t>
      </w:r>
      <w:r w:rsidRPr="000C6172">
        <w:rPr>
          <w:lang w:val="fr-FR"/>
        </w:rPr>
        <w:t>ONUDI en tant qu</w:t>
      </w:r>
      <w:r w:rsidR="00551CEE">
        <w:rPr>
          <w:lang w:val="fr-FR"/>
        </w:rPr>
        <w:t>’</w:t>
      </w:r>
      <w:r w:rsidRPr="000C6172">
        <w:rPr>
          <w:lang w:val="fr-FR"/>
        </w:rPr>
        <w:t>agence d</w:t>
      </w:r>
      <w:r w:rsidR="00551CEE">
        <w:rPr>
          <w:lang w:val="fr-FR"/>
        </w:rPr>
        <w:t>’</w:t>
      </w:r>
      <w:r w:rsidRPr="000C6172">
        <w:rPr>
          <w:lang w:val="fr-FR"/>
        </w:rPr>
        <w:t>exécution coopérante ; pour les phases II/III du PGEH pour 3 pays visés à l</w:t>
      </w:r>
      <w:r w:rsidR="00551CEE">
        <w:rPr>
          <w:lang w:val="fr-FR"/>
        </w:rPr>
        <w:t>’</w:t>
      </w:r>
      <w:r w:rsidR="008C1378">
        <w:rPr>
          <w:lang w:val="fr-FR"/>
        </w:rPr>
        <w:t>a</w:t>
      </w:r>
      <w:r w:rsidRPr="000C6172">
        <w:rPr>
          <w:lang w:val="fr-FR"/>
        </w:rPr>
        <w:t>rticle 5 en qualité d</w:t>
      </w:r>
      <w:r w:rsidR="00551CEE">
        <w:rPr>
          <w:lang w:val="fr-FR"/>
        </w:rPr>
        <w:t>’</w:t>
      </w:r>
      <w:r w:rsidRPr="000C6172">
        <w:rPr>
          <w:lang w:val="fr-FR"/>
        </w:rPr>
        <w:t>agence d</w:t>
      </w:r>
      <w:r w:rsidR="00551CEE">
        <w:rPr>
          <w:lang w:val="fr-FR"/>
        </w:rPr>
        <w:t>’</w:t>
      </w:r>
      <w:r w:rsidRPr="000C6172">
        <w:rPr>
          <w:lang w:val="fr-FR"/>
        </w:rPr>
        <w:t>exécution coopérante</w:t>
      </w:r>
      <w:r w:rsidR="008C1378">
        <w:rPr>
          <w:lang w:val="fr-FR"/>
        </w:rPr>
        <w:t>,</w:t>
      </w:r>
      <w:r w:rsidRPr="000C6172">
        <w:rPr>
          <w:lang w:val="fr-FR"/>
        </w:rPr>
        <w:t xml:space="preserve"> avec l</w:t>
      </w:r>
      <w:r w:rsidR="00551CEE">
        <w:rPr>
          <w:lang w:val="fr-FR"/>
        </w:rPr>
        <w:t>’</w:t>
      </w:r>
      <w:r w:rsidRPr="000C6172">
        <w:rPr>
          <w:lang w:val="fr-FR"/>
        </w:rPr>
        <w:t>ONUDI en tant qu</w:t>
      </w:r>
      <w:r w:rsidR="00551CEE">
        <w:rPr>
          <w:lang w:val="fr-FR"/>
        </w:rPr>
        <w:t>’</w:t>
      </w:r>
      <w:r w:rsidRPr="000C6172">
        <w:rPr>
          <w:lang w:val="fr-FR"/>
        </w:rPr>
        <w:t>agence d</w:t>
      </w:r>
      <w:r w:rsidR="00551CEE">
        <w:rPr>
          <w:lang w:val="fr-FR"/>
        </w:rPr>
        <w:t>’</w:t>
      </w:r>
      <w:r w:rsidRPr="000C6172">
        <w:rPr>
          <w:lang w:val="fr-FR"/>
        </w:rPr>
        <w:t>exécution principale.</w:t>
      </w:r>
      <w:r w:rsidRPr="000F13C8">
        <w:rPr>
          <w:lang w:val="fr-CA"/>
        </w:rPr>
        <w:t xml:space="preserve"> </w:t>
      </w:r>
      <w:r w:rsidRPr="000C6172">
        <w:rPr>
          <w:lang w:val="fr-FR"/>
        </w:rPr>
        <w:t>Ces demandes sont indiquées à la section A3 du tableau 1.</w:t>
      </w:r>
      <w:r w:rsidRPr="000F13C8">
        <w:rPr>
          <w:lang w:val="fr-CA"/>
        </w:rPr>
        <w:t xml:space="preserve"> </w:t>
      </w:r>
    </w:p>
    <w:p w14:paraId="1120A8C3" w14:textId="23520BAC" w:rsidR="00CE64F1" w:rsidRPr="000F13C8" w:rsidRDefault="00CE64F1" w:rsidP="004A1F6C">
      <w:pPr>
        <w:pStyle w:val="Heading1"/>
        <w:ind w:left="0"/>
        <w:rPr>
          <w:lang w:val="fr-CA"/>
        </w:rPr>
      </w:pPr>
      <w:r w:rsidRPr="00CE64F1">
        <w:rPr>
          <w:lang w:val="fr-FR"/>
        </w:rPr>
        <w:t>Le PNUE a accompagné chacune de ces demandes de financement d</w:t>
      </w:r>
      <w:r w:rsidR="008C1378">
        <w:rPr>
          <w:lang w:val="fr-FR"/>
        </w:rPr>
        <w:t>’une</w:t>
      </w:r>
      <w:r w:rsidRPr="00CE64F1">
        <w:rPr>
          <w:lang w:val="fr-FR"/>
        </w:rPr>
        <w:t xml:space="preserve"> justification, d</w:t>
      </w:r>
      <w:r>
        <w:rPr>
          <w:lang w:val="fr-FR"/>
        </w:rPr>
        <w:t>u</w:t>
      </w:r>
      <w:r w:rsidRPr="00CE64F1">
        <w:rPr>
          <w:lang w:val="fr-FR"/>
        </w:rPr>
        <w:t xml:space="preserve"> rapport périodique sur la mise en œuvre de la phase I d</w:t>
      </w:r>
      <w:r>
        <w:rPr>
          <w:lang w:val="fr-FR"/>
        </w:rPr>
        <w:t>u</w:t>
      </w:r>
      <w:r w:rsidRPr="00CE64F1">
        <w:rPr>
          <w:lang w:val="fr-FR"/>
        </w:rPr>
        <w:t xml:space="preserve"> PGEH respectif</w:t>
      </w:r>
      <w:r w:rsidR="007046E6">
        <w:rPr>
          <w:lang w:val="fr-FR"/>
        </w:rPr>
        <w:t xml:space="preserve"> de ces</w:t>
      </w:r>
      <w:r>
        <w:rPr>
          <w:lang w:val="fr-FR"/>
        </w:rPr>
        <w:t xml:space="preserve"> pays</w:t>
      </w:r>
      <w:r w:rsidRPr="00CE64F1">
        <w:rPr>
          <w:lang w:val="fr-FR"/>
        </w:rPr>
        <w:t xml:space="preserve"> et des activités potentielles, avec les coûts correspondants.</w:t>
      </w:r>
      <w:r w:rsidRPr="000F13C8">
        <w:rPr>
          <w:lang w:val="fr-CA"/>
        </w:rPr>
        <w:t xml:space="preserve"> </w:t>
      </w:r>
      <w:r w:rsidRPr="00CE64F1">
        <w:rPr>
          <w:lang w:val="fr-FR"/>
        </w:rPr>
        <w:t>L</w:t>
      </w:r>
      <w:r w:rsidR="00551CEE">
        <w:rPr>
          <w:lang w:val="fr-FR"/>
        </w:rPr>
        <w:t>’</w:t>
      </w:r>
      <w:r w:rsidRPr="00CE64F1">
        <w:rPr>
          <w:lang w:val="fr-FR"/>
        </w:rPr>
        <w:t>ONUDI en qualité d</w:t>
      </w:r>
      <w:r w:rsidR="00551CEE">
        <w:rPr>
          <w:lang w:val="fr-FR"/>
        </w:rPr>
        <w:t>’</w:t>
      </w:r>
      <w:r w:rsidRPr="00CE64F1">
        <w:rPr>
          <w:lang w:val="fr-FR"/>
        </w:rPr>
        <w:t>agence d</w:t>
      </w:r>
      <w:r w:rsidR="00551CEE">
        <w:rPr>
          <w:lang w:val="fr-FR"/>
        </w:rPr>
        <w:t>’</w:t>
      </w:r>
      <w:r w:rsidRPr="00CE64F1">
        <w:rPr>
          <w:lang w:val="fr-FR"/>
        </w:rPr>
        <w:t>exécution principale pour le PGEH du Chili, de l</w:t>
      </w:r>
      <w:r w:rsidR="00551CEE">
        <w:rPr>
          <w:lang w:val="fr-FR"/>
        </w:rPr>
        <w:t>’</w:t>
      </w:r>
      <w:r w:rsidRPr="00CE64F1">
        <w:rPr>
          <w:lang w:val="fr-FR"/>
        </w:rPr>
        <w:t xml:space="preserve">Oman et de </w:t>
      </w:r>
      <w:r w:rsidRPr="00CE64F1">
        <w:rPr>
          <w:color w:val="000000" w:themeColor="text1"/>
          <w:lang w:val="fr-FR"/>
        </w:rPr>
        <w:t>Arabie Saoudite</w:t>
      </w:r>
      <w:r w:rsidRPr="00CE64F1">
        <w:rPr>
          <w:lang w:val="fr-FR"/>
        </w:rPr>
        <w:t xml:space="preserve">, et en qualité </w:t>
      </w:r>
      <w:r w:rsidR="007046E6" w:rsidRPr="00CE64F1">
        <w:rPr>
          <w:lang w:val="fr-FR"/>
        </w:rPr>
        <w:t>d</w:t>
      </w:r>
      <w:r w:rsidR="00551CEE">
        <w:rPr>
          <w:lang w:val="fr-FR"/>
        </w:rPr>
        <w:t>’</w:t>
      </w:r>
      <w:r w:rsidR="007046E6" w:rsidRPr="00CE64F1">
        <w:rPr>
          <w:lang w:val="fr-FR"/>
        </w:rPr>
        <w:t>agence d</w:t>
      </w:r>
      <w:r w:rsidR="00551CEE">
        <w:rPr>
          <w:lang w:val="fr-FR"/>
        </w:rPr>
        <w:t>’</w:t>
      </w:r>
      <w:r w:rsidR="007046E6" w:rsidRPr="00CE64F1">
        <w:rPr>
          <w:lang w:val="fr-FR"/>
        </w:rPr>
        <w:t xml:space="preserve">exécution </w:t>
      </w:r>
      <w:r w:rsidRPr="00CE64F1">
        <w:rPr>
          <w:lang w:val="fr-FR"/>
        </w:rPr>
        <w:t>coopérante pour le PGEH de la Guinée, a demandé 140 000 $US, plus 9 800 $US de coûts d</w:t>
      </w:r>
      <w:r w:rsidR="00551CEE">
        <w:rPr>
          <w:lang w:val="fr-FR"/>
        </w:rPr>
        <w:t>’</w:t>
      </w:r>
      <w:r w:rsidRPr="00CE64F1">
        <w:rPr>
          <w:lang w:val="fr-FR"/>
        </w:rPr>
        <w:t>appui d</w:t>
      </w:r>
      <w:r w:rsidR="00551CEE">
        <w:rPr>
          <w:lang w:val="fr-FR"/>
        </w:rPr>
        <w:t>’</w:t>
      </w:r>
      <w:r w:rsidRPr="00CE64F1">
        <w:rPr>
          <w:lang w:val="fr-FR"/>
        </w:rPr>
        <w:t>agence</w:t>
      </w:r>
      <w:r w:rsidRPr="00CE64F1">
        <w:rPr>
          <w:rStyle w:val="FootnoteReference"/>
          <w:lang w:val="fr-FR"/>
        </w:rPr>
        <w:footnoteReference w:id="4"/>
      </w:r>
      <w:r w:rsidRPr="00CE64F1">
        <w:rPr>
          <w:lang w:val="fr-FR"/>
        </w:rPr>
        <w:t>, dans son programme de travail pour 2020</w:t>
      </w:r>
      <w:r w:rsidRPr="00CE64F1">
        <w:rPr>
          <w:vertAlign w:val="superscript"/>
          <w:lang w:val="en-CA"/>
        </w:rPr>
        <w:footnoteReference w:id="5"/>
      </w:r>
      <w:r w:rsidR="00551CEE">
        <w:rPr>
          <w:lang w:val="fr-FR"/>
        </w:rPr>
        <w:t>.</w:t>
      </w:r>
    </w:p>
    <w:p w14:paraId="6B08E333" w14:textId="430020C9" w:rsidR="00553794" w:rsidRPr="00CE64F1" w:rsidRDefault="00CE64F1" w:rsidP="004A1F6C">
      <w:pPr>
        <w:pStyle w:val="Heading1"/>
        <w:keepNext/>
        <w:keepLines/>
        <w:numPr>
          <w:ilvl w:val="0"/>
          <w:numId w:val="0"/>
        </w:numPr>
      </w:pPr>
      <w:r w:rsidRPr="00CE64F1">
        <w:rPr>
          <w:b/>
          <w:lang w:val="fr-FR"/>
        </w:rPr>
        <w:t>Observations du Secrétariat</w:t>
      </w:r>
    </w:p>
    <w:p w14:paraId="6BE78118" w14:textId="3E14CCD5" w:rsidR="00CE64F1" w:rsidRPr="000F13C8" w:rsidRDefault="00CE64F1" w:rsidP="004A1F6C">
      <w:pPr>
        <w:pStyle w:val="Heading1"/>
        <w:ind w:left="0"/>
        <w:rPr>
          <w:lang w:val="fr-CA"/>
        </w:rPr>
      </w:pPr>
      <w:r w:rsidRPr="00CE64F1">
        <w:rPr>
          <w:lang w:val="fr-FR"/>
        </w:rPr>
        <w:t>Lors de l</w:t>
      </w:r>
      <w:r w:rsidR="00551CEE">
        <w:rPr>
          <w:lang w:val="fr-FR"/>
        </w:rPr>
        <w:t>’</w:t>
      </w:r>
      <w:r w:rsidRPr="00CE64F1">
        <w:rPr>
          <w:lang w:val="fr-FR"/>
        </w:rPr>
        <w:t>examen de</w:t>
      </w:r>
      <w:r w:rsidR="008C1378">
        <w:rPr>
          <w:lang w:val="fr-FR"/>
        </w:rPr>
        <w:t>s</w:t>
      </w:r>
      <w:r w:rsidRPr="00CE64F1">
        <w:rPr>
          <w:lang w:val="fr-FR"/>
        </w:rPr>
        <w:t xml:space="preserve"> deux demandes pour lesquelles le PNUE est </w:t>
      </w:r>
      <w:r w:rsidR="008C1378">
        <w:rPr>
          <w:lang w:val="fr-FR"/>
        </w:rPr>
        <w:t>l’</w:t>
      </w:r>
      <w:r w:rsidRPr="00CE64F1">
        <w:rPr>
          <w:lang w:val="fr-FR"/>
        </w:rPr>
        <w:t>agence d</w:t>
      </w:r>
      <w:r w:rsidR="00551CEE">
        <w:rPr>
          <w:lang w:val="fr-FR"/>
        </w:rPr>
        <w:t>’</w:t>
      </w:r>
      <w:r w:rsidRPr="00CE64F1">
        <w:rPr>
          <w:lang w:val="fr-FR"/>
        </w:rPr>
        <w:t>exécution désignée/</w:t>
      </w:r>
      <w:r w:rsidR="008C1378">
        <w:rPr>
          <w:lang w:val="fr-FR"/>
        </w:rPr>
        <w:t>principale</w:t>
      </w:r>
      <w:r w:rsidRPr="00CE64F1">
        <w:rPr>
          <w:lang w:val="fr-FR"/>
        </w:rPr>
        <w:t>, le Secrétariat a pris en compte les lignes directrices relatives au financement de la préparation des PGEH pour les pays visés à l</w:t>
      </w:r>
      <w:r w:rsidR="00551CEE">
        <w:rPr>
          <w:lang w:val="fr-FR"/>
        </w:rPr>
        <w:t>’</w:t>
      </w:r>
      <w:r w:rsidRPr="00CE64F1">
        <w:rPr>
          <w:lang w:val="fr-FR"/>
        </w:rPr>
        <w:t>article 5 contenues dans la décision 71/42, la phase I des PGEH le cas échéant, l</w:t>
      </w:r>
      <w:r w:rsidR="00551CEE">
        <w:rPr>
          <w:lang w:val="fr-FR"/>
        </w:rPr>
        <w:t>’</w:t>
      </w:r>
      <w:r w:rsidRPr="00CE64F1">
        <w:rPr>
          <w:lang w:val="fr-FR"/>
        </w:rPr>
        <w:t>état d</w:t>
      </w:r>
      <w:r w:rsidR="00551CEE">
        <w:rPr>
          <w:lang w:val="fr-FR"/>
        </w:rPr>
        <w:t>’</w:t>
      </w:r>
      <w:r w:rsidRPr="00CE64F1">
        <w:rPr>
          <w:lang w:val="fr-FR"/>
        </w:rPr>
        <w:t>avancement de la mise en œuvre des tranches au moment de la préparation du présent document, ainsi que la décision 82/45 (c)(i)</w:t>
      </w:r>
      <w:r w:rsidRPr="00CE64F1">
        <w:rPr>
          <w:vertAlign w:val="superscript"/>
        </w:rPr>
        <w:footnoteReference w:id="6"/>
      </w:r>
      <w:r w:rsidR="00551CEE">
        <w:rPr>
          <w:lang w:val="fr-FR"/>
        </w:rPr>
        <w:t>.</w:t>
      </w:r>
      <w:r w:rsidRPr="000F13C8">
        <w:rPr>
          <w:lang w:val="fr-CA"/>
        </w:rPr>
        <w:t xml:space="preserve"> </w:t>
      </w:r>
      <w:r w:rsidRPr="00CE64F1">
        <w:rPr>
          <w:lang w:val="fr-FR"/>
        </w:rPr>
        <w:t>Le Secrétariat a noté que les financements sollicités pour chaque pays sont conformes à la décision 71/42 et que le PNUE a confirmé que les tranches restantes concernant ces pays seront soumises selon le calendrier indiqué dans les accords qu</w:t>
      </w:r>
      <w:r w:rsidR="00551CEE">
        <w:rPr>
          <w:lang w:val="fr-FR"/>
        </w:rPr>
        <w:t>’</w:t>
      </w:r>
      <w:r w:rsidRPr="00CE64F1">
        <w:rPr>
          <w:lang w:val="fr-FR"/>
        </w:rPr>
        <w:t>ils ont conclus avec le Comité exécutif.</w:t>
      </w:r>
      <w:r w:rsidRPr="000F13C8">
        <w:rPr>
          <w:lang w:val="fr-CA"/>
        </w:rPr>
        <w:t xml:space="preserve"> </w:t>
      </w:r>
    </w:p>
    <w:p w14:paraId="2811B807" w14:textId="676335EC" w:rsidR="00CE64F1" w:rsidRPr="000F13C8" w:rsidRDefault="00CE64F1" w:rsidP="004A1F6C">
      <w:pPr>
        <w:pStyle w:val="Heading1"/>
        <w:ind w:left="0"/>
        <w:rPr>
          <w:lang w:val="fr-CA"/>
        </w:rPr>
      </w:pPr>
      <w:r w:rsidRPr="00CE64F1">
        <w:rPr>
          <w:lang w:val="fr-FR"/>
        </w:rPr>
        <w:t>Le PNUE a confirmé que la phase II du PGEH pour la Barbade et la Guinée permettra l</w:t>
      </w:r>
      <w:r w:rsidR="00551CEE">
        <w:rPr>
          <w:lang w:val="fr-FR"/>
        </w:rPr>
        <w:t>’</w:t>
      </w:r>
      <w:r w:rsidRPr="00CE64F1">
        <w:rPr>
          <w:lang w:val="fr-FR"/>
        </w:rPr>
        <w:t>élimination de 100 pour cent de la valeur de référence des HCFC d</w:t>
      </w:r>
      <w:r w:rsidR="00551CEE">
        <w:rPr>
          <w:lang w:val="fr-FR"/>
        </w:rPr>
        <w:t>’</w:t>
      </w:r>
      <w:r w:rsidRPr="00CE64F1">
        <w:rPr>
          <w:lang w:val="fr-FR"/>
        </w:rPr>
        <w:t>ici le 1</w:t>
      </w:r>
      <w:r w:rsidRPr="00CE64F1">
        <w:rPr>
          <w:vertAlign w:val="superscript"/>
          <w:lang w:val="fr-FR"/>
        </w:rPr>
        <w:t>er</w:t>
      </w:r>
      <w:r w:rsidRPr="00CE64F1">
        <w:rPr>
          <w:lang w:val="fr-FR"/>
        </w:rPr>
        <w:t xml:space="preserve"> janvier 2030.</w:t>
      </w:r>
    </w:p>
    <w:p w14:paraId="30D502D6" w14:textId="38531EB6" w:rsidR="00553794" w:rsidRPr="00CE64F1" w:rsidRDefault="00CE64F1" w:rsidP="004A1F6C">
      <w:pPr>
        <w:pStyle w:val="Heading1"/>
        <w:numPr>
          <w:ilvl w:val="0"/>
          <w:numId w:val="0"/>
        </w:numPr>
        <w:rPr>
          <w:b/>
        </w:rPr>
      </w:pPr>
      <w:r w:rsidRPr="00CE64F1">
        <w:rPr>
          <w:b/>
          <w:lang w:val="fr-FR"/>
        </w:rPr>
        <w:t>Recommandations du Secrétariat</w:t>
      </w:r>
    </w:p>
    <w:p w14:paraId="0A5FEDE7" w14:textId="6678E5DA" w:rsidR="00CE64F1" w:rsidRPr="000F13C8" w:rsidRDefault="00CE64F1" w:rsidP="004A1F6C">
      <w:pPr>
        <w:pStyle w:val="Heading1"/>
        <w:tabs>
          <w:tab w:val="clear" w:pos="90"/>
          <w:tab w:val="num" w:pos="0"/>
        </w:tabs>
        <w:ind w:left="0"/>
        <w:rPr>
          <w:lang w:val="fr-CA"/>
        </w:rPr>
      </w:pPr>
      <w:r w:rsidRPr="00CE64F1">
        <w:rPr>
          <w:lang w:val="fr-FR"/>
        </w:rPr>
        <w:t>Le Secrétariat recommande l</w:t>
      </w:r>
      <w:r w:rsidR="00551CEE">
        <w:rPr>
          <w:lang w:val="fr-FR"/>
        </w:rPr>
        <w:t>’</w:t>
      </w:r>
      <w:r w:rsidRPr="00CE64F1">
        <w:rPr>
          <w:lang w:val="fr-FR"/>
        </w:rPr>
        <w:t xml:space="preserve">approbation globale de la préparation de projet de la phase II des plans de gestion </w:t>
      </w:r>
      <w:r w:rsidR="00792849">
        <w:rPr>
          <w:lang w:val="fr-FR"/>
        </w:rPr>
        <w:t xml:space="preserve">de </w:t>
      </w:r>
      <w:r w:rsidRPr="00CE64F1">
        <w:rPr>
          <w:lang w:val="fr-FR"/>
        </w:rPr>
        <w:t>l</w:t>
      </w:r>
      <w:r w:rsidR="00551CEE">
        <w:rPr>
          <w:lang w:val="fr-FR"/>
        </w:rPr>
        <w:t>’</w:t>
      </w:r>
      <w:r w:rsidRPr="00CE64F1">
        <w:rPr>
          <w:lang w:val="fr-FR"/>
        </w:rPr>
        <w:t>élimination des HCFC (PGEH) pour la Barbade, la Guinée et l</w:t>
      </w:r>
      <w:r w:rsidR="00551CEE">
        <w:rPr>
          <w:lang w:val="fr-FR"/>
        </w:rPr>
        <w:t>’</w:t>
      </w:r>
      <w:r w:rsidRPr="00CE64F1">
        <w:rPr>
          <w:lang w:val="fr-FR"/>
        </w:rPr>
        <w:t xml:space="preserve">Arabie Saoudite, et </w:t>
      </w:r>
      <w:r w:rsidRPr="00CE64F1">
        <w:rPr>
          <w:lang w:val="fr-FR"/>
        </w:rPr>
        <w:lastRenderedPageBreak/>
        <w:t>de la phase III du PGEH du Chili et de l</w:t>
      </w:r>
      <w:r w:rsidR="00551CEE">
        <w:rPr>
          <w:lang w:val="fr-FR"/>
        </w:rPr>
        <w:t>’</w:t>
      </w:r>
      <w:r w:rsidRPr="00CE64F1">
        <w:rPr>
          <w:lang w:val="fr-FR"/>
        </w:rPr>
        <w:t>Oman au niveau de financement indiqué à la section A3 du tableau 1.</w:t>
      </w:r>
    </w:p>
    <w:p w14:paraId="3AA55999" w14:textId="5A9C780C" w:rsidR="00CF1B88" w:rsidRPr="000F13C8" w:rsidRDefault="00CE64F1" w:rsidP="004A1F6C">
      <w:pPr>
        <w:tabs>
          <w:tab w:val="num" w:pos="0"/>
        </w:tabs>
        <w:spacing w:after="240"/>
        <w:rPr>
          <w:b/>
          <w:color w:val="000000" w:themeColor="text1"/>
          <w:lang w:val="fr-CA"/>
        </w:rPr>
      </w:pPr>
      <w:r w:rsidRPr="00CE64F1">
        <w:rPr>
          <w:b/>
          <w:color w:val="000000" w:themeColor="text1"/>
          <w:lang w:val="fr-FR"/>
        </w:rPr>
        <w:t>SECTION B :</w:t>
      </w:r>
      <w:r w:rsidR="00CF1B88" w:rsidRPr="000F13C8">
        <w:rPr>
          <w:b/>
          <w:color w:val="000000" w:themeColor="text1"/>
          <w:lang w:val="fr-CA"/>
        </w:rPr>
        <w:t xml:space="preserve"> </w:t>
      </w:r>
      <w:r w:rsidRPr="00CE64F1">
        <w:rPr>
          <w:b/>
          <w:color w:val="000000" w:themeColor="text1"/>
          <w:lang w:val="fr-FR"/>
        </w:rPr>
        <w:t>ACTIVITÉS RECOMMANDÉES POUR EXAMEN INDIVIDUEL</w:t>
      </w:r>
    </w:p>
    <w:p w14:paraId="0A61E0EA" w14:textId="340C5900" w:rsidR="00314FA8" w:rsidRPr="000F13C8" w:rsidRDefault="00CE64F1" w:rsidP="004A1F6C">
      <w:pPr>
        <w:pStyle w:val="Heading1"/>
        <w:widowControl w:val="0"/>
        <w:numPr>
          <w:ilvl w:val="0"/>
          <w:numId w:val="0"/>
        </w:numPr>
        <w:tabs>
          <w:tab w:val="num" w:pos="0"/>
        </w:tabs>
        <w:rPr>
          <w:color w:val="000000" w:themeColor="text1"/>
          <w:lang w:val="fr-CA"/>
        </w:rPr>
      </w:pPr>
      <w:r w:rsidRPr="00CE64F1">
        <w:rPr>
          <w:b/>
          <w:color w:val="000000" w:themeColor="text1"/>
          <w:lang w:val="fr-FR"/>
        </w:rPr>
        <w:t>B1: Préparation</w:t>
      </w:r>
      <w:r w:rsidR="00551CEE">
        <w:rPr>
          <w:b/>
          <w:color w:val="000000" w:themeColor="text1"/>
          <w:lang w:val="fr-FR"/>
        </w:rPr>
        <w:t xml:space="preserve"> </w:t>
      </w:r>
      <w:r w:rsidRPr="00CE64F1">
        <w:rPr>
          <w:b/>
          <w:color w:val="000000" w:themeColor="text1"/>
          <w:lang w:val="fr-FR"/>
        </w:rPr>
        <w:t>de projet pour les plans de gestion de la réduction progressive des HFC</w:t>
      </w:r>
    </w:p>
    <w:p w14:paraId="4021BF39" w14:textId="55527200" w:rsidR="00CE64F1" w:rsidRPr="000F13C8" w:rsidRDefault="00A53390" w:rsidP="004A1F6C">
      <w:pPr>
        <w:pStyle w:val="Heading1"/>
        <w:tabs>
          <w:tab w:val="clear" w:pos="90"/>
          <w:tab w:val="num" w:pos="0"/>
        </w:tabs>
        <w:ind w:left="0"/>
        <w:rPr>
          <w:lang w:val="fr-CA"/>
        </w:rPr>
      </w:pPr>
      <w:r w:rsidRPr="00A53390">
        <w:rPr>
          <w:lang w:val="fr-FR"/>
        </w:rPr>
        <w:t>Lors de la 85</w:t>
      </w:r>
      <w:r w:rsidRPr="00A53390">
        <w:rPr>
          <w:vertAlign w:val="superscript"/>
          <w:lang w:val="fr-FR"/>
        </w:rPr>
        <w:t>e</w:t>
      </w:r>
      <w:r w:rsidRPr="00A53390">
        <w:rPr>
          <w:lang w:val="fr-FR"/>
        </w:rPr>
        <w:t xml:space="preserve"> réunion, le PNUE a inclus dans son programme de travail</w:t>
      </w:r>
      <w:r w:rsidRPr="00A53390">
        <w:rPr>
          <w:rStyle w:val="FootnoteReference"/>
          <w:lang w:val="fr-FR"/>
        </w:rPr>
        <w:footnoteReference w:id="7"/>
      </w:r>
      <w:r w:rsidRPr="00A53390">
        <w:rPr>
          <w:lang w:val="fr-FR"/>
        </w:rPr>
        <w:t xml:space="preserve"> une demande de préparation de projet pour un plan de gestion </w:t>
      </w:r>
      <w:r w:rsidR="00D46D03">
        <w:rPr>
          <w:lang w:val="fr-FR"/>
        </w:rPr>
        <w:t xml:space="preserve">de </w:t>
      </w:r>
      <w:r w:rsidRPr="00A53390">
        <w:rPr>
          <w:lang w:val="fr-FR"/>
        </w:rPr>
        <w:t>l</w:t>
      </w:r>
      <w:r w:rsidR="00551CEE">
        <w:rPr>
          <w:lang w:val="fr-FR"/>
        </w:rPr>
        <w:t>’</w:t>
      </w:r>
      <w:r w:rsidRPr="00A53390">
        <w:rPr>
          <w:lang w:val="fr-FR"/>
        </w:rPr>
        <w:t>élimination progressive des HFC pour l</w:t>
      </w:r>
      <w:r w:rsidR="00551CEE">
        <w:rPr>
          <w:lang w:val="fr-FR"/>
        </w:rPr>
        <w:t>’</w:t>
      </w:r>
      <w:r w:rsidRPr="00A53390">
        <w:rPr>
          <w:lang w:val="fr-FR"/>
        </w:rPr>
        <w:t xml:space="preserve">Albanie, avec </w:t>
      </w:r>
      <w:r w:rsidR="00D46D03">
        <w:rPr>
          <w:lang w:val="fr-FR"/>
        </w:rPr>
        <w:t>l</w:t>
      </w:r>
      <w:r w:rsidR="00551CEE">
        <w:rPr>
          <w:lang w:val="fr-FR"/>
        </w:rPr>
        <w:t>’</w:t>
      </w:r>
      <w:r w:rsidRPr="00A53390">
        <w:rPr>
          <w:lang w:val="fr-FR"/>
        </w:rPr>
        <w:t>ONUDI en t</w:t>
      </w:r>
      <w:r w:rsidR="00D46D03">
        <w:rPr>
          <w:lang w:val="fr-FR"/>
        </w:rPr>
        <w:t>a</w:t>
      </w:r>
      <w:r w:rsidRPr="00A53390">
        <w:rPr>
          <w:lang w:val="fr-FR"/>
        </w:rPr>
        <w:t>nt qu</w:t>
      </w:r>
      <w:r w:rsidR="00551CEE">
        <w:rPr>
          <w:lang w:val="fr-FR"/>
        </w:rPr>
        <w:t>’</w:t>
      </w:r>
      <w:r w:rsidRPr="00A53390">
        <w:rPr>
          <w:lang w:val="fr-FR"/>
        </w:rPr>
        <w:t>agence d</w:t>
      </w:r>
      <w:r w:rsidR="00551CEE">
        <w:rPr>
          <w:lang w:val="fr-FR"/>
        </w:rPr>
        <w:t>’</w:t>
      </w:r>
      <w:r w:rsidRPr="00A53390">
        <w:rPr>
          <w:lang w:val="fr-FR"/>
        </w:rPr>
        <w:t>exécution principale</w:t>
      </w:r>
      <w:r w:rsidR="00D46D03">
        <w:rPr>
          <w:lang w:val="fr-FR"/>
        </w:rPr>
        <w:t>, demande figurant</w:t>
      </w:r>
      <w:r w:rsidR="00551CEE">
        <w:rPr>
          <w:lang w:val="fr-FR"/>
        </w:rPr>
        <w:t xml:space="preserve"> </w:t>
      </w:r>
      <w:r w:rsidRPr="00A53390">
        <w:rPr>
          <w:lang w:val="fr-FR"/>
        </w:rPr>
        <w:t>à la</w:t>
      </w:r>
      <w:r w:rsidR="00551CEE">
        <w:rPr>
          <w:lang w:val="fr-FR"/>
        </w:rPr>
        <w:t xml:space="preserve"> </w:t>
      </w:r>
      <w:r w:rsidRPr="00A53390">
        <w:rPr>
          <w:lang w:val="fr-FR"/>
        </w:rPr>
        <w:t>section B1 du tableau 1.</w:t>
      </w:r>
      <w:r w:rsidRPr="000F13C8">
        <w:rPr>
          <w:lang w:val="fr-CA"/>
        </w:rPr>
        <w:t xml:space="preserve"> </w:t>
      </w:r>
    </w:p>
    <w:p w14:paraId="3B78AA9C" w14:textId="265976A7" w:rsidR="00D46D03" w:rsidRPr="000F13C8" w:rsidRDefault="00D46D03" w:rsidP="004A1F6C">
      <w:pPr>
        <w:pStyle w:val="Heading1"/>
        <w:tabs>
          <w:tab w:val="clear" w:pos="90"/>
          <w:tab w:val="num" w:pos="0"/>
        </w:tabs>
        <w:ind w:left="0"/>
        <w:rPr>
          <w:lang w:val="fr-CA"/>
        </w:rPr>
      </w:pPr>
      <w:r w:rsidRPr="00D46D03">
        <w:rPr>
          <w:snapToGrid w:val="0"/>
          <w:lang w:val="fr-FR"/>
        </w:rPr>
        <w:t>Cette demande de financement soumise aux fins d</w:t>
      </w:r>
      <w:r w:rsidR="00551CEE">
        <w:rPr>
          <w:snapToGrid w:val="0"/>
          <w:lang w:val="fr-FR"/>
        </w:rPr>
        <w:t>’</w:t>
      </w:r>
      <w:r w:rsidRPr="00D46D03">
        <w:rPr>
          <w:snapToGrid w:val="0"/>
          <w:lang w:val="fr-FR"/>
        </w:rPr>
        <w:t>examen individuel par le Comité exécutif n</w:t>
      </w:r>
      <w:r w:rsidR="00551CEE">
        <w:rPr>
          <w:snapToGrid w:val="0"/>
          <w:lang w:val="fr-FR"/>
        </w:rPr>
        <w:t>’</w:t>
      </w:r>
      <w:r w:rsidRPr="00D46D03">
        <w:rPr>
          <w:snapToGrid w:val="0"/>
          <w:lang w:val="fr-FR"/>
        </w:rPr>
        <w:t>a pas été examiné</w:t>
      </w:r>
      <w:r w:rsidR="00792849">
        <w:rPr>
          <w:snapToGrid w:val="0"/>
          <w:lang w:val="fr-FR"/>
        </w:rPr>
        <w:t>e</w:t>
      </w:r>
      <w:r w:rsidRPr="00D46D03">
        <w:rPr>
          <w:snapToGrid w:val="0"/>
          <w:lang w:val="fr-FR"/>
        </w:rPr>
        <w:t xml:space="preserve"> lors du </w:t>
      </w:r>
      <w:r w:rsidRPr="00D46D03">
        <w:rPr>
          <w:lang w:val="fr-FR"/>
        </w:rPr>
        <w:t>processus d</w:t>
      </w:r>
      <w:r w:rsidR="00551CEE">
        <w:rPr>
          <w:lang w:val="fr-FR"/>
        </w:rPr>
        <w:t>’</w:t>
      </w:r>
      <w:r w:rsidRPr="00D46D03">
        <w:rPr>
          <w:lang w:val="fr-FR"/>
        </w:rPr>
        <w:t>approbation en période intersessions (IAP) mis en place pour la 85</w:t>
      </w:r>
      <w:r w:rsidRPr="00D46D03">
        <w:rPr>
          <w:vertAlign w:val="superscript"/>
          <w:lang w:val="fr-FR"/>
        </w:rPr>
        <w:t>e</w:t>
      </w:r>
      <w:r w:rsidRPr="00D46D03">
        <w:rPr>
          <w:lang w:val="fr-FR"/>
        </w:rPr>
        <w:t xml:space="preserve"> réunion, et son report à la 86</w:t>
      </w:r>
      <w:r w:rsidRPr="00D46D03">
        <w:rPr>
          <w:vertAlign w:val="superscript"/>
          <w:lang w:val="fr-FR"/>
        </w:rPr>
        <w:t>e</w:t>
      </w:r>
      <w:r w:rsidRPr="00D46D03">
        <w:rPr>
          <w:lang w:val="fr-FR"/>
        </w:rPr>
        <w:t xml:space="preserve"> réunion a été </w:t>
      </w:r>
      <w:r w:rsidR="00792849">
        <w:rPr>
          <w:lang w:val="fr-FR"/>
        </w:rPr>
        <w:t>adopté</w:t>
      </w:r>
      <w:r w:rsidRPr="00D46D03">
        <w:rPr>
          <w:lang w:val="fr-FR"/>
        </w:rPr>
        <w:t xml:space="preserve"> par le Comité exécutif.</w:t>
      </w:r>
      <w:r w:rsidRPr="000F13C8">
        <w:rPr>
          <w:lang w:val="fr-CA"/>
        </w:rPr>
        <w:t xml:space="preserve"> </w:t>
      </w:r>
      <w:r w:rsidRPr="00D46D03">
        <w:rPr>
          <w:lang w:val="fr-FR"/>
        </w:rPr>
        <w:t>Par conséquent, la proposition soumise à la 85</w:t>
      </w:r>
      <w:r w:rsidRPr="00D46D03">
        <w:rPr>
          <w:vertAlign w:val="superscript"/>
          <w:lang w:val="fr-FR"/>
        </w:rPr>
        <w:t>e</w:t>
      </w:r>
      <w:r w:rsidRPr="00D46D03">
        <w:rPr>
          <w:lang w:val="fr-FR"/>
        </w:rPr>
        <w:t xml:space="preserve"> réunion</w:t>
      </w:r>
      <w:r w:rsidR="00551CEE">
        <w:rPr>
          <w:lang w:val="fr-FR"/>
        </w:rPr>
        <w:t xml:space="preserve"> </w:t>
      </w:r>
      <w:r w:rsidRPr="00D46D03">
        <w:rPr>
          <w:lang w:val="fr-FR"/>
        </w:rPr>
        <w:t>a été</w:t>
      </w:r>
      <w:r w:rsidR="00551CEE">
        <w:rPr>
          <w:lang w:val="fr-FR"/>
        </w:rPr>
        <w:t xml:space="preserve"> </w:t>
      </w:r>
      <w:r w:rsidRPr="00D46D03">
        <w:rPr>
          <w:lang w:val="fr-FR"/>
        </w:rPr>
        <w:t>incluse dans le présent document.</w:t>
      </w:r>
    </w:p>
    <w:p w14:paraId="17266B39" w14:textId="77777777" w:rsidR="006227D8" w:rsidRDefault="006227D8" w:rsidP="004A1F6C">
      <w:pPr>
        <w:tabs>
          <w:tab w:val="num" w:pos="0"/>
        </w:tabs>
        <w:spacing w:after="240"/>
        <w:rPr>
          <w:b/>
          <w:color w:val="000000" w:themeColor="text1"/>
          <w:lang w:val="fr-FR"/>
        </w:rPr>
      </w:pPr>
      <w:r>
        <w:rPr>
          <w:b/>
          <w:color w:val="000000" w:themeColor="text1"/>
          <w:lang w:val="fr-FR"/>
        </w:rPr>
        <w:t>D</w:t>
      </w:r>
      <w:r w:rsidR="00D46D03" w:rsidRPr="00D46D03">
        <w:rPr>
          <w:b/>
          <w:color w:val="000000" w:themeColor="text1"/>
          <w:lang w:val="fr-FR"/>
        </w:rPr>
        <w:t>escription</w:t>
      </w:r>
      <w:r>
        <w:rPr>
          <w:b/>
          <w:color w:val="000000" w:themeColor="text1"/>
          <w:lang w:val="fr-FR"/>
        </w:rPr>
        <w:t xml:space="preserve"> des projets</w:t>
      </w:r>
    </w:p>
    <w:p w14:paraId="4AAC54B5" w14:textId="634D812B" w:rsidR="008C1378" w:rsidRPr="006227D8" w:rsidRDefault="006227D8" w:rsidP="004A1F6C">
      <w:pPr>
        <w:pStyle w:val="Heading1"/>
        <w:tabs>
          <w:tab w:val="clear" w:pos="90"/>
          <w:tab w:val="num" w:pos="0"/>
        </w:tabs>
        <w:ind w:left="0"/>
        <w:rPr>
          <w:lang w:val="fr-FR"/>
        </w:rPr>
      </w:pPr>
      <w:r>
        <w:rPr>
          <w:snapToGrid w:val="0"/>
          <w:lang w:val="fr-FR"/>
        </w:rPr>
        <w:t>Le PNUE</w:t>
      </w:r>
      <w:r w:rsidRPr="006227D8">
        <w:rPr>
          <w:snapToGrid w:val="0"/>
          <w:lang w:val="fr-FR"/>
        </w:rPr>
        <w:t xml:space="preserve"> </w:t>
      </w:r>
      <w:r w:rsidR="00D46D03" w:rsidRPr="006227D8">
        <w:rPr>
          <w:lang w:val="fr-FR"/>
        </w:rPr>
        <w:t>a présenté en qualité d</w:t>
      </w:r>
      <w:r w:rsidR="00551CEE" w:rsidRPr="006227D8">
        <w:rPr>
          <w:lang w:val="fr-FR"/>
        </w:rPr>
        <w:t>’</w:t>
      </w:r>
      <w:r w:rsidR="00D46D03" w:rsidRPr="006227D8">
        <w:rPr>
          <w:lang w:val="fr-FR"/>
        </w:rPr>
        <w:t>agence d</w:t>
      </w:r>
      <w:r w:rsidR="00551CEE" w:rsidRPr="006227D8">
        <w:rPr>
          <w:lang w:val="fr-FR"/>
        </w:rPr>
        <w:t>’</w:t>
      </w:r>
      <w:r w:rsidR="00D46D03" w:rsidRPr="006227D8">
        <w:rPr>
          <w:lang w:val="fr-FR"/>
        </w:rPr>
        <w:t>exécution désignée des demandes pour la préparation de plans de gestion de la réduction progressive des HFC pour deux pays visés à l</w:t>
      </w:r>
      <w:r w:rsidR="00551CEE" w:rsidRPr="006227D8">
        <w:rPr>
          <w:lang w:val="fr-FR"/>
        </w:rPr>
        <w:t>’</w:t>
      </w:r>
      <w:r w:rsidR="007046E6" w:rsidRPr="006227D8">
        <w:rPr>
          <w:lang w:val="fr-FR"/>
        </w:rPr>
        <w:t>article</w:t>
      </w:r>
      <w:r w:rsidR="00D46D03" w:rsidRPr="006227D8">
        <w:rPr>
          <w:lang w:val="fr-FR"/>
        </w:rPr>
        <w:t xml:space="preserve"> 5, pour quatre pays en tant agence d</w:t>
      </w:r>
      <w:r w:rsidR="00551CEE" w:rsidRPr="006227D8">
        <w:rPr>
          <w:lang w:val="fr-FR"/>
        </w:rPr>
        <w:t>’</w:t>
      </w:r>
      <w:r w:rsidR="00D46D03" w:rsidRPr="006227D8">
        <w:rPr>
          <w:lang w:val="fr-FR"/>
        </w:rPr>
        <w:t>exécution principale</w:t>
      </w:r>
      <w:r w:rsidR="00792849" w:rsidRPr="006227D8">
        <w:rPr>
          <w:lang w:val="fr-FR"/>
        </w:rPr>
        <w:t>,</w:t>
      </w:r>
      <w:r w:rsidR="00D46D03" w:rsidRPr="006227D8">
        <w:rPr>
          <w:lang w:val="fr-FR"/>
        </w:rPr>
        <w:t xml:space="preserve"> avec le PNUD en tant qu</w:t>
      </w:r>
      <w:r w:rsidR="00551CEE" w:rsidRPr="006227D8">
        <w:rPr>
          <w:lang w:val="fr-FR"/>
        </w:rPr>
        <w:t>’</w:t>
      </w:r>
      <w:r w:rsidR="00D46D03" w:rsidRPr="006227D8">
        <w:rPr>
          <w:lang w:val="fr-FR"/>
        </w:rPr>
        <w:t>agence de coopération pour trois de ces pays et l</w:t>
      </w:r>
      <w:r w:rsidR="00551CEE" w:rsidRPr="006227D8">
        <w:rPr>
          <w:lang w:val="fr-FR"/>
        </w:rPr>
        <w:t>’</w:t>
      </w:r>
      <w:r w:rsidR="00D46D03" w:rsidRPr="006227D8">
        <w:rPr>
          <w:lang w:val="fr-FR"/>
        </w:rPr>
        <w:t>ONUDI pour un pays ; pour trois pays le PNUE était agence de coopération</w:t>
      </w:r>
      <w:r w:rsidR="008C1378" w:rsidRPr="006227D8">
        <w:rPr>
          <w:lang w:val="fr-FR"/>
        </w:rPr>
        <w:t>,</w:t>
      </w:r>
      <w:r w:rsidR="00D46D03" w:rsidRPr="006227D8">
        <w:rPr>
          <w:lang w:val="fr-FR"/>
        </w:rPr>
        <w:t xml:space="preserve"> avec le PNUD comme agence d</w:t>
      </w:r>
      <w:r w:rsidR="00551CEE" w:rsidRPr="006227D8">
        <w:rPr>
          <w:lang w:val="fr-FR"/>
        </w:rPr>
        <w:t>’</w:t>
      </w:r>
      <w:r w:rsidR="00D46D03" w:rsidRPr="006227D8">
        <w:rPr>
          <w:lang w:val="fr-FR"/>
        </w:rPr>
        <w:t>exécution principale ; et pour deux pays le PNUE était agence de coopération</w:t>
      </w:r>
      <w:r w:rsidR="00792849" w:rsidRPr="006227D8">
        <w:rPr>
          <w:lang w:val="fr-FR"/>
        </w:rPr>
        <w:t>,</w:t>
      </w:r>
      <w:r w:rsidR="00D46D03" w:rsidRPr="006227D8">
        <w:rPr>
          <w:lang w:val="fr-FR"/>
        </w:rPr>
        <w:t xml:space="preserve"> avec l</w:t>
      </w:r>
      <w:r w:rsidR="00551CEE" w:rsidRPr="006227D8">
        <w:rPr>
          <w:lang w:val="fr-FR"/>
        </w:rPr>
        <w:t>’</w:t>
      </w:r>
      <w:r w:rsidR="00D46D03" w:rsidRPr="006227D8">
        <w:rPr>
          <w:lang w:val="fr-FR"/>
        </w:rPr>
        <w:t>UNIDO étant agence d</w:t>
      </w:r>
      <w:r w:rsidR="00551CEE" w:rsidRPr="006227D8">
        <w:rPr>
          <w:lang w:val="fr-FR"/>
        </w:rPr>
        <w:t>’</w:t>
      </w:r>
      <w:r w:rsidR="00D46D03" w:rsidRPr="006227D8">
        <w:rPr>
          <w:lang w:val="fr-FR"/>
        </w:rPr>
        <w:t>exécution principale, comme l</w:t>
      </w:r>
      <w:r w:rsidR="00551CEE" w:rsidRPr="006227D8">
        <w:rPr>
          <w:lang w:val="fr-FR"/>
        </w:rPr>
        <w:t>’</w:t>
      </w:r>
      <w:r w:rsidR="00D46D03" w:rsidRPr="006227D8">
        <w:rPr>
          <w:lang w:val="fr-FR"/>
        </w:rPr>
        <w:t>indique la section B1 du tableau 1. Le PNUD, en qualité agence d</w:t>
      </w:r>
      <w:r w:rsidR="00551CEE" w:rsidRPr="006227D8">
        <w:rPr>
          <w:lang w:val="fr-FR"/>
        </w:rPr>
        <w:t>’</w:t>
      </w:r>
      <w:r w:rsidR="00D46D03" w:rsidRPr="006227D8">
        <w:rPr>
          <w:lang w:val="fr-FR"/>
        </w:rPr>
        <w:t xml:space="preserve">exécution principale pour le Ghana, le </w:t>
      </w:r>
      <w:r w:rsidR="00D46D03" w:rsidRPr="006227D8">
        <w:rPr>
          <w:color w:val="000000" w:themeColor="text1"/>
          <w:lang w:val="fr-FR"/>
        </w:rPr>
        <w:t>Kirghizistan</w:t>
      </w:r>
      <w:r w:rsidR="00D46D03" w:rsidRPr="006227D8">
        <w:rPr>
          <w:lang w:val="fr-FR"/>
        </w:rPr>
        <w:t xml:space="preserve"> et le </w:t>
      </w:r>
      <w:r w:rsidR="00D46D03" w:rsidRPr="006227D8">
        <w:rPr>
          <w:color w:val="000000" w:themeColor="text1"/>
          <w:lang w:val="fr-FR"/>
        </w:rPr>
        <w:t>Nigeria,</w:t>
      </w:r>
      <w:r w:rsidR="00D46D03" w:rsidRPr="006227D8">
        <w:rPr>
          <w:lang w:val="fr-FR"/>
        </w:rPr>
        <w:t xml:space="preserve"> et en tant qu</w:t>
      </w:r>
      <w:r w:rsidR="00551CEE" w:rsidRPr="006227D8">
        <w:rPr>
          <w:lang w:val="fr-FR"/>
        </w:rPr>
        <w:t>’</w:t>
      </w:r>
      <w:r w:rsidR="00D46D03" w:rsidRPr="006227D8">
        <w:rPr>
          <w:lang w:val="fr-FR"/>
        </w:rPr>
        <w:t>agence d</w:t>
      </w:r>
      <w:r w:rsidR="00551CEE" w:rsidRPr="006227D8">
        <w:rPr>
          <w:lang w:val="fr-FR"/>
        </w:rPr>
        <w:t>’</w:t>
      </w:r>
      <w:r w:rsidR="00D46D03" w:rsidRPr="006227D8">
        <w:rPr>
          <w:lang w:val="fr-FR"/>
        </w:rPr>
        <w:t>exécution coopérante pour le Bhoutan, la République démocratique populaire lao (R</w:t>
      </w:r>
      <w:r w:rsidR="00551CEE" w:rsidRPr="006227D8">
        <w:rPr>
          <w:lang w:val="fr-FR"/>
        </w:rPr>
        <w:t>DP</w:t>
      </w:r>
      <w:r w:rsidR="00D46D03" w:rsidRPr="006227D8">
        <w:rPr>
          <w:lang w:val="fr-FR"/>
        </w:rPr>
        <w:t xml:space="preserve"> lao) et les Maldives, a demandé 332 000 $US, plus 23 240 $US$ de coûts d</w:t>
      </w:r>
      <w:r w:rsidR="00551CEE" w:rsidRPr="006227D8">
        <w:rPr>
          <w:lang w:val="fr-FR"/>
        </w:rPr>
        <w:t>’</w:t>
      </w:r>
      <w:r w:rsidR="00D46D03" w:rsidRPr="006227D8">
        <w:rPr>
          <w:lang w:val="fr-FR"/>
        </w:rPr>
        <w:t>appui d</w:t>
      </w:r>
      <w:r w:rsidR="00551CEE" w:rsidRPr="006227D8">
        <w:rPr>
          <w:lang w:val="fr-FR"/>
        </w:rPr>
        <w:t>’</w:t>
      </w:r>
      <w:r w:rsidR="00D46D03" w:rsidRPr="006227D8">
        <w:rPr>
          <w:lang w:val="fr-FR"/>
        </w:rPr>
        <w:t xml:space="preserve">agence dans les amendements à son programme de travail pour </w:t>
      </w:r>
      <w:r w:rsidR="008C1378" w:rsidRPr="006227D8">
        <w:rPr>
          <w:lang w:val="fr-FR"/>
        </w:rPr>
        <w:t xml:space="preserve">l’année </w:t>
      </w:r>
      <w:r w:rsidR="00D46D03" w:rsidRPr="006227D8">
        <w:rPr>
          <w:lang w:val="fr-FR"/>
        </w:rPr>
        <w:t>2020</w:t>
      </w:r>
      <w:r w:rsidR="00D46D03" w:rsidRPr="00D46D03">
        <w:rPr>
          <w:rStyle w:val="FootnoteReference"/>
          <w:lang w:val="fr-FR"/>
        </w:rPr>
        <w:footnoteReference w:id="8"/>
      </w:r>
      <w:r w:rsidR="00792849" w:rsidRPr="006227D8">
        <w:rPr>
          <w:lang w:val="fr-FR"/>
        </w:rPr>
        <w:t> </w:t>
      </w:r>
      <w:r w:rsidR="00D46D03" w:rsidRPr="006227D8">
        <w:rPr>
          <w:lang w:val="fr-FR"/>
        </w:rPr>
        <w:t>; et l</w:t>
      </w:r>
      <w:r w:rsidR="00551CEE" w:rsidRPr="006227D8">
        <w:rPr>
          <w:lang w:val="fr-FR"/>
        </w:rPr>
        <w:t>’</w:t>
      </w:r>
      <w:r w:rsidR="00D46D03" w:rsidRPr="006227D8">
        <w:rPr>
          <w:lang w:val="fr-FR"/>
        </w:rPr>
        <w:t>ONUDI, en qualité d</w:t>
      </w:r>
      <w:r w:rsidR="00551CEE" w:rsidRPr="006227D8">
        <w:rPr>
          <w:lang w:val="fr-FR"/>
        </w:rPr>
        <w:t>’</w:t>
      </w:r>
      <w:r w:rsidR="00D46D03" w:rsidRPr="006227D8">
        <w:rPr>
          <w:lang w:val="fr-FR"/>
        </w:rPr>
        <w:t>agence d</w:t>
      </w:r>
      <w:r w:rsidR="00551CEE" w:rsidRPr="006227D8">
        <w:rPr>
          <w:lang w:val="fr-FR"/>
        </w:rPr>
        <w:t>’</w:t>
      </w:r>
      <w:r w:rsidR="00D46D03" w:rsidRPr="006227D8">
        <w:rPr>
          <w:lang w:val="fr-FR"/>
        </w:rPr>
        <w:t>exécution pour l</w:t>
      </w:r>
      <w:r w:rsidR="00551CEE" w:rsidRPr="006227D8">
        <w:rPr>
          <w:lang w:val="fr-FR"/>
        </w:rPr>
        <w:t>’</w:t>
      </w:r>
      <w:r w:rsidR="00D46D03" w:rsidRPr="006227D8">
        <w:rPr>
          <w:lang w:val="fr-FR"/>
        </w:rPr>
        <w:t>Albanie et le Mexique, et d</w:t>
      </w:r>
      <w:r w:rsidR="00551CEE" w:rsidRPr="006227D8">
        <w:rPr>
          <w:lang w:val="fr-FR"/>
        </w:rPr>
        <w:t>’</w:t>
      </w:r>
      <w:r w:rsidR="00D46D03" w:rsidRPr="006227D8">
        <w:rPr>
          <w:lang w:val="fr-FR"/>
        </w:rPr>
        <w:t>agence d</w:t>
      </w:r>
      <w:r w:rsidR="00551CEE" w:rsidRPr="006227D8">
        <w:rPr>
          <w:lang w:val="fr-FR"/>
        </w:rPr>
        <w:t>’</w:t>
      </w:r>
      <w:r w:rsidR="00D46D03" w:rsidRPr="006227D8">
        <w:rPr>
          <w:lang w:val="fr-FR"/>
        </w:rPr>
        <w:t>exécution</w:t>
      </w:r>
      <w:r w:rsidR="00551CEE" w:rsidRPr="006227D8">
        <w:rPr>
          <w:lang w:val="fr-FR"/>
        </w:rPr>
        <w:t xml:space="preserve"> </w:t>
      </w:r>
      <w:r w:rsidR="00D46D03" w:rsidRPr="006227D8">
        <w:rPr>
          <w:lang w:val="fr-FR"/>
        </w:rPr>
        <w:t>coopérante pour le Sénégal, a demandé un montant de 2</w:t>
      </w:r>
      <w:r w:rsidR="008C1378" w:rsidRPr="006227D8">
        <w:rPr>
          <w:lang w:val="fr-FR"/>
        </w:rPr>
        <w:t>13</w:t>
      </w:r>
      <w:r w:rsidR="00D46D03" w:rsidRPr="006227D8">
        <w:rPr>
          <w:lang w:val="fr-FR"/>
        </w:rPr>
        <w:t> 500 $US, plus 14 945 $US de coûts d</w:t>
      </w:r>
      <w:r w:rsidR="00551CEE" w:rsidRPr="006227D8">
        <w:rPr>
          <w:lang w:val="fr-FR"/>
        </w:rPr>
        <w:t>’</w:t>
      </w:r>
      <w:r w:rsidR="00D46D03" w:rsidRPr="006227D8">
        <w:rPr>
          <w:lang w:val="fr-FR"/>
        </w:rPr>
        <w:t>appui d</w:t>
      </w:r>
      <w:r w:rsidR="00551CEE" w:rsidRPr="006227D8">
        <w:rPr>
          <w:lang w:val="fr-FR"/>
        </w:rPr>
        <w:t>’</w:t>
      </w:r>
      <w:r w:rsidR="00D46D03" w:rsidRPr="006227D8">
        <w:rPr>
          <w:lang w:val="fr-FR"/>
        </w:rPr>
        <w:t xml:space="preserve">agence dans les amendements à son programme de travail pour </w:t>
      </w:r>
      <w:r w:rsidR="008C1378" w:rsidRPr="006227D8">
        <w:rPr>
          <w:lang w:val="fr-FR"/>
        </w:rPr>
        <w:t xml:space="preserve">l’année </w:t>
      </w:r>
      <w:r w:rsidR="00D46D03" w:rsidRPr="006227D8">
        <w:rPr>
          <w:lang w:val="fr-FR"/>
        </w:rPr>
        <w:t>2020</w:t>
      </w:r>
      <w:r w:rsidR="00D46D03" w:rsidRPr="00D46D03">
        <w:rPr>
          <w:rStyle w:val="FootnoteReference"/>
          <w:lang w:val="en-CA"/>
        </w:rPr>
        <w:footnoteReference w:id="9"/>
      </w:r>
      <w:r w:rsidR="00551CEE" w:rsidRPr="006227D8">
        <w:rPr>
          <w:lang w:val="fr-FR"/>
        </w:rPr>
        <w:t>.</w:t>
      </w:r>
    </w:p>
    <w:p w14:paraId="743DE411" w14:textId="4F7EB32B" w:rsidR="00CF1B88" w:rsidRPr="008C1378" w:rsidRDefault="00D46D03" w:rsidP="004A1F6C">
      <w:pPr>
        <w:pStyle w:val="Heading1"/>
        <w:numPr>
          <w:ilvl w:val="0"/>
          <w:numId w:val="0"/>
        </w:numPr>
        <w:tabs>
          <w:tab w:val="num" w:pos="0"/>
        </w:tabs>
        <w:rPr>
          <w:b/>
          <w:color w:val="000000" w:themeColor="text1"/>
          <w:lang w:val="en-CA"/>
        </w:rPr>
      </w:pPr>
      <w:r w:rsidRPr="008C1378">
        <w:rPr>
          <w:b/>
          <w:color w:val="000000" w:themeColor="text1"/>
          <w:lang w:val="fr-FR"/>
        </w:rPr>
        <w:t>Observations du Secrétariat</w:t>
      </w:r>
    </w:p>
    <w:p w14:paraId="7743F24B" w14:textId="2F6148AE" w:rsidR="00815DE4" w:rsidRPr="000F13C8" w:rsidRDefault="00C86A22" w:rsidP="004A1F6C">
      <w:pPr>
        <w:pStyle w:val="Heading1"/>
        <w:tabs>
          <w:tab w:val="clear" w:pos="90"/>
          <w:tab w:val="num" w:pos="0"/>
        </w:tabs>
        <w:ind w:left="0"/>
        <w:rPr>
          <w:lang w:val="fr-CA"/>
        </w:rPr>
      </w:pPr>
      <w:r w:rsidRPr="00C86A22">
        <w:rPr>
          <w:lang w:val="fr-FR"/>
        </w:rPr>
        <w:t>Le PNUE, en qualité d</w:t>
      </w:r>
      <w:r w:rsidR="00551CEE">
        <w:rPr>
          <w:lang w:val="fr-FR"/>
        </w:rPr>
        <w:t>’</w:t>
      </w:r>
      <w:r w:rsidRPr="00C86A22">
        <w:rPr>
          <w:lang w:val="fr-FR"/>
        </w:rPr>
        <w:t>agence d</w:t>
      </w:r>
      <w:r w:rsidR="00551CEE">
        <w:rPr>
          <w:lang w:val="fr-FR"/>
        </w:rPr>
        <w:t>’</w:t>
      </w:r>
      <w:r w:rsidRPr="00C86A22">
        <w:rPr>
          <w:lang w:val="fr-FR"/>
        </w:rPr>
        <w:t>exécution principale, a fourni une description des activités requises pour la préparation des stratégies d</w:t>
      </w:r>
      <w:r w:rsidR="00551CEE">
        <w:rPr>
          <w:lang w:val="fr-FR"/>
        </w:rPr>
        <w:t>’</w:t>
      </w:r>
      <w:r w:rsidRPr="00C86A22">
        <w:rPr>
          <w:lang w:val="fr-FR"/>
        </w:rPr>
        <w:t>ensemble pour la réduction progressive des HFC pour l</w:t>
      </w:r>
      <w:r w:rsidR="00551CEE">
        <w:rPr>
          <w:lang w:val="fr-FR"/>
        </w:rPr>
        <w:t>’</w:t>
      </w:r>
      <w:r w:rsidRPr="00C86A22">
        <w:rPr>
          <w:lang w:val="fr-FR"/>
        </w:rPr>
        <w:t>Arménie, le Bhoutan, la RDP lao, les Maldives, le Sénégal et le Turkménistan, et les coûts correspondants de chaque activité, utilisant le format des demandes de préparation de projets destinés aux différentes phases des PGEH.</w:t>
      </w:r>
      <w:r w:rsidRPr="000F13C8">
        <w:rPr>
          <w:lang w:val="fr-CA"/>
        </w:rPr>
        <w:t xml:space="preserve"> </w:t>
      </w:r>
      <w:r w:rsidR="00815DE4" w:rsidRPr="00815DE4">
        <w:rPr>
          <w:lang w:val="fr-FR"/>
        </w:rPr>
        <w:t>Les demandes soumises sur les importations estimatives de HFC et de mélanges de HFC ; les activités à mettre en œuvre au cours de la préparation de projet, notamment l</w:t>
      </w:r>
      <w:r w:rsidR="00551CEE">
        <w:rPr>
          <w:lang w:val="fr-FR"/>
        </w:rPr>
        <w:t>’</w:t>
      </w:r>
      <w:r w:rsidR="00815DE4" w:rsidRPr="00815DE4">
        <w:rPr>
          <w:lang w:val="fr-FR"/>
        </w:rPr>
        <w:t>analyse de la distribution et de la consommation par secteur des HFC ; les réunions et les consultations</w:t>
      </w:r>
      <w:r w:rsidR="00551CEE">
        <w:rPr>
          <w:lang w:val="fr-FR"/>
        </w:rPr>
        <w:t xml:space="preserve"> </w:t>
      </w:r>
      <w:r w:rsidR="00815DE4" w:rsidRPr="00815DE4">
        <w:rPr>
          <w:lang w:val="fr-FR"/>
        </w:rPr>
        <w:t xml:space="preserve">de parties prenantes ; et le développement de la stratégie de la réduction progressive des HFC pour le Bhoutan, la </w:t>
      </w:r>
      <w:r w:rsidR="00551CEE">
        <w:rPr>
          <w:lang w:val="fr-FR"/>
        </w:rPr>
        <w:t>RDP</w:t>
      </w:r>
      <w:r w:rsidR="00815DE4" w:rsidRPr="00815DE4">
        <w:rPr>
          <w:lang w:val="fr-FR"/>
        </w:rPr>
        <w:t xml:space="preserve"> lao, les Maldives et</w:t>
      </w:r>
      <w:r w:rsidR="00792849">
        <w:rPr>
          <w:lang w:val="fr-FR"/>
        </w:rPr>
        <w:t xml:space="preserve"> le</w:t>
      </w:r>
      <w:r w:rsidR="00815DE4" w:rsidRPr="00815DE4">
        <w:rPr>
          <w:lang w:val="fr-FR"/>
        </w:rPr>
        <w:t xml:space="preserve"> Sénégal.</w:t>
      </w:r>
      <w:r w:rsidR="00815DE4" w:rsidRPr="000F13C8">
        <w:rPr>
          <w:lang w:val="fr-CA"/>
        </w:rPr>
        <w:t xml:space="preserve"> </w:t>
      </w:r>
      <w:r w:rsidR="00873271" w:rsidRPr="00873271">
        <w:rPr>
          <w:lang w:val="fr-FR"/>
        </w:rPr>
        <w:t>Les demandes soumises pour l</w:t>
      </w:r>
      <w:r w:rsidR="00551CEE">
        <w:rPr>
          <w:lang w:val="fr-FR"/>
        </w:rPr>
        <w:t>’</w:t>
      </w:r>
      <w:r w:rsidR="00873271" w:rsidRPr="00873271">
        <w:rPr>
          <w:lang w:val="fr-FR"/>
        </w:rPr>
        <w:t>Arménie et le Turkménistan comprenaient les consultations de</w:t>
      </w:r>
      <w:r w:rsidR="006227D8">
        <w:rPr>
          <w:lang w:val="fr-FR"/>
        </w:rPr>
        <w:t>s</w:t>
      </w:r>
      <w:r w:rsidR="00873271" w:rsidRPr="00873271">
        <w:rPr>
          <w:lang w:val="fr-FR"/>
        </w:rPr>
        <w:t xml:space="preserve"> parties prenantes ; l</w:t>
      </w:r>
      <w:r w:rsidR="00551CEE">
        <w:rPr>
          <w:lang w:val="fr-FR"/>
        </w:rPr>
        <w:t>’</w:t>
      </w:r>
      <w:r w:rsidR="00873271" w:rsidRPr="00873271">
        <w:rPr>
          <w:lang w:val="fr-FR"/>
        </w:rPr>
        <w:t>évaluation des besoins de formation et de certification ; le développement de la stratégie de la réduction progressive des HFC ; la préparation de politiques relatives aux HCF ; et l</w:t>
      </w:r>
      <w:r w:rsidR="00551CEE">
        <w:rPr>
          <w:lang w:val="fr-FR"/>
        </w:rPr>
        <w:t>’</w:t>
      </w:r>
      <w:r w:rsidR="00873271" w:rsidRPr="00873271">
        <w:rPr>
          <w:lang w:val="fr-FR"/>
        </w:rPr>
        <w:t>élaboration d</w:t>
      </w:r>
      <w:r w:rsidR="00551CEE">
        <w:rPr>
          <w:lang w:val="fr-FR"/>
        </w:rPr>
        <w:t>’</w:t>
      </w:r>
      <w:r w:rsidR="00873271" w:rsidRPr="00873271">
        <w:rPr>
          <w:lang w:val="fr-FR"/>
        </w:rPr>
        <w:t>un plan de communication et de sensibilisation.</w:t>
      </w:r>
    </w:p>
    <w:p w14:paraId="0FD8B5AE" w14:textId="31DF61F1" w:rsidR="00873271" w:rsidRPr="000F13C8" w:rsidRDefault="00873271" w:rsidP="004A1F6C">
      <w:pPr>
        <w:pStyle w:val="Heading1"/>
        <w:tabs>
          <w:tab w:val="clear" w:pos="90"/>
          <w:tab w:val="num" w:pos="0"/>
        </w:tabs>
        <w:ind w:left="0"/>
        <w:rPr>
          <w:lang w:val="fr-CA"/>
        </w:rPr>
      </w:pPr>
      <w:r w:rsidRPr="00873271">
        <w:rPr>
          <w:lang w:val="fr-FR"/>
        </w:rPr>
        <w:t>Le montant du financement pour la préparation des propositions de projets demandé lors de la 85</w:t>
      </w:r>
      <w:r w:rsidRPr="00792849">
        <w:rPr>
          <w:vertAlign w:val="superscript"/>
          <w:lang w:val="fr-FR"/>
        </w:rPr>
        <w:t>e</w:t>
      </w:r>
      <w:r w:rsidR="00792849">
        <w:rPr>
          <w:lang w:val="fr-FR"/>
        </w:rPr>
        <w:t xml:space="preserve"> </w:t>
      </w:r>
      <w:r w:rsidRPr="00873271">
        <w:rPr>
          <w:lang w:val="fr-FR"/>
        </w:rPr>
        <w:t xml:space="preserve">réunion </w:t>
      </w:r>
      <w:r w:rsidR="00792849">
        <w:rPr>
          <w:lang w:val="fr-FR"/>
        </w:rPr>
        <w:t xml:space="preserve">était basé </w:t>
      </w:r>
      <w:r w:rsidRPr="00873271">
        <w:rPr>
          <w:lang w:val="fr-FR"/>
        </w:rPr>
        <w:t>sur le financement destiné aux activités de facilitation (figurant dans la décision </w:t>
      </w:r>
      <w:r w:rsidRPr="00873271">
        <w:rPr>
          <w:color w:val="000000" w:themeColor="text1"/>
          <w:lang w:val="fr-FR"/>
        </w:rPr>
        <w:t>79/46(c)) ; le financement demandé à la 86</w:t>
      </w:r>
      <w:r w:rsidRPr="00873271">
        <w:rPr>
          <w:color w:val="000000" w:themeColor="text1"/>
          <w:vertAlign w:val="superscript"/>
          <w:lang w:val="fr-FR"/>
        </w:rPr>
        <w:t>e</w:t>
      </w:r>
      <w:r w:rsidRPr="00873271">
        <w:rPr>
          <w:color w:val="000000" w:themeColor="text1"/>
          <w:lang w:val="fr-FR"/>
        </w:rPr>
        <w:t xml:space="preserve"> réunion s</w:t>
      </w:r>
      <w:r w:rsidR="00551CEE">
        <w:rPr>
          <w:color w:val="000000" w:themeColor="text1"/>
          <w:lang w:val="fr-FR"/>
        </w:rPr>
        <w:t>’</w:t>
      </w:r>
      <w:r w:rsidR="00792849">
        <w:rPr>
          <w:color w:val="000000" w:themeColor="text1"/>
          <w:lang w:val="fr-FR"/>
        </w:rPr>
        <w:t>est toutefois basé</w:t>
      </w:r>
      <w:r w:rsidRPr="00873271">
        <w:rPr>
          <w:color w:val="000000" w:themeColor="text1"/>
          <w:lang w:val="fr-FR"/>
        </w:rPr>
        <w:t xml:space="preserve"> sur le financement </w:t>
      </w:r>
      <w:r w:rsidRPr="00873271">
        <w:rPr>
          <w:color w:val="000000" w:themeColor="text1"/>
          <w:lang w:val="fr-FR"/>
        </w:rPr>
        <w:lastRenderedPageBreak/>
        <w:t xml:space="preserve">destiné à la </w:t>
      </w:r>
      <w:r w:rsidRPr="00873271">
        <w:rPr>
          <w:lang w:val="fr-FR"/>
        </w:rPr>
        <w:t>préparation de projet pour la phase I des PGEH (figurant dans la décision 56/16</w:t>
      </w:r>
      <w:r w:rsidRPr="00873271">
        <w:rPr>
          <w:color w:val="000000" w:themeColor="text1"/>
          <w:lang w:val="fr-FR"/>
        </w:rPr>
        <w:t>(c)),</w:t>
      </w:r>
      <w:r w:rsidRPr="00873271">
        <w:rPr>
          <w:lang w:val="fr-FR"/>
        </w:rPr>
        <w:t xml:space="preserve"> étant donné que ce financement était utilisé par les agences bilatérales et d</w:t>
      </w:r>
      <w:r w:rsidR="00551CEE">
        <w:rPr>
          <w:lang w:val="fr-FR"/>
        </w:rPr>
        <w:t>’</w:t>
      </w:r>
      <w:r w:rsidRPr="00873271">
        <w:rPr>
          <w:lang w:val="fr-FR"/>
        </w:rPr>
        <w:t>exécution lors de la préparation de leurs plans d</w:t>
      </w:r>
      <w:r w:rsidR="00551CEE">
        <w:rPr>
          <w:lang w:val="fr-FR"/>
        </w:rPr>
        <w:t>’</w:t>
      </w:r>
      <w:r w:rsidRPr="00873271">
        <w:rPr>
          <w:lang w:val="fr-FR"/>
        </w:rPr>
        <w:t>activités pour 2021-2023 présentés à la 86</w:t>
      </w:r>
      <w:r w:rsidRPr="00873271">
        <w:rPr>
          <w:vertAlign w:val="superscript"/>
          <w:lang w:val="fr-FR"/>
        </w:rPr>
        <w:t>e</w:t>
      </w:r>
      <w:r w:rsidRPr="00873271">
        <w:rPr>
          <w:lang w:val="fr-FR"/>
        </w:rPr>
        <w:t xml:space="preserve"> réunion.</w:t>
      </w:r>
      <w:r w:rsidRPr="000F13C8">
        <w:rPr>
          <w:lang w:val="fr-CA"/>
        </w:rPr>
        <w:t xml:space="preserve"> </w:t>
      </w:r>
      <w:r w:rsidRPr="00873271">
        <w:rPr>
          <w:lang w:val="fr-FR"/>
        </w:rPr>
        <w:t>Le Secrétariat note que les montants des financements relatifs aux demandes de préparation de projet soumises aux 85</w:t>
      </w:r>
      <w:r w:rsidRPr="00873271">
        <w:rPr>
          <w:vertAlign w:val="superscript"/>
          <w:lang w:val="fr-FR"/>
        </w:rPr>
        <w:t>e</w:t>
      </w:r>
      <w:r w:rsidRPr="00873271">
        <w:rPr>
          <w:lang w:val="fr-FR"/>
        </w:rPr>
        <w:t xml:space="preserve"> et 86</w:t>
      </w:r>
      <w:r w:rsidR="00792849" w:rsidRPr="00792849">
        <w:rPr>
          <w:vertAlign w:val="superscript"/>
          <w:lang w:val="fr-FR"/>
        </w:rPr>
        <w:t>e</w:t>
      </w:r>
      <w:r w:rsidR="00792849">
        <w:rPr>
          <w:lang w:val="fr-FR"/>
        </w:rPr>
        <w:t xml:space="preserve"> </w:t>
      </w:r>
      <w:r w:rsidRPr="00873271">
        <w:rPr>
          <w:lang w:val="fr-FR"/>
        </w:rPr>
        <w:t xml:space="preserve">réunions sont fournis à titre indicatif, sachant que les montants réels seront décidés quand </w:t>
      </w:r>
      <w:r w:rsidR="00792849">
        <w:rPr>
          <w:lang w:val="fr-FR"/>
        </w:rPr>
        <w:t>l</w:t>
      </w:r>
      <w:r w:rsidRPr="00873271">
        <w:rPr>
          <w:lang w:val="fr-FR"/>
        </w:rPr>
        <w:t xml:space="preserve">e Comité exécutif examinera le </w:t>
      </w:r>
      <w:r w:rsidRPr="00873271">
        <w:rPr>
          <w:color w:val="000000" w:themeColor="text1"/>
          <w:lang w:val="fr-FR"/>
        </w:rPr>
        <w:t>document UNEP/OzL.Pro/ExCom/86/88, Projet de lignes directrices sur la préparation des plans de</w:t>
      </w:r>
      <w:r w:rsidR="00551CEE">
        <w:rPr>
          <w:color w:val="000000" w:themeColor="text1"/>
          <w:lang w:val="fr-FR"/>
        </w:rPr>
        <w:t xml:space="preserve"> </w:t>
      </w:r>
      <w:r w:rsidRPr="00873271">
        <w:rPr>
          <w:color w:val="000000" w:themeColor="text1"/>
          <w:lang w:val="fr-FR"/>
        </w:rPr>
        <w:t xml:space="preserve">réduction progressive des </w:t>
      </w:r>
      <w:r w:rsidR="00792849">
        <w:rPr>
          <w:color w:val="000000" w:themeColor="text1"/>
          <w:lang w:val="fr-FR"/>
        </w:rPr>
        <w:t xml:space="preserve">HFC </w:t>
      </w:r>
      <w:r w:rsidRPr="00873271">
        <w:rPr>
          <w:color w:val="000000" w:themeColor="text1"/>
          <w:lang w:val="fr-FR"/>
        </w:rPr>
        <w:t>pour les pays visés à l</w:t>
      </w:r>
      <w:r w:rsidR="00551CEE">
        <w:rPr>
          <w:color w:val="000000" w:themeColor="text1"/>
          <w:lang w:val="fr-FR"/>
        </w:rPr>
        <w:t>’</w:t>
      </w:r>
      <w:r w:rsidR="007046E6">
        <w:rPr>
          <w:color w:val="000000" w:themeColor="text1"/>
          <w:lang w:val="fr-FR"/>
        </w:rPr>
        <w:t>article</w:t>
      </w:r>
      <w:r w:rsidRPr="00873271">
        <w:rPr>
          <w:color w:val="000000" w:themeColor="text1"/>
          <w:lang w:val="fr-FR"/>
        </w:rPr>
        <w:t xml:space="preserve"> 5 (décision 84/54(a)).</w:t>
      </w:r>
    </w:p>
    <w:p w14:paraId="1F97739B" w14:textId="65DD8D0C" w:rsidR="00873271" w:rsidRPr="000F13C8" w:rsidRDefault="00873271" w:rsidP="004A1F6C">
      <w:pPr>
        <w:pStyle w:val="Heading1"/>
        <w:tabs>
          <w:tab w:val="clear" w:pos="90"/>
          <w:tab w:val="num" w:pos="0"/>
        </w:tabs>
        <w:ind w:left="0"/>
        <w:rPr>
          <w:color w:val="000000" w:themeColor="text1"/>
          <w:lang w:val="fr-CA"/>
        </w:rPr>
      </w:pPr>
      <w:r w:rsidRPr="00873271">
        <w:rPr>
          <w:color w:val="000000" w:themeColor="text1"/>
          <w:lang w:val="fr-FR"/>
        </w:rPr>
        <w:t>Alors que le niveau réel de financement pour la préparation des plans de gestion de la réduction progressive des HFC doit être encore décidé, le Secr</w:t>
      </w:r>
      <w:r w:rsidR="006227D8">
        <w:rPr>
          <w:color w:val="000000" w:themeColor="text1"/>
          <w:lang w:val="fr-FR"/>
        </w:rPr>
        <w:t>é</w:t>
      </w:r>
      <w:r w:rsidRPr="00873271">
        <w:rPr>
          <w:color w:val="000000" w:themeColor="text1"/>
          <w:lang w:val="fr-FR"/>
        </w:rPr>
        <w:t xml:space="preserve">tariat a examiné les demandes soumises </w:t>
      </w:r>
      <w:r w:rsidR="006227D8">
        <w:rPr>
          <w:color w:val="000000" w:themeColor="text1"/>
          <w:lang w:val="fr-FR"/>
        </w:rPr>
        <w:t>en s’appuyant sur</w:t>
      </w:r>
      <w:r w:rsidRPr="00873271">
        <w:rPr>
          <w:color w:val="000000" w:themeColor="text1"/>
          <w:lang w:val="fr-FR"/>
        </w:rPr>
        <w:t xml:space="preserve"> </w:t>
      </w:r>
      <w:r w:rsidR="006227D8">
        <w:rPr>
          <w:color w:val="000000" w:themeColor="text1"/>
          <w:lang w:val="fr-FR"/>
        </w:rPr>
        <w:t xml:space="preserve">son </w:t>
      </w:r>
      <w:r w:rsidRPr="00873271">
        <w:rPr>
          <w:color w:val="000000" w:themeColor="text1"/>
          <w:lang w:val="fr-FR"/>
        </w:rPr>
        <w:t>expérience acquise lors de l</w:t>
      </w:r>
      <w:r w:rsidR="00551CEE">
        <w:rPr>
          <w:color w:val="000000" w:themeColor="text1"/>
          <w:lang w:val="fr-FR"/>
        </w:rPr>
        <w:t>’</w:t>
      </w:r>
      <w:r w:rsidRPr="00873271">
        <w:rPr>
          <w:color w:val="000000" w:themeColor="text1"/>
          <w:lang w:val="fr-FR"/>
        </w:rPr>
        <w:t>examen des demandes de préparation des PGEH, et en tenant compte des orientations données et des décisions adoptées par le Comité exécutif pour ce genre de projets.</w:t>
      </w:r>
      <w:r w:rsidR="00551CEE" w:rsidRPr="000F13C8">
        <w:rPr>
          <w:color w:val="000000" w:themeColor="text1"/>
          <w:highlight w:val="yellow"/>
          <w:lang w:val="fr-CA"/>
        </w:rPr>
        <w:t xml:space="preserve"> </w:t>
      </w:r>
      <w:r w:rsidRPr="000F13C8">
        <w:rPr>
          <w:lang w:val="fr-CA"/>
        </w:rPr>
        <w:t xml:space="preserve"> </w:t>
      </w:r>
    </w:p>
    <w:p w14:paraId="11189E99" w14:textId="1FB7EA43" w:rsidR="00873271" w:rsidRPr="000F13C8" w:rsidRDefault="00873271" w:rsidP="004A1F6C">
      <w:pPr>
        <w:pStyle w:val="Heading1"/>
        <w:tabs>
          <w:tab w:val="clear" w:pos="90"/>
          <w:tab w:val="num" w:pos="0"/>
        </w:tabs>
        <w:ind w:left="0"/>
        <w:rPr>
          <w:lang w:val="fr-CA"/>
        </w:rPr>
      </w:pPr>
      <w:r w:rsidRPr="00873271">
        <w:rPr>
          <w:lang w:val="fr-FR"/>
        </w:rPr>
        <w:t>À l</w:t>
      </w:r>
      <w:r w:rsidR="00551CEE">
        <w:rPr>
          <w:lang w:val="fr-FR"/>
        </w:rPr>
        <w:t>’</w:t>
      </w:r>
      <w:r w:rsidRPr="00873271">
        <w:rPr>
          <w:lang w:val="fr-FR"/>
        </w:rPr>
        <w:t>issue de cet examen, le Secrétariat a pris note des points suivants :</w:t>
      </w:r>
    </w:p>
    <w:p w14:paraId="0B02AFD8" w14:textId="2DBF86EF" w:rsidR="00873271" w:rsidRPr="000F13C8" w:rsidRDefault="00E356A9" w:rsidP="00E356A9">
      <w:pPr>
        <w:pStyle w:val="Heading2"/>
        <w:rPr>
          <w:lang w:val="fr-CA"/>
        </w:rPr>
      </w:pPr>
      <w:r w:rsidRPr="006227D8">
        <w:rPr>
          <w:lang w:val="fr-FR"/>
        </w:rPr>
        <w:t xml:space="preserve">Les six pays </w:t>
      </w:r>
      <w:r w:rsidR="006227D8" w:rsidRPr="006227D8">
        <w:rPr>
          <w:lang w:val="fr-FR"/>
        </w:rPr>
        <w:t xml:space="preserve">requis par </w:t>
      </w:r>
      <w:r w:rsidRPr="006227D8">
        <w:rPr>
          <w:lang w:val="fr-FR"/>
        </w:rPr>
        <w:t>le PNUE pour</w:t>
      </w:r>
      <w:r w:rsidRPr="00E356A9">
        <w:rPr>
          <w:lang w:val="fr-FR"/>
        </w:rPr>
        <w:t xml:space="preserve"> la préparation d</w:t>
      </w:r>
      <w:r w:rsidR="00551CEE">
        <w:rPr>
          <w:lang w:val="fr-FR"/>
        </w:rPr>
        <w:t>’</w:t>
      </w:r>
      <w:r w:rsidRPr="00E356A9">
        <w:rPr>
          <w:lang w:val="fr-FR"/>
        </w:rPr>
        <w:t xml:space="preserve">un plan de gestion pour la réduction progressive des HFC en qualité </w:t>
      </w:r>
      <w:r w:rsidR="006227D8">
        <w:rPr>
          <w:lang w:val="fr-FR"/>
        </w:rPr>
        <w:t>d’</w:t>
      </w:r>
      <w:r w:rsidRPr="00E356A9">
        <w:rPr>
          <w:lang w:val="fr-FR"/>
        </w:rPr>
        <w:t>agence d</w:t>
      </w:r>
      <w:r w:rsidR="00551CEE">
        <w:rPr>
          <w:lang w:val="fr-FR"/>
        </w:rPr>
        <w:t>’</w:t>
      </w:r>
      <w:r w:rsidRPr="00E356A9">
        <w:rPr>
          <w:lang w:val="fr-FR"/>
        </w:rPr>
        <w:t>exécution désignée ou principale ont tous ratifié l</w:t>
      </w:r>
      <w:r w:rsidR="00551CEE">
        <w:rPr>
          <w:lang w:val="fr-FR"/>
        </w:rPr>
        <w:t>’</w:t>
      </w:r>
      <w:r w:rsidRPr="00E356A9">
        <w:rPr>
          <w:lang w:val="fr-FR"/>
        </w:rPr>
        <w:t>Amendement de Kigali</w:t>
      </w:r>
      <w:r w:rsidRPr="00E356A9">
        <w:rPr>
          <w:vertAlign w:val="superscript"/>
          <w:lang w:val="fr-FR"/>
        </w:rPr>
        <w:footnoteReference w:id="10"/>
      </w:r>
      <w:r w:rsidRPr="00E356A9">
        <w:rPr>
          <w:lang w:val="fr-FR"/>
        </w:rPr>
        <w:t> ; et chacun d</w:t>
      </w:r>
      <w:r w:rsidR="00551CEE">
        <w:rPr>
          <w:lang w:val="fr-FR"/>
        </w:rPr>
        <w:t>’</w:t>
      </w:r>
      <w:r w:rsidRPr="00E356A9">
        <w:rPr>
          <w:lang w:val="fr-FR"/>
        </w:rPr>
        <w:t>eux pourrait être éligible à un financement de préparation de projet conformément à la décision79/46(b)(iii)</w:t>
      </w:r>
      <w:r w:rsidRPr="00E356A9">
        <w:rPr>
          <w:rStyle w:val="FootnoteReference"/>
          <w:lang w:val="fr-FR"/>
        </w:rPr>
        <w:footnoteReference w:id="11"/>
      </w:r>
      <w:r w:rsidRPr="00E356A9">
        <w:rPr>
          <w:lang w:val="fr-FR"/>
        </w:rPr>
        <w:t> ; les pays ont également fourni des lettre</w:t>
      </w:r>
      <w:r w:rsidR="00792849">
        <w:rPr>
          <w:lang w:val="fr-FR"/>
        </w:rPr>
        <w:t>s</w:t>
      </w:r>
      <w:r w:rsidRPr="00E356A9">
        <w:rPr>
          <w:lang w:val="fr-FR"/>
        </w:rPr>
        <w:t xml:space="preserve"> de confirmation faisant part de leur intention de prendre rapidement des mesures</w:t>
      </w:r>
      <w:r w:rsidR="00792849">
        <w:rPr>
          <w:lang w:val="fr-FR"/>
        </w:rPr>
        <w:t xml:space="preserve"> </w:t>
      </w:r>
      <w:r w:rsidRPr="00E356A9">
        <w:rPr>
          <w:lang w:val="fr-FR"/>
        </w:rPr>
        <w:t xml:space="preserve">en faveur de la réduction progressive des HFC ; et </w:t>
      </w:r>
    </w:p>
    <w:p w14:paraId="6CA7DEB9" w14:textId="3EF5BDE8" w:rsidR="00E356A9" w:rsidRPr="000F13C8" w:rsidRDefault="00E356A9" w:rsidP="00E356A9">
      <w:pPr>
        <w:pStyle w:val="Heading2"/>
        <w:rPr>
          <w:lang w:val="fr-CA"/>
        </w:rPr>
      </w:pPr>
      <w:r w:rsidRPr="00E356A9">
        <w:rPr>
          <w:lang w:val="fr-FR"/>
        </w:rPr>
        <w:t xml:space="preserve">Les </w:t>
      </w:r>
      <w:r w:rsidRPr="00E356A9">
        <w:rPr>
          <w:rStyle w:val="tlid-translation"/>
          <w:lang w:val="fr-FR"/>
        </w:rPr>
        <w:t>activités incluses dans la préparation d</w:t>
      </w:r>
      <w:r w:rsidR="00792849">
        <w:rPr>
          <w:rStyle w:val="tlid-translation"/>
          <w:lang w:val="fr-FR"/>
        </w:rPr>
        <w:t>e</w:t>
      </w:r>
      <w:r w:rsidRPr="00E356A9">
        <w:rPr>
          <w:rStyle w:val="tlid-translation"/>
          <w:lang w:val="fr-FR"/>
        </w:rPr>
        <w:t xml:space="preserve"> projet pour ces six pays sont </w:t>
      </w:r>
      <w:r w:rsidR="00C8399C">
        <w:rPr>
          <w:rStyle w:val="tlid-translation"/>
          <w:lang w:val="fr-FR"/>
        </w:rPr>
        <w:t>identiques à</w:t>
      </w:r>
      <w:r w:rsidRPr="00E356A9">
        <w:rPr>
          <w:rStyle w:val="tlid-translation"/>
          <w:lang w:val="fr-FR"/>
        </w:rPr>
        <w:t xml:space="preserve"> celles requises pour la préparation des PGEH</w:t>
      </w:r>
      <w:r w:rsidRPr="00E356A9">
        <w:rPr>
          <w:lang w:val="fr-FR"/>
        </w:rPr>
        <w:t>.</w:t>
      </w:r>
      <w:r w:rsidRPr="000F13C8">
        <w:rPr>
          <w:lang w:val="fr-CA"/>
        </w:rPr>
        <w:t xml:space="preserve"> </w:t>
      </w:r>
      <w:r w:rsidRPr="00E356A9">
        <w:rPr>
          <w:rStyle w:val="tlid-translation"/>
          <w:lang w:val="fr-FR"/>
        </w:rPr>
        <w:t>Certaines activités ressemblaient à celles incluses dans le cadre des activités de facilitation pour l</w:t>
      </w:r>
      <w:r w:rsidR="00551CEE">
        <w:rPr>
          <w:rStyle w:val="tlid-translation"/>
          <w:lang w:val="fr-FR"/>
        </w:rPr>
        <w:t>’</w:t>
      </w:r>
      <w:r w:rsidRPr="00E356A9">
        <w:rPr>
          <w:rStyle w:val="tlid-translation"/>
          <w:lang w:val="fr-FR"/>
        </w:rPr>
        <w:t xml:space="preserve">élimination progressive des HFC </w:t>
      </w:r>
      <w:r w:rsidR="00C8399C">
        <w:rPr>
          <w:rStyle w:val="tlid-translation"/>
          <w:lang w:val="fr-FR"/>
        </w:rPr>
        <w:t xml:space="preserve">ayant déjà fait pour </w:t>
      </w:r>
      <w:r w:rsidRPr="00E356A9">
        <w:rPr>
          <w:rStyle w:val="tlid-translation"/>
          <w:lang w:val="fr-FR"/>
        </w:rPr>
        <w:t>chaque pays</w:t>
      </w:r>
      <w:r w:rsidR="00C8399C">
        <w:rPr>
          <w:rStyle w:val="tlid-translation"/>
          <w:lang w:val="fr-FR"/>
        </w:rPr>
        <w:t xml:space="preserve"> l</w:t>
      </w:r>
      <w:r w:rsidR="00551CEE">
        <w:rPr>
          <w:rStyle w:val="tlid-translation"/>
          <w:lang w:val="fr-FR"/>
        </w:rPr>
        <w:t>’</w:t>
      </w:r>
      <w:r w:rsidR="00C8399C">
        <w:rPr>
          <w:rStyle w:val="tlid-translation"/>
          <w:lang w:val="fr-FR"/>
        </w:rPr>
        <w:t>objet d</w:t>
      </w:r>
      <w:r w:rsidR="00551CEE">
        <w:rPr>
          <w:rStyle w:val="tlid-translation"/>
          <w:lang w:val="fr-FR"/>
        </w:rPr>
        <w:t>’</w:t>
      </w:r>
      <w:r w:rsidR="00C8399C">
        <w:rPr>
          <w:rStyle w:val="tlid-translation"/>
          <w:lang w:val="fr-FR"/>
        </w:rPr>
        <w:t>un financement</w:t>
      </w:r>
      <w:r w:rsidRPr="00E356A9">
        <w:rPr>
          <w:rStyle w:val="tlid-translation"/>
          <w:lang w:val="fr-FR"/>
        </w:rPr>
        <w:t> ; ces activités sont achevées pour l</w:t>
      </w:r>
      <w:r w:rsidR="00551CEE">
        <w:rPr>
          <w:rStyle w:val="tlid-translation"/>
          <w:lang w:val="fr-FR"/>
        </w:rPr>
        <w:t>’</w:t>
      </w:r>
      <w:r w:rsidRPr="00E356A9">
        <w:rPr>
          <w:rStyle w:val="tlid-translation"/>
          <w:lang w:val="fr-FR"/>
        </w:rPr>
        <w:t xml:space="preserve">Arménie, le </w:t>
      </w:r>
      <w:r w:rsidRPr="00E356A9">
        <w:rPr>
          <w:lang w:val="fr-FR"/>
        </w:rPr>
        <w:t>Bh</w:t>
      </w:r>
      <w:r w:rsidR="00792849">
        <w:rPr>
          <w:lang w:val="fr-FR"/>
        </w:rPr>
        <w:t>o</w:t>
      </w:r>
      <w:r w:rsidRPr="00E356A9">
        <w:rPr>
          <w:lang w:val="fr-FR"/>
        </w:rPr>
        <w:t>utan, les Maldives, le Sénégal et le Turkménistan, et ont été prolongées pour la RDP lao.</w:t>
      </w:r>
    </w:p>
    <w:p w14:paraId="644E8CA7" w14:textId="27A84F86" w:rsidR="00E356A9" w:rsidRPr="000F13C8" w:rsidRDefault="00E356A9" w:rsidP="004A1F6C">
      <w:pPr>
        <w:pStyle w:val="Heading1"/>
        <w:tabs>
          <w:tab w:val="clear" w:pos="90"/>
          <w:tab w:val="num" w:pos="0"/>
        </w:tabs>
        <w:ind w:left="0"/>
        <w:rPr>
          <w:lang w:val="fr-CA"/>
        </w:rPr>
      </w:pPr>
      <w:r w:rsidRPr="00E356A9">
        <w:rPr>
          <w:rStyle w:val="tlid-translation"/>
          <w:lang w:val="fr-FR"/>
        </w:rPr>
        <w:t>Le PNUE a précisé que la préparation de projet pour les stratégies globales d</w:t>
      </w:r>
      <w:r w:rsidR="00551CEE">
        <w:rPr>
          <w:rStyle w:val="tlid-translation"/>
          <w:lang w:val="fr-FR"/>
        </w:rPr>
        <w:t>’</w:t>
      </w:r>
      <w:r w:rsidRPr="00E356A9">
        <w:rPr>
          <w:rStyle w:val="tlid-translation"/>
          <w:lang w:val="fr-FR"/>
        </w:rPr>
        <w:t>élimination de la réduction progressive des HFC pour ces pays s</w:t>
      </w:r>
      <w:r w:rsidR="00551CEE">
        <w:rPr>
          <w:rStyle w:val="tlid-translation"/>
          <w:lang w:val="fr-FR"/>
        </w:rPr>
        <w:t>’</w:t>
      </w:r>
      <w:r w:rsidRPr="00E356A9">
        <w:rPr>
          <w:rStyle w:val="tlid-translation"/>
          <w:lang w:val="fr-FR"/>
        </w:rPr>
        <w:t>appuierait sur les activités mises en œuvre dans le cadre des activités de facilitation, car il s</w:t>
      </w:r>
      <w:r w:rsidR="00551CEE">
        <w:rPr>
          <w:rStyle w:val="tlid-translation"/>
          <w:lang w:val="fr-FR"/>
        </w:rPr>
        <w:t>’</w:t>
      </w:r>
      <w:r w:rsidRPr="00E356A9">
        <w:rPr>
          <w:rStyle w:val="tlid-translation"/>
          <w:lang w:val="fr-FR"/>
        </w:rPr>
        <w:t xml:space="preserve">agissait des premières actions </w:t>
      </w:r>
      <w:r w:rsidR="00C8399C">
        <w:rPr>
          <w:rStyle w:val="tlid-translation"/>
          <w:lang w:val="fr-FR"/>
        </w:rPr>
        <w:t>se rapportant</w:t>
      </w:r>
      <w:r w:rsidR="00551CEE">
        <w:rPr>
          <w:rStyle w:val="tlid-translation"/>
          <w:lang w:val="fr-FR"/>
        </w:rPr>
        <w:t xml:space="preserve"> </w:t>
      </w:r>
      <w:r w:rsidRPr="00E356A9">
        <w:rPr>
          <w:rStyle w:val="tlid-translation"/>
          <w:lang w:val="fr-FR"/>
        </w:rPr>
        <w:t>à la réduction des HFC et qu</w:t>
      </w:r>
      <w:r w:rsidR="00551CEE">
        <w:rPr>
          <w:rStyle w:val="tlid-translation"/>
          <w:lang w:val="fr-FR"/>
        </w:rPr>
        <w:t>’</w:t>
      </w:r>
      <w:r w:rsidRPr="00E356A9">
        <w:rPr>
          <w:rStyle w:val="tlid-translation"/>
          <w:lang w:val="fr-FR"/>
        </w:rPr>
        <w:t>elles avaient contribué à la ratification de l</w:t>
      </w:r>
      <w:r w:rsidR="00551CEE">
        <w:rPr>
          <w:rStyle w:val="tlid-translation"/>
          <w:lang w:val="fr-FR"/>
        </w:rPr>
        <w:t>’</w:t>
      </w:r>
      <w:r w:rsidRPr="00E356A9">
        <w:rPr>
          <w:rStyle w:val="tlid-translation"/>
          <w:lang w:val="fr-FR"/>
        </w:rPr>
        <w:t>Amendement de Kigali</w:t>
      </w:r>
      <w:r w:rsidRPr="00E356A9">
        <w:rPr>
          <w:lang w:val="fr-FR"/>
        </w:rPr>
        <w:t>.</w:t>
      </w:r>
      <w:r w:rsidRPr="000F13C8">
        <w:rPr>
          <w:lang w:val="fr-CA"/>
        </w:rPr>
        <w:t xml:space="preserve"> </w:t>
      </w:r>
      <w:r w:rsidRPr="00E356A9">
        <w:rPr>
          <w:rStyle w:val="tlid-translation"/>
          <w:lang w:val="fr-FR"/>
        </w:rPr>
        <w:t>L</w:t>
      </w:r>
      <w:r w:rsidR="00551CEE">
        <w:rPr>
          <w:rStyle w:val="tlid-translation"/>
          <w:lang w:val="fr-FR"/>
        </w:rPr>
        <w:t>’</w:t>
      </w:r>
      <w:r w:rsidRPr="00E356A9">
        <w:rPr>
          <w:rStyle w:val="tlid-translation"/>
          <w:lang w:val="fr-FR"/>
        </w:rPr>
        <w:t>approbation du financement de ces demandes lors de la 86</w:t>
      </w:r>
      <w:r w:rsidRPr="00E356A9">
        <w:rPr>
          <w:rStyle w:val="tlid-translation"/>
          <w:vertAlign w:val="superscript"/>
          <w:lang w:val="fr-FR"/>
        </w:rPr>
        <w:t>e</w:t>
      </w:r>
      <w:r w:rsidRPr="00E356A9">
        <w:rPr>
          <w:rStyle w:val="tlid-translation"/>
          <w:lang w:val="fr-FR"/>
        </w:rPr>
        <w:t xml:space="preserve"> réunion permettra de commencer la mise en œuvre de la réduction progressive des HFC d</w:t>
      </w:r>
      <w:r w:rsidR="00551CEE">
        <w:rPr>
          <w:rStyle w:val="tlid-translation"/>
          <w:lang w:val="fr-FR"/>
        </w:rPr>
        <w:t>’</w:t>
      </w:r>
      <w:r w:rsidRPr="00E356A9">
        <w:rPr>
          <w:rStyle w:val="tlid-translation"/>
          <w:lang w:val="fr-FR"/>
        </w:rPr>
        <w:t xml:space="preserve">ici </w:t>
      </w:r>
      <w:r w:rsidR="006227D8">
        <w:rPr>
          <w:rStyle w:val="tlid-translation"/>
          <w:lang w:val="fr-FR"/>
        </w:rPr>
        <w:t xml:space="preserve">à </w:t>
      </w:r>
      <w:r w:rsidRPr="00E356A9">
        <w:rPr>
          <w:rStyle w:val="tlid-translation"/>
          <w:lang w:val="fr-FR"/>
        </w:rPr>
        <w:t>2022 et de se conformer à l</w:t>
      </w:r>
      <w:r w:rsidR="00551CEE">
        <w:rPr>
          <w:rStyle w:val="tlid-translation"/>
          <w:lang w:val="fr-FR"/>
        </w:rPr>
        <w:t>’</w:t>
      </w:r>
      <w:r w:rsidRPr="00E356A9">
        <w:rPr>
          <w:rStyle w:val="tlid-translation"/>
          <w:lang w:val="fr-FR"/>
        </w:rPr>
        <w:t>Amendement de Kigali</w:t>
      </w:r>
      <w:r w:rsidRPr="00E356A9">
        <w:rPr>
          <w:lang w:val="fr-FR"/>
        </w:rPr>
        <w:t>.</w:t>
      </w:r>
    </w:p>
    <w:p w14:paraId="213C6300" w14:textId="5BE49BBF" w:rsidR="00E356A9" w:rsidRPr="000F13C8" w:rsidRDefault="00E356A9" w:rsidP="004A1F6C">
      <w:pPr>
        <w:pStyle w:val="Heading1"/>
        <w:tabs>
          <w:tab w:val="clear" w:pos="90"/>
          <w:tab w:val="num" w:pos="0"/>
        </w:tabs>
        <w:ind w:left="0"/>
        <w:rPr>
          <w:lang w:val="fr-CA"/>
        </w:rPr>
      </w:pPr>
      <w:r w:rsidRPr="00E356A9">
        <w:rPr>
          <w:rStyle w:val="tlid-translation"/>
          <w:lang w:val="fr-FR"/>
        </w:rPr>
        <w:t>Le Secrétariat a informé le PNUE qu</w:t>
      </w:r>
      <w:r w:rsidR="00551CEE">
        <w:rPr>
          <w:rStyle w:val="tlid-translation"/>
          <w:lang w:val="fr-FR"/>
        </w:rPr>
        <w:t>’</w:t>
      </w:r>
      <w:r w:rsidRPr="00E356A9">
        <w:rPr>
          <w:rStyle w:val="tlid-translation"/>
          <w:lang w:val="fr-FR"/>
        </w:rPr>
        <w:t>il ne serait pas en mesure de faire une recommandation sur cette demande du fait que les lignes directrices relatives au financement de ces demandes seront discutées lors de la 86</w:t>
      </w:r>
      <w:r w:rsidRPr="00E356A9">
        <w:rPr>
          <w:rStyle w:val="tlid-translation"/>
          <w:vertAlign w:val="superscript"/>
          <w:lang w:val="fr-FR"/>
        </w:rPr>
        <w:t>e</w:t>
      </w:r>
      <w:r w:rsidRPr="00E356A9">
        <w:rPr>
          <w:rStyle w:val="tlid-translation"/>
          <w:lang w:val="fr-FR"/>
        </w:rPr>
        <w:t xml:space="preserve"> réunion</w:t>
      </w:r>
      <w:r w:rsidRPr="00E356A9">
        <w:rPr>
          <w:lang w:val="fr-FR"/>
        </w:rPr>
        <w:t>.</w:t>
      </w:r>
    </w:p>
    <w:p w14:paraId="066E36BC" w14:textId="4349B7FA" w:rsidR="00CF1B88" w:rsidRPr="00E356A9" w:rsidRDefault="00E356A9" w:rsidP="004A1F6C">
      <w:pPr>
        <w:pStyle w:val="Heading1"/>
        <w:keepNext/>
        <w:keepLines/>
        <w:numPr>
          <w:ilvl w:val="0"/>
          <w:numId w:val="0"/>
        </w:numPr>
        <w:tabs>
          <w:tab w:val="num" w:pos="0"/>
        </w:tabs>
        <w:rPr>
          <w:color w:val="000000" w:themeColor="text1"/>
        </w:rPr>
      </w:pPr>
      <w:r w:rsidRPr="00E356A9">
        <w:rPr>
          <w:b/>
          <w:color w:val="000000" w:themeColor="text1"/>
          <w:lang w:val="fr-FR"/>
        </w:rPr>
        <w:t>Recommandation du Secrétariat</w:t>
      </w:r>
    </w:p>
    <w:p w14:paraId="721235A4" w14:textId="776EEBB7" w:rsidR="00E356A9" w:rsidRPr="000F13C8" w:rsidRDefault="00273F0D" w:rsidP="004A1F6C">
      <w:pPr>
        <w:pStyle w:val="Heading1"/>
        <w:tabs>
          <w:tab w:val="clear" w:pos="90"/>
          <w:tab w:val="num" w:pos="0"/>
        </w:tabs>
        <w:ind w:left="0"/>
        <w:rPr>
          <w:lang w:val="fr-CA"/>
        </w:rPr>
      </w:pPr>
      <w:r w:rsidRPr="00273F0D">
        <w:rPr>
          <w:lang w:val="fr-FR"/>
        </w:rPr>
        <w:t xml:space="preserve">Le Comité </w:t>
      </w:r>
      <w:r w:rsidR="00C8399C">
        <w:rPr>
          <w:lang w:val="fr-FR"/>
        </w:rPr>
        <w:t>e</w:t>
      </w:r>
      <w:r w:rsidRPr="00273F0D">
        <w:rPr>
          <w:lang w:val="fr-FR"/>
        </w:rPr>
        <w:t>xécutif pourrait envisager d</w:t>
      </w:r>
      <w:r w:rsidR="00551CEE">
        <w:rPr>
          <w:lang w:val="fr-FR"/>
        </w:rPr>
        <w:t>’</w:t>
      </w:r>
      <w:r w:rsidRPr="00273F0D">
        <w:rPr>
          <w:lang w:val="fr-FR"/>
        </w:rPr>
        <w:t>examiner, conformément aux discussions dans le cadre du point 9 de l</w:t>
      </w:r>
      <w:r w:rsidR="00551CEE">
        <w:rPr>
          <w:lang w:val="fr-FR"/>
        </w:rPr>
        <w:t>’</w:t>
      </w:r>
      <w:r w:rsidRPr="00273F0D">
        <w:rPr>
          <w:lang w:val="fr-FR"/>
        </w:rPr>
        <w:t>ordre du jour</w:t>
      </w:r>
      <w:r w:rsidR="006227D8">
        <w:rPr>
          <w:lang w:val="fr-FR"/>
        </w:rPr>
        <w:t>,</w:t>
      </w:r>
      <w:r w:rsidR="00C8399C">
        <w:rPr>
          <w:lang w:val="fr-FR"/>
        </w:rPr>
        <w:t xml:space="preserve"> </w:t>
      </w:r>
      <w:r w:rsidRPr="00273F0D">
        <w:rPr>
          <w:lang w:val="fr-FR"/>
        </w:rPr>
        <w:t>Aperçu des questions recensées pendant l</w:t>
      </w:r>
      <w:r w:rsidR="00551CEE">
        <w:rPr>
          <w:lang w:val="fr-FR"/>
        </w:rPr>
        <w:t>’</w:t>
      </w:r>
      <w:r w:rsidRPr="00273F0D">
        <w:rPr>
          <w:lang w:val="fr-FR"/>
        </w:rPr>
        <w:t>examen des projets</w:t>
      </w:r>
      <w:r w:rsidR="006227D8">
        <w:rPr>
          <w:lang w:val="fr-FR"/>
        </w:rPr>
        <w:t>,</w:t>
      </w:r>
      <w:r w:rsidRPr="00273F0D">
        <w:rPr>
          <w:lang w:val="fr-FR"/>
        </w:rPr>
        <w:t xml:space="preserve"> et du point 13(c) de l</w:t>
      </w:r>
      <w:r w:rsidR="00551CEE">
        <w:rPr>
          <w:lang w:val="fr-FR"/>
        </w:rPr>
        <w:t>’</w:t>
      </w:r>
      <w:r w:rsidRPr="00273F0D">
        <w:rPr>
          <w:lang w:val="fr-FR"/>
        </w:rPr>
        <w:t>ordre du jour</w:t>
      </w:r>
      <w:r w:rsidR="006227D8">
        <w:rPr>
          <w:lang w:val="fr-FR"/>
        </w:rPr>
        <w:t>,</w:t>
      </w:r>
      <w:r w:rsidR="00C8399C">
        <w:rPr>
          <w:lang w:val="fr-FR"/>
        </w:rPr>
        <w:t xml:space="preserve"> </w:t>
      </w:r>
      <w:r w:rsidRPr="00273F0D">
        <w:rPr>
          <w:lang w:val="fr-FR"/>
        </w:rPr>
        <w:t xml:space="preserve">Projet de lignes directrices sur la préparation des plans de réduction progressive </w:t>
      </w:r>
      <w:r w:rsidRPr="00273F0D">
        <w:rPr>
          <w:lang w:val="fr-FR"/>
        </w:rPr>
        <w:lastRenderedPageBreak/>
        <w:t>des HFC pour les pays visés à l</w:t>
      </w:r>
      <w:r w:rsidR="00551CEE">
        <w:rPr>
          <w:lang w:val="fr-FR"/>
        </w:rPr>
        <w:t>’</w:t>
      </w:r>
      <w:r w:rsidRPr="00273F0D">
        <w:rPr>
          <w:lang w:val="fr-FR"/>
        </w:rPr>
        <w:t>article 5</w:t>
      </w:r>
      <w:r w:rsidR="006227D8">
        <w:rPr>
          <w:lang w:val="fr-FR"/>
        </w:rPr>
        <w:t xml:space="preserve"> </w:t>
      </w:r>
      <w:r w:rsidRPr="00273F0D">
        <w:rPr>
          <w:lang w:val="fr-FR"/>
        </w:rPr>
        <w:t>(décision 84/54(a))</w:t>
      </w:r>
      <w:r w:rsidR="006227D8">
        <w:rPr>
          <w:lang w:val="fr-FR"/>
        </w:rPr>
        <w:t>,</w:t>
      </w:r>
      <w:r w:rsidRPr="00273F0D">
        <w:rPr>
          <w:lang w:val="fr-FR"/>
        </w:rPr>
        <w:t xml:space="preserve"> les demandes de préparation de projet pour les plans de gestion de la réduction progressive des HFC des pays mentionnés à la section B1 du tableau</w:t>
      </w:r>
      <w:r w:rsidR="001D3518">
        <w:rPr>
          <w:lang w:val="fr-FR"/>
        </w:rPr>
        <w:t> </w:t>
      </w:r>
      <w:r w:rsidRPr="00273F0D">
        <w:rPr>
          <w:lang w:val="fr-FR"/>
        </w:rPr>
        <w:t>1.</w:t>
      </w:r>
    </w:p>
    <w:p w14:paraId="0765ABE8" w14:textId="77777777" w:rsidR="00E85409" w:rsidRPr="000F13C8" w:rsidRDefault="00E85409" w:rsidP="004E7F9C">
      <w:pPr>
        <w:rPr>
          <w:lang w:val="fr-CA"/>
        </w:rPr>
      </w:pPr>
    </w:p>
    <w:p w14:paraId="311C91E9" w14:textId="77777777" w:rsidR="0034428E" w:rsidRPr="000F13C8" w:rsidRDefault="0034428E" w:rsidP="00F00F7A">
      <w:pPr>
        <w:rPr>
          <w:lang w:val="fr-CA"/>
        </w:rPr>
        <w:sectPr w:rsidR="0034428E" w:rsidRPr="000F13C8"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6F88F819" w14:textId="2AD50CB2" w:rsidR="00776C36" w:rsidRPr="000F13C8" w:rsidRDefault="0033605A" w:rsidP="0033605A">
      <w:pPr>
        <w:spacing w:after="240"/>
        <w:jc w:val="center"/>
        <w:rPr>
          <w:b/>
          <w:color w:val="000000" w:themeColor="text1"/>
          <w:lang w:val="fr-CA"/>
        </w:rPr>
      </w:pPr>
      <w:r w:rsidRPr="0033605A">
        <w:rPr>
          <w:b/>
          <w:color w:val="000000" w:themeColor="text1"/>
          <w:lang w:val="fr-FR"/>
        </w:rPr>
        <w:lastRenderedPageBreak/>
        <w:t>Annexe II</w:t>
      </w:r>
      <w:r w:rsidR="00776C36" w:rsidRPr="000F13C8">
        <w:rPr>
          <w:b/>
          <w:color w:val="000000" w:themeColor="text1"/>
          <w:lang w:val="fr-CA"/>
        </w:rPr>
        <w:t xml:space="preserve"> </w:t>
      </w:r>
    </w:p>
    <w:p w14:paraId="74A2B6FD" w14:textId="2A3C5217" w:rsidR="00776C36" w:rsidRPr="000F13C8" w:rsidRDefault="0033605A" w:rsidP="0033605A">
      <w:pPr>
        <w:spacing w:after="240"/>
        <w:jc w:val="center"/>
        <w:rPr>
          <w:b/>
          <w:color w:val="000000" w:themeColor="text1"/>
          <w:lang w:val="fr-CA"/>
        </w:rPr>
      </w:pPr>
      <w:r w:rsidRPr="0033605A">
        <w:rPr>
          <w:b/>
          <w:color w:val="000000" w:themeColor="text1"/>
          <w:lang w:val="fr-FR"/>
        </w:rPr>
        <w:t>POINTS DE VUE EXPRIMÉS PAR LE COMITÉ EXÉCUTIF SUR LE RENOUVELLEMENT DES PROJETS DE RENFORCEMENT DES INSTITUTIONS SOUMIS À LA 86</w:t>
      </w:r>
      <w:r w:rsidRPr="0033605A">
        <w:rPr>
          <w:b/>
          <w:color w:val="000000" w:themeColor="text1"/>
          <w:vertAlign w:val="superscript"/>
          <w:lang w:val="fr-FR"/>
        </w:rPr>
        <w:t>E</w:t>
      </w:r>
      <w:r w:rsidRPr="0033605A">
        <w:rPr>
          <w:b/>
          <w:color w:val="000000" w:themeColor="text1"/>
          <w:lang w:val="fr-FR"/>
        </w:rPr>
        <w:t xml:space="preserve"> RÉUNION</w:t>
      </w:r>
    </w:p>
    <w:p w14:paraId="44A28DC1" w14:textId="77777777" w:rsidR="001D3518" w:rsidRDefault="001D3518" w:rsidP="0033605A">
      <w:pPr>
        <w:spacing w:after="120"/>
        <w:jc w:val="left"/>
        <w:rPr>
          <w:b/>
          <w:color w:val="000000" w:themeColor="text1"/>
          <w:lang w:val="fr-FR"/>
        </w:rPr>
      </w:pPr>
    </w:p>
    <w:p w14:paraId="253F5082" w14:textId="51D3C7BD" w:rsidR="00776C36" w:rsidRPr="0033605A" w:rsidRDefault="0033605A" w:rsidP="0033605A">
      <w:pPr>
        <w:spacing w:after="120"/>
        <w:jc w:val="left"/>
        <w:rPr>
          <w:b/>
          <w:color w:val="000000" w:themeColor="text1"/>
          <w:lang w:val="en-CA"/>
        </w:rPr>
      </w:pPr>
      <w:r w:rsidRPr="0033605A">
        <w:rPr>
          <w:b/>
          <w:color w:val="000000" w:themeColor="text1"/>
          <w:lang w:val="fr-FR"/>
        </w:rPr>
        <w:t>Brunei Darussalam</w:t>
      </w:r>
    </w:p>
    <w:p w14:paraId="229AFB0F" w14:textId="77A4A80B" w:rsidR="00162B01" w:rsidRPr="000F13C8" w:rsidRDefault="0033605A" w:rsidP="00162B01">
      <w:pPr>
        <w:pStyle w:val="Heading1"/>
        <w:numPr>
          <w:ilvl w:val="0"/>
          <w:numId w:val="26"/>
        </w:numPr>
        <w:tabs>
          <w:tab w:val="clear" w:pos="90"/>
          <w:tab w:val="num" w:pos="0"/>
        </w:tabs>
        <w:ind w:left="0"/>
        <w:rPr>
          <w:lang w:val="fr-CA"/>
        </w:rPr>
      </w:pPr>
      <w:r w:rsidRPr="0033605A">
        <w:rPr>
          <w:lang w:val="fr-FR"/>
        </w:rPr>
        <w:t>Le Comité exécutif a examiné le rapport accompagnant la demande concernant le renouvellement du projet de renforcement des institutions pour le Brunei Darussalam (phase VII) et a pris note avec satisfaction que ce pays a soumis pour les années 2018 et 2019 les</w:t>
      </w:r>
      <w:r w:rsidR="00551CEE">
        <w:rPr>
          <w:lang w:val="fr-FR"/>
        </w:rPr>
        <w:t xml:space="preserve"> </w:t>
      </w:r>
      <w:r w:rsidRPr="0033605A">
        <w:rPr>
          <w:lang w:val="fr-FR"/>
        </w:rPr>
        <w:t xml:space="preserve">données de mise en œuvre du programme de pays ainsi que les données </w:t>
      </w:r>
      <w:r w:rsidR="00850A15">
        <w:rPr>
          <w:lang w:val="fr-FR"/>
        </w:rPr>
        <w:t xml:space="preserve">fournies </w:t>
      </w:r>
      <w:r w:rsidRPr="0033605A">
        <w:rPr>
          <w:lang w:val="fr-FR"/>
        </w:rPr>
        <w:t>au titre de l</w:t>
      </w:r>
      <w:r w:rsidR="00551CEE">
        <w:rPr>
          <w:lang w:val="fr-FR"/>
        </w:rPr>
        <w:t>’</w:t>
      </w:r>
      <w:r w:rsidRPr="0033605A">
        <w:rPr>
          <w:lang w:val="fr-FR"/>
        </w:rPr>
        <w:t>article 7 respectivement au Secrétariat du Fonds et au Secrétariat de l</w:t>
      </w:r>
      <w:r w:rsidR="00551CEE">
        <w:rPr>
          <w:lang w:val="fr-FR"/>
        </w:rPr>
        <w:t>’</w:t>
      </w:r>
      <w:r w:rsidRPr="0033605A">
        <w:rPr>
          <w:lang w:val="fr-FR"/>
        </w:rPr>
        <w:t>Ozone, indiquant que le pays est en conformité avec ses obligations en vertu du Protocole de Montréal.</w:t>
      </w:r>
      <w:r w:rsidRPr="000F13C8">
        <w:rPr>
          <w:lang w:val="fr-CA"/>
        </w:rPr>
        <w:t xml:space="preserve"> </w:t>
      </w:r>
      <w:r w:rsidR="00850A15" w:rsidRPr="00850A15">
        <w:rPr>
          <w:lang w:val="fr-FR"/>
        </w:rPr>
        <w:t>Le Comité a également constaté que le pays dispose d</w:t>
      </w:r>
      <w:r w:rsidR="00551CEE">
        <w:rPr>
          <w:lang w:val="fr-FR"/>
        </w:rPr>
        <w:t>’</w:t>
      </w:r>
      <w:r w:rsidR="00850A15" w:rsidRPr="00850A15">
        <w:rPr>
          <w:lang w:val="fr-FR"/>
        </w:rPr>
        <w:t xml:space="preserve">un système </w:t>
      </w:r>
      <w:r w:rsidR="00850A15" w:rsidRPr="00850A15">
        <w:rPr>
          <w:rStyle w:val="tlid-translation"/>
          <w:lang w:val="fr-FR"/>
        </w:rPr>
        <w:t>opérationnel d</w:t>
      </w:r>
      <w:r w:rsidR="00551CEE">
        <w:rPr>
          <w:rStyle w:val="tlid-translation"/>
          <w:lang w:val="fr-FR"/>
        </w:rPr>
        <w:t>’</w:t>
      </w:r>
      <w:r w:rsidR="00850A15" w:rsidRPr="00850A15">
        <w:rPr>
          <w:rStyle w:val="tlid-translation"/>
          <w:lang w:val="fr-FR"/>
        </w:rPr>
        <w:t>octroi d</w:t>
      </w:r>
      <w:r w:rsidR="00551CEE">
        <w:rPr>
          <w:rStyle w:val="tlid-translation"/>
          <w:lang w:val="fr-FR"/>
        </w:rPr>
        <w:t>’</w:t>
      </w:r>
      <w:r w:rsidR="00850A15" w:rsidRPr="00850A15">
        <w:rPr>
          <w:rStyle w:val="tlid-translation"/>
          <w:lang w:val="fr-FR"/>
        </w:rPr>
        <w:t>autorisations et de quotas pour le contrôle des importations et des exportations de HCFC, et qu</w:t>
      </w:r>
      <w:r w:rsidR="00551CEE">
        <w:rPr>
          <w:rStyle w:val="tlid-translation"/>
          <w:lang w:val="fr-FR"/>
        </w:rPr>
        <w:t>’</w:t>
      </w:r>
      <w:r w:rsidR="00850A15" w:rsidRPr="00850A15">
        <w:rPr>
          <w:rStyle w:val="tlid-translation"/>
          <w:lang w:val="fr-FR"/>
        </w:rPr>
        <w:t xml:space="preserve">il a renforcé </w:t>
      </w:r>
      <w:r w:rsidR="007A44C7">
        <w:rPr>
          <w:rStyle w:val="tlid-translation"/>
          <w:lang w:val="fr-FR"/>
        </w:rPr>
        <w:t xml:space="preserve">le contrôle de </w:t>
      </w:r>
      <w:r w:rsidR="00850A15" w:rsidRPr="00850A15">
        <w:rPr>
          <w:rStyle w:val="tlid-translation"/>
          <w:lang w:val="fr-FR"/>
        </w:rPr>
        <w:t>l</w:t>
      </w:r>
      <w:r w:rsidR="00551CEE">
        <w:rPr>
          <w:rStyle w:val="tlid-translation"/>
          <w:lang w:val="fr-FR"/>
        </w:rPr>
        <w:t>’</w:t>
      </w:r>
      <w:r w:rsidR="00850A15" w:rsidRPr="00850A15">
        <w:rPr>
          <w:rStyle w:val="tlid-translation"/>
          <w:lang w:val="fr-FR"/>
        </w:rPr>
        <w:t>application des réglementations sur les SAO</w:t>
      </w:r>
      <w:r w:rsidR="00850A15" w:rsidRPr="00850A15">
        <w:rPr>
          <w:lang w:val="fr-FR"/>
        </w:rPr>
        <w:t>.</w:t>
      </w:r>
      <w:r w:rsidR="00850A15" w:rsidRPr="000F13C8">
        <w:rPr>
          <w:lang w:val="fr-CA"/>
        </w:rPr>
        <w:t xml:space="preserve"> </w:t>
      </w:r>
      <w:r w:rsidR="00850A15" w:rsidRPr="00850A15">
        <w:rPr>
          <w:lang w:val="fr-FR"/>
        </w:rPr>
        <w:t>Le Comité a pris note avec satisfaction</w:t>
      </w:r>
      <w:r w:rsidR="007A44C7">
        <w:rPr>
          <w:lang w:val="fr-FR"/>
        </w:rPr>
        <w:t xml:space="preserve"> </w:t>
      </w:r>
      <w:r w:rsidR="00850A15" w:rsidRPr="00850A15">
        <w:rPr>
          <w:lang w:val="fr-FR"/>
        </w:rPr>
        <w:t xml:space="preserve">que </w:t>
      </w:r>
      <w:r w:rsidR="00850A15" w:rsidRPr="00850A15">
        <w:rPr>
          <w:rStyle w:val="tlid-translation"/>
          <w:lang w:val="fr-FR"/>
        </w:rPr>
        <w:t xml:space="preserve">tandis </w:t>
      </w:r>
      <w:r w:rsidR="001D3518">
        <w:rPr>
          <w:rStyle w:val="tlid-translation"/>
          <w:lang w:val="fr-FR"/>
        </w:rPr>
        <w:t xml:space="preserve">que </w:t>
      </w:r>
      <w:r w:rsidR="007A44C7">
        <w:rPr>
          <w:rStyle w:val="tlid-translation"/>
          <w:lang w:val="fr-FR"/>
        </w:rPr>
        <w:t>le processus</w:t>
      </w:r>
      <w:r w:rsidR="00850A15" w:rsidRPr="00850A15">
        <w:rPr>
          <w:rStyle w:val="tlid-translation"/>
          <w:lang w:val="fr-FR"/>
        </w:rPr>
        <w:t xml:space="preserve"> </w:t>
      </w:r>
      <w:r w:rsidR="007A44C7">
        <w:rPr>
          <w:rStyle w:val="tlid-translation"/>
          <w:lang w:val="fr-FR"/>
        </w:rPr>
        <w:t xml:space="preserve">de </w:t>
      </w:r>
      <w:r w:rsidR="00850A15" w:rsidRPr="00850A15">
        <w:rPr>
          <w:rStyle w:val="tlid-translation"/>
          <w:lang w:val="fr-FR"/>
        </w:rPr>
        <w:t>ratification de l</w:t>
      </w:r>
      <w:r w:rsidR="00551CEE">
        <w:rPr>
          <w:rStyle w:val="tlid-translation"/>
          <w:lang w:val="fr-FR"/>
        </w:rPr>
        <w:t>’</w:t>
      </w:r>
      <w:r w:rsidR="00850A15" w:rsidRPr="00850A15">
        <w:rPr>
          <w:rStyle w:val="tlid-translation"/>
          <w:lang w:val="fr-FR"/>
        </w:rPr>
        <w:t>Amendement de Kigali est en cours</w:t>
      </w:r>
      <w:r w:rsidR="007A44C7">
        <w:rPr>
          <w:rStyle w:val="tlid-translation"/>
          <w:lang w:val="fr-FR"/>
        </w:rPr>
        <w:t xml:space="preserve">, </w:t>
      </w:r>
      <w:r w:rsidR="00850A15" w:rsidRPr="00850A15">
        <w:rPr>
          <w:rStyle w:val="tlid-translation"/>
          <w:lang w:val="fr-FR"/>
        </w:rPr>
        <w:t>la modification des réglementations existantes afin d</w:t>
      </w:r>
      <w:r w:rsidR="00551CEE">
        <w:rPr>
          <w:rStyle w:val="tlid-translation"/>
          <w:lang w:val="fr-FR"/>
        </w:rPr>
        <w:t>’</w:t>
      </w:r>
      <w:r w:rsidR="007A44C7">
        <w:rPr>
          <w:rStyle w:val="tlid-translation"/>
          <w:lang w:val="fr-FR"/>
        </w:rPr>
        <w:t xml:space="preserve">y </w:t>
      </w:r>
      <w:r w:rsidR="00850A15" w:rsidRPr="00850A15">
        <w:rPr>
          <w:rStyle w:val="tlid-translation"/>
          <w:lang w:val="fr-FR"/>
        </w:rPr>
        <w:t>inclure le contrôle des importations et des exportations de HFC en est au stade final avant l</w:t>
      </w:r>
      <w:r w:rsidR="00551CEE">
        <w:rPr>
          <w:rStyle w:val="tlid-translation"/>
          <w:lang w:val="fr-FR"/>
        </w:rPr>
        <w:t>’</w:t>
      </w:r>
      <w:r w:rsidR="00850A15" w:rsidRPr="00850A15">
        <w:rPr>
          <w:rStyle w:val="tlid-translation"/>
          <w:lang w:val="fr-FR"/>
        </w:rPr>
        <w:t>adoption</w:t>
      </w:r>
      <w:r w:rsidR="00850A15" w:rsidRPr="00850A15">
        <w:rPr>
          <w:lang w:val="fr-FR"/>
        </w:rPr>
        <w:t>.</w:t>
      </w:r>
      <w:r w:rsidR="00850A15" w:rsidRPr="000F13C8">
        <w:rPr>
          <w:lang w:val="fr-CA"/>
        </w:rPr>
        <w:t xml:space="preserve"> </w:t>
      </w:r>
      <w:r w:rsidR="00162B01" w:rsidRPr="00162B01">
        <w:rPr>
          <w:lang w:val="fr-FR"/>
        </w:rPr>
        <w:t>Le</w:t>
      </w:r>
      <w:r w:rsidR="00162B01" w:rsidRPr="00162B01">
        <w:rPr>
          <w:rStyle w:val="tlid-translation"/>
          <w:lang w:val="fr-FR"/>
        </w:rPr>
        <w:t xml:space="preserve"> Comité exécutif </w:t>
      </w:r>
      <w:r w:rsidR="007A44C7">
        <w:rPr>
          <w:rStyle w:val="tlid-translation"/>
          <w:lang w:val="fr-FR"/>
        </w:rPr>
        <w:t>a donc toute confiance</w:t>
      </w:r>
      <w:r w:rsidR="00162B01" w:rsidRPr="00162B01">
        <w:rPr>
          <w:rStyle w:val="tlid-translation"/>
          <w:lang w:val="fr-FR"/>
        </w:rPr>
        <w:t xml:space="preserve"> que le gouvernement du Brunei Darussalam poursuivra la mise en œuvre de ses activités d</w:t>
      </w:r>
      <w:r w:rsidR="00551CEE">
        <w:rPr>
          <w:rStyle w:val="tlid-translation"/>
          <w:lang w:val="fr-FR"/>
        </w:rPr>
        <w:t>’</w:t>
      </w:r>
      <w:r w:rsidR="00162B01" w:rsidRPr="00162B01">
        <w:rPr>
          <w:rStyle w:val="tlid-translation"/>
          <w:lang w:val="fr-FR"/>
        </w:rPr>
        <w:t>élimination des HCFC, les activités de facilitation pour la réduction progressive des HCF ainsi que le projet de renforcement des institutions dans les délais voulus et de manière efficace pour permettre au pays de se conformer de manière durable aux objectifs du Protocole de Montréal</w:t>
      </w:r>
      <w:r w:rsidR="00162B01" w:rsidRPr="00162B01">
        <w:rPr>
          <w:lang w:val="fr-FR"/>
        </w:rPr>
        <w:t>.</w:t>
      </w:r>
    </w:p>
    <w:p w14:paraId="69F68B1C" w14:textId="1DA7C413" w:rsidR="00776C36" w:rsidRPr="00162B01" w:rsidRDefault="00162B01" w:rsidP="00162B01">
      <w:pPr>
        <w:spacing w:after="120"/>
        <w:jc w:val="left"/>
        <w:rPr>
          <w:b/>
          <w:color w:val="000000" w:themeColor="text1"/>
          <w:lang w:val="en-CA"/>
        </w:rPr>
      </w:pPr>
      <w:r w:rsidRPr="00162B01">
        <w:rPr>
          <w:b/>
          <w:color w:val="000000" w:themeColor="text1"/>
          <w:lang w:val="fr-FR"/>
        </w:rPr>
        <w:t>Cap Vert</w:t>
      </w:r>
    </w:p>
    <w:p w14:paraId="6C21859B" w14:textId="2B1AED7A" w:rsidR="00162B01" w:rsidRPr="000F13C8" w:rsidRDefault="00162B01" w:rsidP="00162B01">
      <w:pPr>
        <w:pStyle w:val="Heading1"/>
        <w:tabs>
          <w:tab w:val="clear" w:pos="90"/>
          <w:tab w:val="num" w:pos="0"/>
        </w:tabs>
        <w:ind w:left="0"/>
        <w:rPr>
          <w:lang w:val="fr-CA"/>
        </w:rPr>
      </w:pPr>
      <w:r w:rsidRPr="00162B01">
        <w:rPr>
          <w:rFonts w:cs="Arial"/>
          <w:lang w:val="fr-FR"/>
        </w:rPr>
        <w:t>Le Comité exécutif a examiné le rapport accompagnant la demande concernant le renouvellement du projet de renforcement des institutions pour le Cap Vert (phase VII) et a pris note avec satisfaction que ce pays a soumis pour les années 2018 et 2019 les</w:t>
      </w:r>
      <w:r w:rsidR="00551CEE">
        <w:rPr>
          <w:rFonts w:cs="Arial"/>
          <w:lang w:val="fr-FR"/>
        </w:rPr>
        <w:t xml:space="preserve"> </w:t>
      </w:r>
      <w:r w:rsidRPr="00162B01">
        <w:rPr>
          <w:rFonts w:cs="Arial"/>
          <w:lang w:val="fr-FR"/>
        </w:rPr>
        <w:t>données de mise en œuvre du programme de pays ainsi que les données fournies au titre de l</w:t>
      </w:r>
      <w:r w:rsidR="00551CEE">
        <w:rPr>
          <w:rFonts w:cs="Arial"/>
          <w:lang w:val="fr-FR"/>
        </w:rPr>
        <w:t>’</w:t>
      </w:r>
      <w:r w:rsidRPr="00162B01">
        <w:rPr>
          <w:rFonts w:cs="Arial"/>
          <w:lang w:val="fr-FR"/>
        </w:rPr>
        <w:t>article 7 respectivement au Secrétariat du Fonds et au Secrétariat de l</w:t>
      </w:r>
      <w:r w:rsidR="00551CEE">
        <w:rPr>
          <w:rFonts w:cs="Arial"/>
          <w:lang w:val="fr-FR"/>
        </w:rPr>
        <w:t>’</w:t>
      </w:r>
      <w:r w:rsidRPr="00162B01">
        <w:rPr>
          <w:rFonts w:cs="Arial"/>
          <w:lang w:val="fr-FR"/>
        </w:rPr>
        <w:t>Ozone, indiquant que le pays est en conformité avec ses obligations en vertu du Protocole de Montréal.</w:t>
      </w:r>
      <w:r w:rsidRPr="000F13C8">
        <w:rPr>
          <w:lang w:val="fr-CA"/>
        </w:rPr>
        <w:t xml:space="preserve"> </w:t>
      </w:r>
      <w:r w:rsidRPr="00162B01">
        <w:rPr>
          <w:lang w:val="fr-FR"/>
        </w:rPr>
        <w:t>Le Comité a également constaté qu</w:t>
      </w:r>
      <w:r w:rsidR="00551CEE">
        <w:rPr>
          <w:lang w:val="fr-FR"/>
        </w:rPr>
        <w:t>’</w:t>
      </w:r>
      <w:r w:rsidRPr="00162B01">
        <w:rPr>
          <w:lang w:val="fr-FR"/>
        </w:rPr>
        <w:t>un système opérationnel d</w:t>
      </w:r>
      <w:r w:rsidR="00551CEE">
        <w:rPr>
          <w:lang w:val="fr-FR"/>
        </w:rPr>
        <w:t>’</w:t>
      </w:r>
      <w:r w:rsidRPr="00162B01">
        <w:rPr>
          <w:lang w:val="fr-FR"/>
        </w:rPr>
        <w:t>autorisations d</w:t>
      </w:r>
      <w:r w:rsidR="00551CEE">
        <w:rPr>
          <w:lang w:val="fr-FR"/>
        </w:rPr>
        <w:t>’</w:t>
      </w:r>
      <w:r w:rsidRPr="00162B01">
        <w:rPr>
          <w:lang w:val="fr-FR"/>
        </w:rPr>
        <w:t>importations/exportations de SAO et de quotas des HCFC est en place, que des activités du plan de gestion de l</w:t>
      </w:r>
      <w:r w:rsidR="00551CEE">
        <w:rPr>
          <w:lang w:val="fr-FR"/>
        </w:rPr>
        <w:t>’</w:t>
      </w:r>
      <w:r w:rsidRPr="00162B01">
        <w:rPr>
          <w:lang w:val="fr-FR"/>
        </w:rPr>
        <w:t>élimination des HCFC (PGEH) ont été mises en œuvre de manière coordonnée et que le processus de ratification de l</w:t>
      </w:r>
      <w:r w:rsidR="00551CEE">
        <w:rPr>
          <w:lang w:val="fr-FR"/>
        </w:rPr>
        <w:t>’</w:t>
      </w:r>
      <w:r w:rsidRPr="00162B01">
        <w:rPr>
          <w:lang w:val="fr-FR"/>
        </w:rPr>
        <w:t>Amendement de Kigali a été engagé.</w:t>
      </w:r>
      <w:r w:rsidRPr="000F13C8">
        <w:rPr>
          <w:lang w:val="fr-CA"/>
        </w:rPr>
        <w:t xml:space="preserve"> </w:t>
      </w:r>
      <w:r w:rsidRPr="00162B01">
        <w:rPr>
          <w:lang w:val="fr-FR"/>
        </w:rPr>
        <w:t xml:space="preserve">Le Comité exécutif </w:t>
      </w:r>
      <w:r w:rsidR="007A44C7">
        <w:rPr>
          <w:rStyle w:val="tlid-translation"/>
          <w:lang w:val="fr-FR"/>
        </w:rPr>
        <w:t>a donc toute confiance</w:t>
      </w:r>
      <w:r w:rsidR="007A44C7" w:rsidRPr="00162B01">
        <w:rPr>
          <w:rStyle w:val="tlid-translation"/>
          <w:lang w:val="fr-FR"/>
        </w:rPr>
        <w:t xml:space="preserve"> que </w:t>
      </w:r>
      <w:r w:rsidRPr="00162B01">
        <w:rPr>
          <w:lang w:val="fr-FR"/>
        </w:rPr>
        <w:t>le gouvernement du Cap Vert poursuivra la mise en œuvre de son PGEH, les activités de facilitation pour la réduction progressive des HCF ainsi que le projet de renforcement des institutions dans les délais voulus et de manière efficace pour permettre au pays de se conformer de manière durable aux objectifs du Protocole de Montréal.</w:t>
      </w:r>
    </w:p>
    <w:p w14:paraId="6A3D7E71" w14:textId="24A96C3E" w:rsidR="00776C36" w:rsidRPr="00162B01" w:rsidRDefault="00162B01" w:rsidP="00162B01">
      <w:pPr>
        <w:spacing w:after="120"/>
        <w:jc w:val="left"/>
        <w:rPr>
          <w:b/>
          <w:bCs/>
          <w:color w:val="000000" w:themeColor="text1"/>
          <w:lang w:val="en-CA"/>
        </w:rPr>
      </w:pPr>
      <w:r w:rsidRPr="00162B01">
        <w:rPr>
          <w:b/>
          <w:color w:val="000000" w:themeColor="text1"/>
          <w:lang w:val="fr-FR"/>
        </w:rPr>
        <w:t>République dominicaine</w:t>
      </w:r>
    </w:p>
    <w:p w14:paraId="1BFC8763" w14:textId="7EED627B" w:rsidR="00162B01" w:rsidRPr="000F13C8" w:rsidRDefault="00162B01" w:rsidP="00162B01">
      <w:pPr>
        <w:pStyle w:val="Heading1"/>
        <w:tabs>
          <w:tab w:val="clear" w:pos="90"/>
          <w:tab w:val="num" w:pos="0"/>
        </w:tabs>
        <w:ind w:left="0"/>
        <w:rPr>
          <w:lang w:val="fr-CA"/>
        </w:rPr>
      </w:pPr>
      <w:r w:rsidRPr="00162B01">
        <w:rPr>
          <w:lang w:val="fr-FR"/>
        </w:rPr>
        <w:t>Le Comité exécutif a examiné le rapport accompagnant la demande concernant le renouvellement du projet de renforcement des institutions pour la République Dominicaine (phase XI) et a pris note avec satisfaction que ce pays s</w:t>
      </w:r>
      <w:r w:rsidR="00551CEE">
        <w:rPr>
          <w:lang w:val="fr-FR"/>
        </w:rPr>
        <w:t>’</w:t>
      </w:r>
      <w:r w:rsidRPr="00162B01">
        <w:rPr>
          <w:lang w:val="fr-FR"/>
        </w:rPr>
        <w:t>était conformé à ses obligations en vertu du Protocole de Montréal de communication des donnés au ti</w:t>
      </w:r>
      <w:r w:rsidR="001D3518">
        <w:rPr>
          <w:lang w:val="fr-FR"/>
        </w:rPr>
        <w:t>t</w:t>
      </w:r>
      <w:r w:rsidRPr="00162B01">
        <w:rPr>
          <w:lang w:val="fr-FR"/>
        </w:rPr>
        <w:t>re de l</w:t>
      </w:r>
      <w:r w:rsidR="00551CEE">
        <w:rPr>
          <w:lang w:val="fr-FR"/>
        </w:rPr>
        <w:t>’</w:t>
      </w:r>
      <w:r w:rsidRPr="00162B01">
        <w:rPr>
          <w:lang w:val="fr-FR"/>
        </w:rPr>
        <w:t>article 7 et d</w:t>
      </w:r>
      <w:r w:rsidR="00551CEE">
        <w:rPr>
          <w:lang w:val="fr-FR"/>
        </w:rPr>
        <w:t>’</w:t>
      </w:r>
      <w:r w:rsidRPr="00162B01">
        <w:rPr>
          <w:lang w:val="fr-FR"/>
        </w:rPr>
        <w:t>élimination des HCFC, et qu</w:t>
      </w:r>
      <w:r w:rsidR="00551CEE">
        <w:rPr>
          <w:lang w:val="fr-FR"/>
        </w:rPr>
        <w:t>’</w:t>
      </w:r>
      <w:r w:rsidRPr="00162B01">
        <w:rPr>
          <w:lang w:val="fr-FR"/>
        </w:rPr>
        <w:t>un système opérationnel d</w:t>
      </w:r>
      <w:r w:rsidR="00551CEE">
        <w:rPr>
          <w:lang w:val="fr-FR"/>
        </w:rPr>
        <w:t>’</w:t>
      </w:r>
      <w:r w:rsidRPr="00162B01">
        <w:rPr>
          <w:lang w:val="fr-FR"/>
        </w:rPr>
        <w:t>autorisations d</w:t>
      </w:r>
      <w:r w:rsidR="00551CEE">
        <w:rPr>
          <w:lang w:val="fr-FR"/>
        </w:rPr>
        <w:t>’</w:t>
      </w:r>
      <w:r w:rsidRPr="00162B01">
        <w:rPr>
          <w:lang w:val="fr-FR"/>
        </w:rPr>
        <w:t>importations/exportations de SAO et de quotas des HCFC est en place.</w:t>
      </w:r>
      <w:r w:rsidRPr="000F13C8">
        <w:rPr>
          <w:lang w:val="fr-CA"/>
        </w:rPr>
        <w:t xml:space="preserve"> </w:t>
      </w:r>
      <w:r w:rsidRPr="00162B01">
        <w:rPr>
          <w:lang w:val="fr-FR"/>
        </w:rPr>
        <w:t>Le Comité exécutif a également noté que</w:t>
      </w:r>
      <w:r w:rsidR="001D3518">
        <w:rPr>
          <w:lang w:val="fr-FR"/>
        </w:rPr>
        <w:t xml:space="preserve"> la</w:t>
      </w:r>
      <w:r w:rsidRPr="00162B01">
        <w:rPr>
          <w:lang w:val="fr-FR"/>
        </w:rPr>
        <w:t xml:space="preserve"> République Dominicaine a soumis dans les délais impartis les données de 2018 et 2019 de mise en œuvre du programme de pays au Secrétariat du Fonds.</w:t>
      </w:r>
      <w:r w:rsidRPr="000F13C8">
        <w:rPr>
          <w:lang w:val="fr-CA"/>
        </w:rPr>
        <w:t xml:space="preserve"> </w:t>
      </w:r>
      <w:r w:rsidR="003D75E3" w:rsidRPr="000F13C8">
        <w:rPr>
          <w:lang w:val="fr-CA"/>
        </w:rPr>
        <w:t xml:space="preserve">Le </w:t>
      </w:r>
      <w:r w:rsidR="001D3518">
        <w:rPr>
          <w:lang w:val="fr-FR"/>
        </w:rPr>
        <w:t>Comité exécutif</w:t>
      </w:r>
      <w:r w:rsidRPr="00162B01">
        <w:rPr>
          <w:lang w:val="fr-FR"/>
        </w:rPr>
        <w:t xml:space="preserve"> a reconnu que le pays avait mis en œuvre les activités programmées dans le cadre de son plan de gestion de l</w:t>
      </w:r>
      <w:r w:rsidR="00551CEE">
        <w:rPr>
          <w:lang w:val="fr-FR"/>
        </w:rPr>
        <w:t>’</w:t>
      </w:r>
      <w:r w:rsidRPr="00162B01">
        <w:rPr>
          <w:lang w:val="fr-FR"/>
        </w:rPr>
        <w:t>élimination des HCFC (PGEH), s</w:t>
      </w:r>
      <w:r w:rsidR="00551CEE">
        <w:rPr>
          <w:lang w:val="fr-FR"/>
        </w:rPr>
        <w:t>’</w:t>
      </w:r>
      <w:r w:rsidRPr="00162B01">
        <w:rPr>
          <w:lang w:val="fr-FR"/>
        </w:rPr>
        <w:t xml:space="preserve">était acquis le soutien des parties </w:t>
      </w:r>
      <w:r w:rsidRPr="001D3518">
        <w:rPr>
          <w:lang w:val="fr-FR"/>
        </w:rPr>
        <w:t>prenantes par la voie du comité directeur et des réunions de consultation, et qu</w:t>
      </w:r>
      <w:r w:rsidR="00551CEE" w:rsidRPr="001D3518">
        <w:rPr>
          <w:lang w:val="fr-FR"/>
        </w:rPr>
        <w:t>’</w:t>
      </w:r>
      <w:r w:rsidRPr="001D3518">
        <w:rPr>
          <w:lang w:val="fr-FR"/>
        </w:rPr>
        <w:t>il avait renforcé la sensibilisation du</w:t>
      </w:r>
      <w:r w:rsidRPr="00162B01">
        <w:rPr>
          <w:lang w:val="fr-FR"/>
        </w:rPr>
        <w:t xml:space="preserve"> public à la protection de la couche d</w:t>
      </w:r>
      <w:r w:rsidR="00551CEE">
        <w:rPr>
          <w:lang w:val="fr-FR"/>
        </w:rPr>
        <w:t>’</w:t>
      </w:r>
      <w:r w:rsidRPr="00162B01">
        <w:rPr>
          <w:lang w:val="fr-FR"/>
        </w:rPr>
        <w:t>ozone.</w:t>
      </w:r>
      <w:r w:rsidRPr="000F13C8">
        <w:rPr>
          <w:lang w:val="fr-CA"/>
        </w:rPr>
        <w:t xml:space="preserve"> </w:t>
      </w:r>
      <w:r w:rsidRPr="00162B01">
        <w:rPr>
          <w:lang w:val="fr-FR"/>
        </w:rPr>
        <w:t xml:space="preserve">Le Comité exécutif </w:t>
      </w:r>
      <w:r w:rsidR="007A44C7">
        <w:rPr>
          <w:rStyle w:val="tlid-translation"/>
          <w:lang w:val="fr-FR"/>
        </w:rPr>
        <w:t>a donc toute confiance</w:t>
      </w:r>
      <w:r w:rsidR="007A44C7" w:rsidRPr="00162B01">
        <w:rPr>
          <w:rStyle w:val="tlid-translation"/>
          <w:lang w:val="fr-FR"/>
        </w:rPr>
        <w:t xml:space="preserve"> que </w:t>
      </w:r>
      <w:r w:rsidRPr="00162B01">
        <w:rPr>
          <w:lang w:val="fr-FR"/>
        </w:rPr>
        <w:t xml:space="preserve">la République Dominicaine </w:t>
      </w:r>
      <w:r w:rsidR="00264A08" w:rsidRPr="00162B01">
        <w:rPr>
          <w:lang w:val="fr-FR"/>
        </w:rPr>
        <w:t>continuera</w:t>
      </w:r>
      <w:r w:rsidRPr="00162B01">
        <w:rPr>
          <w:lang w:val="fr-FR"/>
        </w:rPr>
        <w:t xml:space="preserve"> à mettre en </w:t>
      </w:r>
      <w:r w:rsidR="00264A08">
        <w:rPr>
          <w:lang w:val="fr-FR"/>
        </w:rPr>
        <w:t xml:space="preserve">œuvre </w:t>
      </w:r>
      <w:r w:rsidRPr="00162B01">
        <w:rPr>
          <w:lang w:val="fr-FR"/>
        </w:rPr>
        <w:t xml:space="preserve">son PGEH et </w:t>
      </w:r>
      <w:r w:rsidR="00264A08">
        <w:rPr>
          <w:lang w:val="fr-FR"/>
        </w:rPr>
        <w:t xml:space="preserve">le projet de renforcement des institutions dans </w:t>
      </w:r>
      <w:r w:rsidR="00264A08">
        <w:rPr>
          <w:lang w:val="fr-FR"/>
        </w:rPr>
        <w:lastRenderedPageBreak/>
        <w:t>les délais impartis et de manière efficace afin de permettre au pays de parvenir à l</w:t>
      </w:r>
      <w:r w:rsidR="00551CEE">
        <w:rPr>
          <w:lang w:val="fr-FR"/>
        </w:rPr>
        <w:t>’</w:t>
      </w:r>
      <w:r w:rsidR="00264A08">
        <w:rPr>
          <w:lang w:val="fr-FR"/>
        </w:rPr>
        <w:t>objectif de réduction de 67,5 pour cent d</w:t>
      </w:r>
      <w:r w:rsidR="00551CEE">
        <w:rPr>
          <w:lang w:val="fr-FR"/>
        </w:rPr>
        <w:t>’</w:t>
      </w:r>
      <w:r w:rsidR="00264A08">
        <w:rPr>
          <w:lang w:val="fr-FR"/>
        </w:rPr>
        <w:t xml:space="preserve">ici le </w:t>
      </w:r>
      <w:r w:rsidRPr="00162B01">
        <w:rPr>
          <w:lang w:val="fr-FR"/>
        </w:rPr>
        <w:t>1</w:t>
      </w:r>
      <w:r w:rsidR="00264A08" w:rsidRPr="00264A08">
        <w:rPr>
          <w:vertAlign w:val="superscript"/>
          <w:lang w:val="fr-FR"/>
        </w:rPr>
        <w:t>er</w:t>
      </w:r>
      <w:r w:rsidR="00264A08">
        <w:rPr>
          <w:lang w:val="fr-FR"/>
        </w:rPr>
        <w:t xml:space="preserve"> janvier</w:t>
      </w:r>
      <w:r w:rsidRPr="00162B01">
        <w:rPr>
          <w:lang w:val="fr-FR"/>
        </w:rPr>
        <w:t xml:space="preserve"> 2025.</w:t>
      </w:r>
    </w:p>
    <w:p w14:paraId="355A3758" w14:textId="4CB36C99" w:rsidR="00776C36" w:rsidRPr="00242325" w:rsidRDefault="00162B01" w:rsidP="00242325">
      <w:pPr>
        <w:spacing w:after="120"/>
        <w:jc w:val="left"/>
        <w:rPr>
          <w:b/>
          <w:color w:val="000000" w:themeColor="text1"/>
          <w:u w:val="single"/>
        </w:rPr>
      </w:pPr>
      <w:r w:rsidRPr="00242325">
        <w:rPr>
          <w:b/>
          <w:color w:val="000000" w:themeColor="text1"/>
          <w:lang w:val="fr-FR"/>
        </w:rPr>
        <w:t>Éthiopie</w:t>
      </w:r>
    </w:p>
    <w:p w14:paraId="7E04975A" w14:textId="28FA6FE1" w:rsidR="00242325" w:rsidRPr="000F13C8" w:rsidRDefault="00242325" w:rsidP="00242325">
      <w:pPr>
        <w:pStyle w:val="Heading1"/>
        <w:tabs>
          <w:tab w:val="clear" w:pos="90"/>
          <w:tab w:val="num" w:pos="0"/>
        </w:tabs>
        <w:ind w:left="0"/>
        <w:rPr>
          <w:lang w:val="fr-CA"/>
        </w:rPr>
      </w:pPr>
      <w:r w:rsidRPr="00242325">
        <w:rPr>
          <w:lang w:val="fr-FR"/>
        </w:rPr>
        <w:t>Le Comité exécutif</w:t>
      </w:r>
      <w:r w:rsidR="00551CEE">
        <w:rPr>
          <w:lang w:val="fr-FR"/>
        </w:rPr>
        <w:t xml:space="preserve"> </w:t>
      </w:r>
      <w:r w:rsidRPr="00242325">
        <w:rPr>
          <w:lang w:val="fr-FR"/>
        </w:rPr>
        <w:t>a examiné le rapport accompagnant la demande concernant le renouvellement du projet de renforcement des institutions pour l</w:t>
      </w:r>
      <w:r w:rsidR="00551CEE">
        <w:rPr>
          <w:lang w:val="fr-FR"/>
        </w:rPr>
        <w:t>’</w:t>
      </w:r>
      <w:r w:rsidR="00264A08">
        <w:rPr>
          <w:lang w:val="fr-FR"/>
        </w:rPr>
        <w:t>Éthiopie</w:t>
      </w:r>
      <w:r w:rsidR="00551CEE">
        <w:rPr>
          <w:lang w:val="fr-FR"/>
        </w:rPr>
        <w:t xml:space="preserve"> </w:t>
      </w:r>
      <w:r w:rsidRPr="00242325">
        <w:rPr>
          <w:lang w:val="fr-FR"/>
        </w:rPr>
        <w:t>(phase </w:t>
      </w:r>
      <w:r w:rsidR="00264A08">
        <w:rPr>
          <w:lang w:val="fr-FR"/>
        </w:rPr>
        <w:t>V</w:t>
      </w:r>
      <w:r w:rsidRPr="00242325">
        <w:rPr>
          <w:lang w:val="fr-FR"/>
        </w:rPr>
        <w:t>III) et a pris note avec satisfaction que ce pays a soumis pour les années 2018 et 2019 les</w:t>
      </w:r>
      <w:r w:rsidR="00551CEE">
        <w:rPr>
          <w:lang w:val="fr-FR"/>
        </w:rPr>
        <w:t xml:space="preserve"> </w:t>
      </w:r>
      <w:r w:rsidRPr="00242325">
        <w:rPr>
          <w:lang w:val="fr-FR"/>
        </w:rPr>
        <w:t>données de consommation de SAO au titre de l</w:t>
      </w:r>
      <w:r w:rsidR="00551CEE">
        <w:rPr>
          <w:lang w:val="fr-FR"/>
        </w:rPr>
        <w:t>’</w:t>
      </w:r>
      <w:r w:rsidRPr="00242325">
        <w:rPr>
          <w:lang w:val="fr-FR"/>
        </w:rPr>
        <w:t xml:space="preserve">article 7 du Protocole </w:t>
      </w:r>
      <w:r w:rsidR="001D3518">
        <w:rPr>
          <w:lang w:val="fr-FR"/>
        </w:rPr>
        <w:t xml:space="preserve">de Montréal </w:t>
      </w:r>
      <w:r w:rsidRPr="00242325">
        <w:rPr>
          <w:lang w:val="fr-FR"/>
        </w:rPr>
        <w:t xml:space="preserve">au Secrétariat </w:t>
      </w:r>
      <w:r w:rsidR="001D3518">
        <w:rPr>
          <w:lang w:val="fr-FR"/>
        </w:rPr>
        <w:t xml:space="preserve">de l’Ozone </w:t>
      </w:r>
      <w:r w:rsidRPr="00242325">
        <w:rPr>
          <w:lang w:val="fr-FR"/>
        </w:rPr>
        <w:t xml:space="preserve"> ainsi que celles du programme de pays au Secrétariat du Fonds, indiquant que le pays est en conformité avec ses obligations en vertu du Protocole de Montréal.</w:t>
      </w:r>
      <w:r w:rsidRPr="000F13C8">
        <w:rPr>
          <w:lang w:val="fr-CA"/>
        </w:rPr>
        <w:t xml:space="preserve"> </w:t>
      </w:r>
      <w:r w:rsidRPr="00242325">
        <w:rPr>
          <w:lang w:val="fr-FR"/>
        </w:rPr>
        <w:t>Le Comité a reconnu que l</w:t>
      </w:r>
      <w:r w:rsidR="00551CEE">
        <w:rPr>
          <w:lang w:val="fr-FR"/>
        </w:rPr>
        <w:t>’</w:t>
      </w:r>
      <w:r w:rsidRPr="00242325">
        <w:rPr>
          <w:lang w:val="fr-FR"/>
        </w:rPr>
        <w:t xml:space="preserve">Éthiopie a continué à mettre en </w:t>
      </w:r>
      <w:r w:rsidR="00264A08">
        <w:rPr>
          <w:lang w:val="fr-FR"/>
        </w:rPr>
        <w:t xml:space="preserve">œuvre </w:t>
      </w:r>
      <w:r w:rsidRPr="00242325">
        <w:rPr>
          <w:lang w:val="fr-FR"/>
        </w:rPr>
        <w:t>son système d</w:t>
      </w:r>
      <w:r w:rsidR="00551CEE">
        <w:rPr>
          <w:lang w:val="fr-FR"/>
        </w:rPr>
        <w:t>’</w:t>
      </w:r>
      <w:r w:rsidRPr="00242325">
        <w:rPr>
          <w:lang w:val="fr-FR"/>
        </w:rPr>
        <w:t>autorisation des importations et des exportations et de quotas de HCFC ; que le pays a mené à bien la formation des techniciens frigoristes et des agents des douanes</w:t>
      </w:r>
      <w:r w:rsidR="00264A08">
        <w:rPr>
          <w:lang w:val="fr-FR"/>
        </w:rPr>
        <w:t>,</w:t>
      </w:r>
      <w:r w:rsidRPr="00242325">
        <w:rPr>
          <w:lang w:val="fr-FR"/>
        </w:rPr>
        <w:t xml:space="preserve"> et </w:t>
      </w:r>
      <w:r w:rsidR="00264A08">
        <w:rPr>
          <w:lang w:val="fr-FR"/>
        </w:rPr>
        <w:t xml:space="preserve">a </w:t>
      </w:r>
      <w:r w:rsidRPr="00242325">
        <w:rPr>
          <w:lang w:val="fr-FR"/>
        </w:rPr>
        <w:t>développé et organisé des activités de sensibilisation du public.</w:t>
      </w:r>
      <w:r w:rsidRPr="000F13C8">
        <w:rPr>
          <w:lang w:val="fr-CA"/>
        </w:rPr>
        <w:t xml:space="preserve"> </w:t>
      </w:r>
      <w:r w:rsidRPr="00242325">
        <w:rPr>
          <w:lang w:val="fr-FR"/>
        </w:rPr>
        <w:t xml:space="preserve">Le </w:t>
      </w:r>
      <w:r w:rsidR="001D3518">
        <w:rPr>
          <w:lang w:val="fr-FR"/>
        </w:rPr>
        <w:t>Comité exécutif</w:t>
      </w:r>
      <w:r w:rsidRPr="00242325">
        <w:rPr>
          <w:lang w:val="fr-FR"/>
        </w:rPr>
        <w:t xml:space="preserve"> </w:t>
      </w:r>
      <w:r w:rsidR="007A44C7">
        <w:rPr>
          <w:rStyle w:val="tlid-translation"/>
          <w:lang w:val="fr-FR"/>
        </w:rPr>
        <w:t>a donc toute confiance</w:t>
      </w:r>
      <w:r w:rsidR="007A44C7" w:rsidRPr="00162B01">
        <w:rPr>
          <w:rStyle w:val="tlid-translation"/>
          <w:lang w:val="fr-FR"/>
        </w:rPr>
        <w:t xml:space="preserve"> que </w:t>
      </w:r>
      <w:r w:rsidRPr="00242325">
        <w:rPr>
          <w:lang w:val="fr-FR"/>
        </w:rPr>
        <w:t>le gouvernement de l</w:t>
      </w:r>
      <w:r w:rsidR="00551CEE">
        <w:rPr>
          <w:lang w:val="fr-FR"/>
        </w:rPr>
        <w:t>’</w:t>
      </w:r>
      <w:r w:rsidRPr="00242325">
        <w:rPr>
          <w:lang w:val="fr-FR"/>
        </w:rPr>
        <w:t xml:space="preserve">Éthiopie continuera à mettre en </w:t>
      </w:r>
      <w:r w:rsidR="00264A08">
        <w:rPr>
          <w:lang w:val="fr-FR"/>
        </w:rPr>
        <w:t xml:space="preserve">œuvre </w:t>
      </w:r>
      <w:r w:rsidRPr="00242325">
        <w:rPr>
          <w:lang w:val="fr-FR"/>
        </w:rPr>
        <w:t>des activités permettant au pays de se conformer à ses obligations en vertu du Protocole de Montréal.</w:t>
      </w:r>
      <w:r w:rsidRPr="000F13C8">
        <w:rPr>
          <w:lang w:val="fr-CA"/>
        </w:rPr>
        <w:t xml:space="preserve"> </w:t>
      </w:r>
      <w:r w:rsidRPr="00242325">
        <w:rPr>
          <w:lang w:val="fr-FR"/>
        </w:rPr>
        <w:t>Le Comité a également pris note avec satisfaction de la ratification de l</w:t>
      </w:r>
      <w:r w:rsidR="00551CEE">
        <w:rPr>
          <w:lang w:val="fr-FR"/>
        </w:rPr>
        <w:t>’</w:t>
      </w:r>
      <w:r w:rsidRPr="00242325">
        <w:rPr>
          <w:lang w:val="fr-FR"/>
        </w:rPr>
        <w:t>Amendement de Kigali par l</w:t>
      </w:r>
      <w:r w:rsidR="00551CEE">
        <w:rPr>
          <w:lang w:val="fr-FR"/>
        </w:rPr>
        <w:t>’</w:t>
      </w:r>
      <w:r w:rsidRPr="00242325">
        <w:rPr>
          <w:lang w:val="fr-FR"/>
        </w:rPr>
        <w:t xml:space="preserve">Éthiopie le 5 juillet 2019 et des mesures prises pour respecter les obligations initiales en vertu de </w:t>
      </w:r>
      <w:r w:rsidR="001D3518">
        <w:rPr>
          <w:lang w:val="fr-FR"/>
        </w:rPr>
        <w:t xml:space="preserve">cet </w:t>
      </w:r>
      <w:r w:rsidRPr="00242325">
        <w:rPr>
          <w:lang w:val="fr-FR"/>
        </w:rPr>
        <w:t>Amendement.</w:t>
      </w:r>
    </w:p>
    <w:p w14:paraId="455F5E54" w14:textId="4889010C" w:rsidR="00776C36" w:rsidRPr="00264A08" w:rsidRDefault="00264A08" w:rsidP="00264A08">
      <w:pPr>
        <w:spacing w:after="120"/>
        <w:jc w:val="left"/>
        <w:rPr>
          <w:b/>
          <w:color w:val="000000" w:themeColor="text1"/>
        </w:rPr>
      </w:pPr>
      <w:r w:rsidRPr="00264A08">
        <w:rPr>
          <w:b/>
          <w:color w:val="000000" w:themeColor="text1"/>
          <w:lang w:val="fr-FR"/>
        </w:rPr>
        <w:t>Fidji</w:t>
      </w:r>
    </w:p>
    <w:p w14:paraId="0757A137" w14:textId="07438967" w:rsidR="00264A08" w:rsidRPr="000F13C8" w:rsidRDefault="00264A08" w:rsidP="00264A08">
      <w:pPr>
        <w:pStyle w:val="Heading1"/>
        <w:tabs>
          <w:tab w:val="clear" w:pos="90"/>
          <w:tab w:val="num" w:pos="0"/>
        </w:tabs>
        <w:ind w:left="0"/>
        <w:rPr>
          <w:lang w:val="fr-CA"/>
        </w:rPr>
      </w:pPr>
      <w:r w:rsidRPr="00264A08">
        <w:rPr>
          <w:lang w:val="fr-FR"/>
        </w:rPr>
        <w:t>Le Comité exécutif</w:t>
      </w:r>
      <w:r w:rsidR="00551CEE">
        <w:rPr>
          <w:lang w:val="fr-FR"/>
        </w:rPr>
        <w:t xml:space="preserve"> </w:t>
      </w:r>
      <w:r w:rsidRPr="00264A08">
        <w:rPr>
          <w:lang w:val="fr-FR"/>
        </w:rPr>
        <w:t>a examiné le rapport accompagnant la demande concernant le renouvellement du projet de renforcement des institutions pour Fidji (phase XI) et a pris note avec satisfaction que ce pays a soumis pour les années 2018 et 2019 les données du programme de pays au Secrétariat du Fonds ainsi que les données transmises au titre de l</w:t>
      </w:r>
      <w:r w:rsidR="00551CEE">
        <w:rPr>
          <w:lang w:val="fr-FR"/>
        </w:rPr>
        <w:t>’</w:t>
      </w:r>
      <w:r w:rsidRPr="00264A08">
        <w:rPr>
          <w:lang w:val="fr-FR"/>
        </w:rPr>
        <w:t>article 7 du Protocole de Montréal au Secrétariat de l</w:t>
      </w:r>
      <w:r w:rsidR="00551CEE">
        <w:rPr>
          <w:lang w:val="fr-FR"/>
        </w:rPr>
        <w:t>’</w:t>
      </w:r>
      <w:r w:rsidR="00682220">
        <w:rPr>
          <w:lang w:val="fr-FR"/>
        </w:rPr>
        <w:t>O</w:t>
      </w:r>
      <w:r w:rsidRPr="00264A08">
        <w:rPr>
          <w:lang w:val="fr-FR"/>
        </w:rPr>
        <w:t>zone, indiquant que le pays est en conformité avec ses obligations en vertu du Protocole de Montréal.</w:t>
      </w:r>
      <w:r w:rsidRPr="000F13C8">
        <w:rPr>
          <w:lang w:val="fr-CA"/>
        </w:rPr>
        <w:t xml:space="preserve"> </w:t>
      </w:r>
      <w:r w:rsidRPr="00264A08">
        <w:rPr>
          <w:lang w:val="fr-FR"/>
        </w:rPr>
        <w:t>Le Comité a reconnu que Fidji continue à mettre en œuvre son système d</w:t>
      </w:r>
      <w:r w:rsidR="00551CEE">
        <w:rPr>
          <w:lang w:val="fr-FR"/>
        </w:rPr>
        <w:t>’</w:t>
      </w:r>
      <w:r w:rsidRPr="00264A08">
        <w:rPr>
          <w:lang w:val="fr-FR"/>
        </w:rPr>
        <w:t xml:space="preserve">autorisations et de quotas de HCFC </w:t>
      </w:r>
      <w:r w:rsidR="00682220">
        <w:rPr>
          <w:lang w:val="fr-FR"/>
        </w:rPr>
        <w:t>ainsi que</w:t>
      </w:r>
      <w:r w:rsidRPr="00264A08">
        <w:rPr>
          <w:lang w:val="fr-FR"/>
        </w:rPr>
        <w:t xml:space="preserve"> son PGEH de manière efficace et </w:t>
      </w:r>
      <w:r w:rsidR="00682220">
        <w:rPr>
          <w:lang w:val="fr-FR"/>
        </w:rPr>
        <w:t>dans les délais</w:t>
      </w:r>
      <w:r w:rsidRPr="00264A08">
        <w:rPr>
          <w:lang w:val="fr-FR"/>
        </w:rPr>
        <w:t>, que ce pays poursuit ses efforts d</w:t>
      </w:r>
      <w:r w:rsidR="00551CEE">
        <w:rPr>
          <w:lang w:val="fr-FR"/>
        </w:rPr>
        <w:t>’</w:t>
      </w:r>
      <w:r w:rsidR="00682220">
        <w:rPr>
          <w:lang w:val="fr-FR"/>
        </w:rPr>
        <w:t>examen</w:t>
      </w:r>
      <w:r w:rsidRPr="00264A08">
        <w:rPr>
          <w:lang w:val="fr-FR"/>
        </w:rPr>
        <w:t xml:space="preserve"> des lois sur les SAO afin d</w:t>
      </w:r>
      <w:r w:rsidR="00551CEE">
        <w:rPr>
          <w:lang w:val="fr-FR"/>
        </w:rPr>
        <w:t>’</w:t>
      </w:r>
      <w:r w:rsidRPr="00264A08">
        <w:rPr>
          <w:lang w:val="fr-FR"/>
        </w:rPr>
        <w:t>y inclure les HFC et les mélanges de HFC, qu</w:t>
      </w:r>
      <w:r w:rsidR="00551CEE">
        <w:rPr>
          <w:lang w:val="fr-FR"/>
        </w:rPr>
        <w:t>’</w:t>
      </w:r>
      <w:r w:rsidRPr="00264A08">
        <w:rPr>
          <w:lang w:val="fr-FR"/>
        </w:rPr>
        <w:t xml:space="preserve">il a mis en œuvre le renforcement des capacités pour les </w:t>
      </w:r>
      <w:r w:rsidR="00682220">
        <w:rPr>
          <w:lang w:val="fr-FR"/>
        </w:rPr>
        <w:t xml:space="preserve">agents des </w:t>
      </w:r>
      <w:r w:rsidRPr="00264A08">
        <w:rPr>
          <w:lang w:val="fr-FR"/>
        </w:rPr>
        <w:t>douanes et les techniciens spécialistes de la réfrigération et de la climatisation, qu</w:t>
      </w:r>
      <w:r w:rsidR="00551CEE">
        <w:rPr>
          <w:lang w:val="fr-FR"/>
        </w:rPr>
        <w:t>’</w:t>
      </w:r>
      <w:r w:rsidRPr="00264A08">
        <w:rPr>
          <w:lang w:val="fr-FR"/>
        </w:rPr>
        <w:t>il organisé des inspections afin de s</w:t>
      </w:r>
      <w:r w:rsidR="00551CEE">
        <w:rPr>
          <w:lang w:val="fr-FR"/>
        </w:rPr>
        <w:t>’</w:t>
      </w:r>
      <w:r w:rsidRPr="00264A08">
        <w:rPr>
          <w:lang w:val="fr-FR"/>
        </w:rPr>
        <w:t>assurer de la conformité aux réglementations, et a organisé des activités d</w:t>
      </w:r>
      <w:r w:rsidR="00551CEE">
        <w:rPr>
          <w:lang w:val="fr-FR"/>
        </w:rPr>
        <w:t>’</w:t>
      </w:r>
      <w:r w:rsidRPr="00264A08">
        <w:rPr>
          <w:lang w:val="fr-FR"/>
        </w:rPr>
        <w:t>information et de sensibilisation.</w:t>
      </w:r>
      <w:r w:rsidRPr="000F13C8">
        <w:rPr>
          <w:lang w:val="fr-CA"/>
        </w:rPr>
        <w:t xml:space="preserve"> </w:t>
      </w:r>
      <w:r w:rsidRPr="00264A08">
        <w:rPr>
          <w:lang w:val="fr-FR"/>
        </w:rPr>
        <w:t xml:space="preserve">Le </w:t>
      </w:r>
      <w:r w:rsidR="001D3518">
        <w:rPr>
          <w:lang w:val="fr-FR"/>
        </w:rPr>
        <w:t>Comité exécutif</w:t>
      </w:r>
      <w:r w:rsidRPr="00264A08">
        <w:rPr>
          <w:lang w:val="fr-FR"/>
        </w:rPr>
        <w:t xml:space="preserve"> a donc toute confiance que le gouvernement de Fidji continuera à mettre en œuvre des activités permettant au pays de se conformer à ses obligations en vertu du Protocole de Montréal.</w:t>
      </w:r>
      <w:r w:rsidRPr="000F13C8">
        <w:rPr>
          <w:lang w:val="fr-CA"/>
        </w:rPr>
        <w:t xml:space="preserve"> </w:t>
      </w:r>
      <w:r w:rsidRPr="00264A08">
        <w:rPr>
          <w:lang w:val="fr-FR"/>
        </w:rPr>
        <w:t>Le Comité a également pris note avec satisfaction de la ratification de l</w:t>
      </w:r>
      <w:r w:rsidR="00551CEE">
        <w:rPr>
          <w:lang w:val="fr-FR"/>
        </w:rPr>
        <w:t>’</w:t>
      </w:r>
      <w:r w:rsidRPr="00264A08">
        <w:rPr>
          <w:lang w:val="fr-FR"/>
        </w:rPr>
        <w:t xml:space="preserve">Amendement de Kigali par Fidji le 16 juillet 2020 et des mesures prises pour respecter les obligations initiales en vertu de </w:t>
      </w:r>
      <w:r w:rsidR="001D3518">
        <w:rPr>
          <w:lang w:val="fr-FR"/>
        </w:rPr>
        <w:t xml:space="preserve">cet </w:t>
      </w:r>
      <w:r w:rsidRPr="00264A08">
        <w:rPr>
          <w:lang w:val="fr-FR"/>
        </w:rPr>
        <w:t>Amendement.</w:t>
      </w:r>
    </w:p>
    <w:p w14:paraId="4E381C09" w14:textId="3DE5F2B6" w:rsidR="00776C36" w:rsidRPr="00264A08" w:rsidRDefault="00264A08" w:rsidP="00264A08">
      <w:pPr>
        <w:spacing w:after="120"/>
        <w:jc w:val="left"/>
        <w:rPr>
          <w:b/>
          <w:color w:val="000000" w:themeColor="text1"/>
        </w:rPr>
      </w:pPr>
      <w:r w:rsidRPr="00264A08">
        <w:rPr>
          <w:b/>
          <w:color w:val="000000" w:themeColor="text1"/>
          <w:lang w:val="fr-FR"/>
        </w:rPr>
        <w:t>Kenya</w:t>
      </w:r>
    </w:p>
    <w:p w14:paraId="1A410CB7" w14:textId="57AC0535" w:rsidR="00C81D26" w:rsidRPr="000F13C8" w:rsidRDefault="00264A08" w:rsidP="00C81D26">
      <w:pPr>
        <w:pStyle w:val="Heading1"/>
        <w:tabs>
          <w:tab w:val="clear" w:pos="90"/>
          <w:tab w:val="num" w:pos="0"/>
        </w:tabs>
        <w:ind w:left="0"/>
        <w:rPr>
          <w:lang w:val="fr-CA"/>
        </w:rPr>
      </w:pPr>
      <w:r w:rsidRPr="00264A08">
        <w:rPr>
          <w:lang w:val="fr-FR"/>
        </w:rPr>
        <w:t>Le Comité exécutif</w:t>
      </w:r>
      <w:r w:rsidR="00551CEE">
        <w:rPr>
          <w:lang w:val="fr-FR"/>
        </w:rPr>
        <w:t xml:space="preserve"> </w:t>
      </w:r>
      <w:r w:rsidRPr="00264A08">
        <w:rPr>
          <w:lang w:val="fr-FR"/>
        </w:rPr>
        <w:t>a examiné le rapport accompagnant la demande concernant le renouvellement du projet de renforcement des institutions pour le Kenya (phase XII) et a pris note avec satisfaction que ce pays a soumis pour les années 2018 et 2019 les</w:t>
      </w:r>
      <w:r w:rsidR="00551CEE">
        <w:rPr>
          <w:lang w:val="fr-FR"/>
        </w:rPr>
        <w:t xml:space="preserve"> </w:t>
      </w:r>
      <w:r w:rsidRPr="00264A08">
        <w:rPr>
          <w:lang w:val="fr-FR"/>
        </w:rPr>
        <w:t>données du programme de pays au Secrétariat du Fonds ainsi que les données transmises au titre de l</w:t>
      </w:r>
      <w:r w:rsidR="00551CEE">
        <w:rPr>
          <w:lang w:val="fr-FR"/>
        </w:rPr>
        <w:t>’</w:t>
      </w:r>
      <w:r w:rsidRPr="00264A08">
        <w:rPr>
          <w:lang w:val="fr-FR"/>
        </w:rPr>
        <w:t>article 7 du Protocole de Montréal au Secrétariat de l</w:t>
      </w:r>
      <w:r w:rsidR="00551CEE">
        <w:rPr>
          <w:lang w:val="fr-FR"/>
        </w:rPr>
        <w:t>’</w:t>
      </w:r>
      <w:r w:rsidR="00682220">
        <w:rPr>
          <w:lang w:val="fr-FR"/>
        </w:rPr>
        <w:t>O</w:t>
      </w:r>
      <w:r w:rsidRPr="00264A08">
        <w:rPr>
          <w:lang w:val="fr-FR"/>
        </w:rPr>
        <w:t>zone, indiquant que le pays est en conformité avec ses obligations en vertu du Protocole de Montréal.</w:t>
      </w:r>
      <w:r w:rsidRPr="000F13C8">
        <w:rPr>
          <w:lang w:val="fr-CA"/>
        </w:rPr>
        <w:t xml:space="preserve"> </w:t>
      </w:r>
      <w:r w:rsidR="00C81D26" w:rsidRPr="00C81D26">
        <w:rPr>
          <w:lang w:val="fr-FR"/>
        </w:rPr>
        <w:t>Le Comité a noté qu</w:t>
      </w:r>
      <w:r w:rsidR="00551CEE">
        <w:rPr>
          <w:lang w:val="fr-FR"/>
        </w:rPr>
        <w:t>’</w:t>
      </w:r>
      <w:r w:rsidR="00682220">
        <w:rPr>
          <w:lang w:val="fr-FR"/>
        </w:rPr>
        <w:t xml:space="preserve">au </w:t>
      </w:r>
      <w:r w:rsidR="00682220" w:rsidRPr="00C81D26">
        <w:rPr>
          <w:lang w:val="fr-FR"/>
        </w:rPr>
        <w:t xml:space="preserve">cours de la période </w:t>
      </w:r>
      <w:r w:rsidR="00682220">
        <w:rPr>
          <w:lang w:val="fr-FR"/>
        </w:rPr>
        <w:t>sur laquelle porte la</w:t>
      </w:r>
      <w:r w:rsidR="00682220" w:rsidRPr="00C81D26">
        <w:rPr>
          <w:lang w:val="fr-FR"/>
        </w:rPr>
        <w:t xml:space="preserve"> communication des données</w:t>
      </w:r>
      <w:r w:rsidR="00682220">
        <w:rPr>
          <w:lang w:val="fr-FR"/>
        </w:rPr>
        <w:t>,</w:t>
      </w:r>
      <w:r w:rsidR="00C81D26" w:rsidRPr="00C81D26">
        <w:rPr>
          <w:lang w:val="fr-FR"/>
        </w:rPr>
        <w:t xml:space="preserve"> le Kenya</w:t>
      </w:r>
      <w:r w:rsidR="001D3518">
        <w:rPr>
          <w:lang w:val="fr-FR"/>
        </w:rPr>
        <w:t xml:space="preserve"> a</w:t>
      </w:r>
      <w:r w:rsidR="00C81D26" w:rsidRPr="00C81D26">
        <w:rPr>
          <w:lang w:val="fr-FR"/>
        </w:rPr>
        <w:t xml:space="preserve"> pris des mesures afin d</w:t>
      </w:r>
      <w:r w:rsidR="00551CEE">
        <w:rPr>
          <w:lang w:val="fr-FR"/>
        </w:rPr>
        <w:t>’</w:t>
      </w:r>
      <w:r w:rsidR="00C81D26" w:rsidRPr="00C81D26">
        <w:rPr>
          <w:lang w:val="fr-FR"/>
        </w:rPr>
        <w:t xml:space="preserve">éliminer sa consommation de SAO, notamment le pays a assuré la mise en </w:t>
      </w:r>
      <w:r w:rsidR="00074712">
        <w:rPr>
          <w:lang w:val="fr-FR"/>
        </w:rPr>
        <w:t xml:space="preserve">œuvre </w:t>
      </w:r>
      <w:r w:rsidR="00C81D26" w:rsidRPr="00C81D26">
        <w:rPr>
          <w:lang w:val="fr-FR"/>
        </w:rPr>
        <w:t>des réglementations sur les SAO au moyen de la mise en application du système d</w:t>
      </w:r>
      <w:r w:rsidR="00551CEE">
        <w:rPr>
          <w:lang w:val="fr-FR"/>
        </w:rPr>
        <w:t>’</w:t>
      </w:r>
      <w:r w:rsidR="00C81D26" w:rsidRPr="00C81D26">
        <w:rPr>
          <w:lang w:val="fr-FR"/>
        </w:rPr>
        <w:t>autorisations et de quotas concernant les</w:t>
      </w:r>
      <w:r w:rsidR="00551CEE">
        <w:rPr>
          <w:lang w:val="fr-FR"/>
        </w:rPr>
        <w:t xml:space="preserve"> </w:t>
      </w:r>
      <w:r w:rsidR="00C81D26" w:rsidRPr="00C81D26">
        <w:rPr>
          <w:lang w:val="fr-FR"/>
        </w:rPr>
        <w:t>HCFC, de la formation des techniciens aux bonnes pratiques de l</w:t>
      </w:r>
      <w:r w:rsidR="00551CEE">
        <w:rPr>
          <w:lang w:val="fr-FR"/>
        </w:rPr>
        <w:t>’</w:t>
      </w:r>
      <w:r w:rsidR="00C81D26" w:rsidRPr="00C81D26">
        <w:rPr>
          <w:lang w:val="fr-FR"/>
        </w:rPr>
        <w:t xml:space="preserve">entretien, et </w:t>
      </w:r>
      <w:r w:rsidR="001D3518">
        <w:rPr>
          <w:lang w:val="fr-FR"/>
        </w:rPr>
        <w:t>du</w:t>
      </w:r>
      <w:r w:rsidR="00C81D26" w:rsidRPr="00C81D26">
        <w:rPr>
          <w:lang w:val="fr-FR"/>
        </w:rPr>
        <w:t xml:space="preserve"> lancement de programmes de sensibilisation du public.</w:t>
      </w:r>
      <w:r w:rsidR="00C81D26" w:rsidRPr="000F13C8">
        <w:rPr>
          <w:lang w:val="fr-CA"/>
        </w:rPr>
        <w:t xml:space="preserve"> </w:t>
      </w:r>
      <w:r w:rsidR="00C81D26" w:rsidRPr="00C81D26">
        <w:rPr>
          <w:lang w:val="fr-FR"/>
        </w:rPr>
        <w:t xml:space="preserve">Le Comité exécutif a donc toute confiance que le gouvernement du Kenya continuera à mettre en œuvre des activités permettant au pays de se conformer </w:t>
      </w:r>
      <w:r w:rsidR="00682220">
        <w:rPr>
          <w:lang w:val="fr-FR"/>
        </w:rPr>
        <w:t xml:space="preserve">aux objectifs </w:t>
      </w:r>
      <w:r w:rsidR="00C81D26" w:rsidRPr="00C81D26">
        <w:rPr>
          <w:lang w:val="fr-FR"/>
        </w:rPr>
        <w:t>du Protocole de Montréal.</w:t>
      </w:r>
    </w:p>
    <w:p w14:paraId="46239FBB" w14:textId="1622F75E" w:rsidR="00776C36" w:rsidRPr="00074712" w:rsidRDefault="00074712" w:rsidP="00F8575D">
      <w:pPr>
        <w:keepNext/>
        <w:keepLines/>
        <w:spacing w:after="240"/>
        <w:rPr>
          <w:b/>
        </w:rPr>
      </w:pPr>
      <w:r w:rsidRPr="00074712">
        <w:rPr>
          <w:b/>
          <w:lang w:val="fr-FR"/>
        </w:rPr>
        <w:lastRenderedPageBreak/>
        <w:t>Kirghizistan</w:t>
      </w:r>
    </w:p>
    <w:p w14:paraId="61C3A4CA" w14:textId="66D98D7C" w:rsidR="00074712" w:rsidRPr="000F13C8" w:rsidRDefault="00074712" w:rsidP="00074712">
      <w:pPr>
        <w:pStyle w:val="Heading1"/>
        <w:tabs>
          <w:tab w:val="clear" w:pos="90"/>
          <w:tab w:val="num" w:pos="0"/>
        </w:tabs>
        <w:ind w:left="0"/>
        <w:rPr>
          <w:lang w:val="fr-CA"/>
        </w:rPr>
      </w:pPr>
      <w:r w:rsidRPr="00074712">
        <w:rPr>
          <w:lang w:val="fr-FR"/>
        </w:rPr>
        <w:t>Le Comité exécutif</w:t>
      </w:r>
      <w:r w:rsidR="00551CEE">
        <w:rPr>
          <w:lang w:val="fr-FR"/>
        </w:rPr>
        <w:t xml:space="preserve"> </w:t>
      </w:r>
      <w:r w:rsidRPr="00074712">
        <w:rPr>
          <w:lang w:val="fr-FR"/>
        </w:rPr>
        <w:t xml:space="preserve">a examiné le rapport accompagnant la demande concernant le renouvellement du projet de renforcement des institutions pour le Kirghizistan (phase IX) et a pris note avec satisfaction que ce pays a soumis pour </w:t>
      </w:r>
      <w:r>
        <w:rPr>
          <w:lang w:val="fr-FR"/>
        </w:rPr>
        <w:t>l</w:t>
      </w:r>
      <w:r w:rsidR="00551CEE">
        <w:rPr>
          <w:lang w:val="fr-FR"/>
        </w:rPr>
        <w:t>’</w:t>
      </w:r>
      <w:r>
        <w:rPr>
          <w:lang w:val="fr-FR"/>
        </w:rPr>
        <w:t xml:space="preserve">année </w:t>
      </w:r>
      <w:r w:rsidRPr="00074712">
        <w:rPr>
          <w:lang w:val="fr-FR"/>
        </w:rPr>
        <w:t>2019 les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00682220">
        <w:rPr>
          <w:lang w:val="fr-FR"/>
        </w:rPr>
        <w:t>O</w:t>
      </w:r>
      <w:r w:rsidRPr="00074712">
        <w:rPr>
          <w:lang w:val="fr-FR"/>
        </w:rPr>
        <w:t>zone, indiquant que le pays est en conformité avec ses obligations en vertu du Protocole de Montréal.</w:t>
      </w:r>
      <w:r w:rsidRPr="000F13C8">
        <w:rPr>
          <w:lang w:val="fr-CA"/>
        </w:rPr>
        <w:t xml:space="preserve"> </w:t>
      </w:r>
      <w:r w:rsidRPr="00074712">
        <w:rPr>
          <w:lang w:val="fr-FR"/>
        </w:rPr>
        <w:t>Le Comité exécutif a donc toute confiance dans le fait que le Kirghizistan continuera avec succès la mise en œuvre de la phase II du PGEH pour réaliser de façon durable l</w:t>
      </w:r>
      <w:r w:rsidR="00551CEE">
        <w:rPr>
          <w:lang w:val="fr-FR"/>
        </w:rPr>
        <w:t>’</w:t>
      </w:r>
      <w:r w:rsidRPr="00074712">
        <w:rPr>
          <w:lang w:val="fr-FR"/>
        </w:rPr>
        <w:t>élimination intégrale des HCFC conformément à ce qui est stipulé dans l</w:t>
      </w:r>
      <w:r w:rsidR="00551CEE">
        <w:rPr>
          <w:lang w:val="fr-FR"/>
        </w:rPr>
        <w:t>’</w:t>
      </w:r>
      <w:r w:rsidRPr="00074712">
        <w:rPr>
          <w:lang w:val="fr-FR"/>
        </w:rPr>
        <w:t>accord conclu avec le Comité exécutif.</w:t>
      </w:r>
      <w:r w:rsidRPr="000F13C8">
        <w:rPr>
          <w:lang w:val="fr-CA"/>
        </w:rPr>
        <w:t xml:space="preserve"> </w:t>
      </w:r>
      <w:r w:rsidRPr="00074712">
        <w:rPr>
          <w:lang w:val="fr-FR"/>
        </w:rPr>
        <w:t>Le Comité a également pris note avec satisfaction de la ratification de l</w:t>
      </w:r>
      <w:r w:rsidR="00551CEE">
        <w:rPr>
          <w:lang w:val="fr-FR"/>
        </w:rPr>
        <w:t>’</w:t>
      </w:r>
      <w:r w:rsidRPr="00074712">
        <w:rPr>
          <w:lang w:val="fr-FR"/>
        </w:rPr>
        <w:t xml:space="preserve">Amendement de Kigali par le Kirghizistan le 8 septembre 2020 et des mesures prises pour respecter les obligations initiales en vertu de </w:t>
      </w:r>
      <w:r w:rsidR="001D3518">
        <w:rPr>
          <w:lang w:val="fr-FR"/>
        </w:rPr>
        <w:t xml:space="preserve">cet </w:t>
      </w:r>
      <w:r w:rsidRPr="00074712">
        <w:rPr>
          <w:lang w:val="fr-FR"/>
        </w:rPr>
        <w:t>Amendement, notamment le commencement de la préparation d</w:t>
      </w:r>
      <w:r w:rsidR="00551CEE">
        <w:rPr>
          <w:lang w:val="fr-FR"/>
        </w:rPr>
        <w:t>’</w:t>
      </w:r>
      <w:r w:rsidRPr="00074712">
        <w:rPr>
          <w:lang w:val="fr-FR"/>
        </w:rPr>
        <w:t>une stratégie de réduction progressive des HFC.</w:t>
      </w:r>
    </w:p>
    <w:p w14:paraId="120C7DDB" w14:textId="78EB471D" w:rsidR="00776C36" w:rsidRPr="00074712" w:rsidRDefault="00074712" w:rsidP="00074712">
      <w:pPr>
        <w:pStyle w:val="Heading1"/>
        <w:numPr>
          <w:ilvl w:val="0"/>
          <w:numId w:val="0"/>
        </w:numPr>
        <w:spacing w:after="120"/>
        <w:rPr>
          <w:b/>
        </w:rPr>
      </w:pPr>
      <w:r w:rsidRPr="00074712">
        <w:rPr>
          <w:b/>
          <w:lang w:val="fr-FR"/>
        </w:rPr>
        <w:t>Mauritanie</w:t>
      </w:r>
    </w:p>
    <w:p w14:paraId="15091583" w14:textId="757278FE" w:rsidR="00074712" w:rsidRPr="000F13C8" w:rsidRDefault="00074712" w:rsidP="00074712">
      <w:pPr>
        <w:pStyle w:val="Heading1"/>
        <w:tabs>
          <w:tab w:val="clear" w:pos="90"/>
          <w:tab w:val="num" w:pos="0"/>
        </w:tabs>
        <w:ind w:left="0"/>
        <w:rPr>
          <w:lang w:val="fr-CA"/>
        </w:rPr>
      </w:pPr>
      <w:r w:rsidRPr="00074712">
        <w:rPr>
          <w:lang w:val="fr-FR"/>
        </w:rPr>
        <w:t>Le Comité exécutif</w:t>
      </w:r>
      <w:r w:rsidR="00551CEE">
        <w:rPr>
          <w:lang w:val="fr-FR"/>
        </w:rPr>
        <w:t xml:space="preserve"> </w:t>
      </w:r>
      <w:r w:rsidRPr="00074712">
        <w:rPr>
          <w:lang w:val="fr-FR"/>
        </w:rPr>
        <w:t>a examiné le rapport accompagnant la demande concernant le renouvellement du projet de renforcement des institutions pour la Mauritanie (</w:t>
      </w:r>
      <w:r>
        <w:rPr>
          <w:lang w:val="fr-FR"/>
        </w:rPr>
        <w:t>p</w:t>
      </w:r>
      <w:r w:rsidRPr="00074712">
        <w:rPr>
          <w:lang w:val="fr-FR"/>
        </w:rPr>
        <w:t>hase VII) et a pris note avec satisfaction que ce pays a soumis pour l</w:t>
      </w:r>
      <w:r w:rsidR="00551CEE">
        <w:rPr>
          <w:lang w:val="fr-FR"/>
        </w:rPr>
        <w:t>’</w:t>
      </w:r>
      <w:r w:rsidRPr="00074712">
        <w:rPr>
          <w:lang w:val="fr-FR"/>
        </w:rPr>
        <w:t xml:space="preserve">année </w:t>
      </w:r>
      <w:r w:rsidR="007F1E29">
        <w:rPr>
          <w:lang w:val="fr-FR"/>
        </w:rPr>
        <w:t xml:space="preserve">2019 </w:t>
      </w:r>
      <w:r w:rsidRPr="00074712">
        <w:rPr>
          <w:lang w:val="fr-FR"/>
        </w:rPr>
        <w:t>les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Le Comité a également noté que la Mauritanie a pris des mesures pour éliminer la consommation de HCFC au moyen de la mise en application d</w:t>
      </w:r>
      <w:r w:rsidR="00551CEE">
        <w:rPr>
          <w:lang w:val="fr-FR"/>
        </w:rPr>
        <w:t>’</w:t>
      </w:r>
      <w:r w:rsidRPr="00074712">
        <w:rPr>
          <w:lang w:val="fr-FR"/>
        </w:rPr>
        <w:t>un système opérationnel d</w:t>
      </w:r>
      <w:r w:rsidR="00551CEE">
        <w:rPr>
          <w:lang w:val="fr-FR"/>
        </w:rPr>
        <w:t>’</w:t>
      </w:r>
      <w:r w:rsidRPr="00074712">
        <w:rPr>
          <w:lang w:val="fr-FR"/>
        </w:rPr>
        <w:t>autorisations et de quotas, et il a donc bon espoir qu</w:t>
      </w:r>
      <w:r w:rsidR="00551CEE">
        <w:rPr>
          <w:lang w:val="fr-FR"/>
        </w:rPr>
        <w:t>’</w:t>
      </w:r>
      <w:r w:rsidRPr="00074712">
        <w:rPr>
          <w:lang w:val="fr-FR"/>
        </w:rPr>
        <w:t>au cours des deux prochaines années la</w:t>
      </w:r>
      <w:r w:rsidR="00551CEE">
        <w:rPr>
          <w:lang w:val="fr-FR"/>
        </w:rPr>
        <w:t xml:space="preserve"> </w:t>
      </w:r>
      <w:r w:rsidRPr="00074712">
        <w:rPr>
          <w:lang w:val="fr-FR"/>
        </w:rPr>
        <w:t xml:space="preserve">Mauritanie poursuivra </w:t>
      </w:r>
      <w:r w:rsidRPr="00074712">
        <w:rPr>
          <w:color w:val="000000"/>
          <w:kern w:val="36"/>
          <w:lang w:val="fr-FR"/>
        </w:rPr>
        <w:t xml:space="preserve">la mise en œuvre de son </w:t>
      </w:r>
      <w:r w:rsidRPr="00074712">
        <w:rPr>
          <w:lang w:val="fr-FR"/>
        </w:rPr>
        <w:t>plan de gestion de l</w:t>
      </w:r>
      <w:r w:rsidR="00551CEE">
        <w:rPr>
          <w:lang w:val="fr-FR"/>
        </w:rPr>
        <w:t>’</w:t>
      </w:r>
      <w:r w:rsidRPr="00074712">
        <w:rPr>
          <w:lang w:val="fr-FR"/>
        </w:rPr>
        <w:t xml:space="preserve">élimination des HCFC </w:t>
      </w:r>
      <w:r w:rsidRPr="00074712">
        <w:rPr>
          <w:color w:val="000000"/>
          <w:kern w:val="36"/>
          <w:lang w:val="fr-FR"/>
        </w:rPr>
        <w:t xml:space="preserve">et son projet de renforcement des institutions </w:t>
      </w:r>
      <w:r w:rsidR="007F1E29">
        <w:rPr>
          <w:color w:val="000000"/>
          <w:kern w:val="36"/>
          <w:lang w:val="fr-FR"/>
        </w:rPr>
        <w:t>afin d</w:t>
      </w:r>
      <w:r w:rsidR="00551CEE">
        <w:rPr>
          <w:color w:val="000000"/>
          <w:kern w:val="36"/>
          <w:lang w:val="fr-FR"/>
        </w:rPr>
        <w:t>’</w:t>
      </w:r>
      <w:r w:rsidR="007F1E29">
        <w:rPr>
          <w:color w:val="000000"/>
          <w:kern w:val="36"/>
          <w:lang w:val="fr-FR"/>
        </w:rPr>
        <w:t xml:space="preserve">assurer </w:t>
      </w:r>
      <w:r w:rsidRPr="00074712">
        <w:rPr>
          <w:color w:val="000000"/>
          <w:kern w:val="36"/>
          <w:lang w:val="fr-FR"/>
        </w:rPr>
        <w:t>de manière durable</w:t>
      </w:r>
      <w:r w:rsidRPr="00074712">
        <w:rPr>
          <w:lang w:val="fr-FR"/>
        </w:rPr>
        <w:t xml:space="preserve"> la conformité avec ses obligations en vertu du Protocole de Montréal.</w:t>
      </w:r>
      <w:r w:rsidRPr="000F13C8">
        <w:rPr>
          <w:lang w:val="fr-CA"/>
        </w:rPr>
        <w:t xml:space="preserve"> </w:t>
      </w:r>
    </w:p>
    <w:p w14:paraId="6327C579" w14:textId="151037DF" w:rsidR="00776C36" w:rsidRPr="00074712" w:rsidRDefault="00074712" w:rsidP="00074712">
      <w:pPr>
        <w:pStyle w:val="Heading1"/>
        <w:numPr>
          <w:ilvl w:val="0"/>
          <w:numId w:val="0"/>
        </w:numPr>
        <w:spacing w:after="120"/>
        <w:rPr>
          <w:b/>
        </w:rPr>
      </w:pPr>
      <w:r w:rsidRPr="00074712">
        <w:rPr>
          <w:b/>
          <w:lang w:val="fr-FR"/>
        </w:rPr>
        <w:t>Nauru</w:t>
      </w:r>
    </w:p>
    <w:p w14:paraId="2F079662" w14:textId="238479A7" w:rsidR="00074712" w:rsidRPr="000F13C8" w:rsidRDefault="00074712" w:rsidP="00074712">
      <w:pPr>
        <w:pStyle w:val="Heading1"/>
        <w:tabs>
          <w:tab w:val="clear" w:pos="90"/>
          <w:tab w:val="num" w:pos="0"/>
        </w:tabs>
        <w:ind w:left="0"/>
        <w:rPr>
          <w:lang w:val="fr-CA"/>
        </w:rPr>
      </w:pPr>
      <w:r w:rsidRPr="00074712">
        <w:rPr>
          <w:lang w:val="fr-FR"/>
        </w:rPr>
        <w:t>Le Comité exécutif</w:t>
      </w:r>
      <w:r w:rsidR="00551CEE">
        <w:rPr>
          <w:lang w:val="fr-FR"/>
        </w:rPr>
        <w:t xml:space="preserve"> </w:t>
      </w:r>
      <w:r w:rsidRPr="00074712">
        <w:rPr>
          <w:lang w:val="fr-FR"/>
        </w:rPr>
        <w:t xml:space="preserve">a examiné le rapport accompagnant la demande concernant le renouvellement du projet de renforcement des institutions pour Nauru (phase VI) et a pris note avec satisfaction que ce pays a soumis </w:t>
      </w:r>
      <w:r w:rsidR="001D3518">
        <w:rPr>
          <w:lang w:val="fr-FR"/>
        </w:rPr>
        <w:t>l</w:t>
      </w:r>
      <w:r w:rsidRPr="00074712">
        <w:rPr>
          <w:lang w:val="fr-FR"/>
        </w:rPr>
        <w:t>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Le Comité a constaté qu</w:t>
      </w:r>
      <w:r w:rsidR="00551CEE">
        <w:rPr>
          <w:lang w:val="fr-FR"/>
        </w:rPr>
        <w:t>’</w:t>
      </w:r>
      <w:r w:rsidRPr="00074712">
        <w:rPr>
          <w:lang w:val="fr-FR"/>
        </w:rPr>
        <w:t>en dépit des retards de mise en œuvre de la phase V, Nauru a pris des mesures pour assurer la durabilité de l</w:t>
      </w:r>
      <w:r w:rsidR="00551CEE">
        <w:rPr>
          <w:lang w:val="fr-FR"/>
        </w:rPr>
        <w:t>’</w:t>
      </w:r>
      <w:r w:rsidRPr="00074712">
        <w:rPr>
          <w:lang w:val="fr-FR"/>
        </w:rPr>
        <w:t>élimination des SAO réalisée en mettant en place la loi sur la protection de la couche d</w:t>
      </w:r>
      <w:r w:rsidR="00551CEE">
        <w:rPr>
          <w:lang w:val="fr-FR"/>
        </w:rPr>
        <w:t>’</w:t>
      </w:r>
      <w:r w:rsidRPr="00074712">
        <w:rPr>
          <w:lang w:val="fr-FR"/>
        </w:rPr>
        <w:t>ozone de 2017 et en préparant les réglementations subsidiaires.</w:t>
      </w:r>
      <w:r w:rsidRPr="000F13C8">
        <w:rPr>
          <w:lang w:val="fr-CA"/>
        </w:rPr>
        <w:t xml:space="preserve"> </w:t>
      </w:r>
      <w:r w:rsidRPr="00074712">
        <w:rPr>
          <w:lang w:val="fr-FR"/>
        </w:rPr>
        <w:t>Le Comité est conscient des efforts déployés par Nauru pour réduire la consommation de HCFC et se préparer à la réduction progressive des HFC</w:t>
      </w:r>
      <w:r w:rsidR="001D3518">
        <w:rPr>
          <w:lang w:val="fr-FR"/>
        </w:rPr>
        <w:t>,</w:t>
      </w:r>
      <w:r w:rsidRPr="00074712">
        <w:rPr>
          <w:lang w:val="fr-FR"/>
        </w:rPr>
        <w:t xml:space="preserve"> et a donc toute confiance qu</w:t>
      </w:r>
      <w:r w:rsidR="00551CEE">
        <w:rPr>
          <w:lang w:val="fr-FR"/>
        </w:rPr>
        <w:t>’</w:t>
      </w:r>
      <w:r w:rsidRPr="00074712">
        <w:rPr>
          <w:lang w:val="fr-FR"/>
        </w:rPr>
        <w:t xml:space="preserve">au cours des deux prochaines années Nauru poursuivra </w:t>
      </w:r>
      <w:r w:rsidRPr="00074712">
        <w:rPr>
          <w:color w:val="000000"/>
          <w:kern w:val="36"/>
          <w:lang w:val="fr-FR"/>
        </w:rPr>
        <w:t xml:space="preserve">la mise en œuvre efficace des phases I et II de son PGEH, </w:t>
      </w:r>
      <w:r w:rsidR="007F1E29">
        <w:rPr>
          <w:color w:val="000000"/>
          <w:kern w:val="36"/>
          <w:lang w:val="fr-FR"/>
        </w:rPr>
        <w:t>l</w:t>
      </w:r>
      <w:r w:rsidRPr="00074712">
        <w:rPr>
          <w:color w:val="000000"/>
          <w:kern w:val="36"/>
          <w:lang w:val="fr-FR"/>
        </w:rPr>
        <w:t xml:space="preserve">es activités de facilitation pour la réduction progressive des HFC ainsi que </w:t>
      </w:r>
      <w:r w:rsidRPr="00074712">
        <w:rPr>
          <w:lang w:val="fr-FR"/>
        </w:rPr>
        <w:t xml:space="preserve">le projet de renforcement des institutions pour permettre au pays de respecter de façon durable les objectifs du Protocole </w:t>
      </w:r>
      <w:r w:rsidR="007F1E29">
        <w:rPr>
          <w:lang w:val="fr-FR"/>
        </w:rPr>
        <w:t>d</w:t>
      </w:r>
      <w:r w:rsidRPr="00074712">
        <w:rPr>
          <w:lang w:val="fr-FR"/>
        </w:rPr>
        <w:t>e Montréal et de ratifier dans un futur proche</w:t>
      </w:r>
      <w:r w:rsidR="007F1E29">
        <w:rPr>
          <w:lang w:val="fr-FR"/>
        </w:rPr>
        <w:t xml:space="preserve"> </w:t>
      </w:r>
      <w:r w:rsidR="007F1E29" w:rsidRPr="00074712">
        <w:rPr>
          <w:lang w:val="fr-FR"/>
        </w:rPr>
        <w:t>l</w:t>
      </w:r>
      <w:r w:rsidR="00551CEE">
        <w:rPr>
          <w:lang w:val="fr-FR"/>
        </w:rPr>
        <w:t>’</w:t>
      </w:r>
      <w:r w:rsidR="007F1E29" w:rsidRPr="00074712">
        <w:rPr>
          <w:lang w:val="fr-FR"/>
        </w:rPr>
        <w:t>Amendement de Kigali</w:t>
      </w:r>
      <w:r w:rsidRPr="00074712">
        <w:rPr>
          <w:lang w:val="fr-FR"/>
        </w:rPr>
        <w:t>.</w:t>
      </w:r>
    </w:p>
    <w:p w14:paraId="416A537F" w14:textId="575E99A4" w:rsidR="00776C36" w:rsidRPr="00074712" w:rsidRDefault="00074712" w:rsidP="00074712">
      <w:pPr>
        <w:pStyle w:val="Heading1"/>
        <w:numPr>
          <w:ilvl w:val="0"/>
          <w:numId w:val="0"/>
        </w:numPr>
        <w:spacing w:after="120"/>
        <w:rPr>
          <w:b/>
        </w:rPr>
      </w:pPr>
      <w:r w:rsidRPr="00074712">
        <w:rPr>
          <w:b/>
          <w:lang w:val="fr-FR"/>
        </w:rPr>
        <w:t>Nicaragua</w:t>
      </w:r>
    </w:p>
    <w:p w14:paraId="5EBE184E" w14:textId="1775A073" w:rsidR="00074712" w:rsidRPr="000F13C8" w:rsidRDefault="00074712" w:rsidP="00074712">
      <w:pPr>
        <w:pStyle w:val="Heading1"/>
        <w:tabs>
          <w:tab w:val="clear" w:pos="90"/>
          <w:tab w:val="num" w:pos="0"/>
        </w:tabs>
        <w:ind w:left="0"/>
        <w:rPr>
          <w:lang w:val="fr-CA"/>
        </w:rPr>
      </w:pPr>
      <w:r w:rsidRPr="00074712">
        <w:rPr>
          <w:lang w:val="fr-FR"/>
        </w:rPr>
        <w:t xml:space="preserve">Le Comité exécutif a examiné le rapport accompagnant la demande concernant le renouvellement du projet de renforcement des institutions pour le Nicaragua (phase IX) et a pris note avec satisfaction que ce pays a soumis </w:t>
      </w:r>
      <w:r w:rsidR="001D3518">
        <w:rPr>
          <w:lang w:val="fr-FR"/>
        </w:rPr>
        <w:t>l</w:t>
      </w:r>
      <w:r w:rsidRPr="00074712">
        <w:rPr>
          <w:lang w:val="fr-FR"/>
        </w:rPr>
        <w:t>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Le Comité a également observé qu</w:t>
      </w:r>
      <w:r w:rsidR="00551CEE">
        <w:rPr>
          <w:lang w:val="fr-FR"/>
        </w:rPr>
        <w:t>’</w:t>
      </w:r>
      <w:r w:rsidRPr="00074712">
        <w:rPr>
          <w:lang w:val="fr-FR"/>
        </w:rPr>
        <w:t>un système d</w:t>
      </w:r>
      <w:r w:rsidR="00551CEE">
        <w:rPr>
          <w:lang w:val="fr-FR"/>
        </w:rPr>
        <w:t>’</w:t>
      </w:r>
      <w:r w:rsidRPr="00074712">
        <w:rPr>
          <w:lang w:val="fr-FR"/>
        </w:rPr>
        <w:t xml:space="preserve">autorisations et de quotas pour les importations/exportations est en place et que le pays a formé </w:t>
      </w:r>
      <w:r w:rsidR="007F1E29">
        <w:rPr>
          <w:lang w:val="fr-FR"/>
        </w:rPr>
        <w:t xml:space="preserve">des </w:t>
      </w:r>
      <w:r w:rsidRPr="00074712">
        <w:rPr>
          <w:lang w:val="fr-FR"/>
        </w:rPr>
        <w:t xml:space="preserve">techniciens frigoristes et </w:t>
      </w:r>
      <w:r w:rsidR="007F1E29">
        <w:rPr>
          <w:lang w:val="fr-FR"/>
        </w:rPr>
        <w:t>d</w:t>
      </w:r>
      <w:r w:rsidRPr="00074712">
        <w:rPr>
          <w:lang w:val="fr-FR"/>
        </w:rPr>
        <w:t>es agents des douanes à la prévention du commerce illégal des SAO, qu</w:t>
      </w:r>
      <w:r w:rsidR="00551CEE">
        <w:rPr>
          <w:lang w:val="fr-FR"/>
        </w:rPr>
        <w:t>’</w:t>
      </w:r>
      <w:r w:rsidRPr="00074712">
        <w:rPr>
          <w:lang w:val="fr-FR"/>
        </w:rPr>
        <w:t xml:space="preserve">il a organisé des réunions de consultation avec </w:t>
      </w:r>
      <w:r w:rsidR="007F1E29">
        <w:rPr>
          <w:lang w:val="fr-FR"/>
        </w:rPr>
        <w:t xml:space="preserve">les </w:t>
      </w:r>
      <w:r w:rsidRPr="00074712">
        <w:rPr>
          <w:lang w:val="fr-FR"/>
        </w:rPr>
        <w:t xml:space="preserve">parties prenantes et le </w:t>
      </w:r>
      <w:r w:rsidR="001D3518">
        <w:rPr>
          <w:lang w:val="fr-FR"/>
        </w:rPr>
        <w:t>c</w:t>
      </w:r>
      <w:r w:rsidRPr="00074712">
        <w:rPr>
          <w:lang w:val="fr-FR"/>
        </w:rPr>
        <w:t>omité directeur, qu</w:t>
      </w:r>
      <w:r w:rsidR="00551CEE">
        <w:rPr>
          <w:lang w:val="fr-FR"/>
        </w:rPr>
        <w:t>’</w:t>
      </w:r>
      <w:r w:rsidRPr="00074712">
        <w:rPr>
          <w:lang w:val="fr-FR"/>
        </w:rPr>
        <w:t>il a sensibilisé le public à la protection de la couche d</w:t>
      </w:r>
      <w:r w:rsidR="00551CEE">
        <w:rPr>
          <w:lang w:val="fr-FR"/>
        </w:rPr>
        <w:t>’</w:t>
      </w:r>
      <w:r w:rsidRPr="00074712">
        <w:rPr>
          <w:lang w:val="fr-FR"/>
        </w:rPr>
        <w:t>ozone et a poursuivi le processus de ratification de l</w:t>
      </w:r>
      <w:r w:rsidR="00551CEE">
        <w:rPr>
          <w:lang w:val="fr-FR"/>
        </w:rPr>
        <w:t>’</w:t>
      </w:r>
      <w:r w:rsidRPr="00074712">
        <w:rPr>
          <w:lang w:val="fr-FR"/>
        </w:rPr>
        <w:t>Amendement de Kigali.</w:t>
      </w:r>
      <w:r w:rsidRPr="000F13C8">
        <w:rPr>
          <w:lang w:val="fr-CA"/>
        </w:rPr>
        <w:t xml:space="preserve"> </w:t>
      </w:r>
      <w:r w:rsidRPr="00074712">
        <w:rPr>
          <w:lang w:val="fr-FR"/>
        </w:rPr>
        <w:t xml:space="preserve">Le Comité exécutif a donc toute confiance que le Nicaragua continuera à mettre </w:t>
      </w:r>
      <w:r w:rsidRPr="00074712">
        <w:rPr>
          <w:lang w:val="fr-FR"/>
        </w:rPr>
        <w:lastRenderedPageBreak/>
        <w:t>en œuvre son PGEH et le projet de renforcement des institutions dans les délais impartis et de manière efficace afin de permettre au pays de parvenir à l</w:t>
      </w:r>
      <w:r w:rsidR="00551CEE">
        <w:rPr>
          <w:lang w:val="fr-FR"/>
        </w:rPr>
        <w:t>’</w:t>
      </w:r>
      <w:r w:rsidRPr="00074712">
        <w:rPr>
          <w:lang w:val="fr-FR"/>
        </w:rPr>
        <w:t>objectif de réduction de 67,5 pour cent d</w:t>
      </w:r>
      <w:r w:rsidR="00551CEE">
        <w:rPr>
          <w:lang w:val="fr-FR"/>
        </w:rPr>
        <w:t>’</w:t>
      </w:r>
      <w:r w:rsidRPr="00074712">
        <w:rPr>
          <w:lang w:val="fr-FR"/>
        </w:rPr>
        <w:t>ici 1</w:t>
      </w:r>
      <w:r w:rsidRPr="00074712">
        <w:rPr>
          <w:vertAlign w:val="superscript"/>
          <w:lang w:val="fr-FR"/>
        </w:rPr>
        <w:t>er</w:t>
      </w:r>
      <w:r w:rsidRPr="00074712">
        <w:rPr>
          <w:lang w:val="fr-FR"/>
        </w:rPr>
        <w:t xml:space="preserve"> janvier 2025.</w:t>
      </w:r>
    </w:p>
    <w:p w14:paraId="78B01ED8" w14:textId="2D34CB18" w:rsidR="00776C36" w:rsidRPr="00074712" w:rsidRDefault="00074712" w:rsidP="00074712">
      <w:pPr>
        <w:pStyle w:val="Heading1"/>
        <w:numPr>
          <w:ilvl w:val="0"/>
          <w:numId w:val="0"/>
        </w:numPr>
        <w:spacing w:after="120"/>
        <w:rPr>
          <w:b/>
        </w:rPr>
      </w:pPr>
      <w:r w:rsidRPr="00074712">
        <w:rPr>
          <w:b/>
          <w:lang w:val="fr-FR"/>
        </w:rPr>
        <w:t>Sainte-Lucie</w:t>
      </w:r>
    </w:p>
    <w:p w14:paraId="68CA5084" w14:textId="4201BCD8" w:rsidR="00074712" w:rsidRPr="000F13C8" w:rsidRDefault="00074712" w:rsidP="00074712">
      <w:pPr>
        <w:pStyle w:val="Heading1"/>
        <w:tabs>
          <w:tab w:val="clear" w:pos="90"/>
          <w:tab w:val="num" w:pos="0"/>
        </w:tabs>
        <w:ind w:left="0"/>
        <w:rPr>
          <w:lang w:val="fr-CA"/>
        </w:rPr>
      </w:pPr>
      <w:r w:rsidRPr="00074712">
        <w:rPr>
          <w:lang w:val="fr-FR"/>
        </w:rPr>
        <w:t xml:space="preserve">Le Comité exécutif a examiné le rapport accompagnant la demande concernant le renouvellement du projet de renforcement des institutions pour Sainte-Lucie (phase XI) et a pris note avec satisfaction que ce pays a soumis </w:t>
      </w:r>
      <w:r w:rsidR="001D3518">
        <w:rPr>
          <w:lang w:val="fr-FR"/>
        </w:rPr>
        <w:t>l</w:t>
      </w:r>
      <w:r w:rsidRPr="00074712">
        <w:rPr>
          <w:lang w:val="fr-FR"/>
        </w:rPr>
        <w:t>es 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Le Comité a également noté que Sainte-Lucie avait un système opérationnel d</w:t>
      </w:r>
      <w:r w:rsidR="00551CEE">
        <w:rPr>
          <w:lang w:val="fr-FR"/>
        </w:rPr>
        <w:t>’</w:t>
      </w:r>
      <w:r w:rsidRPr="00074712">
        <w:rPr>
          <w:lang w:val="fr-FR"/>
        </w:rPr>
        <w:t>autorisations et de quotas, que son plan de gestion de l</w:t>
      </w:r>
      <w:r w:rsidR="00551CEE">
        <w:rPr>
          <w:lang w:val="fr-FR"/>
        </w:rPr>
        <w:t>’</w:t>
      </w:r>
      <w:r w:rsidRPr="00074712">
        <w:rPr>
          <w:lang w:val="fr-FR"/>
        </w:rPr>
        <w:t>élimination des HCFC (PGEH) est en train d</w:t>
      </w:r>
      <w:r w:rsidR="00551CEE">
        <w:rPr>
          <w:lang w:val="fr-FR"/>
        </w:rPr>
        <w:t>’</w:t>
      </w:r>
      <w:r w:rsidRPr="00074712">
        <w:rPr>
          <w:lang w:val="fr-FR"/>
        </w:rPr>
        <w:t>être efficacement mis en œuvre et intégré dans les processus de planification nationaux</w:t>
      </w:r>
      <w:r w:rsidR="001D3518">
        <w:rPr>
          <w:lang w:val="fr-FR"/>
        </w:rPr>
        <w:t>,</w:t>
      </w:r>
      <w:r w:rsidRPr="00074712">
        <w:rPr>
          <w:lang w:val="fr-FR"/>
        </w:rPr>
        <w:t xml:space="preserve"> et que le pays a pris des mesures pour démarrer la ratification de l</w:t>
      </w:r>
      <w:r w:rsidR="00551CEE">
        <w:rPr>
          <w:lang w:val="fr-FR"/>
        </w:rPr>
        <w:t>’</w:t>
      </w:r>
      <w:r w:rsidRPr="00074712">
        <w:rPr>
          <w:lang w:val="fr-FR"/>
        </w:rPr>
        <w:t>Amendement de Kigali.</w:t>
      </w:r>
      <w:r w:rsidRPr="000F13C8">
        <w:rPr>
          <w:lang w:val="fr-CA"/>
        </w:rPr>
        <w:t xml:space="preserve"> </w:t>
      </w:r>
      <w:r w:rsidRPr="00074712">
        <w:rPr>
          <w:lang w:val="fr-FR"/>
        </w:rPr>
        <w:t>Le Comité exécutif a donc toute confiance que le gouvernement de Sainte-Lucie continuera ses activités à la fois au niveau politique et au niveau du projet afin d</w:t>
      </w:r>
      <w:r w:rsidR="00551CEE">
        <w:rPr>
          <w:lang w:val="fr-FR"/>
        </w:rPr>
        <w:t>’</w:t>
      </w:r>
      <w:r w:rsidRPr="00074712">
        <w:rPr>
          <w:lang w:val="fr-FR"/>
        </w:rPr>
        <w:t>assurer que sa consommation annuelle de HCFC ne dépassera pas la consommation maximale admissible indiquée dans son accord de PGEH conclu avec le Comité exécutif, et que le pays ratifiera dans un futur proche</w:t>
      </w:r>
      <w:r w:rsidR="007F1E29">
        <w:rPr>
          <w:lang w:val="fr-FR"/>
        </w:rPr>
        <w:t xml:space="preserve"> </w:t>
      </w:r>
      <w:r w:rsidR="007F1E29" w:rsidRPr="00074712">
        <w:rPr>
          <w:lang w:val="fr-FR"/>
        </w:rPr>
        <w:t>l</w:t>
      </w:r>
      <w:r w:rsidR="00551CEE">
        <w:rPr>
          <w:lang w:val="fr-FR"/>
        </w:rPr>
        <w:t>’</w:t>
      </w:r>
      <w:r w:rsidR="007F1E29" w:rsidRPr="00074712">
        <w:rPr>
          <w:lang w:val="fr-FR"/>
        </w:rPr>
        <w:t xml:space="preserve">Amendement </w:t>
      </w:r>
      <w:r w:rsidR="007F1E29">
        <w:rPr>
          <w:lang w:val="fr-FR"/>
        </w:rPr>
        <w:t>d</w:t>
      </w:r>
      <w:r w:rsidR="007F1E29" w:rsidRPr="00074712">
        <w:rPr>
          <w:lang w:val="fr-FR"/>
        </w:rPr>
        <w:t xml:space="preserve">e </w:t>
      </w:r>
      <w:r w:rsidR="00551CEE" w:rsidRPr="00074712">
        <w:rPr>
          <w:lang w:val="fr-FR"/>
        </w:rPr>
        <w:t>Kigali.</w:t>
      </w:r>
    </w:p>
    <w:p w14:paraId="6081F220" w14:textId="7E0DCE31" w:rsidR="00776C36" w:rsidRPr="00074712" w:rsidRDefault="00074712" w:rsidP="00074712">
      <w:pPr>
        <w:pStyle w:val="Heading1"/>
        <w:numPr>
          <w:ilvl w:val="0"/>
          <w:numId w:val="0"/>
        </w:numPr>
        <w:spacing w:after="120"/>
        <w:rPr>
          <w:b/>
        </w:rPr>
      </w:pPr>
      <w:r w:rsidRPr="00074712">
        <w:rPr>
          <w:b/>
          <w:lang w:val="fr-FR"/>
        </w:rPr>
        <w:t>Suriname</w:t>
      </w:r>
    </w:p>
    <w:p w14:paraId="59ECA39A" w14:textId="100A1BDB" w:rsidR="00074712" w:rsidRPr="000F13C8" w:rsidRDefault="00074712" w:rsidP="00074712">
      <w:pPr>
        <w:pStyle w:val="Heading1"/>
        <w:tabs>
          <w:tab w:val="clear" w:pos="90"/>
          <w:tab w:val="num" w:pos="0"/>
        </w:tabs>
        <w:ind w:left="0"/>
        <w:rPr>
          <w:lang w:val="fr-CA"/>
        </w:rPr>
      </w:pPr>
      <w:r w:rsidRPr="00074712">
        <w:rPr>
          <w:lang w:val="fr-FR"/>
        </w:rPr>
        <w:t>Le Comité exécutif</w:t>
      </w:r>
      <w:r w:rsidR="00551CEE">
        <w:rPr>
          <w:lang w:val="fr-FR"/>
        </w:rPr>
        <w:t xml:space="preserve"> </w:t>
      </w:r>
      <w:r w:rsidRPr="00074712">
        <w:rPr>
          <w:lang w:val="fr-FR"/>
        </w:rPr>
        <w:t xml:space="preserve">a examiné le rapport accompagnant la demande concernant le renouvellement du projet de renforcement des institutions pour le Suriname (phase VII) et a pris note avec satisfaction que ce pays a soumis </w:t>
      </w:r>
      <w:r w:rsidR="001D3518">
        <w:rPr>
          <w:lang w:val="fr-FR"/>
        </w:rPr>
        <w:t>l</w:t>
      </w:r>
      <w:r w:rsidRPr="00074712">
        <w:rPr>
          <w:lang w:val="fr-FR"/>
        </w:rPr>
        <w:t>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Le Comité a également constaté que le Suriname dispose d</w:t>
      </w:r>
      <w:r w:rsidR="00551CEE">
        <w:rPr>
          <w:lang w:val="fr-FR"/>
        </w:rPr>
        <w:t>’</w:t>
      </w:r>
      <w:r w:rsidRPr="00074712">
        <w:rPr>
          <w:lang w:val="fr-FR"/>
        </w:rPr>
        <w:t>un système d</w:t>
      </w:r>
      <w:r w:rsidR="00551CEE">
        <w:rPr>
          <w:lang w:val="fr-FR"/>
        </w:rPr>
        <w:t>’</w:t>
      </w:r>
      <w:r w:rsidRPr="00074712">
        <w:rPr>
          <w:lang w:val="fr-FR"/>
        </w:rPr>
        <w:t xml:space="preserve">autorisations et de quotas pour les importations/exportations et </w:t>
      </w:r>
      <w:r w:rsidR="007F1E29">
        <w:rPr>
          <w:lang w:val="fr-FR"/>
        </w:rPr>
        <w:t>qu</w:t>
      </w:r>
      <w:r w:rsidR="00551CEE">
        <w:rPr>
          <w:lang w:val="fr-FR"/>
        </w:rPr>
        <w:t>’</w:t>
      </w:r>
      <w:r w:rsidR="007F1E29">
        <w:rPr>
          <w:lang w:val="fr-FR"/>
        </w:rPr>
        <w:t xml:space="preserve">il </w:t>
      </w:r>
      <w:r w:rsidRPr="00074712">
        <w:rPr>
          <w:lang w:val="fr-FR"/>
        </w:rPr>
        <w:t>est en train de passer à un système électronique pour les autorisations.</w:t>
      </w:r>
      <w:r w:rsidRPr="000F13C8">
        <w:rPr>
          <w:lang w:val="fr-CA"/>
        </w:rPr>
        <w:t xml:space="preserve"> </w:t>
      </w:r>
      <w:r w:rsidRPr="00074712">
        <w:rPr>
          <w:lang w:val="fr-FR"/>
        </w:rPr>
        <w:t xml:space="preserve">Le Comité est conscient des efforts déployés par </w:t>
      </w:r>
      <w:r w:rsidR="007F1E29">
        <w:rPr>
          <w:lang w:val="fr-FR"/>
        </w:rPr>
        <w:t>ce pays</w:t>
      </w:r>
      <w:r w:rsidRPr="00074712">
        <w:rPr>
          <w:lang w:val="fr-FR"/>
        </w:rPr>
        <w:t xml:space="preserve"> pour mettre en œuvre son plan de gestion de l</w:t>
      </w:r>
      <w:r w:rsidR="00551CEE">
        <w:rPr>
          <w:lang w:val="fr-FR"/>
        </w:rPr>
        <w:t>’</w:t>
      </w:r>
      <w:r w:rsidRPr="00074712">
        <w:rPr>
          <w:lang w:val="fr-FR"/>
        </w:rPr>
        <w:t>élimination des HCFC et pour démarrer la ratification de l</w:t>
      </w:r>
      <w:r w:rsidR="00551CEE">
        <w:rPr>
          <w:lang w:val="fr-FR"/>
        </w:rPr>
        <w:t>’</w:t>
      </w:r>
      <w:r w:rsidRPr="00074712">
        <w:rPr>
          <w:lang w:val="fr-FR"/>
        </w:rPr>
        <w:t>Amendement de Kigali.</w:t>
      </w:r>
      <w:r w:rsidRPr="000F13C8">
        <w:rPr>
          <w:lang w:val="fr-CA"/>
        </w:rPr>
        <w:t xml:space="preserve"> </w:t>
      </w:r>
      <w:r w:rsidRPr="00074712">
        <w:rPr>
          <w:lang w:val="fr-FR"/>
        </w:rPr>
        <w:t xml:space="preserve">Le </w:t>
      </w:r>
      <w:r w:rsidR="001D3518">
        <w:rPr>
          <w:lang w:val="fr-FR"/>
        </w:rPr>
        <w:t>Comité exécutif</w:t>
      </w:r>
      <w:r w:rsidRPr="00074712">
        <w:rPr>
          <w:lang w:val="fr-FR"/>
        </w:rPr>
        <w:t xml:space="preserve"> a donc tou</w:t>
      </w:r>
      <w:r w:rsidR="007F1E29">
        <w:rPr>
          <w:lang w:val="fr-FR"/>
        </w:rPr>
        <w:t>t</w:t>
      </w:r>
      <w:r w:rsidRPr="00074712">
        <w:rPr>
          <w:lang w:val="fr-FR"/>
        </w:rPr>
        <w:t>e confiance que le Suriname continuera à mettre en œuvre</w:t>
      </w:r>
      <w:r w:rsidR="00551CEE">
        <w:rPr>
          <w:lang w:val="fr-FR"/>
        </w:rPr>
        <w:t xml:space="preserve"> </w:t>
      </w:r>
      <w:r w:rsidRPr="00074712">
        <w:rPr>
          <w:lang w:val="fr-FR"/>
        </w:rPr>
        <w:t>son PGEH et le projet de renforcement des institutions dans les délais voulus et de manière efficace afin de permettre au pays d</w:t>
      </w:r>
      <w:r w:rsidR="00551CEE">
        <w:rPr>
          <w:lang w:val="fr-FR"/>
        </w:rPr>
        <w:t>’</w:t>
      </w:r>
      <w:r w:rsidRPr="00074712">
        <w:rPr>
          <w:lang w:val="fr-FR"/>
        </w:rPr>
        <w:t>atteindre de manière</w:t>
      </w:r>
      <w:r w:rsidR="00551CEE">
        <w:rPr>
          <w:lang w:val="fr-FR"/>
        </w:rPr>
        <w:t xml:space="preserve"> </w:t>
      </w:r>
      <w:r w:rsidRPr="00074712">
        <w:rPr>
          <w:lang w:val="fr-FR"/>
        </w:rPr>
        <w:t>durable les objectifs du Protocole de Montréal.</w:t>
      </w:r>
    </w:p>
    <w:p w14:paraId="53C7AD9E" w14:textId="513F04A5" w:rsidR="00776C36" w:rsidRPr="00074712" w:rsidRDefault="00074712" w:rsidP="00074712">
      <w:pPr>
        <w:pStyle w:val="Heading1"/>
        <w:numPr>
          <w:ilvl w:val="0"/>
          <w:numId w:val="0"/>
        </w:numPr>
        <w:spacing w:after="120"/>
        <w:rPr>
          <w:b/>
        </w:rPr>
      </w:pPr>
      <w:r w:rsidRPr="00074712">
        <w:rPr>
          <w:b/>
          <w:lang w:val="fr-FR"/>
        </w:rPr>
        <w:t>Viet Nam</w:t>
      </w:r>
    </w:p>
    <w:p w14:paraId="3079786C" w14:textId="569FD7EB" w:rsidR="00074712" w:rsidRPr="000F13C8" w:rsidRDefault="00074712" w:rsidP="00074712">
      <w:pPr>
        <w:pStyle w:val="Heading1"/>
        <w:widowControl w:val="0"/>
        <w:tabs>
          <w:tab w:val="clear" w:pos="90"/>
          <w:tab w:val="num" w:pos="0"/>
        </w:tabs>
        <w:spacing w:after="0"/>
        <w:ind w:left="0"/>
        <w:rPr>
          <w:lang w:val="fr-CA"/>
        </w:rPr>
      </w:pPr>
      <w:r w:rsidRPr="00074712">
        <w:rPr>
          <w:lang w:val="fr-FR"/>
        </w:rPr>
        <w:t xml:space="preserve">Le Comité exécutif a examiné le rapport accompagnant la demande concernant le renouvellement du projet de renforcement des institutions pour le Viet Nam (phase XIII) et a pris note avec satisfaction que ce pays a soumis </w:t>
      </w:r>
      <w:r w:rsidR="001D3518">
        <w:rPr>
          <w:lang w:val="fr-FR"/>
        </w:rPr>
        <w:t>l</w:t>
      </w:r>
      <w:r w:rsidRPr="00074712">
        <w:rPr>
          <w:lang w:val="fr-FR"/>
        </w:rPr>
        <w:t>es</w:t>
      </w:r>
      <w:r w:rsidR="00551CEE">
        <w:rPr>
          <w:lang w:val="fr-FR"/>
        </w:rPr>
        <w:t xml:space="preserve"> </w:t>
      </w:r>
      <w:r w:rsidRPr="00074712">
        <w:rPr>
          <w:lang w:val="fr-FR"/>
        </w:rPr>
        <w:t>données du programme de pays au Secrétariat du Fonds ainsi que les données transmises au titre de l</w:t>
      </w:r>
      <w:r w:rsidR="00551CEE">
        <w:rPr>
          <w:lang w:val="fr-FR"/>
        </w:rPr>
        <w:t>’</w:t>
      </w:r>
      <w:r w:rsidRPr="00074712">
        <w:rPr>
          <w:lang w:val="fr-FR"/>
        </w:rPr>
        <w:t>article 7 du Protocole de Montréal au Secrétariat de l</w:t>
      </w:r>
      <w:r w:rsidR="00551CEE">
        <w:rPr>
          <w:lang w:val="fr-FR"/>
        </w:rPr>
        <w:t>’</w:t>
      </w:r>
      <w:r w:rsidRPr="00074712">
        <w:rPr>
          <w:lang w:val="fr-FR"/>
        </w:rPr>
        <w:t>Ozone, indiquant que le pays est en conformité avec ses obligations en vertu du Protocole de Montréal.</w:t>
      </w:r>
      <w:r w:rsidRPr="000F13C8">
        <w:rPr>
          <w:lang w:val="fr-CA"/>
        </w:rPr>
        <w:t xml:space="preserve"> </w:t>
      </w:r>
      <w:r w:rsidRPr="00074712">
        <w:rPr>
          <w:lang w:val="fr-FR"/>
        </w:rPr>
        <w:t xml:space="preserve">Le Comité a reconnu que </w:t>
      </w:r>
      <w:r w:rsidR="007F1E29">
        <w:rPr>
          <w:lang w:val="fr-FR"/>
        </w:rPr>
        <w:t>ce pays</w:t>
      </w:r>
      <w:r w:rsidRPr="00074712">
        <w:rPr>
          <w:lang w:val="fr-FR"/>
        </w:rPr>
        <w:t xml:space="preserve"> continuait à mettre en œuvre son système d</w:t>
      </w:r>
      <w:r w:rsidR="00551CEE">
        <w:rPr>
          <w:lang w:val="fr-FR"/>
        </w:rPr>
        <w:t>’</w:t>
      </w:r>
      <w:r w:rsidRPr="00074712">
        <w:rPr>
          <w:lang w:val="fr-FR"/>
        </w:rPr>
        <w:t>autorisations et de quotas pour les HCFC</w:t>
      </w:r>
      <w:r w:rsidR="001D3518">
        <w:rPr>
          <w:lang w:val="fr-FR"/>
        </w:rPr>
        <w:t>,</w:t>
      </w:r>
      <w:r w:rsidRPr="00074712">
        <w:rPr>
          <w:lang w:val="fr-FR"/>
        </w:rPr>
        <w:t xml:space="preserve"> </w:t>
      </w:r>
      <w:r w:rsidR="001D3518">
        <w:rPr>
          <w:lang w:val="fr-FR"/>
        </w:rPr>
        <w:t>à</w:t>
      </w:r>
      <w:r w:rsidRPr="00074712">
        <w:rPr>
          <w:lang w:val="fr-FR"/>
        </w:rPr>
        <w:t xml:space="preserve"> assurer le respect des réglementations au moyens d</w:t>
      </w:r>
      <w:r w:rsidR="00551CEE">
        <w:rPr>
          <w:lang w:val="fr-FR"/>
        </w:rPr>
        <w:t>’</w:t>
      </w:r>
      <w:r w:rsidRPr="00074712">
        <w:rPr>
          <w:lang w:val="fr-FR"/>
        </w:rPr>
        <w:t xml:space="preserve">inspections, et à mettre en œuvre de manière efficace et dans les temps </w:t>
      </w:r>
      <w:r w:rsidR="001D3518">
        <w:rPr>
          <w:lang w:val="fr-FR"/>
        </w:rPr>
        <w:t xml:space="preserve">impartis </w:t>
      </w:r>
      <w:r w:rsidRPr="00074712">
        <w:rPr>
          <w:lang w:val="fr-FR"/>
        </w:rPr>
        <w:t>le plan de gestion de l</w:t>
      </w:r>
      <w:r w:rsidR="00551CEE">
        <w:rPr>
          <w:lang w:val="fr-FR"/>
        </w:rPr>
        <w:t>’</w:t>
      </w:r>
      <w:r w:rsidRPr="00074712">
        <w:rPr>
          <w:lang w:val="fr-FR"/>
        </w:rPr>
        <w:t xml:space="preserve">élimination des HCFC, notamment les activités de formation destinées aux agents des douanes et aux techniciens de la réfrigération, </w:t>
      </w:r>
      <w:r w:rsidR="001D3518">
        <w:rPr>
          <w:lang w:val="fr-FR"/>
        </w:rPr>
        <w:t>ainsi que</w:t>
      </w:r>
      <w:r w:rsidRPr="00074712">
        <w:rPr>
          <w:lang w:val="fr-FR"/>
        </w:rPr>
        <w:t xml:space="preserve"> des activités d</w:t>
      </w:r>
      <w:r w:rsidR="00551CEE">
        <w:rPr>
          <w:lang w:val="fr-FR"/>
        </w:rPr>
        <w:t>’</w:t>
      </w:r>
      <w:r w:rsidRPr="00074712">
        <w:rPr>
          <w:lang w:val="fr-FR"/>
        </w:rPr>
        <w:t>information et de sensibilisation.</w:t>
      </w:r>
      <w:r w:rsidRPr="000F13C8">
        <w:rPr>
          <w:lang w:val="fr-CA"/>
        </w:rPr>
        <w:t xml:space="preserve"> </w:t>
      </w:r>
      <w:r w:rsidRPr="00074712">
        <w:rPr>
          <w:lang w:val="fr-FR"/>
        </w:rPr>
        <w:t>Le Comité exécutif a donc toute confiance que le gouvernement du Viet Nam continuera à mettre en œuvre des activités permettant au pays de se conformer aux objectifs du Protocole de Montréal.</w:t>
      </w:r>
      <w:r w:rsidRPr="000F13C8">
        <w:rPr>
          <w:lang w:val="fr-CA"/>
        </w:rPr>
        <w:t xml:space="preserve"> </w:t>
      </w:r>
      <w:r w:rsidRPr="00074712">
        <w:rPr>
          <w:lang w:val="fr-FR"/>
        </w:rPr>
        <w:t>Le Comité a également pris note avec satisfaction de la ratification de l</w:t>
      </w:r>
      <w:r w:rsidR="00551CEE">
        <w:rPr>
          <w:lang w:val="fr-FR"/>
        </w:rPr>
        <w:t>’</w:t>
      </w:r>
      <w:r w:rsidRPr="00074712">
        <w:rPr>
          <w:lang w:val="fr-FR"/>
        </w:rPr>
        <w:t xml:space="preserve">Amendement de Kigali par le Viet Nam le 27 juillet 2019 et des mesures prises pour respecter les obligations initiales en vertu de </w:t>
      </w:r>
      <w:r w:rsidR="001D3518">
        <w:rPr>
          <w:lang w:val="fr-FR"/>
        </w:rPr>
        <w:t xml:space="preserve">cet </w:t>
      </w:r>
      <w:r w:rsidRPr="00074712">
        <w:rPr>
          <w:lang w:val="fr-FR"/>
        </w:rPr>
        <w:t>Amendement, notamment l</w:t>
      </w:r>
      <w:r w:rsidR="00551CEE">
        <w:rPr>
          <w:lang w:val="fr-FR"/>
        </w:rPr>
        <w:t>’</w:t>
      </w:r>
      <w:r w:rsidRPr="00074712">
        <w:rPr>
          <w:lang w:val="fr-FR"/>
        </w:rPr>
        <w:t>examen des lois sur les SAO pour y inclure le contrôle des HFC et des mélanges de HFC.</w:t>
      </w:r>
    </w:p>
    <w:p w14:paraId="27A8A40F" w14:textId="77777777" w:rsidR="00776C36" w:rsidRPr="000F13C8" w:rsidRDefault="00776C36" w:rsidP="00776C36">
      <w:pPr>
        <w:rPr>
          <w:lang w:val="fr-CA"/>
        </w:rPr>
      </w:pPr>
    </w:p>
    <w:sectPr w:rsidR="00776C36" w:rsidRPr="000F13C8" w:rsidSect="0034428E">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B70A" w14:textId="77777777" w:rsidR="00995F83" w:rsidRDefault="00995F83" w:rsidP="004A504B">
      <w:r>
        <w:separator/>
      </w:r>
    </w:p>
  </w:endnote>
  <w:endnote w:type="continuationSeparator" w:id="0">
    <w:p w14:paraId="29CDAE01" w14:textId="77777777" w:rsidR="00995F83" w:rsidRDefault="00995F8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EB98" w14:textId="46077E5A" w:rsidR="006227D8" w:rsidRPr="0033525D" w:rsidRDefault="006227D8">
    <w:pPr>
      <w:jc w:val="center"/>
    </w:pPr>
    <w:r>
      <w:fldChar w:fldCharType="begin"/>
    </w:r>
    <w:r>
      <w:instrText xml:space="preserve"> PAGE </w:instrText>
    </w:r>
    <w:r>
      <w:fldChar w:fldCharType="separate"/>
    </w:r>
    <w:r w:rsidR="00A50A7B">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EABA" w14:textId="69B02081" w:rsidR="006227D8" w:rsidRPr="0033525D" w:rsidRDefault="006227D8">
    <w:pPr>
      <w:jc w:val="center"/>
    </w:pPr>
    <w:r>
      <w:fldChar w:fldCharType="begin"/>
    </w:r>
    <w:r>
      <w:instrText xml:space="preserve"> PAGE </w:instrText>
    </w:r>
    <w:r>
      <w:fldChar w:fldCharType="separate"/>
    </w:r>
    <w:r w:rsidR="00A50A7B">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C90B" w14:textId="77777777" w:rsidR="006227D8" w:rsidRPr="003D75E3" w:rsidRDefault="006227D8" w:rsidP="003D75E3">
    <w:pPr>
      <w:pBdr>
        <w:top w:val="single" w:sz="4" w:space="1" w:color="auto"/>
        <w:left w:val="single" w:sz="4" w:space="4" w:color="auto"/>
        <w:bottom w:val="single" w:sz="4" w:space="1" w:color="auto"/>
        <w:right w:val="single" w:sz="4" w:space="4" w:color="auto"/>
      </w:pBdr>
      <w:jc w:val="center"/>
      <w:rPr>
        <w:sz w:val="18"/>
        <w:szCs w:val="18"/>
        <w:lang w:val="fr-CA"/>
      </w:rPr>
    </w:pPr>
    <w:r w:rsidRPr="003D75E3">
      <w:rPr>
        <w:sz w:val="18"/>
        <w:szCs w:val="18"/>
        <w:lang w:val="fr-CA"/>
      </w:rPr>
      <w:t xml:space="preserve">Les documents de présession du Comité exécutif du Fonds multilatéral aux fins d’application du Protocole de </w:t>
    </w:r>
  </w:p>
  <w:p w14:paraId="18ACC4DD" w14:textId="7AC6520E" w:rsidR="006227D8" w:rsidRPr="003D75E3" w:rsidRDefault="006227D8" w:rsidP="003D75E3">
    <w:pPr>
      <w:pBdr>
        <w:top w:val="single" w:sz="4" w:space="1" w:color="auto"/>
        <w:left w:val="single" w:sz="4" w:space="4" w:color="auto"/>
        <w:bottom w:val="single" w:sz="4" w:space="1" w:color="auto"/>
        <w:right w:val="single" w:sz="4" w:space="4" w:color="auto"/>
      </w:pBdr>
      <w:jc w:val="center"/>
      <w:rPr>
        <w:sz w:val="18"/>
        <w:szCs w:val="18"/>
        <w:lang w:val="fr-CA"/>
      </w:rPr>
    </w:pPr>
    <w:r w:rsidRPr="003D75E3">
      <w:rPr>
        <w:sz w:val="18"/>
        <w:szCs w:val="18"/>
        <w:lang w:val="fr-CA"/>
      </w:rPr>
      <w:t>Montréal sont présentés sous réserve des décisions pouvant être prises par le Comité exécutif après leur publication</w:t>
    </w:r>
    <w:r>
      <w:rPr>
        <w:sz w:val="18"/>
        <w:szCs w:val="18"/>
        <w:lang w:val="fr-C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0DF1" w14:textId="19C255BA" w:rsidR="006227D8" w:rsidRPr="0033525D" w:rsidRDefault="006227D8">
    <w:pPr>
      <w:jc w:val="center"/>
    </w:pPr>
    <w:r>
      <w:fldChar w:fldCharType="begin"/>
    </w:r>
    <w:r>
      <w:instrText xml:space="preserve"> PAGE </w:instrText>
    </w:r>
    <w:r>
      <w:fldChar w:fldCharType="separate"/>
    </w:r>
    <w:r w:rsidR="00A50A7B">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158A" w14:textId="6A1C01DA" w:rsidR="006227D8" w:rsidRPr="0033525D" w:rsidRDefault="006227D8">
    <w:pPr>
      <w:jc w:val="center"/>
    </w:pPr>
    <w:r>
      <w:fldChar w:fldCharType="begin"/>
    </w:r>
    <w:r>
      <w:instrText xml:space="preserve"> PAGE </w:instrText>
    </w:r>
    <w:r>
      <w:fldChar w:fldCharType="separate"/>
    </w:r>
    <w:r w:rsidR="00A50A7B">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53837"/>
      <w:docPartObj>
        <w:docPartGallery w:val="Page Numbers (Bottom of Page)"/>
        <w:docPartUnique/>
      </w:docPartObj>
    </w:sdtPr>
    <w:sdtEndPr>
      <w:rPr>
        <w:noProof/>
      </w:rPr>
    </w:sdtEndPr>
    <w:sdtContent>
      <w:p w14:paraId="77F05BAA" w14:textId="28CB054E" w:rsidR="006227D8" w:rsidRDefault="006227D8">
        <w:pPr>
          <w:pStyle w:val="Footer"/>
          <w:jc w:val="center"/>
        </w:pPr>
        <w:r>
          <w:fldChar w:fldCharType="begin"/>
        </w:r>
        <w:r>
          <w:instrText xml:space="preserve"> PAGE   \* MERGEFORMAT </w:instrText>
        </w:r>
        <w:r>
          <w:fldChar w:fldCharType="separate"/>
        </w:r>
        <w:r w:rsidR="00A50A7B">
          <w:rPr>
            <w:noProof/>
          </w:rPr>
          <w:t>1</w:t>
        </w:r>
        <w:r>
          <w:rPr>
            <w:noProof/>
          </w:rPr>
          <w:fldChar w:fldCharType="end"/>
        </w:r>
      </w:p>
    </w:sdtContent>
  </w:sdt>
  <w:p w14:paraId="5AF97F85" w14:textId="77777777" w:rsidR="006227D8" w:rsidRPr="0034428E" w:rsidRDefault="006227D8" w:rsidP="003442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60D9" w14:textId="77777777" w:rsidR="00995F83" w:rsidRDefault="00995F83" w:rsidP="004A504B">
      <w:r>
        <w:separator/>
      </w:r>
    </w:p>
  </w:footnote>
  <w:footnote w:type="continuationSeparator" w:id="0">
    <w:p w14:paraId="73E7D1AB" w14:textId="77777777" w:rsidR="00995F83" w:rsidRDefault="00995F83" w:rsidP="004A504B">
      <w:r>
        <w:continuationSeparator/>
      </w:r>
    </w:p>
  </w:footnote>
  <w:footnote w:id="1">
    <w:p w14:paraId="13273B45" w14:textId="3C6E9ACD" w:rsidR="006227D8" w:rsidRDefault="006227D8" w:rsidP="000F13C8">
      <w:pPr>
        <w:pStyle w:val="FootnoteText"/>
        <w:pBdr>
          <w:top w:val="single" w:sz="4" w:space="1" w:color="E9FFFF"/>
          <w:left w:val="single" w:sz="4" w:space="4" w:color="E9FFFF"/>
          <w:bottom w:val="single" w:sz="4" w:space="1" w:color="E9FFFF"/>
          <w:right w:val="single" w:sz="4" w:space="4" w:color="E9FFFF"/>
        </w:pBdr>
        <w:rPr>
          <w:rtl/>
          <w:lang w:val="fr-CA"/>
        </w:rPr>
      </w:pPr>
      <w:r>
        <w:rPr>
          <w:rStyle w:val="FootnoteReference"/>
        </w:rPr>
        <w:footnoteRef/>
      </w:r>
      <w:r w:rsidRPr="004231C4">
        <w:rPr>
          <w:lang w:val="fr-CA"/>
        </w:rPr>
        <w:t xml:space="preserve"> À cause du coronavirus (COVID-19)</w:t>
      </w:r>
    </w:p>
    <w:p w14:paraId="7A357459" w14:textId="77777777" w:rsidR="00F15AE3" w:rsidRPr="004231C4" w:rsidRDefault="00F15AE3" w:rsidP="000F13C8">
      <w:pPr>
        <w:pStyle w:val="FootnoteText"/>
        <w:pBdr>
          <w:top w:val="single" w:sz="4" w:space="1" w:color="E9FFFF"/>
          <w:left w:val="single" w:sz="4" w:space="4" w:color="E9FFFF"/>
          <w:bottom w:val="single" w:sz="4" w:space="1" w:color="E9FFFF"/>
          <w:right w:val="single" w:sz="4" w:space="4" w:color="E9FFFF"/>
        </w:pBdr>
        <w:rPr>
          <w:lang w:val="fr-CA"/>
        </w:rPr>
      </w:pPr>
    </w:p>
  </w:footnote>
  <w:footnote w:id="2">
    <w:p w14:paraId="6F630374" w14:textId="20E09CEE" w:rsidR="006227D8" w:rsidRPr="000F13C8" w:rsidRDefault="006227D8" w:rsidP="003D75E3">
      <w:pPr>
        <w:pStyle w:val="FootnoteText"/>
        <w:rPr>
          <w:lang w:val="fr-CA"/>
        </w:rPr>
      </w:pPr>
      <w:r>
        <w:rPr>
          <w:rStyle w:val="FootnoteReference"/>
        </w:rPr>
        <w:footnoteRef/>
      </w:r>
      <w:r w:rsidRPr="000F13C8">
        <w:rPr>
          <w:lang w:val="fr-CA"/>
        </w:rPr>
        <w:t xml:space="preserve"> </w:t>
      </w:r>
      <w:r w:rsidRPr="003D75E3">
        <w:rPr>
          <w:lang w:val="fr-FR"/>
        </w:rPr>
        <w:t>Y compris les nouvelles demandes soumises à la 86</w:t>
      </w:r>
      <w:r w:rsidRPr="003D75E3">
        <w:rPr>
          <w:vertAlign w:val="superscript"/>
          <w:lang w:val="fr-FR"/>
        </w:rPr>
        <w:t>e</w:t>
      </w:r>
      <w:r w:rsidRPr="003D75E3">
        <w:rPr>
          <w:lang w:val="fr-FR"/>
        </w:rPr>
        <w:t xml:space="preserve"> réunion jointes au présent document et les demandes émanant de la 85</w:t>
      </w:r>
      <w:r w:rsidRPr="003D75E3">
        <w:rPr>
          <w:vertAlign w:val="superscript"/>
          <w:lang w:val="fr-FR"/>
        </w:rPr>
        <w:t>e</w:t>
      </w:r>
      <w:r w:rsidRPr="003D75E3">
        <w:rPr>
          <w:lang w:val="fr-FR"/>
        </w:rPr>
        <w:t xml:space="preserve"> réunion présentées dans</w:t>
      </w:r>
      <w:r>
        <w:rPr>
          <w:lang w:val="fr-FR"/>
        </w:rPr>
        <w:t xml:space="preserve"> </w:t>
      </w:r>
      <w:r w:rsidRPr="003D75E3">
        <w:rPr>
          <w:lang w:val="fr-FR"/>
        </w:rPr>
        <w:t>le document UNEP/OzL.Pro/ExCom/85/16</w:t>
      </w:r>
    </w:p>
  </w:footnote>
  <w:footnote w:id="3">
    <w:p w14:paraId="2D399E7E" w14:textId="7487DD49" w:rsidR="006227D8" w:rsidRPr="000F13C8" w:rsidRDefault="006227D8">
      <w:pPr>
        <w:pStyle w:val="FootnoteText"/>
        <w:rPr>
          <w:lang w:val="fr-CA"/>
        </w:rPr>
      </w:pPr>
      <w:r>
        <w:rPr>
          <w:rStyle w:val="FootnoteReference"/>
        </w:rPr>
        <w:footnoteRef/>
      </w:r>
      <w:r w:rsidRPr="000F13C8">
        <w:rPr>
          <w:lang w:val="fr-CA"/>
        </w:rPr>
        <w:t xml:space="preserve"> </w:t>
      </w:r>
      <w:r w:rsidRPr="003D75E3">
        <w:rPr>
          <w:lang w:val="fr-FR"/>
        </w:rPr>
        <w:t>Paragraphe 63 du document UNEP/OzL.Pro/ExCom/85/IAP/3 Projets approuvés en période intersessions.</w:t>
      </w:r>
    </w:p>
  </w:footnote>
  <w:footnote w:id="4">
    <w:p w14:paraId="15E828A6" w14:textId="34728731" w:rsidR="006227D8" w:rsidRPr="000F13C8" w:rsidRDefault="006227D8">
      <w:pPr>
        <w:pStyle w:val="FootnoteText"/>
        <w:rPr>
          <w:lang w:val="fr-CA"/>
        </w:rPr>
      </w:pPr>
      <w:r>
        <w:rPr>
          <w:rStyle w:val="FootnoteReference"/>
        </w:rPr>
        <w:footnoteRef/>
      </w:r>
      <w:r w:rsidRPr="000F13C8">
        <w:rPr>
          <w:lang w:val="fr-CA"/>
        </w:rPr>
        <w:t xml:space="preserve"> </w:t>
      </w:r>
      <w:r w:rsidRPr="003D75E3">
        <w:rPr>
          <w:lang w:val="fr-FR"/>
        </w:rPr>
        <w:t>Un montant supplémentaire de 150 000 $US, plus coûts d’appui d’agence de 10 500 $US</w:t>
      </w:r>
      <w:r>
        <w:rPr>
          <w:lang w:val="fr-FR"/>
        </w:rPr>
        <w:t>,</w:t>
      </w:r>
      <w:r w:rsidRPr="003D75E3">
        <w:rPr>
          <w:lang w:val="fr-FR"/>
        </w:rPr>
        <w:t xml:space="preserve"> a été demandé pour la</w:t>
      </w:r>
      <w:r>
        <w:rPr>
          <w:lang w:val="fr-FR"/>
        </w:rPr>
        <w:t xml:space="preserve"> </w:t>
      </w:r>
      <w:r w:rsidRPr="003D75E3">
        <w:rPr>
          <w:lang w:val="fr-FR"/>
        </w:rPr>
        <w:t>préparation d’activités d’investissement pour l’Arabie Saoudite.</w:t>
      </w:r>
    </w:p>
  </w:footnote>
  <w:footnote w:id="5">
    <w:p w14:paraId="6853D2AB" w14:textId="341CEA24" w:rsidR="006227D8" w:rsidRPr="000F13C8" w:rsidRDefault="006227D8" w:rsidP="006C4465">
      <w:pPr>
        <w:pStyle w:val="FootnoteText"/>
        <w:rPr>
          <w:lang w:val="fr-CA"/>
        </w:rPr>
      </w:pPr>
      <w:r w:rsidRPr="000F6805">
        <w:rPr>
          <w:rStyle w:val="FootnoteReference"/>
        </w:rPr>
        <w:footnoteRef/>
      </w:r>
      <w:r w:rsidRPr="000F13C8">
        <w:rPr>
          <w:lang w:val="fr-CA"/>
        </w:rPr>
        <w:t xml:space="preserve"> </w:t>
      </w:r>
      <w:r w:rsidRPr="003D75E3">
        <w:rPr>
          <w:lang w:val="fr-FR"/>
        </w:rPr>
        <w:t>UNEP/OzL.Pro/ExCom/86/35.</w:t>
      </w:r>
    </w:p>
  </w:footnote>
  <w:footnote w:id="6">
    <w:p w14:paraId="7E766901" w14:textId="649799EA" w:rsidR="006227D8" w:rsidRPr="000F13C8" w:rsidRDefault="006227D8" w:rsidP="00553794">
      <w:pPr>
        <w:pStyle w:val="FootnoteText"/>
        <w:rPr>
          <w:lang w:val="fr-CA"/>
        </w:rPr>
      </w:pPr>
      <w:r w:rsidRPr="000F6805">
        <w:rPr>
          <w:rStyle w:val="FootnoteReference"/>
        </w:rPr>
        <w:footnoteRef/>
      </w:r>
      <w:r w:rsidRPr="000F13C8">
        <w:rPr>
          <w:lang w:val="fr-CA"/>
        </w:rPr>
        <w:t xml:space="preserve"> </w:t>
      </w:r>
      <w:r>
        <w:rPr>
          <w:lang w:val="fr-FR"/>
        </w:rPr>
        <w:t>I</w:t>
      </w:r>
      <w:r w:rsidRPr="003D75E3">
        <w:rPr>
          <w:lang w:val="fr-FR"/>
        </w:rPr>
        <w:t xml:space="preserve">nclusion de la phase III des PGEH dans le plan d’activités général de 2019-2021 </w:t>
      </w:r>
      <w:r>
        <w:rPr>
          <w:lang w:val="fr-FR"/>
        </w:rPr>
        <w:t xml:space="preserve">permise </w:t>
      </w:r>
      <w:r w:rsidRPr="003D75E3">
        <w:rPr>
          <w:lang w:val="fr-FR"/>
        </w:rPr>
        <w:t>uniquement pour les pays dont on avait approuvé la phase II d’un PGEH pour respecter l’objectif de réduction d’ici à 2020.</w:t>
      </w:r>
    </w:p>
  </w:footnote>
  <w:footnote w:id="7">
    <w:p w14:paraId="3BF24C0B" w14:textId="65919A04" w:rsidR="006227D8" w:rsidRPr="000F13C8" w:rsidRDefault="006227D8">
      <w:pPr>
        <w:pStyle w:val="FootnoteText"/>
        <w:rPr>
          <w:lang w:val="fr-CA"/>
        </w:rPr>
      </w:pPr>
      <w:r w:rsidRPr="000F6805">
        <w:rPr>
          <w:rStyle w:val="FootnoteReference"/>
        </w:rPr>
        <w:footnoteRef/>
      </w:r>
      <w:r w:rsidRPr="000F13C8">
        <w:rPr>
          <w:lang w:val="fr-CA"/>
        </w:rPr>
        <w:t xml:space="preserve"> </w:t>
      </w:r>
      <w:r w:rsidRPr="003D75E3">
        <w:rPr>
          <w:lang w:val="fr-FR"/>
        </w:rPr>
        <w:t>UNEP/OzL.Pro/ExCom/85/16.</w:t>
      </w:r>
    </w:p>
  </w:footnote>
  <w:footnote w:id="8">
    <w:p w14:paraId="2E454278" w14:textId="4851F02B" w:rsidR="006227D8" w:rsidRPr="000F13C8" w:rsidRDefault="006227D8" w:rsidP="0062493F">
      <w:pPr>
        <w:pStyle w:val="FootnoteText"/>
        <w:rPr>
          <w:lang w:val="fr-CA"/>
        </w:rPr>
      </w:pPr>
      <w:r w:rsidRPr="000F6805">
        <w:rPr>
          <w:rStyle w:val="FootnoteReference"/>
        </w:rPr>
        <w:footnoteRef/>
      </w:r>
      <w:r w:rsidRPr="000F13C8">
        <w:rPr>
          <w:lang w:val="fr-CA"/>
        </w:rPr>
        <w:t xml:space="preserve"> </w:t>
      </w:r>
      <w:r w:rsidRPr="003D75E3">
        <w:rPr>
          <w:lang w:val="fr-FR"/>
        </w:rPr>
        <w:t>UNEP/OzL.Pro/ExCom/86/33.</w:t>
      </w:r>
    </w:p>
  </w:footnote>
  <w:footnote w:id="9">
    <w:p w14:paraId="530C2739" w14:textId="5A5FCB6C" w:rsidR="006227D8" w:rsidRPr="000F13C8" w:rsidRDefault="006227D8" w:rsidP="00A00DAA">
      <w:pPr>
        <w:pStyle w:val="FootnoteText"/>
        <w:rPr>
          <w:lang w:val="fr-CA"/>
        </w:rPr>
      </w:pPr>
      <w:r w:rsidRPr="000F6805">
        <w:rPr>
          <w:rStyle w:val="FootnoteReference"/>
        </w:rPr>
        <w:footnoteRef/>
      </w:r>
      <w:r w:rsidRPr="000F13C8">
        <w:rPr>
          <w:lang w:val="fr-CA"/>
        </w:rPr>
        <w:t xml:space="preserve"> </w:t>
      </w:r>
      <w:r w:rsidRPr="003D75E3">
        <w:rPr>
          <w:lang w:val="fr-FR"/>
        </w:rPr>
        <w:t>UNEP/OzL.Pro/ExCom/86/35.</w:t>
      </w:r>
    </w:p>
  </w:footnote>
  <w:footnote w:id="10">
    <w:p w14:paraId="7206CC60" w14:textId="2DBF35B1" w:rsidR="006227D8" w:rsidRPr="000F13C8" w:rsidRDefault="006227D8" w:rsidP="003D75E3">
      <w:pPr>
        <w:pStyle w:val="FootnoteText"/>
        <w:rPr>
          <w:color w:val="000000" w:themeColor="text1"/>
          <w:lang w:val="fr-CA"/>
        </w:rPr>
      </w:pPr>
      <w:r>
        <w:rPr>
          <w:rStyle w:val="FootnoteReference"/>
        </w:rPr>
        <w:footnoteRef/>
      </w:r>
      <w:r w:rsidRPr="000F13C8">
        <w:rPr>
          <w:lang w:val="fr-CA"/>
        </w:rPr>
        <w:t xml:space="preserve"> </w:t>
      </w:r>
      <w:r w:rsidRPr="003D75E3">
        <w:rPr>
          <w:lang w:val="fr-FR"/>
        </w:rPr>
        <w:t>Date de ratification (ou d’acceptation) de l’Accord de Kigali :</w:t>
      </w:r>
      <w:r w:rsidRPr="000F13C8">
        <w:rPr>
          <w:lang w:val="fr-CA"/>
        </w:rPr>
        <w:t xml:space="preserve"> </w:t>
      </w:r>
      <w:r w:rsidRPr="003D75E3">
        <w:rPr>
          <w:color w:val="000000" w:themeColor="text1"/>
          <w:lang w:val="fr-FR"/>
        </w:rPr>
        <w:t>Arménie, 2 mai 2019 (acceptation)</w:t>
      </w:r>
      <w:r>
        <w:rPr>
          <w:color w:val="000000" w:themeColor="text1"/>
          <w:lang w:val="fr-FR"/>
        </w:rPr>
        <w:t> </w:t>
      </w:r>
      <w:r w:rsidRPr="003D75E3">
        <w:rPr>
          <w:color w:val="000000" w:themeColor="text1"/>
          <w:lang w:val="fr-FR"/>
        </w:rPr>
        <w:t>; Bhoutan, 27 septembre 2019 ; RDP lao, 16 novembre 2017 (acceptation</w:t>
      </w:r>
      <w:r>
        <w:rPr>
          <w:color w:val="000000" w:themeColor="text1"/>
          <w:lang w:val="fr-FR"/>
        </w:rPr>
        <w:t>)</w:t>
      </w:r>
      <w:r w:rsidRPr="003D75E3">
        <w:rPr>
          <w:color w:val="000000" w:themeColor="text1"/>
          <w:lang w:val="fr-FR"/>
        </w:rPr>
        <w:t> ; Maldives, 13 novembre 2017 ; Sénégal, 31 août 2018 ; Turkménistan, 31 août 2020.</w:t>
      </w:r>
    </w:p>
  </w:footnote>
  <w:footnote w:id="11">
    <w:p w14:paraId="09DB824E" w14:textId="771D11F7" w:rsidR="006227D8" w:rsidRPr="000F13C8" w:rsidRDefault="006227D8" w:rsidP="003D75E3">
      <w:pPr>
        <w:pStyle w:val="FootnoteText"/>
        <w:rPr>
          <w:lang w:val="fr-CA"/>
        </w:rPr>
      </w:pPr>
      <w:r>
        <w:rPr>
          <w:rStyle w:val="FootnoteReference"/>
        </w:rPr>
        <w:footnoteRef/>
      </w:r>
      <w:r w:rsidRPr="000F13C8">
        <w:rPr>
          <w:lang w:val="fr-CA"/>
        </w:rPr>
        <w:t xml:space="preserve"> </w:t>
      </w:r>
      <w:r w:rsidRPr="003D75E3">
        <w:rPr>
          <w:lang w:val="fr-FR"/>
        </w:rPr>
        <w:t>Le financement de la préparation des plans nationaux de mise en œuvre pour respecter les obligations initiales de réduction pour la réduction progressive des HFC pourra être fourni, au plus tôt, cinq ans avant ces obligations, une fois que le pays aura ratifié l'Amendement de Kigali et sur la base des lignes directrices devant être approuvées dans le futur.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B19C" w14:textId="36C748BB" w:rsidR="006227D8" w:rsidRPr="0033525D" w:rsidRDefault="00F8575D">
    <w:fldSimple w:instr=" DOCPROPERTY &quot;Document number&quot;  \* MERGEFORMAT ">
      <w:r w:rsidR="00CF7E81">
        <w:t>UNEP/OzL.Pro/ExCom/86/34</w:t>
      </w:r>
    </w:fldSimple>
  </w:p>
  <w:p w14:paraId="5D305ED3" w14:textId="77777777" w:rsidR="006227D8" w:rsidRPr="0033525D" w:rsidRDefault="006227D8"/>
  <w:p w14:paraId="23B2A47D" w14:textId="77777777" w:rsidR="006227D8" w:rsidRPr="0033525D" w:rsidRDefault="006227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744" w14:textId="0B6C43FF" w:rsidR="006227D8" w:rsidRPr="0033525D" w:rsidRDefault="00F8575D">
    <w:pPr>
      <w:jc w:val="right"/>
    </w:pPr>
    <w:fldSimple w:instr=" DOCPROPERTY &quot;Document number&quot;  \* MERGEFORMAT ">
      <w:r w:rsidR="00CF7E81">
        <w:t>UNEP/OzL.Pro/ExCom/86/34</w:t>
      </w:r>
    </w:fldSimple>
  </w:p>
  <w:p w14:paraId="0E451D8F" w14:textId="77777777" w:rsidR="006227D8" w:rsidRPr="0033525D" w:rsidRDefault="006227D8"/>
  <w:p w14:paraId="0C8BA21D" w14:textId="77777777" w:rsidR="006227D8" w:rsidRPr="0033525D" w:rsidRDefault="006227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DA3E" w14:textId="6F2CECBB" w:rsidR="006227D8" w:rsidRPr="0033525D" w:rsidRDefault="00F8575D">
    <w:fldSimple w:instr=" DOCPROPERTY &quot;Document number&quot;  \* MERGEFORMAT ">
      <w:r w:rsidR="006227D8">
        <w:t>UNEP/OzL.Pro/ExCom/86/34</w:t>
      </w:r>
    </w:fldSimple>
  </w:p>
  <w:p w14:paraId="417349A0" w14:textId="3B1E5338" w:rsidR="006227D8" w:rsidRPr="0033525D" w:rsidRDefault="006227D8">
    <w:r>
      <w:t>Annex</w:t>
    </w:r>
    <w:r w:rsidR="001D3518">
      <w:t>e</w:t>
    </w:r>
    <w:r>
      <w:t xml:space="preserve"> II</w:t>
    </w:r>
  </w:p>
  <w:p w14:paraId="7EDC5570" w14:textId="77777777" w:rsidR="006227D8" w:rsidRPr="0033525D" w:rsidRDefault="006227D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70AD" w14:textId="5C5AD441" w:rsidR="006227D8" w:rsidRPr="0033525D" w:rsidRDefault="00F8575D">
    <w:pPr>
      <w:jc w:val="right"/>
    </w:pPr>
    <w:fldSimple w:instr=" DOCPROPERTY &quot;Document number&quot;  \* MERGEFORMAT ">
      <w:r w:rsidR="00CF7E81">
        <w:t>UNEP/OzL.Pro/ExCom/86/34</w:t>
      </w:r>
    </w:fldSimple>
  </w:p>
  <w:p w14:paraId="4AAE7F4E" w14:textId="156B5620" w:rsidR="006227D8" w:rsidRPr="0033525D" w:rsidRDefault="006227D8" w:rsidP="005B6D8C">
    <w:pPr>
      <w:jc w:val="right"/>
    </w:pPr>
    <w:r>
      <w:t>Annex</w:t>
    </w:r>
    <w:r w:rsidR="001D3518">
      <w:t>e</w:t>
    </w:r>
    <w:r>
      <w:t xml:space="preserve"> II</w:t>
    </w:r>
  </w:p>
  <w:p w14:paraId="2356A0BD" w14:textId="77777777" w:rsidR="006227D8" w:rsidRPr="0033525D" w:rsidRDefault="006227D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AE8E" w14:textId="77777777" w:rsidR="006227D8" w:rsidRPr="0033525D" w:rsidRDefault="00F8575D" w:rsidP="0034428E">
    <w:pPr>
      <w:jc w:val="right"/>
    </w:pPr>
    <w:fldSimple w:instr=" DOCPROPERTY &quot;Document number&quot;  \* MERGEFORMAT ">
      <w:r w:rsidR="006227D8">
        <w:t>UNEP/OzL.Pro/ExCom/86/34</w:t>
      </w:r>
    </w:fldSimple>
  </w:p>
  <w:p w14:paraId="163E3AA8" w14:textId="44B050F3" w:rsidR="006227D8" w:rsidRDefault="006227D8" w:rsidP="0034428E">
    <w:pPr>
      <w:pStyle w:val="Header"/>
      <w:jc w:val="right"/>
    </w:pPr>
    <w:r>
      <w:t>Annex</w:t>
    </w:r>
    <w:r w:rsidR="001D3518">
      <w:t>e</w:t>
    </w:r>
    <w:r>
      <w:t xml:space="preserve"> II</w:t>
    </w:r>
  </w:p>
  <w:p w14:paraId="6C5CF3EE" w14:textId="77777777" w:rsidR="006227D8" w:rsidRDefault="006227D8" w:rsidP="0034428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37E0DC8"/>
    <w:lvl w:ilvl="0">
      <w:start w:val="1"/>
      <w:numFmt w:val="decimal"/>
      <w:pStyle w:val="Heading1"/>
      <w:lvlText w:val="%1."/>
      <w:lvlJc w:val="left"/>
      <w:pPr>
        <w:tabs>
          <w:tab w:val="num" w:pos="90"/>
        </w:tabs>
        <w:ind w:left="90" w:firstLine="0"/>
      </w:pPr>
      <w:rPr>
        <w:color w:val="auto"/>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A6107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18"/>
  </w:num>
  <w:num w:numId="20">
    <w:abstractNumId w:val="13"/>
  </w:num>
  <w:num w:numId="21">
    <w:abstractNumId w:val="17"/>
  </w:num>
  <w:num w:numId="22">
    <w:abstractNumId w:val="12"/>
  </w:num>
  <w:num w:numId="23">
    <w:abstractNumId w:val="14"/>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434E"/>
    <w:rsid w:val="000114BF"/>
    <w:rsid w:val="0001721B"/>
    <w:rsid w:val="000211A9"/>
    <w:rsid w:val="00030DA3"/>
    <w:rsid w:val="00031260"/>
    <w:rsid w:val="0003681A"/>
    <w:rsid w:val="000372B7"/>
    <w:rsid w:val="000476AC"/>
    <w:rsid w:val="00050F6E"/>
    <w:rsid w:val="00053BC8"/>
    <w:rsid w:val="00061EC2"/>
    <w:rsid w:val="00074712"/>
    <w:rsid w:val="0007493B"/>
    <w:rsid w:val="00076689"/>
    <w:rsid w:val="00080ED0"/>
    <w:rsid w:val="00081985"/>
    <w:rsid w:val="00085B8F"/>
    <w:rsid w:val="00090481"/>
    <w:rsid w:val="0009441C"/>
    <w:rsid w:val="000A3826"/>
    <w:rsid w:val="000A6C26"/>
    <w:rsid w:val="000C3CC8"/>
    <w:rsid w:val="000C6172"/>
    <w:rsid w:val="000D52A4"/>
    <w:rsid w:val="000E07BC"/>
    <w:rsid w:val="000E5310"/>
    <w:rsid w:val="000F13C8"/>
    <w:rsid w:val="000F16B7"/>
    <w:rsid w:val="000F1CD4"/>
    <w:rsid w:val="000F289A"/>
    <w:rsid w:val="000F4103"/>
    <w:rsid w:val="000F6805"/>
    <w:rsid w:val="000F70A7"/>
    <w:rsid w:val="00112994"/>
    <w:rsid w:val="00113CCA"/>
    <w:rsid w:val="00122F25"/>
    <w:rsid w:val="001313FA"/>
    <w:rsid w:val="00135980"/>
    <w:rsid w:val="00141F07"/>
    <w:rsid w:val="0015279B"/>
    <w:rsid w:val="001556AB"/>
    <w:rsid w:val="0015634F"/>
    <w:rsid w:val="00162B01"/>
    <w:rsid w:val="00164719"/>
    <w:rsid w:val="00166FC4"/>
    <w:rsid w:val="00167372"/>
    <w:rsid w:val="001677AC"/>
    <w:rsid w:val="001804EA"/>
    <w:rsid w:val="001869A0"/>
    <w:rsid w:val="00190A61"/>
    <w:rsid w:val="00195295"/>
    <w:rsid w:val="001A3342"/>
    <w:rsid w:val="001A3E3D"/>
    <w:rsid w:val="001A4D96"/>
    <w:rsid w:val="001A7049"/>
    <w:rsid w:val="001B0222"/>
    <w:rsid w:val="001B1E40"/>
    <w:rsid w:val="001C764E"/>
    <w:rsid w:val="001D003B"/>
    <w:rsid w:val="001D3518"/>
    <w:rsid w:val="001E1052"/>
    <w:rsid w:val="001E21B1"/>
    <w:rsid w:val="001E2F93"/>
    <w:rsid w:val="001E4554"/>
    <w:rsid w:val="001E61E5"/>
    <w:rsid w:val="001F2159"/>
    <w:rsid w:val="001F7759"/>
    <w:rsid w:val="00201D8C"/>
    <w:rsid w:val="00210B8B"/>
    <w:rsid w:val="0021360E"/>
    <w:rsid w:val="00214863"/>
    <w:rsid w:val="00214E05"/>
    <w:rsid w:val="002156B4"/>
    <w:rsid w:val="00217999"/>
    <w:rsid w:val="00224FCD"/>
    <w:rsid w:val="002257B2"/>
    <w:rsid w:val="002343D0"/>
    <w:rsid w:val="00242325"/>
    <w:rsid w:val="00252F40"/>
    <w:rsid w:val="00253222"/>
    <w:rsid w:val="00262847"/>
    <w:rsid w:val="00264A08"/>
    <w:rsid w:val="00273F0D"/>
    <w:rsid w:val="00281BB2"/>
    <w:rsid w:val="00286D1A"/>
    <w:rsid w:val="00292486"/>
    <w:rsid w:val="002950BF"/>
    <w:rsid w:val="002B254E"/>
    <w:rsid w:val="002B72E9"/>
    <w:rsid w:val="002B759C"/>
    <w:rsid w:val="002C7998"/>
    <w:rsid w:val="002F1E53"/>
    <w:rsid w:val="002F2CAA"/>
    <w:rsid w:val="0030052C"/>
    <w:rsid w:val="00314FA8"/>
    <w:rsid w:val="003306E1"/>
    <w:rsid w:val="003320E4"/>
    <w:rsid w:val="0033525D"/>
    <w:rsid w:val="0033605A"/>
    <w:rsid w:val="003414F3"/>
    <w:rsid w:val="00342F5D"/>
    <w:rsid w:val="0034428E"/>
    <w:rsid w:val="0034767B"/>
    <w:rsid w:val="0035529E"/>
    <w:rsid w:val="0035613E"/>
    <w:rsid w:val="00363EE9"/>
    <w:rsid w:val="003660AF"/>
    <w:rsid w:val="00376128"/>
    <w:rsid w:val="0037742E"/>
    <w:rsid w:val="00377D56"/>
    <w:rsid w:val="0038245A"/>
    <w:rsid w:val="003840E6"/>
    <w:rsid w:val="00385CFC"/>
    <w:rsid w:val="0039337A"/>
    <w:rsid w:val="003974C8"/>
    <w:rsid w:val="003A03DA"/>
    <w:rsid w:val="003A3189"/>
    <w:rsid w:val="003A319A"/>
    <w:rsid w:val="003A3CA7"/>
    <w:rsid w:val="003B33BD"/>
    <w:rsid w:val="003B4124"/>
    <w:rsid w:val="003B417A"/>
    <w:rsid w:val="003B569D"/>
    <w:rsid w:val="003C3C0E"/>
    <w:rsid w:val="003D42A6"/>
    <w:rsid w:val="003D4F21"/>
    <w:rsid w:val="003D4FAC"/>
    <w:rsid w:val="003D6DA5"/>
    <w:rsid w:val="003D75E3"/>
    <w:rsid w:val="003E47AA"/>
    <w:rsid w:val="003E7906"/>
    <w:rsid w:val="003F0CD6"/>
    <w:rsid w:val="003F22C6"/>
    <w:rsid w:val="003F3C50"/>
    <w:rsid w:val="003F3D87"/>
    <w:rsid w:val="0040229C"/>
    <w:rsid w:val="00406A6A"/>
    <w:rsid w:val="00406B22"/>
    <w:rsid w:val="004271F9"/>
    <w:rsid w:val="004328A7"/>
    <w:rsid w:val="00434C74"/>
    <w:rsid w:val="00443098"/>
    <w:rsid w:val="0045218E"/>
    <w:rsid w:val="00456EB4"/>
    <w:rsid w:val="004718F3"/>
    <w:rsid w:val="0047298C"/>
    <w:rsid w:val="00475040"/>
    <w:rsid w:val="00493D40"/>
    <w:rsid w:val="004967B6"/>
    <w:rsid w:val="004A1F6C"/>
    <w:rsid w:val="004A2CDB"/>
    <w:rsid w:val="004A504B"/>
    <w:rsid w:val="004A6911"/>
    <w:rsid w:val="004B54E0"/>
    <w:rsid w:val="004B7384"/>
    <w:rsid w:val="004C3650"/>
    <w:rsid w:val="004C4269"/>
    <w:rsid w:val="004C6D39"/>
    <w:rsid w:val="004D2E61"/>
    <w:rsid w:val="004D6236"/>
    <w:rsid w:val="004D7F90"/>
    <w:rsid w:val="004E1A47"/>
    <w:rsid w:val="004E4DBB"/>
    <w:rsid w:val="004E4E41"/>
    <w:rsid w:val="004E7F9C"/>
    <w:rsid w:val="004F3493"/>
    <w:rsid w:val="004F5143"/>
    <w:rsid w:val="0051038E"/>
    <w:rsid w:val="00512B09"/>
    <w:rsid w:val="005220ED"/>
    <w:rsid w:val="00522774"/>
    <w:rsid w:val="00533796"/>
    <w:rsid w:val="00537343"/>
    <w:rsid w:val="00551CEE"/>
    <w:rsid w:val="00553794"/>
    <w:rsid w:val="00555D75"/>
    <w:rsid w:val="00560DF0"/>
    <w:rsid w:val="0056759C"/>
    <w:rsid w:val="00570847"/>
    <w:rsid w:val="00580F27"/>
    <w:rsid w:val="00593F57"/>
    <w:rsid w:val="0059513E"/>
    <w:rsid w:val="005A5BFB"/>
    <w:rsid w:val="005A5C40"/>
    <w:rsid w:val="005A6D9F"/>
    <w:rsid w:val="005B3849"/>
    <w:rsid w:val="005B48FF"/>
    <w:rsid w:val="005B6D8C"/>
    <w:rsid w:val="005D363F"/>
    <w:rsid w:val="005E5059"/>
    <w:rsid w:val="005F595C"/>
    <w:rsid w:val="00604C15"/>
    <w:rsid w:val="006158D5"/>
    <w:rsid w:val="0061794B"/>
    <w:rsid w:val="006227D8"/>
    <w:rsid w:val="0062493F"/>
    <w:rsid w:val="00625D83"/>
    <w:rsid w:val="006545E7"/>
    <w:rsid w:val="006623E7"/>
    <w:rsid w:val="00662B80"/>
    <w:rsid w:val="00670F6C"/>
    <w:rsid w:val="00672AE9"/>
    <w:rsid w:val="00682220"/>
    <w:rsid w:val="00685240"/>
    <w:rsid w:val="006852C7"/>
    <w:rsid w:val="006852CE"/>
    <w:rsid w:val="00692D14"/>
    <w:rsid w:val="006B65C7"/>
    <w:rsid w:val="006C1727"/>
    <w:rsid w:val="006C196D"/>
    <w:rsid w:val="006C32FD"/>
    <w:rsid w:val="006C39CE"/>
    <w:rsid w:val="006C4465"/>
    <w:rsid w:val="006C5E40"/>
    <w:rsid w:val="006D0FCC"/>
    <w:rsid w:val="006D21F5"/>
    <w:rsid w:val="006D5000"/>
    <w:rsid w:val="006E126D"/>
    <w:rsid w:val="006E1FC3"/>
    <w:rsid w:val="006E24B7"/>
    <w:rsid w:val="006E723A"/>
    <w:rsid w:val="00704270"/>
    <w:rsid w:val="007046E6"/>
    <w:rsid w:val="00704CE9"/>
    <w:rsid w:val="0070616B"/>
    <w:rsid w:val="00706295"/>
    <w:rsid w:val="00706FDA"/>
    <w:rsid w:val="00710910"/>
    <w:rsid w:val="00711F9A"/>
    <w:rsid w:val="00713810"/>
    <w:rsid w:val="007139BE"/>
    <w:rsid w:val="007272F6"/>
    <w:rsid w:val="007303A5"/>
    <w:rsid w:val="00730B3E"/>
    <w:rsid w:val="0073420B"/>
    <w:rsid w:val="0074760E"/>
    <w:rsid w:val="00754ABA"/>
    <w:rsid w:val="0076052A"/>
    <w:rsid w:val="00760EDC"/>
    <w:rsid w:val="00770F02"/>
    <w:rsid w:val="00776C36"/>
    <w:rsid w:val="00792849"/>
    <w:rsid w:val="007A1546"/>
    <w:rsid w:val="007A228C"/>
    <w:rsid w:val="007A368E"/>
    <w:rsid w:val="007A44C7"/>
    <w:rsid w:val="007A5868"/>
    <w:rsid w:val="007A7616"/>
    <w:rsid w:val="007B04CE"/>
    <w:rsid w:val="007B12E2"/>
    <w:rsid w:val="007B5B85"/>
    <w:rsid w:val="007B6871"/>
    <w:rsid w:val="007B7A2F"/>
    <w:rsid w:val="007C3D33"/>
    <w:rsid w:val="007D294A"/>
    <w:rsid w:val="007D47D2"/>
    <w:rsid w:val="007D690B"/>
    <w:rsid w:val="007D6EC0"/>
    <w:rsid w:val="007D7E1D"/>
    <w:rsid w:val="007F0C90"/>
    <w:rsid w:val="007F1E29"/>
    <w:rsid w:val="007F65D1"/>
    <w:rsid w:val="00810098"/>
    <w:rsid w:val="00815DE4"/>
    <w:rsid w:val="00824E56"/>
    <w:rsid w:val="00831266"/>
    <w:rsid w:val="00831979"/>
    <w:rsid w:val="00836325"/>
    <w:rsid w:val="00850A15"/>
    <w:rsid w:val="00851352"/>
    <w:rsid w:val="00857077"/>
    <w:rsid w:val="008611AB"/>
    <w:rsid w:val="00863230"/>
    <w:rsid w:val="008646C5"/>
    <w:rsid w:val="00865BD0"/>
    <w:rsid w:val="008717D8"/>
    <w:rsid w:val="0087215C"/>
    <w:rsid w:val="00873271"/>
    <w:rsid w:val="00875D25"/>
    <w:rsid w:val="00880E35"/>
    <w:rsid w:val="008875FE"/>
    <w:rsid w:val="00887F8E"/>
    <w:rsid w:val="00890685"/>
    <w:rsid w:val="00891072"/>
    <w:rsid w:val="00896234"/>
    <w:rsid w:val="00897E43"/>
    <w:rsid w:val="008A6425"/>
    <w:rsid w:val="008C1378"/>
    <w:rsid w:val="008C5738"/>
    <w:rsid w:val="008C7EAD"/>
    <w:rsid w:val="008D0CFE"/>
    <w:rsid w:val="008D6152"/>
    <w:rsid w:val="008F0F81"/>
    <w:rsid w:val="008F27BF"/>
    <w:rsid w:val="009142EC"/>
    <w:rsid w:val="009154C3"/>
    <w:rsid w:val="00921738"/>
    <w:rsid w:val="00923540"/>
    <w:rsid w:val="00926767"/>
    <w:rsid w:val="009361D5"/>
    <w:rsid w:val="009428A4"/>
    <w:rsid w:val="009508C3"/>
    <w:rsid w:val="00961C6E"/>
    <w:rsid w:val="009659F4"/>
    <w:rsid w:val="00970D60"/>
    <w:rsid w:val="00976B9A"/>
    <w:rsid w:val="0099390E"/>
    <w:rsid w:val="00993977"/>
    <w:rsid w:val="00995F83"/>
    <w:rsid w:val="009960E5"/>
    <w:rsid w:val="009A1306"/>
    <w:rsid w:val="009A53D1"/>
    <w:rsid w:val="009A7ADC"/>
    <w:rsid w:val="009C1718"/>
    <w:rsid w:val="009C19B7"/>
    <w:rsid w:val="009C5ABB"/>
    <w:rsid w:val="009D7C51"/>
    <w:rsid w:val="009E196C"/>
    <w:rsid w:val="009F0864"/>
    <w:rsid w:val="009F1D59"/>
    <w:rsid w:val="009F32CA"/>
    <w:rsid w:val="009F36BF"/>
    <w:rsid w:val="00A00DAA"/>
    <w:rsid w:val="00A111B6"/>
    <w:rsid w:val="00A13A30"/>
    <w:rsid w:val="00A26D27"/>
    <w:rsid w:val="00A376EE"/>
    <w:rsid w:val="00A41C83"/>
    <w:rsid w:val="00A41DE8"/>
    <w:rsid w:val="00A42A99"/>
    <w:rsid w:val="00A47E25"/>
    <w:rsid w:val="00A50A7B"/>
    <w:rsid w:val="00A5151A"/>
    <w:rsid w:val="00A53390"/>
    <w:rsid w:val="00A57E0A"/>
    <w:rsid w:val="00A603B4"/>
    <w:rsid w:val="00A63DCB"/>
    <w:rsid w:val="00A823F6"/>
    <w:rsid w:val="00A8719E"/>
    <w:rsid w:val="00A87C4C"/>
    <w:rsid w:val="00A9409E"/>
    <w:rsid w:val="00AA0A89"/>
    <w:rsid w:val="00AA6429"/>
    <w:rsid w:val="00AB5D83"/>
    <w:rsid w:val="00AC01AA"/>
    <w:rsid w:val="00AC4F72"/>
    <w:rsid w:val="00AE2A8B"/>
    <w:rsid w:val="00AF741A"/>
    <w:rsid w:val="00B01ADB"/>
    <w:rsid w:val="00B04161"/>
    <w:rsid w:val="00B056F9"/>
    <w:rsid w:val="00B11E3D"/>
    <w:rsid w:val="00B17A01"/>
    <w:rsid w:val="00B17E82"/>
    <w:rsid w:val="00B27944"/>
    <w:rsid w:val="00B30C52"/>
    <w:rsid w:val="00B41921"/>
    <w:rsid w:val="00B4575A"/>
    <w:rsid w:val="00B4624D"/>
    <w:rsid w:val="00B47E4C"/>
    <w:rsid w:val="00B575BA"/>
    <w:rsid w:val="00B71608"/>
    <w:rsid w:val="00B76429"/>
    <w:rsid w:val="00B956D4"/>
    <w:rsid w:val="00B966F5"/>
    <w:rsid w:val="00B97446"/>
    <w:rsid w:val="00BA2FA9"/>
    <w:rsid w:val="00BA5897"/>
    <w:rsid w:val="00BA7432"/>
    <w:rsid w:val="00BB2764"/>
    <w:rsid w:val="00BC1AA0"/>
    <w:rsid w:val="00BC2495"/>
    <w:rsid w:val="00BC7EB9"/>
    <w:rsid w:val="00BD2643"/>
    <w:rsid w:val="00BD56B1"/>
    <w:rsid w:val="00BD6558"/>
    <w:rsid w:val="00BD7267"/>
    <w:rsid w:val="00BD7AB4"/>
    <w:rsid w:val="00BF2F76"/>
    <w:rsid w:val="00BF3022"/>
    <w:rsid w:val="00BF3214"/>
    <w:rsid w:val="00BF321F"/>
    <w:rsid w:val="00BF5573"/>
    <w:rsid w:val="00C13E68"/>
    <w:rsid w:val="00C15867"/>
    <w:rsid w:val="00C166F2"/>
    <w:rsid w:val="00C16E3C"/>
    <w:rsid w:val="00C2296D"/>
    <w:rsid w:val="00C23155"/>
    <w:rsid w:val="00C40C41"/>
    <w:rsid w:val="00C40EA5"/>
    <w:rsid w:val="00C45885"/>
    <w:rsid w:val="00C50F22"/>
    <w:rsid w:val="00C57971"/>
    <w:rsid w:val="00C65BD7"/>
    <w:rsid w:val="00C76BA4"/>
    <w:rsid w:val="00C81D26"/>
    <w:rsid w:val="00C8399C"/>
    <w:rsid w:val="00C83A48"/>
    <w:rsid w:val="00C85865"/>
    <w:rsid w:val="00C85E85"/>
    <w:rsid w:val="00C86A22"/>
    <w:rsid w:val="00C87D47"/>
    <w:rsid w:val="00CA2EAE"/>
    <w:rsid w:val="00CA4AC1"/>
    <w:rsid w:val="00CB0316"/>
    <w:rsid w:val="00CB0B11"/>
    <w:rsid w:val="00CB426A"/>
    <w:rsid w:val="00CB5354"/>
    <w:rsid w:val="00CC3B68"/>
    <w:rsid w:val="00CC3C9E"/>
    <w:rsid w:val="00CC6A14"/>
    <w:rsid w:val="00CC70A3"/>
    <w:rsid w:val="00CD4442"/>
    <w:rsid w:val="00CD53C3"/>
    <w:rsid w:val="00CD574E"/>
    <w:rsid w:val="00CE4C22"/>
    <w:rsid w:val="00CE64F1"/>
    <w:rsid w:val="00CF1B88"/>
    <w:rsid w:val="00CF41EC"/>
    <w:rsid w:val="00CF5D04"/>
    <w:rsid w:val="00CF7E81"/>
    <w:rsid w:val="00D04DE4"/>
    <w:rsid w:val="00D063F1"/>
    <w:rsid w:val="00D14F22"/>
    <w:rsid w:val="00D2345C"/>
    <w:rsid w:val="00D3150D"/>
    <w:rsid w:val="00D3454C"/>
    <w:rsid w:val="00D46BBC"/>
    <w:rsid w:val="00D46D03"/>
    <w:rsid w:val="00D4741C"/>
    <w:rsid w:val="00D57918"/>
    <w:rsid w:val="00D73DC6"/>
    <w:rsid w:val="00D74C1A"/>
    <w:rsid w:val="00D75040"/>
    <w:rsid w:val="00D754C1"/>
    <w:rsid w:val="00D7609D"/>
    <w:rsid w:val="00D77393"/>
    <w:rsid w:val="00D77A35"/>
    <w:rsid w:val="00D81B3E"/>
    <w:rsid w:val="00D85975"/>
    <w:rsid w:val="00D90C70"/>
    <w:rsid w:val="00D90E49"/>
    <w:rsid w:val="00D9255E"/>
    <w:rsid w:val="00D96ADE"/>
    <w:rsid w:val="00DA0C54"/>
    <w:rsid w:val="00DA0CE2"/>
    <w:rsid w:val="00DA6CF3"/>
    <w:rsid w:val="00DB6129"/>
    <w:rsid w:val="00DC335A"/>
    <w:rsid w:val="00DC6A10"/>
    <w:rsid w:val="00DD0196"/>
    <w:rsid w:val="00DE0885"/>
    <w:rsid w:val="00DE657E"/>
    <w:rsid w:val="00DF1C37"/>
    <w:rsid w:val="00DF4704"/>
    <w:rsid w:val="00E024AA"/>
    <w:rsid w:val="00E15C77"/>
    <w:rsid w:val="00E250F1"/>
    <w:rsid w:val="00E30D2B"/>
    <w:rsid w:val="00E326C1"/>
    <w:rsid w:val="00E339F3"/>
    <w:rsid w:val="00E3550D"/>
    <w:rsid w:val="00E356A9"/>
    <w:rsid w:val="00E371E0"/>
    <w:rsid w:val="00E52838"/>
    <w:rsid w:val="00E614E0"/>
    <w:rsid w:val="00E71C53"/>
    <w:rsid w:val="00E73F7F"/>
    <w:rsid w:val="00E8012A"/>
    <w:rsid w:val="00E85409"/>
    <w:rsid w:val="00E85B97"/>
    <w:rsid w:val="00E86070"/>
    <w:rsid w:val="00EA0836"/>
    <w:rsid w:val="00EA429F"/>
    <w:rsid w:val="00EA4E05"/>
    <w:rsid w:val="00EA4F9E"/>
    <w:rsid w:val="00EA63CA"/>
    <w:rsid w:val="00EA6D3B"/>
    <w:rsid w:val="00EB00AD"/>
    <w:rsid w:val="00EB12A8"/>
    <w:rsid w:val="00EB136C"/>
    <w:rsid w:val="00EB480E"/>
    <w:rsid w:val="00EB5EC6"/>
    <w:rsid w:val="00EB7F44"/>
    <w:rsid w:val="00EB7FC9"/>
    <w:rsid w:val="00EC0170"/>
    <w:rsid w:val="00EC7BCD"/>
    <w:rsid w:val="00ED1AC8"/>
    <w:rsid w:val="00ED27E8"/>
    <w:rsid w:val="00ED7137"/>
    <w:rsid w:val="00EE4A85"/>
    <w:rsid w:val="00EF06EA"/>
    <w:rsid w:val="00F00079"/>
    <w:rsid w:val="00F00F7A"/>
    <w:rsid w:val="00F10263"/>
    <w:rsid w:val="00F15AE3"/>
    <w:rsid w:val="00F21088"/>
    <w:rsid w:val="00F327A2"/>
    <w:rsid w:val="00F327E7"/>
    <w:rsid w:val="00F35746"/>
    <w:rsid w:val="00F447C7"/>
    <w:rsid w:val="00F459B4"/>
    <w:rsid w:val="00F5211B"/>
    <w:rsid w:val="00F554A9"/>
    <w:rsid w:val="00F57841"/>
    <w:rsid w:val="00F713F3"/>
    <w:rsid w:val="00F716FD"/>
    <w:rsid w:val="00F80355"/>
    <w:rsid w:val="00F8136F"/>
    <w:rsid w:val="00F8575D"/>
    <w:rsid w:val="00F87C43"/>
    <w:rsid w:val="00F95CB1"/>
    <w:rsid w:val="00FB0C81"/>
    <w:rsid w:val="00FB6021"/>
    <w:rsid w:val="00FB7BC1"/>
    <w:rsid w:val="00FC2200"/>
    <w:rsid w:val="00FC2540"/>
    <w:rsid w:val="00FD026C"/>
    <w:rsid w:val="00FF0204"/>
    <w:rsid w:val="00FF11FE"/>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68F7A"/>
  <w15:docId w15:val="{476AF7C3-CC9C-44CA-95F3-ED0CE8F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50"/>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 w:type="character" w:customStyle="1" w:styleId="tlid-translation">
    <w:name w:val="tlid-translation"/>
    <w:basedOn w:val="DefaultParagraphFont"/>
    <w:rsid w:val="00E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88">
      <w:bodyDiv w:val="1"/>
      <w:marLeft w:val="0"/>
      <w:marRight w:val="0"/>
      <w:marTop w:val="0"/>
      <w:marBottom w:val="0"/>
      <w:divBdr>
        <w:top w:val="none" w:sz="0" w:space="0" w:color="auto"/>
        <w:left w:val="none" w:sz="0" w:space="0" w:color="auto"/>
        <w:bottom w:val="none" w:sz="0" w:space="0" w:color="auto"/>
        <w:right w:val="none" w:sz="0" w:space="0" w:color="auto"/>
      </w:divBdr>
    </w:div>
    <w:div w:id="88433222">
      <w:bodyDiv w:val="1"/>
      <w:marLeft w:val="0"/>
      <w:marRight w:val="0"/>
      <w:marTop w:val="0"/>
      <w:marBottom w:val="0"/>
      <w:divBdr>
        <w:top w:val="none" w:sz="0" w:space="0" w:color="auto"/>
        <w:left w:val="none" w:sz="0" w:space="0" w:color="auto"/>
        <w:bottom w:val="none" w:sz="0" w:space="0" w:color="auto"/>
        <w:right w:val="none" w:sz="0" w:space="0" w:color="auto"/>
      </w:divBdr>
    </w:div>
    <w:div w:id="207688237">
      <w:bodyDiv w:val="1"/>
      <w:marLeft w:val="0"/>
      <w:marRight w:val="0"/>
      <w:marTop w:val="0"/>
      <w:marBottom w:val="0"/>
      <w:divBdr>
        <w:top w:val="none" w:sz="0" w:space="0" w:color="auto"/>
        <w:left w:val="none" w:sz="0" w:space="0" w:color="auto"/>
        <w:bottom w:val="none" w:sz="0" w:space="0" w:color="auto"/>
        <w:right w:val="none" w:sz="0" w:space="0" w:color="auto"/>
      </w:divBdr>
    </w:div>
    <w:div w:id="417678233">
      <w:bodyDiv w:val="1"/>
      <w:marLeft w:val="0"/>
      <w:marRight w:val="0"/>
      <w:marTop w:val="0"/>
      <w:marBottom w:val="0"/>
      <w:divBdr>
        <w:top w:val="none" w:sz="0" w:space="0" w:color="auto"/>
        <w:left w:val="none" w:sz="0" w:space="0" w:color="auto"/>
        <w:bottom w:val="none" w:sz="0" w:space="0" w:color="auto"/>
        <w:right w:val="none" w:sz="0" w:space="0" w:color="auto"/>
      </w:divBdr>
    </w:div>
    <w:div w:id="731738603">
      <w:bodyDiv w:val="1"/>
      <w:marLeft w:val="0"/>
      <w:marRight w:val="0"/>
      <w:marTop w:val="0"/>
      <w:marBottom w:val="0"/>
      <w:divBdr>
        <w:top w:val="none" w:sz="0" w:space="0" w:color="auto"/>
        <w:left w:val="none" w:sz="0" w:space="0" w:color="auto"/>
        <w:bottom w:val="none" w:sz="0" w:space="0" w:color="auto"/>
        <w:right w:val="none" w:sz="0" w:space="0" w:color="auto"/>
      </w:divBdr>
    </w:div>
    <w:div w:id="763840542">
      <w:bodyDiv w:val="1"/>
      <w:marLeft w:val="0"/>
      <w:marRight w:val="0"/>
      <w:marTop w:val="0"/>
      <w:marBottom w:val="0"/>
      <w:divBdr>
        <w:top w:val="none" w:sz="0" w:space="0" w:color="auto"/>
        <w:left w:val="none" w:sz="0" w:space="0" w:color="auto"/>
        <w:bottom w:val="none" w:sz="0" w:space="0" w:color="auto"/>
        <w:right w:val="none" w:sz="0" w:space="0" w:color="auto"/>
      </w:divBdr>
    </w:div>
    <w:div w:id="820734440">
      <w:bodyDiv w:val="1"/>
      <w:marLeft w:val="0"/>
      <w:marRight w:val="0"/>
      <w:marTop w:val="0"/>
      <w:marBottom w:val="0"/>
      <w:divBdr>
        <w:top w:val="none" w:sz="0" w:space="0" w:color="auto"/>
        <w:left w:val="none" w:sz="0" w:space="0" w:color="auto"/>
        <w:bottom w:val="none" w:sz="0" w:space="0" w:color="auto"/>
        <w:right w:val="none" w:sz="0" w:space="0" w:color="auto"/>
      </w:divBdr>
    </w:div>
    <w:div w:id="840202626">
      <w:bodyDiv w:val="1"/>
      <w:marLeft w:val="0"/>
      <w:marRight w:val="0"/>
      <w:marTop w:val="0"/>
      <w:marBottom w:val="0"/>
      <w:divBdr>
        <w:top w:val="none" w:sz="0" w:space="0" w:color="auto"/>
        <w:left w:val="none" w:sz="0" w:space="0" w:color="auto"/>
        <w:bottom w:val="none" w:sz="0" w:space="0" w:color="auto"/>
        <w:right w:val="none" w:sz="0" w:space="0" w:color="auto"/>
      </w:divBdr>
    </w:div>
    <w:div w:id="1245803847">
      <w:bodyDiv w:val="1"/>
      <w:marLeft w:val="0"/>
      <w:marRight w:val="0"/>
      <w:marTop w:val="0"/>
      <w:marBottom w:val="0"/>
      <w:divBdr>
        <w:top w:val="none" w:sz="0" w:space="0" w:color="auto"/>
        <w:left w:val="none" w:sz="0" w:space="0" w:color="auto"/>
        <w:bottom w:val="none" w:sz="0" w:space="0" w:color="auto"/>
        <w:right w:val="none" w:sz="0" w:space="0" w:color="auto"/>
      </w:divBdr>
    </w:div>
    <w:div w:id="185010203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72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UNEP/OzL.Pro/ExCom/86/34</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D376C8-F98F-4984-B1EC-C313A77F70D0}"/>
</file>

<file path=customXml/itemProps2.xml><?xml version="1.0" encoding="utf-8"?>
<ds:datastoreItem xmlns:ds="http://schemas.openxmlformats.org/officeDocument/2006/customXml" ds:itemID="{6ED14AA6-9BD0-477D-9157-D4D7CD6A1338}"/>
</file>

<file path=customXml/itemProps3.xml><?xml version="1.0" encoding="utf-8"?>
<ds:datastoreItem xmlns:ds="http://schemas.openxmlformats.org/officeDocument/2006/customXml" ds:itemID="{9DBEF4BF-2D4D-4081-A71D-B8B3727954E4}"/>
</file>

<file path=customXml/itemProps4.xml><?xml version="1.0" encoding="utf-8"?>
<ds:datastoreItem xmlns:ds="http://schemas.openxmlformats.org/officeDocument/2006/customXml" ds:itemID="{7A543D99-A665-4DA1-ABB9-D08E9623E2F0}"/>
</file>

<file path=docProps/app.xml><?xml version="1.0" encoding="utf-8"?>
<Properties xmlns="http://schemas.openxmlformats.org/officeDocument/2006/extended-properties" xmlns:vt="http://schemas.openxmlformats.org/officeDocument/2006/docPropsVTypes">
  <Template>Normal</Template>
  <TotalTime>926</TotalTime>
  <Pages>1</Pages>
  <Words>5356</Words>
  <Characters>30531</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Amendements au programme de travail du PNUE pour l’année 2020</vt:lpstr>
      <vt:lpstr>UNEP’s work programme amendment for 2020</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au programme de travail du PNUE pour l’année 2020</dc:title>
  <dc:creator>Cecilia Mercado</dc:creator>
  <cp:lastModifiedBy>HB</cp:lastModifiedBy>
  <cp:revision>31</cp:revision>
  <cp:lastPrinted>2020-11-13T14:53:00Z</cp:lastPrinted>
  <dcterms:created xsi:type="dcterms:W3CDTF">2020-11-12T08:26:00Z</dcterms:created>
  <dcterms:modified xsi:type="dcterms:W3CDTF">2020-11-26T16:57:00Z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UNEP/OzL.Pro/ExCom/86/34</vt:lpwstr>
  </property>
  <property fmtid="{D5CDD505-2E9C-101B-9397-08002B2CF9AE}" pid="3" name="Revision date">
    <vt:lpwstr>11/2/2020</vt:lpwstr>
  </property>
  <property fmtid="{D5CDD505-2E9C-101B-9397-08002B2CF9AE}" pid="4" name="ContentTypeId">
    <vt:lpwstr>0x01010021475DA1A9724F448487545E7E03A732</vt:lpwstr>
  </property>
</Properties>
</file>