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2" w:type="dxa"/>
        <w:tblInd w:w="-432" w:type="dxa"/>
        <w:tblLayout w:type="fixed"/>
        <w:tblLook w:val="0000" w:firstRow="0" w:lastRow="0" w:firstColumn="0" w:lastColumn="0" w:noHBand="0" w:noVBand="0"/>
      </w:tblPr>
      <w:tblGrid>
        <w:gridCol w:w="1894"/>
        <w:gridCol w:w="4048"/>
        <w:gridCol w:w="4200"/>
      </w:tblGrid>
      <w:tr w:rsidR="0087455A" w:rsidRPr="000458F8" w14:paraId="7EAB37FB" w14:textId="77777777" w:rsidTr="008E3F5E">
        <w:trPr>
          <w:trHeight w:val="716"/>
        </w:trPr>
        <w:tc>
          <w:tcPr>
            <w:tcW w:w="5942" w:type="dxa"/>
            <w:gridSpan w:val="2"/>
            <w:tcBorders>
              <w:bottom w:val="single" w:sz="18" w:space="0" w:color="auto"/>
            </w:tcBorders>
          </w:tcPr>
          <w:p w14:paraId="208308AB" w14:textId="77777777" w:rsidR="0087455A" w:rsidRPr="000458F8" w:rsidRDefault="0024162E">
            <w:pPr>
              <w:rPr>
                <w:rFonts w:ascii="Univers" w:hAnsi="Univers"/>
                <w:b/>
                <w:sz w:val="28"/>
                <w:szCs w:val="28"/>
                <w:lang w:val="es-ES_tradnl"/>
              </w:rPr>
            </w:pPr>
            <w:r w:rsidRPr="000458F8">
              <w:rPr>
                <w:rFonts w:ascii="Univers" w:hAnsi="Univers"/>
                <w:b/>
                <w:sz w:val="28"/>
                <w:szCs w:val="28"/>
                <w:lang w:val="es-ES_tradnl"/>
              </w:rPr>
              <w:t>NACIONES</w:t>
            </w:r>
          </w:p>
          <w:p w14:paraId="5DF05239" w14:textId="77777777" w:rsidR="0087455A" w:rsidRPr="000458F8" w:rsidRDefault="0024162E">
            <w:pPr>
              <w:rPr>
                <w:rFonts w:ascii="Univers" w:hAnsi="Univers"/>
                <w:b/>
                <w:sz w:val="28"/>
                <w:szCs w:val="28"/>
                <w:lang w:val="es-ES_tradnl"/>
              </w:rPr>
            </w:pPr>
            <w:r w:rsidRPr="000458F8">
              <w:rPr>
                <w:rFonts w:ascii="Univers" w:hAnsi="Univers"/>
                <w:b/>
                <w:sz w:val="28"/>
                <w:szCs w:val="28"/>
                <w:lang w:val="es-ES_tradnl"/>
              </w:rPr>
              <w:t>UNIDAS</w:t>
            </w:r>
          </w:p>
        </w:tc>
        <w:tc>
          <w:tcPr>
            <w:tcW w:w="4200" w:type="dxa"/>
            <w:tcBorders>
              <w:bottom w:val="single" w:sz="18" w:space="0" w:color="auto"/>
            </w:tcBorders>
          </w:tcPr>
          <w:p w14:paraId="678F4732" w14:textId="77777777" w:rsidR="0087455A" w:rsidRPr="000458F8" w:rsidRDefault="0024162E">
            <w:pPr>
              <w:jc w:val="right"/>
              <w:rPr>
                <w:rFonts w:asciiTheme="minorBidi" w:hAnsiTheme="minorBidi" w:cstheme="minorBidi"/>
                <w:sz w:val="52"/>
                <w:szCs w:val="52"/>
                <w:lang w:val="es-ES_tradnl"/>
              </w:rPr>
            </w:pPr>
            <w:r w:rsidRPr="000458F8">
              <w:rPr>
                <w:rFonts w:asciiTheme="minorBidi" w:hAnsiTheme="minorBidi" w:cstheme="minorBidi"/>
                <w:b/>
                <w:sz w:val="72"/>
                <w:lang w:val="es-ES_tradnl"/>
              </w:rPr>
              <w:t>EP</w:t>
            </w:r>
          </w:p>
        </w:tc>
      </w:tr>
      <w:tr w:rsidR="0087455A" w:rsidRPr="000458F8" w14:paraId="30B3E60A" w14:textId="77777777" w:rsidTr="008E3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1894" w:type="dxa"/>
            <w:tcBorders>
              <w:top w:val="nil"/>
              <w:left w:val="nil"/>
              <w:bottom w:val="single" w:sz="36" w:space="0" w:color="auto"/>
              <w:right w:val="nil"/>
            </w:tcBorders>
          </w:tcPr>
          <w:p w14:paraId="098F8AD4" w14:textId="77777777" w:rsidR="0087455A" w:rsidRPr="000458F8" w:rsidRDefault="0024162E">
            <w:pPr>
              <w:spacing w:before="120"/>
              <w:rPr>
                <w:lang w:val="es-ES_tradnl"/>
              </w:rPr>
            </w:pPr>
            <w:r w:rsidRPr="000458F8">
              <w:rPr>
                <w:noProof/>
                <w:lang w:val="en-US"/>
              </w:rPr>
              <w:drawing>
                <wp:anchor distT="0" distB="0" distL="114300" distR="114300" simplePos="0" relativeHeight="251660288" behindDoc="0" locked="0" layoutInCell="1" allowOverlap="1" wp14:anchorId="0ECB79C3" wp14:editId="13372E7E">
                  <wp:simplePos x="0" y="0"/>
                  <wp:positionH relativeFrom="column">
                    <wp:posOffset>40005</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0458F8">
              <w:rPr>
                <w:noProof/>
                <w:lang w:val="en-US"/>
              </w:rPr>
              <w:drawing>
                <wp:anchor distT="0" distB="0" distL="114300" distR="114300" simplePos="0" relativeHeight="251661312" behindDoc="1" locked="0" layoutInCell="0" allowOverlap="1" wp14:anchorId="4E927C2F" wp14:editId="64B2FEF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048" w:type="dxa"/>
            <w:tcBorders>
              <w:top w:val="nil"/>
              <w:left w:val="nil"/>
              <w:bottom w:val="single" w:sz="36" w:space="0" w:color="auto"/>
              <w:right w:val="nil"/>
            </w:tcBorders>
          </w:tcPr>
          <w:p w14:paraId="62CD9731" w14:textId="77777777" w:rsidR="0087455A" w:rsidRPr="000458F8"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p>
          <w:p w14:paraId="042E2B24" w14:textId="77777777" w:rsidR="0087455A" w:rsidRPr="000458F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0458F8">
              <w:rPr>
                <w:rFonts w:ascii="Univers" w:hAnsi="Univers"/>
                <w:b/>
                <w:sz w:val="32"/>
                <w:lang w:val="es-ES_tradnl"/>
              </w:rPr>
              <w:t>Programa de las</w:t>
            </w:r>
          </w:p>
          <w:p w14:paraId="7A39AC9C" w14:textId="77777777" w:rsidR="0087455A" w:rsidRPr="000458F8"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0458F8">
              <w:rPr>
                <w:rFonts w:ascii="Univers" w:hAnsi="Univers"/>
                <w:b/>
                <w:sz w:val="32"/>
                <w:lang w:val="es-ES_tradnl"/>
              </w:rPr>
              <w:t>Naciones Unidas</w:t>
            </w:r>
          </w:p>
          <w:p w14:paraId="613903C5" w14:textId="5780E69F" w:rsidR="0087455A" w:rsidRPr="000458F8" w:rsidRDefault="0024162E" w:rsidP="008E3F5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0458F8">
              <w:rPr>
                <w:rFonts w:ascii="Univers" w:hAnsi="Univers"/>
                <w:b/>
                <w:sz w:val="32"/>
                <w:lang w:val="es-ES_tradnl"/>
              </w:rPr>
              <w:t>para el Medio Ambiente</w:t>
            </w:r>
          </w:p>
        </w:tc>
        <w:tc>
          <w:tcPr>
            <w:tcW w:w="4200" w:type="dxa"/>
            <w:tcBorders>
              <w:top w:val="nil"/>
              <w:left w:val="nil"/>
              <w:bottom w:val="single" w:sz="36" w:space="0" w:color="auto"/>
              <w:right w:val="nil"/>
            </w:tcBorders>
          </w:tcPr>
          <w:p w14:paraId="635277C1" w14:textId="77777777" w:rsidR="0087455A" w:rsidRPr="000458F8" w:rsidRDefault="0087455A">
            <w:pPr>
              <w:rPr>
                <w:lang w:val="es-ES_tradnl"/>
              </w:rPr>
            </w:pPr>
          </w:p>
          <w:p w14:paraId="6DC9031F" w14:textId="77777777" w:rsidR="0087455A" w:rsidRPr="000458F8" w:rsidRDefault="0024162E">
            <w:pPr>
              <w:rPr>
                <w:lang w:val="es-ES_tradnl"/>
              </w:rPr>
            </w:pPr>
            <w:r w:rsidRPr="000458F8">
              <w:rPr>
                <w:lang w:val="es-ES_tradnl"/>
              </w:rPr>
              <w:t>Distr.</w:t>
            </w:r>
          </w:p>
          <w:p w14:paraId="5389BE90" w14:textId="77777777" w:rsidR="0087455A" w:rsidRPr="000458F8" w:rsidRDefault="0024162E">
            <w:pPr>
              <w:rPr>
                <w:lang w:val="es-ES_tradnl"/>
              </w:rPr>
            </w:pPr>
            <w:r w:rsidRPr="000458F8">
              <w:rPr>
                <w:lang w:val="es-ES_tradnl"/>
              </w:rPr>
              <w:t>GENERAL</w:t>
            </w:r>
          </w:p>
          <w:p w14:paraId="66606F5B" w14:textId="77777777" w:rsidR="0087455A" w:rsidRPr="000458F8" w:rsidRDefault="0087455A">
            <w:pPr>
              <w:rPr>
                <w:lang w:val="es-ES_tradnl"/>
              </w:rPr>
            </w:pPr>
          </w:p>
          <w:p w14:paraId="1C9CD61F" w14:textId="175598D4" w:rsidR="0087455A" w:rsidRPr="000458F8" w:rsidRDefault="0024162E">
            <w:pPr>
              <w:rPr>
                <w:lang w:val="es-ES_tradnl"/>
              </w:rPr>
            </w:pPr>
            <w:r w:rsidRPr="000458F8">
              <w:rPr>
                <w:lang w:val="es-ES_tradnl"/>
              </w:rPr>
              <w:fldChar w:fldCharType="begin"/>
            </w:r>
            <w:r w:rsidRPr="000458F8">
              <w:rPr>
                <w:lang w:val="es-ES_tradnl"/>
              </w:rPr>
              <w:instrText xml:space="preserve"> DOCPROPERTY "Document number"  \* MERGEFORMAT </w:instrText>
            </w:r>
            <w:r w:rsidRPr="000458F8">
              <w:rPr>
                <w:lang w:val="es-ES_tradnl"/>
              </w:rPr>
              <w:fldChar w:fldCharType="separate"/>
            </w:r>
            <w:r w:rsidR="00DB56CB">
              <w:rPr>
                <w:lang w:val="es-ES_tradnl"/>
              </w:rPr>
              <w:t>UNEP/OzL.Pro/ExCom/86/17</w:t>
            </w:r>
            <w:r w:rsidRPr="000458F8">
              <w:rPr>
                <w:lang w:val="es-ES_tradnl"/>
              </w:rPr>
              <w:fldChar w:fldCharType="end"/>
            </w:r>
          </w:p>
          <w:p w14:paraId="47CF117E" w14:textId="77777777" w:rsidR="0087455A" w:rsidRPr="000458F8" w:rsidRDefault="001C2D22" w:rsidP="00F10CD9">
            <w:pPr>
              <w:rPr>
                <w:caps/>
                <w:lang w:val="es-ES_tradnl"/>
              </w:rPr>
            </w:pPr>
            <w:r w:rsidRPr="000458F8">
              <w:rPr>
                <w:caps/>
                <w:lang w:val="es-ES_tradnl"/>
              </w:rPr>
              <w:t>2</w:t>
            </w:r>
            <w:r w:rsidR="00C40E04" w:rsidRPr="000458F8">
              <w:rPr>
                <w:caps/>
                <w:lang w:val="es-ES_tradnl"/>
              </w:rPr>
              <w:t>3</w:t>
            </w:r>
            <w:r w:rsidR="00114CAA" w:rsidRPr="000458F8">
              <w:rPr>
                <w:caps/>
                <w:lang w:val="es-ES_tradnl"/>
              </w:rPr>
              <w:t xml:space="preserve"> </w:t>
            </w:r>
            <w:r w:rsidR="00114CAA" w:rsidRPr="000458F8">
              <w:rPr>
                <w:lang w:val="es-ES_tradnl"/>
              </w:rPr>
              <w:t xml:space="preserve">de </w:t>
            </w:r>
            <w:r w:rsidR="00B83FFA" w:rsidRPr="000458F8">
              <w:rPr>
                <w:lang w:val="es-ES_tradnl"/>
              </w:rPr>
              <w:t>octubre</w:t>
            </w:r>
            <w:r w:rsidR="00114CAA" w:rsidRPr="000458F8">
              <w:rPr>
                <w:lang w:val="es-ES_tradnl"/>
              </w:rPr>
              <w:t xml:space="preserve"> de </w:t>
            </w:r>
            <w:r w:rsidRPr="000458F8">
              <w:rPr>
                <w:caps/>
                <w:lang w:val="es-ES_tradnl"/>
              </w:rPr>
              <w:t>20</w:t>
            </w:r>
            <w:r w:rsidR="00C40E04" w:rsidRPr="000458F8">
              <w:rPr>
                <w:caps/>
                <w:lang w:val="es-ES_tradnl"/>
              </w:rPr>
              <w:t>20</w:t>
            </w:r>
          </w:p>
          <w:p w14:paraId="6DDEEB62" w14:textId="77777777" w:rsidR="00114CAA" w:rsidRPr="000458F8" w:rsidRDefault="00114CAA">
            <w:pPr>
              <w:rPr>
                <w:caps/>
                <w:lang w:val="es-ES_tradnl"/>
              </w:rPr>
            </w:pPr>
          </w:p>
          <w:p w14:paraId="1BF8FBED" w14:textId="77777777" w:rsidR="0087455A" w:rsidRPr="000458F8" w:rsidRDefault="0024162E">
            <w:pPr>
              <w:rPr>
                <w:lang w:val="es-ES_tradnl"/>
              </w:rPr>
            </w:pPr>
            <w:r w:rsidRPr="000458F8">
              <w:rPr>
                <w:lang w:val="es-ES_tradnl"/>
              </w:rPr>
              <w:t xml:space="preserve">ESPAÑOL </w:t>
            </w:r>
          </w:p>
          <w:p w14:paraId="39E5672C" w14:textId="77777777" w:rsidR="0087455A" w:rsidRPr="000458F8" w:rsidRDefault="0024162E">
            <w:pPr>
              <w:rPr>
                <w:lang w:val="es-ES_tradnl"/>
              </w:rPr>
            </w:pPr>
            <w:r w:rsidRPr="000458F8">
              <w:rPr>
                <w:lang w:val="es-ES_tradnl"/>
              </w:rPr>
              <w:t>ORIGINAL: INGLÉS</w:t>
            </w:r>
          </w:p>
        </w:tc>
      </w:tr>
    </w:tbl>
    <w:p w14:paraId="39569618" w14:textId="77777777" w:rsidR="0087455A" w:rsidRPr="000458F8" w:rsidRDefault="0024162E">
      <w:pPr>
        <w:jc w:val="left"/>
        <w:rPr>
          <w:lang w:val="es-ES_tradnl"/>
        </w:rPr>
      </w:pPr>
      <w:r w:rsidRPr="000458F8">
        <w:rPr>
          <w:lang w:val="es-ES_tradnl"/>
        </w:rPr>
        <w:t>COMITÉ EJECUTIVO DEL FONDO MULTILATERAL</w:t>
      </w:r>
      <w:r w:rsidRPr="000458F8">
        <w:rPr>
          <w:lang w:val="es-ES_tradnl"/>
        </w:rPr>
        <w:br/>
        <w:t xml:space="preserve">  PARA LA APLICACIÓN DEL</w:t>
      </w:r>
      <w:r w:rsidRPr="000458F8">
        <w:rPr>
          <w:lang w:val="es-ES_tradnl"/>
        </w:rPr>
        <w:br/>
        <w:t xml:space="preserve">  PROTOCOLO DE MONTREAL</w:t>
      </w:r>
    </w:p>
    <w:p w14:paraId="49C8ECAA" w14:textId="77777777" w:rsidR="00106F6E" w:rsidRPr="000458F8" w:rsidRDefault="00106F6E" w:rsidP="001F4047">
      <w:pPr>
        <w:jc w:val="left"/>
        <w:rPr>
          <w:lang w:val="es-ES_tradnl"/>
        </w:rPr>
      </w:pPr>
      <w:r w:rsidRPr="000458F8">
        <w:rPr>
          <w:lang w:val="es-ES_tradnl"/>
        </w:rPr>
        <w:t xml:space="preserve">Octogésima </w:t>
      </w:r>
      <w:r w:rsidR="006915A5" w:rsidRPr="000458F8">
        <w:rPr>
          <w:lang w:val="es-ES_tradnl"/>
        </w:rPr>
        <w:t>sexta</w:t>
      </w:r>
      <w:r w:rsidR="003863A4" w:rsidRPr="000458F8">
        <w:rPr>
          <w:lang w:val="es-ES_tradnl"/>
        </w:rPr>
        <w:t xml:space="preserve"> Reunión</w:t>
      </w:r>
      <w:r w:rsidR="003863A4" w:rsidRPr="000458F8">
        <w:rPr>
          <w:lang w:val="es-ES_tradnl"/>
        </w:rPr>
        <w:br/>
        <w:t xml:space="preserve">Montreal, </w:t>
      </w:r>
      <w:r w:rsidR="0092685B" w:rsidRPr="000458F8">
        <w:rPr>
          <w:lang w:val="es-ES_tradnl"/>
        </w:rPr>
        <w:t>2</w:t>
      </w:r>
      <w:r w:rsidR="003863A4" w:rsidRPr="000458F8">
        <w:rPr>
          <w:lang w:val="es-ES_tradnl"/>
        </w:rPr>
        <w:t xml:space="preserve"> </w:t>
      </w:r>
      <w:r w:rsidRPr="000458F8">
        <w:rPr>
          <w:lang w:val="es-ES_tradnl"/>
        </w:rPr>
        <w:t xml:space="preserve">– </w:t>
      </w:r>
      <w:r w:rsidR="00B83FFA" w:rsidRPr="000458F8">
        <w:rPr>
          <w:lang w:val="es-ES_tradnl"/>
        </w:rPr>
        <w:t>6</w:t>
      </w:r>
      <w:r w:rsidRPr="000458F8">
        <w:rPr>
          <w:lang w:val="es-ES_tradnl"/>
        </w:rPr>
        <w:t xml:space="preserve"> de </w:t>
      </w:r>
      <w:r w:rsidR="00B83FFA" w:rsidRPr="000458F8">
        <w:rPr>
          <w:lang w:val="es-ES_tradnl"/>
        </w:rPr>
        <w:t>noviembre</w:t>
      </w:r>
      <w:r w:rsidR="001C2D22" w:rsidRPr="000458F8">
        <w:rPr>
          <w:lang w:val="es-ES_tradnl"/>
        </w:rPr>
        <w:t xml:space="preserve"> de 20</w:t>
      </w:r>
      <w:r w:rsidR="0092685B" w:rsidRPr="000458F8">
        <w:rPr>
          <w:lang w:val="es-ES_tradnl"/>
        </w:rPr>
        <w:t>20</w:t>
      </w:r>
    </w:p>
    <w:p w14:paraId="55B8B129" w14:textId="3182CF45" w:rsidR="008E3F5E" w:rsidRPr="000458F8" w:rsidRDefault="00C40E04" w:rsidP="008E3F5E">
      <w:pPr>
        <w:jc w:val="left"/>
        <w:rPr>
          <w:lang w:val="es-ES_tradnl"/>
        </w:rPr>
      </w:pPr>
      <w:r w:rsidRPr="000458F8">
        <w:rPr>
          <w:lang w:val="es-ES_tradnl"/>
        </w:rPr>
        <w:t xml:space="preserve">Pospuesta: </w:t>
      </w:r>
      <w:r w:rsidR="00B83FFA" w:rsidRPr="000458F8">
        <w:rPr>
          <w:lang w:val="es-ES_tradnl"/>
        </w:rPr>
        <w:t>8</w:t>
      </w:r>
      <w:r w:rsidRPr="000458F8">
        <w:rPr>
          <w:lang w:val="es-ES_tradnl"/>
        </w:rPr>
        <w:t xml:space="preserve"> – </w:t>
      </w:r>
      <w:r w:rsidR="00B83FFA" w:rsidRPr="000458F8">
        <w:rPr>
          <w:lang w:val="es-ES_tradnl"/>
        </w:rPr>
        <w:t>1</w:t>
      </w:r>
      <w:r w:rsidRPr="000458F8">
        <w:rPr>
          <w:lang w:val="es-ES_tradnl"/>
        </w:rPr>
        <w:t xml:space="preserve">2 de </w:t>
      </w:r>
      <w:r w:rsidR="00B83FFA" w:rsidRPr="000458F8">
        <w:rPr>
          <w:lang w:val="es-ES_tradnl"/>
        </w:rPr>
        <w:t>marzo</w:t>
      </w:r>
      <w:r w:rsidRPr="000458F8">
        <w:rPr>
          <w:lang w:val="es-ES_tradnl"/>
        </w:rPr>
        <w:t xml:space="preserve"> de 202</w:t>
      </w:r>
      <w:r w:rsidR="008E3F5E" w:rsidRPr="000458F8">
        <w:rPr>
          <w:lang w:val="es-ES_tradnl"/>
        </w:rPr>
        <w:t>1</w:t>
      </w:r>
      <w:r w:rsidR="008E3F5E" w:rsidRPr="000458F8">
        <w:rPr>
          <w:rStyle w:val="FootnoteReference"/>
          <w:lang w:val="es-ES_tradnl"/>
        </w:rPr>
        <w:footnoteReference w:id="1"/>
      </w:r>
    </w:p>
    <w:p w14:paraId="3C2C01D0" w14:textId="29714EF5" w:rsidR="0092685B" w:rsidRPr="000458F8" w:rsidRDefault="0092685B" w:rsidP="001F4047">
      <w:pPr>
        <w:jc w:val="left"/>
        <w:rPr>
          <w:lang w:val="es-ES_tradnl"/>
        </w:rPr>
      </w:pPr>
    </w:p>
    <w:p w14:paraId="2039A0BF" w14:textId="77777777" w:rsidR="008E3F5E" w:rsidRPr="000458F8" w:rsidRDefault="008E3F5E" w:rsidP="00C3420C">
      <w:pPr>
        <w:jc w:val="left"/>
        <w:rPr>
          <w:lang w:val="es-ES_tradnl"/>
        </w:rPr>
      </w:pPr>
    </w:p>
    <w:p w14:paraId="33D5A5D8" w14:textId="77777777" w:rsidR="00C3420C" w:rsidRPr="000458F8" w:rsidRDefault="00C3420C" w:rsidP="00C3420C">
      <w:pPr>
        <w:pStyle w:val="Title1"/>
        <w:rPr>
          <w:lang w:val="es-ES_tradnl"/>
        </w:rPr>
      </w:pPr>
    </w:p>
    <w:p w14:paraId="26481B99" w14:textId="247F6076" w:rsidR="00C3420C" w:rsidRPr="000458F8" w:rsidRDefault="00CD204C" w:rsidP="00C3420C">
      <w:pPr>
        <w:jc w:val="center"/>
        <w:rPr>
          <w:b/>
          <w:bCs/>
          <w:noProof/>
          <w:lang w:val="es-ES_tradnl"/>
        </w:rPr>
      </w:pPr>
      <w:r w:rsidRPr="000458F8">
        <w:rPr>
          <w:b/>
          <w:bCs/>
          <w:noProof/>
          <w:lang w:val="es-ES_tradnl"/>
        </w:rPr>
        <w:t xml:space="preserve">INFORME SOBRE LA MARCHA DE LAS ACTIVIDADES DEL PNUD </w:t>
      </w:r>
      <w:r w:rsidRPr="000458F8">
        <w:rPr>
          <w:b/>
          <w:bCs/>
          <w:noProof/>
          <w:lang w:val="es-ES_tradnl"/>
        </w:rPr>
        <w:br/>
        <w:t xml:space="preserve">AL 31 DE DICIEMBRE DE </w:t>
      </w:r>
      <w:r w:rsidR="00C3420C" w:rsidRPr="000458F8">
        <w:rPr>
          <w:b/>
          <w:bCs/>
          <w:noProof/>
          <w:lang w:val="es-ES_tradnl"/>
        </w:rPr>
        <w:t>2019</w:t>
      </w:r>
    </w:p>
    <w:p w14:paraId="3757850A" w14:textId="0D0DCE31" w:rsidR="00C3420C" w:rsidRDefault="00C3420C" w:rsidP="00C3420C">
      <w:pPr>
        <w:rPr>
          <w:lang w:val="es-ES_tradnl"/>
        </w:rPr>
      </w:pPr>
    </w:p>
    <w:p w14:paraId="65ABDF67" w14:textId="77777777" w:rsidR="00DB56CB" w:rsidRPr="000458F8" w:rsidRDefault="00DB56CB" w:rsidP="00C3420C">
      <w:pPr>
        <w:rPr>
          <w:lang w:val="es-ES_tradnl"/>
        </w:rPr>
      </w:pPr>
    </w:p>
    <w:p w14:paraId="33979CE9" w14:textId="2B492A0D" w:rsidR="00C3420C" w:rsidRPr="000458F8" w:rsidRDefault="00CD204C" w:rsidP="00C3420C">
      <w:pPr>
        <w:pStyle w:val="Heading1"/>
        <w:tabs>
          <w:tab w:val="clear" w:pos="0"/>
        </w:tabs>
        <w:rPr>
          <w:lang w:val="es-ES_tradnl"/>
        </w:rPr>
      </w:pPr>
      <w:r w:rsidRPr="000458F8">
        <w:rPr>
          <w:lang w:val="es-ES_tradnl"/>
        </w:rPr>
        <w:t xml:space="preserve">El presente documento presenta el informe sobre la marcha de las actividades del PNUD al 31 de diciembre de </w:t>
      </w:r>
      <w:r w:rsidR="00C3420C" w:rsidRPr="000458F8">
        <w:rPr>
          <w:lang w:val="es-ES_tradnl"/>
        </w:rPr>
        <w:t>2019</w:t>
      </w:r>
      <w:r w:rsidR="00C3420C" w:rsidRPr="000458F8">
        <w:rPr>
          <w:rStyle w:val="FootnoteReference"/>
          <w:sz w:val="22"/>
          <w:szCs w:val="22"/>
          <w:lang w:val="es-ES_tradnl"/>
        </w:rPr>
        <w:footnoteReference w:id="2"/>
      </w:r>
      <w:r w:rsidRPr="000458F8">
        <w:rPr>
          <w:lang w:val="es-ES_tradnl"/>
        </w:rPr>
        <w:t>.</w:t>
      </w:r>
      <w:r w:rsidR="00C3420C" w:rsidRPr="000458F8">
        <w:rPr>
          <w:lang w:val="es-ES_tradnl"/>
        </w:rPr>
        <w:t xml:space="preserve"> </w:t>
      </w:r>
    </w:p>
    <w:p w14:paraId="5A6B6D09" w14:textId="6C580069" w:rsidR="00C3420C" w:rsidRPr="000458F8" w:rsidRDefault="00C3420C" w:rsidP="00C3420C">
      <w:pPr>
        <w:rPr>
          <w:b/>
          <w:lang w:val="es-ES_tradnl"/>
        </w:rPr>
      </w:pPr>
      <w:r w:rsidRPr="000458F8">
        <w:rPr>
          <w:b/>
          <w:lang w:val="es-ES_tradnl"/>
        </w:rPr>
        <w:t>Introdu</w:t>
      </w:r>
      <w:r w:rsidR="005A10D3" w:rsidRPr="000458F8">
        <w:rPr>
          <w:b/>
          <w:lang w:val="es-ES_tradnl"/>
        </w:rPr>
        <w:t>cción</w:t>
      </w:r>
    </w:p>
    <w:p w14:paraId="6642DCAA" w14:textId="77777777" w:rsidR="00C3420C" w:rsidRPr="000458F8" w:rsidRDefault="00C3420C" w:rsidP="00C3420C">
      <w:pPr>
        <w:rPr>
          <w:lang w:val="es-ES_tradnl"/>
        </w:rPr>
      </w:pPr>
    </w:p>
    <w:p w14:paraId="7702AEC9" w14:textId="723C67DC" w:rsidR="007A6B24" w:rsidRPr="000458F8" w:rsidRDefault="00F60E79" w:rsidP="00410A07">
      <w:pPr>
        <w:pStyle w:val="Heading1"/>
        <w:tabs>
          <w:tab w:val="clear" w:pos="0"/>
        </w:tabs>
        <w:rPr>
          <w:lang w:val="es-ES_tradnl"/>
        </w:rPr>
      </w:pPr>
      <w:r w:rsidRPr="000458F8">
        <w:rPr>
          <w:lang w:val="es-ES_tradnl"/>
        </w:rPr>
        <w:t xml:space="preserve">El informe sobre la marcha de las actividades del PNUD incluye el estado de la ejecución de los proyectos, en particular </w:t>
      </w:r>
      <w:r w:rsidR="00C9059C">
        <w:rPr>
          <w:lang w:val="es-ES_tradnl"/>
        </w:rPr>
        <w:t xml:space="preserve">de </w:t>
      </w:r>
      <w:r w:rsidRPr="000458F8">
        <w:rPr>
          <w:lang w:val="es-ES_tradnl"/>
        </w:rPr>
        <w:t>18 proyectos relacionados con los HFC que</w:t>
      </w:r>
      <w:r w:rsidR="00C9059C">
        <w:rPr>
          <w:lang w:val="es-ES_tradnl"/>
        </w:rPr>
        <w:t xml:space="preserve"> han sido financiados </w:t>
      </w:r>
      <w:r w:rsidR="00C9059C" w:rsidRPr="000458F8">
        <w:rPr>
          <w:lang w:val="es-ES_tradnl"/>
        </w:rPr>
        <w:t xml:space="preserve">con </w:t>
      </w:r>
      <w:r w:rsidR="00C9059C">
        <w:rPr>
          <w:lang w:val="es-ES_tradnl"/>
        </w:rPr>
        <w:t xml:space="preserve">cargo </w:t>
      </w:r>
      <w:r w:rsidR="00C9059C" w:rsidRPr="000458F8">
        <w:rPr>
          <w:lang w:val="es-ES_tradnl"/>
        </w:rPr>
        <w:t>a las contribuciones voluntarias adicionales</w:t>
      </w:r>
      <w:r w:rsidR="00C9059C">
        <w:rPr>
          <w:lang w:val="es-ES_tradnl"/>
        </w:rPr>
        <w:t xml:space="preserve"> por </w:t>
      </w:r>
      <w:r w:rsidRPr="000458F8">
        <w:rPr>
          <w:lang w:val="es-ES_tradnl"/>
        </w:rPr>
        <w:t>17 Partes que no operan al amparo del artículo 5</w:t>
      </w:r>
      <w:r w:rsidR="00C9059C">
        <w:rPr>
          <w:lang w:val="es-ES_tradnl"/>
        </w:rPr>
        <w:t xml:space="preserve">, a fin de </w:t>
      </w:r>
      <w:r w:rsidR="00743F6F" w:rsidRPr="000458F8">
        <w:rPr>
          <w:lang w:val="es-ES_tradnl"/>
        </w:rPr>
        <w:t>proporcionar ayuda a corto plazo para la aplicación de la Enmienda de Kigali</w:t>
      </w:r>
      <w:r w:rsidR="00C3420C" w:rsidRPr="000458F8">
        <w:rPr>
          <w:lang w:val="es-ES_tradnl"/>
        </w:rPr>
        <w:t>.</w:t>
      </w:r>
    </w:p>
    <w:p w14:paraId="6DBC3826" w14:textId="12695B09" w:rsidR="00743F6F" w:rsidRPr="000458F8" w:rsidRDefault="007D7C50" w:rsidP="007A6B24">
      <w:pPr>
        <w:pStyle w:val="Heading1"/>
        <w:tabs>
          <w:tab w:val="clear" w:pos="0"/>
        </w:tabs>
        <w:rPr>
          <w:lang w:val="es-ES_tradnl"/>
        </w:rPr>
      </w:pPr>
      <w:r w:rsidRPr="000458F8">
        <w:rPr>
          <w:lang w:val="es-ES_tradnl"/>
        </w:rPr>
        <w:t>La Secretaría examinó el estado de la ejecución de cada uno de los proyectos en curso país por país, teniendo en cuenta las demoras en la ejecución que habían tenido lugar respecto de las fechas de terminación previstas que se habían notificado en 2019, las posibles repercusiones de esas demoras en la eliminación de las sustancias controladas y la tasa de desembolsos prevista</w:t>
      </w:r>
      <w:r w:rsidR="00410A07" w:rsidRPr="000458F8">
        <w:rPr>
          <w:lang w:val="es-ES_tradnl"/>
        </w:rPr>
        <w:t xml:space="preserve">. En el análisis que figura en el presente documento se usan toneladas PAO para todas las sustancias controladas </w:t>
      </w:r>
      <w:r w:rsidR="00C3420C" w:rsidRPr="000458F8">
        <w:rPr>
          <w:lang w:val="es-ES_tradnl"/>
        </w:rPr>
        <w:t>(</w:t>
      </w:r>
      <w:r w:rsidR="00410A07" w:rsidRPr="000458F8">
        <w:rPr>
          <w:lang w:val="es-ES_tradnl"/>
        </w:rPr>
        <w:t xml:space="preserve">incluidos los </w:t>
      </w:r>
      <w:r w:rsidR="00C3420C" w:rsidRPr="000458F8">
        <w:rPr>
          <w:lang w:val="es-ES_tradnl"/>
        </w:rPr>
        <w:t>HFC</w:t>
      </w:r>
      <w:r w:rsidR="00410A07" w:rsidRPr="000458F8">
        <w:rPr>
          <w:lang w:val="es-ES_tradnl"/>
        </w:rPr>
        <w:t xml:space="preserve"> que deben medirse en toneladas métricas de CO</w:t>
      </w:r>
      <w:r w:rsidR="00410A07" w:rsidRPr="008428F7">
        <w:rPr>
          <w:vertAlign w:val="subscript"/>
          <w:lang w:val="es-ES_tradnl"/>
        </w:rPr>
        <w:t>2</w:t>
      </w:r>
      <w:r w:rsidR="00410A07" w:rsidRPr="000458F8">
        <w:rPr>
          <w:lang w:val="es-ES_tradnl"/>
        </w:rPr>
        <w:t xml:space="preserve"> equivalente</w:t>
      </w:r>
      <w:r w:rsidR="00C3420C" w:rsidRPr="000458F8">
        <w:rPr>
          <w:lang w:val="es-ES_tradnl"/>
        </w:rPr>
        <w:t>)</w:t>
      </w:r>
      <w:r w:rsidR="00C3420C" w:rsidRPr="000458F8">
        <w:rPr>
          <w:rStyle w:val="FootnoteReference"/>
          <w:sz w:val="22"/>
          <w:szCs w:val="22"/>
          <w:lang w:val="es-ES_tradnl"/>
        </w:rPr>
        <w:footnoteReference w:id="3"/>
      </w:r>
      <w:r w:rsidR="00410A07" w:rsidRPr="000458F8">
        <w:rPr>
          <w:lang w:val="es-ES_tradnl"/>
        </w:rPr>
        <w:t>.</w:t>
      </w:r>
    </w:p>
    <w:p w14:paraId="68E654F5" w14:textId="31AF19E4" w:rsidR="00C3420C" w:rsidRPr="000458F8" w:rsidRDefault="007A6B24" w:rsidP="00C3420C">
      <w:pPr>
        <w:keepNext/>
        <w:rPr>
          <w:u w:val="single"/>
          <w:lang w:val="es-ES_tradnl"/>
        </w:rPr>
      </w:pPr>
      <w:r w:rsidRPr="000458F8">
        <w:rPr>
          <w:u w:val="single"/>
          <w:lang w:val="es-ES_tradnl"/>
        </w:rPr>
        <w:lastRenderedPageBreak/>
        <w:t>Ámbito del documento</w:t>
      </w:r>
    </w:p>
    <w:p w14:paraId="6756222E" w14:textId="77777777" w:rsidR="00C3420C" w:rsidRPr="000458F8" w:rsidRDefault="00C3420C" w:rsidP="00C3420C">
      <w:pPr>
        <w:keepNext/>
        <w:rPr>
          <w:lang w:val="es-ES_tradnl"/>
        </w:rPr>
      </w:pPr>
    </w:p>
    <w:p w14:paraId="461B3A5F" w14:textId="77777777" w:rsidR="007A6B24" w:rsidRPr="000458F8" w:rsidRDefault="007A6B24" w:rsidP="007A6B24">
      <w:pPr>
        <w:pStyle w:val="Heading1"/>
        <w:rPr>
          <w:lang w:val="es-ES_tradnl"/>
        </w:rPr>
      </w:pPr>
      <w:r w:rsidRPr="000458F8">
        <w:rPr>
          <w:lang w:val="es-ES_tradnl"/>
        </w:rPr>
        <w:t>Este documento consta de las siguientes partes:</w:t>
      </w:r>
    </w:p>
    <w:p w14:paraId="0D761BE9" w14:textId="612776CF" w:rsidR="007A6B24" w:rsidRDefault="00C3420C" w:rsidP="00624BFB">
      <w:pPr>
        <w:pStyle w:val="Heading2"/>
        <w:keepNext/>
        <w:widowControl/>
        <w:numPr>
          <w:ilvl w:val="0"/>
          <w:numId w:val="0"/>
        </w:numPr>
        <w:adjustRightInd w:val="0"/>
        <w:ind w:left="2160" w:hanging="1440"/>
        <w:textAlignment w:val="baseline"/>
        <w:rPr>
          <w:lang w:val="es-ES_tradnl"/>
        </w:rPr>
      </w:pPr>
      <w:r w:rsidRPr="000458F8">
        <w:rPr>
          <w:lang w:val="es-ES_tradnl"/>
        </w:rPr>
        <w:t>Part</w:t>
      </w:r>
      <w:r w:rsidR="007A6B24" w:rsidRPr="000458F8">
        <w:rPr>
          <w:lang w:val="es-ES_tradnl"/>
        </w:rPr>
        <w:t>e</w:t>
      </w:r>
      <w:r w:rsidRPr="000458F8">
        <w:rPr>
          <w:lang w:val="es-ES_tradnl"/>
        </w:rPr>
        <w:t xml:space="preserve"> I:</w:t>
      </w:r>
      <w:r w:rsidRPr="000458F8">
        <w:rPr>
          <w:lang w:val="es-ES_tradnl"/>
        </w:rPr>
        <w:tab/>
      </w:r>
      <w:r w:rsidR="000458F8" w:rsidRPr="000458F8">
        <w:rPr>
          <w:lang w:val="es-ES_tradnl"/>
        </w:rPr>
        <w:t xml:space="preserve">Proyectos aprobados en </w:t>
      </w:r>
      <w:r w:rsidR="0011046B">
        <w:rPr>
          <w:lang w:val="es-ES_tradnl"/>
        </w:rPr>
        <w:t xml:space="preserve">el marco </w:t>
      </w:r>
      <w:r w:rsidR="000458F8" w:rsidRPr="000458F8">
        <w:rPr>
          <w:lang w:val="es-ES_tradnl"/>
        </w:rPr>
        <w:t xml:space="preserve">de las contribuciones </w:t>
      </w:r>
      <w:r w:rsidR="00227C15">
        <w:rPr>
          <w:lang w:val="es-ES_tradnl"/>
        </w:rPr>
        <w:t xml:space="preserve">ordinarias </w:t>
      </w:r>
      <w:r w:rsidR="000458F8" w:rsidRPr="000458F8">
        <w:rPr>
          <w:lang w:val="es-ES_tradnl"/>
        </w:rPr>
        <w:t xml:space="preserve">al Fondo Multilateral. </w:t>
      </w:r>
      <w:r w:rsidR="002143AB" w:rsidRPr="000A771D">
        <w:rPr>
          <w:lang w:val="es-ES"/>
        </w:rPr>
        <w:t xml:space="preserve">Esta parte contiene un resumen </w:t>
      </w:r>
      <w:r w:rsidR="002143AB" w:rsidRPr="000458F8">
        <w:rPr>
          <w:lang w:val="es-ES_tradnl"/>
        </w:rPr>
        <w:t xml:space="preserve">de la marcha de las actividades de ejecución de los proyectos </w:t>
      </w:r>
      <w:r w:rsidR="002143AB" w:rsidRPr="000A771D">
        <w:rPr>
          <w:lang w:val="es-ES"/>
        </w:rPr>
        <w:t>durante</w:t>
      </w:r>
      <w:r w:rsidR="002143AB" w:rsidRPr="000A771D">
        <w:rPr>
          <w:spacing w:val="-6"/>
          <w:lang w:val="es-ES"/>
        </w:rPr>
        <w:t xml:space="preserve"> </w:t>
      </w:r>
      <w:r w:rsidR="000458F8" w:rsidRPr="000458F8">
        <w:rPr>
          <w:lang w:val="es-ES_tradnl"/>
        </w:rPr>
        <w:t>2019 y de forma acumulativa desde 1991</w:t>
      </w:r>
      <w:r w:rsidR="002143AB">
        <w:rPr>
          <w:lang w:val="es-ES_tradnl"/>
        </w:rPr>
        <w:t>,</w:t>
      </w:r>
      <w:r w:rsidR="000458F8" w:rsidRPr="000458F8">
        <w:rPr>
          <w:lang w:val="es-ES_tradnl"/>
        </w:rPr>
        <w:t xml:space="preserve"> </w:t>
      </w:r>
      <w:r w:rsidR="002143AB" w:rsidRPr="000A771D">
        <w:rPr>
          <w:lang w:val="es-ES"/>
        </w:rPr>
        <w:t>en</w:t>
      </w:r>
      <w:r w:rsidR="002143AB" w:rsidRPr="000A771D">
        <w:rPr>
          <w:spacing w:val="-6"/>
          <w:lang w:val="es-ES"/>
        </w:rPr>
        <w:t xml:space="preserve"> </w:t>
      </w:r>
      <w:r w:rsidR="002143AB" w:rsidRPr="000A771D">
        <w:rPr>
          <w:lang w:val="es-ES"/>
        </w:rPr>
        <w:t xml:space="preserve">la eliminación de </w:t>
      </w:r>
      <w:r w:rsidR="000458F8">
        <w:rPr>
          <w:lang w:val="es-ES_tradnl"/>
        </w:rPr>
        <w:t>todas las sustancias controladas en virtud del Protocolo de Montreal</w:t>
      </w:r>
      <w:r w:rsidR="000458F8" w:rsidRPr="000458F8">
        <w:rPr>
          <w:lang w:val="es-ES_tradnl"/>
        </w:rPr>
        <w:t xml:space="preserve">, </w:t>
      </w:r>
      <w:r w:rsidR="000458F8">
        <w:rPr>
          <w:lang w:val="es-ES_tradnl"/>
        </w:rPr>
        <w:t xml:space="preserve">incluidas las sustancias </w:t>
      </w:r>
      <w:r w:rsidR="002143AB">
        <w:rPr>
          <w:lang w:val="es-ES_tradnl"/>
        </w:rPr>
        <w:t>d</w:t>
      </w:r>
      <w:r w:rsidR="000458F8">
        <w:rPr>
          <w:lang w:val="es-ES_tradnl"/>
        </w:rPr>
        <w:t xml:space="preserve">el anexo F </w:t>
      </w:r>
      <w:r w:rsidR="000458F8" w:rsidRPr="000458F8">
        <w:rPr>
          <w:lang w:val="es-ES_tradnl"/>
        </w:rPr>
        <w:t xml:space="preserve">(HFC); </w:t>
      </w:r>
      <w:r w:rsidR="002143AB">
        <w:rPr>
          <w:lang w:val="es-ES_tradnl"/>
        </w:rPr>
        <w:t xml:space="preserve">contiene un </w:t>
      </w:r>
      <w:r w:rsidR="000458F8" w:rsidRPr="000458F8">
        <w:rPr>
          <w:lang w:val="es-ES_tradnl"/>
        </w:rPr>
        <w:t>análisis del estado en el que se encuentra la ejecución de cada uno de los proyectos en curso</w:t>
      </w:r>
      <w:r w:rsidRPr="000458F8">
        <w:rPr>
          <w:rStyle w:val="FootnoteReference"/>
          <w:sz w:val="22"/>
          <w:szCs w:val="22"/>
          <w:lang w:val="es-ES_tradnl"/>
        </w:rPr>
        <w:footnoteReference w:id="4"/>
      </w:r>
      <w:r w:rsidR="000458F8">
        <w:rPr>
          <w:lang w:val="es-ES_tradnl"/>
        </w:rPr>
        <w:t xml:space="preserve"> </w:t>
      </w:r>
      <w:r w:rsidR="002143AB">
        <w:rPr>
          <w:lang w:val="es-ES_tradnl"/>
        </w:rPr>
        <w:t xml:space="preserve">a nivel de </w:t>
      </w:r>
      <w:r w:rsidR="00624BFB" w:rsidRPr="000458F8">
        <w:rPr>
          <w:lang w:val="es-ES_tradnl"/>
        </w:rPr>
        <w:t xml:space="preserve">país; </w:t>
      </w:r>
      <w:r w:rsidR="002143AB" w:rsidRPr="002143AB">
        <w:rPr>
          <w:lang w:val="es-ES_tradnl"/>
        </w:rPr>
        <w:t>y señala los proyectos que presentan demoras en la ejecución y sus posibles</w:t>
      </w:r>
      <w:r w:rsidR="002143AB" w:rsidRPr="002143AB">
        <w:rPr>
          <w:lang w:val="es-ES"/>
        </w:rPr>
        <w:t xml:space="preserve"> </w:t>
      </w:r>
      <w:r w:rsidR="002143AB" w:rsidRPr="000A771D">
        <w:rPr>
          <w:lang w:val="es-ES"/>
        </w:rPr>
        <w:t>efectos en la eliminación de substancias controladas, y los proyectos con cuestiones pendientes que ha de examinar el Comité Ejecutivo</w:t>
      </w:r>
      <w:r w:rsidR="000458F8">
        <w:rPr>
          <w:lang w:val="es-ES_tradnl"/>
        </w:rPr>
        <w:t>.</w:t>
      </w:r>
    </w:p>
    <w:p w14:paraId="343C27FD" w14:textId="4C617E86" w:rsidR="00C3420C" w:rsidRPr="000458F8" w:rsidRDefault="00C3420C" w:rsidP="00151956">
      <w:pPr>
        <w:pStyle w:val="Heading2"/>
        <w:widowControl/>
        <w:numPr>
          <w:ilvl w:val="0"/>
          <w:numId w:val="0"/>
        </w:numPr>
        <w:adjustRightInd w:val="0"/>
        <w:ind w:left="2160" w:hanging="1440"/>
        <w:textAlignment w:val="baseline"/>
        <w:rPr>
          <w:lang w:val="es-ES_tradnl"/>
        </w:rPr>
      </w:pPr>
      <w:r w:rsidRPr="000458F8">
        <w:rPr>
          <w:lang w:val="es-ES_tradnl"/>
        </w:rPr>
        <w:t>Part</w:t>
      </w:r>
      <w:r w:rsidR="007A6B24" w:rsidRPr="000458F8">
        <w:rPr>
          <w:lang w:val="es-ES_tradnl"/>
        </w:rPr>
        <w:t>e</w:t>
      </w:r>
      <w:r w:rsidRPr="000458F8">
        <w:rPr>
          <w:lang w:val="es-ES_tradnl"/>
        </w:rPr>
        <w:t xml:space="preserve"> II:</w:t>
      </w:r>
      <w:r w:rsidRPr="000458F8">
        <w:rPr>
          <w:lang w:val="es-ES_tradnl"/>
        </w:rPr>
        <w:tab/>
      </w:r>
      <w:r w:rsidR="006443CF" w:rsidRPr="000A771D">
        <w:rPr>
          <w:lang w:val="es-ES"/>
        </w:rPr>
        <w:t>Proyectos</w:t>
      </w:r>
      <w:r w:rsidR="006443CF" w:rsidRPr="000A771D">
        <w:rPr>
          <w:spacing w:val="-9"/>
          <w:lang w:val="es-ES"/>
        </w:rPr>
        <w:t xml:space="preserve"> </w:t>
      </w:r>
      <w:r w:rsidR="006443CF" w:rsidRPr="000A771D">
        <w:rPr>
          <w:lang w:val="es-ES"/>
        </w:rPr>
        <w:t>aprobados</w:t>
      </w:r>
      <w:r w:rsidR="006443CF" w:rsidRPr="000A771D">
        <w:rPr>
          <w:spacing w:val="-8"/>
          <w:lang w:val="es-ES"/>
        </w:rPr>
        <w:t xml:space="preserve"> </w:t>
      </w:r>
      <w:r w:rsidR="006443CF" w:rsidRPr="000A771D">
        <w:rPr>
          <w:lang w:val="es-ES"/>
        </w:rPr>
        <w:t>en</w:t>
      </w:r>
      <w:r w:rsidR="006443CF" w:rsidRPr="000A771D">
        <w:rPr>
          <w:spacing w:val="-9"/>
          <w:lang w:val="es-ES"/>
        </w:rPr>
        <w:t xml:space="preserve"> </w:t>
      </w:r>
      <w:r w:rsidR="006443CF" w:rsidRPr="000A771D">
        <w:rPr>
          <w:lang w:val="es-ES"/>
        </w:rPr>
        <w:t>el</w:t>
      </w:r>
      <w:r w:rsidR="006443CF" w:rsidRPr="000A771D">
        <w:rPr>
          <w:spacing w:val="-9"/>
          <w:lang w:val="es-ES"/>
        </w:rPr>
        <w:t xml:space="preserve"> </w:t>
      </w:r>
      <w:r w:rsidR="006443CF" w:rsidRPr="000A771D">
        <w:rPr>
          <w:lang w:val="es-ES"/>
        </w:rPr>
        <w:t>marco</w:t>
      </w:r>
      <w:r w:rsidR="006443CF" w:rsidRPr="000A771D">
        <w:rPr>
          <w:spacing w:val="-8"/>
          <w:lang w:val="es-ES"/>
        </w:rPr>
        <w:t xml:space="preserve"> </w:t>
      </w:r>
      <w:r w:rsidR="006443CF" w:rsidRPr="000A771D">
        <w:rPr>
          <w:lang w:val="es-ES"/>
        </w:rPr>
        <w:t>de</w:t>
      </w:r>
      <w:r w:rsidR="006443CF" w:rsidRPr="000A771D">
        <w:rPr>
          <w:spacing w:val="-9"/>
          <w:lang w:val="es-ES"/>
        </w:rPr>
        <w:t xml:space="preserve"> </w:t>
      </w:r>
      <w:r w:rsidR="006443CF" w:rsidRPr="000A771D">
        <w:rPr>
          <w:lang w:val="es-ES"/>
        </w:rPr>
        <w:t>otras</w:t>
      </w:r>
      <w:r w:rsidR="006443CF" w:rsidRPr="000A771D">
        <w:rPr>
          <w:spacing w:val="-8"/>
          <w:lang w:val="es-ES"/>
        </w:rPr>
        <w:t xml:space="preserve"> </w:t>
      </w:r>
      <w:r w:rsidR="006443CF" w:rsidRPr="000A771D">
        <w:rPr>
          <w:lang w:val="es-ES"/>
        </w:rPr>
        <w:t>contribuciones</w:t>
      </w:r>
      <w:r w:rsidR="006443CF" w:rsidRPr="000A771D">
        <w:rPr>
          <w:spacing w:val="-9"/>
          <w:lang w:val="es-ES"/>
        </w:rPr>
        <w:t xml:space="preserve"> </w:t>
      </w:r>
      <w:r w:rsidR="006443CF" w:rsidRPr="000A771D">
        <w:rPr>
          <w:lang w:val="es-ES"/>
        </w:rPr>
        <w:t>voluntarias</w:t>
      </w:r>
      <w:r w:rsidR="006443CF" w:rsidRPr="000A771D">
        <w:rPr>
          <w:spacing w:val="-9"/>
          <w:lang w:val="es-ES"/>
        </w:rPr>
        <w:t xml:space="preserve"> </w:t>
      </w:r>
      <w:r w:rsidR="006443CF" w:rsidRPr="000A771D">
        <w:rPr>
          <w:lang w:val="es-ES"/>
        </w:rPr>
        <w:t>para</w:t>
      </w:r>
      <w:r w:rsidR="006443CF" w:rsidRPr="000A771D">
        <w:rPr>
          <w:spacing w:val="-8"/>
          <w:lang w:val="es-ES"/>
        </w:rPr>
        <w:t xml:space="preserve"> </w:t>
      </w:r>
      <w:r w:rsidR="006443CF" w:rsidRPr="000A771D">
        <w:rPr>
          <w:lang w:val="es-ES"/>
        </w:rPr>
        <w:t>el</w:t>
      </w:r>
      <w:r w:rsidR="006443CF" w:rsidRPr="000A771D">
        <w:rPr>
          <w:spacing w:val="-8"/>
          <w:lang w:val="es-ES"/>
        </w:rPr>
        <w:t xml:space="preserve"> </w:t>
      </w:r>
      <w:r w:rsidR="006443CF" w:rsidRPr="000A771D">
        <w:rPr>
          <w:lang w:val="es-ES"/>
        </w:rPr>
        <w:t>apoyo acelerado a la reducción de los HFC.</w:t>
      </w:r>
      <w:r w:rsidR="002A5506" w:rsidRPr="000458F8">
        <w:rPr>
          <w:lang w:val="es-ES_tradnl"/>
        </w:rPr>
        <w:t xml:space="preserve"> Se informa también sobre el estado de la ejecución de proyectos de reducción de los HFC financiados con cargo a las contribuciones voluntarias</w:t>
      </w:r>
      <w:r w:rsidRPr="000458F8">
        <w:rPr>
          <w:rStyle w:val="FootnoteReference"/>
          <w:sz w:val="22"/>
          <w:szCs w:val="22"/>
          <w:lang w:val="es-ES_tradnl"/>
        </w:rPr>
        <w:footnoteReference w:id="5"/>
      </w:r>
      <w:r w:rsidR="002A5506" w:rsidRPr="000458F8">
        <w:rPr>
          <w:lang w:val="es-ES_tradnl"/>
        </w:rPr>
        <w:t>.</w:t>
      </w:r>
    </w:p>
    <w:p w14:paraId="02D6DAAC" w14:textId="2606AC59" w:rsidR="00C3420C" w:rsidRPr="000458F8" w:rsidRDefault="00C3420C" w:rsidP="00C3420C">
      <w:pPr>
        <w:ind w:firstLine="720"/>
        <w:rPr>
          <w:lang w:val="es-ES_tradnl"/>
        </w:rPr>
      </w:pPr>
      <w:r w:rsidRPr="000458F8">
        <w:rPr>
          <w:lang w:val="es-ES_tradnl"/>
        </w:rPr>
        <w:t>Recom</w:t>
      </w:r>
      <w:r w:rsidR="007A6B24" w:rsidRPr="000458F8">
        <w:rPr>
          <w:lang w:val="es-ES_tradnl"/>
        </w:rPr>
        <w:t>endación</w:t>
      </w:r>
      <w:r w:rsidRPr="000458F8">
        <w:rPr>
          <w:lang w:val="es-ES_tradnl"/>
        </w:rPr>
        <w:t>.</w:t>
      </w:r>
    </w:p>
    <w:p w14:paraId="078FB016" w14:textId="77777777" w:rsidR="00C3420C" w:rsidRPr="000458F8" w:rsidRDefault="00C3420C" w:rsidP="00C3420C">
      <w:pPr>
        <w:rPr>
          <w:lang w:val="es-ES_tradnl"/>
        </w:rPr>
      </w:pPr>
    </w:p>
    <w:p w14:paraId="01153628" w14:textId="77777777" w:rsidR="007A6B24" w:rsidRPr="000458F8" w:rsidRDefault="007A6B24" w:rsidP="007A6B24">
      <w:pPr>
        <w:pStyle w:val="Heading1"/>
        <w:rPr>
          <w:lang w:val="es-ES_tradnl"/>
        </w:rPr>
      </w:pPr>
      <w:r w:rsidRPr="000458F8">
        <w:rPr>
          <w:lang w:val="es-ES_tradnl"/>
        </w:rPr>
        <w:t>El presente documento contiene los siguientes anexos:</w:t>
      </w:r>
    </w:p>
    <w:p w14:paraId="040ED8A8" w14:textId="2209F4EB" w:rsidR="007A6B24" w:rsidRPr="0011046B" w:rsidRDefault="00C3420C" w:rsidP="007A6B24">
      <w:pPr>
        <w:ind w:left="2127" w:hanging="1407"/>
        <w:rPr>
          <w:lang w:val="es-ES"/>
        </w:rPr>
      </w:pPr>
      <w:r w:rsidRPr="000458F8">
        <w:rPr>
          <w:lang w:val="es-ES_tradnl"/>
        </w:rPr>
        <w:t>Anex</w:t>
      </w:r>
      <w:r w:rsidR="007A6B24" w:rsidRPr="000458F8">
        <w:rPr>
          <w:lang w:val="es-ES_tradnl"/>
        </w:rPr>
        <w:t xml:space="preserve">o </w:t>
      </w:r>
      <w:r w:rsidRPr="000458F8">
        <w:rPr>
          <w:lang w:val="es-ES_tradnl"/>
        </w:rPr>
        <w:t xml:space="preserve">I: </w:t>
      </w:r>
      <w:r w:rsidRPr="000458F8">
        <w:rPr>
          <w:lang w:val="es-ES_tradnl"/>
        </w:rPr>
        <w:tab/>
      </w:r>
      <w:r w:rsidR="0011046B" w:rsidRPr="0011046B">
        <w:rPr>
          <w:lang w:val="es-ES_tradnl"/>
        </w:rPr>
        <w:t>Un resumen del estado y una recomendación para cada uno de los proyectos en curso con indicación de las cuestiones pendientes que examinará el Comité Ejecutivo.</w:t>
      </w:r>
    </w:p>
    <w:p w14:paraId="50AC7B9B" w14:textId="77777777" w:rsidR="007A6B24" w:rsidRPr="000458F8" w:rsidRDefault="007A6B24" w:rsidP="00C3420C">
      <w:pPr>
        <w:ind w:left="2127" w:hanging="1407"/>
        <w:rPr>
          <w:lang w:val="es-ES_tradnl"/>
        </w:rPr>
      </w:pPr>
    </w:p>
    <w:p w14:paraId="41C67D03" w14:textId="614EAEED" w:rsidR="00C3420C" w:rsidRPr="000458F8" w:rsidRDefault="00C3420C" w:rsidP="00C3420C">
      <w:pPr>
        <w:ind w:left="2127" w:hanging="1407"/>
        <w:rPr>
          <w:lang w:val="es-ES_tradnl"/>
        </w:rPr>
      </w:pPr>
      <w:r w:rsidRPr="000458F8">
        <w:rPr>
          <w:lang w:val="es-ES_tradnl"/>
        </w:rPr>
        <w:t>Anex</w:t>
      </w:r>
      <w:r w:rsidR="007A6B24" w:rsidRPr="000458F8">
        <w:rPr>
          <w:lang w:val="es-ES_tradnl"/>
        </w:rPr>
        <w:t>o</w:t>
      </w:r>
      <w:r w:rsidRPr="000458F8">
        <w:rPr>
          <w:lang w:val="es-ES_tradnl"/>
        </w:rPr>
        <w:t xml:space="preserve"> II: </w:t>
      </w:r>
      <w:r w:rsidRPr="000458F8">
        <w:rPr>
          <w:lang w:val="es-ES_tradnl"/>
        </w:rPr>
        <w:tab/>
      </w:r>
      <w:r w:rsidR="007A6B24" w:rsidRPr="000458F8">
        <w:rPr>
          <w:lang w:val="es-ES_tradnl"/>
        </w:rPr>
        <w:t>Un análisis del informe sobre la marcha de las</w:t>
      </w:r>
      <w:r w:rsidR="007A6B24" w:rsidRPr="000458F8">
        <w:rPr>
          <w:spacing w:val="1"/>
          <w:lang w:val="es-ES_tradnl"/>
        </w:rPr>
        <w:t xml:space="preserve"> </w:t>
      </w:r>
      <w:r w:rsidR="007A6B24" w:rsidRPr="000458F8">
        <w:rPr>
          <w:lang w:val="es-ES_tradnl"/>
        </w:rPr>
        <w:t>actividades.</w:t>
      </w:r>
    </w:p>
    <w:p w14:paraId="76B6A105" w14:textId="77777777" w:rsidR="00C3420C" w:rsidRPr="000458F8" w:rsidRDefault="00C3420C" w:rsidP="00C3420C">
      <w:pPr>
        <w:ind w:left="2127" w:hanging="1407"/>
        <w:rPr>
          <w:lang w:val="es-ES_tradnl"/>
        </w:rPr>
      </w:pPr>
    </w:p>
    <w:p w14:paraId="574C4137" w14:textId="4DF72304" w:rsidR="00C3420C" w:rsidRPr="000458F8" w:rsidRDefault="00C3420C" w:rsidP="00C3420C">
      <w:pPr>
        <w:pStyle w:val="Heading1"/>
        <w:keepNext/>
        <w:keepLines/>
        <w:numPr>
          <w:ilvl w:val="0"/>
          <w:numId w:val="0"/>
        </w:numPr>
        <w:ind w:left="1440" w:hanging="1440"/>
        <w:rPr>
          <w:b/>
          <w:caps/>
          <w:lang w:val="es-ES_tradnl"/>
        </w:rPr>
      </w:pPr>
      <w:r w:rsidRPr="000458F8">
        <w:rPr>
          <w:b/>
          <w:caps/>
          <w:lang w:val="es-ES_tradnl"/>
        </w:rPr>
        <w:t>Part</w:t>
      </w:r>
      <w:r w:rsidR="00DE73C8" w:rsidRPr="000458F8">
        <w:rPr>
          <w:b/>
          <w:caps/>
          <w:lang w:val="es-ES_tradnl"/>
        </w:rPr>
        <w:t>E</w:t>
      </w:r>
      <w:r w:rsidRPr="000458F8">
        <w:rPr>
          <w:b/>
          <w:caps/>
          <w:lang w:val="es-ES_tradnl"/>
        </w:rPr>
        <w:t xml:space="preserve"> I: </w:t>
      </w:r>
      <w:r w:rsidRPr="000458F8">
        <w:rPr>
          <w:b/>
          <w:caps/>
          <w:lang w:val="es-ES_tradnl"/>
        </w:rPr>
        <w:tab/>
      </w:r>
      <w:r w:rsidR="0011046B" w:rsidRPr="0011046B">
        <w:rPr>
          <w:b/>
          <w:caps/>
          <w:lang w:val="es-ES_tradnl"/>
        </w:rPr>
        <w:t>PROYECTOS APROBADOS EN EL MARCO DE LAS CONTRIBUCIONES ORDINARIAS AL FONDO MULTILATERAL</w:t>
      </w:r>
    </w:p>
    <w:p w14:paraId="29734A0E" w14:textId="7EAD8EBE" w:rsidR="00B414B5" w:rsidRDefault="00DE73C8" w:rsidP="00DE73C8">
      <w:pPr>
        <w:rPr>
          <w:b/>
          <w:lang w:val="es-ES_tradnl"/>
        </w:rPr>
      </w:pPr>
      <w:r w:rsidRPr="000458F8">
        <w:rPr>
          <w:b/>
          <w:lang w:val="es-ES_tradnl"/>
        </w:rPr>
        <w:t>Resumen de</w:t>
      </w:r>
      <w:r w:rsidR="00BA3A5E">
        <w:rPr>
          <w:b/>
          <w:lang w:val="es-ES_tradnl"/>
        </w:rPr>
        <w:t xml:space="preserve"> los progresos logrados en </w:t>
      </w:r>
      <w:r w:rsidRPr="000458F8">
        <w:rPr>
          <w:b/>
          <w:lang w:val="es-ES_tradnl"/>
        </w:rPr>
        <w:t xml:space="preserve">la ejecución de proyectos </w:t>
      </w:r>
      <w:r w:rsidR="00BA3A5E">
        <w:rPr>
          <w:b/>
          <w:lang w:val="es-ES_tradnl"/>
        </w:rPr>
        <w:t>durante</w:t>
      </w:r>
      <w:r w:rsidRPr="000458F8">
        <w:rPr>
          <w:b/>
          <w:lang w:val="es-ES_tradnl"/>
        </w:rPr>
        <w:t xml:space="preserve"> 2019 y resumen acumulativo</w:t>
      </w:r>
    </w:p>
    <w:p w14:paraId="68E2308C" w14:textId="77777777" w:rsidR="00C3420C" w:rsidRPr="000458F8" w:rsidRDefault="00C3420C" w:rsidP="00C3420C">
      <w:pPr>
        <w:rPr>
          <w:lang w:val="es-ES_tradnl"/>
        </w:rPr>
      </w:pPr>
    </w:p>
    <w:p w14:paraId="73D997FF" w14:textId="1C3CEAB3" w:rsidR="00E0384C" w:rsidRDefault="0024384C" w:rsidP="00E0384C">
      <w:pPr>
        <w:pStyle w:val="Heading1"/>
        <w:rPr>
          <w:lang w:val="es-ES_tradnl"/>
        </w:rPr>
      </w:pPr>
      <w:r w:rsidRPr="000A771D">
        <w:rPr>
          <w:lang w:val="es-ES"/>
        </w:rPr>
        <w:t>A continuación figura un resumen de la ejecución de proyectos y las actividades realizadas por el PNUD durante 201</w:t>
      </w:r>
      <w:r>
        <w:rPr>
          <w:lang w:val="es-ES"/>
        </w:rPr>
        <w:t>9</w:t>
      </w:r>
      <w:r w:rsidRPr="000A771D">
        <w:rPr>
          <w:lang w:val="es-ES"/>
        </w:rPr>
        <w:t xml:space="preserve"> y un resumen acumulativo desde 1991 hasta el 31 de diciembre de</w:t>
      </w:r>
      <w:r w:rsidRPr="000A771D">
        <w:rPr>
          <w:spacing w:val="-9"/>
          <w:lang w:val="es-ES"/>
        </w:rPr>
        <w:t xml:space="preserve"> </w:t>
      </w:r>
      <w:r w:rsidRPr="000A771D">
        <w:rPr>
          <w:lang w:val="es-ES"/>
        </w:rPr>
        <w:t>201</w:t>
      </w:r>
      <w:r>
        <w:rPr>
          <w:lang w:val="es-ES"/>
        </w:rPr>
        <w:t>9</w:t>
      </w:r>
      <w:r w:rsidR="00E0384C" w:rsidRPr="000458F8">
        <w:rPr>
          <w:lang w:val="es-ES_tradnl"/>
        </w:rPr>
        <w:t>:</w:t>
      </w:r>
    </w:p>
    <w:p w14:paraId="67FA3A13" w14:textId="3633312B" w:rsidR="0024384C" w:rsidRPr="0024384C" w:rsidRDefault="00E0384C" w:rsidP="00110EE4">
      <w:pPr>
        <w:pStyle w:val="Heading2"/>
        <w:tabs>
          <w:tab w:val="clear" w:pos="0"/>
        </w:tabs>
        <w:rPr>
          <w:lang w:val="es-ES"/>
        </w:rPr>
      </w:pPr>
      <w:r w:rsidRPr="0024384C">
        <w:rPr>
          <w:b/>
          <w:lang w:val="es-ES_tradnl"/>
        </w:rPr>
        <w:t>Eliminación</w:t>
      </w:r>
      <w:r w:rsidR="00B45BCC" w:rsidRPr="000458F8">
        <w:rPr>
          <w:rStyle w:val="FootnoteReference"/>
          <w:bCs/>
          <w:sz w:val="22"/>
          <w:szCs w:val="22"/>
          <w:lang w:val="es-ES_tradnl"/>
        </w:rPr>
        <w:footnoteReference w:id="6"/>
      </w:r>
      <w:r w:rsidRPr="0024384C">
        <w:rPr>
          <w:b/>
          <w:lang w:val="es-ES_tradnl"/>
        </w:rPr>
        <w:t xml:space="preserve">: </w:t>
      </w:r>
      <w:r w:rsidRPr="0024384C">
        <w:rPr>
          <w:lang w:val="es-ES_tradnl"/>
        </w:rPr>
        <w:t xml:space="preserve">En 2019 se eliminaron </w:t>
      </w:r>
      <w:r w:rsidR="00B45BCC" w:rsidRPr="0024384C">
        <w:rPr>
          <w:lang w:val="es-ES_tradnl"/>
        </w:rPr>
        <w:t xml:space="preserve">470,9 </w:t>
      </w:r>
      <w:r w:rsidRPr="0024384C">
        <w:rPr>
          <w:lang w:val="es-ES_tradnl"/>
        </w:rPr>
        <w:t xml:space="preserve">toneladas PAO de </w:t>
      </w:r>
      <w:r w:rsidR="00B45BCC" w:rsidRPr="0024384C">
        <w:rPr>
          <w:lang w:val="es-ES_tradnl"/>
        </w:rPr>
        <w:t xml:space="preserve">sustancias controladas </w:t>
      </w:r>
      <w:r w:rsidRPr="0024384C">
        <w:rPr>
          <w:lang w:val="es-ES_tradnl"/>
        </w:rPr>
        <w:t xml:space="preserve">y se aprobó la eliminación de otras </w:t>
      </w:r>
      <w:r w:rsidR="00B45BCC" w:rsidRPr="0024384C">
        <w:rPr>
          <w:lang w:val="es-ES_tradnl"/>
        </w:rPr>
        <w:t xml:space="preserve">126,3 </w:t>
      </w:r>
      <w:r w:rsidRPr="0024384C">
        <w:rPr>
          <w:lang w:val="es-ES_tradnl"/>
        </w:rPr>
        <w:t xml:space="preserve">toneladas PAO de consumo de </w:t>
      </w:r>
      <w:r w:rsidR="00B45BCC" w:rsidRPr="0024384C">
        <w:rPr>
          <w:lang w:val="es-ES_tradnl"/>
        </w:rPr>
        <w:t>sustancias controladas</w:t>
      </w:r>
      <w:r w:rsidRPr="0024384C">
        <w:rPr>
          <w:lang w:val="es-ES_tradnl"/>
        </w:rPr>
        <w:t xml:space="preserve">. </w:t>
      </w:r>
      <w:r w:rsidR="0024384C" w:rsidRPr="0024384C">
        <w:rPr>
          <w:lang w:val="es-ES_tradnl"/>
        </w:rPr>
        <w:t>D</w:t>
      </w:r>
      <w:r w:rsidRPr="0024384C">
        <w:rPr>
          <w:lang w:val="es-ES_tradnl"/>
        </w:rPr>
        <w:t>esde 1991 se ha</w:t>
      </w:r>
      <w:r w:rsidR="0024384C" w:rsidRPr="0024384C">
        <w:rPr>
          <w:lang w:val="es-ES_tradnl"/>
        </w:rPr>
        <w:t>bían</w:t>
      </w:r>
      <w:r w:rsidRPr="0024384C">
        <w:rPr>
          <w:lang w:val="es-ES_tradnl"/>
        </w:rPr>
        <w:t xml:space="preserve"> eliminado 6</w:t>
      </w:r>
      <w:r w:rsidR="00B45BCC" w:rsidRPr="0024384C">
        <w:rPr>
          <w:lang w:val="es-ES_tradnl"/>
        </w:rPr>
        <w:t>7</w:t>
      </w:r>
      <w:r w:rsidRPr="0024384C">
        <w:rPr>
          <w:lang w:val="es-ES_tradnl"/>
        </w:rPr>
        <w:t xml:space="preserve"> </w:t>
      </w:r>
      <w:r w:rsidR="00B45BCC" w:rsidRPr="0024384C">
        <w:rPr>
          <w:lang w:val="es-ES_tradnl"/>
        </w:rPr>
        <w:t xml:space="preserve">480 </w:t>
      </w:r>
      <w:r w:rsidRPr="0024384C">
        <w:rPr>
          <w:lang w:val="es-ES_tradnl"/>
        </w:rPr>
        <w:t xml:space="preserve">toneladas PAO </w:t>
      </w:r>
      <w:r w:rsidR="0024384C" w:rsidRPr="0024384C">
        <w:rPr>
          <w:lang w:val="es-ES_tradnl"/>
        </w:rPr>
        <w:t xml:space="preserve">del consumo </w:t>
      </w:r>
      <w:r w:rsidRPr="0024384C">
        <w:rPr>
          <w:lang w:val="es-ES_tradnl"/>
        </w:rPr>
        <w:t>de sustancias</w:t>
      </w:r>
      <w:r w:rsidRPr="0024384C">
        <w:rPr>
          <w:spacing w:val="-1"/>
          <w:lang w:val="es-ES_tradnl"/>
        </w:rPr>
        <w:t xml:space="preserve"> </w:t>
      </w:r>
      <w:r w:rsidR="00B45BCC" w:rsidRPr="0024384C">
        <w:rPr>
          <w:spacing w:val="-1"/>
          <w:lang w:val="es-ES_tradnl"/>
        </w:rPr>
        <w:lastRenderedPageBreak/>
        <w:t>controladas</w:t>
      </w:r>
      <w:r w:rsidR="0024384C" w:rsidRPr="0024384C">
        <w:rPr>
          <w:spacing w:val="-1"/>
          <w:lang w:val="es-ES_tradnl"/>
        </w:rPr>
        <w:t>, d</w:t>
      </w:r>
      <w:r w:rsidR="0024384C" w:rsidRPr="0024384C">
        <w:rPr>
          <w:lang w:val="es-ES_tradnl"/>
        </w:rPr>
        <w:t>e un total previsto de 68 407 toneladas PAO de proyectos aprobados (con exclusión de proyectos cancelados y transferidos);</w:t>
      </w:r>
    </w:p>
    <w:p w14:paraId="373AFFC9" w14:textId="4272FF0B" w:rsidR="0024384C" w:rsidRPr="007F4081" w:rsidRDefault="002A5506" w:rsidP="0024384C">
      <w:pPr>
        <w:pStyle w:val="Heading2"/>
        <w:tabs>
          <w:tab w:val="clear" w:pos="0"/>
        </w:tabs>
        <w:rPr>
          <w:lang w:val="es-ES_tradnl"/>
        </w:rPr>
      </w:pPr>
      <w:r w:rsidRPr="000458F8">
        <w:rPr>
          <w:b/>
          <w:lang w:val="es-ES_tradnl"/>
        </w:rPr>
        <w:t xml:space="preserve">Desembolso/aprobaciones: </w:t>
      </w:r>
      <w:r w:rsidRPr="000458F8">
        <w:rPr>
          <w:lang w:val="es-ES_tradnl"/>
        </w:rPr>
        <w:t xml:space="preserve">En 2019 se desembolsaron 23,14 millones de $EUA y </w:t>
      </w:r>
      <w:r w:rsidR="0024384C">
        <w:rPr>
          <w:lang w:val="es-ES_tradnl"/>
        </w:rPr>
        <w:t xml:space="preserve">se había previsto desembolsar </w:t>
      </w:r>
      <w:r w:rsidRPr="000458F8">
        <w:rPr>
          <w:lang w:val="es-ES_tradnl"/>
        </w:rPr>
        <w:t>15,62 millones de $EUA partiendo del informe sobre la marcha de las actividades de 2018, todo lo que representa un régimen de desembolso del 148 por ciento</w:t>
      </w:r>
      <w:r w:rsidR="002F17F8">
        <w:rPr>
          <w:lang w:val="es-ES_tradnl"/>
        </w:rPr>
        <w:t xml:space="preserve"> </w:t>
      </w:r>
      <w:r w:rsidRPr="000458F8">
        <w:rPr>
          <w:lang w:val="es-ES_tradnl"/>
        </w:rPr>
        <w:t>de</w:t>
      </w:r>
      <w:r w:rsidR="002F17F8">
        <w:rPr>
          <w:lang w:val="es-ES_tradnl"/>
        </w:rPr>
        <w:t xml:space="preserve"> </w:t>
      </w:r>
      <w:r w:rsidRPr="000458F8">
        <w:rPr>
          <w:lang w:val="es-ES_tradnl"/>
        </w:rPr>
        <w:t>lo</w:t>
      </w:r>
      <w:r w:rsidR="002F17F8">
        <w:rPr>
          <w:lang w:val="es-ES_tradnl"/>
        </w:rPr>
        <w:t xml:space="preserve"> </w:t>
      </w:r>
      <w:r w:rsidRPr="000458F8">
        <w:rPr>
          <w:lang w:val="es-ES_tradnl"/>
        </w:rPr>
        <w:t>planificado.</w:t>
      </w:r>
      <w:r w:rsidR="002F17F8">
        <w:rPr>
          <w:lang w:val="es-ES_tradnl"/>
        </w:rPr>
        <w:t xml:space="preserve"> </w:t>
      </w:r>
      <w:r w:rsidRPr="000458F8">
        <w:rPr>
          <w:lang w:val="es-ES_tradnl"/>
        </w:rPr>
        <w:t>De</w:t>
      </w:r>
      <w:r w:rsidR="0024384C">
        <w:rPr>
          <w:lang w:val="es-ES_tradnl"/>
        </w:rPr>
        <w:t xml:space="preserve">l total de </w:t>
      </w:r>
      <w:r w:rsidRPr="000458F8">
        <w:rPr>
          <w:lang w:val="es-ES_tradnl"/>
        </w:rPr>
        <w:t>831,9 millones de $EUA aprobados para su desembolso (</w:t>
      </w:r>
      <w:r w:rsidR="0024384C" w:rsidRPr="000A771D">
        <w:rPr>
          <w:lang w:val="es-ES"/>
        </w:rPr>
        <w:t>con exclusión de</w:t>
      </w:r>
      <w:r w:rsidRPr="000458F8">
        <w:rPr>
          <w:lang w:val="es-ES_tradnl"/>
        </w:rPr>
        <w:t xml:space="preserve"> los gastos de apoyo al organismo), se h</w:t>
      </w:r>
      <w:r w:rsidR="0024384C">
        <w:rPr>
          <w:lang w:val="es-ES_tradnl"/>
        </w:rPr>
        <w:t xml:space="preserve">abía </w:t>
      </w:r>
      <w:r w:rsidRPr="000458F8">
        <w:rPr>
          <w:lang w:val="es-ES_tradnl"/>
        </w:rPr>
        <w:t xml:space="preserve">desembolsado </w:t>
      </w:r>
      <w:r w:rsidR="007F4081">
        <w:rPr>
          <w:lang w:val="es-ES_tradnl"/>
        </w:rPr>
        <w:t xml:space="preserve">un monto acumulado de </w:t>
      </w:r>
      <w:r w:rsidRPr="000458F8">
        <w:rPr>
          <w:lang w:val="es-ES_tradnl"/>
        </w:rPr>
        <w:t xml:space="preserve">768,69 millones de $EUA. Esto representa un régimen de desembolso del 92 </w:t>
      </w:r>
      <w:r w:rsidR="00CC3B4D">
        <w:rPr>
          <w:lang w:val="es-ES_tradnl"/>
        </w:rPr>
        <w:t>por ciento</w:t>
      </w:r>
      <w:r w:rsidRPr="000458F8">
        <w:rPr>
          <w:lang w:val="es-ES_tradnl"/>
        </w:rPr>
        <w:t>.</w:t>
      </w:r>
      <w:r w:rsidR="002F17F8">
        <w:rPr>
          <w:lang w:val="es-ES_tradnl"/>
        </w:rPr>
        <w:t xml:space="preserve"> </w:t>
      </w:r>
      <w:r w:rsidRPr="000458F8">
        <w:rPr>
          <w:lang w:val="es-ES_tradnl"/>
        </w:rPr>
        <w:t>En 2019, se aprob</w:t>
      </w:r>
      <w:r w:rsidR="007F4081">
        <w:rPr>
          <w:lang w:val="es-ES_tradnl"/>
        </w:rPr>
        <w:t xml:space="preserve">aron </w:t>
      </w:r>
      <w:r w:rsidRPr="000458F8">
        <w:rPr>
          <w:lang w:val="es-ES_tradnl"/>
        </w:rPr>
        <w:t xml:space="preserve">10,39 millones de $EUA para </w:t>
      </w:r>
      <w:r w:rsidR="007F4081">
        <w:rPr>
          <w:lang w:val="es-ES_tradnl"/>
        </w:rPr>
        <w:t xml:space="preserve">la </w:t>
      </w:r>
      <w:r w:rsidRPr="000458F8">
        <w:rPr>
          <w:lang w:val="es-ES_tradnl"/>
        </w:rPr>
        <w:t>ejecución;</w:t>
      </w:r>
    </w:p>
    <w:p w14:paraId="6BF47026" w14:textId="78EC8182" w:rsidR="000458F8" w:rsidRPr="000458F8" w:rsidRDefault="000458F8" w:rsidP="00110EE4">
      <w:pPr>
        <w:pStyle w:val="Heading2"/>
        <w:tabs>
          <w:tab w:val="clear" w:pos="0"/>
        </w:tabs>
        <w:rPr>
          <w:lang w:val="es-ES_tradnl"/>
        </w:rPr>
      </w:pPr>
      <w:r w:rsidRPr="000458F8">
        <w:rPr>
          <w:b/>
          <w:lang w:val="es-ES_tradnl"/>
        </w:rPr>
        <w:t>Eficacia en función de los costos (en PAO)</w:t>
      </w:r>
      <w:r w:rsidR="007F4081" w:rsidRPr="00256FD0">
        <w:rPr>
          <w:rStyle w:val="FootnoteReference"/>
          <w:bCs/>
          <w:sz w:val="22"/>
          <w:szCs w:val="22"/>
          <w:lang w:val="en-CA"/>
        </w:rPr>
        <w:footnoteReference w:id="7"/>
      </w:r>
      <w:r w:rsidRPr="000458F8">
        <w:rPr>
          <w:b/>
          <w:lang w:val="es-ES_tradnl"/>
        </w:rPr>
        <w:t>:</w:t>
      </w:r>
      <w:r w:rsidR="00C3420C" w:rsidRPr="000458F8">
        <w:rPr>
          <w:b/>
          <w:lang w:val="es-ES_tradnl"/>
        </w:rPr>
        <w:t xml:space="preserve"> </w:t>
      </w:r>
      <w:r w:rsidRPr="000458F8">
        <w:rPr>
          <w:lang w:val="es-ES_tradnl"/>
        </w:rPr>
        <w:t>Desde 1991, la eficacia en función de los costos</w:t>
      </w:r>
      <w:r w:rsidRPr="000458F8">
        <w:rPr>
          <w:spacing w:val="-6"/>
          <w:lang w:val="es-ES_tradnl"/>
        </w:rPr>
        <w:t xml:space="preserve"> </w:t>
      </w:r>
      <w:r w:rsidRPr="000458F8">
        <w:rPr>
          <w:lang w:val="es-ES_tradnl"/>
        </w:rPr>
        <w:t>de</w:t>
      </w:r>
      <w:r w:rsidRPr="000458F8">
        <w:rPr>
          <w:spacing w:val="-6"/>
          <w:lang w:val="es-ES_tradnl"/>
        </w:rPr>
        <w:t xml:space="preserve"> </w:t>
      </w:r>
      <w:r w:rsidRPr="000458F8">
        <w:rPr>
          <w:lang w:val="es-ES_tradnl"/>
        </w:rPr>
        <w:t>los</w:t>
      </w:r>
      <w:r w:rsidRPr="000458F8">
        <w:rPr>
          <w:spacing w:val="-8"/>
          <w:lang w:val="es-ES_tradnl"/>
        </w:rPr>
        <w:t xml:space="preserve"> </w:t>
      </w:r>
      <w:r w:rsidRPr="000458F8">
        <w:rPr>
          <w:lang w:val="es-ES_tradnl"/>
        </w:rPr>
        <w:t>proyectos</w:t>
      </w:r>
      <w:r w:rsidRPr="000458F8">
        <w:rPr>
          <w:spacing w:val="-6"/>
          <w:lang w:val="es-ES_tradnl"/>
        </w:rPr>
        <w:t xml:space="preserve"> </w:t>
      </w:r>
      <w:r w:rsidRPr="000458F8">
        <w:rPr>
          <w:lang w:val="es-ES_tradnl"/>
        </w:rPr>
        <w:t>de</w:t>
      </w:r>
      <w:r w:rsidRPr="000458F8">
        <w:rPr>
          <w:spacing w:val="-7"/>
          <w:lang w:val="es-ES_tradnl"/>
        </w:rPr>
        <w:t xml:space="preserve"> </w:t>
      </w:r>
      <w:r w:rsidRPr="000458F8">
        <w:rPr>
          <w:lang w:val="es-ES_tradnl"/>
        </w:rPr>
        <w:t>inversión</w:t>
      </w:r>
      <w:r w:rsidRPr="000458F8">
        <w:rPr>
          <w:spacing w:val="-5"/>
          <w:lang w:val="es-ES_tradnl"/>
        </w:rPr>
        <w:t xml:space="preserve"> </w:t>
      </w:r>
      <w:r w:rsidRPr="000458F8">
        <w:rPr>
          <w:lang w:val="es-ES_tradnl"/>
        </w:rPr>
        <w:t>aprobados</w:t>
      </w:r>
      <w:r w:rsidRPr="000458F8">
        <w:rPr>
          <w:spacing w:val="-6"/>
          <w:lang w:val="es-ES_tradnl"/>
        </w:rPr>
        <w:t xml:space="preserve"> </w:t>
      </w:r>
      <w:r w:rsidRPr="000458F8">
        <w:rPr>
          <w:lang w:val="es-ES_tradnl"/>
        </w:rPr>
        <w:t>dio</w:t>
      </w:r>
      <w:r w:rsidRPr="000458F8">
        <w:rPr>
          <w:spacing w:val="-5"/>
          <w:lang w:val="es-ES_tradnl"/>
        </w:rPr>
        <w:t xml:space="preserve"> </w:t>
      </w:r>
      <w:r w:rsidRPr="000458F8">
        <w:rPr>
          <w:lang w:val="es-ES_tradnl"/>
        </w:rPr>
        <w:t>lugar</w:t>
      </w:r>
      <w:r w:rsidRPr="000458F8">
        <w:rPr>
          <w:spacing w:val="-5"/>
          <w:lang w:val="es-ES_tradnl"/>
        </w:rPr>
        <w:t xml:space="preserve"> </w:t>
      </w:r>
      <w:r w:rsidRPr="000458F8">
        <w:rPr>
          <w:lang w:val="es-ES_tradnl"/>
        </w:rPr>
        <w:t>a</w:t>
      </w:r>
      <w:r w:rsidRPr="000458F8">
        <w:rPr>
          <w:spacing w:val="-6"/>
          <w:lang w:val="es-ES_tradnl"/>
        </w:rPr>
        <w:t xml:space="preserve"> </w:t>
      </w:r>
      <w:r w:rsidRPr="000458F8">
        <w:rPr>
          <w:lang w:val="es-ES_tradnl"/>
        </w:rPr>
        <w:t>una</w:t>
      </w:r>
      <w:r w:rsidRPr="000458F8">
        <w:rPr>
          <w:spacing w:val="-8"/>
          <w:lang w:val="es-ES_tradnl"/>
        </w:rPr>
        <w:t xml:space="preserve"> </w:t>
      </w:r>
      <w:r w:rsidRPr="000458F8">
        <w:rPr>
          <w:lang w:val="es-ES_tradnl"/>
        </w:rPr>
        <w:t>reducción</w:t>
      </w:r>
      <w:r w:rsidRPr="000458F8">
        <w:rPr>
          <w:spacing w:val="-5"/>
          <w:lang w:val="es-ES_tradnl"/>
        </w:rPr>
        <w:t xml:space="preserve"> </w:t>
      </w:r>
      <w:r w:rsidRPr="000458F8">
        <w:rPr>
          <w:lang w:val="es-ES_tradnl"/>
        </w:rPr>
        <w:t>permanente</w:t>
      </w:r>
      <w:r w:rsidRPr="000458F8">
        <w:rPr>
          <w:spacing w:val="-6"/>
          <w:lang w:val="es-ES_tradnl"/>
        </w:rPr>
        <w:t xml:space="preserve"> </w:t>
      </w:r>
      <w:r w:rsidRPr="000458F8">
        <w:rPr>
          <w:lang w:val="es-ES_tradnl"/>
        </w:rPr>
        <w:t>en</w:t>
      </w:r>
      <w:r w:rsidRPr="000458F8">
        <w:rPr>
          <w:spacing w:val="-6"/>
          <w:lang w:val="es-ES_tradnl"/>
        </w:rPr>
        <w:t xml:space="preserve"> </w:t>
      </w:r>
      <w:r w:rsidRPr="000458F8">
        <w:rPr>
          <w:lang w:val="es-ES_tradnl"/>
        </w:rPr>
        <w:t>el consumo de 10,65 $EUA/kg. La eficacia en función de los costos promedio de los proyectos</w:t>
      </w:r>
      <w:r w:rsidRPr="000458F8">
        <w:rPr>
          <w:spacing w:val="-6"/>
          <w:lang w:val="es-ES_tradnl"/>
        </w:rPr>
        <w:t xml:space="preserve"> </w:t>
      </w:r>
      <w:r w:rsidRPr="000458F8">
        <w:rPr>
          <w:lang w:val="es-ES_tradnl"/>
        </w:rPr>
        <w:t>de</w:t>
      </w:r>
      <w:r w:rsidRPr="000458F8">
        <w:rPr>
          <w:spacing w:val="-6"/>
          <w:lang w:val="es-ES_tradnl"/>
        </w:rPr>
        <w:t xml:space="preserve"> </w:t>
      </w:r>
      <w:r w:rsidRPr="000458F8">
        <w:rPr>
          <w:lang w:val="es-ES_tradnl"/>
        </w:rPr>
        <w:t>inversión</w:t>
      </w:r>
      <w:r w:rsidRPr="000458F8">
        <w:rPr>
          <w:spacing w:val="-6"/>
          <w:lang w:val="es-ES_tradnl"/>
        </w:rPr>
        <w:t xml:space="preserve"> </w:t>
      </w:r>
      <w:r w:rsidRPr="000458F8">
        <w:rPr>
          <w:lang w:val="es-ES_tradnl"/>
        </w:rPr>
        <w:t>por</w:t>
      </w:r>
      <w:r w:rsidRPr="000458F8">
        <w:rPr>
          <w:spacing w:val="-6"/>
          <w:lang w:val="es-ES_tradnl"/>
        </w:rPr>
        <w:t xml:space="preserve"> </w:t>
      </w:r>
      <w:r w:rsidRPr="000458F8">
        <w:rPr>
          <w:lang w:val="es-ES_tradnl"/>
        </w:rPr>
        <w:t>tonelada</w:t>
      </w:r>
      <w:r w:rsidRPr="000458F8">
        <w:rPr>
          <w:spacing w:val="-6"/>
          <w:lang w:val="es-ES_tradnl"/>
        </w:rPr>
        <w:t xml:space="preserve"> </w:t>
      </w:r>
      <w:r w:rsidRPr="000458F8">
        <w:rPr>
          <w:lang w:val="es-ES_tradnl"/>
        </w:rPr>
        <w:t>PAO</w:t>
      </w:r>
      <w:r w:rsidRPr="000458F8">
        <w:rPr>
          <w:spacing w:val="-6"/>
          <w:lang w:val="es-ES_tradnl"/>
        </w:rPr>
        <w:t xml:space="preserve"> </w:t>
      </w:r>
      <w:r w:rsidRPr="000458F8">
        <w:rPr>
          <w:lang w:val="es-ES_tradnl"/>
        </w:rPr>
        <w:t>fue</w:t>
      </w:r>
      <w:r w:rsidRPr="000458F8">
        <w:rPr>
          <w:spacing w:val="-6"/>
          <w:lang w:val="es-ES_tradnl"/>
        </w:rPr>
        <w:t xml:space="preserve"> </w:t>
      </w:r>
      <w:r w:rsidRPr="000458F8">
        <w:rPr>
          <w:lang w:val="es-ES_tradnl"/>
        </w:rPr>
        <w:t>de</w:t>
      </w:r>
      <w:r w:rsidRPr="000458F8">
        <w:rPr>
          <w:spacing w:val="-6"/>
          <w:lang w:val="es-ES_tradnl"/>
        </w:rPr>
        <w:t xml:space="preserve"> </w:t>
      </w:r>
      <w:r w:rsidRPr="000458F8">
        <w:rPr>
          <w:lang w:val="es-ES_tradnl"/>
        </w:rPr>
        <w:t>9,38</w:t>
      </w:r>
      <w:r w:rsidRPr="000458F8">
        <w:rPr>
          <w:spacing w:val="-7"/>
          <w:lang w:val="es-ES_tradnl"/>
        </w:rPr>
        <w:t xml:space="preserve"> </w:t>
      </w:r>
      <w:r w:rsidRPr="000458F8">
        <w:rPr>
          <w:lang w:val="es-ES_tradnl"/>
        </w:rPr>
        <w:t>$EUA/kg</w:t>
      </w:r>
      <w:r w:rsidRPr="000458F8">
        <w:rPr>
          <w:spacing w:val="-6"/>
          <w:lang w:val="es-ES_tradnl"/>
        </w:rPr>
        <w:t xml:space="preserve"> </w:t>
      </w:r>
      <w:r w:rsidRPr="000458F8">
        <w:rPr>
          <w:lang w:val="es-ES_tradnl"/>
        </w:rPr>
        <w:t>en</w:t>
      </w:r>
      <w:r w:rsidRPr="000458F8">
        <w:rPr>
          <w:spacing w:val="-5"/>
          <w:lang w:val="es-ES_tradnl"/>
        </w:rPr>
        <w:t xml:space="preserve"> </w:t>
      </w:r>
      <w:r w:rsidRPr="000458F8">
        <w:rPr>
          <w:lang w:val="es-ES_tradnl"/>
        </w:rPr>
        <w:t>el</w:t>
      </w:r>
      <w:r w:rsidRPr="000458F8">
        <w:rPr>
          <w:spacing w:val="-6"/>
          <w:lang w:val="es-ES_tradnl"/>
        </w:rPr>
        <w:t xml:space="preserve"> </w:t>
      </w:r>
      <w:r w:rsidRPr="000458F8">
        <w:rPr>
          <w:lang w:val="es-ES_tradnl"/>
        </w:rPr>
        <w:t>caso</w:t>
      </w:r>
      <w:r w:rsidRPr="000458F8">
        <w:rPr>
          <w:spacing w:val="-6"/>
          <w:lang w:val="es-ES_tradnl"/>
        </w:rPr>
        <w:t xml:space="preserve"> </w:t>
      </w:r>
      <w:r w:rsidRPr="000458F8">
        <w:rPr>
          <w:lang w:val="es-ES_tradnl"/>
        </w:rPr>
        <w:t>de</w:t>
      </w:r>
      <w:r w:rsidRPr="000458F8">
        <w:rPr>
          <w:spacing w:val="-6"/>
          <w:lang w:val="es-ES_tradnl"/>
        </w:rPr>
        <w:t xml:space="preserve"> </w:t>
      </w:r>
      <w:r w:rsidRPr="000458F8">
        <w:rPr>
          <w:lang w:val="es-ES_tradnl"/>
        </w:rPr>
        <w:t>los</w:t>
      </w:r>
      <w:r w:rsidRPr="000458F8">
        <w:rPr>
          <w:spacing w:val="-6"/>
          <w:lang w:val="es-ES_tradnl"/>
        </w:rPr>
        <w:t xml:space="preserve"> </w:t>
      </w:r>
      <w:r w:rsidRPr="000458F8">
        <w:rPr>
          <w:lang w:val="es-ES_tradnl"/>
        </w:rPr>
        <w:t>proyectos terminados y de 78,78 $EUA/kg para los proyectos en curso</w:t>
      </w:r>
      <w:r w:rsidR="00C3420C" w:rsidRPr="000458F8">
        <w:rPr>
          <w:rStyle w:val="FootnoteReference"/>
          <w:sz w:val="22"/>
          <w:szCs w:val="22"/>
          <w:lang w:val="es-ES_tradnl"/>
        </w:rPr>
        <w:footnoteReference w:id="8"/>
      </w:r>
      <w:r w:rsidRPr="000458F8">
        <w:rPr>
          <w:lang w:val="es-ES_tradnl"/>
        </w:rPr>
        <w:t>;</w:t>
      </w:r>
    </w:p>
    <w:p w14:paraId="58036FAF" w14:textId="4C50EC63" w:rsidR="000458F8" w:rsidRPr="000458F8" w:rsidRDefault="000458F8" w:rsidP="000458F8">
      <w:pPr>
        <w:pStyle w:val="Heading2"/>
        <w:tabs>
          <w:tab w:val="clear" w:pos="0"/>
        </w:tabs>
        <w:rPr>
          <w:lang w:val="es-ES_tradnl"/>
        </w:rPr>
      </w:pPr>
      <w:r w:rsidRPr="000458F8">
        <w:rPr>
          <w:b/>
          <w:bCs/>
          <w:lang w:val="es-ES_tradnl"/>
        </w:rPr>
        <w:t>Número de proyectos terminados</w:t>
      </w:r>
      <w:r w:rsidR="00C3420C" w:rsidRPr="000458F8">
        <w:rPr>
          <w:b/>
          <w:bCs/>
          <w:lang w:val="es-ES_tradnl"/>
        </w:rPr>
        <w:t>:</w:t>
      </w:r>
      <w:r w:rsidR="00C3420C" w:rsidRPr="000458F8">
        <w:rPr>
          <w:lang w:val="es-ES_tradnl"/>
        </w:rPr>
        <w:t xml:space="preserve"> </w:t>
      </w:r>
      <w:r w:rsidRPr="000458F8">
        <w:rPr>
          <w:lang w:val="es-ES_tradnl"/>
        </w:rPr>
        <w:t>En 2019, se terminaron 56 proyectos. Desde 1991, se han terminado 2</w:t>
      </w:r>
      <w:r w:rsidR="007F4081">
        <w:rPr>
          <w:lang w:val="es-ES_tradnl"/>
        </w:rPr>
        <w:t> </w:t>
      </w:r>
      <w:r w:rsidRPr="000458F8">
        <w:rPr>
          <w:lang w:val="es-ES_tradnl"/>
        </w:rPr>
        <w:t>345 proyectos de los 2</w:t>
      </w:r>
      <w:r w:rsidR="007F4081">
        <w:rPr>
          <w:lang w:val="es-ES_tradnl"/>
        </w:rPr>
        <w:t> </w:t>
      </w:r>
      <w:r w:rsidRPr="000458F8">
        <w:rPr>
          <w:lang w:val="es-ES_tradnl"/>
        </w:rPr>
        <w:t>475 aprobados (con exclusión de los proyectos cancelados o transferidos), lo que representa el 95</w:t>
      </w:r>
      <w:r w:rsidR="00CC3B4D">
        <w:rPr>
          <w:lang w:val="es-ES_tradnl"/>
        </w:rPr>
        <w:t xml:space="preserve"> por ciento</w:t>
      </w:r>
      <w:r w:rsidRPr="000458F8">
        <w:rPr>
          <w:lang w:val="es-ES_tradnl"/>
        </w:rPr>
        <w:t xml:space="preserve"> del total;</w:t>
      </w:r>
    </w:p>
    <w:p w14:paraId="29F67D81" w14:textId="3C58422B" w:rsidR="00AF4679" w:rsidRPr="000458F8" w:rsidRDefault="00AF4679" w:rsidP="00AF4679">
      <w:pPr>
        <w:pStyle w:val="Heading2"/>
        <w:tabs>
          <w:tab w:val="clear" w:pos="0"/>
        </w:tabs>
        <w:rPr>
          <w:lang w:val="es-ES_tradnl"/>
        </w:rPr>
      </w:pPr>
      <w:r w:rsidRPr="000458F8">
        <w:rPr>
          <w:b/>
          <w:lang w:val="es-ES_tradnl"/>
        </w:rPr>
        <w:t xml:space="preserve">Diligencia en la terminación de proyectos de facilitación de las inversiones: </w:t>
      </w:r>
      <w:r w:rsidRPr="000458F8">
        <w:rPr>
          <w:lang w:val="es-ES_tradnl"/>
        </w:rPr>
        <w:t>Los proyectos que se terminaron en 2019 demoraron una media de 51 meses en concluir tras su aprobación. Desde 1991, el tiempo que demora un proyecto de inversión en terminarse ha sido de 34 meses tras su aprobación. Después de haber sido aprobados, transcurre una media de 13 meses antes de que se reciban los primeros</w:t>
      </w:r>
      <w:r w:rsidRPr="000458F8">
        <w:rPr>
          <w:spacing w:val="-4"/>
          <w:lang w:val="es-ES_tradnl"/>
        </w:rPr>
        <w:t xml:space="preserve"> </w:t>
      </w:r>
      <w:r w:rsidRPr="000458F8">
        <w:rPr>
          <w:lang w:val="es-ES_tradnl"/>
        </w:rPr>
        <w:t>desembolsos;</w:t>
      </w:r>
    </w:p>
    <w:p w14:paraId="61A2F5BB" w14:textId="65EED10E" w:rsidR="00AF4679" w:rsidRPr="000458F8" w:rsidRDefault="00AF4679" w:rsidP="00AF4679">
      <w:pPr>
        <w:pStyle w:val="Heading2"/>
        <w:tabs>
          <w:tab w:val="clear" w:pos="0"/>
        </w:tabs>
        <w:rPr>
          <w:lang w:val="es-ES_tradnl"/>
        </w:rPr>
      </w:pPr>
      <w:r w:rsidRPr="000458F8">
        <w:rPr>
          <w:b/>
          <w:bCs/>
          <w:lang w:val="es-ES_tradnl"/>
        </w:rPr>
        <w:t>Diligencia en la terminación de proyectos no relacionados con inversiones</w:t>
      </w:r>
      <w:r w:rsidR="00C3420C" w:rsidRPr="000458F8">
        <w:rPr>
          <w:b/>
          <w:lang w:val="es-ES_tradnl"/>
        </w:rPr>
        <w:t>:</w:t>
      </w:r>
      <w:r w:rsidRPr="000458F8">
        <w:rPr>
          <w:lang w:val="es-ES_tradnl"/>
        </w:rPr>
        <w:t xml:space="preserve"> Los proyectos terminados en 2019 demoraron una media de 38 meses en terminarse después de su aprobación</w:t>
      </w:r>
      <w:r w:rsidR="00C3420C" w:rsidRPr="000458F8">
        <w:rPr>
          <w:lang w:val="es-ES_tradnl"/>
        </w:rPr>
        <w:t xml:space="preserve">. </w:t>
      </w:r>
      <w:r w:rsidRPr="000458F8">
        <w:rPr>
          <w:lang w:val="es-ES_tradnl"/>
        </w:rPr>
        <w:t>Desde 1991, el tiempo medio de terminación de un proyecto no relacionado con inversiones ha sido de 39 meses después de su aprobación</w:t>
      </w:r>
      <w:r w:rsidR="00C3420C" w:rsidRPr="000458F8">
        <w:rPr>
          <w:lang w:val="es-ES_tradnl"/>
        </w:rPr>
        <w:t xml:space="preserve">. </w:t>
      </w:r>
      <w:r w:rsidRPr="000458F8">
        <w:rPr>
          <w:lang w:val="es-ES_tradnl"/>
        </w:rPr>
        <w:t>Los primeros desembolsos para estos proyectos tuvieron lugar, como promedio, 13 meses después de ser aprobados</w:t>
      </w:r>
      <w:r w:rsidR="00C3420C" w:rsidRPr="000458F8">
        <w:rPr>
          <w:lang w:val="es-ES_tradnl"/>
        </w:rPr>
        <w:t>;</w:t>
      </w:r>
    </w:p>
    <w:p w14:paraId="17290374" w14:textId="01EB693E" w:rsidR="00AF4679" w:rsidRPr="000458F8" w:rsidRDefault="00AF4679" w:rsidP="00AF4679">
      <w:pPr>
        <w:pStyle w:val="Heading2"/>
        <w:rPr>
          <w:lang w:val="es-ES_tradnl"/>
        </w:rPr>
      </w:pPr>
      <w:r w:rsidRPr="000458F8">
        <w:rPr>
          <w:b/>
          <w:bCs/>
          <w:lang w:val="es-ES_tradnl"/>
        </w:rPr>
        <w:t>Preparación de proyectos</w:t>
      </w:r>
      <w:r w:rsidR="00C3420C" w:rsidRPr="000458F8">
        <w:rPr>
          <w:b/>
          <w:bCs/>
          <w:lang w:val="es-ES_tradnl"/>
        </w:rPr>
        <w:t xml:space="preserve">: </w:t>
      </w:r>
      <w:r w:rsidRPr="000458F8">
        <w:rPr>
          <w:lang w:val="es-ES_tradnl"/>
        </w:rPr>
        <w:t>De las 539 actividades de preparación de proyectos aprobadas a fines de 2019, se habían terminado 518, y quedaban 21 en curso. En 2019, se había terminado una actividad de preparación;</w:t>
      </w:r>
    </w:p>
    <w:p w14:paraId="655BD6D9" w14:textId="5354922D" w:rsidR="00C3420C" w:rsidRPr="000458F8" w:rsidRDefault="00F22A46" w:rsidP="00C3420C">
      <w:pPr>
        <w:pStyle w:val="Heading2"/>
        <w:tabs>
          <w:tab w:val="clear" w:pos="0"/>
        </w:tabs>
        <w:rPr>
          <w:lang w:val="es-ES_tradnl"/>
        </w:rPr>
      </w:pPr>
      <w:r w:rsidRPr="000458F8">
        <w:rPr>
          <w:b/>
          <w:lang w:val="es-ES_tradnl"/>
        </w:rPr>
        <w:t>Demoras en la ejecución</w:t>
      </w:r>
      <w:r w:rsidR="00C3420C" w:rsidRPr="000458F8">
        <w:rPr>
          <w:b/>
          <w:bCs/>
          <w:lang w:val="es-ES_tradnl"/>
        </w:rPr>
        <w:t>:</w:t>
      </w:r>
      <w:r w:rsidR="00C3420C" w:rsidRPr="000458F8">
        <w:rPr>
          <w:lang w:val="es-ES_tradnl"/>
        </w:rPr>
        <w:t xml:space="preserve"> </w:t>
      </w:r>
      <w:r w:rsidR="00AF4679" w:rsidRPr="000458F8">
        <w:rPr>
          <w:lang w:val="es-ES_tradnl"/>
        </w:rPr>
        <w:t>A fines de 2019 se estaban ejecutando en total 130 proyectos, que están experimentando una demora de 15 meses como promedio. Cinco de dichos proyectos se han clasificado como “proyectos con demoras en la ejecución</w:t>
      </w:r>
      <w:r w:rsidR="007F4081" w:rsidRPr="007F4081">
        <w:rPr>
          <w:lang w:val="es-ES"/>
        </w:rPr>
        <w:t>”</w:t>
      </w:r>
      <w:r w:rsidR="007F4081" w:rsidRPr="00256FD0">
        <w:rPr>
          <w:rStyle w:val="FootnoteReference"/>
          <w:sz w:val="22"/>
          <w:szCs w:val="22"/>
          <w:lang w:val="en-CA"/>
        </w:rPr>
        <w:footnoteReference w:id="9"/>
      </w:r>
      <w:r w:rsidR="00AF4679" w:rsidRPr="000458F8">
        <w:rPr>
          <w:lang w:val="es-ES_tradnl"/>
        </w:rPr>
        <w:t xml:space="preserve"> que están sujetos a los procedimientos de cancelación de proyectos (debido a que la preparación de proyectos, los acuerdos plurianuales y el fortalecimiento institucional no son objeto de esos procedimientos);</w:t>
      </w:r>
      <w:r w:rsidR="00AF4679" w:rsidRPr="000458F8">
        <w:rPr>
          <w:spacing w:val="-3"/>
          <w:lang w:val="es-ES_tradnl"/>
        </w:rPr>
        <w:t xml:space="preserve"> </w:t>
      </w:r>
      <w:r w:rsidR="00AF4679" w:rsidRPr="000458F8">
        <w:rPr>
          <w:lang w:val="es-ES_tradnl"/>
        </w:rPr>
        <w:t>y</w:t>
      </w:r>
    </w:p>
    <w:p w14:paraId="0F4E285D" w14:textId="74A78673" w:rsidR="00C3420C" w:rsidRPr="000458F8" w:rsidRDefault="00AB1E8D" w:rsidP="00C3420C">
      <w:pPr>
        <w:pStyle w:val="Heading2"/>
        <w:tabs>
          <w:tab w:val="clear" w:pos="0"/>
        </w:tabs>
        <w:rPr>
          <w:lang w:val="es-ES_tradnl"/>
        </w:rPr>
      </w:pPr>
      <w:r w:rsidRPr="000458F8">
        <w:rPr>
          <w:b/>
          <w:lang w:val="es-ES_tradnl"/>
        </w:rPr>
        <w:lastRenderedPageBreak/>
        <w:t>Acuerdos plurianuales</w:t>
      </w:r>
      <w:r w:rsidR="00C3420C" w:rsidRPr="000458F8">
        <w:rPr>
          <w:lang w:val="es-ES_tradnl"/>
        </w:rPr>
        <w:t xml:space="preserve">: </w:t>
      </w:r>
      <w:r w:rsidRPr="000458F8">
        <w:rPr>
          <w:lang w:val="es-ES_tradnl"/>
        </w:rPr>
        <w:t>En 2019, se estaban ejecutando 41 acuerdos plurianuales para planes de gestión de eliminación de los HCFC (PGEH). Desde 1991, se han aprobado 136 acuerdos plurianuales y se han terminado 95 de</w:t>
      </w:r>
      <w:r w:rsidRPr="000458F8">
        <w:rPr>
          <w:spacing w:val="-1"/>
          <w:lang w:val="es-ES_tradnl"/>
        </w:rPr>
        <w:t xml:space="preserve"> </w:t>
      </w:r>
      <w:r w:rsidRPr="000458F8">
        <w:rPr>
          <w:lang w:val="es-ES_tradnl"/>
        </w:rPr>
        <w:t>ellos, lo que representa el 70</w:t>
      </w:r>
      <w:r w:rsidR="00CC3B4D">
        <w:rPr>
          <w:lang w:val="es-ES_tradnl"/>
        </w:rPr>
        <w:t xml:space="preserve"> por ciento</w:t>
      </w:r>
      <w:r w:rsidRPr="000458F8">
        <w:rPr>
          <w:lang w:val="es-ES_tradnl"/>
        </w:rPr>
        <w:t xml:space="preserve"> del total.</w:t>
      </w:r>
    </w:p>
    <w:p w14:paraId="446F2FFB" w14:textId="590B8111" w:rsidR="00C3420C" w:rsidRPr="000458F8" w:rsidRDefault="00DE73C8" w:rsidP="00C3420C">
      <w:pPr>
        <w:pStyle w:val="a--"/>
        <w:tabs>
          <w:tab w:val="clear" w:pos="-720"/>
          <w:tab w:val="clear" w:pos="0"/>
          <w:tab w:val="clear" w:pos="720"/>
          <w:tab w:val="clear" w:pos="1440"/>
          <w:tab w:val="clear" w:pos="2160"/>
          <w:tab w:val="clear" w:pos="2880"/>
          <w:tab w:val="clear" w:pos="3600"/>
        </w:tabs>
        <w:suppressAutoHyphens w:val="0"/>
        <w:rPr>
          <w:sz w:val="22"/>
          <w:szCs w:val="22"/>
          <w:lang w:val="es-ES_tradnl"/>
        </w:rPr>
      </w:pPr>
      <w:r w:rsidRPr="000458F8">
        <w:rPr>
          <w:lang w:val="es-ES_tradnl"/>
        </w:rPr>
        <w:t>Marcha de las actividades de ejecución de proyectos durante</w:t>
      </w:r>
      <w:r w:rsidRPr="000458F8">
        <w:rPr>
          <w:sz w:val="22"/>
          <w:szCs w:val="22"/>
          <w:lang w:val="es-ES_tradnl"/>
        </w:rPr>
        <w:t xml:space="preserve"> </w:t>
      </w:r>
      <w:r w:rsidR="00C3420C" w:rsidRPr="000458F8">
        <w:rPr>
          <w:sz w:val="22"/>
          <w:szCs w:val="22"/>
          <w:lang w:val="es-ES_tradnl"/>
        </w:rPr>
        <w:t>2019</w:t>
      </w:r>
    </w:p>
    <w:p w14:paraId="789092DC" w14:textId="77777777" w:rsidR="00C3420C" w:rsidRPr="000458F8" w:rsidRDefault="00C3420C" w:rsidP="00C3420C">
      <w:pPr>
        <w:pStyle w:val="a--"/>
        <w:tabs>
          <w:tab w:val="clear" w:pos="-720"/>
          <w:tab w:val="clear" w:pos="0"/>
          <w:tab w:val="clear" w:pos="720"/>
          <w:tab w:val="clear" w:pos="1440"/>
          <w:tab w:val="clear" w:pos="2160"/>
          <w:tab w:val="clear" w:pos="2880"/>
          <w:tab w:val="clear" w:pos="3600"/>
        </w:tabs>
        <w:suppressAutoHyphens w:val="0"/>
        <w:rPr>
          <w:sz w:val="22"/>
          <w:szCs w:val="22"/>
          <w:lang w:val="es-ES_tradnl"/>
        </w:rPr>
      </w:pPr>
    </w:p>
    <w:p w14:paraId="5D5F0A97" w14:textId="59C68FF6" w:rsidR="00C3420C" w:rsidRPr="000458F8" w:rsidRDefault="008F72DE" w:rsidP="00C3420C">
      <w:pPr>
        <w:pStyle w:val="Heading1"/>
        <w:rPr>
          <w:lang w:val="es-ES_tradnl"/>
        </w:rPr>
      </w:pPr>
      <w:r w:rsidRPr="000458F8">
        <w:rPr>
          <w:lang w:val="es-ES_tradnl"/>
        </w:rPr>
        <w:t xml:space="preserve">Además del proceso de examen, se examinaron </w:t>
      </w:r>
      <w:r w:rsidR="00DE54E4">
        <w:rPr>
          <w:lang w:val="es-ES_tradnl"/>
        </w:rPr>
        <w:t xml:space="preserve">varias </w:t>
      </w:r>
      <w:r w:rsidRPr="000458F8">
        <w:rPr>
          <w:lang w:val="es-ES_tradnl"/>
        </w:rPr>
        <w:t>cuestiones</w:t>
      </w:r>
      <w:r w:rsidR="00DE54E4">
        <w:rPr>
          <w:lang w:val="es-ES_tradnl"/>
        </w:rPr>
        <w:t>, las cuales se resolvieron satisfactoriamente</w:t>
      </w:r>
      <w:r w:rsidRPr="000458F8">
        <w:rPr>
          <w:lang w:val="es-ES_tradnl"/>
        </w:rPr>
        <w:t xml:space="preserve">, menos en el caso de cinco proyectos relacionados con los componentes de acuerdos plurianuales con demoras en la ejecución que están sujetos a los procedimientos de cancelación, en consonancia con la decisión </w:t>
      </w:r>
      <w:r w:rsidR="00C3420C" w:rsidRPr="000458F8">
        <w:rPr>
          <w:lang w:val="es-ES_tradnl"/>
        </w:rPr>
        <w:t>84/45</w:t>
      </w:r>
      <w:r w:rsidRPr="000458F8">
        <w:rPr>
          <w:lang w:val="es-ES_tradnl"/>
        </w:rPr>
        <w:t> </w:t>
      </w:r>
      <w:r w:rsidR="00C3420C" w:rsidRPr="000458F8">
        <w:rPr>
          <w:lang w:val="es-ES_tradnl"/>
        </w:rPr>
        <w:t xml:space="preserve">c). </w:t>
      </w:r>
      <w:r w:rsidRPr="000458F8">
        <w:rPr>
          <w:lang w:val="es-ES_tradnl"/>
        </w:rPr>
        <w:t xml:space="preserve">En el anexo </w:t>
      </w:r>
      <w:r w:rsidR="00C3420C" w:rsidRPr="000458F8">
        <w:rPr>
          <w:lang w:val="es-ES_tradnl"/>
        </w:rPr>
        <w:t xml:space="preserve">I </w:t>
      </w:r>
      <w:r w:rsidRPr="000458F8">
        <w:rPr>
          <w:lang w:val="es-ES_tradnl"/>
        </w:rPr>
        <w:t>de este documento figuran los proyectos clasificados como “proyectos con demoras en la ejecución”</w:t>
      </w:r>
      <w:r w:rsidR="00C3420C" w:rsidRPr="000458F8">
        <w:rPr>
          <w:lang w:val="es-ES_tradnl"/>
        </w:rPr>
        <w:t xml:space="preserve">, </w:t>
      </w:r>
      <w:r w:rsidRPr="000458F8">
        <w:rPr>
          <w:lang w:val="es-ES_tradnl"/>
        </w:rPr>
        <w:t>y la recomendación de la Secretaría en la que solicita la presentación de un informe a la 87ª reunión</w:t>
      </w:r>
      <w:r w:rsidR="00C3420C" w:rsidRPr="000458F8">
        <w:rPr>
          <w:lang w:val="es-ES_tradnl"/>
        </w:rPr>
        <w:t>.</w:t>
      </w:r>
    </w:p>
    <w:p w14:paraId="35B02895" w14:textId="31FCFB63" w:rsidR="005461FC" w:rsidRPr="000458F8" w:rsidRDefault="008F72DE" w:rsidP="005461FC">
      <w:pPr>
        <w:pStyle w:val="Heading1"/>
        <w:rPr>
          <w:lang w:val="es-ES_tradnl"/>
        </w:rPr>
      </w:pPr>
      <w:r w:rsidRPr="000458F8">
        <w:rPr>
          <w:lang w:val="es-ES_tradnl"/>
        </w:rPr>
        <w:t xml:space="preserve">Además, se identificaron varias cuestiones </w:t>
      </w:r>
      <w:r w:rsidR="005461FC" w:rsidRPr="000458F8">
        <w:rPr>
          <w:lang w:val="es-ES_tradnl"/>
        </w:rPr>
        <w:t xml:space="preserve">en lo que respecta </w:t>
      </w:r>
      <w:r w:rsidR="00EC14BC">
        <w:rPr>
          <w:lang w:val="es-ES_tradnl"/>
        </w:rPr>
        <w:t xml:space="preserve">a </w:t>
      </w:r>
      <w:r w:rsidR="005461FC" w:rsidRPr="000458F8">
        <w:rPr>
          <w:lang w:val="es-ES_tradnl"/>
        </w:rPr>
        <w:t>proyectos o tramos de los proyectos plurianuales para la eliminación de los HCFC</w:t>
      </w:r>
      <w:r w:rsidR="00C3420C" w:rsidRPr="000458F8">
        <w:rPr>
          <w:lang w:val="es-ES_tradnl"/>
        </w:rPr>
        <w:t xml:space="preserve">. </w:t>
      </w:r>
      <w:r w:rsidR="005461FC" w:rsidRPr="000458F8">
        <w:rPr>
          <w:lang w:val="es-ES_tradnl"/>
        </w:rPr>
        <w:t>Dichas cuestiones también figuran en el anexo I del presente documento</w:t>
      </w:r>
      <w:r w:rsidR="00C3420C" w:rsidRPr="000458F8">
        <w:rPr>
          <w:lang w:val="es-ES_tradnl"/>
        </w:rPr>
        <w:t xml:space="preserve">. </w:t>
      </w:r>
      <w:r w:rsidR="005461FC" w:rsidRPr="000458F8">
        <w:rPr>
          <w:lang w:val="es-ES_tradnl"/>
        </w:rPr>
        <w:t>Para cada uno de dichos proyectos se presenta una breve descripción sobre el estado de la ejecución y de las cuestiones pendientes y se propone una recomendación para su examen por el Comité Ejecutivo.</w:t>
      </w:r>
    </w:p>
    <w:p w14:paraId="22E1C0E8" w14:textId="02F955E6" w:rsidR="00345118" w:rsidRPr="000458F8" w:rsidRDefault="00345118" w:rsidP="00345118">
      <w:pPr>
        <w:pStyle w:val="Heading1"/>
        <w:rPr>
          <w:lang w:val="es-ES_tradnl"/>
        </w:rPr>
      </w:pPr>
      <w:r w:rsidRPr="000458F8">
        <w:rPr>
          <w:lang w:val="es-ES_tradnl"/>
        </w:rPr>
        <w:t>Se ha presentado a la 86ª reunión información detallada de los progresos en la ejecución de proyectos relacionados con los planes de gestión de eliminación de los HCFC para Armenia</w:t>
      </w:r>
      <w:r w:rsidR="00C3420C" w:rsidRPr="000458F8">
        <w:rPr>
          <w:rStyle w:val="FootnoteReference"/>
          <w:sz w:val="22"/>
          <w:szCs w:val="22"/>
          <w:lang w:val="es-ES_tradnl"/>
        </w:rPr>
        <w:footnoteReference w:id="10"/>
      </w:r>
      <w:r w:rsidRPr="000458F8">
        <w:rPr>
          <w:lang w:val="es-ES_tradnl"/>
        </w:rPr>
        <w:t>,</w:t>
      </w:r>
      <w:r w:rsidR="00C3420C" w:rsidRPr="000458F8">
        <w:rPr>
          <w:lang w:val="es-ES_tradnl"/>
        </w:rPr>
        <w:t xml:space="preserve"> Bra</w:t>
      </w:r>
      <w:r w:rsidRPr="000458F8">
        <w:rPr>
          <w:lang w:val="es-ES_tradnl"/>
        </w:rPr>
        <w:t>s</w:t>
      </w:r>
      <w:r w:rsidR="00C3420C" w:rsidRPr="000458F8">
        <w:rPr>
          <w:lang w:val="es-ES_tradnl"/>
        </w:rPr>
        <w:t>il</w:t>
      </w:r>
      <w:r w:rsidR="00C3420C" w:rsidRPr="000458F8">
        <w:rPr>
          <w:rStyle w:val="FootnoteReference"/>
          <w:sz w:val="22"/>
          <w:szCs w:val="22"/>
          <w:lang w:val="es-ES_tradnl"/>
        </w:rPr>
        <w:footnoteReference w:id="11"/>
      </w:r>
      <w:r w:rsidRPr="000458F8">
        <w:rPr>
          <w:lang w:val="es-ES_tradnl"/>
        </w:rPr>
        <w:t>,</w:t>
      </w:r>
      <w:r w:rsidR="00C3420C" w:rsidRPr="000458F8">
        <w:rPr>
          <w:lang w:val="es-ES_tradnl"/>
        </w:rPr>
        <w:t xml:space="preserve"> Brunei Darussalam</w:t>
      </w:r>
      <w:r w:rsidR="00C3420C" w:rsidRPr="000458F8">
        <w:rPr>
          <w:rStyle w:val="FootnoteReference"/>
          <w:sz w:val="22"/>
          <w:szCs w:val="22"/>
          <w:lang w:val="es-ES_tradnl"/>
        </w:rPr>
        <w:footnoteReference w:id="12"/>
      </w:r>
      <w:r w:rsidRPr="000458F8">
        <w:rPr>
          <w:lang w:val="es-ES_tradnl"/>
        </w:rPr>
        <w:t>,</w:t>
      </w:r>
      <w:r w:rsidR="00C3420C" w:rsidRPr="000458F8">
        <w:rPr>
          <w:lang w:val="es-ES_tradnl"/>
        </w:rPr>
        <w:t xml:space="preserve"> Cuba</w:t>
      </w:r>
      <w:r w:rsidR="00C3420C" w:rsidRPr="000458F8">
        <w:rPr>
          <w:rStyle w:val="FootnoteReference"/>
          <w:sz w:val="22"/>
          <w:szCs w:val="22"/>
          <w:lang w:val="es-ES_tradnl"/>
        </w:rPr>
        <w:footnoteReference w:id="13"/>
      </w:r>
      <w:r w:rsidRPr="000458F8">
        <w:rPr>
          <w:lang w:val="es-ES_tradnl"/>
        </w:rPr>
        <w:t>,</w:t>
      </w:r>
      <w:r w:rsidR="00C3420C" w:rsidRPr="000458F8">
        <w:rPr>
          <w:lang w:val="es-ES_tradnl"/>
        </w:rPr>
        <w:t xml:space="preserve"> </w:t>
      </w:r>
      <w:r w:rsidRPr="000458F8">
        <w:rPr>
          <w:lang w:val="es-ES_tradnl"/>
        </w:rPr>
        <w:t>la República Dominicana</w:t>
      </w:r>
      <w:r w:rsidR="00C3420C" w:rsidRPr="000458F8">
        <w:rPr>
          <w:rStyle w:val="FootnoteReference"/>
          <w:sz w:val="22"/>
          <w:szCs w:val="22"/>
          <w:lang w:val="es-ES_tradnl"/>
        </w:rPr>
        <w:footnoteReference w:id="14"/>
      </w:r>
      <w:r w:rsidRPr="000458F8">
        <w:rPr>
          <w:lang w:val="es-ES_tradnl"/>
        </w:rPr>
        <w:t>,</w:t>
      </w:r>
      <w:r w:rsidR="00C3420C" w:rsidRPr="000458F8">
        <w:rPr>
          <w:lang w:val="es-ES_tradnl"/>
        </w:rPr>
        <w:t xml:space="preserve"> El Salvador</w:t>
      </w:r>
      <w:r w:rsidR="00C3420C" w:rsidRPr="000458F8">
        <w:rPr>
          <w:rStyle w:val="FootnoteReference"/>
          <w:sz w:val="22"/>
          <w:szCs w:val="22"/>
          <w:lang w:val="es-ES_tradnl"/>
        </w:rPr>
        <w:footnoteReference w:id="15"/>
      </w:r>
      <w:r w:rsidRPr="000458F8">
        <w:rPr>
          <w:lang w:val="es-ES_tradnl"/>
        </w:rPr>
        <w:t>,</w:t>
      </w:r>
      <w:r w:rsidR="00C3420C" w:rsidRPr="000458F8">
        <w:rPr>
          <w:lang w:val="es-ES_tradnl"/>
        </w:rPr>
        <w:t xml:space="preserve"> Eswatini</w:t>
      </w:r>
      <w:r w:rsidR="00C3420C" w:rsidRPr="000458F8">
        <w:rPr>
          <w:rStyle w:val="FootnoteReference"/>
          <w:sz w:val="22"/>
          <w:szCs w:val="22"/>
          <w:lang w:val="es-ES_tradnl"/>
        </w:rPr>
        <w:footnoteReference w:id="16"/>
      </w:r>
      <w:r w:rsidRPr="000458F8">
        <w:rPr>
          <w:lang w:val="es-ES_tradnl"/>
        </w:rPr>
        <w:t>,</w:t>
      </w:r>
      <w:r w:rsidR="00C3420C" w:rsidRPr="000458F8">
        <w:rPr>
          <w:lang w:val="es-ES_tradnl"/>
        </w:rPr>
        <w:t xml:space="preserve"> Fiji,</w:t>
      </w:r>
      <w:r w:rsidR="00C3420C" w:rsidRPr="000458F8">
        <w:rPr>
          <w:rStyle w:val="FootnoteReference"/>
          <w:sz w:val="22"/>
          <w:szCs w:val="22"/>
          <w:lang w:val="es-ES_tradnl"/>
        </w:rPr>
        <w:footnoteReference w:id="17"/>
      </w:r>
      <w:r w:rsidR="00C3420C" w:rsidRPr="000458F8">
        <w:rPr>
          <w:lang w:val="es-ES_tradnl"/>
        </w:rPr>
        <w:t xml:space="preserve"> </w:t>
      </w:r>
      <w:r w:rsidRPr="000458F8">
        <w:rPr>
          <w:lang w:val="es-ES_tradnl"/>
        </w:rPr>
        <w:t xml:space="preserve">la </w:t>
      </w:r>
      <w:r w:rsidR="00C3420C" w:rsidRPr="000458F8">
        <w:rPr>
          <w:lang w:val="es-ES_tradnl"/>
        </w:rPr>
        <w:t>India</w:t>
      </w:r>
      <w:r w:rsidR="00C3420C" w:rsidRPr="000458F8">
        <w:rPr>
          <w:rStyle w:val="FootnoteReference"/>
          <w:sz w:val="22"/>
          <w:szCs w:val="22"/>
          <w:lang w:val="es-ES_tradnl"/>
        </w:rPr>
        <w:footnoteReference w:id="18"/>
      </w:r>
      <w:r w:rsidRPr="000458F8">
        <w:rPr>
          <w:lang w:val="es-ES_tradnl"/>
        </w:rPr>
        <w:t>,</w:t>
      </w:r>
      <w:r w:rsidR="00C3420C" w:rsidRPr="000458F8">
        <w:rPr>
          <w:lang w:val="es-ES_tradnl"/>
        </w:rPr>
        <w:t xml:space="preserve"> </w:t>
      </w:r>
      <w:r w:rsidRPr="000458F8">
        <w:rPr>
          <w:lang w:val="es-ES_tradnl"/>
        </w:rPr>
        <w:t>Irán (República Islámica del)</w:t>
      </w:r>
      <w:r w:rsidR="00C3420C" w:rsidRPr="000458F8">
        <w:rPr>
          <w:rStyle w:val="FootnoteReference"/>
          <w:sz w:val="22"/>
          <w:szCs w:val="22"/>
          <w:lang w:val="es-ES_tradnl"/>
        </w:rPr>
        <w:footnoteReference w:id="19"/>
      </w:r>
      <w:r w:rsidRPr="000458F8">
        <w:rPr>
          <w:lang w:val="es-ES_tradnl"/>
        </w:rPr>
        <w:t>,</w:t>
      </w:r>
      <w:r w:rsidR="00C3420C" w:rsidRPr="000458F8">
        <w:rPr>
          <w:lang w:val="es-ES_tradnl"/>
        </w:rPr>
        <w:t xml:space="preserve"> Jamaica</w:t>
      </w:r>
      <w:r w:rsidR="00C3420C" w:rsidRPr="000458F8">
        <w:rPr>
          <w:rStyle w:val="FootnoteReference"/>
          <w:sz w:val="22"/>
          <w:szCs w:val="22"/>
          <w:lang w:val="es-ES_tradnl"/>
        </w:rPr>
        <w:footnoteReference w:id="20"/>
      </w:r>
      <w:r w:rsidRPr="000458F8">
        <w:rPr>
          <w:lang w:val="es-ES_tradnl"/>
        </w:rPr>
        <w:t>,</w:t>
      </w:r>
      <w:r w:rsidR="00C3420C" w:rsidRPr="000458F8">
        <w:rPr>
          <w:lang w:val="es-ES_tradnl"/>
        </w:rPr>
        <w:t xml:space="preserve"> </w:t>
      </w:r>
      <w:r w:rsidRPr="000458F8">
        <w:rPr>
          <w:lang w:val="es-ES_tradnl"/>
        </w:rPr>
        <w:t>Líbano</w:t>
      </w:r>
      <w:r w:rsidR="00C3420C" w:rsidRPr="000458F8">
        <w:rPr>
          <w:rStyle w:val="FootnoteReference"/>
          <w:sz w:val="22"/>
          <w:szCs w:val="22"/>
          <w:lang w:val="es-ES_tradnl"/>
        </w:rPr>
        <w:footnoteReference w:id="21"/>
      </w:r>
      <w:r w:rsidRPr="000458F8">
        <w:rPr>
          <w:lang w:val="es-ES_tradnl"/>
        </w:rPr>
        <w:t>,</w:t>
      </w:r>
      <w:r w:rsidR="00C3420C" w:rsidRPr="000458F8">
        <w:rPr>
          <w:lang w:val="es-ES_tradnl"/>
        </w:rPr>
        <w:t xml:space="preserve"> Nepal</w:t>
      </w:r>
      <w:r w:rsidR="00C3420C" w:rsidRPr="000458F8">
        <w:rPr>
          <w:rStyle w:val="FootnoteReference"/>
          <w:sz w:val="22"/>
          <w:szCs w:val="22"/>
          <w:lang w:val="es-ES_tradnl"/>
        </w:rPr>
        <w:footnoteReference w:id="22"/>
      </w:r>
      <w:r w:rsidRPr="000458F8">
        <w:rPr>
          <w:lang w:val="es-ES_tradnl"/>
        </w:rPr>
        <w:t xml:space="preserve">, </w:t>
      </w:r>
      <w:r w:rsidR="00C3420C" w:rsidRPr="000458F8">
        <w:rPr>
          <w:lang w:val="es-ES_tradnl"/>
        </w:rPr>
        <w:t>Panam</w:t>
      </w:r>
      <w:r w:rsidRPr="000458F8">
        <w:rPr>
          <w:lang w:val="es-ES_tradnl"/>
        </w:rPr>
        <w:t>á</w:t>
      </w:r>
      <w:r w:rsidR="00C3420C" w:rsidRPr="000458F8">
        <w:rPr>
          <w:rStyle w:val="FootnoteReference"/>
          <w:sz w:val="22"/>
          <w:szCs w:val="22"/>
          <w:lang w:val="es-ES_tradnl"/>
        </w:rPr>
        <w:footnoteReference w:id="23"/>
      </w:r>
      <w:r w:rsidRPr="000458F8">
        <w:rPr>
          <w:lang w:val="es-ES_tradnl"/>
        </w:rPr>
        <w:t>,</w:t>
      </w:r>
      <w:r w:rsidR="00C3420C" w:rsidRPr="000458F8">
        <w:rPr>
          <w:lang w:val="es-ES_tradnl"/>
        </w:rPr>
        <w:t xml:space="preserve"> Paraguay</w:t>
      </w:r>
      <w:r w:rsidR="00C3420C" w:rsidRPr="000458F8">
        <w:rPr>
          <w:rStyle w:val="FootnoteReference"/>
          <w:sz w:val="22"/>
          <w:szCs w:val="22"/>
          <w:lang w:val="es-ES_tradnl"/>
        </w:rPr>
        <w:footnoteReference w:id="24"/>
      </w:r>
      <w:r w:rsidRPr="000458F8">
        <w:rPr>
          <w:lang w:val="es-ES_tradnl"/>
        </w:rPr>
        <w:t>,</w:t>
      </w:r>
      <w:r w:rsidR="00C3420C" w:rsidRPr="000458F8">
        <w:rPr>
          <w:lang w:val="es-ES_tradnl"/>
        </w:rPr>
        <w:t xml:space="preserve"> </w:t>
      </w:r>
      <w:r w:rsidRPr="000458F8">
        <w:rPr>
          <w:lang w:val="es-ES_tradnl"/>
        </w:rPr>
        <w:t>la República de Moldova</w:t>
      </w:r>
      <w:r w:rsidR="00C3420C" w:rsidRPr="000458F8">
        <w:rPr>
          <w:rStyle w:val="FootnoteReference"/>
          <w:sz w:val="22"/>
          <w:szCs w:val="22"/>
          <w:lang w:val="es-ES_tradnl"/>
        </w:rPr>
        <w:footnoteReference w:id="25"/>
      </w:r>
      <w:r w:rsidRPr="000458F8">
        <w:rPr>
          <w:lang w:val="es-ES_tradnl"/>
        </w:rPr>
        <w:t>,</w:t>
      </w:r>
      <w:r w:rsidR="00C3420C" w:rsidRPr="000458F8">
        <w:rPr>
          <w:lang w:val="es-ES_tradnl"/>
        </w:rPr>
        <w:t xml:space="preserve"> Sri Lanka</w:t>
      </w:r>
      <w:r w:rsidR="00C3420C" w:rsidRPr="000458F8">
        <w:rPr>
          <w:rStyle w:val="FootnoteReference"/>
          <w:sz w:val="22"/>
          <w:szCs w:val="22"/>
          <w:lang w:val="es-ES_tradnl"/>
        </w:rPr>
        <w:footnoteReference w:id="26"/>
      </w:r>
      <w:r w:rsidRPr="000458F8">
        <w:rPr>
          <w:lang w:val="es-ES_tradnl"/>
        </w:rPr>
        <w:t>,</w:t>
      </w:r>
      <w:r w:rsidR="00C3420C" w:rsidRPr="000458F8">
        <w:rPr>
          <w:lang w:val="es-ES_tradnl"/>
        </w:rPr>
        <w:t xml:space="preserve"> Trinidad </w:t>
      </w:r>
      <w:r w:rsidRPr="000458F8">
        <w:rPr>
          <w:lang w:val="es-ES_tradnl"/>
        </w:rPr>
        <w:t xml:space="preserve">y </w:t>
      </w:r>
      <w:r w:rsidR="00C3420C" w:rsidRPr="000458F8">
        <w:rPr>
          <w:lang w:val="es-ES_tradnl"/>
        </w:rPr>
        <w:t>T</w:t>
      </w:r>
      <w:r w:rsidRPr="000458F8">
        <w:rPr>
          <w:lang w:val="es-ES_tradnl"/>
        </w:rPr>
        <w:t>a</w:t>
      </w:r>
      <w:r w:rsidR="00C3420C" w:rsidRPr="000458F8">
        <w:rPr>
          <w:lang w:val="es-ES_tradnl"/>
        </w:rPr>
        <w:t>bago</w:t>
      </w:r>
      <w:r w:rsidR="00C3420C" w:rsidRPr="000458F8">
        <w:rPr>
          <w:rStyle w:val="FootnoteReference"/>
          <w:sz w:val="22"/>
          <w:szCs w:val="22"/>
          <w:lang w:val="es-ES_tradnl"/>
        </w:rPr>
        <w:footnoteReference w:id="27"/>
      </w:r>
      <w:r w:rsidR="00C3420C" w:rsidRPr="000458F8">
        <w:rPr>
          <w:lang w:val="es-ES_tradnl"/>
        </w:rPr>
        <w:t xml:space="preserve"> </w:t>
      </w:r>
      <w:r w:rsidRPr="000458F8">
        <w:rPr>
          <w:lang w:val="es-ES_tradnl"/>
        </w:rPr>
        <w:t xml:space="preserve">y </w:t>
      </w:r>
      <w:r w:rsidR="00C3420C" w:rsidRPr="000458F8">
        <w:rPr>
          <w:lang w:val="es-ES_tradnl"/>
        </w:rPr>
        <w:t>Uruguay,</w:t>
      </w:r>
      <w:r w:rsidR="00C3420C" w:rsidRPr="000458F8">
        <w:rPr>
          <w:rStyle w:val="FootnoteReference"/>
          <w:sz w:val="22"/>
          <w:szCs w:val="22"/>
          <w:lang w:val="es-ES_tradnl"/>
        </w:rPr>
        <w:footnoteReference w:id="28"/>
      </w:r>
      <w:r w:rsidR="00C3420C" w:rsidRPr="000458F8">
        <w:rPr>
          <w:lang w:val="es-ES_tradnl"/>
        </w:rPr>
        <w:t xml:space="preserve"> </w:t>
      </w:r>
      <w:r w:rsidRPr="000458F8">
        <w:rPr>
          <w:lang w:val="es-ES_tradnl"/>
        </w:rPr>
        <w:t>e informes sobre proyectos con requisitos específicos de presentación de informes</w:t>
      </w:r>
      <w:r w:rsidR="00C3420C" w:rsidRPr="000458F8">
        <w:rPr>
          <w:rStyle w:val="FootnoteReference"/>
          <w:sz w:val="22"/>
          <w:szCs w:val="22"/>
          <w:lang w:val="es-ES_tradnl"/>
        </w:rPr>
        <w:footnoteReference w:id="29"/>
      </w:r>
      <w:r w:rsidR="00C3420C" w:rsidRPr="000458F8">
        <w:rPr>
          <w:lang w:val="es-ES_tradnl"/>
        </w:rPr>
        <w:t xml:space="preserve"> </w:t>
      </w:r>
      <w:r w:rsidRPr="000458F8">
        <w:rPr>
          <w:lang w:val="es-ES_tradnl"/>
        </w:rPr>
        <w:t>relacionados con Brasil</w:t>
      </w:r>
      <w:r w:rsidR="00C3420C" w:rsidRPr="000458F8">
        <w:rPr>
          <w:lang w:val="es-ES_tradnl"/>
        </w:rPr>
        <w:t xml:space="preserve"> (</w:t>
      </w:r>
      <w:r w:rsidRPr="000458F8">
        <w:rPr>
          <w:lang w:val="es-ES_tradnl"/>
        </w:rPr>
        <w:t>eliminación de SAO</w:t>
      </w:r>
      <w:r w:rsidR="00C3420C" w:rsidRPr="000458F8">
        <w:rPr>
          <w:lang w:val="es-ES_tradnl"/>
        </w:rPr>
        <w:t>), Ghana (</w:t>
      </w:r>
      <w:r w:rsidRPr="000458F8">
        <w:rPr>
          <w:lang w:val="es-ES_tradnl"/>
        </w:rPr>
        <w:t>PGEH</w:t>
      </w:r>
      <w:r w:rsidR="00C3420C" w:rsidRPr="000458F8">
        <w:rPr>
          <w:lang w:val="es-ES_tradnl"/>
        </w:rPr>
        <w:t xml:space="preserve">), </w:t>
      </w:r>
      <w:r w:rsidRPr="000458F8">
        <w:rPr>
          <w:lang w:val="es-ES_tradnl"/>
        </w:rPr>
        <w:t>y México</w:t>
      </w:r>
      <w:r w:rsidR="00C3420C" w:rsidRPr="000458F8">
        <w:rPr>
          <w:lang w:val="es-ES_tradnl"/>
        </w:rPr>
        <w:t xml:space="preserve"> (</w:t>
      </w:r>
      <w:r w:rsidRPr="000458F8">
        <w:rPr>
          <w:lang w:val="es-ES_tradnl"/>
        </w:rPr>
        <w:t>PGEH</w:t>
      </w:r>
      <w:r w:rsidR="00C3420C" w:rsidRPr="000458F8">
        <w:rPr>
          <w:lang w:val="es-ES_tradnl"/>
        </w:rPr>
        <w:t>)</w:t>
      </w:r>
      <w:r w:rsidRPr="000458F8">
        <w:rPr>
          <w:lang w:val="es-ES_tradnl"/>
        </w:rPr>
        <w:t xml:space="preserve"> y </w:t>
      </w:r>
      <w:r w:rsidR="00C3420C" w:rsidRPr="000458F8">
        <w:rPr>
          <w:lang w:val="es-ES_tradnl"/>
        </w:rPr>
        <w:t>China (</w:t>
      </w:r>
      <w:r w:rsidRPr="000458F8">
        <w:rPr>
          <w:lang w:val="es-ES_tradnl"/>
        </w:rPr>
        <w:t>PGEH</w:t>
      </w:r>
      <w:r w:rsidR="00C3420C" w:rsidRPr="000458F8">
        <w:rPr>
          <w:lang w:val="es-ES_tradnl"/>
        </w:rPr>
        <w:t>)</w:t>
      </w:r>
      <w:r w:rsidR="00C3420C" w:rsidRPr="000458F8">
        <w:rPr>
          <w:rStyle w:val="FootnoteReference"/>
          <w:sz w:val="22"/>
          <w:szCs w:val="22"/>
          <w:lang w:val="es-ES_tradnl"/>
        </w:rPr>
        <w:footnoteReference w:id="30"/>
      </w:r>
      <w:r w:rsidR="00C3420C" w:rsidRPr="000458F8">
        <w:rPr>
          <w:lang w:val="es-ES_tradnl"/>
        </w:rPr>
        <w:t xml:space="preserve">. </w:t>
      </w:r>
      <w:r w:rsidRPr="000458F8">
        <w:rPr>
          <w:lang w:val="es-ES_tradnl"/>
        </w:rPr>
        <w:t>En las secciones pertinentes de esos documentos se formulan recomendaciones en relación con cuestiones pendientes de esos proyectos, entre ellas la aprobación de las solicitudes de prórroga, de haberlas</w:t>
      </w:r>
      <w:r w:rsidR="00C3420C" w:rsidRPr="000458F8">
        <w:rPr>
          <w:lang w:val="es-ES_tradnl"/>
        </w:rPr>
        <w:t>.</w:t>
      </w:r>
      <w:r w:rsidRPr="000458F8">
        <w:rPr>
          <w:lang w:val="es-ES_tradnl"/>
        </w:rPr>
        <w:t xml:space="preserve"> Las cuestiones relativas a los PGEH para </w:t>
      </w:r>
      <w:r w:rsidR="00C3420C" w:rsidRPr="000458F8">
        <w:rPr>
          <w:lang w:val="es-ES_tradnl"/>
        </w:rPr>
        <w:t>Bangladesh, Mal</w:t>
      </w:r>
      <w:r w:rsidRPr="000458F8">
        <w:rPr>
          <w:lang w:val="es-ES_tradnl"/>
        </w:rPr>
        <w:t>í</w:t>
      </w:r>
      <w:r w:rsidR="00C3420C" w:rsidRPr="000458F8">
        <w:rPr>
          <w:lang w:val="es-ES_tradnl"/>
        </w:rPr>
        <w:t xml:space="preserve">, Mauritania, Nigeria </w:t>
      </w:r>
      <w:r w:rsidRPr="000458F8">
        <w:rPr>
          <w:lang w:val="es-ES_tradnl"/>
        </w:rPr>
        <w:t>y Sudán del Sur se tratan en el documento sobre demoras en la presentación de tramos</w:t>
      </w:r>
      <w:r w:rsidR="00C3420C" w:rsidRPr="000458F8">
        <w:rPr>
          <w:rStyle w:val="FootnoteReference"/>
          <w:sz w:val="22"/>
          <w:szCs w:val="22"/>
          <w:lang w:val="es-ES_tradnl"/>
        </w:rPr>
        <w:footnoteReference w:id="31"/>
      </w:r>
      <w:r w:rsidRPr="000458F8">
        <w:rPr>
          <w:lang w:val="es-ES_tradnl"/>
        </w:rPr>
        <w:t>.</w:t>
      </w:r>
    </w:p>
    <w:p w14:paraId="17C0AD24" w14:textId="33F7F911" w:rsidR="00C3420C" w:rsidRPr="000458F8" w:rsidRDefault="009C7631" w:rsidP="00C3420C">
      <w:pPr>
        <w:pStyle w:val="Heading1"/>
        <w:tabs>
          <w:tab w:val="clear" w:pos="0"/>
        </w:tabs>
        <w:rPr>
          <w:lang w:val="es-ES_tradnl"/>
        </w:rPr>
      </w:pPr>
      <w:r w:rsidRPr="000458F8">
        <w:rPr>
          <w:lang w:val="es-ES_tradnl"/>
        </w:rPr>
        <w:lastRenderedPageBreak/>
        <w:t xml:space="preserve">De los </w:t>
      </w:r>
      <w:r w:rsidR="00C3420C" w:rsidRPr="000458F8">
        <w:rPr>
          <w:lang w:val="es-ES_tradnl"/>
        </w:rPr>
        <w:t xml:space="preserve">86 </w:t>
      </w:r>
      <w:r w:rsidRPr="000458F8">
        <w:rPr>
          <w:lang w:val="es-ES_tradnl"/>
        </w:rPr>
        <w:t>proyectos en curso</w:t>
      </w:r>
      <w:r w:rsidR="00C3420C" w:rsidRPr="000458F8">
        <w:rPr>
          <w:lang w:val="es-ES_tradnl"/>
        </w:rPr>
        <w:t xml:space="preserve">, </w:t>
      </w:r>
      <w:r w:rsidRPr="000458F8">
        <w:rPr>
          <w:lang w:val="es-ES_tradnl"/>
        </w:rPr>
        <w:t>con exclusión de los de fortalecimiento institucional y los de preparación de proyectos</w:t>
      </w:r>
      <w:r w:rsidR="00C3420C" w:rsidRPr="000458F8">
        <w:rPr>
          <w:lang w:val="es-ES_tradnl"/>
        </w:rPr>
        <w:t xml:space="preserve">, </w:t>
      </w:r>
      <w:r w:rsidRPr="000458F8">
        <w:rPr>
          <w:lang w:val="es-ES_tradnl"/>
        </w:rPr>
        <w:t xml:space="preserve">se han revisado las fechas previstas de terminación de </w:t>
      </w:r>
      <w:r w:rsidR="00C3420C" w:rsidRPr="000458F8">
        <w:rPr>
          <w:lang w:val="es-ES_tradnl"/>
        </w:rPr>
        <w:t>29 </w:t>
      </w:r>
      <w:r w:rsidRPr="000458F8">
        <w:rPr>
          <w:lang w:val="es-ES_tradnl"/>
        </w:rPr>
        <w:t>proyectos desde la presentación del informe sobre la marcha de las actividades de 2018</w:t>
      </w:r>
      <w:r w:rsidR="00C3420C" w:rsidRPr="000458F8">
        <w:rPr>
          <w:lang w:val="es-ES_tradnl"/>
        </w:rPr>
        <w:t>.</w:t>
      </w:r>
    </w:p>
    <w:p w14:paraId="590B9D0B" w14:textId="00AAA289" w:rsidR="009C7631" w:rsidRPr="000458F8" w:rsidRDefault="009C7631" w:rsidP="009C7631">
      <w:pPr>
        <w:pStyle w:val="Heading1"/>
        <w:tabs>
          <w:tab w:val="clear" w:pos="0"/>
        </w:tabs>
        <w:rPr>
          <w:lang w:val="es-ES_tradnl"/>
        </w:rPr>
      </w:pPr>
      <w:r w:rsidRPr="000458F8">
        <w:rPr>
          <w:lang w:val="es-ES_tradnl"/>
        </w:rPr>
        <w:t>Atendiendo a la decisión 82/11 c) ii), la Secretaría hizo notar que, en los dos últimos años no se había presentado el proyecto de fortalecimiento institucional del Brasil. El PNUD informó de que tenía previsto presentar la solicitud de renovación en</w:t>
      </w:r>
      <w:r w:rsidRPr="000458F8">
        <w:rPr>
          <w:spacing w:val="-1"/>
          <w:lang w:val="es-ES_tradnl"/>
        </w:rPr>
        <w:t xml:space="preserve"> </w:t>
      </w:r>
      <w:r w:rsidRPr="000458F8">
        <w:rPr>
          <w:lang w:val="es-ES_tradnl"/>
        </w:rPr>
        <w:t>2021.</w:t>
      </w:r>
    </w:p>
    <w:p w14:paraId="6A9D0ED2" w14:textId="66F632F9" w:rsidR="00C3420C" w:rsidRPr="000458F8" w:rsidRDefault="00C3420C" w:rsidP="00DE73C8">
      <w:pPr>
        <w:pStyle w:val="sub-title"/>
        <w:keepNext/>
        <w:keepLines/>
        <w:ind w:left="1418" w:hanging="1418"/>
        <w:rPr>
          <w:caps/>
          <w:lang w:val="es-ES_tradnl"/>
        </w:rPr>
      </w:pPr>
      <w:r w:rsidRPr="000458F8">
        <w:rPr>
          <w:caps/>
          <w:noProof w:val="0"/>
          <w:lang w:val="es-ES_tradnl"/>
        </w:rPr>
        <w:t>Part</w:t>
      </w:r>
      <w:r w:rsidR="00DE73C8" w:rsidRPr="000458F8">
        <w:rPr>
          <w:caps/>
          <w:noProof w:val="0"/>
          <w:lang w:val="es-ES_tradnl"/>
        </w:rPr>
        <w:t>E</w:t>
      </w:r>
      <w:r w:rsidRPr="000458F8">
        <w:rPr>
          <w:caps/>
          <w:noProof w:val="0"/>
          <w:lang w:val="es-ES_tradnl"/>
        </w:rPr>
        <w:t xml:space="preserve"> II: </w:t>
      </w:r>
      <w:r w:rsidR="00DE73C8" w:rsidRPr="000458F8">
        <w:rPr>
          <w:caps/>
          <w:noProof w:val="0"/>
          <w:lang w:val="es-ES_tradnl"/>
        </w:rPr>
        <w:tab/>
      </w:r>
      <w:r w:rsidR="00DE73C8" w:rsidRPr="000458F8">
        <w:rPr>
          <w:caps/>
          <w:lang w:val="es-ES_tradnl"/>
        </w:rPr>
        <w:t>Proyectos aprobados en el marco de otras contribuciones voluntarias para el apoyo acelerado a la reducción de los HFC</w:t>
      </w:r>
    </w:p>
    <w:p w14:paraId="264E8E58" w14:textId="77777777" w:rsidR="00C3420C" w:rsidRPr="000458F8" w:rsidRDefault="00C3420C" w:rsidP="00C3420C">
      <w:pPr>
        <w:pStyle w:val="sub-title"/>
        <w:keepNext/>
        <w:keepLines/>
        <w:rPr>
          <w:caps/>
          <w:lang w:val="es-ES_tradnl"/>
        </w:rPr>
      </w:pPr>
    </w:p>
    <w:p w14:paraId="463BF574" w14:textId="4F779652" w:rsidR="0073739E" w:rsidRPr="000458F8" w:rsidRDefault="0073739E" w:rsidP="00151956">
      <w:pPr>
        <w:pStyle w:val="Heading1"/>
        <w:tabs>
          <w:tab w:val="clear" w:pos="0"/>
        </w:tabs>
        <w:rPr>
          <w:lang w:val="es-ES_tradnl"/>
        </w:rPr>
      </w:pPr>
      <w:r w:rsidRPr="000458F8">
        <w:rPr>
          <w:lang w:val="es-ES_tradnl"/>
        </w:rPr>
        <w:t>Al 31 de diciembre de 2019, el Comité Ejecutivo había aprobado 18 proyectos relacionados con los HFC con cargo a otras contribuciones voluntarias por la suma de 6 053 676 $ EUA (con exclusión de los gastos de apoyo al organismo). En el cuadro 1 figura un resumen del estado de esos proyectos.</w:t>
      </w:r>
    </w:p>
    <w:p w14:paraId="522AA005" w14:textId="66530DE1" w:rsidR="00C3420C" w:rsidRPr="000458F8" w:rsidRDefault="0073739E" w:rsidP="00C3420C">
      <w:pPr>
        <w:pStyle w:val="Heading1"/>
        <w:keepNext/>
        <w:numPr>
          <w:ilvl w:val="0"/>
          <w:numId w:val="0"/>
        </w:numPr>
        <w:spacing w:after="0"/>
        <w:rPr>
          <w:b/>
          <w:lang w:val="es-ES_tradnl"/>
        </w:rPr>
      </w:pPr>
      <w:r w:rsidRPr="000458F8">
        <w:rPr>
          <w:b/>
          <w:lang w:val="es-ES_tradnl"/>
        </w:rPr>
        <w:t>Cuadro 1. Proyectos relacionados con los HFC aprobados a finales de</w:t>
      </w:r>
      <w:r w:rsidR="00C3420C" w:rsidRPr="000458F8">
        <w:rPr>
          <w:b/>
          <w:lang w:val="es-ES_tradnl"/>
        </w:rPr>
        <w:t xml:space="preserve"> 2019</w:t>
      </w:r>
    </w:p>
    <w:tbl>
      <w:tblPr>
        <w:tblW w:w="9384" w:type="dxa"/>
        <w:tblInd w:w="-5" w:type="dxa"/>
        <w:tblLayout w:type="fixed"/>
        <w:tblLook w:val="04A0" w:firstRow="1" w:lastRow="0" w:firstColumn="1" w:lastColumn="0" w:noHBand="0" w:noVBand="1"/>
      </w:tblPr>
      <w:tblGrid>
        <w:gridCol w:w="1912"/>
        <w:gridCol w:w="1114"/>
        <w:gridCol w:w="1114"/>
        <w:gridCol w:w="1115"/>
        <w:gridCol w:w="1032"/>
        <w:gridCol w:w="1032"/>
        <w:gridCol w:w="1032"/>
        <w:gridCol w:w="1033"/>
      </w:tblGrid>
      <w:tr w:rsidR="0073739E" w:rsidRPr="000458F8" w14:paraId="3691D23E" w14:textId="77777777" w:rsidTr="00151956">
        <w:trPr>
          <w:tblHeader/>
        </w:trPr>
        <w:tc>
          <w:tcPr>
            <w:tcW w:w="1912"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4849D3A8" w14:textId="6E22A1D1" w:rsidR="0073739E" w:rsidRPr="000458F8" w:rsidRDefault="0073739E" w:rsidP="0073739E">
            <w:pPr>
              <w:jc w:val="left"/>
              <w:rPr>
                <w:b/>
                <w:bCs/>
                <w:sz w:val="20"/>
                <w:szCs w:val="20"/>
                <w:lang w:val="es-ES_tradnl" w:eastAsia="en-CA"/>
              </w:rPr>
            </w:pPr>
            <w:r w:rsidRPr="000458F8">
              <w:rPr>
                <w:b/>
                <w:sz w:val="20"/>
                <w:lang w:val="es-ES_tradnl"/>
              </w:rPr>
              <w:t>Tipo</w:t>
            </w:r>
          </w:p>
        </w:tc>
        <w:tc>
          <w:tcPr>
            <w:tcW w:w="3343"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5349A6D3" w14:textId="36624260" w:rsidR="0073739E" w:rsidRPr="000458F8" w:rsidRDefault="0073739E" w:rsidP="0073739E">
            <w:pPr>
              <w:jc w:val="center"/>
              <w:rPr>
                <w:b/>
                <w:bCs/>
                <w:sz w:val="20"/>
                <w:szCs w:val="20"/>
                <w:lang w:val="es-ES_tradnl" w:eastAsia="en-CA"/>
              </w:rPr>
            </w:pPr>
            <w:r w:rsidRPr="000458F8">
              <w:rPr>
                <w:b/>
                <w:sz w:val="20"/>
                <w:lang w:val="es-ES_tradnl"/>
              </w:rPr>
              <w:t>Número de proyectos</w:t>
            </w:r>
          </w:p>
        </w:tc>
        <w:tc>
          <w:tcPr>
            <w:tcW w:w="4129"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4B91E1D7" w14:textId="79E646E2" w:rsidR="0073739E" w:rsidRPr="000458F8" w:rsidRDefault="0073739E" w:rsidP="0073739E">
            <w:pPr>
              <w:jc w:val="center"/>
              <w:rPr>
                <w:b/>
                <w:bCs/>
                <w:sz w:val="20"/>
                <w:szCs w:val="20"/>
                <w:lang w:val="es-ES_tradnl" w:eastAsia="en-CA"/>
              </w:rPr>
            </w:pPr>
            <w:r w:rsidRPr="000458F8">
              <w:rPr>
                <w:b/>
                <w:sz w:val="20"/>
                <w:lang w:val="es-ES_tradnl"/>
              </w:rPr>
              <w:t>Financiación ($EUA)*</w:t>
            </w:r>
          </w:p>
        </w:tc>
      </w:tr>
      <w:tr w:rsidR="0073739E" w:rsidRPr="000458F8" w14:paraId="436C218B" w14:textId="77777777" w:rsidTr="00151956">
        <w:trPr>
          <w:tblHeader/>
        </w:trPr>
        <w:tc>
          <w:tcPr>
            <w:tcW w:w="1912"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133B65E6" w14:textId="77777777" w:rsidR="0073739E" w:rsidRPr="000458F8" w:rsidRDefault="0073739E" w:rsidP="0073739E">
            <w:pPr>
              <w:jc w:val="left"/>
              <w:rPr>
                <w:b/>
                <w:bCs/>
                <w:sz w:val="20"/>
                <w:szCs w:val="20"/>
                <w:lang w:val="es-ES_tradnl" w:eastAsia="en-CA"/>
              </w:rPr>
            </w:pPr>
          </w:p>
        </w:tc>
        <w:tc>
          <w:tcPr>
            <w:tcW w:w="1114" w:type="dxa"/>
            <w:tcBorders>
              <w:top w:val="nil"/>
              <w:left w:val="nil"/>
              <w:bottom w:val="single" w:sz="4" w:space="0" w:color="auto"/>
              <w:right w:val="single" w:sz="4" w:space="0" w:color="auto"/>
            </w:tcBorders>
            <w:shd w:val="clear" w:color="auto" w:fill="auto"/>
            <w:tcMar>
              <w:left w:w="0" w:type="dxa"/>
              <w:right w:w="0" w:type="dxa"/>
            </w:tcMar>
            <w:hideMark/>
          </w:tcPr>
          <w:p w14:paraId="68C0E612" w14:textId="6104244A" w:rsidR="0073739E" w:rsidRPr="000458F8" w:rsidRDefault="0073739E" w:rsidP="0073739E">
            <w:pPr>
              <w:jc w:val="center"/>
              <w:rPr>
                <w:b/>
                <w:bCs/>
                <w:sz w:val="20"/>
                <w:szCs w:val="20"/>
                <w:lang w:val="es-ES_tradnl" w:eastAsia="en-CA"/>
              </w:rPr>
            </w:pPr>
            <w:r w:rsidRPr="000458F8">
              <w:rPr>
                <w:b/>
                <w:sz w:val="20"/>
                <w:lang w:val="es-ES_tradnl"/>
              </w:rPr>
              <w:t>Aprobados</w:t>
            </w:r>
          </w:p>
        </w:tc>
        <w:tc>
          <w:tcPr>
            <w:tcW w:w="1114" w:type="dxa"/>
            <w:tcBorders>
              <w:top w:val="nil"/>
              <w:left w:val="nil"/>
              <w:bottom w:val="single" w:sz="4" w:space="0" w:color="auto"/>
              <w:right w:val="single" w:sz="4" w:space="0" w:color="auto"/>
            </w:tcBorders>
            <w:shd w:val="clear" w:color="auto" w:fill="auto"/>
            <w:tcMar>
              <w:left w:w="0" w:type="dxa"/>
              <w:right w:w="0" w:type="dxa"/>
            </w:tcMar>
            <w:hideMark/>
          </w:tcPr>
          <w:p w14:paraId="4B471F40" w14:textId="192F0949" w:rsidR="0073739E" w:rsidRPr="000458F8" w:rsidRDefault="0073739E" w:rsidP="0073739E">
            <w:pPr>
              <w:jc w:val="center"/>
              <w:rPr>
                <w:b/>
                <w:bCs/>
                <w:sz w:val="20"/>
                <w:szCs w:val="20"/>
                <w:lang w:val="es-ES_tradnl" w:eastAsia="en-CA"/>
              </w:rPr>
            </w:pPr>
            <w:r w:rsidRPr="000458F8">
              <w:rPr>
                <w:b/>
                <w:sz w:val="20"/>
                <w:lang w:val="es-ES_tradnl"/>
              </w:rPr>
              <w:t>Terminados</w:t>
            </w:r>
          </w:p>
        </w:tc>
        <w:tc>
          <w:tcPr>
            <w:tcW w:w="1115" w:type="dxa"/>
            <w:tcBorders>
              <w:top w:val="nil"/>
              <w:left w:val="nil"/>
              <w:bottom w:val="single" w:sz="4" w:space="0" w:color="auto"/>
              <w:right w:val="single" w:sz="4" w:space="0" w:color="auto"/>
            </w:tcBorders>
            <w:shd w:val="clear" w:color="auto" w:fill="auto"/>
            <w:tcMar>
              <w:left w:w="0" w:type="dxa"/>
              <w:right w:w="0" w:type="dxa"/>
            </w:tcMar>
            <w:hideMark/>
          </w:tcPr>
          <w:p w14:paraId="0286A482" w14:textId="3D78BED0" w:rsidR="0073739E" w:rsidRPr="000458F8" w:rsidRDefault="0073739E" w:rsidP="0073739E">
            <w:pPr>
              <w:jc w:val="center"/>
              <w:rPr>
                <w:b/>
                <w:bCs/>
                <w:sz w:val="20"/>
                <w:szCs w:val="20"/>
                <w:lang w:val="es-ES_tradnl" w:eastAsia="en-CA"/>
              </w:rPr>
            </w:pPr>
            <w:r w:rsidRPr="000458F8">
              <w:rPr>
                <w:b/>
                <w:bCs/>
                <w:sz w:val="20"/>
                <w:szCs w:val="20"/>
                <w:lang w:val="es-ES_tradnl" w:eastAsia="en-CA"/>
              </w:rPr>
              <w:t>% terminado</w:t>
            </w:r>
          </w:p>
        </w:tc>
        <w:tc>
          <w:tcPr>
            <w:tcW w:w="1032" w:type="dxa"/>
            <w:tcBorders>
              <w:top w:val="nil"/>
              <w:left w:val="nil"/>
              <w:bottom w:val="single" w:sz="4" w:space="0" w:color="auto"/>
              <w:right w:val="single" w:sz="4" w:space="0" w:color="auto"/>
            </w:tcBorders>
            <w:shd w:val="clear" w:color="auto" w:fill="auto"/>
            <w:tcMar>
              <w:left w:w="0" w:type="dxa"/>
              <w:right w:w="0" w:type="dxa"/>
            </w:tcMar>
            <w:hideMark/>
          </w:tcPr>
          <w:p w14:paraId="0261C2EE" w14:textId="2BD90CF3" w:rsidR="0073739E" w:rsidRPr="000458F8" w:rsidRDefault="0073739E" w:rsidP="0073739E">
            <w:pPr>
              <w:jc w:val="center"/>
              <w:rPr>
                <w:b/>
                <w:bCs/>
                <w:sz w:val="20"/>
                <w:szCs w:val="20"/>
                <w:lang w:val="es-ES_tradnl" w:eastAsia="en-CA"/>
              </w:rPr>
            </w:pPr>
            <w:r w:rsidRPr="000458F8">
              <w:rPr>
                <w:b/>
                <w:sz w:val="20"/>
                <w:lang w:val="es-ES_tradnl"/>
              </w:rPr>
              <w:t>Aprobados</w:t>
            </w:r>
          </w:p>
        </w:tc>
        <w:tc>
          <w:tcPr>
            <w:tcW w:w="1032" w:type="dxa"/>
            <w:tcBorders>
              <w:top w:val="nil"/>
              <w:left w:val="nil"/>
              <w:bottom w:val="single" w:sz="4" w:space="0" w:color="auto"/>
              <w:right w:val="single" w:sz="4" w:space="0" w:color="auto"/>
            </w:tcBorders>
            <w:shd w:val="clear" w:color="auto" w:fill="auto"/>
            <w:tcMar>
              <w:left w:w="0" w:type="dxa"/>
              <w:right w:w="0" w:type="dxa"/>
            </w:tcMar>
            <w:hideMark/>
          </w:tcPr>
          <w:p w14:paraId="7B7FE4AC" w14:textId="66B525DA" w:rsidR="0073739E" w:rsidRPr="000458F8" w:rsidRDefault="0073739E" w:rsidP="0073739E">
            <w:pPr>
              <w:jc w:val="center"/>
              <w:rPr>
                <w:b/>
                <w:bCs/>
                <w:sz w:val="20"/>
                <w:szCs w:val="20"/>
                <w:lang w:val="es-ES_tradnl" w:eastAsia="en-CA"/>
              </w:rPr>
            </w:pPr>
            <w:r w:rsidRPr="000458F8">
              <w:rPr>
                <w:b/>
                <w:sz w:val="20"/>
                <w:lang w:val="es-ES_tradnl"/>
              </w:rPr>
              <w:t>Terminados</w:t>
            </w:r>
          </w:p>
        </w:tc>
        <w:tc>
          <w:tcPr>
            <w:tcW w:w="1032" w:type="dxa"/>
            <w:tcBorders>
              <w:top w:val="nil"/>
              <w:left w:val="nil"/>
              <w:bottom w:val="single" w:sz="4" w:space="0" w:color="auto"/>
              <w:right w:val="single" w:sz="4" w:space="0" w:color="auto"/>
            </w:tcBorders>
            <w:shd w:val="clear" w:color="auto" w:fill="auto"/>
            <w:tcMar>
              <w:left w:w="0" w:type="dxa"/>
              <w:right w:w="0" w:type="dxa"/>
            </w:tcMar>
            <w:hideMark/>
          </w:tcPr>
          <w:p w14:paraId="7474A4DF" w14:textId="24CA413B" w:rsidR="0073739E" w:rsidRPr="000458F8" w:rsidRDefault="0073739E" w:rsidP="0073739E">
            <w:pPr>
              <w:jc w:val="center"/>
              <w:rPr>
                <w:b/>
                <w:bCs/>
                <w:sz w:val="20"/>
                <w:szCs w:val="20"/>
                <w:lang w:val="es-ES_tradnl" w:eastAsia="en-CA"/>
              </w:rPr>
            </w:pPr>
            <w:r w:rsidRPr="000458F8">
              <w:rPr>
                <w:b/>
                <w:bCs/>
                <w:sz w:val="20"/>
                <w:szCs w:val="20"/>
                <w:lang w:val="es-ES_tradnl" w:eastAsia="en-CA"/>
              </w:rPr>
              <w:t>Saldo</w:t>
            </w:r>
          </w:p>
        </w:tc>
        <w:tc>
          <w:tcPr>
            <w:tcW w:w="1033" w:type="dxa"/>
            <w:tcBorders>
              <w:top w:val="nil"/>
              <w:left w:val="nil"/>
              <w:bottom w:val="single" w:sz="4" w:space="0" w:color="auto"/>
              <w:right w:val="single" w:sz="4" w:space="0" w:color="auto"/>
            </w:tcBorders>
            <w:shd w:val="clear" w:color="auto" w:fill="auto"/>
            <w:tcMar>
              <w:left w:w="0" w:type="dxa"/>
              <w:right w:w="0" w:type="dxa"/>
            </w:tcMar>
            <w:hideMark/>
          </w:tcPr>
          <w:p w14:paraId="39E5E417" w14:textId="394AB8A6" w:rsidR="0073739E" w:rsidRPr="000458F8" w:rsidRDefault="0073739E" w:rsidP="0073739E">
            <w:pPr>
              <w:jc w:val="center"/>
              <w:rPr>
                <w:b/>
                <w:bCs/>
                <w:sz w:val="20"/>
                <w:szCs w:val="20"/>
                <w:lang w:val="es-ES_tradnl" w:eastAsia="en-CA"/>
              </w:rPr>
            </w:pPr>
            <w:r w:rsidRPr="000458F8">
              <w:rPr>
                <w:b/>
                <w:sz w:val="20"/>
                <w:lang w:val="es-ES_tradnl"/>
              </w:rPr>
              <w:t>Aprobados</w:t>
            </w:r>
          </w:p>
        </w:tc>
      </w:tr>
      <w:tr w:rsidR="0073739E" w:rsidRPr="000458F8" w14:paraId="7C221DA5" w14:textId="77777777" w:rsidTr="00151956">
        <w:tc>
          <w:tcPr>
            <w:tcW w:w="1912"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64FAD83" w14:textId="5B0A0EFE" w:rsidR="0073739E" w:rsidRPr="000458F8" w:rsidRDefault="0073739E" w:rsidP="0073739E">
            <w:pPr>
              <w:jc w:val="left"/>
              <w:rPr>
                <w:sz w:val="20"/>
                <w:szCs w:val="20"/>
                <w:lang w:val="es-ES_tradnl" w:eastAsia="en-CA"/>
              </w:rPr>
            </w:pPr>
            <w:r w:rsidRPr="000458F8">
              <w:rPr>
                <w:sz w:val="20"/>
                <w:lang w:val="es-ES_tradnl"/>
              </w:rPr>
              <w:t>Inversión</w:t>
            </w:r>
            <w:r w:rsidRPr="000458F8">
              <w:rPr>
                <w:b/>
                <w:caps/>
                <w:sz w:val="19"/>
                <w:szCs w:val="19"/>
                <w:lang w:val="es-ES_tradnl"/>
              </w:rPr>
              <w:t>**</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59C0302A" w14:textId="77777777" w:rsidR="0073739E" w:rsidRPr="000458F8" w:rsidRDefault="0073739E" w:rsidP="0073739E">
            <w:pPr>
              <w:jc w:val="right"/>
              <w:rPr>
                <w:sz w:val="20"/>
                <w:szCs w:val="20"/>
                <w:lang w:val="es-ES_tradnl" w:eastAsia="en-CA"/>
              </w:rPr>
            </w:pPr>
            <w:r w:rsidRPr="000458F8">
              <w:rPr>
                <w:sz w:val="20"/>
                <w:szCs w:val="20"/>
                <w:lang w:val="es-ES_tradnl" w:eastAsia="en-CA"/>
              </w:rPr>
              <w:t>2</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3D04903A" w14:textId="77777777" w:rsidR="0073739E" w:rsidRPr="000458F8" w:rsidRDefault="0073739E" w:rsidP="0073739E">
            <w:pPr>
              <w:jc w:val="right"/>
              <w:rPr>
                <w:sz w:val="20"/>
                <w:szCs w:val="20"/>
                <w:lang w:val="es-ES_tradnl" w:eastAsia="en-CA"/>
              </w:rPr>
            </w:pPr>
            <w:r w:rsidRPr="000458F8">
              <w:rPr>
                <w:sz w:val="20"/>
                <w:szCs w:val="20"/>
                <w:lang w:val="es-ES_tradnl" w:eastAsia="en-CA"/>
              </w:rPr>
              <w:t>1</w:t>
            </w:r>
          </w:p>
        </w:tc>
        <w:tc>
          <w:tcPr>
            <w:tcW w:w="1115" w:type="dxa"/>
            <w:tcBorders>
              <w:top w:val="nil"/>
              <w:left w:val="nil"/>
              <w:bottom w:val="single" w:sz="4" w:space="0" w:color="auto"/>
              <w:right w:val="single" w:sz="4" w:space="0" w:color="auto"/>
            </w:tcBorders>
            <w:shd w:val="clear" w:color="auto" w:fill="auto"/>
            <w:noWrap/>
            <w:tcMar>
              <w:left w:w="58" w:type="dxa"/>
              <w:right w:w="144" w:type="dxa"/>
            </w:tcMar>
            <w:hideMark/>
          </w:tcPr>
          <w:p w14:paraId="731DDA28" w14:textId="77777777" w:rsidR="0073739E" w:rsidRPr="000458F8" w:rsidRDefault="0073739E" w:rsidP="0073739E">
            <w:pPr>
              <w:jc w:val="right"/>
              <w:rPr>
                <w:sz w:val="20"/>
                <w:szCs w:val="20"/>
                <w:lang w:val="es-ES_tradnl" w:eastAsia="en-CA"/>
              </w:rPr>
            </w:pPr>
            <w:r w:rsidRPr="000458F8">
              <w:rPr>
                <w:sz w:val="20"/>
                <w:szCs w:val="20"/>
                <w:lang w:val="es-ES_tradnl" w:eastAsia="en-CA"/>
              </w:rPr>
              <w:t>50</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5B472F9C" w14:textId="36B97749" w:rsidR="0073739E" w:rsidRPr="000458F8" w:rsidRDefault="0073739E" w:rsidP="0073739E">
            <w:pPr>
              <w:jc w:val="right"/>
              <w:rPr>
                <w:sz w:val="20"/>
                <w:szCs w:val="20"/>
                <w:lang w:val="es-ES_tradnl" w:eastAsia="en-CA"/>
              </w:rPr>
            </w:pPr>
            <w:r w:rsidRPr="000458F8">
              <w:rPr>
                <w:sz w:val="20"/>
                <w:szCs w:val="20"/>
                <w:lang w:val="es-ES_tradnl" w:eastAsia="en-CA"/>
              </w:rPr>
              <w:t>4</w:t>
            </w:r>
            <w:r w:rsidR="00952255" w:rsidRPr="000458F8">
              <w:rPr>
                <w:sz w:val="20"/>
                <w:szCs w:val="20"/>
                <w:lang w:val="es-ES_tradnl" w:eastAsia="en-CA"/>
              </w:rPr>
              <w:t> </w:t>
            </w:r>
            <w:r w:rsidRPr="000458F8">
              <w:rPr>
                <w:sz w:val="20"/>
                <w:szCs w:val="20"/>
                <w:lang w:val="es-ES_tradnl" w:eastAsia="en-CA"/>
              </w:rPr>
              <w:t>406</w:t>
            </w:r>
            <w:r w:rsidR="00952255" w:rsidRPr="000458F8">
              <w:rPr>
                <w:sz w:val="20"/>
                <w:szCs w:val="20"/>
                <w:lang w:val="es-ES_tradnl" w:eastAsia="en-CA"/>
              </w:rPr>
              <w:t> </w:t>
            </w:r>
            <w:r w:rsidRPr="000458F8">
              <w:rPr>
                <w:sz w:val="20"/>
                <w:szCs w:val="20"/>
                <w:lang w:val="es-ES_tradnl" w:eastAsia="en-CA"/>
              </w:rPr>
              <w:t>610</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54FA4FE8" w14:textId="539D801C" w:rsidR="0073739E" w:rsidRPr="000458F8" w:rsidRDefault="0073739E" w:rsidP="0073739E">
            <w:pPr>
              <w:jc w:val="right"/>
              <w:rPr>
                <w:sz w:val="20"/>
                <w:szCs w:val="20"/>
                <w:lang w:val="es-ES_tradnl" w:eastAsia="en-CA"/>
              </w:rPr>
            </w:pPr>
            <w:r w:rsidRPr="000458F8">
              <w:rPr>
                <w:sz w:val="20"/>
                <w:szCs w:val="20"/>
                <w:lang w:val="es-ES_tradnl" w:eastAsia="en-CA"/>
              </w:rPr>
              <w:t>4</w:t>
            </w:r>
            <w:r w:rsidR="00952255" w:rsidRPr="000458F8">
              <w:rPr>
                <w:sz w:val="20"/>
                <w:szCs w:val="20"/>
                <w:lang w:val="es-ES_tradnl" w:eastAsia="en-CA"/>
              </w:rPr>
              <w:t> </w:t>
            </w:r>
            <w:r w:rsidRPr="000458F8">
              <w:rPr>
                <w:sz w:val="20"/>
                <w:szCs w:val="20"/>
                <w:lang w:val="es-ES_tradnl" w:eastAsia="en-CA"/>
              </w:rPr>
              <w:t>144</w:t>
            </w:r>
            <w:r w:rsidR="00952255" w:rsidRPr="000458F8">
              <w:rPr>
                <w:sz w:val="20"/>
                <w:szCs w:val="20"/>
                <w:lang w:val="es-ES_tradnl" w:eastAsia="en-CA"/>
              </w:rPr>
              <w:t> </w:t>
            </w:r>
            <w:r w:rsidRPr="000458F8">
              <w:rPr>
                <w:sz w:val="20"/>
                <w:szCs w:val="20"/>
                <w:lang w:val="es-ES_tradnl" w:eastAsia="en-CA"/>
              </w:rPr>
              <w:t>828</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21D86820" w14:textId="68F06113" w:rsidR="0073739E" w:rsidRPr="000458F8" w:rsidRDefault="0073739E" w:rsidP="0073739E">
            <w:pPr>
              <w:jc w:val="right"/>
              <w:rPr>
                <w:sz w:val="20"/>
                <w:szCs w:val="20"/>
                <w:lang w:val="es-ES_tradnl" w:eastAsia="en-CA"/>
              </w:rPr>
            </w:pPr>
            <w:r w:rsidRPr="000458F8">
              <w:rPr>
                <w:sz w:val="20"/>
                <w:szCs w:val="20"/>
                <w:lang w:val="es-ES_tradnl" w:eastAsia="en-CA"/>
              </w:rPr>
              <w:t>261</w:t>
            </w:r>
            <w:r w:rsidR="00952255" w:rsidRPr="000458F8">
              <w:rPr>
                <w:sz w:val="20"/>
                <w:szCs w:val="20"/>
                <w:lang w:val="es-ES_tradnl" w:eastAsia="en-CA"/>
              </w:rPr>
              <w:t> </w:t>
            </w:r>
            <w:r w:rsidRPr="000458F8">
              <w:rPr>
                <w:sz w:val="20"/>
                <w:szCs w:val="20"/>
                <w:lang w:val="es-ES_tradnl" w:eastAsia="en-CA"/>
              </w:rPr>
              <w:t>782</w:t>
            </w:r>
          </w:p>
        </w:tc>
        <w:tc>
          <w:tcPr>
            <w:tcW w:w="1033" w:type="dxa"/>
            <w:tcBorders>
              <w:top w:val="nil"/>
              <w:left w:val="nil"/>
              <w:bottom w:val="single" w:sz="4" w:space="0" w:color="auto"/>
              <w:right w:val="single" w:sz="4" w:space="0" w:color="auto"/>
            </w:tcBorders>
            <w:shd w:val="clear" w:color="auto" w:fill="auto"/>
            <w:noWrap/>
            <w:tcMar>
              <w:left w:w="58" w:type="dxa"/>
              <w:right w:w="144" w:type="dxa"/>
            </w:tcMar>
            <w:hideMark/>
          </w:tcPr>
          <w:p w14:paraId="061F5C3C" w14:textId="77777777" w:rsidR="0073739E" w:rsidRPr="000458F8" w:rsidRDefault="0073739E" w:rsidP="0073739E">
            <w:pPr>
              <w:jc w:val="right"/>
              <w:rPr>
                <w:sz w:val="20"/>
                <w:szCs w:val="20"/>
                <w:lang w:val="es-ES_tradnl" w:eastAsia="en-CA"/>
              </w:rPr>
            </w:pPr>
            <w:r w:rsidRPr="000458F8">
              <w:rPr>
                <w:sz w:val="20"/>
                <w:szCs w:val="20"/>
                <w:lang w:val="es-ES_tradnl" w:eastAsia="en-CA"/>
              </w:rPr>
              <w:t>94</w:t>
            </w:r>
          </w:p>
        </w:tc>
      </w:tr>
      <w:tr w:rsidR="0073739E" w:rsidRPr="000458F8" w14:paraId="454E24EB" w14:textId="77777777" w:rsidTr="00151956">
        <w:tc>
          <w:tcPr>
            <w:tcW w:w="1912"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76D7736" w14:textId="77777777" w:rsidR="0073739E" w:rsidRPr="000458F8" w:rsidRDefault="0073739E" w:rsidP="0073739E">
            <w:pPr>
              <w:pStyle w:val="TableParagraph"/>
              <w:ind w:left="107"/>
              <w:rPr>
                <w:sz w:val="20"/>
                <w:lang w:val="es-ES_tradnl"/>
              </w:rPr>
            </w:pPr>
            <w:r w:rsidRPr="000458F8">
              <w:rPr>
                <w:sz w:val="20"/>
                <w:lang w:val="es-ES_tradnl"/>
              </w:rPr>
              <w:t>Preparación de</w:t>
            </w:r>
          </w:p>
          <w:p w14:paraId="43D83774" w14:textId="7D831766" w:rsidR="0073739E" w:rsidRPr="000458F8" w:rsidRDefault="0073739E" w:rsidP="0073739E">
            <w:pPr>
              <w:jc w:val="left"/>
              <w:rPr>
                <w:sz w:val="20"/>
                <w:szCs w:val="20"/>
                <w:lang w:val="es-ES_tradnl" w:eastAsia="en-CA"/>
              </w:rPr>
            </w:pPr>
            <w:r w:rsidRPr="000458F8">
              <w:rPr>
                <w:sz w:val="20"/>
                <w:lang w:val="es-ES_tradnl"/>
              </w:rPr>
              <w:t>proyectos</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58D4485D" w14:textId="77777777" w:rsidR="0073739E" w:rsidRPr="000458F8" w:rsidRDefault="0073739E" w:rsidP="0073739E">
            <w:pPr>
              <w:jc w:val="right"/>
              <w:rPr>
                <w:sz w:val="20"/>
                <w:szCs w:val="20"/>
                <w:lang w:val="es-ES_tradnl" w:eastAsia="en-CA"/>
              </w:rPr>
            </w:pPr>
            <w:r w:rsidRPr="000458F8">
              <w:rPr>
                <w:sz w:val="20"/>
                <w:szCs w:val="20"/>
                <w:lang w:val="es-ES_tradnl" w:eastAsia="en-CA"/>
              </w:rPr>
              <w:t>5</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62E8EEDA" w14:textId="77777777" w:rsidR="0073739E" w:rsidRPr="000458F8" w:rsidRDefault="0073739E" w:rsidP="0073739E">
            <w:pPr>
              <w:jc w:val="right"/>
              <w:rPr>
                <w:sz w:val="20"/>
                <w:szCs w:val="20"/>
                <w:lang w:val="es-ES_tradnl" w:eastAsia="en-CA"/>
              </w:rPr>
            </w:pPr>
            <w:r w:rsidRPr="000458F8">
              <w:rPr>
                <w:sz w:val="20"/>
                <w:szCs w:val="20"/>
                <w:lang w:val="es-ES_tradnl" w:eastAsia="en-CA"/>
              </w:rPr>
              <w:t>5</w:t>
            </w:r>
          </w:p>
        </w:tc>
        <w:tc>
          <w:tcPr>
            <w:tcW w:w="1115" w:type="dxa"/>
            <w:tcBorders>
              <w:top w:val="nil"/>
              <w:left w:val="nil"/>
              <w:bottom w:val="single" w:sz="4" w:space="0" w:color="auto"/>
              <w:right w:val="single" w:sz="4" w:space="0" w:color="auto"/>
            </w:tcBorders>
            <w:shd w:val="clear" w:color="auto" w:fill="auto"/>
            <w:noWrap/>
            <w:tcMar>
              <w:left w:w="58" w:type="dxa"/>
              <w:right w:w="144" w:type="dxa"/>
            </w:tcMar>
            <w:hideMark/>
          </w:tcPr>
          <w:p w14:paraId="1D1FFD96" w14:textId="77777777" w:rsidR="0073739E" w:rsidRPr="000458F8" w:rsidRDefault="0073739E" w:rsidP="0073739E">
            <w:pPr>
              <w:jc w:val="right"/>
              <w:rPr>
                <w:sz w:val="20"/>
                <w:szCs w:val="20"/>
                <w:lang w:val="es-ES_tradnl" w:eastAsia="en-CA"/>
              </w:rPr>
            </w:pPr>
            <w:r w:rsidRPr="000458F8">
              <w:rPr>
                <w:sz w:val="20"/>
                <w:szCs w:val="20"/>
                <w:lang w:val="es-ES_tradnl" w:eastAsia="en-CA"/>
              </w:rPr>
              <w:t>100</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6F50158B" w14:textId="037C1157" w:rsidR="0073739E" w:rsidRPr="000458F8" w:rsidRDefault="0073739E" w:rsidP="0073739E">
            <w:pPr>
              <w:jc w:val="right"/>
              <w:rPr>
                <w:sz w:val="20"/>
                <w:szCs w:val="20"/>
                <w:lang w:val="es-ES_tradnl" w:eastAsia="en-CA"/>
              </w:rPr>
            </w:pPr>
            <w:r w:rsidRPr="000458F8">
              <w:rPr>
                <w:sz w:val="20"/>
                <w:szCs w:val="20"/>
                <w:lang w:val="es-ES_tradnl" w:eastAsia="en-CA"/>
              </w:rPr>
              <w:t>124</w:t>
            </w:r>
            <w:r w:rsidR="00952255" w:rsidRPr="000458F8">
              <w:rPr>
                <w:sz w:val="20"/>
                <w:szCs w:val="20"/>
                <w:lang w:val="es-ES_tradnl" w:eastAsia="en-CA"/>
              </w:rPr>
              <w:t> </w:t>
            </w:r>
            <w:r w:rsidRPr="000458F8">
              <w:rPr>
                <w:sz w:val="20"/>
                <w:szCs w:val="20"/>
                <w:lang w:val="es-ES_tradnl" w:eastAsia="en-CA"/>
              </w:rPr>
              <w:t>066</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6E575C38" w14:textId="4A3FCFDC" w:rsidR="0073739E" w:rsidRPr="000458F8" w:rsidRDefault="0073739E" w:rsidP="0073739E">
            <w:pPr>
              <w:jc w:val="right"/>
              <w:rPr>
                <w:sz w:val="20"/>
                <w:szCs w:val="20"/>
                <w:lang w:val="es-ES_tradnl" w:eastAsia="en-CA"/>
              </w:rPr>
            </w:pPr>
            <w:r w:rsidRPr="000458F8">
              <w:rPr>
                <w:sz w:val="20"/>
                <w:szCs w:val="20"/>
                <w:lang w:val="es-ES_tradnl" w:eastAsia="en-CA"/>
              </w:rPr>
              <w:t>75</w:t>
            </w:r>
            <w:r w:rsidR="00952255" w:rsidRPr="000458F8">
              <w:rPr>
                <w:sz w:val="20"/>
                <w:szCs w:val="20"/>
                <w:lang w:val="es-ES_tradnl" w:eastAsia="en-CA"/>
              </w:rPr>
              <w:t> </w:t>
            </w:r>
            <w:r w:rsidRPr="000458F8">
              <w:rPr>
                <w:sz w:val="20"/>
                <w:szCs w:val="20"/>
                <w:lang w:val="es-ES_tradnl" w:eastAsia="en-CA"/>
              </w:rPr>
              <w:t>911</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2879D1BF" w14:textId="219914D0" w:rsidR="0073739E" w:rsidRPr="000458F8" w:rsidRDefault="0073739E" w:rsidP="0073739E">
            <w:pPr>
              <w:jc w:val="right"/>
              <w:rPr>
                <w:sz w:val="20"/>
                <w:szCs w:val="20"/>
                <w:lang w:val="es-ES_tradnl" w:eastAsia="en-CA"/>
              </w:rPr>
            </w:pPr>
            <w:r w:rsidRPr="000458F8">
              <w:rPr>
                <w:sz w:val="20"/>
                <w:szCs w:val="20"/>
                <w:lang w:val="es-ES_tradnl" w:eastAsia="en-CA"/>
              </w:rPr>
              <w:t>48</w:t>
            </w:r>
            <w:r w:rsidR="00952255" w:rsidRPr="000458F8">
              <w:rPr>
                <w:sz w:val="20"/>
                <w:szCs w:val="20"/>
                <w:lang w:val="es-ES_tradnl" w:eastAsia="en-CA"/>
              </w:rPr>
              <w:t> </w:t>
            </w:r>
            <w:r w:rsidRPr="000458F8">
              <w:rPr>
                <w:sz w:val="20"/>
                <w:szCs w:val="20"/>
                <w:lang w:val="es-ES_tradnl" w:eastAsia="en-CA"/>
              </w:rPr>
              <w:t>155</w:t>
            </w:r>
          </w:p>
        </w:tc>
        <w:tc>
          <w:tcPr>
            <w:tcW w:w="1033" w:type="dxa"/>
            <w:tcBorders>
              <w:top w:val="nil"/>
              <w:left w:val="nil"/>
              <w:bottom w:val="single" w:sz="4" w:space="0" w:color="auto"/>
              <w:right w:val="single" w:sz="4" w:space="0" w:color="auto"/>
            </w:tcBorders>
            <w:shd w:val="clear" w:color="auto" w:fill="auto"/>
            <w:noWrap/>
            <w:tcMar>
              <w:left w:w="58" w:type="dxa"/>
              <w:right w:w="144" w:type="dxa"/>
            </w:tcMar>
            <w:hideMark/>
          </w:tcPr>
          <w:p w14:paraId="64705A89" w14:textId="77777777" w:rsidR="0073739E" w:rsidRPr="000458F8" w:rsidRDefault="0073739E" w:rsidP="0073739E">
            <w:pPr>
              <w:jc w:val="right"/>
              <w:rPr>
                <w:sz w:val="20"/>
                <w:szCs w:val="20"/>
                <w:lang w:val="es-ES_tradnl" w:eastAsia="en-CA"/>
              </w:rPr>
            </w:pPr>
            <w:r w:rsidRPr="000458F8">
              <w:rPr>
                <w:sz w:val="20"/>
                <w:szCs w:val="20"/>
                <w:lang w:val="es-ES_tradnl" w:eastAsia="en-CA"/>
              </w:rPr>
              <w:t>61</w:t>
            </w:r>
          </w:p>
        </w:tc>
      </w:tr>
      <w:tr w:rsidR="0073739E" w:rsidRPr="000458F8" w14:paraId="083859E0" w14:textId="77777777" w:rsidTr="00151956">
        <w:tc>
          <w:tcPr>
            <w:tcW w:w="1912"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2A59A8A" w14:textId="77777777" w:rsidR="0073739E" w:rsidRPr="000458F8" w:rsidRDefault="0073739E" w:rsidP="0073739E">
            <w:pPr>
              <w:pStyle w:val="TableParagraph"/>
              <w:ind w:left="107"/>
              <w:rPr>
                <w:sz w:val="20"/>
                <w:lang w:val="es-ES_tradnl"/>
              </w:rPr>
            </w:pPr>
            <w:r w:rsidRPr="000458F8">
              <w:rPr>
                <w:sz w:val="20"/>
                <w:lang w:val="es-ES_tradnl"/>
              </w:rPr>
              <w:t>Asistencia técnica -</w:t>
            </w:r>
          </w:p>
          <w:p w14:paraId="61EB1B78" w14:textId="462658C7" w:rsidR="0073739E" w:rsidRPr="000458F8" w:rsidRDefault="0073739E" w:rsidP="0073739E">
            <w:pPr>
              <w:jc w:val="left"/>
              <w:rPr>
                <w:sz w:val="20"/>
                <w:szCs w:val="20"/>
                <w:lang w:val="es-ES_tradnl" w:eastAsia="en-CA"/>
              </w:rPr>
            </w:pPr>
            <w:r w:rsidRPr="000458F8">
              <w:rPr>
                <w:sz w:val="20"/>
                <w:lang w:val="es-ES_tradnl"/>
              </w:rPr>
              <w:t>Actividades de apoyo</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1389AB1B" w14:textId="77777777" w:rsidR="0073739E" w:rsidRPr="000458F8" w:rsidRDefault="0073739E" w:rsidP="0073739E">
            <w:pPr>
              <w:jc w:val="right"/>
              <w:rPr>
                <w:sz w:val="20"/>
                <w:szCs w:val="20"/>
                <w:lang w:val="es-ES_tradnl" w:eastAsia="en-CA"/>
              </w:rPr>
            </w:pPr>
            <w:r w:rsidRPr="000458F8">
              <w:rPr>
                <w:sz w:val="20"/>
                <w:szCs w:val="20"/>
                <w:lang w:val="es-ES_tradnl" w:eastAsia="en-CA"/>
              </w:rPr>
              <w:t>11</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2375DC7D" w14:textId="77777777" w:rsidR="0073739E" w:rsidRPr="000458F8" w:rsidRDefault="0073739E" w:rsidP="0073739E">
            <w:pPr>
              <w:jc w:val="right"/>
              <w:rPr>
                <w:sz w:val="20"/>
                <w:szCs w:val="20"/>
                <w:lang w:val="es-ES_tradnl" w:eastAsia="en-CA"/>
              </w:rPr>
            </w:pPr>
            <w:r w:rsidRPr="000458F8">
              <w:rPr>
                <w:sz w:val="20"/>
                <w:szCs w:val="20"/>
                <w:lang w:val="es-ES_tradnl" w:eastAsia="en-CA"/>
              </w:rPr>
              <w:t>1</w:t>
            </w:r>
          </w:p>
        </w:tc>
        <w:tc>
          <w:tcPr>
            <w:tcW w:w="1115" w:type="dxa"/>
            <w:tcBorders>
              <w:top w:val="nil"/>
              <w:left w:val="nil"/>
              <w:bottom w:val="single" w:sz="4" w:space="0" w:color="auto"/>
              <w:right w:val="single" w:sz="4" w:space="0" w:color="auto"/>
            </w:tcBorders>
            <w:shd w:val="clear" w:color="auto" w:fill="auto"/>
            <w:noWrap/>
            <w:tcMar>
              <w:left w:w="58" w:type="dxa"/>
              <w:right w:w="144" w:type="dxa"/>
            </w:tcMar>
            <w:hideMark/>
          </w:tcPr>
          <w:p w14:paraId="7B986B4B" w14:textId="77777777" w:rsidR="0073739E" w:rsidRPr="000458F8" w:rsidRDefault="0073739E" w:rsidP="0073739E">
            <w:pPr>
              <w:jc w:val="right"/>
              <w:rPr>
                <w:sz w:val="20"/>
                <w:szCs w:val="20"/>
                <w:lang w:val="es-ES_tradnl" w:eastAsia="en-CA"/>
              </w:rPr>
            </w:pPr>
            <w:r w:rsidRPr="000458F8">
              <w:rPr>
                <w:sz w:val="20"/>
                <w:szCs w:val="20"/>
                <w:lang w:val="es-ES_tradnl" w:eastAsia="en-CA"/>
              </w:rPr>
              <w:t>9</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21590BD1" w14:textId="1BBD2B84" w:rsidR="0073739E" w:rsidRPr="000458F8" w:rsidRDefault="0073739E" w:rsidP="0073739E">
            <w:pPr>
              <w:jc w:val="right"/>
              <w:rPr>
                <w:sz w:val="20"/>
                <w:szCs w:val="20"/>
                <w:lang w:val="es-ES_tradnl" w:eastAsia="en-CA"/>
              </w:rPr>
            </w:pPr>
            <w:r w:rsidRPr="000458F8">
              <w:rPr>
                <w:sz w:val="20"/>
                <w:szCs w:val="20"/>
                <w:lang w:val="es-ES_tradnl" w:eastAsia="en-CA"/>
              </w:rPr>
              <w:t>1</w:t>
            </w:r>
            <w:r w:rsidR="00952255" w:rsidRPr="000458F8">
              <w:rPr>
                <w:sz w:val="20"/>
                <w:szCs w:val="20"/>
                <w:lang w:val="es-ES_tradnl" w:eastAsia="en-CA"/>
              </w:rPr>
              <w:t> </w:t>
            </w:r>
            <w:r w:rsidRPr="000458F8">
              <w:rPr>
                <w:sz w:val="20"/>
                <w:szCs w:val="20"/>
                <w:lang w:val="es-ES_tradnl" w:eastAsia="en-CA"/>
              </w:rPr>
              <w:t>523</w:t>
            </w:r>
            <w:r w:rsidR="00952255" w:rsidRPr="000458F8">
              <w:rPr>
                <w:sz w:val="20"/>
                <w:szCs w:val="20"/>
                <w:lang w:val="es-ES_tradnl" w:eastAsia="en-CA"/>
              </w:rPr>
              <w:t> </w:t>
            </w:r>
            <w:r w:rsidRPr="000458F8">
              <w:rPr>
                <w:sz w:val="20"/>
                <w:szCs w:val="20"/>
                <w:lang w:val="es-ES_tradnl" w:eastAsia="en-CA"/>
              </w:rPr>
              <w:t>000</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7027163B" w14:textId="524E67A2" w:rsidR="0073739E" w:rsidRPr="000458F8" w:rsidRDefault="0073739E" w:rsidP="0073739E">
            <w:pPr>
              <w:jc w:val="right"/>
              <w:rPr>
                <w:sz w:val="20"/>
                <w:szCs w:val="20"/>
                <w:lang w:val="es-ES_tradnl" w:eastAsia="en-CA"/>
              </w:rPr>
            </w:pPr>
            <w:r w:rsidRPr="000458F8">
              <w:rPr>
                <w:sz w:val="20"/>
                <w:szCs w:val="20"/>
                <w:lang w:val="es-ES_tradnl" w:eastAsia="en-CA"/>
              </w:rPr>
              <w:t>712</w:t>
            </w:r>
            <w:r w:rsidR="00952255" w:rsidRPr="000458F8">
              <w:rPr>
                <w:sz w:val="20"/>
                <w:szCs w:val="20"/>
                <w:lang w:val="es-ES_tradnl" w:eastAsia="en-CA"/>
              </w:rPr>
              <w:t> </w:t>
            </w:r>
            <w:r w:rsidRPr="000458F8">
              <w:rPr>
                <w:sz w:val="20"/>
                <w:szCs w:val="20"/>
                <w:lang w:val="es-ES_tradnl" w:eastAsia="en-CA"/>
              </w:rPr>
              <w:t>989</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268CD650" w14:textId="57B8578C" w:rsidR="0073739E" w:rsidRPr="000458F8" w:rsidRDefault="0073739E" w:rsidP="0073739E">
            <w:pPr>
              <w:jc w:val="right"/>
              <w:rPr>
                <w:sz w:val="20"/>
                <w:szCs w:val="20"/>
                <w:lang w:val="es-ES_tradnl" w:eastAsia="en-CA"/>
              </w:rPr>
            </w:pPr>
            <w:r w:rsidRPr="000458F8">
              <w:rPr>
                <w:sz w:val="20"/>
                <w:szCs w:val="20"/>
                <w:lang w:val="es-ES_tradnl" w:eastAsia="en-CA"/>
              </w:rPr>
              <w:t>810</w:t>
            </w:r>
            <w:r w:rsidR="00952255" w:rsidRPr="000458F8">
              <w:rPr>
                <w:sz w:val="20"/>
                <w:szCs w:val="20"/>
                <w:lang w:val="es-ES_tradnl" w:eastAsia="en-CA"/>
              </w:rPr>
              <w:t> </w:t>
            </w:r>
            <w:r w:rsidRPr="000458F8">
              <w:rPr>
                <w:sz w:val="20"/>
                <w:szCs w:val="20"/>
                <w:lang w:val="es-ES_tradnl" w:eastAsia="en-CA"/>
              </w:rPr>
              <w:t>011</w:t>
            </w:r>
          </w:p>
        </w:tc>
        <w:tc>
          <w:tcPr>
            <w:tcW w:w="1033" w:type="dxa"/>
            <w:tcBorders>
              <w:top w:val="nil"/>
              <w:left w:val="nil"/>
              <w:bottom w:val="single" w:sz="4" w:space="0" w:color="auto"/>
              <w:right w:val="single" w:sz="4" w:space="0" w:color="auto"/>
            </w:tcBorders>
            <w:shd w:val="clear" w:color="auto" w:fill="auto"/>
            <w:noWrap/>
            <w:tcMar>
              <w:left w:w="58" w:type="dxa"/>
              <w:right w:w="144" w:type="dxa"/>
            </w:tcMar>
            <w:hideMark/>
          </w:tcPr>
          <w:p w14:paraId="04067EBA" w14:textId="77777777" w:rsidR="0073739E" w:rsidRPr="000458F8" w:rsidRDefault="0073739E" w:rsidP="0073739E">
            <w:pPr>
              <w:jc w:val="right"/>
              <w:rPr>
                <w:sz w:val="20"/>
                <w:szCs w:val="20"/>
                <w:lang w:val="es-ES_tradnl" w:eastAsia="en-CA"/>
              </w:rPr>
            </w:pPr>
            <w:r w:rsidRPr="000458F8">
              <w:rPr>
                <w:sz w:val="20"/>
                <w:szCs w:val="20"/>
                <w:lang w:val="es-ES_tradnl" w:eastAsia="en-CA"/>
              </w:rPr>
              <w:t>47</w:t>
            </w:r>
          </w:p>
        </w:tc>
      </w:tr>
      <w:tr w:rsidR="00C3420C" w:rsidRPr="000458F8" w14:paraId="7976B8C3" w14:textId="77777777" w:rsidTr="008E3F5E">
        <w:tc>
          <w:tcPr>
            <w:tcW w:w="1912"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4DC919B" w14:textId="77777777" w:rsidR="00C3420C" w:rsidRPr="000458F8" w:rsidRDefault="00C3420C" w:rsidP="008E3F5E">
            <w:pPr>
              <w:jc w:val="left"/>
              <w:rPr>
                <w:b/>
                <w:bCs/>
                <w:sz w:val="20"/>
                <w:szCs w:val="20"/>
                <w:lang w:val="es-ES_tradnl" w:eastAsia="en-CA"/>
              </w:rPr>
            </w:pPr>
            <w:r w:rsidRPr="000458F8">
              <w:rPr>
                <w:b/>
                <w:bCs/>
                <w:sz w:val="20"/>
                <w:szCs w:val="20"/>
                <w:lang w:val="es-ES_tradnl" w:eastAsia="en-CA"/>
              </w:rPr>
              <w:t>Total</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4CCAE018"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18</w:t>
            </w:r>
          </w:p>
        </w:tc>
        <w:tc>
          <w:tcPr>
            <w:tcW w:w="1114" w:type="dxa"/>
            <w:tcBorders>
              <w:top w:val="nil"/>
              <w:left w:val="nil"/>
              <w:bottom w:val="single" w:sz="4" w:space="0" w:color="auto"/>
              <w:right w:val="single" w:sz="4" w:space="0" w:color="auto"/>
            </w:tcBorders>
            <w:shd w:val="clear" w:color="auto" w:fill="auto"/>
            <w:noWrap/>
            <w:tcMar>
              <w:left w:w="58" w:type="dxa"/>
              <w:right w:w="144" w:type="dxa"/>
            </w:tcMar>
            <w:hideMark/>
          </w:tcPr>
          <w:p w14:paraId="1E03CB11" w14:textId="77777777" w:rsidR="00C3420C" w:rsidRPr="000458F8" w:rsidRDefault="00C3420C" w:rsidP="008E3F5E">
            <w:pPr>
              <w:jc w:val="right"/>
              <w:rPr>
                <w:bCs/>
                <w:sz w:val="20"/>
                <w:szCs w:val="20"/>
                <w:lang w:val="es-ES_tradnl" w:eastAsia="en-CA"/>
              </w:rPr>
            </w:pPr>
            <w:r w:rsidRPr="000458F8">
              <w:rPr>
                <w:bCs/>
                <w:sz w:val="20"/>
                <w:szCs w:val="20"/>
                <w:lang w:val="es-ES_tradnl" w:eastAsia="en-CA"/>
              </w:rPr>
              <w:t>7</w:t>
            </w:r>
          </w:p>
        </w:tc>
        <w:tc>
          <w:tcPr>
            <w:tcW w:w="1115" w:type="dxa"/>
            <w:tcBorders>
              <w:top w:val="nil"/>
              <w:left w:val="nil"/>
              <w:bottom w:val="single" w:sz="4" w:space="0" w:color="auto"/>
              <w:right w:val="single" w:sz="4" w:space="0" w:color="auto"/>
            </w:tcBorders>
            <w:shd w:val="clear" w:color="auto" w:fill="auto"/>
            <w:noWrap/>
            <w:tcMar>
              <w:left w:w="58" w:type="dxa"/>
              <w:right w:w="144" w:type="dxa"/>
            </w:tcMar>
            <w:hideMark/>
          </w:tcPr>
          <w:p w14:paraId="1292168F"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39</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09781517" w14:textId="6574C622" w:rsidR="00C3420C" w:rsidRPr="000458F8" w:rsidRDefault="00C3420C" w:rsidP="008E3F5E">
            <w:pPr>
              <w:jc w:val="right"/>
              <w:rPr>
                <w:b/>
                <w:bCs/>
                <w:sz w:val="20"/>
                <w:szCs w:val="20"/>
                <w:lang w:val="es-ES_tradnl" w:eastAsia="en-CA"/>
              </w:rPr>
            </w:pPr>
            <w:r w:rsidRPr="000458F8">
              <w:rPr>
                <w:b/>
                <w:bCs/>
                <w:sz w:val="20"/>
                <w:szCs w:val="20"/>
                <w:lang w:val="es-ES_tradnl" w:eastAsia="en-CA"/>
              </w:rPr>
              <w:t>6</w:t>
            </w:r>
            <w:r w:rsidR="00952255" w:rsidRPr="000458F8">
              <w:rPr>
                <w:b/>
                <w:bCs/>
                <w:sz w:val="20"/>
                <w:szCs w:val="20"/>
                <w:lang w:val="es-ES_tradnl" w:eastAsia="en-CA"/>
              </w:rPr>
              <w:t> </w:t>
            </w:r>
            <w:r w:rsidRPr="000458F8">
              <w:rPr>
                <w:b/>
                <w:bCs/>
                <w:sz w:val="20"/>
                <w:szCs w:val="20"/>
                <w:lang w:val="es-ES_tradnl" w:eastAsia="en-CA"/>
              </w:rPr>
              <w:t>053</w:t>
            </w:r>
            <w:r w:rsidR="00952255" w:rsidRPr="000458F8">
              <w:rPr>
                <w:b/>
                <w:bCs/>
                <w:sz w:val="20"/>
                <w:szCs w:val="20"/>
                <w:lang w:val="es-ES_tradnl" w:eastAsia="en-CA"/>
              </w:rPr>
              <w:t> </w:t>
            </w:r>
            <w:r w:rsidRPr="000458F8">
              <w:rPr>
                <w:b/>
                <w:bCs/>
                <w:sz w:val="20"/>
                <w:szCs w:val="20"/>
                <w:lang w:val="es-ES_tradnl" w:eastAsia="en-CA"/>
              </w:rPr>
              <w:t>676</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5ECDBC1D" w14:textId="2F93B9A1" w:rsidR="00C3420C" w:rsidRPr="000458F8" w:rsidRDefault="00C3420C" w:rsidP="008E3F5E">
            <w:pPr>
              <w:jc w:val="right"/>
              <w:rPr>
                <w:b/>
                <w:bCs/>
                <w:sz w:val="20"/>
                <w:szCs w:val="20"/>
                <w:lang w:val="es-ES_tradnl" w:eastAsia="en-CA"/>
              </w:rPr>
            </w:pPr>
            <w:r w:rsidRPr="000458F8">
              <w:rPr>
                <w:b/>
                <w:bCs/>
                <w:sz w:val="20"/>
                <w:szCs w:val="20"/>
                <w:lang w:val="es-ES_tradnl" w:eastAsia="en-CA"/>
              </w:rPr>
              <w:t>4</w:t>
            </w:r>
            <w:r w:rsidR="00952255" w:rsidRPr="000458F8">
              <w:rPr>
                <w:b/>
                <w:bCs/>
                <w:sz w:val="20"/>
                <w:szCs w:val="20"/>
                <w:lang w:val="es-ES_tradnl" w:eastAsia="en-CA"/>
              </w:rPr>
              <w:t> </w:t>
            </w:r>
            <w:r w:rsidRPr="000458F8">
              <w:rPr>
                <w:b/>
                <w:bCs/>
                <w:sz w:val="20"/>
                <w:szCs w:val="20"/>
                <w:lang w:val="es-ES_tradnl" w:eastAsia="en-CA"/>
              </w:rPr>
              <w:t>933</w:t>
            </w:r>
            <w:r w:rsidR="00952255" w:rsidRPr="000458F8">
              <w:rPr>
                <w:b/>
                <w:bCs/>
                <w:sz w:val="20"/>
                <w:szCs w:val="20"/>
                <w:lang w:val="es-ES_tradnl" w:eastAsia="en-CA"/>
              </w:rPr>
              <w:t> </w:t>
            </w:r>
            <w:r w:rsidRPr="000458F8">
              <w:rPr>
                <w:b/>
                <w:bCs/>
                <w:sz w:val="20"/>
                <w:szCs w:val="20"/>
                <w:lang w:val="es-ES_tradnl" w:eastAsia="en-CA"/>
              </w:rPr>
              <w:t>728</w:t>
            </w:r>
          </w:p>
        </w:tc>
        <w:tc>
          <w:tcPr>
            <w:tcW w:w="1032" w:type="dxa"/>
            <w:tcBorders>
              <w:top w:val="nil"/>
              <w:left w:val="nil"/>
              <w:bottom w:val="single" w:sz="4" w:space="0" w:color="auto"/>
              <w:right w:val="single" w:sz="4" w:space="0" w:color="auto"/>
            </w:tcBorders>
            <w:shd w:val="clear" w:color="auto" w:fill="auto"/>
            <w:noWrap/>
            <w:tcMar>
              <w:left w:w="58" w:type="dxa"/>
              <w:right w:w="144" w:type="dxa"/>
            </w:tcMar>
            <w:hideMark/>
          </w:tcPr>
          <w:p w14:paraId="15B69D8C" w14:textId="0DAE9382" w:rsidR="00C3420C" w:rsidRPr="000458F8" w:rsidRDefault="00C3420C" w:rsidP="008E3F5E">
            <w:pPr>
              <w:jc w:val="right"/>
              <w:rPr>
                <w:b/>
                <w:bCs/>
                <w:sz w:val="20"/>
                <w:szCs w:val="20"/>
                <w:lang w:val="es-ES_tradnl" w:eastAsia="en-CA"/>
              </w:rPr>
            </w:pPr>
            <w:r w:rsidRPr="000458F8">
              <w:rPr>
                <w:b/>
                <w:bCs/>
                <w:sz w:val="20"/>
                <w:szCs w:val="20"/>
                <w:lang w:val="es-ES_tradnl" w:eastAsia="en-CA"/>
              </w:rPr>
              <w:t>1</w:t>
            </w:r>
            <w:r w:rsidR="00952255" w:rsidRPr="000458F8">
              <w:rPr>
                <w:b/>
                <w:bCs/>
                <w:sz w:val="20"/>
                <w:szCs w:val="20"/>
                <w:lang w:val="es-ES_tradnl" w:eastAsia="en-CA"/>
              </w:rPr>
              <w:t> </w:t>
            </w:r>
            <w:r w:rsidRPr="000458F8">
              <w:rPr>
                <w:b/>
                <w:bCs/>
                <w:sz w:val="20"/>
                <w:szCs w:val="20"/>
                <w:lang w:val="es-ES_tradnl" w:eastAsia="en-CA"/>
              </w:rPr>
              <w:t>119</w:t>
            </w:r>
            <w:r w:rsidR="00952255" w:rsidRPr="000458F8">
              <w:rPr>
                <w:b/>
                <w:bCs/>
                <w:sz w:val="20"/>
                <w:szCs w:val="20"/>
                <w:lang w:val="es-ES_tradnl" w:eastAsia="en-CA"/>
              </w:rPr>
              <w:t> </w:t>
            </w:r>
            <w:r w:rsidRPr="000458F8">
              <w:rPr>
                <w:b/>
                <w:bCs/>
                <w:sz w:val="20"/>
                <w:szCs w:val="20"/>
                <w:lang w:val="es-ES_tradnl" w:eastAsia="en-CA"/>
              </w:rPr>
              <w:t>948</w:t>
            </w:r>
          </w:p>
        </w:tc>
        <w:tc>
          <w:tcPr>
            <w:tcW w:w="1033" w:type="dxa"/>
            <w:tcBorders>
              <w:top w:val="nil"/>
              <w:left w:val="nil"/>
              <w:bottom w:val="single" w:sz="4" w:space="0" w:color="auto"/>
              <w:right w:val="single" w:sz="4" w:space="0" w:color="auto"/>
            </w:tcBorders>
            <w:shd w:val="clear" w:color="auto" w:fill="auto"/>
            <w:noWrap/>
            <w:tcMar>
              <w:left w:w="58" w:type="dxa"/>
              <w:right w:w="144" w:type="dxa"/>
            </w:tcMar>
            <w:hideMark/>
          </w:tcPr>
          <w:p w14:paraId="19C6C4C0"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81</w:t>
            </w:r>
          </w:p>
        </w:tc>
      </w:tr>
    </w:tbl>
    <w:p w14:paraId="5A9B07D3" w14:textId="5144D9A2" w:rsidR="00C3420C" w:rsidRPr="000458F8" w:rsidRDefault="00C3420C" w:rsidP="00C3420C">
      <w:pPr>
        <w:pStyle w:val="Title1"/>
        <w:jc w:val="both"/>
        <w:rPr>
          <w:b w:val="0"/>
          <w:caps w:val="0"/>
          <w:sz w:val="19"/>
          <w:szCs w:val="19"/>
          <w:lang w:val="es-ES_tradnl"/>
        </w:rPr>
      </w:pPr>
      <w:r w:rsidRPr="000458F8">
        <w:rPr>
          <w:b w:val="0"/>
          <w:caps w:val="0"/>
          <w:sz w:val="19"/>
          <w:szCs w:val="19"/>
          <w:lang w:val="es-ES_tradnl"/>
        </w:rPr>
        <w:t xml:space="preserve">* </w:t>
      </w:r>
      <w:r w:rsidR="0073739E" w:rsidRPr="000458F8">
        <w:rPr>
          <w:b w:val="0"/>
          <w:caps w:val="0"/>
          <w:sz w:val="19"/>
          <w:szCs w:val="19"/>
          <w:lang w:val="es-ES_tradnl"/>
        </w:rPr>
        <w:t>Excluyendo los gastos de apoyo al organismo</w:t>
      </w:r>
      <w:r w:rsidR="00EC14BC">
        <w:rPr>
          <w:b w:val="0"/>
          <w:caps w:val="0"/>
          <w:sz w:val="19"/>
          <w:szCs w:val="19"/>
          <w:lang w:val="es-ES_tradnl"/>
        </w:rPr>
        <w:t>.</w:t>
      </w:r>
    </w:p>
    <w:p w14:paraId="08881494" w14:textId="7CE6931F" w:rsidR="00C3420C" w:rsidRPr="000458F8" w:rsidRDefault="00C3420C" w:rsidP="00C3420C">
      <w:pPr>
        <w:pStyle w:val="Title1"/>
        <w:jc w:val="both"/>
        <w:rPr>
          <w:b w:val="0"/>
          <w:caps w:val="0"/>
          <w:sz w:val="19"/>
          <w:szCs w:val="19"/>
          <w:lang w:val="es-ES_tradnl"/>
        </w:rPr>
      </w:pPr>
      <w:r w:rsidRPr="000458F8">
        <w:rPr>
          <w:b w:val="0"/>
          <w:caps w:val="0"/>
          <w:sz w:val="19"/>
          <w:szCs w:val="19"/>
          <w:lang w:val="es-ES_tradnl"/>
        </w:rPr>
        <w:t xml:space="preserve">** </w:t>
      </w:r>
      <w:r w:rsidR="0073739E" w:rsidRPr="000458F8">
        <w:rPr>
          <w:b w:val="0"/>
          <w:caps w:val="0"/>
          <w:sz w:val="19"/>
          <w:szCs w:val="19"/>
          <w:lang w:val="es-ES_tradnl"/>
        </w:rPr>
        <w:t xml:space="preserve">Se eliminarán </w:t>
      </w:r>
      <w:r w:rsidRPr="000458F8">
        <w:rPr>
          <w:b w:val="0"/>
          <w:caps w:val="0"/>
          <w:sz w:val="19"/>
          <w:szCs w:val="19"/>
          <w:lang w:val="es-ES_tradnl"/>
        </w:rPr>
        <w:t>480</w:t>
      </w:r>
      <w:r w:rsidR="0073739E" w:rsidRPr="000458F8">
        <w:rPr>
          <w:b w:val="0"/>
          <w:caps w:val="0"/>
          <w:sz w:val="19"/>
          <w:szCs w:val="19"/>
          <w:lang w:val="es-ES_tradnl"/>
        </w:rPr>
        <w:t>,</w:t>
      </w:r>
      <w:r w:rsidRPr="000458F8">
        <w:rPr>
          <w:b w:val="0"/>
          <w:caps w:val="0"/>
          <w:sz w:val="19"/>
          <w:szCs w:val="19"/>
          <w:lang w:val="es-ES_tradnl"/>
        </w:rPr>
        <w:t xml:space="preserve">6 </w:t>
      </w:r>
      <w:r w:rsidR="0073739E" w:rsidRPr="000458F8">
        <w:rPr>
          <w:b w:val="0"/>
          <w:caps w:val="0"/>
          <w:sz w:val="19"/>
          <w:szCs w:val="19"/>
          <w:lang w:val="es-ES_tradnl"/>
        </w:rPr>
        <w:t>tm</w:t>
      </w:r>
      <w:r w:rsidRPr="000458F8">
        <w:rPr>
          <w:b w:val="0"/>
          <w:caps w:val="0"/>
          <w:sz w:val="19"/>
          <w:szCs w:val="19"/>
          <w:lang w:val="es-ES_tradnl"/>
        </w:rPr>
        <w:t xml:space="preserve"> (587</w:t>
      </w:r>
      <w:r w:rsidR="0073739E" w:rsidRPr="000458F8">
        <w:rPr>
          <w:b w:val="0"/>
          <w:caps w:val="0"/>
          <w:sz w:val="19"/>
          <w:szCs w:val="19"/>
          <w:lang w:val="es-ES_tradnl"/>
        </w:rPr>
        <w:t> </w:t>
      </w:r>
      <w:r w:rsidRPr="000458F8">
        <w:rPr>
          <w:b w:val="0"/>
          <w:caps w:val="0"/>
          <w:sz w:val="19"/>
          <w:szCs w:val="19"/>
          <w:lang w:val="es-ES_tradnl"/>
        </w:rPr>
        <w:t xml:space="preserve">301 </w:t>
      </w:r>
      <w:r w:rsidR="0073739E" w:rsidRPr="000458F8">
        <w:rPr>
          <w:b w:val="0"/>
          <w:caps w:val="0"/>
          <w:sz w:val="19"/>
          <w:szCs w:val="19"/>
          <w:lang w:val="es-ES_tradnl"/>
        </w:rPr>
        <w:t xml:space="preserve">tm de </w:t>
      </w:r>
      <w:r w:rsidRPr="000458F8">
        <w:rPr>
          <w:b w:val="0"/>
          <w:caps w:val="0"/>
          <w:sz w:val="19"/>
          <w:szCs w:val="19"/>
          <w:lang w:val="es-ES_tradnl"/>
        </w:rPr>
        <w:t>CO</w:t>
      </w:r>
      <w:r w:rsidRPr="000458F8">
        <w:rPr>
          <w:b w:val="0"/>
          <w:caps w:val="0"/>
          <w:sz w:val="19"/>
          <w:szCs w:val="19"/>
          <w:vertAlign w:val="subscript"/>
          <w:lang w:val="es-ES_tradnl"/>
        </w:rPr>
        <w:t>2</w:t>
      </w:r>
      <w:r w:rsidR="0073739E" w:rsidRPr="000458F8">
        <w:rPr>
          <w:b w:val="0"/>
          <w:caps w:val="0"/>
          <w:sz w:val="19"/>
          <w:szCs w:val="19"/>
          <w:lang w:val="es-ES_tradnl"/>
        </w:rPr>
        <w:t xml:space="preserve"> </w:t>
      </w:r>
      <w:r w:rsidRPr="000458F8">
        <w:rPr>
          <w:b w:val="0"/>
          <w:caps w:val="0"/>
          <w:sz w:val="19"/>
          <w:szCs w:val="19"/>
          <w:lang w:val="es-ES_tradnl"/>
        </w:rPr>
        <w:t>eq</w:t>
      </w:r>
      <w:r w:rsidR="0073739E" w:rsidRPr="000458F8">
        <w:rPr>
          <w:b w:val="0"/>
          <w:caps w:val="0"/>
          <w:sz w:val="19"/>
          <w:szCs w:val="19"/>
          <w:lang w:val="es-ES_tradnl"/>
        </w:rPr>
        <w:t>uivalente</w:t>
      </w:r>
      <w:r w:rsidRPr="000458F8">
        <w:rPr>
          <w:b w:val="0"/>
          <w:caps w:val="0"/>
          <w:sz w:val="19"/>
          <w:szCs w:val="19"/>
          <w:lang w:val="es-ES_tradnl"/>
        </w:rPr>
        <w:t xml:space="preserve">) </w:t>
      </w:r>
      <w:r w:rsidR="0073739E" w:rsidRPr="000458F8">
        <w:rPr>
          <w:b w:val="0"/>
          <w:caps w:val="0"/>
          <w:sz w:val="19"/>
          <w:szCs w:val="19"/>
          <w:lang w:val="es-ES_tradnl"/>
        </w:rPr>
        <w:t xml:space="preserve">de </w:t>
      </w:r>
      <w:r w:rsidRPr="000458F8">
        <w:rPr>
          <w:b w:val="0"/>
          <w:caps w:val="0"/>
          <w:sz w:val="19"/>
          <w:szCs w:val="19"/>
          <w:lang w:val="es-ES_tradnl"/>
        </w:rPr>
        <w:t>HFC.</w:t>
      </w:r>
    </w:p>
    <w:p w14:paraId="678A2CF5" w14:textId="77777777" w:rsidR="00C3420C" w:rsidRPr="000458F8" w:rsidRDefault="00C3420C" w:rsidP="00C3420C">
      <w:pPr>
        <w:pStyle w:val="Title1"/>
        <w:jc w:val="both"/>
        <w:rPr>
          <w:b w:val="0"/>
          <w:caps w:val="0"/>
          <w:sz w:val="19"/>
          <w:szCs w:val="19"/>
          <w:lang w:val="es-ES_tradnl"/>
        </w:rPr>
      </w:pPr>
    </w:p>
    <w:p w14:paraId="4C05F391" w14:textId="671FCE98" w:rsidR="0053460C" w:rsidRPr="000458F8" w:rsidRDefault="0053460C" w:rsidP="0053460C">
      <w:pPr>
        <w:pStyle w:val="Heading1"/>
        <w:tabs>
          <w:tab w:val="clear" w:pos="0"/>
        </w:tabs>
        <w:rPr>
          <w:lang w:val="es-ES_tradnl"/>
        </w:rPr>
      </w:pPr>
      <w:r w:rsidRPr="000458F8">
        <w:rPr>
          <w:lang w:val="es-ES_tradnl"/>
        </w:rPr>
        <w:t xml:space="preserve">A fines de 2019, de los 18 proyectos aprobados se han terminado siete proyectos incluido un proyecto de inversión, una actividad de apoyo y cinco actividades de preparación, quedando 11 proyectos en curso. La prórroga de las fechas de terminación de las 10 actividades de apoyo en curso se aprobó en la 83ª reunión (nueve proyectos) y en la 84ª reunión (un proyecto); dichas actividades </w:t>
      </w:r>
      <w:r w:rsidR="006E7DCA">
        <w:rPr>
          <w:lang w:val="es-ES_tradnl"/>
        </w:rPr>
        <w:t xml:space="preserve">de </w:t>
      </w:r>
      <w:r w:rsidRPr="000458F8">
        <w:rPr>
          <w:lang w:val="es-ES_tradnl"/>
        </w:rPr>
        <w:t>apoyo se encuentran en distintas etapas de realización.</w:t>
      </w:r>
    </w:p>
    <w:p w14:paraId="5B9CFDD8" w14:textId="29380BD5" w:rsidR="0053460C" w:rsidRPr="000458F8" w:rsidRDefault="006E7DCA" w:rsidP="0053460C">
      <w:pPr>
        <w:pStyle w:val="Heading1"/>
        <w:tabs>
          <w:tab w:val="clear" w:pos="0"/>
        </w:tabs>
        <w:rPr>
          <w:lang w:val="es-ES_tradnl"/>
        </w:rPr>
      </w:pPr>
      <w:bookmarkStart w:id="1" w:name="_Hlk55586028"/>
      <w:r>
        <w:rPr>
          <w:lang w:val="es-ES_tradnl"/>
        </w:rPr>
        <w:t xml:space="preserve">Para 2021 se prevé la terminación del </w:t>
      </w:r>
      <w:r w:rsidR="0053460C" w:rsidRPr="000458F8">
        <w:rPr>
          <w:lang w:val="es-ES_tradnl"/>
        </w:rPr>
        <w:t xml:space="preserve">proyecto de inversión </w:t>
      </w:r>
      <w:r w:rsidR="0055609A">
        <w:rPr>
          <w:lang w:val="es-ES_tradnl"/>
        </w:rPr>
        <w:t>restante en curso</w:t>
      </w:r>
      <w:r>
        <w:rPr>
          <w:lang w:val="es-ES_tradnl"/>
        </w:rPr>
        <w:t>,</w:t>
      </w:r>
      <w:r w:rsidR="0053460C" w:rsidRPr="000458F8">
        <w:rPr>
          <w:lang w:val="es-ES_tradnl"/>
        </w:rPr>
        <w:t xml:space="preserve"> aprobado en la 82ª reunión</w:t>
      </w:r>
      <w:r w:rsidR="0055609A">
        <w:rPr>
          <w:lang w:val="es-ES_tradnl"/>
        </w:rPr>
        <w:t xml:space="preserve">, del cual se ha desembolsado el </w:t>
      </w:r>
      <w:r w:rsidR="0053460C" w:rsidRPr="000458F8">
        <w:rPr>
          <w:lang w:val="es-ES_tradnl"/>
        </w:rPr>
        <w:t xml:space="preserve">80 </w:t>
      </w:r>
      <w:r w:rsidR="00CC3B4D">
        <w:rPr>
          <w:lang w:val="es-ES_tradnl"/>
        </w:rPr>
        <w:t>por ciento</w:t>
      </w:r>
      <w:r w:rsidR="0053460C" w:rsidRPr="000458F8">
        <w:rPr>
          <w:lang w:val="es-ES_tradnl"/>
        </w:rPr>
        <w:t xml:space="preserve"> de los fondos aprobados. </w:t>
      </w:r>
    </w:p>
    <w:bookmarkEnd w:id="1"/>
    <w:p w14:paraId="36C6AAB2" w14:textId="49A81AF6" w:rsidR="00C3420C" w:rsidRPr="000458F8" w:rsidRDefault="001862A4" w:rsidP="001862A4">
      <w:pPr>
        <w:pStyle w:val="Heading1"/>
        <w:tabs>
          <w:tab w:val="clear" w:pos="0"/>
        </w:tabs>
        <w:rPr>
          <w:lang w:val="es-ES_tradnl"/>
        </w:rPr>
      </w:pPr>
      <w:r w:rsidRPr="000458F8">
        <w:rPr>
          <w:lang w:val="es-ES_tradnl"/>
        </w:rPr>
        <w:t xml:space="preserve">Del total de fondos acumulados aprobados de 6 053 676 $EUA, </w:t>
      </w:r>
      <w:r w:rsidR="005172EB">
        <w:rPr>
          <w:lang w:val="es-ES_tradnl"/>
        </w:rPr>
        <w:t>se había desembolsado 4 933 728 </w:t>
      </w:r>
      <w:r w:rsidRPr="000458F8">
        <w:rPr>
          <w:lang w:val="es-ES_tradnl"/>
        </w:rPr>
        <w:t xml:space="preserve">$EUA, lo que representa una tasa de desembolso del 81 </w:t>
      </w:r>
      <w:r w:rsidR="00CC3B4D">
        <w:rPr>
          <w:lang w:val="es-ES_tradnl"/>
        </w:rPr>
        <w:t>por ciento</w:t>
      </w:r>
      <w:r w:rsidRPr="000458F8">
        <w:rPr>
          <w:lang w:val="es-ES_tradnl"/>
        </w:rPr>
        <w:t>.</w:t>
      </w:r>
    </w:p>
    <w:p w14:paraId="7E8F4F65" w14:textId="23183F20" w:rsidR="00C3420C" w:rsidRPr="000458F8" w:rsidRDefault="00C3420C" w:rsidP="00C3420C">
      <w:pPr>
        <w:pStyle w:val="a--"/>
        <w:keepNext/>
        <w:keepLines/>
        <w:tabs>
          <w:tab w:val="clear" w:pos="-720"/>
          <w:tab w:val="clear" w:pos="0"/>
          <w:tab w:val="clear" w:pos="720"/>
          <w:tab w:val="clear" w:pos="1440"/>
          <w:tab w:val="clear" w:pos="2160"/>
          <w:tab w:val="clear" w:pos="2880"/>
          <w:tab w:val="clear" w:pos="3600"/>
        </w:tabs>
        <w:suppressAutoHyphens w:val="0"/>
        <w:jc w:val="left"/>
        <w:rPr>
          <w:sz w:val="22"/>
          <w:szCs w:val="22"/>
          <w:lang w:val="es-ES_tradnl"/>
        </w:rPr>
      </w:pPr>
      <w:r w:rsidRPr="000458F8">
        <w:rPr>
          <w:sz w:val="22"/>
          <w:szCs w:val="22"/>
          <w:lang w:val="es-ES_tradnl"/>
        </w:rPr>
        <w:t>Recom</w:t>
      </w:r>
      <w:r w:rsidR="0019636B" w:rsidRPr="000458F8">
        <w:rPr>
          <w:sz w:val="22"/>
          <w:szCs w:val="22"/>
          <w:lang w:val="es-ES_tradnl"/>
        </w:rPr>
        <w:t>endación</w:t>
      </w:r>
    </w:p>
    <w:p w14:paraId="5AE5C2A3" w14:textId="77777777" w:rsidR="00C3420C" w:rsidRPr="000458F8" w:rsidRDefault="00C3420C" w:rsidP="00C3420C">
      <w:pPr>
        <w:keepNext/>
        <w:keepLines/>
        <w:rPr>
          <w:b/>
          <w:bCs/>
          <w:lang w:val="es-ES_tradnl"/>
        </w:rPr>
      </w:pPr>
    </w:p>
    <w:p w14:paraId="3B68C540" w14:textId="733A525C" w:rsidR="00C3420C" w:rsidRPr="000458F8" w:rsidRDefault="00FC09B1" w:rsidP="00C3420C">
      <w:pPr>
        <w:pStyle w:val="Heading1"/>
        <w:tabs>
          <w:tab w:val="clear" w:pos="0"/>
        </w:tabs>
        <w:rPr>
          <w:lang w:val="es-ES_tradnl"/>
        </w:rPr>
      </w:pPr>
      <w:r w:rsidRPr="000458F8">
        <w:rPr>
          <w:lang w:val="es-ES_tradnl"/>
        </w:rPr>
        <w:t>El Comité Ejecutivo p</w:t>
      </w:r>
      <w:r w:rsidR="0019636B" w:rsidRPr="000458F8">
        <w:rPr>
          <w:lang w:val="es-ES_tradnl"/>
        </w:rPr>
        <w:t xml:space="preserve">uede </w:t>
      </w:r>
      <w:r w:rsidRPr="000458F8">
        <w:rPr>
          <w:lang w:val="es-ES_tradnl"/>
        </w:rPr>
        <w:t>estimar oportuno</w:t>
      </w:r>
      <w:r w:rsidR="00C3420C" w:rsidRPr="000458F8">
        <w:rPr>
          <w:lang w:val="es-ES_tradnl"/>
        </w:rPr>
        <w:t>:</w:t>
      </w:r>
    </w:p>
    <w:p w14:paraId="3D640084" w14:textId="7E813E07" w:rsidR="00C3420C" w:rsidRPr="000458F8" w:rsidRDefault="00C3420C" w:rsidP="00C3420C">
      <w:pPr>
        <w:pStyle w:val="Heading2"/>
        <w:tabs>
          <w:tab w:val="clear" w:pos="0"/>
        </w:tabs>
        <w:rPr>
          <w:lang w:val="es-ES_tradnl"/>
        </w:rPr>
      </w:pPr>
      <w:r w:rsidRPr="000458F8">
        <w:rPr>
          <w:lang w:val="es-ES_tradnl"/>
        </w:rPr>
        <w:t>To</w:t>
      </w:r>
      <w:r w:rsidR="0019636B" w:rsidRPr="000458F8">
        <w:rPr>
          <w:lang w:val="es-ES_tradnl"/>
        </w:rPr>
        <w:t xml:space="preserve">mar nota del informe sobre la marcha de las actividades del PNUD al 31 de diciembre de </w:t>
      </w:r>
      <w:r w:rsidRPr="000458F8">
        <w:rPr>
          <w:lang w:val="es-ES_tradnl"/>
        </w:rPr>
        <w:t>2019</w:t>
      </w:r>
      <w:r w:rsidR="0019636B" w:rsidRPr="000458F8">
        <w:rPr>
          <w:lang w:val="es-ES_tradnl"/>
        </w:rPr>
        <w:t xml:space="preserve">, como se recoge en el documento </w:t>
      </w:r>
      <w:r w:rsidRPr="000458F8">
        <w:rPr>
          <w:lang w:val="es-ES_tradnl"/>
        </w:rPr>
        <w:t xml:space="preserve">UNEP/OzL.Pro/ExCom/86/17; </w:t>
      </w:r>
      <w:r w:rsidR="0019636B" w:rsidRPr="000458F8">
        <w:rPr>
          <w:lang w:val="es-ES_tradnl"/>
        </w:rPr>
        <w:t>y</w:t>
      </w:r>
    </w:p>
    <w:p w14:paraId="3275A9CB" w14:textId="2B5CC02C" w:rsidR="00C3420C" w:rsidRPr="000458F8" w:rsidRDefault="0019636B" w:rsidP="00C3420C">
      <w:pPr>
        <w:pStyle w:val="Heading2"/>
        <w:tabs>
          <w:tab w:val="clear" w:pos="0"/>
        </w:tabs>
        <w:rPr>
          <w:lang w:val="es-ES_tradnl"/>
        </w:rPr>
        <w:sectPr w:rsidR="00C3420C" w:rsidRPr="000458F8" w:rsidSect="008E3F5E">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sidRPr="000458F8">
        <w:rPr>
          <w:lang w:val="es-ES_tradnl"/>
        </w:rPr>
        <w:t>Aprobar las recomendaciones relativas a los proyectos en curso con cuestiones específicas, tal como figura en el anexo I del presente documento</w:t>
      </w:r>
      <w:r w:rsidR="00C3420C" w:rsidRPr="000458F8">
        <w:rPr>
          <w:lang w:val="es-ES_tradnl"/>
        </w:rPr>
        <w:t>.</w:t>
      </w:r>
    </w:p>
    <w:p w14:paraId="66FF99B9" w14:textId="58288F91" w:rsidR="00C3420C" w:rsidRPr="000458F8" w:rsidRDefault="00C3420C" w:rsidP="00C3420C">
      <w:pPr>
        <w:jc w:val="center"/>
        <w:rPr>
          <w:b/>
          <w:bCs/>
          <w:lang w:val="es-ES_tradnl"/>
        </w:rPr>
      </w:pPr>
      <w:r w:rsidRPr="000458F8">
        <w:rPr>
          <w:b/>
          <w:bCs/>
          <w:lang w:val="es-ES_tradnl"/>
        </w:rPr>
        <w:lastRenderedPageBreak/>
        <w:t>Anex</w:t>
      </w:r>
      <w:r w:rsidR="00BE224E" w:rsidRPr="000458F8">
        <w:rPr>
          <w:b/>
          <w:bCs/>
          <w:lang w:val="es-ES_tradnl"/>
        </w:rPr>
        <w:t>o</w:t>
      </w:r>
      <w:r w:rsidRPr="000458F8">
        <w:rPr>
          <w:b/>
          <w:bCs/>
          <w:lang w:val="es-ES_tradnl"/>
        </w:rPr>
        <w:t xml:space="preserve"> I</w:t>
      </w:r>
    </w:p>
    <w:p w14:paraId="76B94B42" w14:textId="77777777" w:rsidR="00C3420C" w:rsidRPr="000458F8" w:rsidRDefault="00C3420C" w:rsidP="00C3420C">
      <w:pPr>
        <w:jc w:val="center"/>
        <w:rPr>
          <w:b/>
          <w:bCs/>
          <w:lang w:val="es-ES_tradnl"/>
        </w:rPr>
      </w:pPr>
    </w:p>
    <w:p w14:paraId="3D892940" w14:textId="650DA498" w:rsidR="00C3420C" w:rsidRPr="000458F8" w:rsidRDefault="00BE224E" w:rsidP="00C3420C">
      <w:pPr>
        <w:pStyle w:val="Heading2"/>
        <w:numPr>
          <w:ilvl w:val="0"/>
          <w:numId w:val="0"/>
        </w:numPr>
        <w:jc w:val="center"/>
        <w:rPr>
          <w:b/>
          <w:lang w:val="es-ES_tradnl"/>
        </w:rPr>
      </w:pPr>
      <w:r w:rsidRPr="000458F8">
        <w:rPr>
          <w:b/>
          <w:lang w:val="es-ES_tradnl"/>
        </w:rPr>
        <w:t>PROYECTOS EN CURSO CON CUESTIONES PENDIENTES EN EL INFORME SOBRE LA MARCHA DE LAS ACTIVIDADES DEL PNUD</w:t>
      </w:r>
    </w:p>
    <w:tbl>
      <w:tblPr>
        <w:tblW w:w="14034" w:type="dxa"/>
        <w:tblInd w:w="-5" w:type="dxa"/>
        <w:tblLook w:val="04A0" w:firstRow="1" w:lastRow="0" w:firstColumn="1" w:lastColumn="0" w:noHBand="0" w:noVBand="1"/>
      </w:tblPr>
      <w:tblGrid>
        <w:gridCol w:w="2530"/>
        <w:gridCol w:w="3770"/>
        <w:gridCol w:w="1350"/>
        <w:gridCol w:w="3150"/>
        <w:gridCol w:w="3234"/>
      </w:tblGrid>
      <w:tr w:rsidR="004B60A4" w:rsidRPr="000458F8" w14:paraId="698A0E23" w14:textId="77777777" w:rsidTr="008E3F5E">
        <w:trPr>
          <w:tblHeader/>
        </w:trPr>
        <w:tc>
          <w:tcPr>
            <w:tcW w:w="253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hideMark/>
          </w:tcPr>
          <w:p w14:paraId="520042E8" w14:textId="461EBA65" w:rsidR="004B60A4" w:rsidRPr="000458F8" w:rsidRDefault="004B60A4" w:rsidP="004B60A4">
            <w:pPr>
              <w:jc w:val="center"/>
              <w:rPr>
                <w:b/>
                <w:bCs/>
                <w:sz w:val="20"/>
                <w:szCs w:val="20"/>
                <w:lang w:val="es-ES_tradnl" w:eastAsia="en-CA"/>
              </w:rPr>
            </w:pPr>
            <w:r w:rsidRPr="000458F8">
              <w:rPr>
                <w:b/>
                <w:sz w:val="20"/>
                <w:lang w:val="es-ES_tradnl"/>
              </w:rPr>
              <w:t>País/proyecto</w:t>
            </w:r>
          </w:p>
        </w:tc>
        <w:tc>
          <w:tcPr>
            <w:tcW w:w="377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6F13A322" w14:textId="20F77421" w:rsidR="004B60A4" w:rsidRPr="000458F8" w:rsidRDefault="004B60A4" w:rsidP="004B60A4">
            <w:pPr>
              <w:jc w:val="center"/>
              <w:rPr>
                <w:b/>
                <w:bCs/>
                <w:sz w:val="20"/>
                <w:szCs w:val="20"/>
                <w:lang w:val="es-ES_tradnl" w:eastAsia="en-CA"/>
              </w:rPr>
            </w:pPr>
            <w:r w:rsidRPr="000458F8">
              <w:rPr>
                <w:b/>
                <w:sz w:val="20"/>
                <w:lang w:val="es-ES_tradnl"/>
              </w:rPr>
              <w:t>Título del proyecto</w:t>
            </w:r>
          </w:p>
        </w:tc>
        <w:tc>
          <w:tcPr>
            <w:tcW w:w="135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5F663BEC" w14:textId="3152051B" w:rsidR="004B60A4" w:rsidRPr="000458F8" w:rsidRDefault="004B60A4" w:rsidP="004B60A4">
            <w:pPr>
              <w:jc w:val="center"/>
              <w:rPr>
                <w:b/>
                <w:bCs/>
                <w:sz w:val="20"/>
                <w:szCs w:val="20"/>
                <w:lang w:val="es-ES_tradnl" w:eastAsia="en-CA"/>
              </w:rPr>
            </w:pPr>
            <w:r w:rsidRPr="000458F8">
              <w:rPr>
                <w:b/>
                <w:sz w:val="20"/>
                <w:lang w:val="es-ES_tradnl"/>
              </w:rPr>
              <w:t>Desembolso (%)</w:t>
            </w:r>
          </w:p>
        </w:tc>
        <w:tc>
          <w:tcPr>
            <w:tcW w:w="315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7015AE37" w14:textId="72FF1FC0" w:rsidR="004B60A4" w:rsidRPr="000458F8" w:rsidRDefault="004B60A4" w:rsidP="004B60A4">
            <w:pPr>
              <w:jc w:val="center"/>
              <w:rPr>
                <w:b/>
                <w:bCs/>
                <w:sz w:val="20"/>
                <w:szCs w:val="20"/>
                <w:lang w:val="es-ES_tradnl" w:eastAsia="en-CA"/>
              </w:rPr>
            </w:pPr>
            <w:r w:rsidRPr="000458F8">
              <w:rPr>
                <w:b/>
                <w:sz w:val="20"/>
                <w:lang w:val="es-ES_tradnl"/>
              </w:rPr>
              <w:t>Estado/Cuestiones</w:t>
            </w:r>
          </w:p>
        </w:tc>
        <w:tc>
          <w:tcPr>
            <w:tcW w:w="3234"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0AC959E3" w14:textId="7258442D" w:rsidR="004B60A4" w:rsidRPr="000458F8" w:rsidRDefault="004B60A4" w:rsidP="004B60A4">
            <w:pPr>
              <w:jc w:val="center"/>
              <w:rPr>
                <w:b/>
                <w:bCs/>
                <w:sz w:val="20"/>
                <w:szCs w:val="20"/>
                <w:lang w:val="es-ES_tradnl" w:eastAsia="en-CA"/>
              </w:rPr>
            </w:pPr>
            <w:r w:rsidRPr="000458F8">
              <w:rPr>
                <w:b/>
                <w:sz w:val="20"/>
                <w:lang w:val="es-ES_tradnl"/>
              </w:rPr>
              <w:t>Recomendación</w:t>
            </w:r>
          </w:p>
        </w:tc>
      </w:tr>
      <w:tr w:rsidR="00C3420C" w:rsidRPr="00DB56CB" w14:paraId="1E9F6E88"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04D4927" w14:textId="77777777" w:rsidR="00C3420C" w:rsidRPr="000458F8" w:rsidRDefault="00C3420C" w:rsidP="008E3F5E">
            <w:pPr>
              <w:jc w:val="left"/>
              <w:rPr>
                <w:sz w:val="20"/>
                <w:szCs w:val="20"/>
                <w:lang w:val="es-ES_tradnl" w:eastAsia="en-CA"/>
              </w:rPr>
            </w:pPr>
            <w:r w:rsidRPr="000458F8">
              <w:rPr>
                <w:bCs/>
                <w:sz w:val="20"/>
                <w:szCs w:val="20"/>
                <w:lang w:val="es-ES_tradnl" w:eastAsia="en-CA"/>
              </w:rPr>
              <w:t>Bangladesh BGD/PHA/81/INV/51</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5FFC4158" w14:textId="63379456" w:rsidR="00C3420C" w:rsidRPr="000458F8" w:rsidRDefault="00F72A58" w:rsidP="008E3F5E">
            <w:pPr>
              <w:jc w:val="left"/>
              <w:rPr>
                <w:sz w:val="20"/>
                <w:szCs w:val="20"/>
                <w:lang w:val="es-ES_tradnl" w:eastAsia="en-CA"/>
              </w:rPr>
            </w:pPr>
            <w:r w:rsidRPr="000458F8">
              <w:rPr>
                <w:bCs/>
                <w:sz w:val="20"/>
                <w:szCs w:val="20"/>
                <w:lang w:val="es-ES_tradnl" w:eastAsia="en-CA"/>
              </w:rPr>
              <w:t>Plan de gestión de eliminación de los HCFC</w:t>
            </w:r>
            <w:r w:rsidR="00C3420C" w:rsidRPr="000458F8">
              <w:rPr>
                <w:bCs/>
                <w:sz w:val="20"/>
                <w:szCs w:val="20"/>
                <w:lang w:val="es-ES_tradnl" w:eastAsia="en-CA"/>
              </w:rPr>
              <w:t xml:space="preserve"> (</w:t>
            </w:r>
            <w:r w:rsidRPr="000458F8">
              <w:rPr>
                <w:bCs/>
                <w:sz w:val="20"/>
                <w:szCs w:val="20"/>
                <w:lang w:val="es-ES_tradnl" w:eastAsia="en-CA"/>
              </w:rPr>
              <w:t>etapa</w:t>
            </w:r>
            <w:r w:rsidR="00C3420C" w:rsidRPr="000458F8">
              <w:rPr>
                <w:bCs/>
                <w:sz w:val="20"/>
                <w:szCs w:val="20"/>
                <w:lang w:val="es-ES_tradnl" w:eastAsia="en-CA"/>
              </w:rPr>
              <w:t xml:space="preserve"> II, </w:t>
            </w:r>
            <w:r w:rsidRPr="000458F8">
              <w:rPr>
                <w:bCs/>
                <w:sz w:val="20"/>
                <w:szCs w:val="20"/>
                <w:lang w:val="es-ES_tradnl" w:eastAsia="en-CA"/>
              </w:rPr>
              <w:t>primer tramo</w:t>
            </w:r>
            <w:r w:rsidR="00C3420C" w:rsidRPr="000458F8">
              <w:rPr>
                <w:bCs/>
                <w:sz w:val="20"/>
                <w:szCs w:val="20"/>
                <w:lang w:val="es-ES_tradnl" w:eastAsia="en-CA"/>
              </w:rPr>
              <w:t>) (</w:t>
            </w:r>
            <w:r w:rsidRPr="000458F8">
              <w:rPr>
                <w:bCs/>
                <w:sz w:val="20"/>
                <w:szCs w:val="20"/>
                <w:lang w:val="es-ES_tradnl" w:eastAsia="en-CA"/>
              </w:rPr>
              <w:t>sector de aire acondicionado</w:t>
            </w:r>
            <w:r w:rsidR="00C3420C" w:rsidRPr="000458F8">
              <w:rPr>
                <w:bCs/>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6B63C7A0" w14:textId="77777777" w:rsidR="00C3420C" w:rsidRPr="000458F8" w:rsidRDefault="00C3420C" w:rsidP="008E3F5E">
            <w:pPr>
              <w:jc w:val="center"/>
              <w:rPr>
                <w:sz w:val="20"/>
                <w:szCs w:val="20"/>
                <w:lang w:val="es-ES_tradnl" w:eastAsia="en-CA"/>
              </w:rPr>
            </w:pPr>
            <w:r w:rsidRPr="000458F8">
              <w:rPr>
                <w:bCs/>
                <w:sz w:val="20"/>
                <w:szCs w:val="20"/>
                <w:lang w:val="es-ES_tradnl" w:eastAsia="en-CA"/>
              </w:rPr>
              <w:t>0</w:t>
            </w:r>
          </w:p>
        </w:tc>
        <w:tc>
          <w:tcPr>
            <w:tcW w:w="3150" w:type="dxa"/>
            <w:vMerge w:val="restart"/>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DEE2C39" w14:textId="71B2FDE6" w:rsidR="00C3420C" w:rsidRPr="000458F8" w:rsidRDefault="0037651D" w:rsidP="008E3F5E">
            <w:pPr>
              <w:jc w:val="left"/>
              <w:rPr>
                <w:sz w:val="20"/>
                <w:szCs w:val="20"/>
                <w:lang w:val="es-ES_tradnl" w:eastAsia="en-CA"/>
              </w:rPr>
            </w:pPr>
            <w:r w:rsidRPr="000458F8">
              <w:rPr>
                <w:sz w:val="20"/>
                <w:lang w:val="es-ES_tradnl"/>
              </w:rPr>
              <w:t>No se ha efectuado desembolso; demoras en la obtención de aprobación</w:t>
            </w:r>
            <w:r w:rsidR="002F17F8">
              <w:rPr>
                <w:sz w:val="20"/>
                <w:lang w:val="es-ES_tradnl"/>
              </w:rPr>
              <w:t xml:space="preserve"> </w:t>
            </w:r>
            <w:r w:rsidRPr="000458F8">
              <w:rPr>
                <w:sz w:val="20"/>
                <w:lang w:val="es-ES_tradnl"/>
              </w:rPr>
              <w:t xml:space="preserve">por parte de distintos departamentos para la firma del acuerdo debido, entre otras cosas, a la </w:t>
            </w:r>
            <w:r w:rsidR="00C3420C" w:rsidRPr="000458F8">
              <w:rPr>
                <w:sz w:val="20"/>
                <w:szCs w:val="20"/>
                <w:lang w:val="es-ES_tradnl" w:eastAsia="en-CA"/>
              </w:rPr>
              <w:t>COVID-19</w:t>
            </w:r>
          </w:p>
        </w:tc>
        <w:tc>
          <w:tcPr>
            <w:tcW w:w="3234" w:type="dxa"/>
            <w:vMerge w:val="restart"/>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4538C0D" w14:textId="58E675D0" w:rsidR="00C3420C" w:rsidRPr="000458F8" w:rsidRDefault="00F72A58" w:rsidP="00F72A58">
            <w:pPr>
              <w:pStyle w:val="TableParagraph"/>
              <w:spacing w:line="240" w:lineRule="auto"/>
              <w:ind w:left="105" w:right="98"/>
              <w:jc w:val="both"/>
              <w:rPr>
                <w:sz w:val="20"/>
                <w:lang w:val="es-ES_tradnl"/>
              </w:rPr>
            </w:pPr>
            <w:r w:rsidRPr="000458F8">
              <w:rPr>
                <w:sz w:val="20"/>
                <w:szCs w:val="20"/>
                <w:lang w:val="es-ES_tradnl" w:eastAsia="en-CA"/>
              </w:rPr>
              <w:t>Solicitar la presentación de un informe a la 87ª reunión sobre el nivel de desembolso de los fondos</w:t>
            </w:r>
          </w:p>
          <w:p w14:paraId="65238482" w14:textId="7330278F" w:rsidR="00F72A58" w:rsidRPr="000458F8" w:rsidRDefault="00F72A58" w:rsidP="00F72A58">
            <w:pPr>
              <w:pStyle w:val="TableParagraph"/>
              <w:spacing w:line="240" w:lineRule="auto"/>
              <w:ind w:left="105" w:right="98"/>
              <w:jc w:val="both"/>
              <w:rPr>
                <w:sz w:val="20"/>
                <w:szCs w:val="20"/>
                <w:lang w:val="es-ES_tradnl" w:eastAsia="en-CA"/>
              </w:rPr>
            </w:pPr>
          </w:p>
        </w:tc>
      </w:tr>
      <w:tr w:rsidR="00C3420C" w:rsidRPr="000458F8" w14:paraId="7B1B4848"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560222F" w14:textId="77777777" w:rsidR="00C3420C" w:rsidRPr="000458F8" w:rsidRDefault="00C3420C" w:rsidP="008E3F5E">
            <w:pPr>
              <w:rPr>
                <w:sz w:val="20"/>
                <w:szCs w:val="20"/>
                <w:lang w:val="es-ES_tradnl" w:eastAsia="en-CA"/>
              </w:rPr>
            </w:pPr>
            <w:r w:rsidRPr="000458F8">
              <w:rPr>
                <w:bCs/>
                <w:sz w:val="20"/>
                <w:szCs w:val="20"/>
                <w:lang w:val="es-ES_tradnl" w:eastAsia="en-CA"/>
              </w:rPr>
              <w:t>Bangladesh BGD/PHA/81/TAS/49</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340C498E" w14:textId="5268AFCA" w:rsidR="00C3420C" w:rsidRPr="000458F8" w:rsidRDefault="00F72A58" w:rsidP="008E3F5E">
            <w:pPr>
              <w:rPr>
                <w:sz w:val="20"/>
                <w:szCs w:val="20"/>
                <w:lang w:val="es-ES_tradnl" w:eastAsia="en-CA"/>
              </w:rPr>
            </w:pPr>
            <w:r w:rsidRPr="000458F8">
              <w:rPr>
                <w:bCs/>
                <w:sz w:val="20"/>
                <w:szCs w:val="20"/>
                <w:lang w:val="es-ES_tradnl" w:eastAsia="en-CA"/>
              </w:rPr>
              <w:t>Plan de gestión de eliminación de los HCFC</w:t>
            </w:r>
            <w:r w:rsidR="00C3420C" w:rsidRPr="000458F8">
              <w:rPr>
                <w:bCs/>
                <w:sz w:val="20"/>
                <w:szCs w:val="20"/>
                <w:lang w:val="es-ES_tradnl" w:eastAsia="en-CA"/>
              </w:rPr>
              <w:t xml:space="preserve"> (</w:t>
            </w:r>
            <w:r w:rsidRPr="000458F8">
              <w:rPr>
                <w:bCs/>
                <w:sz w:val="20"/>
                <w:szCs w:val="20"/>
                <w:lang w:val="es-ES_tradnl" w:eastAsia="en-CA"/>
              </w:rPr>
              <w:t>etapa</w:t>
            </w:r>
            <w:r w:rsidR="00C3420C" w:rsidRPr="000458F8">
              <w:rPr>
                <w:bCs/>
                <w:sz w:val="20"/>
                <w:szCs w:val="20"/>
                <w:lang w:val="es-ES_tradnl" w:eastAsia="en-CA"/>
              </w:rPr>
              <w:t xml:space="preserve"> II, </w:t>
            </w:r>
            <w:r w:rsidRPr="000458F8">
              <w:rPr>
                <w:bCs/>
                <w:sz w:val="20"/>
                <w:szCs w:val="20"/>
                <w:lang w:val="es-ES_tradnl" w:eastAsia="en-CA"/>
              </w:rPr>
              <w:t>primer tramo</w:t>
            </w:r>
            <w:r w:rsidR="00C3420C" w:rsidRPr="000458F8">
              <w:rPr>
                <w:bCs/>
                <w:sz w:val="20"/>
                <w:szCs w:val="20"/>
                <w:lang w:val="es-ES_tradnl" w:eastAsia="en-CA"/>
              </w:rPr>
              <w:t>) (</w:t>
            </w:r>
            <w:r w:rsidRPr="000458F8">
              <w:rPr>
                <w:bCs/>
                <w:sz w:val="20"/>
                <w:szCs w:val="20"/>
                <w:lang w:val="es-ES_tradnl" w:eastAsia="en-CA"/>
              </w:rPr>
              <w:t>dependencia de gestión de proyectos</w:t>
            </w:r>
            <w:r w:rsidR="00C3420C" w:rsidRPr="000458F8">
              <w:rPr>
                <w:bCs/>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566E9650" w14:textId="77777777" w:rsidR="00C3420C" w:rsidRPr="000458F8" w:rsidRDefault="00C3420C" w:rsidP="008E3F5E">
            <w:pPr>
              <w:jc w:val="center"/>
              <w:rPr>
                <w:sz w:val="20"/>
                <w:szCs w:val="20"/>
                <w:lang w:val="es-ES_tradnl" w:eastAsia="en-CA"/>
              </w:rPr>
            </w:pPr>
            <w:r w:rsidRPr="000458F8">
              <w:rPr>
                <w:bCs/>
                <w:sz w:val="20"/>
                <w:szCs w:val="20"/>
                <w:lang w:val="es-ES_tradnl" w:eastAsia="en-CA"/>
              </w:rPr>
              <w:t>0</w:t>
            </w:r>
          </w:p>
        </w:tc>
        <w:tc>
          <w:tcPr>
            <w:tcW w:w="3150" w:type="dxa"/>
            <w:vMerge/>
            <w:tcBorders>
              <w:top w:val="nil"/>
              <w:left w:val="single" w:sz="4" w:space="0" w:color="auto"/>
              <w:bottom w:val="single" w:sz="4" w:space="0" w:color="auto"/>
              <w:right w:val="single" w:sz="4" w:space="0" w:color="auto"/>
            </w:tcBorders>
            <w:tcMar>
              <w:left w:w="72" w:type="dxa"/>
              <w:right w:w="72" w:type="dxa"/>
            </w:tcMar>
            <w:vAlign w:val="center"/>
            <w:hideMark/>
          </w:tcPr>
          <w:p w14:paraId="6B897112" w14:textId="77777777" w:rsidR="00C3420C" w:rsidRPr="000458F8" w:rsidRDefault="00C3420C" w:rsidP="008E3F5E">
            <w:pPr>
              <w:jc w:val="left"/>
              <w:rPr>
                <w:sz w:val="20"/>
                <w:szCs w:val="20"/>
                <w:lang w:val="es-ES_tradnl" w:eastAsia="en-CA"/>
              </w:rPr>
            </w:pPr>
          </w:p>
        </w:tc>
        <w:tc>
          <w:tcPr>
            <w:tcW w:w="3234" w:type="dxa"/>
            <w:vMerge/>
            <w:tcBorders>
              <w:top w:val="nil"/>
              <w:left w:val="single" w:sz="4" w:space="0" w:color="auto"/>
              <w:bottom w:val="single" w:sz="4" w:space="0" w:color="auto"/>
              <w:right w:val="single" w:sz="4" w:space="0" w:color="auto"/>
            </w:tcBorders>
            <w:tcMar>
              <w:left w:w="72" w:type="dxa"/>
              <w:right w:w="72" w:type="dxa"/>
            </w:tcMar>
            <w:vAlign w:val="center"/>
            <w:hideMark/>
          </w:tcPr>
          <w:p w14:paraId="12C3C2F7" w14:textId="77777777" w:rsidR="00C3420C" w:rsidRPr="000458F8" w:rsidRDefault="00C3420C" w:rsidP="008E3F5E">
            <w:pPr>
              <w:jc w:val="left"/>
              <w:rPr>
                <w:sz w:val="20"/>
                <w:szCs w:val="20"/>
                <w:lang w:val="es-ES_tradnl" w:eastAsia="en-CA"/>
              </w:rPr>
            </w:pPr>
          </w:p>
        </w:tc>
      </w:tr>
      <w:tr w:rsidR="00C3420C" w:rsidRPr="00DB56CB" w14:paraId="43622E2E"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0B0E817" w14:textId="77777777" w:rsidR="00C3420C" w:rsidRPr="000458F8" w:rsidRDefault="00C3420C" w:rsidP="008E3F5E">
            <w:pPr>
              <w:jc w:val="left"/>
              <w:rPr>
                <w:sz w:val="20"/>
                <w:szCs w:val="20"/>
                <w:lang w:val="es-ES_tradnl" w:eastAsia="en-CA"/>
              </w:rPr>
            </w:pPr>
            <w:r w:rsidRPr="000458F8">
              <w:rPr>
                <w:sz w:val="20"/>
                <w:szCs w:val="20"/>
                <w:lang w:val="es-ES_tradnl" w:eastAsia="en-CA"/>
              </w:rPr>
              <w:t>Colombia</w:t>
            </w:r>
          </w:p>
          <w:p w14:paraId="7DC4B6F5" w14:textId="77777777" w:rsidR="00C3420C" w:rsidRPr="000458F8" w:rsidRDefault="00C3420C" w:rsidP="008E3F5E">
            <w:pPr>
              <w:jc w:val="left"/>
              <w:rPr>
                <w:sz w:val="20"/>
                <w:szCs w:val="20"/>
                <w:lang w:val="es-ES_tradnl" w:eastAsia="en-CA"/>
              </w:rPr>
            </w:pPr>
            <w:r w:rsidRPr="000458F8">
              <w:rPr>
                <w:sz w:val="20"/>
                <w:szCs w:val="20"/>
                <w:lang w:val="es-ES_tradnl" w:eastAsia="en-CA"/>
              </w:rPr>
              <w:t>COL/PHA/75/INV/98</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7EABD7D3" w14:textId="4CDCBADA"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etapa</w:t>
            </w:r>
            <w:r w:rsidR="00C3420C" w:rsidRPr="000458F8">
              <w:rPr>
                <w:sz w:val="20"/>
                <w:szCs w:val="20"/>
                <w:lang w:val="es-ES_tradnl" w:eastAsia="en-CA"/>
              </w:rPr>
              <w:t xml:space="preserve"> II, </w:t>
            </w:r>
            <w:r w:rsidRPr="000458F8">
              <w:rPr>
                <w:sz w:val="20"/>
                <w:szCs w:val="20"/>
                <w:lang w:val="es-ES_tradnl" w:eastAsia="en-CA"/>
              </w:rPr>
              <w:t>primer tramo</w:t>
            </w:r>
            <w:r w:rsidR="00C3420C" w:rsidRPr="000458F8">
              <w:rPr>
                <w:sz w:val="20"/>
                <w:szCs w:val="20"/>
                <w:lang w:val="es-ES_tradnl" w:eastAsia="en-CA"/>
              </w:rPr>
              <w:t>) (</w:t>
            </w:r>
            <w:r w:rsidRPr="000458F8">
              <w:rPr>
                <w:sz w:val="20"/>
                <w:szCs w:val="20"/>
                <w:lang w:val="es-ES_tradnl" w:eastAsia="en-CA"/>
              </w:rPr>
              <w:t>sector de espumas</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2183BF8D" w14:textId="77777777" w:rsidR="00C3420C" w:rsidRPr="000458F8" w:rsidRDefault="00C3420C" w:rsidP="008E3F5E">
            <w:pPr>
              <w:jc w:val="center"/>
              <w:rPr>
                <w:sz w:val="20"/>
                <w:szCs w:val="20"/>
                <w:lang w:val="es-ES_tradnl" w:eastAsia="en-CA"/>
              </w:rPr>
            </w:pPr>
            <w:r w:rsidRPr="000458F8">
              <w:rPr>
                <w:sz w:val="20"/>
                <w:szCs w:val="20"/>
                <w:lang w:val="es-ES_tradnl" w:eastAsia="en-CA"/>
              </w:rPr>
              <w:t>41</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56584E7A" w14:textId="64E871AD" w:rsidR="00C3420C" w:rsidRPr="000458F8" w:rsidRDefault="00F72A58" w:rsidP="008E3F5E">
            <w:pPr>
              <w:jc w:val="left"/>
              <w:rPr>
                <w:sz w:val="20"/>
                <w:szCs w:val="20"/>
                <w:lang w:val="es-ES_tradnl" w:eastAsia="en-CA"/>
              </w:rPr>
            </w:pPr>
            <w:r w:rsidRPr="000458F8">
              <w:rPr>
                <w:sz w:val="20"/>
                <w:szCs w:val="20"/>
                <w:lang w:val="es-ES_tradnl" w:eastAsia="en-CA"/>
              </w:rPr>
              <w:t xml:space="preserve">Demora de </w:t>
            </w:r>
            <w:r w:rsidR="00C3420C" w:rsidRPr="000458F8">
              <w:rPr>
                <w:sz w:val="20"/>
                <w:szCs w:val="20"/>
                <w:lang w:val="es-ES_tradnl" w:eastAsia="en-CA"/>
              </w:rPr>
              <w:t xml:space="preserve">12 </w:t>
            </w:r>
            <w:r w:rsidRPr="000458F8">
              <w:rPr>
                <w:sz w:val="20"/>
                <w:szCs w:val="20"/>
                <w:lang w:val="es-ES_tradnl" w:eastAsia="en-CA"/>
              </w:rPr>
              <w:t>meses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14C77863" w14:textId="54FE44E9" w:rsidR="00C3420C" w:rsidRPr="00110EE4" w:rsidRDefault="00841DF0" w:rsidP="008E3F5E">
            <w:pPr>
              <w:jc w:val="left"/>
              <w:rPr>
                <w:sz w:val="20"/>
                <w:szCs w:val="20"/>
                <w:lang w:val="es-ES" w:eastAsia="en-CA"/>
              </w:rPr>
            </w:pPr>
            <w:r w:rsidRPr="00841DF0">
              <w:rPr>
                <w:sz w:val="20"/>
                <w:lang w:val="es-ES_tradnl"/>
              </w:rPr>
              <w:t>Solicitar al PNUD la presentación de un informe a la 87</w:t>
            </w:r>
            <w:r w:rsidRPr="00841DF0">
              <w:rPr>
                <w:sz w:val="20"/>
                <w:vertAlign w:val="superscript"/>
                <w:lang w:val="es-ES_tradnl"/>
              </w:rPr>
              <w:t>a</w:t>
            </w:r>
            <w:r w:rsidRPr="00841DF0">
              <w:rPr>
                <w:sz w:val="20"/>
                <w:lang w:val="es-ES_tradnl"/>
              </w:rPr>
              <w:t xml:space="preserve"> reunión sobre este pro</w:t>
            </w:r>
            <w:r>
              <w:rPr>
                <w:sz w:val="20"/>
                <w:lang w:val="es-ES_tradnl"/>
              </w:rPr>
              <w:t>yecto con demoras en la ejecución</w:t>
            </w:r>
          </w:p>
        </w:tc>
      </w:tr>
      <w:tr w:rsidR="00C3420C" w:rsidRPr="00DB56CB" w14:paraId="53379F9A"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3A28D03" w14:textId="17E312CD" w:rsidR="00C3420C" w:rsidRPr="000458F8" w:rsidRDefault="004B60A4" w:rsidP="008E3F5E">
            <w:pPr>
              <w:jc w:val="left"/>
              <w:rPr>
                <w:sz w:val="20"/>
                <w:szCs w:val="20"/>
                <w:lang w:val="es-ES_tradnl" w:eastAsia="en-CA"/>
              </w:rPr>
            </w:pPr>
            <w:r w:rsidRPr="000458F8">
              <w:rPr>
                <w:sz w:val="20"/>
                <w:lang w:val="es-ES_tradnl"/>
              </w:rPr>
              <w:t xml:space="preserve">República Democrática del Congo </w:t>
            </w:r>
            <w:r w:rsidRPr="000458F8">
              <w:rPr>
                <w:sz w:val="20"/>
                <w:lang w:val="es-ES_tradnl"/>
              </w:rPr>
              <w:br/>
            </w:r>
            <w:r w:rsidR="00C3420C" w:rsidRPr="000458F8">
              <w:rPr>
                <w:sz w:val="20"/>
                <w:szCs w:val="20"/>
                <w:lang w:val="es-ES_tradnl" w:eastAsia="en-CA"/>
              </w:rPr>
              <w:t xml:space="preserve">DRC/PHA/79/PRP/42 </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5E086D47" w14:textId="64F3A2A9" w:rsidR="00C3420C" w:rsidRPr="000458F8" w:rsidRDefault="00C3420C" w:rsidP="008E3F5E">
            <w:pPr>
              <w:jc w:val="left"/>
              <w:rPr>
                <w:sz w:val="20"/>
                <w:szCs w:val="20"/>
                <w:lang w:val="es-ES_tradnl" w:eastAsia="en-CA"/>
              </w:rPr>
            </w:pPr>
            <w:r w:rsidRPr="000458F8">
              <w:rPr>
                <w:sz w:val="20"/>
                <w:szCs w:val="20"/>
                <w:lang w:val="es-ES_tradnl" w:eastAsia="en-CA"/>
              </w:rPr>
              <w:t>Prep</w:t>
            </w:r>
            <w:r w:rsidR="00F72A58" w:rsidRPr="000458F8">
              <w:rPr>
                <w:sz w:val="20"/>
                <w:szCs w:val="20"/>
                <w:lang w:val="es-ES_tradnl" w:eastAsia="en-CA"/>
              </w:rPr>
              <w:t>aración de un plan de gestión de eliminación de los HCFC</w:t>
            </w:r>
            <w:r w:rsidRPr="000458F8">
              <w:rPr>
                <w:sz w:val="20"/>
                <w:szCs w:val="20"/>
                <w:lang w:val="es-ES_tradnl" w:eastAsia="en-CA"/>
              </w:rPr>
              <w:t xml:space="preserve"> (</w:t>
            </w:r>
            <w:r w:rsidR="00F72A58" w:rsidRPr="000458F8">
              <w:rPr>
                <w:sz w:val="20"/>
                <w:szCs w:val="20"/>
                <w:lang w:val="es-ES_tradnl" w:eastAsia="en-CA"/>
              </w:rPr>
              <w:t>etapa</w:t>
            </w:r>
            <w:r w:rsidRPr="000458F8">
              <w:rPr>
                <w:sz w:val="20"/>
                <w:szCs w:val="20"/>
                <w:lang w:val="es-ES_tradnl" w:eastAsia="en-CA"/>
              </w:rPr>
              <w:t xml:space="preserve"> II)</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045517AF" w14:textId="77777777" w:rsidR="00C3420C" w:rsidRPr="000458F8" w:rsidRDefault="00C3420C" w:rsidP="008E3F5E">
            <w:pPr>
              <w:jc w:val="center"/>
              <w:rPr>
                <w:sz w:val="20"/>
                <w:szCs w:val="20"/>
                <w:lang w:val="es-ES_tradnl" w:eastAsia="en-CA"/>
              </w:rPr>
            </w:pPr>
            <w:r w:rsidRPr="000458F8">
              <w:rPr>
                <w:bCs/>
                <w:sz w:val="20"/>
                <w:szCs w:val="20"/>
                <w:lang w:val="es-ES_tradnl" w:eastAsia="en-CA"/>
              </w:rPr>
              <w:t>0</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4F7A54B6" w14:textId="34528500" w:rsidR="00C3420C" w:rsidRPr="000458F8" w:rsidRDefault="0037651D" w:rsidP="008E3F5E">
            <w:pPr>
              <w:jc w:val="left"/>
              <w:rPr>
                <w:sz w:val="20"/>
                <w:szCs w:val="20"/>
                <w:lang w:val="es-ES_tradnl" w:eastAsia="en-CA"/>
              </w:rPr>
            </w:pPr>
            <w:r w:rsidRPr="000458F8">
              <w:rPr>
                <w:sz w:val="20"/>
                <w:lang w:val="es-ES_tradnl"/>
              </w:rPr>
              <w:t>No se ha efectuado desembolso debido a la situación de seguridad del país</w:t>
            </w:r>
            <w:r w:rsidR="002F17F8">
              <w:rPr>
                <w:sz w:val="20"/>
                <w:lang w:val="es-ES_tradnl"/>
              </w:rPr>
              <w:t xml:space="preserve"> </w:t>
            </w:r>
            <w:r w:rsidRPr="000458F8">
              <w:rPr>
                <w:sz w:val="20"/>
                <w:lang w:val="es-ES_tradnl"/>
              </w:rPr>
              <w:t xml:space="preserve">y </w:t>
            </w:r>
            <w:r w:rsidR="004815F4">
              <w:rPr>
                <w:sz w:val="20"/>
                <w:lang w:val="es-ES_tradnl"/>
              </w:rPr>
              <w:t xml:space="preserve">a </w:t>
            </w:r>
            <w:r w:rsidRPr="000458F8">
              <w:rPr>
                <w:sz w:val="20"/>
                <w:lang w:val="es-ES_tradnl"/>
              </w:rPr>
              <w:t>restricciones al traslado por la</w:t>
            </w:r>
            <w:r w:rsidR="00C3420C" w:rsidRPr="000458F8">
              <w:rPr>
                <w:sz w:val="20"/>
                <w:szCs w:val="20"/>
                <w:lang w:val="es-ES_tradnl" w:eastAsia="en-CA"/>
              </w:rPr>
              <w:t xml:space="preserve"> COVID</w:t>
            </w:r>
            <w:r w:rsidR="00C3420C" w:rsidRPr="000458F8">
              <w:rPr>
                <w:sz w:val="20"/>
                <w:szCs w:val="20"/>
                <w:lang w:val="es-ES_tradnl" w:eastAsia="en-CA"/>
              </w:rPr>
              <w:noBreakHyphen/>
              <w:t>19</w:t>
            </w:r>
            <w:r w:rsidRPr="000458F8">
              <w:rPr>
                <w:sz w:val="20"/>
                <w:szCs w:val="20"/>
                <w:lang w:val="es-ES_tradnl" w:eastAsia="en-CA"/>
              </w:rPr>
              <w:t>, lo que ocasiona dificultades en las actividades sobre el terreno</w:t>
            </w:r>
            <w:r w:rsidR="00C3420C" w:rsidRPr="000458F8">
              <w:rPr>
                <w:sz w:val="20"/>
                <w:szCs w:val="20"/>
                <w:lang w:val="es-ES_tradnl" w:eastAsia="en-CA"/>
              </w:rPr>
              <w:t xml:space="preserve">; </w:t>
            </w:r>
            <w:r w:rsidRPr="000458F8">
              <w:rPr>
                <w:sz w:val="20"/>
                <w:szCs w:val="20"/>
                <w:lang w:val="es-ES_tradnl" w:eastAsia="en-CA"/>
              </w:rPr>
              <w:t xml:space="preserve">demora en la presentación de la etapa </w:t>
            </w:r>
            <w:r w:rsidR="00C3420C" w:rsidRPr="000458F8">
              <w:rPr>
                <w:sz w:val="20"/>
                <w:szCs w:val="20"/>
                <w:lang w:val="es-ES_tradnl" w:eastAsia="en-CA"/>
              </w:rPr>
              <w:t>II</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2310B68A" w14:textId="4C48984F" w:rsidR="0037651D" w:rsidRPr="000458F8" w:rsidRDefault="0037651D" w:rsidP="008E3F5E">
            <w:pPr>
              <w:jc w:val="left"/>
              <w:rPr>
                <w:sz w:val="20"/>
                <w:szCs w:val="20"/>
                <w:lang w:val="es-ES_tradnl" w:eastAsia="en-CA"/>
              </w:rPr>
            </w:pPr>
            <w:r w:rsidRPr="000458F8">
              <w:rPr>
                <w:sz w:val="20"/>
                <w:lang w:val="es-ES_tradnl"/>
              </w:rPr>
              <w:t>Solicitar la presentación de un informe a la 87</w:t>
            </w:r>
            <w:r w:rsidRPr="000458F8">
              <w:rPr>
                <w:sz w:val="20"/>
                <w:vertAlign w:val="superscript"/>
                <w:lang w:val="es-ES_tradnl"/>
              </w:rPr>
              <w:t>a</w:t>
            </w:r>
            <w:r w:rsidRPr="000458F8">
              <w:rPr>
                <w:sz w:val="20"/>
                <w:lang w:val="es-ES_tradnl"/>
              </w:rPr>
              <w:t xml:space="preserve"> reunión sobre el estado de la presentación de la etapa II</w:t>
            </w:r>
          </w:p>
        </w:tc>
      </w:tr>
      <w:tr w:rsidR="00C3420C" w:rsidRPr="00DB56CB" w14:paraId="4B04375E"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7F2BE20" w14:textId="436B8EE9" w:rsidR="00C3420C" w:rsidRPr="000458F8" w:rsidRDefault="00C3420C" w:rsidP="008E3F5E">
            <w:pPr>
              <w:jc w:val="left"/>
              <w:rPr>
                <w:sz w:val="20"/>
                <w:szCs w:val="20"/>
                <w:lang w:val="es-ES_tradnl" w:eastAsia="en-CA"/>
              </w:rPr>
            </w:pPr>
            <w:r w:rsidRPr="000458F8">
              <w:rPr>
                <w:sz w:val="20"/>
                <w:szCs w:val="20"/>
                <w:lang w:val="es-ES_tradnl" w:eastAsia="en-CA"/>
              </w:rPr>
              <w:t>Hait</w:t>
            </w:r>
            <w:r w:rsidR="004B60A4" w:rsidRPr="000458F8">
              <w:rPr>
                <w:sz w:val="20"/>
                <w:szCs w:val="20"/>
                <w:lang w:val="es-ES_tradnl" w:eastAsia="en-CA"/>
              </w:rPr>
              <w:t>í</w:t>
            </w:r>
          </w:p>
          <w:p w14:paraId="567489AC" w14:textId="77777777" w:rsidR="00C3420C" w:rsidRPr="000458F8" w:rsidRDefault="00C3420C" w:rsidP="008E3F5E">
            <w:pPr>
              <w:jc w:val="left"/>
              <w:rPr>
                <w:sz w:val="20"/>
                <w:szCs w:val="20"/>
                <w:lang w:val="es-ES_tradnl" w:eastAsia="en-CA"/>
              </w:rPr>
            </w:pPr>
            <w:r w:rsidRPr="000458F8">
              <w:rPr>
                <w:sz w:val="20"/>
                <w:szCs w:val="20"/>
                <w:lang w:val="es-ES_tradnl" w:eastAsia="en-CA"/>
              </w:rPr>
              <w:t>HAI/PHA/76/INV/22</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4FD2603A" w14:textId="11D4B4E7"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etapa</w:t>
            </w:r>
            <w:r w:rsidR="00C3420C" w:rsidRPr="000458F8">
              <w:rPr>
                <w:sz w:val="20"/>
                <w:szCs w:val="20"/>
                <w:lang w:val="es-ES_tradnl" w:eastAsia="en-CA"/>
              </w:rPr>
              <w:t xml:space="preserve"> I, </w:t>
            </w:r>
            <w:r w:rsidRPr="000458F8">
              <w:rPr>
                <w:sz w:val="20"/>
                <w:szCs w:val="20"/>
                <w:lang w:val="es-ES_tradnl" w:eastAsia="en-CA"/>
              </w:rPr>
              <w:t>segundo tramo</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54C27B9E" w14:textId="77777777" w:rsidR="00C3420C" w:rsidRPr="000458F8" w:rsidRDefault="00C3420C" w:rsidP="008E3F5E">
            <w:pPr>
              <w:jc w:val="center"/>
              <w:rPr>
                <w:sz w:val="20"/>
                <w:szCs w:val="20"/>
                <w:lang w:val="es-ES_tradnl" w:eastAsia="en-CA"/>
              </w:rPr>
            </w:pPr>
            <w:r w:rsidRPr="000458F8">
              <w:rPr>
                <w:bCs/>
                <w:sz w:val="20"/>
                <w:szCs w:val="20"/>
                <w:lang w:val="es-ES_tradnl" w:eastAsia="en-CA"/>
              </w:rPr>
              <w:t>1</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440D417A" w14:textId="208D7693" w:rsidR="00C3420C" w:rsidRPr="000458F8" w:rsidRDefault="005B3D00" w:rsidP="008E3F5E">
            <w:pPr>
              <w:jc w:val="left"/>
              <w:rPr>
                <w:sz w:val="20"/>
                <w:szCs w:val="20"/>
                <w:lang w:val="es-ES_tradnl" w:eastAsia="en-CA"/>
              </w:rPr>
            </w:pPr>
            <w:r w:rsidRPr="000458F8">
              <w:rPr>
                <w:sz w:val="20"/>
                <w:szCs w:val="20"/>
                <w:lang w:val="es-ES_tradnl" w:eastAsia="en-CA"/>
              </w:rPr>
              <w:t>Bajo nivel de desembolso; avance lento en la compra y entrega de equipos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4B95C06F" w14:textId="3D5799D0" w:rsidR="00F72A58" w:rsidRPr="000458F8" w:rsidRDefault="00F72A58" w:rsidP="0037651D">
            <w:pPr>
              <w:pStyle w:val="TableParagraph"/>
              <w:spacing w:line="240" w:lineRule="auto"/>
              <w:ind w:right="98"/>
              <w:jc w:val="both"/>
              <w:rPr>
                <w:sz w:val="20"/>
                <w:lang w:val="es-ES_tradnl"/>
              </w:rPr>
            </w:pPr>
            <w:r w:rsidRPr="000458F8">
              <w:rPr>
                <w:sz w:val="20"/>
                <w:lang w:val="es-ES_tradnl"/>
              </w:rPr>
              <w:t>Solicitar la presentación de un informe a la 87</w:t>
            </w:r>
            <w:r w:rsidRPr="000458F8">
              <w:rPr>
                <w:sz w:val="20"/>
                <w:vertAlign w:val="superscript"/>
                <w:lang w:val="es-ES_tradnl"/>
              </w:rPr>
              <w:t>a</w:t>
            </w:r>
            <w:r w:rsidRPr="000458F8">
              <w:rPr>
                <w:spacing w:val="-4"/>
                <w:sz w:val="20"/>
                <w:lang w:val="es-ES_tradnl"/>
              </w:rPr>
              <w:t xml:space="preserve"> </w:t>
            </w:r>
            <w:r w:rsidRPr="000458F8">
              <w:rPr>
                <w:sz w:val="20"/>
                <w:lang w:val="es-ES_tradnl"/>
              </w:rPr>
              <w:t>reunión</w:t>
            </w:r>
            <w:r w:rsidRPr="000458F8">
              <w:rPr>
                <w:spacing w:val="-9"/>
                <w:sz w:val="20"/>
                <w:lang w:val="es-ES_tradnl"/>
              </w:rPr>
              <w:t xml:space="preserve"> </w:t>
            </w:r>
            <w:r w:rsidRPr="000458F8">
              <w:rPr>
                <w:sz w:val="20"/>
                <w:lang w:val="es-ES_tradnl"/>
              </w:rPr>
              <w:t>sobre</w:t>
            </w:r>
            <w:r w:rsidRPr="000458F8">
              <w:rPr>
                <w:spacing w:val="-9"/>
                <w:sz w:val="20"/>
                <w:lang w:val="es-ES_tradnl"/>
              </w:rPr>
              <w:t xml:space="preserve"> </w:t>
            </w:r>
            <w:r w:rsidRPr="000458F8">
              <w:rPr>
                <w:sz w:val="20"/>
                <w:lang w:val="es-ES_tradnl"/>
              </w:rPr>
              <w:t>los</w:t>
            </w:r>
            <w:r w:rsidRPr="000458F8">
              <w:rPr>
                <w:spacing w:val="-9"/>
                <w:sz w:val="20"/>
                <w:lang w:val="es-ES_tradnl"/>
              </w:rPr>
              <w:t xml:space="preserve"> </w:t>
            </w:r>
            <w:r w:rsidRPr="000458F8">
              <w:rPr>
                <w:sz w:val="20"/>
                <w:lang w:val="es-ES_tradnl"/>
              </w:rPr>
              <w:t>progresos</w:t>
            </w:r>
            <w:r w:rsidRPr="000458F8">
              <w:rPr>
                <w:spacing w:val="-9"/>
                <w:sz w:val="20"/>
                <w:lang w:val="es-ES_tradnl"/>
              </w:rPr>
              <w:t xml:space="preserve"> </w:t>
            </w:r>
            <w:r w:rsidRPr="000458F8">
              <w:rPr>
                <w:sz w:val="20"/>
                <w:lang w:val="es-ES_tradnl"/>
              </w:rPr>
              <w:t>logrados</w:t>
            </w:r>
            <w:r w:rsidRPr="000458F8">
              <w:rPr>
                <w:spacing w:val="-9"/>
                <w:sz w:val="20"/>
                <w:lang w:val="es-ES_tradnl"/>
              </w:rPr>
              <w:t xml:space="preserve"> </w:t>
            </w:r>
            <w:r w:rsidRPr="000458F8">
              <w:rPr>
                <w:sz w:val="20"/>
                <w:lang w:val="es-ES_tradnl"/>
              </w:rPr>
              <w:t>en</w:t>
            </w:r>
            <w:r w:rsidRPr="000458F8">
              <w:rPr>
                <w:spacing w:val="-9"/>
                <w:sz w:val="20"/>
                <w:lang w:val="es-ES_tradnl"/>
              </w:rPr>
              <w:t xml:space="preserve"> </w:t>
            </w:r>
            <w:r w:rsidRPr="000458F8">
              <w:rPr>
                <w:sz w:val="20"/>
                <w:lang w:val="es-ES_tradnl"/>
              </w:rPr>
              <w:t>la ejecución y el nivel de desembolso de</w:t>
            </w:r>
            <w:r w:rsidRPr="000458F8">
              <w:rPr>
                <w:spacing w:val="10"/>
                <w:sz w:val="20"/>
                <w:lang w:val="es-ES_tradnl"/>
              </w:rPr>
              <w:t xml:space="preserve"> </w:t>
            </w:r>
            <w:r w:rsidRPr="000458F8">
              <w:rPr>
                <w:sz w:val="20"/>
                <w:lang w:val="es-ES_tradnl"/>
              </w:rPr>
              <w:t>los</w:t>
            </w:r>
            <w:r w:rsidR="0037651D" w:rsidRPr="000458F8">
              <w:rPr>
                <w:sz w:val="20"/>
                <w:lang w:val="es-ES_tradnl"/>
              </w:rPr>
              <w:t xml:space="preserve"> </w:t>
            </w:r>
            <w:r w:rsidRPr="000458F8">
              <w:rPr>
                <w:sz w:val="20"/>
                <w:lang w:val="es-ES_tradnl"/>
              </w:rPr>
              <w:t>fondos</w:t>
            </w:r>
          </w:p>
        </w:tc>
      </w:tr>
      <w:tr w:rsidR="00C3420C" w:rsidRPr="00DB56CB" w14:paraId="1661FA06"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BCCF134" w14:textId="77777777" w:rsidR="00C3420C" w:rsidRPr="000458F8" w:rsidRDefault="00C3420C" w:rsidP="008E3F5E">
            <w:pPr>
              <w:jc w:val="left"/>
              <w:rPr>
                <w:sz w:val="20"/>
                <w:szCs w:val="20"/>
                <w:lang w:val="es-ES_tradnl" w:eastAsia="en-CA"/>
              </w:rPr>
            </w:pPr>
            <w:r w:rsidRPr="000458F8">
              <w:rPr>
                <w:sz w:val="20"/>
                <w:szCs w:val="20"/>
                <w:lang w:val="es-ES_tradnl" w:eastAsia="en-CA"/>
              </w:rPr>
              <w:t>Indonesia</w:t>
            </w:r>
          </w:p>
          <w:p w14:paraId="004E52DA" w14:textId="77777777" w:rsidR="00C3420C" w:rsidRPr="000458F8" w:rsidRDefault="00C3420C" w:rsidP="008E3F5E">
            <w:pPr>
              <w:jc w:val="left"/>
              <w:rPr>
                <w:sz w:val="20"/>
                <w:szCs w:val="20"/>
                <w:lang w:val="es-ES_tradnl" w:eastAsia="en-CA"/>
              </w:rPr>
            </w:pPr>
            <w:r w:rsidRPr="000458F8">
              <w:rPr>
                <w:sz w:val="20"/>
                <w:szCs w:val="20"/>
                <w:lang w:val="es-ES_tradnl" w:eastAsia="en-CA"/>
              </w:rPr>
              <w:t>IDS/PHA/71/TAS/200</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57CD2B84" w14:textId="07A5185A"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gestión y coordinación de proyectos</w:t>
            </w:r>
            <w:r w:rsidR="00C3420C" w:rsidRPr="000458F8">
              <w:rPr>
                <w:sz w:val="20"/>
                <w:szCs w:val="20"/>
                <w:lang w:val="es-ES_tradnl" w:eastAsia="en-CA"/>
              </w:rPr>
              <w:t>) (</w:t>
            </w:r>
            <w:r w:rsidRPr="000458F8">
              <w:rPr>
                <w:sz w:val="20"/>
                <w:szCs w:val="20"/>
                <w:lang w:val="es-ES_tradnl" w:eastAsia="en-CA"/>
              </w:rPr>
              <w:t>etapa</w:t>
            </w:r>
            <w:r w:rsidR="00C3420C" w:rsidRPr="000458F8">
              <w:rPr>
                <w:sz w:val="20"/>
                <w:szCs w:val="20"/>
                <w:lang w:val="es-ES_tradnl" w:eastAsia="en-CA"/>
              </w:rPr>
              <w:t xml:space="preserve"> I, </w:t>
            </w:r>
            <w:r w:rsidRPr="000458F8">
              <w:rPr>
                <w:sz w:val="20"/>
                <w:szCs w:val="20"/>
                <w:lang w:val="es-ES_tradnl" w:eastAsia="en-CA"/>
              </w:rPr>
              <w:t>segundo tramo</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750B5B3E" w14:textId="77777777" w:rsidR="00C3420C" w:rsidRPr="000458F8" w:rsidRDefault="00C3420C" w:rsidP="008E3F5E">
            <w:pPr>
              <w:jc w:val="center"/>
              <w:rPr>
                <w:sz w:val="20"/>
                <w:szCs w:val="20"/>
                <w:lang w:val="es-ES_tradnl" w:eastAsia="en-CA"/>
              </w:rPr>
            </w:pPr>
            <w:r w:rsidRPr="000458F8">
              <w:rPr>
                <w:sz w:val="20"/>
                <w:szCs w:val="20"/>
                <w:lang w:val="es-ES_tradnl" w:eastAsia="en-CA"/>
              </w:rPr>
              <w:t>21</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4FB83E27" w14:textId="6C256964" w:rsidR="00C3420C" w:rsidRPr="000458F8" w:rsidRDefault="00F72A58" w:rsidP="008E3F5E">
            <w:pPr>
              <w:jc w:val="left"/>
              <w:rPr>
                <w:sz w:val="20"/>
                <w:szCs w:val="20"/>
                <w:lang w:val="es-ES_tradnl" w:eastAsia="en-CA"/>
              </w:rPr>
            </w:pPr>
            <w:r w:rsidRPr="000458F8">
              <w:rPr>
                <w:sz w:val="20"/>
                <w:szCs w:val="20"/>
                <w:lang w:val="es-ES_tradnl" w:eastAsia="en-CA"/>
              </w:rPr>
              <w:t>Demora de 12 meses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6A3535E8" w14:textId="3DD782D2" w:rsidR="00C3420C" w:rsidRPr="000458F8" w:rsidRDefault="0037651D" w:rsidP="0037651D">
            <w:pPr>
              <w:jc w:val="left"/>
              <w:rPr>
                <w:sz w:val="20"/>
                <w:szCs w:val="20"/>
                <w:lang w:val="es-ES_tradnl" w:eastAsia="en-CA"/>
              </w:rPr>
            </w:pPr>
            <w:r w:rsidRPr="000458F8">
              <w:rPr>
                <w:sz w:val="20"/>
                <w:szCs w:val="20"/>
                <w:lang w:val="es-ES_tradnl" w:eastAsia="en-CA"/>
              </w:rPr>
              <w:t xml:space="preserve">Solicitar al PNUD que informe sobre este proyecto con demoras en la ejecución a la 87ª reunión. </w:t>
            </w:r>
          </w:p>
        </w:tc>
      </w:tr>
      <w:tr w:rsidR="00C3420C" w:rsidRPr="00DB56CB" w14:paraId="2D506B38"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7C16B81" w14:textId="77777777" w:rsidR="00C3420C" w:rsidRPr="000458F8" w:rsidRDefault="00C3420C" w:rsidP="008E3F5E">
            <w:pPr>
              <w:jc w:val="left"/>
              <w:rPr>
                <w:sz w:val="20"/>
                <w:szCs w:val="20"/>
                <w:lang w:val="es-ES_tradnl" w:eastAsia="en-CA"/>
              </w:rPr>
            </w:pPr>
            <w:r w:rsidRPr="000458F8">
              <w:rPr>
                <w:sz w:val="20"/>
                <w:szCs w:val="20"/>
                <w:lang w:val="es-ES_tradnl" w:eastAsia="en-CA"/>
              </w:rPr>
              <w:t>Indonesia</w:t>
            </w:r>
          </w:p>
          <w:p w14:paraId="62461DF6" w14:textId="77777777" w:rsidR="00C3420C" w:rsidRPr="000458F8" w:rsidRDefault="00C3420C" w:rsidP="008E3F5E">
            <w:pPr>
              <w:jc w:val="left"/>
              <w:rPr>
                <w:sz w:val="20"/>
                <w:szCs w:val="20"/>
                <w:lang w:val="es-ES_tradnl" w:eastAsia="en-CA"/>
              </w:rPr>
            </w:pPr>
            <w:r w:rsidRPr="000458F8">
              <w:rPr>
                <w:sz w:val="20"/>
                <w:szCs w:val="20"/>
                <w:lang w:val="es-ES_tradnl" w:eastAsia="en-CA"/>
              </w:rPr>
              <w:t>IDS/PHA/76/INV/208</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36F84800" w14:textId="75711DD6"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etapa</w:t>
            </w:r>
            <w:r w:rsidR="00C3420C" w:rsidRPr="000458F8">
              <w:rPr>
                <w:sz w:val="20"/>
                <w:szCs w:val="20"/>
                <w:lang w:val="es-ES_tradnl" w:eastAsia="en-CA"/>
              </w:rPr>
              <w:t xml:space="preserve"> I, </w:t>
            </w:r>
            <w:r w:rsidRPr="000458F8">
              <w:rPr>
                <w:sz w:val="20"/>
                <w:szCs w:val="20"/>
                <w:lang w:val="es-ES_tradnl" w:eastAsia="en-CA"/>
              </w:rPr>
              <w:t>tercer tramo</w:t>
            </w:r>
            <w:r w:rsidR="00C3420C" w:rsidRPr="000458F8">
              <w:rPr>
                <w:sz w:val="20"/>
                <w:szCs w:val="20"/>
                <w:lang w:val="es-ES_tradnl" w:eastAsia="en-CA"/>
              </w:rPr>
              <w:t>) (</w:t>
            </w:r>
            <w:r w:rsidRPr="000458F8">
              <w:rPr>
                <w:sz w:val="20"/>
                <w:szCs w:val="20"/>
                <w:lang w:val="es-ES_tradnl" w:eastAsia="en-CA"/>
              </w:rPr>
              <w:t>sector de refrigeración y aire acondicionado</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6DEEF579" w14:textId="77777777" w:rsidR="00C3420C" w:rsidRPr="000458F8" w:rsidRDefault="00C3420C" w:rsidP="008E3F5E">
            <w:pPr>
              <w:jc w:val="center"/>
              <w:rPr>
                <w:sz w:val="20"/>
                <w:szCs w:val="20"/>
                <w:lang w:val="es-ES_tradnl" w:eastAsia="en-CA"/>
              </w:rPr>
            </w:pPr>
            <w:r w:rsidRPr="000458F8">
              <w:rPr>
                <w:sz w:val="20"/>
                <w:szCs w:val="20"/>
                <w:lang w:val="es-ES_tradnl" w:eastAsia="en-CA"/>
              </w:rPr>
              <w:t>27</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034C1C1F" w14:textId="77ACD1C6" w:rsidR="00C3420C" w:rsidRPr="000458F8" w:rsidRDefault="00F72A58" w:rsidP="008E3F5E">
            <w:pPr>
              <w:jc w:val="left"/>
              <w:rPr>
                <w:sz w:val="20"/>
                <w:szCs w:val="20"/>
                <w:lang w:val="es-ES_tradnl" w:eastAsia="en-CA"/>
              </w:rPr>
            </w:pPr>
            <w:r w:rsidRPr="000458F8">
              <w:rPr>
                <w:sz w:val="20"/>
                <w:szCs w:val="20"/>
                <w:lang w:val="es-ES_tradnl" w:eastAsia="en-CA"/>
              </w:rPr>
              <w:t>Demora de 12 meses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19DF79CD" w14:textId="2BAD7E3F" w:rsidR="00C3420C" w:rsidRPr="000458F8" w:rsidRDefault="0037651D" w:rsidP="008E3F5E">
            <w:pPr>
              <w:jc w:val="left"/>
              <w:rPr>
                <w:sz w:val="20"/>
                <w:szCs w:val="20"/>
                <w:lang w:val="es-ES_tradnl" w:eastAsia="en-CA"/>
              </w:rPr>
            </w:pPr>
            <w:r w:rsidRPr="000458F8">
              <w:rPr>
                <w:sz w:val="20"/>
                <w:szCs w:val="20"/>
                <w:lang w:val="es-ES_tradnl" w:eastAsia="en-CA"/>
              </w:rPr>
              <w:t>Solicitar al PNUD que informe sobre este proyecto con demoras en la ejecución a la 87ª reunión</w:t>
            </w:r>
          </w:p>
        </w:tc>
      </w:tr>
      <w:tr w:rsidR="00C3420C" w:rsidRPr="00DB56CB" w14:paraId="01D50740"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12E013D" w14:textId="77777777" w:rsidR="00C3420C" w:rsidRPr="000458F8" w:rsidRDefault="00C3420C" w:rsidP="008E3F5E">
            <w:pPr>
              <w:jc w:val="left"/>
              <w:rPr>
                <w:sz w:val="20"/>
                <w:szCs w:val="20"/>
                <w:lang w:val="es-ES_tradnl" w:eastAsia="en-CA"/>
              </w:rPr>
            </w:pPr>
            <w:r w:rsidRPr="000458F8">
              <w:rPr>
                <w:sz w:val="20"/>
                <w:szCs w:val="20"/>
                <w:lang w:val="es-ES_tradnl" w:eastAsia="en-CA"/>
              </w:rPr>
              <w:t>Indonesia</w:t>
            </w:r>
          </w:p>
          <w:p w14:paraId="5CF235FC" w14:textId="77777777" w:rsidR="00C3420C" w:rsidRPr="000458F8" w:rsidRDefault="00C3420C" w:rsidP="008E3F5E">
            <w:pPr>
              <w:jc w:val="left"/>
              <w:rPr>
                <w:sz w:val="20"/>
                <w:szCs w:val="20"/>
                <w:lang w:val="es-ES_tradnl" w:eastAsia="en-CA"/>
              </w:rPr>
            </w:pPr>
            <w:r w:rsidRPr="000458F8">
              <w:rPr>
                <w:sz w:val="20"/>
                <w:szCs w:val="20"/>
                <w:lang w:val="es-ES_tradnl" w:eastAsia="en-CA"/>
              </w:rPr>
              <w:t>IDS/PHA/76/INV/211</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530DE08F" w14:textId="5425E136"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etapa</w:t>
            </w:r>
            <w:r w:rsidR="00C3420C" w:rsidRPr="000458F8">
              <w:rPr>
                <w:sz w:val="20"/>
                <w:szCs w:val="20"/>
                <w:lang w:val="es-ES_tradnl" w:eastAsia="en-CA"/>
              </w:rPr>
              <w:t xml:space="preserve"> II, </w:t>
            </w:r>
            <w:r w:rsidRPr="000458F8">
              <w:rPr>
                <w:sz w:val="20"/>
                <w:szCs w:val="20"/>
                <w:lang w:val="es-ES_tradnl" w:eastAsia="en-CA"/>
              </w:rPr>
              <w:t>primer tramo</w:t>
            </w:r>
            <w:r w:rsidR="00C3420C" w:rsidRPr="000458F8">
              <w:rPr>
                <w:sz w:val="20"/>
                <w:szCs w:val="20"/>
                <w:lang w:val="es-ES_tradnl" w:eastAsia="en-CA"/>
              </w:rPr>
              <w:t>) (</w:t>
            </w:r>
            <w:r w:rsidRPr="000458F8">
              <w:rPr>
                <w:sz w:val="20"/>
                <w:szCs w:val="20"/>
                <w:lang w:val="es-ES_tradnl" w:eastAsia="en-CA"/>
              </w:rPr>
              <w:t>sector de extinción de incendios</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566CB559" w14:textId="77777777" w:rsidR="00C3420C" w:rsidRPr="000458F8" w:rsidRDefault="00C3420C" w:rsidP="008E3F5E">
            <w:pPr>
              <w:jc w:val="center"/>
              <w:rPr>
                <w:sz w:val="20"/>
                <w:szCs w:val="20"/>
                <w:lang w:val="es-ES_tradnl" w:eastAsia="en-CA"/>
              </w:rPr>
            </w:pPr>
            <w:r w:rsidRPr="000458F8">
              <w:rPr>
                <w:sz w:val="20"/>
                <w:szCs w:val="20"/>
                <w:lang w:val="es-ES_tradnl" w:eastAsia="en-CA"/>
              </w:rPr>
              <w:t>0</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23760AA6" w14:textId="22777DB3" w:rsidR="00C3420C" w:rsidRPr="000458F8" w:rsidRDefault="00F72A58" w:rsidP="008E3F5E">
            <w:pPr>
              <w:jc w:val="left"/>
              <w:rPr>
                <w:sz w:val="20"/>
                <w:szCs w:val="20"/>
                <w:lang w:val="es-ES_tradnl" w:eastAsia="en-CA"/>
              </w:rPr>
            </w:pPr>
            <w:r w:rsidRPr="000458F8">
              <w:rPr>
                <w:sz w:val="20"/>
                <w:szCs w:val="20"/>
                <w:lang w:val="es-ES_tradnl" w:eastAsia="en-CA"/>
              </w:rPr>
              <w:t>Demora de 18 meses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02834AB1" w14:textId="39D1118D" w:rsidR="00C3420C" w:rsidRPr="000458F8" w:rsidRDefault="0037651D" w:rsidP="008E3F5E">
            <w:pPr>
              <w:jc w:val="left"/>
              <w:rPr>
                <w:sz w:val="20"/>
                <w:szCs w:val="20"/>
                <w:lang w:val="es-ES_tradnl" w:eastAsia="en-CA"/>
              </w:rPr>
            </w:pPr>
            <w:r w:rsidRPr="000458F8">
              <w:rPr>
                <w:sz w:val="20"/>
                <w:szCs w:val="20"/>
                <w:lang w:val="es-ES_tradnl" w:eastAsia="en-CA"/>
              </w:rPr>
              <w:t>Solicitar al PNUD que informe sobre este proyecto con demoras en la ejecución a la 87ª reunión</w:t>
            </w:r>
          </w:p>
        </w:tc>
      </w:tr>
      <w:tr w:rsidR="00C3420C" w:rsidRPr="00DB56CB" w14:paraId="1C94840E" w14:textId="77777777" w:rsidTr="008E3F5E">
        <w:tc>
          <w:tcPr>
            <w:tcW w:w="2530"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483D667" w14:textId="77777777" w:rsidR="00C3420C" w:rsidRPr="000458F8" w:rsidRDefault="00C3420C" w:rsidP="008E3F5E">
            <w:pPr>
              <w:jc w:val="left"/>
              <w:rPr>
                <w:sz w:val="20"/>
                <w:szCs w:val="20"/>
                <w:lang w:val="es-ES_tradnl" w:eastAsia="en-CA"/>
              </w:rPr>
            </w:pPr>
            <w:r w:rsidRPr="000458F8">
              <w:rPr>
                <w:sz w:val="20"/>
                <w:szCs w:val="20"/>
                <w:lang w:val="es-ES_tradnl" w:eastAsia="en-CA"/>
              </w:rPr>
              <w:t>Mauritania</w:t>
            </w:r>
          </w:p>
          <w:p w14:paraId="30C50814" w14:textId="77777777" w:rsidR="00C3420C" w:rsidRPr="000458F8" w:rsidRDefault="00C3420C" w:rsidP="008E3F5E">
            <w:pPr>
              <w:jc w:val="left"/>
              <w:rPr>
                <w:sz w:val="20"/>
                <w:szCs w:val="20"/>
                <w:lang w:val="es-ES_tradnl" w:eastAsia="en-CA"/>
              </w:rPr>
            </w:pPr>
            <w:r w:rsidRPr="000458F8">
              <w:rPr>
                <w:sz w:val="20"/>
                <w:szCs w:val="20"/>
                <w:lang w:val="es-ES_tradnl" w:eastAsia="en-CA"/>
              </w:rPr>
              <w:t>MAU/PHA/80/INV/25</w:t>
            </w:r>
          </w:p>
        </w:tc>
        <w:tc>
          <w:tcPr>
            <w:tcW w:w="3770" w:type="dxa"/>
            <w:tcBorders>
              <w:top w:val="nil"/>
              <w:left w:val="nil"/>
              <w:bottom w:val="single" w:sz="4" w:space="0" w:color="auto"/>
              <w:right w:val="single" w:sz="4" w:space="0" w:color="auto"/>
            </w:tcBorders>
            <w:shd w:val="clear" w:color="auto" w:fill="auto"/>
            <w:tcMar>
              <w:left w:w="72" w:type="dxa"/>
              <w:right w:w="72" w:type="dxa"/>
            </w:tcMar>
            <w:hideMark/>
          </w:tcPr>
          <w:p w14:paraId="11D3B139" w14:textId="23D4E313" w:rsidR="00C3420C" w:rsidRPr="000458F8" w:rsidRDefault="00F72A58" w:rsidP="008E3F5E">
            <w:pPr>
              <w:jc w:val="left"/>
              <w:rPr>
                <w:sz w:val="20"/>
                <w:szCs w:val="20"/>
                <w:lang w:val="es-ES_tradnl" w:eastAsia="en-CA"/>
              </w:rPr>
            </w:pPr>
            <w:r w:rsidRPr="000458F8">
              <w:rPr>
                <w:sz w:val="20"/>
                <w:szCs w:val="20"/>
                <w:lang w:val="es-ES_tradnl" w:eastAsia="en-CA"/>
              </w:rPr>
              <w:t>Plan de gestión de eliminación de los HCFC</w:t>
            </w:r>
            <w:r w:rsidR="00C3420C" w:rsidRPr="000458F8">
              <w:rPr>
                <w:sz w:val="20"/>
                <w:szCs w:val="20"/>
                <w:lang w:val="es-ES_tradnl" w:eastAsia="en-CA"/>
              </w:rPr>
              <w:t xml:space="preserve"> (</w:t>
            </w:r>
            <w:r w:rsidRPr="000458F8">
              <w:rPr>
                <w:sz w:val="20"/>
                <w:szCs w:val="20"/>
                <w:lang w:val="es-ES_tradnl" w:eastAsia="en-CA"/>
              </w:rPr>
              <w:t>etapa</w:t>
            </w:r>
            <w:r w:rsidR="00C3420C" w:rsidRPr="000458F8">
              <w:rPr>
                <w:sz w:val="20"/>
                <w:szCs w:val="20"/>
                <w:lang w:val="es-ES_tradnl" w:eastAsia="en-CA"/>
              </w:rPr>
              <w:t xml:space="preserve"> I, </w:t>
            </w:r>
            <w:r w:rsidRPr="000458F8">
              <w:rPr>
                <w:sz w:val="20"/>
                <w:szCs w:val="20"/>
                <w:lang w:val="es-ES_tradnl" w:eastAsia="en-CA"/>
              </w:rPr>
              <w:t>primer tramo</w:t>
            </w:r>
            <w:r w:rsidR="00C3420C" w:rsidRPr="000458F8">
              <w:rPr>
                <w:sz w:val="20"/>
                <w:szCs w:val="20"/>
                <w:lang w:val="es-ES_tradnl" w:eastAsia="en-CA"/>
              </w:rPr>
              <w:t>)</w:t>
            </w:r>
          </w:p>
        </w:tc>
        <w:tc>
          <w:tcPr>
            <w:tcW w:w="1350" w:type="dxa"/>
            <w:tcBorders>
              <w:top w:val="nil"/>
              <w:left w:val="nil"/>
              <w:bottom w:val="single" w:sz="4" w:space="0" w:color="auto"/>
              <w:right w:val="single" w:sz="4" w:space="0" w:color="auto"/>
            </w:tcBorders>
            <w:shd w:val="clear" w:color="auto" w:fill="auto"/>
            <w:tcMar>
              <w:left w:w="72" w:type="dxa"/>
              <w:right w:w="72" w:type="dxa"/>
            </w:tcMar>
            <w:hideMark/>
          </w:tcPr>
          <w:p w14:paraId="014295E7" w14:textId="77777777" w:rsidR="00C3420C" w:rsidRPr="000458F8" w:rsidRDefault="00C3420C" w:rsidP="008E3F5E">
            <w:pPr>
              <w:jc w:val="center"/>
              <w:rPr>
                <w:sz w:val="20"/>
                <w:szCs w:val="20"/>
                <w:lang w:val="es-ES_tradnl" w:eastAsia="en-CA"/>
              </w:rPr>
            </w:pPr>
            <w:r w:rsidRPr="000458F8">
              <w:rPr>
                <w:sz w:val="20"/>
                <w:szCs w:val="20"/>
                <w:lang w:val="es-ES_tradnl" w:eastAsia="en-CA"/>
              </w:rPr>
              <w:t>0</w:t>
            </w:r>
          </w:p>
        </w:tc>
        <w:tc>
          <w:tcPr>
            <w:tcW w:w="3150" w:type="dxa"/>
            <w:tcBorders>
              <w:top w:val="nil"/>
              <w:left w:val="nil"/>
              <w:bottom w:val="single" w:sz="4" w:space="0" w:color="auto"/>
              <w:right w:val="single" w:sz="4" w:space="0" w:color="auto"/>
            </w:tcBorders>
            <w:shd w:val="clear" w:color="auto" w:fill="auto"/>
            <w:tcMar>
              <w:left w:w="72" w:type="dxa"/>
              <w:right w:w="72" w:type="dxa"/>
            </w:tcMar>
            <w:hideMark/>
          </w:tcPr>
          <w:p w14:paraId="727D6940" w14:textId="313C0039" w:rsidR="00C3420C" w:rsidRPr="000458F8" w:rsidRDefault="00F72A58" w:rsidP="008E3F5E">
            <w:pPr>
              <w:jc w:val="left"/>
              <w:rPr>
                <w:sz w:val="20"/>
                <w:szCs w:val="20"/>
                <w:lang w:val="es-ES_tradnl" w:eastAsia="en-CA"/>
              </w:rPr>
            </w:pPr>
            <w:r w:rsidRPr="000458F8">
              <w:rPr>
                <w:sz w:val="20"/>
                <w:szCs w:val="20"/>
                <w:lang w:val="es-ES_tradnl" w:eastAsia="en-CA"/>
              </w:rPr>
              <w:t>Demora de 18 meses</w:t>
            </w:r>
          </w:p>
        </w:tc>
        <w:tc>
          <w:tcPr>
            <w:tcW w:w="3234" w:type="dxa"/>
            <w:tcBorders>
              <w:top w:val="nil"/>
              <w:left w:val="nil"/>
              <w:bottom w:val="single" w:sz="4" w:space="0" w:color="auto"/>
              <w:right w:val="single" w:sz="4" w:space="0" w:color="auto"/>
            </w:tcBorders>
            <w:shd w:val="clear" w:color="auto" w:fill="auto"/>
            <w:tcMar>
              <w:left w:w="72" w:type="dxa"/>
              <w:right w:w="72" w:type="dxa"/>
            </w:tcMar>
            <w:hideMark/>
          </w:tcPr>
          <w:p w14:paraId="503BAE24" w14:textId="2CBE1CF6" w:rsidR="00C3420C" w:rsidRPr="000458F8" w:rsidRDefault="0037651D" w:rsidP="008E3F5E">
            <w:pPr>
              <w:jc w:val="left"/>
              <w:rPr>
                <w:sz w:val="20"/>
                <w:szCs w:val="20"/>
                <w:lang w:val="es-ES_tradnl" w:eastAsia="en-CA"/>
              </w:rPr>
            </w:pPr>
            <w:r w:rsidRPr="000458F8">
              <w:rPr>
                <w:sz w:val="20"/>
                <w:szCs w:val="20"/>
                <w:lang w:val="es-ES_tradnl" w:eastAsia="en-CA"/>
              </w:rPr>
              <w:t>Solicitar al PNUD que informe sobre este proyecto con demoras en la ejecución a la 87ª reunión.</w:t>
            </w:r>
          </w:p>
        </w:tc>
      </w:tr>
    </w:tbl>
    <w:p w14:paraId="32D6D566" w14:textId="77777777" w:rsidR="00C24C2E" w:rsidRPr="00110EE4" w:rsidRDefault="00C24C2E" w:rsidP="00C3420C">
      <w:pPr>
        <w:jc w:val="center"/>
        <w:rPr>
          <w:b/>
          <w:bCs/>
          <w:lang w:val="es-ES"/>
        </w:rPr>
        <w:sectPr w:rsidR="00C24C2E" w:rsidRPr="00110EE4" w:rsidSect="00582719">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440" w:left="862" w:header="720" w:footer="476" w:gutter="0"/>
          <w:pgNumType w:start="1"/>
          <w:cols w:space="720"/>
          <w:titlePg/>
          <w:docGrid w:linePitch="299"/>
        </w:sectPr>
      </w:pPr>
    </w:p>
    <w:p w14:paraId="065C4018" w14:textId="06D987F4" w:rsidR="00C3420C" w:rsidRPr="000458F8" w:rsidRDefault="00C3420C" w:rsidP="00C3420C">
      <w:pPr>
        <w:jc w:val="center"/>
        <w:rPr>
          <w:b/>
          <w:bCs/>
          <w:lang w:val="es-ES_tradnl"/>
        </w:rPr>
      </w:pPr>
      <w:r w:rsidRPr="000458F8">
        <w:rPr>
          <w:b/>
          <w:bCs/>
          <w:lang w:val="es-ES_tradnl"/>
        </w:rPr>
        <w:lastRenderedPageBreak/>
        <w:t>Anex</w:t>
      </w:r>
      <w:r w:rsidR="00493A59" w:rsidRPr="000458F8">
        <w:rPr>
          <w:b/>
          <w:bCs/>
          <w:lang w:val="es-ES_tradnl"/>
        </w:rPr>
        <w:t>o</w:t>
      </w:r>
      <w:r w:rsidRPr="000458F8">
        <w:rPr>
          <w:b/>
          <w:bCs/>
          <w:lang w:val="es-ES_tradnl"/>
        </w:rPr>
        <w:t xml:space="preserve"> II</w:t>
      </w:r>
    </w:p>
    <w:p w14:paraId="1C1391AB" w14:textId="77777777" w:rsidR="00C3420C" w:rsidRPr="000458F8" w:rsidRDefault="00C3420C" w:rsidP="00C3420C">
      <w:pPr>
        <w:jc w:val="center"/>
        <w:rPr>
          <w:b/>
          <w:bCs/>
          <w:lang w:val="es-ES_tradnl"/>
        </w:rPr>
      </w:pPr>
    </w:p>
    <w:p w14:paraId="35C80265" w14:textId="14BE7E04" w:rsidR="00C3420C" w:rsidRPr="000458F8" w:rsidRDefault="00493A59" w:rsidP="00C3420C">
      <w:pPr>
        <w:pStyle w:val="Title1"/>
        <w:rPr>
          <w:caps w:val="0"/>
          <w:lang w:val="es-ES_tradnl"/>
        </w:rPr>
      </w:pPr>
      <w:r w:rsidRPr="000458F8">
        <w:rPr>
          <w:caps w:val="0"/>
          <w:lang w:val="es-ES_tradnl"/>
        </w:rPr>
        <w:t xml:space="preserve">ANÁLISIS DEL INFORME SOBRE LA MARCHA DE LAS ACTIVIDADES DEL PNUD AL 31 DE DECEMBER DE </w:t>
      </w:r>
      <w:r w:rsidR="00C3420C" w:rsidRPr="000458F8">
        <w:rPr>
          <w:caps w:val="0"/>
          <w:lang w:val="es-ES_tradnl"/>
        </w:rPr>
        <w:t>2019</w:t>
      </w:r>
    </w:p>
    <w:p w14:paraId="5510BC26" w14:textId="77777777" w:rsidR="00C3420C" w:rsidRPr="000458F8" w:rsidRDefault="00C3420C" w:rsidP="00C3420C">
      <w:pPr>
        <w:pStyle w:val="Title1"/>
        <w:rPr>
          <w:caps w:val="0"/>
          <w:lang w:val="es-ES_tradnl"/>
        </w:rPr>
      </w:pPr>
    </w:p>
    <w:p w14:paraId="7E0EE760" w14:textId="11B0EFCA" w:rsidR="00C3420C" w:rsidRPr="000458F8" w:rsidRDefault="00493A59" w:rsidP="0084476A">
      <w:pPr>
        <w:pStyle w:val="Heading1"/>
        <w:numPr>
          <w:ilvl w:val="0"/>
          <w:numId w:val="7"/>
        </w:numPr>
        <w:tabs>
          <w:tab w:val="clear" w:pos="0"/>
        </w:tabs>
        <w:rPr>
          <w:lang w:val="es-ES_tradnl"/>
        </w:rPr>
      </w:pPr>
      <w:r w:rsidRPr="000458F8">
        <w:rPr>
          <w:lang w:val="es-ES_tradnl"/>
        </w:rPr>
        <w:t>El presente anexo consta de las dos partes que</w:t>
      </w:r>
      <w:r w:rsidRPr="000458F8">
        <w:rPr>
          <w:spacing w:val="-2"/>
          <w:lang w:val="es-ES_tradnl"/>
        </w:rPr>
        <w:t xml:space="preserve"> </w:t>
      </w:r>
      <w:r w:rsidRPr="000458F8">
        <w:rPr>
          <w:lang w:val="es-ES_tradnl"/>
        </w:rPr>
        <w:t>sigue</w:t>
      </w:r>
      <w:r w:rsidR="00C3420C" w:rsidRPr="000458F8">
        <w:rPr>
          <w:lang w:val="es-ES_tradnl"/>
        </w:rPr>
        <w:t>:</w:t>
      </w:r>
    </w:p>
    <w:p w14:paraId="1CCF4B75" w14:textId="2F3F179C" w:rsidR="00C3420C" w:rsidRPr="000458F8" w:rsidRDefault="00C3420C" w:rsidP="00C3420C">
      <w:pPr>
        <w:pStyle w:val="Heading2"/>
        <w:keepNext/>
        <w:widowControl/>
        <w:numPr>
          <w:ilvl w:val="0"/>
          <w:numId w:val="0"/>
        </w:numPr>
        <w:adjustRightInd w:val="0"/>
        <w:ind w:left="2160" w:hanging="1440"/>
        <w:textAlignment w:val="baseline"/>
        <w:rPr>
          <w:lang w:val="es-ES_tradnl"/>
        </w:rPr>
      </w:pPr>
      <w:r w:rsidRPr="000458F8">
        <w:rPr>
          <w:lang w:val="es-ES_tradnl"/>
        </w:rPr>
        <w:t>Part</w:t>
      </w:r>
      <w:r w:rsidR="00493A59" w:rsidRPr="000458F8">
        <w:rPr>
          <w:lang w:val="es-ES_tradnl"/>
        </w:rPr>
        <w:t>e</w:t>
      </w:r>
      <w:r w:rsidRPr="000458F8">
        <w:rPr>
          <w:lang w:val="es-ES_tradnl"/>
        </w:rPr>
        <w:t xml:space="preserve"> I:</w:t>
      </w:r>
      <w:r w:rsidRPr="000458F8">
        <w:rPr>
          <w:lang w:val="es-ES_tradnl"/>
        </w:rPr>
        <w:tab/>
      </w:r>
      <w:r w:rsidR="00493A59" w:rsidRPr="000458F8">
        <w:rPr>
          <w:lang w:val="es-ES_tradnl"/>
        </w:rPr>
        <w:t xml:space="preserve">Proyectos aprobados </w:t>
      </w:r>
      <w:r w:rsidR="00BF3B35" w:rsidRPr="00BF3B35">
        <w:rPr>
          <w:lang w:val="es-ES_tradnl"/>
        </w:rPr>
        <w:t xml:space="preserve">en el marco de las contribuciones ordinarias </w:t>
      </w:r>
      <w:r w:rsidR="00493A59" w:rsidRPr="000458F8">
        <w:rPr>
          <w:lang w:val="es-ES_tradnl"/>
        </w:rPr>
        <w:t>al Fondo Multilateral</w:t>
      </w:r>
      <w:r w:rsidRPr="000458F8">
        <w:rPr>
          <w:lang w:val="es-ES_tradnl"/>
        </w:rPr>
        <w:t>.</w:t>
      </w:r>
    </w:p>
    <w:p w14:paraId="7FF61595" w14:textId="7E060F06" w:rsidR="00493A59" w:rsidRPr="000458F8" w:rsidRDefault="00C3420C" w:rsidP="00493A59">
      <w:pPr>
        <w:pStyle w:val="Heading2"/>
        <w:widowControl/>
        <w:numPr>
          <w:ilvl w:val="0"/>
          <w:numId w:val="0"/>
        </w:numPr>
        <w:adjustRightInd w:val="0"/>
        <w:ind w:left="2160" w:hanging="1440"/>
        <w:textAlignment w:val="baseline"/>
        <w:rPr>
          <w:lang w:val="es-ES_tradnl"/>
        </w:rPr>
      </w:pPr>
      <w:r w:rsidRPr="000458F8">
        <w:rPr>
          <w:lang w:val="es-ES_tradnl"/>
        </w:rPr>
        <w:t>Part</w:t>
      </w:r>
      <w:r w:rsidR="00493A59" w:rsidRPr="000458F8">
        <w:rPr>
          <w:lang w:val="es-ES_tradnl"/>
        </w:rPr>
        <w:t>e</w:t>
      </w:r>
      <w:r w:rsidRPr="000458F8">
        <w:rPr>
          <w:lang w:val="es-ES_tradnl"/>
        </w:rPr>
        <w:t xml:space="preserve"> II:</w:t>
      </w:r>
      <w:r w:rsidRPr="000458F8">
        <w:rPr>
          <w:lang w:val="es-ES_tradnl"/>
        </w:rPr>
        <w:tab/>
      </w:r>
      <w:r w:rsidR="00493A59" w:rsidRPr="000458F8">
        <w:rPr>
          <w:lang w:val="es-ES_tradnl"/>
        </w:rPr>
        <w:t>Proyectos aprobados en el marco de otras contribuciones voluntarias para el apoyo acelerado a la reducción de los HFC.</w:t>
      </w:r>
    </w:p>
    <w:p w14:paraId="12892468" w14:textId="4062C0D0" w:rsidR="00C3420C" w:rsidRPr="000458F8" w:rsidRDefault="00C3420C" w:rsidP="00C3420C">
      <w:pPr>
        <w:pStyle w:val="sub-title"/>
        <w:keepNext/>
        <w:keepLines/>
        <w:ind w:left="1418" w:hanging="1418"/>
        <w:rPr>
          <w:caps/>
          <w:noProof w:val="0"/>
          <w:lang w:val="es-ES_tradnl"/>
        </w:rPr>
      </w:pPr>
      <w:r w:rsidRPr="000458F8">
        <w:rPr>
          <w:caps/>
          <w:noProof w:val="0"/>
          <w:lang w:val="es-ES_tradnl"/>
        </w:rPr>
        <w:t>Part</w:t>
      </w:r>
      <w:r w:rsidR="00536BD6" w:rsidRPr="000458F8">
        <w:rPr>
          <w:caps/>
          <w:noProof w:val="0"/>
          <w:lang w:val="es-ES_tradnl"/>
        </w:rPr>
        <w:t>E</w:t>
      </w:r>
      <w:r w:rsidRPr="000458F8">
        <w:rPr>
          <w:caps/>
          <w:noProof w:val="0"/>
          <w:lang w:val="es-ES_tradnl"/>
        </w:rPr>
        <w:t xml:space="preserve"> I: </w:t>
      </w:r>
      <w:r w:rsidRPr="000458F8">
        <w:rPr>
          <w:caps/>
          <w:noProof w:val="0"/>
          <w:lang w:val="es-ES_tradnl"/>
        </w:rPr>
        <w:tab/>
      </w:r>
      <w:r w:rsidR="00536BD6" w:rsidRPr="000458F8">
        <w:rPr>
          <w:caps/>
          <w:noProof w:val="0"/>
          <w:lang w:val="es-ES_tradnl"/>
        </w:rPr>
        <w:t xml:space="preserve">Proyectos aprobados en </w:t>
      </w:r>
      <w:r w:rsidR="00BF3B35">
        <w:rPr>
          <w:caps/>
          <w:noProof w:val="0"/>
          <w:lang w:val="es-ES_tradnl"/>
        </w:rPr>
        <w:t>EL MARCO</w:t>
      </w:r>
      <w:r w:rsidR="00536BD6" w:rsidRPr="000458F8">
        <w:rPr>
          <w:caps/>
          <w:noProof w:val="0"/>
          <w:lang w:val="es-ES_tradnl"/>
        </w:rPr>
        <w:t xml:space="preserve"> de las contribuciones </w:t>
      </w:r>
      <w:r w:rsidR="00BF3B35">
        <w:rPr>
          <w:caps/>
          <w:noProof w:val="0"/>
          <w:lang w:val="es-ES_tradnl"/>
        </w:rPr>
        <w:t xml:space="preserve">ORDINARIAS </w:t>
      </w:r>
      <w:r w:rsidR="00536BD6" w:rsidRPr="000458F8">
        <w:rPr>
          <w:caps/>
          <w:noProof w:val="0"/>
          <w:lang w:val="es-ES_tradnl"/>
        </w:rPr>
        <w:t>al Fondo Multilateral</w:t>
      </w:r>
    </w:p>
    <w:p w14:paraId="32466AE5" w14:textId="77777777" w:rsidR="00C3420C" w:rsidRPr="000458F8" w:rsidRDefault="00C3420C" w:rsidP="00C3420C">
      <w:pPr>
        <w:rPr>
          <w:lang w:val="es-ES_tradnl"/>
        </w:rPr>
      </w:pPr>
    </w:p>
    <w:p w14:paraId="45FB97AB" w14:textId="3560DE90" w:rsidR="00850824" w:rsidRPr="000458F8" w:rsidRDefault="00850824" w:rsidP="00345118">
      <w:pPr>
        <w:pStyle w:val="Heading1"/>
        <w:tabs>
          <w:tab w:val="clear" w:pos="0"/>
        </w:tabs>
        <w:rPr>
          <w:lang w:val="es-ES_tradnl"/>
        </w:rPr>
      </w:pPr>
      <w:r w:rsidRPr="000458F8">
        <w:rPr>
          <w:lang w:val="es-ES_tradnl"/>
        </w:rPr>
        <w:t>Al 31 de diciembre de 2019, el Comité Ejecutivo había aprobado 945,34 millones de $EUA, consistente</w:t>
      </w:r>
      <w:r w:rsidRPr="000458F8">
        <w:rPr>
          <w:spacing w:val="-7"/>
          <w:lang w:val="es-ES_tradnl"/>
        </w:rPr>
        <w:t xml:space="preserve"> </w:t>
      </w:r>
      <w:r w:rsidRPr="000458F8">
        <w:rPr>
          <w:lang w:val="es-ES_tradnl"/>
        </w:rPr>
        <w:t>en</w:t>
      </w:r>
      <w:r w:rsidRPr="000458F8">
        <w:rPr>
          <w:spacing w:val="-6"/>
          <w:lang w:val="es-ES_tradnl"/>
        </w:rPr>
        <w:t xml:space="preserve"> </w:t>
      </w:r>
      <w:r w:rsidRPr="000458F8">
        <w:rPr>
          <w:lang w:val="es-ES_tradnl"/>
        </w:rPr>
        <w:t>831,9</w:t>
      </w:r>
      <w:r w:rsidRPr="000458F8">
        <w:rPr>
          <w:spacing w:val="-2"/>
          <w:lang w:val="es-ES_tradnl"/>
        </w:rPr>
        <w:t xml:space="preserve"> </w:t>
      </w:r>
      <w:r w:rsidRPr="000458F8">
        <w:rPr>
          <w:lang w:val="es-ES_tradnl"/>
        </w:rPr>
        <w:t>millones</w:t>
      </w:r>
      <w:r w:rsidRPr="000458F8">
        <w:rPr>
          <w:spacing w:val="-6"/>
          <w:lang w:val="es-ES_tradnl"/>
        </w:rPr>
        <w:t xml:space="preserve"> </w:t>
      </w:r>
      <w:r w:rsidRPr="000458F8">
        <w:rPr>
          <w:lang w:val="es-ES_tradnl"/>
        </w:rPr>
        <w:t>de</w:t>
      </w:r>
      <w:r w:rsidRPr="000458F8">
        <w:rPr>
          <w:spacing w:val="-6"/>
          <w:lang w:val="es-ES_tradnl"/>
        </w:rPr>
        <w:t xml:space="preserve"> </w:t>
      </w:r>
      <w:r w:rsidRPr="000458F8">
        <w:rPr>
          <w:lang w:val="es-ES_tradnl"/>
        </w:rPr>
        <w:t>$EUA</w:t>
      </w:r>
      <w:r w:rsidRPr="000458F8">
        <w:rPr>
          <w:spacing w:val="-7"/>
          <w:lang w:val="es-ES_tradnl"/>
        </w:rPr>
        <w:t xml:space="preserve"> </w:t>
      </w:r>
      <w:r w:rsidRPr="000458F8">
        <w:rPr>
          <w:lang w:val="es-ES_tradnl"/>
        </w:rPr>
        <w:t>para</w:t>
      </w:r>
      <w:r w:rsidRPr="000458F8">
        <w:rPr>
          <w:spacing w:val="-6"/>
          <w:lang w:val="es-ES_tradnl"/>
        </w:rPr>
        <w:t xml:space="preserve"> </w:t>
      </w:r>
      <w:r w:rsidRPr="000458F8">
        <w:rPr>
          <w:lang w:val="es-ES_tradnl"/>
        </w:rPr>
        <w:t>la</w:t>
      </w:r>
      <w:r w:rsidRPr="000458F8">
        <w:rPr>
          <w:spacing w:val="-6"/>
          <w:lang w:val="es-ES_tradnl"/>
        </w:rPr>
        <w:t xml:space="preserve"> </w:t>
      </w:r>
      <w:r w:rsidRPr="000458F8">
        <w:rPr>
          <w:lang w:val="es-ES_tradnl"/>
        </w:rPr>
        <w:t>ejecución</w:t>
      </w:r>
      <w:r w:rsidRPr="000458F8">
        <w:rPr>
          <w:spacing w:val="-7"/>
          <w:lang w:val="es-ES_tradnl"/>
        </w:rPr>
        <w:t xml:space="preserve"> </w:t>
      </w:r>
      <w:r w:rsidRPr="000458F8">
        <w:rPr>
          <w:lang w:val="es-ES_tradnl"/>
        </w:rPr>
        <w:t>de</w:t>
      </w:r>
      <w:r w:rsidRPr="000458F8">
        <w:rPr>
          <w:spacing w:val="-6"/>
          <w:lang w:val="es-ES_tradnl"/>
        </w:rPr>
        <w:t xml:space="preserve"> </w:t>
      </w:r>
      <w:r w:rsidRPr="000458F8">
        <w:rPr>
          <w:lang w:val="es-ES_tradnl"/>
        </w:rPr>
        <w:t>proyectos</w:t>
      </w:r>
      <w:r w:rsidRPr="000458F8">
        <w:rPr>
          <w:spacing w:val="-6"/>
          <w:lang w:val="es-ES_tradnl"/>
        </w:rPr>
        <w:t xml:space="preserve"> </w:t>
      </w:r>
      <w:r w:rsidRPr="000458F8">
        <w:rPr>
          <w:lang w:val="es-ES_tradnl"/>
        </w:rPr>
        <w:t>de</w:t>
      </w:r>
      <w:r w:rsidRPr="000458F8">
        <w:rPr>
          <w:spacing w:val="-7"/>
          <w:lang w:val="es-ES_tradnl"/>
        </w:rPr>
        <w:t xml:space="preserve"> </w:t>
      </w:r>
      <w:r w:rsidRPr="000458F8">
        <w:rPr>
          <w:lang w:val="es-ES_tradnl"/>
        </w:rPr>
        <w:t>inversión</w:t>
      </w:r>
      <w:r w:rsidRPr="000458F8">
        <w:rPr>
          <w:spacing w:val="-7"/>
          <w:lang w:val="es-ES_tradnl"/>
        </w:rPr>
        <w:t xml:space="preserve"> </w:t>
      </w:r>
      <w:r w:rsidRPr="000458F8">
        <w:rPr>
          <w:lang w:val="es-ES_tradnl"/>
        </w:rPr>
        <w:t>y</w:t>
      </w:r>
      <w:r w:rsidRPr="000458F8">
        <w:rPr>
          <w:spacing w:val="-4"/>
          <w:lang w:val="es-ES_tradnl"/>
        </w:rPr>
        <w:t xml:space="preserve"> </w:t>
      </w:r>
      <w:r w:rsidRPr="000458F8">
        <w:rPr>
          <w:lang w:val="es-ES_tradnl"/>
        </w:rPr>
        <w:t>no</w:t>
      </w:r>
      <w:r w:rsidRPr="000458F8">
        <w:rPr>
          <w:spacing w:val="-7"/>
          <w:lang w:val="es-ES_tradnl"/>
        </w:rPr>
        <w:t xml:space="preserve"> </w:t>
      </w:r>
      <w:r w:rsidRPr="000458F8">
        <w:rPr>
          <w:lang w:val="es-ES_tradnl"/>
        </w:rPr>
        <w:t>relacionados</w:t>
      </w:r>
      <w:r w:rsidRPr="000458F8">
        <w:rPr>
          <w:spacing w:val="-6"/>
          <w:lang w:val="es-ES_tradnl"/>
        </w:rPr>
        <w:t xml:space="preserve"> </w:t>
      </w:r>
      <w:r w:rsidRPr="000458F8">
        <w:rPr>
          <w:lang w:val="es-ES_tradnl"/>
        </w:rPr>
        <w:t>con inversiones</w:t>
      </w:r>
      <w:r w:rsidRPr="000458F8">
        <w:rPr>
          <w:spacing w:val="-4"/>
          <w:lang w:val="es-ES_tradnl"/>
        </w:rPr>
        <w:t xml:space="preserve"> </w:t>
      </w:r>
      <w:r w:rsidRPr="000458F8">
        <w:rPr>
          <w:lang w:val="es-ES_tradnl"/>
        </w:rPr>
        <w:t>y</w:t>
      </w:r>
      <w:r w:rsidRPr="000458F8">
        <w:rPr>
          <w:spacing w:val="-4"/>
          <w:lang w:val="es-ES_tradnl"/>
        </w:rPr>
        <w:t xml:space="preserve"> </w:t>
      </w:r>
      <w:r w:rsidRPr="000458F8">
        <w:rPr>
          <w:lang w:val="es-ES_tradnl"/>
        </w:rPr>
        <w:t>113,44</w:t>
      </w:r>
      <w:r w:rsidRPr="000458F8">
        <w:rPr>
          <w:spacing w:val="-1"/>
          <w:lang w:val="es-ES_tradnl"/>
        </w:rPr>
        <w:t xml:space="preserve"> </w:t>
      </w:r>
      <w:r w:rsidRPr="000458F8">
        <w:rPr>
          <w:lang w:val="es-ES_tradnl"/>
        </w:rPr>
        <w:t>millones</w:t>
      </w:r>
      <w:r w:rsidRPr="000458F8">
        <w:rPr>
          <w:spacing w:val="-4"/>
          <w:lang w:val="es-ES_tradnl"/>
        </w:rPr>
        <w:t xml:space="preserve"> </w:t>
      </w:r>
      <w:r w:rsidRPr="000458F8">
        <w:rPr>
          <w:lang w:val="es-ES_tradnl"/>
        </w:rPr>
        <w:t>de</w:t>
      </w:r>
      <w:r w:rsidRPr="000458F8">
        <w:rPr>
          <w:spacing w:val="-3"/>
          <w:lang w:val="es-ES_tradnl"/>
        </w:rPr>
        <w:t xml:space="preserve"> </w:t>
      </w:r>
      <w:r w:rsidRPr="000458F8">
        <w:rPr>
          <w:lang w:val="es-ES_tradnl"/>
        </w:rPr>
        <w:t>$EUA</w:t>
      </w:r>
      <w:r w:rsidRPr="000458F8">
        <w:rPr>
          <w:spacing w:val="-3"/>
          <w:lang w:val="es-ES_tradnl"/>
        </w:rPr>
        <w:t xml:space="preserve"> </w:t>
      </w:r>
      <w:r w:rsidRPr="000458F8">
        <w:rPr>
          <w:lang w:val="es-ES_tradnl"/>
        </w:rPr>
        <w:t>para</w:t>
      </w:r>
      <w:r w:rsidRPr="000458F8">
        <w:rPr>
          <w:spacing w:val="-3"/>
          <w:lang w:val="es-ES_tradnl"/>
        </w:rPr>
        <w:t xml:space="preserve"> </w:t>
      </w:r>
      <w:r w:rsidRPr="000458F8">
        <w:rPr>
          <w:lang w:val="es-ES_tradnl"/>
        </w:rPr>
        <w:t>gastos</w:t>
      </w:r>
      <w:r w:rsidRPr="000458F8">
        <w:rPr>
          <w:spacing w:val="-4"/>
          <w:lang w:val="es-ES_tradnl"/>
        </w:rPr>
        <w:t xml:space="preserve"> </w:t>
      </w:r>
      <w:r w:rsidRPr="000458F8">
        <w:rPr>
          <w:lang w:val="es-ES_tradnl"/>
        </w:rPr>
        <w:t>de</w:t>
      </w:r>
      <w:r w:rsidRPr="000458F8">
        <w:rPr>
          <w:spacing w:val="-3"/>
          <w:lang w:val="es-ES_tradnl"/>
        </w:rPr>
        <w:t xml:space="preserve"> </w:t>
      </w:r>
      <w:r w:rsidRPr="000458F8">
        <w:rPr>
          <w:lang w:val="es-ES_tradnl"/>
        </w:rPr>
        <w:t>apoyo</w:t>
      </w:r>
      <w:r w:rsidRPr="000458F8">
        <w:rPr>
          <w:spacing w:val="-4"/>
          <w:lang w:val="es-ES_tradnl"/>
        </w:rPr>
        <w:t xml:space="preserve"> </w:t>
      </w:r>
      <w:r w:rsidRPr="000458F8">
        <w:rPr>
          <w:lang w:val="es-ES_tradnl"/>
        </w:rPr>
        <w:t>al</w:t>
      </w:r>
      <w:r w:rsidRPr="000458F8">
        <w:rPr>
          <w:spacing w:val="-3"/>
          <w:lang w:val="es-ES_tradnl"/>
        </w:rPr>
        <w:t xml:space="preserve"> </w:t>
      </w:r>
      <w:r w:rsidRPr="000458F8">
        <w:rPr>
          <w:lang w:val="es-ES_tradnl"/>
        </w:rPr>
        <w:t>organismo,</w:t>
      </w:r>
      <w:r w:rsidRPr="000458F8">
        <w:rPr>
          <w:spacing w:val="-4"/>
          <w:lang w:val="es-ES_tradnl"/>
        </w:rPr>
        <w:t xml:space="preserve"> </w:t>
      </w:r>
      <w:r w:rsidRPr="000458F8">
        <w:rPr>
          <w:lang w:val="es-ES_tradnl"/>
        </w:rPr>
        <w:t>como</w:t>
      </w:r>
      <w:r w:rsidRPr="000458F8">
        <w:rPr>
          <w:spacing w:val="-2"/>
          <w:lang w:val="es-ES_tradnl"/>
        </w:rPr>
        <w:t xml:space="preserve"> </w:t>
      </w:r>
      <w:r w:rsidRPr="000458F8">
        <w:rPr>
          <w:lang w:val="es-ES_tradnl"/>
        </w:rPr>
        <w:t>se</w:t>
      </w:r>
      <w:r w:rsidRPr="000458F8">
        <w:rPr>
          <w:spacing w:val="-5"/>
          <w:lang w:val="es-ES_tradnl"/>
        </w:rPr>
        <w:t xml:space="preserve"> </w:t>
      </w:r>
      <w:r w:rsidRPr="000458F8">
        <w:rPr>
          <w:lang w:val="es-ES_tradnl"/>
        </w:rPr>
        <w:t>indica</w:t>
      </w:r>
      <w:r w:rsidRPr="000458F8">
        <w:rPr>
          <w:spacing w:val="-2"/>
          <w:lang w:val="es-ES_tradnl"/>
        </w:rPr>
        <w:t xml:space="preserve"> </w:t>
      </w:r>
      <w:r w:rsidRPr="000458F8">
        <w:rPr>
          <w:lang w:val="es-ES_tradnl"/>
        </w:rPr>
        <w:t>en</w:t>
      </w:r>
      <w:r w:rsidRPr="000458F8">
        <w:rPr>
          <w:spacing w:val="-4"/>
          <w:lang w:val="es-ES_tradnl"/>
        </w:rPr>
        <w:t xml:space="preserve"> </w:t>
      </w:r>
      <w:r w:rsidRPr="000458F8">
        <w:rPr>
          <w:lang w:val="es-ES_tradnl"/>
        </w:rPr>
        <w:t>el</w:t>
      </w:r>
      <w:r w:rsidRPr="000458F8">
        <w:rPr>
          <w:spacing w:val="-3"/>
          <w:lang w:val="es-ES_tradnl"/>
        </w:rPr>
        <w:t xml:space="preserve"> </w:t>
      </w:r>
      <w:r w:rsidRPr="000458F8">
        <w:rPr>
          <w:lang w:val="es-ES_tradnl"/>
        </w:rPr>
        <w:t>cuadro</w:t>
      </w:r>
      <w:r w:rsidRPr="000458F8">
        <w:rPr>
          <w:spacing w:val="-2"/>
          <w:lang w:val="es-ES_tradnl"/>
        </w:rPr>
        <w:t xml:space="preserve"> </w:t>
      </w:r>
      <w:r w:rsidRPr="000458F8">
        <w:rPr>
          <w:lang w:val="es-ES_tradnl"/>
        </w:rPr>
        <w:t xml:space="preserve">1. En 2019, se aprobaron </w:t>
      </w:r>
      <w:r w:rsidR="001862A4" w:rsidRPr="000458F8">
        <w:rPr>
          <w:lang w:val="es-ES_tradnl"/>
        </w:rPr>
        <w:t xml:space="preserve">41 </w:t>
      </w:r>
      <w:r w:rsidRPr="000458F8">
        <w:rPr>
          <w:lang w:val="es-ES_tradnl"/>
        </w:rPr>
        <w:t>nuevos proyectos y actividades. Se espera que este nivel de financiación propicie la eliminación de 68</w:t>
      </w:r>
      <w:r w:rsidR="000945AA">
        <w:rPr>
          <w:lang w:val="es-ES_tradnl"/>
        </w:rPr>
        <w:t> </w:t>
      </w:r>
      <w:r w:rsidR="001862A4" w:rsidRPr="000458F8">
        <w:rPr>
          <w:lang w:val="es-ES_tradnl"/>
        </w:rPr>
        <w:t>407</w:t>
      </w:r>
      <w:r w:rsidRPr="000458F8">
        <w:rPr>
          <w:lang w:val="es-ES_tradnl"/>
        </w:rPr>
        <w:t xml:space="preserve"> toneladas PAO del consumo de sustancias</w:t>
      </w:r>
      <w:r w:rsidRPr="000458F8">
        <w:rPr>
          <w:spacing w:val="-7"/>
          <w:lang w:val="es-ES_tradnl"/>
        </w:rPr>
        <w:t xml:space="preserve"> </w:t>
      </w:r>
      <w:r w:rsidRPr="000458F8">
        <w:rPr>
          <w:lang w:val="es-ES_tradnl"/>
        </w:rPr>
        <w:t>controladas</w:t>
      </w:r>
      <w:r w:rsidR="001862A4" w:rsidRPr="000458F8">
        <w:rPr>
          <w:lang w:val="es-ES_tradnl"/>
        </w:rPr>
        <w:t>.</w:t>
      </w:r>
    </w:p>
    <w:p w14:paraId="063AC7CC" w14:textId="30709C3A" w:rsidR="00C3420C" w:rsidRPr="000458F8" w:rsidRDefault="005B3D00" w:rsidP="00C3420C">
      <w:pPr>
        <w:pStyle w:val="Heading1"/>
        <w:keepNext/>
        <w:numPr>
          <w:ilvl w:val="0"/>
          <w:numId w:val="0"/>
        </w:numPr>
        <w:suppressAutoHyphens/>
        <w:spacing w:after="0"/>
        <w:rPr>
          <w:b/>
          <w:lang w:val="es-ES_tradnl"/>
        </w:rPr>
      </w:pPr>
      <w:r w:rsidRPr="000458F8">
        <w:rPr>
          <w:b/>
          <w:spacing w:val="-3"/>
          <w:lang w:val="es-ES_tradnl"/>
        </w:rPr>
        <w:t xml:space="preserve">Cuadro </w:t>
      </w:r>
      <w:r w:rsidR="00C3420C" w:rsidRPr="000458F8">
        <w:rPr>
          <w:b/>
          <w:spacing w:val="-3"/>
          <w:lang w:val="es-ES_tradnl"/>
        </w:rPr>
        <w:t xml:space="preserve">1. </w:t>
      </w:r>
      <w:r w:rsidRPr="000458F8">
        <w:rPr>
          <w:b/>
          <w:spacing w:val="-3"/>
          <w:lang w:val="es-ES_tradnl"/>
        </w:rPr>
        <w:t xml:space="preserve">Financiación aprobada por sectores para el PNUD al 31 de diciembre de </w:t>
      </w:r>
      <w:r w:rsidR="00C3420C" w:rsidRPr="000458F8">
        <w:rPr>
          <w:b/>
          <w:lang w:val="es-ES_tradnl"/>
        </w:rPr>
        <w:t>2019</w:t>
      </w:r>
    </w:p>
    <w:tbl>
      <w:tblPr>
        <w:tblW w:w="9356" w:type="dxa"/>
        <w:tblInd w:w="-5" w:type="dxa"/>
        <w:tblLook w:val="04A0" w:firstRow="1" w:lastRow="0" w:firstColumn="1" w:lastColumn="0" w:noHBand="0" w:noVBand="1"/>
      </w:tblPr>
      <w:tblGrid>
        <w:gridCol w:w="4678"/>
        <w:gridCol w:w="4678"/>
      </w:tblGrid>
      <w:tr w:rsidR="00C3420C" w:rsidRPr="000458F8" w14:paraId="328C5414" w14:textId="77777777" w:rsidTr="008E3F5E">
        <w:trPr>
          <w:trHeight w:val="5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FA2CC" w14:textId="77777777" w:rsidR="00C3420C" w:rsidRPr="000458F8" w:rsidRDefault="00C3420C" w:rsidP="008E3F5E">
            <w:pPr>
              <w:jc w:val="center"/>
              <w:rPr>
                <w:b/>
                <w:bCs/>
                <w:sz w:val="21"/>
                <w:szCs w:val="21"/>
                <w:lang w:val="es-ES_tradnl" w:eastAsia="en-CA"/>
              </w:rPr>
            </w:pPr>
            <w:r w:rsidRPr="000458F8">
              <w:rPr>
                <w:b/>
                <w:bCs/>
                <w:sz w:val="21"/>
                <w:szCs w:val="21"/>
                <w:lang w:val="es-ES_tradnl" w:eastAsia="en-CA"/>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AE51CBD" w14:textId="2ABC890B" w:rsidR="00C3420C" w:rsidRPr="000458F8" w:rsidRDefault="00C3420C" w:rsidP="008E3F5E">
            <w:pPr>
              <w:jc w:val="center"/>
              <w:rPr>
                <w:b/>
                <w:bCs/>
                <w:sz w:val="21"/>
                <w:szCs w:val="21"/>
                <w:lang w:val="es-ES_tradnl" w:eastAsia="en-CA"/>
              </w:rPr>
            </w:pPr>
            <w:r w:rsidRPr="000458F8">
              <w:rPr>
                <w:b/>
                <w:bCs/>
                <w:sz w:val="21"/>
                <w:szCs w:val="21"/>
                <w:lang w:val="es-ES_tradnl" w:eastAsia="en-CA"/>
              </w:rPr>
              <w:t>F</w:t>
            </w:r>
            <w:r w:rsidR="00151956" w:rsidRPr="000458F8">
              <w:rPr>
                <w:b/>
                <w:bCs/>
                <w:sz w:val="21"/>
                <w:szCs w:val="21"/>
                <w:lang w:val="es-ES_tradnl" w:eastAsia="en-CA"/>
              </w:rPr>
              <w:t xml:space="preserve">inanciación </w:t>
            </w:r>
            <w:r w:rsidRPr="000458F8">
              <w:rPr>
                <w:b/>
                <w:bCs/>
                <w:sz w:val="21"/>
                <w:szCs w:val="21"/>
                <w:lang w:val="es-ES_tradnl" w:eastAsia="en-CA"/>
              </w:rPr>
              <w:t>(</w:t>
            </w:r>
            <w:r w:rsidR="00151956" w:rsidRPr="000458F8">
              <w:rPr>
                <w:b/>
                <w:bCs/>
                <w:sz w:val="21"/>
                <w:szCs w:val="21"/>
                <w:lang w:val="es-ES_tradnl" w:eastAsia="en-CA"/>
              </w:rPr>
              <w:t>$EUA</w:t>
            </w:r>
            <w:r w:rsidRPr="000458F8">
              <w:rPr>
                <w:b/>
                <w:bCs/>
                <w:sz w:val="21"/>
                <w:szCs w:val="21"/>
                <w:lang w:val="es-ES_tradnl" w:eastAsia="en-CA"/>
              </w:rPr>
              <w:t>)</w:t>
            </w:r>
          </w:p>
        </w:tc>
      </w:tr>
      <w:tr w:rsidR="005B3D00" w:rsidRPr="000458F8" w14:paraId="26F87A24"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4C825FCD" w14:textId="09235DE4" w:rsidR="005B3D00" w:rsidRPr="000458F8" w:rsidRDefault="005B3D00" w:rsidP="005B3D00">
            <w:pPr>
              <w:jc w:val="left"/>
              <w:rPr>
                <w:sz w:val="21"/>
                <w:szCs w:val="21"/>
                <w:lang w:val="es-ES_tradnl" w:eastAsia="en-CA"/>
              </w:rPr>
            </w:pPr>
            <w:r w:rsidRPr="000458F8">
              <w:rPr>
                <w:sz w:val="20"/>
                <w:lang w:val="es-ES_tradnl"/>
              </w:rPr>
              <w:t>Aerosoles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0A221D3" w14:textId="1A501422" w:rsidR="005B3D00" w:rsidRPr="000458F8" w:rsidRDefault="005B3D00" w:rsidP="005B3D00">
            <w:pPr>
              <w:jc w:val="right"/>
              <w:rPr>
                <w:sz w:val="21"/>
                <w:szCs w:val="21"/>
                <w:lang w:val="es-ES_tradnl" w:eastAsia="en-CA"/>
              </w:rPr>
            </w:pPr>
            <w:r w:rsidRPr="000458F8">
              <w:rPr>
                <w:sz w:val="21"/>
                <w:szCs w:val="21"/>
                <w:lang w:val="es-ES_tradnl" w:eastAsia="en-CA"/>
              </w:rPr>
              <w:t>26 054 837</w:t>
            </w:r>
          </w:p>
        </w:tc>
      </w:tr>
      <w:tr w:rsidR="005B3D00" w:rsidRPr="000458F8" w14:paraId="402763A2"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25726C6E" w14:textId="1C26E582" w:rsidR="005B3D00" w:rsidRPr="000458F8" w:rsidRDefault="005B3D00" w:rsidP="005B3D00">
            <w:pPr>
              <w:jc w:val="left"/>
              <w:rPr>
                <w:sz w:val="21"/>
                <w:szCs w:val="21"/>
                <w:lang w:val="es-ES_tradnl" w:eastAsia="en-CA"/>
              </w:rPr>
            </w:pPr>
            <w:r w:rsidRPr="000458F8">
              <w:rPr>
                <w:sz w:val="20"/>
                <w:lang w:val="es-ES_tradnl"/>
              </w:rPr>
              <w:t>Destrucción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1B67807" w14:textId="5C9B91A7" w:rsidR="005B3D00" w:rsidRPr="000458F8" w:rsidRDefault="005B3D00" w:rsidP="005B3D00">
            <w:pPr>
              <w:jc w:val="right"/>
              <w:rPr>
                <w:sz w:val="21"/>
                <w:szCs w:val="21"/>
                <w:lang w:val="es-ES_tradnl" w:eastAsia="en-CA"/>
              </w:rPr>
            </w:pPr>
            <w:r w:rsidRPr="000458F8">
              <w:rPr>
                <w:sz w:val="21"/>
                <w:szCs w:val="21"/>
                <w:lang w:val="es-ES_tradnl" w:eastAsia="en-CA"/>
              </w:rPr>
              <w:t>3 606 279</w:t>
            </w:r>
          </w:p>
        </w:tc>
      </w:tr>
      <w:tr w:rsidR="005B3D00" w:rsidRPr="000458F8" w14:paraId="1B096B21"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42261571" w14:textId="20F6F830" w:rsidR="005B3D00" w:rsidRPr="000458F8" w:rsidRDefault="005B3D00" w:rsidP="000945AA">
            <w:pPr>
              <w:pStyle w:val="TableParagraph"/>
              <w:rPr>
                <w:sz w:val="21"/>
                <w:szCs w:val="21"/>
                <w:lang w:val="es-ES_tradnl" w:eastAsia="en-CA"/>
              </w:rPr>
            </w:pPr>
            <w:r w:rsidRPr="000458F8">
              <w:rPr>
                <w:sz w:val="20"/>
                <w:lang w:val="es-ES_tradnl"/>
              </w:rPr>
              <w:t>Lucha contra</w:t>
            </w:r>
            <w:r w:rsidR="000945AA">
              <w:rPr>
                <w:sz w:val="20"/>
                <w:lang w:val="es-ES_tradnl"/>
              </w:rPr>
              <w:t xml:space="preserve"> </w:t>
            </w:r>
            <w:r w:rsidRPr="000458F8">
              <w:rPr>
                <w:sz w:val="20"/>
                <w:lang w:val="es-ES_tradnl"/>
              </w:rPr>
              <w:t>incendios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A1176DA" w14:textId="57D2D4B2" w:rsidR="005B3D00" w:rsidRPr="000458F8" w:rsidRDefault="005B3D00" w:rsidP="005B3D00">
            <w:pPr>
              <w:jc w:val="right"/>
              <w:rPr>
                <w:sz w:val="21"/>
                <w:szCs w:val="21"/>
                <w:lang w:val="es-ES_tradnl" w:eastAsia="en-CA"/>
              </w:rPr>
            </w:pPr>
            <w:r w:rsidRPr="000458F8">
              <w:rPr>
                <w:sz w:val="21"/>
                <w:szCs w:val="21"/>
                <w:lang w:val="es-ES_tradnl" w:eastAsia="en-CA"/>
              </w:rPr>
              <w:t>2 170</w:t>
            </w:r>
          </w:p>
        </w:tc>
      </w:tr>
      <w:tr w:rsidR="005B3D00" w:rsidRPr="000458F8" w14:paraId="235808AD"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535F93F9" w14:textId="1ADC27B2" w:rsidR="005B3D00" w:rsidRPr="000458F8" w:rsidRDefault="005B3D00" w:rsidP="005B3D00">
            <w:pPr>
              <w:jc w:val="left"/>
              <w:rPr>
                <w:sz w:val="21"/>
                <w:szCs w:val="21"/>
                <w:lang w:val="es-ES_tradnl" w:eastAsia="en-CA"/>
              </w:rPr>
            </w:pPr>
            <w:r w:rsidRPr="000458F8">
              <w:rPr>
                <w:sz w:val="20"/>
                <w:lang w:val="es-ES_tradnl"/>
              </w:rPr>
              <w:t>Espumas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4BCA023" w14:textId="4DCA30EA" w:rsidR="005B3D00" w:rsidRPr="000458F8" w:rsidRDefault="005B3D00" w:rsidP="005B3D00">
            <w:pPr>
              <w:jc w:val="right"/>
              <w:rPr>
                <w:sz w:val="21"/>
                <w:szCs w:val="21"/>
                <w:lang w:val="es-ES_tradnl" w:eastAsia="en-CA"/>
              </w:rPr>
            </w:pPr>
            <w:r w:rsidRPr="000458F8">
              <w:rPr>
                <w:sz w:val="21"/>
                <w:szCs w:val="21"/>
                <w:lang w:val="es-ES_tradnl" w:eastAsia="en-CA"/>
              </w:rPr>
              <w:t>173 331 969</w:t>
            </w:r>
          </w:p>
        </w:tc>
      </w:tr>
      <w:tr w:rsidR="005B3D00" w:rsidRPr="000458F8" w14:paraId="7CA314CE"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0351A3E7" w14:textId="0A092CF6" w:rsidR="005B3D00" w:rsidRPr="000458F8" w:rsidRDefault="005B3D00" w:rsidP="005B3D00">
            <w:pPr>
              <w:jc w:val="left"/>
              <w:rPr>
                <w:sz w:val="21"/>
                <w:szCs w:val="21"/>
                <w:lang w:val="es-ES_tradnl" w:eastAsia="en-CA"/>
              </w:rPr>
            </w:pPr>
            <w:r w:rsidRPr="000458F8">
              <w:rPr>
                <w:sz w:val="20"/>
                <w:lang w:val="es-ES_tradnl"/>
              </w:rPr>
              <w:t>Halones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E097A3B" w14:textId="0413D4D2" w:rsidR="005B3D00" w:rsidRPr="000458F8" w:rsidRDefault="005B3D00" w:rsidP="005B3D00">
            <w:pPr>
              <w:jc w:val="right"/>
              <w:rPr>
                <w:sz w:val="21"/>
                <w:szCs w:val="21"/>
                <w:lang w:val="es-ES_tradnl" w:eastAsia="en-CA"/>
              </w:rPr>
            </w:pPr>
            <w:r w:rsidRPr="000458F8">
              <w:rPr>
                <w:sz w:val="21"/>
                <w:szCs w:val="21"/>
                <w:lang w:val="es-ES_tradnl" w:eastAsia="en-CA"/>
              </w:rPr>
              <w:t>4 996 973</w:t>
            </w:r>
          </w:p>
        </w:tc>
      </w:tr>
      <w:tr w:rsidR="005B3D00" w:rsidRPr="000458F8" w14:paraId="5CD227B8"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17621ED8" w14:textId="506C6117" w:rsidR="005B3D00" w:rsidRPr="000458F8" w:rsidRDefault="005B3D00" w:rsidP="005B3D00">
            <w:pPr>
              <w:jc w:val="left"/>
              <w:rPr>
                <w:sz w:val="21"/>
                <w:szCs w:val="21"/>
                <w:lang w:val="es-ES_tradnl" w:eastAsia="en-CA"/>
              </w:rPr>
            </w:pPr>
            <w:r w:rsidRPr="000458F8">
              <w:rPr>
                <w:sz w:val="20"/>
                <w:lang w:val="es-ES_tradnl"/>
              </w:rPr>
              <w:t>Fumigantes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A460FA0" w14:textId="7FE033B7" w:rsidR="005B3D00" w:rsidRPr="000458F8" w:rsidRDefault="005B3D00" w:rsidP="005B3D00">
            <w:pPr>
              <w:jc w:val="right"/>
              <w:rPr>
                <w:sz w:val="21"/>
                <w:szCs w:val="21"/>
                <w:lang w:val="es-ES_tradnl" w:eastAsia="en-CA"/>
              </w:rPr>
            </w:pPr>
            <w:r w:rsidRPr="000458F8">
              <w:rPr>
                <w:sz w:val="21"/>
                <w:szCs w:val="21"/>
                <w:lang w:val="es-ES_tradnl" w:eastAsia="en-CA"/>
              </w:rPr>
              <w:t>20 081 241</w:t>
            </w:r>
          </w:p>
        </w:tc>
      </w:tr>
      <w:tr w:rsidR="005B3D00" w:rsidRPr="000458F8" w14:paraId="1FFFF1DF"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054A9956" w14:textId="653BFAF8" w:rsidR="005B3D00" w:rsidRPr="000458F8" w:rsidRDefault="005B3D00" w:rsidP="005B3D00">
            <w:pPr>
              <w:jc w:val="left"/>
              <w:rPr>
                <w:sz w:val="21"/>
                <w:szCs w:val="21"/>
                <w:lang w:val="es-ES_tradnl" w:eastAsia="en-CA"/>
              </w:rPr>
            </w:pPr>
            <w:r w:rsidRPr="000458F8">
              <w:rPr>
                <w:sz w:val="20"/>
                <w:lang w:val="es-ES_tradnl"/>
              </w:rPr>
              <w:t>Sectores múltiples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9E92367" w14:textId="77777777" w:rsidR="005B3D00" w:rsidRPr="000458F8" w:rsidRDefault="005B3D00" w:rsidP="005B3D00">
            <w:pPr>
              <w:jc w:val="right"/>
              <w:rPr>
                <w:sz w:val="21"/>
                <w:szCs w:val="21"/>
                <w:lang w:val="es-ES_tradnl" w:eastAsia="en-CA"/>
              </w:rPr>
            </w:pPr>
            <w:r w:rsidRPr="000458F8">
              <w:rPr>
                <w:sz w:val="21"/>
                <w:szCs w:val="21"/>
                <w:lang w:val="es-ES_tradnl" w:eastAsia="en-CA"/>
              </w:rPr>
              <w:t>0</w:t>
            </w:r>
          </w:p>
        </w:tc>
      </w:tr>
      <w:tr w:rsidR="005B3D00" w:rsidRPr="000458F8" w14:paraId="4B8AA5F5"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38EECE7B" w14:textId="355CA222" w:rsidR="005B3D00" w:rsidRPr="000458F8" w:rsidRDefault="005B3D00" w:rsidP="005B3D00">
            <w:pPr>
              <w:jc w:val="left"/>
              <w:rPr>
                <w:sz w:val="21"/>
                <w:szCs w:val="21"/>
                <w:lang w:val="es-ES_tradnl" w:eastAsia="en-CA"/>
              </w:rPr>
            </w:pPr>
            <w:r w:rsidRPr="000458F8">
              <w:rPr>
                <w:sz w:val="20"/>
                <w:lang w:val="es-ES_tradnl"/>
              </w:rPr>
              <w:t>Otros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C740FB0" w14:textId="77777777" w:rsidR="005B3D00" w:rsidRPr="000458F8" w:rsidRDefault="005B3D00" w:rsidP="005B3D00">
            <w:pPr>
              <w:jc w:val="right"/>
              <w:rPr>
                <w:sz w:val="21"/>
                <w:szCs w:val="21"/>
                <w:lang w:val="es-ES_tradnl" w:eastAsia="en-CA"/>
              </w:rPr>
            </w:pPr>
            <w:r w:rsidRPr="000458F8">
              <w:rPr>
                <w:sz w:val="21"/>
                <w:szCs w:val="21"/>
                <w:lang w:val="es-ES_tradnl" w:eastAsia="en-CA"/>
              </w:rPr>
              <w:t>0</w:t>
            </w:r>
          </w:p>
        </w:tc>
      </w:tr>
      <w:tr w:rsidR="005B3D00" w:rsidRPr="000458F8" w14:paraId="36C29109"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210D8BBC" w14:textId="3DACF595" w:rsidR="005B3D00" w:rsidRPr="000458F8" w:rsidRDefault="005B3D00" w:rsidP="005B3D00">
            <w:pPr>
              <w:jc w:val="left"/>
              <w:rPr>
                <w:sz w:val="21"/>
                <w:szCs w:val="21"/>
                <w:lang w:val="es-ES_tradnl" w:eastAsia="en-CA"/>
              </w:rPr>
            </w:pPr>
            <w:r w:rsidRPr="000458F8">
              <w:rPr>
                <w:sz w:val="20"/>
                <w:lang w:val="es-ES_tradnl"/>
              </w:rPr>
              <w:t>Plan de eliminación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FB67C12" w14:textId="12D45724" w:rsidR="005B3D00" w:rsidRPr="000458F8" w:rsidRDefault="005B3D00" w:rsidP="005B3D00">
            <w:pPr>
              <w:jc w:val="right"/>
              <w:rPr>
                <w:sz w:val="21"/>
                <w:szCs w:val="21"/>
                <w:lang w:val="es-ES_tradnl" w:eastAsia="en-CA"/>
              </w:rPr>
            </w:pPr>
            <w:r w:rsidRPr="000458F8">
              <w:rPr>
                <w:sz w:val="21"/>
                <w:szCs w:val="21"/>
                <w:lang w:val="es-ES_tradnl" w:eastAsia="en-CA"/>
              </w:rPr>
              <w:t>333 872 234</w:t>
            </w:r>
          </w:p>
        </w:tc>
      </w:tr>
      <w:tr w:rsidR="005B3D00" w:rsidRPr="000458F8" w14:paraId="4FC2499F"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6142DF95" w14:textId="1809F521" w:rsidR="005B3D00" w:rsidRPr="000458F8" w:rsidRDefault="005B3D00" w:rsidP="005B3D00">
            <w:pPr>
              <w:jc w:val="left"/>
              <w:rPr>
                <w:sz w:val="21"/>
                <w:szCs w:val="21"/>
                <w:lang w:val="es-ES_tradnl" w:eastAsia="en-CA"/>
              </w:rPr>
            </w:pPr>
            <w:r w:rsidRPr="000458F8">
              <w:rPr>
                <w:sz w:val="20"/>
                <w:lang w:val="es-ES_tradnl"/>
              </w:rPr>
              <w:t>Agentes de procesos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5D8844BF" w14:textId="5FFAC1E8" w:rsidR="005B3D00" w:rsidRPr="000458F8" w:rsidRDefault="005B3D00" w:rsidP="005B3D00">
            <w:pPr>
              <w:jc w:val="right"/>
              <w:rPr>
                <w:sz w:val="21"/>
                <w:szCs w:val="21"/>
                <w:lang w:val="es-ES_tradnl" w:eastAsia="en-CA"/>
              </w:rPr>
            </w:pPr>
            <w:r w:rsidRPr="000458F8">
              <w:rPr>
                <w:sz w:val="21"/>
                <w:szCs w:val="21"/>
                <w:lang w:val="es-ES_tradnl" w:eastAsia="en-CA"/>
              </w:rPr>
              <w:t>1 286 923</w:t>
            </w:r>
          </w:p>
        </w:tc>
      </w:tr>
      <w:tr w:rsidR="005B3D00" w:rsidRPr="000458F8" w14:paraId="79162A94"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6B8F4ABA" w14:textId="1835C12D" w:rsidR="005B3D00" w:rsidRPr="000458F8" w:rsidRDefault="005B3D00" w:rsidP="005B3D00">
            <w:pPr>
              <w:jc w:val="left"/>
              <w:rPr>
                <w:sz w:val="21"/>
                <w:szCs w:val="21"/>
                <w:lang w:val="es-ES_tradnl" w:eastAsia="en-CA"/>
              </w:rPr>
            </w:pPr>
            <w:r w:rsidRPr="000458F8">
              <w:rPr>
                <w:sz w:val="20"/>
                <w:lang w:val="es-ES_tradnl"/>
              </w:rPr>
              <w:t>Producción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332A5F9" w14:textId="73C18630" w:rsidR="005B3D00" w:rsidRPr="000458F8" w:rsidRDefault="005B3D00" w:rsidP="005B3D00">
            <w:pPr>
              <w:jc w:val="right"/>
              <w:rPr>
                <w:sz w:val="21"/>
                <w:szCs w:val="21"/>
                <w:lang w:val="es-ES_tradnl" w:eastAsia="en-CA"/>
              </w:rPr>
            </w:pPr>
            <w:r w:rsidRPr="000458F8">
              <w:rPr>
                <w:sz w:val="21"/>
                <w:szCs w:val="21"/>
                <w:lang w:val="es-ES_tradnl" w:eastAsia="en-CA"/>
              </w:rPr>
              <w:t>1 056 000</w:t>
            </w:r>
          </w:p>
        </w:tc>
      </w:tr>
      <w:tr w:rsidR="005B3D00" w:rsidRPr="000458F8" w14:paraId="17AC5737"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626C69F9" w14:textId="04D0C509" w:rsidR="005B3D00" w:rsidRPr="000458F8" w:rsidRDefault="005B3D00" w:rsidP="005B3D00">
            <w:pPr>
              <w:jc w:val="left"/>
              <w:rPr>
                <w:sz w:val="21"/>
                <w:szCs w:val="21"/>
                <w:lang w:val="es-ES_tradnl" w:eastAsia="en-CA"/>
              </w:rPr>
            </w:pPr>
            <w:r w:rsidRPr="000458F8">
              <w:rPr>
                <w:sz w:val="20"/>
                <w:lang w:val="es-ES_tradnl"/>
              </w:rPr>
              <w:t>Refrigeración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42A592F" w14:textId="6CF0B589" w:rsidR="005B3D00" w:rsidRPr="000458F8" w:rsidRDefault="005B3D00" w:rsidP="005B3D00">
            <w:pPr>
              <w:jc w:val="right"/>
              <w:rPr>
                <w:sz w:val="21"/>
                <w:szCs w:val="21"/>
                <w:lang w:val="es-ES_tradnl" w:eastAsia="en-CA"/>
              </w:rPr>
            </w:pPr>
            <w:r w:rsidRPr="000458F8">
              <w:rPr>
                <w:sz w:val="21"/>
                <w:szCs w:val="21"/>
                <w:lang w:val="es-ES_tradnl" w:eastAsia="en-CA"/>
              </w:rPr>
              <w:t>139 612 399</w:t>
            </w:r>
          </w:p>
        </w:tc>
      </w:tr>
      <w:tr w:rsidR="005B3D00" w:rsidRPr="000458F8" w14:paraId="73C2803B"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499A8543" w14:textId="68E8FFBF" w:rsidR="005B3D00" w:rsidRPr="000458F8" w:rsidRDefault="005B3D00" w:rsidP="005B3D00">
            <w:pPr>
              <w:jc w:val="left"/>
              <w:rPr>
                <w:sz w:val="21"/>
                <w:szCs w:val="21"/>
                <w:lang w:val="es-ES_tradnl" w:eastAsia="en-CA"/>
              </w:rPr>
            </w:pPr>
            <w:r w:rsidRPr="000458F8">
              <w:rPr>
                <w:sz w:val="20"/>
                <w:lang w:val="es-ES_tradnl"/>
              </w:rPr>
              <w:t>Varios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7F74297" w14:textId="5827533F" w:rsidR="005B3D00" w:rsidRPr="000458F8" w:rsidRDefault="005B3D00" w:rsidP="005B3D00">
            <w:pPr>
              <w:jc w:val="right"/>
              <w:rPr>
                <w:sz w:val="21"/>
                <w:szCs w:val="21"/>
                <w:lang w:val="es-ES_tradnl" w:eastAsia="en-CA"/>
              </w:rPr>
            </w:pPr>
            <w:r w:rsidRPr="000458F8">
              <w:rPr>
                <w:sz w:val="21"/>
                <w:szCs w:val="21"/>
                <w:lang w:val="es-ES_tradnl" w:eastAsia="en-CA"/>
              </w:rPr>
              <w:t>63 877 595</w:t>
            </w:r>
          </w:p>
        </w:tc>
      </w:tr>
      <w:tr w:rsidR="005B3D00" w:rsidRPr="000458F8" w14:paraId="06C2D24E"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07BE4E6C" w14:textId="496BBF69" w:rsidR="005B3D00" w:rsidRPr="000458F8" w:rsidRDefault="005B3D00" w:rsidP="005B3D00">
            <w:pPr>
              <w:jc w:val="left"/>
              <w:rPr>
                <w:sz w:val="21"/>
                <w:szCs w:val="21"/>
                <w:lang w:val="es-ES_tradnl" w:eastAsia="en-CA"/>
              </w:rPr>
            </w:pPr>
            <w:r w:rsidRPr="000458F8">
              <w:rPr>
                <w:sz w:val="20"/>
                <w:lang w:val="es-ES_tradnl"/>
              </w:rPr>
              <w:t>Disolventes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AD349CC" w14:textId="2F0F1B3B" w:rsidR="005B3D00" w:rsidRPr="000458F8" w:rsidRDefault="005B3D00" w:rsidP="005B3D00">
            <w:pPr>
              <w:jc w:val="right"/>
              <w:rPr>
                <w:sz w:val="21"/>
                <w:szCs w:val="21"/>
                <w:lang w:val="es-ES_tradnl" w:eastAsia="en-CA"/>
              </w:rPr>
            </w:pPr>
            <w:r w:rsidRPr="000458F8">
              <w:rPr>
                <w:sz w:val="21"/>
                <w:szCs w:val="21"/>
                <w:lang w:val="es-ES_tradnl" w:eastAsia="en-CA"/>
              </w:rPr>
              <w:t>63 699 997</w:t>
            </w:r>
          </w:p>
        </w:tc>
      </w:tr>
      <w:tr w:rsidR="005B3D00" w:rsidRPr="000458F8" w14:paraId="7B96A569"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7B0AC0D7" w14:textId="636BC2F2" w:rsidR="005B3D00" w:rsidRPr="000458F8" w:rsidRDefault="005B3D00" w:rsidP="005B3D00">
            <w:pPr>
              <w:jc w:val="left"/>
              <w:rPr>
                <w:sz w:val="21"/>
                <w:szCs w:val="21"/>
                <w:lang w:val="es-ES_tradnl" w:eastAsia="en-CA"/>
              </w:rPr>
            </w:pPr>
            <w:r w:rsidRPr="000458F8">
              <w:rPr>
                <w:sz w:val="20"/>
                <w:lang w:val="es-ES_tradnl"/>
              </w:rPr>
              <w:t>Esterilizantes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694F562" w14:textId="678000D1" w:rsidR="005B3D00" w:rsidRPr="000458F8" w:rsidRDefault="005B3D00" w:rsidP="005B3D00">
            <w:pPr>
              <w:jc w:val="right"/>
              <w:rPr>
                <w:sz w:val="21"/>
                <w:szCs w:val="21"/>
                <w:lang w:val="es-ES_tradnl" w:eastAsia="en-CA"/>
              </w:rPr>
            </w:pPr>
            <w:r w:rsidRPr="000458F8">
              <w:rPr>
                <w:sz w:val="21"/>
                <w:szCs w:val="21"/>
                <w:lang w:val="es-ES_tradnl" w:eastAsia="en-CA"/>
              </w:rPr>
              <w:t>417 628</w:t>
            </w:r>
          </w:p>
        </w:tc>
      </w:tr>
      <w:tr w:rsidR="005B3D00" w:rsidRPr="000458F8" w14:paraId="66BFC08B"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5D54B42A" w14:textId="22585676" w:rsidR="005B3D00" w:rsidRPr="000458F8" w:rsidRDefault="005B3D00" w:rsidP="005B3D00">
            <w:pPr>
              <w:jc w:val="left"/>
              <w:rPr>
                <w:b/>
                <w:bCs/>
                <w:sz w:val="21"/>
                <w:szCs w:val="21"/>
                <w:lang w:val="es-ES_tradnl" w:eastAsia="en-CA"/>
              </w:rPr>
            </w:pPr>
            <w:r w:rsidRPr="000458F8">
              <w:rPr>
                <w:b/>
                <w:sz w:val="20"/>
                <w:lang w:val="es-ES_tradnl"/>
              </w:rPr>
              <w:t>Total parcial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5909563" w14:textId="4C309FD4" w:rsidR="005B3D00" w:rsidRPr="000458F8" w:rsidRDefault="005B3D00" w:rsidP="005B3D00">
            <w:pPr>
              <w:jc w:val="right"/>
              <w:rPr>
                <w:b/>
                <w:sz w:val="21"/>
                <w:szCs w:val="21"/>
                <w:lang w:val="es-ES_tradnl" w:eastAsia="en-CA"/>
              </w:rPr>
            </w:pPr>
            <w:r w:rsidRPr="000458F8">
              <w:rPr>
                <w:b/>
                <w:sz w:val="21"/>
                <w:szCs w:val="21"/>
                <w:lang w:val="es-ES_tradnl" w:eastAsia="en-CA"/>
              </w:rPr>
              <w:t>831 896 245</w:t>
            </w:r>
          </w:p>
        </w:tc>
      </w:tr>
      <w:tr w:rsidR="005B3D00" w:rsidRPr="000458F8" w14:paraId="292743A0" w14:textId="77777777" w:rsidTr="00677488">
        <w:trPr>
          <w:trHeight w:val="204"/>
        </w:trPr>
        <w:tc>
          <w:tcPr>
            <w:tcW w:w="4678" w:type="dxa"/>
            <w:tcBorders>
              <w:top w:val="nil"/>
              <w:left w:val="single" w:sz="4" w:space="0" w:color="auto"/>
              <w:bottom w:val="single" w:sz="4" w:space="0" w:color="auto"/>
              <w:right w:val="single" w:sz="4" w:space="0" w:color="auto"/>
            </w:tcBorders>
            <w:shd w:val="clear" w:color="auto" w:fill="auto"/>
            <w:noWrap/>
            <w:hideMark/>
          </w:tcPr>
          <w:p w14:paraId="654A7C92" w14:textId="36758650" w:rsidR="005B3D00" w:rsidRPr="000458F8" w:rsidRDefault="005B3D00" w:rsidP="000945AA">
            <w:pPr>
              <w:pStyle w:val="TableParagraph"/>
              <w:ind w:left="57"/>
              <w:rPr>
                <w:sz w:val="21"/>
                <w:szCs w:val="21"/>
                <w:lang w:val="es-ES_tradnl" w:eastAsia="en-CA"/>
              </w:rPr>
            </w:pPr>
            <w:r w:rsidRPr="000458F8">
              <w:rPr>
                <w:sz w:val="20"/>
                <w:lang w:val="es-ES_tradnl"/>
              </w:rPr>
              <w:t xml:space="preserve">Gastos de apoyo </w:t>
            </w:r>
            <w:r w:rsidR="000945AA">
              <w:rPr>
                <w:sz w:val="20"/>
                <w:lang w:val="es-ES_tradnl"/>
              </w:rPr>
              <w:t xml:space="preserve">a </w:t>
            </w:r>
            <w:r w:rsidRPr="000458F8">
              <w:rPr>
                <w:sz w:val="20"/>
                <w:lang w:val="es-ES_tradnl"/>
              </w:rPr>
              <w:t>los organismos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599D257" w14:textId="37BBD243" w:rsidR="005B3D00" w:rsidRPr="000458F8" w:rsidRDefault="005B3D00" w:rsidP="005B3D00">
            <w:pPr>
              <w:jc w:val="right"/>
              <w:rPr>
                <w:sz w:val="21"/>
                <w:szCs w:val="21"/>
                <w:lang w:val="es-ES_tradnl" w:eastAsia="en-CA"/>
              </w:rPr>
            </w:pPr>
            <w:r w:rsidRPr="000458F8">
              <w:rPr>
                <w:sz w:val="21"/>
                <w:szCs w:val="21"/>
                <w:lang w:val="es-ES_tradnl" w:eastAsia="en-CA"/>
              </w:rPr>
              <w:t>113 444 224</w:t>
            </w:r>
          </w:p>
        </w:tc>
      </w:tr>
      <w:tr w:rsidR="00C3420C" w:rsidRPr="000458F8" w14:paraId="4AEB54BC" w14:textId="77777777" w:rsidTr="008E3F5E">
        <w:trPr>
          <w:trHeight w:val="20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25A19E1" w14:textId="77777777" w:rsidR="00C3420C" w:rsidRPr="000458F8" w:rsidRDefault="00C3420C" w:rsidP="008E3F5E">
            <w:pPr>
              <w:jc w:val="left"/>
              <w:rPr>
                <w:b/>
                <w:bCs/>
                <w:sz w:val="21"/>
                <w:szCs w:val="21"/>
                <w:lang w:val="es-ES_tradnl" w:eastAsia="en-CA"/>
              </w:rPr>
            </w:pPr>
            <w:r w:rsidRPr="000458F8">
              <w:rPr>
                <w:b/>
                <w:bCs/>
                <w:sz w:val="21"/>
                <w:szCs w:val="21"/>
                <w:lang w:val="es-ES_tradnl" w:eastAsia="en-CA"/>
              </w:rPr>
              <w:t>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59FB4E4" w14:textId="7BDA55DF" w:rsidR="00C3420C" w:rsidRPr="000458F8" w:rsidRDefault="00C3420C" w:rsidP="008E3F5E">
            <w:pPr>
              <w:jc w:val="right"/>
              <w:rPr>
                <w:b/>
                <w:sz w:val="21"/>
                <w:szCs w:val="21"/>
                <w:lang w:val="es-ES_tradnl" w:eastAsia="en-CA"/>
              </w:rPr>
            </w:pPr>
            <w:r w:rsidRPr="000458F8">
              <w:rPr>
                <w:b/>
                <w:sz w:val="21"/>
                <w:szCs w:val="21"/>
                <w:lang w:val="es-ES_tradnl" w:eastAsia="en-CA"/>
              </w:rPr>
              <w:t>945</w:t>
            </w:r>
            <w:r w:rsidR="005B3D00" w:rsidRPr="000458F8">
              <w:rPr>
                <w:b/>
                <w:sz w:val="21"/>
                <w:szCs w:val="21"/>
                <w:lang w:val="es-ES_tradnl" w:eastAsia="en-CA"/>
              </w:rPr>
              <w:t> </w:t>
            </w:r>
            <w:r w:rsidRPr="000458F8">
              <w:rPr>
                <w:b/>
                <w:sz w:val="21"/>
                <w:szCs w:val="21"/>
                <w:lang w:val="es-ES_tradnl" w:eastAsia="en-CA"/>
              </w:rPr>
              <w:t>340</w:t>
            </w:r>
            <w:r w:rsidR="005B3D00" w:rsidRPr="000458F8">
              <w:rPr>
                <w:b/>
                <w:sz w:val="21"/>
                <w:szCs w:val="21"/>
                <w:lang w:val="es-ES_tradnl" w:eastAsia="en-CA"/>
              </w:rPr>
              <w:t> </w:t>
            </w:r>
            <w:r w:rsidRPr="000458F8">
              <w:rPr>
                <w:b/>
                <w:sz w:val="21"/>
                <w:szCs w:val="21"/>
                <w:lang w:val="es-ES_tradnl" w:eastAsia="en-CA"/>
              </w:rPr>
              <w:t>469</w:t>
            </w:r>
          </w:p>
        </w:tc>
      </w:tr>
    </w:tbl>
    <w:p w14:paraId="411E9C32" w14:textId="77777777" w:rsidR="00C3420C" w:rsidRPr="000458F8" w:rsidRDefault="00C3420C" w:rsidP="00C3420C">
      <w:pPr>
        <w:rPr>
          <w:lang w:val="es-ES_tradnl"/>
        </w:rPr>
      </w:pPr>
    </w:p>
    <w:p w14:paraId="4E5AF338" w14:textId="44B228F4" w:rsidR="00C3420C" w:rsidRPr="000458F8" w:rsidRDefault="00677488" w:rsidP="00677488">
      <w:pPr>
        <w:pStyle w:val="Heading1"/>
        <w:rPr>
          <w:lang w:val="es-ES_tradnl"/>
        </w:rPr>
      </w:pPr>
      <w:r w:rsidRPr="000458F8">
        <w:rPr>
          <w:lang w:val="es-ES_tradnl"/>
        </w:rPr>
        <w:t>En el Cuadro 2 se presenta un resumen de la situación de ejecución de los proyectos, por categoría.</w:t>
      </w:r>
    </w:p>
    <w:p w14:paraId="12318902" w14:textId="3D599D53" w:rsidR="00C3420C" w:rsidRPr="000458F8" w:rsidRDefault="00677488" w:rsidP="00C3420C">
      <w:pPr>
        <w:keepNext/>
        <w:jc w:val="left"/>
        <w:rPr>
          <w:b/>
          <w:lang w:val="es-ES_tradnl"/>
        </w:rPr>
      </w:pPr>
      <w:r w:rsidRPr="000458F8">
        <w:rPr>
          <w:b/>
          <w:lang w:val="es-ES_tradnl"/>
        </w:rPr>
        <w:t>Cuadro 2. Situación de la ejecución de proyectos por categoría</w:t>
      </w:r>
    </w:p>
    <w:tbl>
      <w:tblPr>
        <w:tblW w:w="9379" w:type="dxa"/>
        <w:tblInd w:w="-5" w:type="dxa"/>
        <w:tblLayout w:type="fixed"/>
        <w:tblLook w:val="04A0" w:firstRow="1" w:lastRow="0" w:firstColumn="1" w:lastColumn="0" w:noHBand="0" w:noVBand="1"/>
      </w:tblPr>
      <w:tblGrid>
        <w:gridCol w:w="1710"/>
        <w:gridCol w:w="900"/>
        <w:gridCol w:w="990"/>
        <w:gridCol w:w="1170"/>
        <w:gridCol w:w="1080"/>
        <w:gridCol w:w="1260"/>
        <w:gridCol w:w="1080"/>
        <w:gridCol w:w="1189"/>
      </w:tblGrid>
      <w:tr w:rsidR="00677488" w:rsidRPr="000458F8" w14:paraId="5EC2DAF6" w14:textId="77777777" w:rsidTr="005172EB">
        <w:trPr>
          <w:tblHeader/>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2087ED00" w14:textId="77777777" w:rsidR="00677488" w:rsidRPr="000458F8" w:rsidRDefault="00677488" w:rsidP="00677488">
            <w:pPr>
              <w:pStyle w:val="TableParagraph"/>
              <w:spacing w:before="4" w:line="240" w:lineRule="auto"/>
              <w:rPr>
                <w:b/>
                <w:sz w:val="18"/>
                <w:szCs w:val="18"/>
                <w:lang w:val="es-ES_tradnl"/>
              </w:rPr>
            </w:pPr>
          </w:p>
          <w:p w14:paraId="1161C727" w14:textId="199BD638" w:rsidR="00677488" w:rsidRPr="000458F8" w:rsidRDefault="00677488" w:rsidP="00677488">
            <w:pPr>
              <w:jc w:val="left"/>
              <w:rPr>
                <w:b/>
                <w:bCs/>
                <w:sz w:val="18"/>
                <w:szCs w:val="18"/>
                <w:lang w:val="es-ES_tradnl" w:eastAsia="en-CA"/>
              </w:rPr>
            </w:pPr>
            <w:r w:rsidRPr="000458F8">
              <w:rPr>
                <w:b/>
                <w:sz w:val="18"/>
                <w:szCs w:val="18"/>
                <w:lang w:val="es-ES_tradnl"/>
              </w:rPr>
              <w:t>Tipo</w:t>
            </w:r>
          </w:p>
        </w:tc>
        <w:tc>
          <w:tcPr>
            <w:tcW w:w="306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F21EA33" w14:textId="67E5F072" w:rsidR="00677488" w:rsidRPr="000458F8" w:rsidRDefault="00677488" w:rsidP="00677488">
            <w:pPr>
              <w:jc w:val="center"/>
              <w:rPr>
                <w:b/>
                <w:bCs/>
                <w:sz w:val="18"/>
                <w:szCs w:val="18"/>
                <w:lang w:val="es-ES_tradnl" w:eastAsia="en-CA"/>
              </w:rPr>
            </w:pPr>
            <w:r w:rsidRPr="000458F8">
              <w:rPr>
                <w:b/>
                <w:sz w:val="18"/>
                <w:szCs w:val="18"/>
                <w:lang w:val="es-ES_tradnl"/>
              </w:rPr>
              <w:t>Cantidad de proyectos*</w:t>
            </w:r>
          </w:p>
        </w:tc>
        <w:tc>
          <w:tcPr>
            <w:tcW w:w="4609"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032287DD" w14:textId="51B8B245" w:rsidR="00677488" w:rsidRPr="000458F8" w:rsidRDefault="00677488" w:rsidP="00677488">
            <w:pPr>
              <w:jc w:val="center"/>
              <w:rPr>
                <w:b/>
                <w:bCs/>
                <w:sz w:val="18"/>
                <w:szCs w:val="18"/>
                <w:lang w:val="es-ES_tradnl" w:eastAsia="en-CA"/>
              </w:rPr>
            </w:pPr>
            <w:r w:rsidRPr="000458F8">
              <w:rPr>
                <w:b/>
                <w:sz w:val="18"/>
                <w:szCs w:val="18"/>
                <w:lang w:val="es-ES_tradnl"/>
              </w:rPr>
              <w:t>Financiación ($EUA)**</w:t>
            </w:r>
          </w:p>
        </w:tc>
      </w:tr>
      <w:tr w:rsidR="00677488" w:rsidRPr="000458F8" w14:paraId="77A19ADE" w14:textId="77777777" w:rsidTr="005172EB">
        <w:trPr>
          <w:tblHeader/>
        </w:trPr>
        <w:tc>
          <w:tcPr>
            <w:tcW w:w="1710"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7456F99D" w14:textId="77777777" w:rsidR="00677488" w:rsidRPr="000458F8" w:rsidRDefault="00677488" w:rsidP="00677488">
            <w:pPr>
              <w:jc w:val="left"/>
              <w:rPr>
                <w:b/>
                <w:bCs/>
                <w:sz w:val="18"/>
                <w:szCs w:val="18"/>
                <w:lang w:val="es-ES_tradnl" w:eastAsia="en-CA"/>
              </w:rPr>
            </w:pPr>
          </w:p>
        </w:tc>
        <w:tc>
          <w:tcPr>
            <w:tcW w:w="900" w:type="dxa"/>
            <w:tcBorders>
              <w:top w:val="nil"/>
              <w:left w:val="nil"/>
              <w:bottom w:val="single" w:sz="4" w:space="0" w:color="auto"/>
              <w:right w:val="single" w:sz="4" w:space="0" w:color="auto"/>
            </w:tcBorders>
            <w:shd w:val="clear" w:color="auto" w:fill="auto"/>
            <w:noWrap/>
            <w:tcMar>
              <w:left w:w="0" w:type="dxa"/>
              <w:right w:w="0" w:type="dxa"/>
            </w:tcMar>
            <w:hideMark/>
          </w:tcPr>
          <w:p w14:paraId="47B3029B" w14:textId="361B941C" w:rsidR="00677488" w:rsidRPr="000458F8" w:rsidRDefault="00677488" w:rsidP="00677488">
            <w:pPr>
              <w:jc w:val="center"/>
              <w:rPr>
                <w:b/>
                <w:bCs/>
                <w:sz w:val="18"/>
                <w:szCs w:val="18"/>
                <w:lang w:val="es-ES_tradnl" w:eastAsia="en-CA"/>
              </w:rPr>
            </w:pPr>
            <w:r w:rsidRPr="000458F8">
              <w:rPr>
                <w:b/>
                <w:sz w:val="18"/>
                <w:szCs w:val="18"/>
                <w:lang w:val="es-ES_tradnl"/>
              </w:rPr>
              <w:t>Aprobados</w:t>
            </w:r>
          </w:p>
        </w:tc>
        <w:tc>
          <w:tcPr>
            <w:tcW w:w="990" w:type="dxa"/>
            <w:tcBorders>
              <w:top w:val="nil"/>
              <w:left w:val="nil"/>
              <w:bottom w:val="single" w:sz="4" w:space="0" w:color="auto"/>
              <w:right w:val="single" w:sz="4" w:space="0" w:color="auto"/>
            </w:tcBorders>
            <w:shd w:val="clear" w:color="auto" w:fill="auto"/>
            <w:noWrap/>
            <w:tcMar>
              <w:left w:w="0" w:type="dxa"/>
              <w:right w:w="0" w:type="dxa"/>
            </w:tcMar>
            <w:hideMark/>
          </w:tcPr>
          <w:p w14:paraId="3977D6D7" w14:textId="3C704F12" w:rsidR="00677488" w:rsidRPr="000458F8" w:rsidRDefault="00677488" w:rsidP="00677488">
            <w:pPr>
              <w:jc w:val="center"/>
              <w:rPr>
                <w:b/>
                <w:bCs/>
                <w:sz w:val="18"/>
                <w:szCs w:val="18"/>
                <w:lang w:val="es-ES_tradnl" w:eastAsia="en-CA"/>
              </w:rPr>
            </w:pPr>
            <w:r w:rsidRPr="000458F8">
              <w:rPr>
                <w:b/>
                <w:spacing w:val="-1"/>
                <w:sz w:val="18"/>
                <w:szCs w:val="18"/>
                <w:lang w:val="es-ES_tradnl"/>
              </w:rPr>
              <w:t>Terminado</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4579CA7A" w14:textId="77777777" w:rsidR="00677488" w:rsidRPr="000458F8" w:rsidRDefault="00677488" w:rsidP="00677488">
            <w:pPr>
              <w:ind w:left="-183"/>
              <w:jc w:val="center"/>
              <w:rPr>
                <w:b/>
                <w:bCs/>
                <w:sz w:val="18"/>
                <w:szCs w:val="18"/>
                <w:lang w:val="es-ES_tradnl" w:eastAsia="en-CA"/>
              </w:rPr>
            </w:pPr>
            <w:r w:rsidRPr="000458F8">
              <w:rPr>
                <w:b/>
                <w:bCs/>
                <w:sz w:val="18"/>
                <w:szCs w:val="18"/>
                <w:lang w:val="es-ES_tradnl" w:eastAsia="en-CA"/>
              </w:rPr>
              <w:t>%</w:t>
            </w:r>
          </w:p>
          <w:p w14:paraId="6C597206" w14:textId="2E281259" w:rsidR="00677488" w:rsidRPr="000458F8" w:rsidRDefault="00F51333" w:rsidP="00677488">
            <w:pPr>
              <w:ind w:left="-183"/>
              <w:jc w:val="center"/>
              <w:rPr>
                <w:b/>
                <w:bCs/>
                <w:sz w:val="18"/>
                <w:szCs w:val="18"/>
                <w:lang w:val="es-ES_tradnl" w:eastAsia="en-CA"/>
              </w:rPr>
            </w:pPr>
            <w:r w:rsidRPr="000458F8">
              <w:rPr>
                <w:b/>
                <w:bCs/>
                <w:sz w:val="18"/>
                <w:szCs w:val="18"/>
                <w:lang w:val="es-ES_tradnl" w:eastAsia="en-CA"/>
              </w:rPr>
              <w:t>terminados</w:t>
            </w:r>
          </w:p>
        </w:tc>
        <w:tc>
          <w:tcPr>
            <w:tcW w:w="1080" w:type="dxa"/>
            <w:tcBorders>
              <w:top w:val="nil"/>
              <w:left w:val="nil"/>
              <w:bottom w:val="single" w:sz="4" w:space="0" w:color="auto"/>
              <w:right w:val="single" w:sz="4" w:space="0" w:color="auto"/>
            </w:tcBorders>
            <w:shd w:val="clear" w:color="auto" w:fill="auto"/>
            <w:noWrap/>
            <w:tcMar>
              <w:left w:w="0" w:type="dxa"/>
              <w:right w:w="0" w:type="dxa"/>
            </w:tcMar>
            <w:hideMark/>
          </w:tcPr>
          <w:p w14:paraId="3E7849DD" w14:textId="145D8B3F" w:rsidR="00677488" w:rsidRPr="000458F8" w:rsidRDefault="00677488" w:rsidP="00677488">
            <w:pPr>
              <w:jc w:val="center"/>
              <w:rPr>
                <w:b/>
                <w:bCs/>
                <w:sz w:val="18"/>
                <w:szCs w:val="18"/>
                <w:lang w:val="es-ES_tradnl" w:eastAsia="en-CA"/>
              </w:rPr>
            </w:pPr>
            <w:r w:rsidRPr="000458F8">
              <w:rPr>
                <w:b/>
                <w:sz w:val="18"/>
                <w:szCs w:val="18"/>
                <w:lang w:val="es-ES_tradnl"/>
              </w:rPr>
              <w:t>Aprobad</w:t>
            </w:r>
            <w:r w:rsidR="007D491F">
              <w:rPr>
                <w:b/>
                <w:sz w:val="18"/>
                <w:szCs w:val="18"/>
                <w:lang w:val="es-ES_tradnl"/>
              </w:rPr>
              <w:t>a</w:t>
            </w:r>
          </w:p>
        </w:tc>
        <w:tc>
          <w:tcPr>
            <w:tcW w:w="1260" w:type="dxa"/>
            <w:tcBorders>
              <w:top w:val="nil"/>
              <w:left w:val="nil"/>
              <w:bottom w:val="single" w:sz="4" w:space="0" w:color="auto"/>
              <w:right w:val="single" w:sz="4" w:space="0" w:color="auto"/>
            </w:tcBorders>
            <w:shd w:val="clear" w:color="auto" w:fill="auto"/>
            <w:noWrap/>
            <w:tcMar>
              <w:left w:w="0" w:type="dxa"/>
              <w:right w:w="0" w:type="dxa"/>
            </w:tcMar>
            <w:hideMark/>
          </w:tcPr>
          <w:p w14:paraId="27B67C87" w14:textId="75D91512" w:rsidR="00677488" w:rsidRPr="000458F8" w:rsidRDefault="007D491F" w:rsidP="00677488">
            <w:pPr>
              <w:jc w:val="center"/>
              <w:rPr>
                <w:b/>
                <w:bCs/>
                <w:sz w:val="18"/>
                <w:szCs w:val="18"/>
                <w:lang w:val="es-ES_tradnl" w:eastAsia="en-CA"/>
              </w:rPr>
            </w:pPr>
            <w:r>
              <w:rPr>
                <w:b/>
                <w:spacing w:val="-1"/>
                <w:sz w:val="18"/>
                <w:szCs w:val="18"/>
                <w:lang w:val="es-ES_tradnl"/>
              </w:rPr>
              <w:t>Desembolsada</w:t>
            </w:r>
          </w:p>
        </w:tc>
        <w:tc>
          <w:tcPr>
            <w:tcW w:w="1080" w:type="dxa"/>
            <w:tcBorders>
              <w:top w:val="nil"/>
              <w:left w:val="nil"/>
              <w:bottom w:val="single" w:sz="4" w:space="0" w:color="auto"/>
              <w:right w:val="single" w:sz="4" w:space="0" w:color="auto"/>
            </w:tcBorders>
            <w:shd w:val="clear" w:color="auto" w:fill="auto"/>
            <w:noWrap/>
            <w:tcMar>
              <w:left w:w="0" w:type="dxa"/>
              <w:right w:w="0" w:type="dxa"/>
            </w:tcMar>
            <w:hideMark/>
          </w:tcPr>
          <w:p w14:paraId="1ED40755" w14:textId="3BFDF05B" w:rsidR="00677488" w:rsidRPr="000458F8" w:rsidRDefault="00F51333" w:rsidP="00677488">
            <w:pPr>
              <w:jc w:val="center"/>
              <w:rPr>
                <w:b/>
                <w:bCs/>
                <w:sz w:val="18"/>
                <w:szCs w:val="18"/>
                <w:lang w:val="es-ES_tradnl" w:eastAsia="en-CA"/>
              </w:rPr>
            </w:pPr>
            <w:r w:rsidRPr="000458F8">
              <w:rPr>
                <w:b/>
                <w:bCs/>
                <w:sz w:val="18"/>
                <w:szCs w:val="18"/>
                <w:lang w:val="es-ES_tradnl" w:eastAsia="en-CA"/>
              </w:rPr>
              <w:t xml:space="preserve">Saldo </w:t>
            </w:r>
          </w:p>
        </w:tc>
        <w:tc>
          <w:tcPr>
            <w:tcW w:w="1189" w:type="dxa"/>
            <w:tcBorders>
              <w:top w:val="nil"/>
              <w:left w:val="nil"/>
              <w:bottom w:val="single" w:sz="4" w:space="0" w:color="auto"/>
              <w:right w:val="single" w:sz="4" w:space="0" w:color="auto"/>
            </w:tcBorders>
            <w:shd w:val="clear" w:color="auto" w:fill="auto"/>
            <w:noWrap/>
            <w:tcMar>
              <w:left w:w="0" w:type="dxa"/>
              <w:right w:w="0" w:type="dxa"/>
            </w:tcMar>
            <w:hideMark/>
          </w:tcPr>
          <w:p w14:paraId="73EF6157" w14:textId="77777777" w:rsidR="005172EB" w:rsidRDefault="005172EB" w:rsidP="005172EB">
            <w:pPr>
              <w:ind w:left="-149" w:right="-107"/>
              <w:jc w:val="center"/>
              <w:rPr>
                <w:b/>
                <w:sz w:val="18"/>
                <w:szCs w:val="18"/>
                <w:lang w:val="es-ES_tradnl"/>
              </w:rPr>
            </w:pPr>
            <w:r>
              <w:rPr>
                <w:b/>
                <w:sz w:val="18"/>
                <w:szCs w:val="18"/>
                <w:lang w:val="es-ES_tradnl"/>
              </w:rPr>
              <w:t>%</w:t>
            </w:r>
          </w:p>
          <w:p w14:paraId="357C2B9B" w14:textId="14D2BED3" w:rsidR="00677488" w:rsidRPr="000458F8" w:rsidRDefault="007D491F" w:rsidP="005172EB">
            <w:pPr>
              <w:ind w:left="-149" w:right="-107"/>
              <w:jc w:val="center"/>
              <w:rPr>
                <w:b/>
                <w:bCs/>
                <w:sz w:val="18"/>
                <w:szCs w:val="18"/>
                <w:lang w:val="es-ES_tradnl" w:eastAsia="en-CA"/>
              </w:rPr>
            </w:pPr>
            <w:r>
              <w:rPr>
                <w:b/>
                <w:sz w:val="18"/>
                <w:szCs w:val="18"/>
                <w:lang w:val="es-ES_tradnl"/>
              </w:rPr>
              <w:t>desembolsada</w:t>
            </w:r>
          </w:p>
        </w:tc>
      </w:tr>
      <w:tr w:rsidR="00677488" w:rsidRPr="000458F8" w14:paraId="645073DB"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DBF3462" w14:textId="4FA73ED2" w:rsidR="00677488" w:rsidRPr="000458F8" w:rsidRDefault="00677488" w:rsidP="00677488">
            <w:pPr>
              <w:jc w:val="left"/>
              <w:rPr>
                <w:sz w:val="18"/>
                <w:szCs w:val="18"/>
                <w:lang w:val="es-ES_tradnl" w:eastAsia="en-CA"/>
              </w:rPr>
            </w:pPr>
            <w:r w:rsidRPr="000458F8">
              <w:rPr>
                <w:sz w:val="18"/>
                <w:szCs w:val="18"/>
                <w:lang w:val="es-ES_tradnl"/>
              </w:rPr>
              <w:t>Programa de país</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7B493F48" w14:textId="77777777" w:rsidR="00677488" w:rsidRPr="000458F8" w:rsidRDefault="00677488" w:rsidP="00677488">
            <w:pPr>
              <w:jc w:val="right"/>
              <w:rPr>
                <w:sz w:val="18"/>
                <w:szCs w:val="18"/>
                <w:lang w:val="es-ES_tradnl" w:eastAsia="en-CA"/>
              </w:rPr>
            </w:pPr>
            <w:r w:rsidRPr="000458F8">
              <w:rPr>
                <w:sz w:val="18"/>
                <w:szCs w:val="18"/>
                <w:lang w:val="es-ES_tradnl" w:eastAsia="en-CA"/>
              </w:rPr>
              <w:t>22</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440DA963" w14:textId="77777777" w:rsidR="00677488" w:rsidRPr="000458F8" w:rsidRDefault="00677488" w:rsidP="00677488">
            <w:pPr>
              <w:jc w:val="right"/>
              <w:rPr>
                <w:sz w:val="18"/>
                <w:szCs w:val="18"/>
                <w:lang w:val="es-ES_tradnl" w:eastAsia="en-CA"/>
              </w:rPr>
            </w:pPr>
            <w:r w:rsidRPr="000458F8">
              <w:rPr>
                <w:sz w:val="18"/>
                <w:szCs w:val="18"/>
                <w:lang w:val="es-ES_tradnl" w:eastAsia="en-CA"/>
              </w:rPr>
              <w:t>22</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5B281B19" w14:textId="77777777" w:rsidR="00677488" w:rsidRPr="000458F8" w:rsidRDefault="00677488" w:rsidP="00677488">
            <w:pPr>
              <w:jc w:val="right"/>
              <w:rPr>
                <w:sz w:val="18"/>
                <w:szCs w:val="18"/>
                <w:lang w:val="es-ES_tradnl" w:eastAsia="en-CA"/>
              </w:rPr>
            </w:pPr>
            <w:r w:rsidRPr="000458F8">
              <w:rPr>
                <w:sz w:val="18"/>
                <w:szCs w:val="18"/>
                <w:lang w:val="es-ES_tradnl" w:eastAsia="en-CA"/>
              </w:rPr>
              <w:t>100</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2CA469A5" w14:textId="26831ADC" w:rsidR="00677488" w:rsidRPr="000458F8" w:rsidRDefault="00677488" w:rsidP="00677488">
            <w:pPr>
              <w:jc w:val="right"/>
              <w:rPr>
                <w:sz w:val="18"/>
                <w:szCs w:val="18"/>
                <w:lang w:val="es-ES_tradnl" w:eastAsia="en-CA"/>
              </w:rPr>
            </w:pPr>
            <w:r w:rsidRPr="000458F8">
              <w:rPr>
                <w:sz w:val="18"/>
                <w:szCs w:val="18"/>
                <w:lang w:val="es-ES_tradnl" w:eastAsia="en-CA"/>
              </w:rPr>
              <w:t>1 628 797</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3A75B76F" w14:textId="1277C5F8" w:rsidR="00677488" w:rsidRPr="000458F8" w:rsidRDefault="00677488" w:rsidP="00677488">
            <w:pPr>
              <w:jc w:val="right"/>
              <w:rPr>
                <w:sz w:val="18"/>
                <w:szCs w:val="18"/>
                <w:lang w:val="es-ES_tradnl" w:eastAsia="en-CA"/>
              </w:rPr>
            </w:pPr>
            <w:r w:rsidRPr="000458F8">
              <w:rPr>
                <w:sz w:val="18"/>
                <w:szCs w:val="18"/>
                <w:lang w:val="es-ES_tradnl" w:eastAsia="en-CA"/>
              </w:rPr>
              <w:t>1 628 797</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510AE4A8" w14:textId="77777777" w:rsidR="00677488" w:rsidRPr="000458F8" w:rsidRDefault="00677488" w:rsidP="00677488">
            <w:pPr>
              <w:jc w:val="right"/>
              <w:rPr>
                <w:sz w:val="18"/>
                <w:szCs w:val="18"/>
                <w:lang w:val="es-ES_tradnl" w:eastAsia="en-CA"/>
              </w:rPr>
            </w:pPr>
            <w:r w:rsidRPr="000458F8">
              <w:rPr>
                <w:sz w:val="18"/>
                <w:szCs w:val="18"/>
                <w:lang w:val="es-ES_tradnl" w:eastAsia="en-CA"/>
              </w:rPr>
              <w:t>0</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29F2D7E0" w14:textId="77777777" w:rsidR="00677488" w:rsidRPr="000458F8" w:rsidRDefault="00677488" w:rsidP="00677488">
            <w:pPr>
              <w:jc w:val="right"/>
              <w:rPr>
                <w:sz w:val="18"/>
                <w:szCs w:val="18"/>
                <w:lang w:val="es-ES_tradnl" w:eastAsia="en-CA"/>
              </w:rPr>
            </w:pPr>
            <w:r w:rsidRPr="000458F8">
              <w:rPr>
                <w:sz w:val="18"/>
                <w:szCs w:val="18"/>
                <w:lang w:val="es-ES_tradnl" w:eastAsia="en-CA"/>
              </w:rPr>
              <w:t>100</w:t>
            </w:r>
          </w:p>
        </w:tc>
      </w:tr>
      <w:tr w:rsidR="00677488" w:rsidRPr="000458F8" w14:paraId="5462D50F"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D797D55" w14:textId="559DC271" w:rsidR="00677488" w:rsidRPr="000458F8" w:rsidRDefault="00677488" w:rsidP="00677488">
            <w:pPr>
              <w:jc w:val="left"/>
              <w:rPr>
                <w:sz w:val="18"/>
                <w:szCs w:val="18"/>
                <w:lang w:val="es-ES_tradnl" w:eastAsia="en-CA"/>
              </w:rPr>
            </w:pPr>
            <w:r w:rsidRPr="000458F8">
              <w:rPr>
                <w:sz w:val="18"/>
                <w:szCs w:val="18"/>
                <w:lang w:val="es-ES_tradnl"/>
              </w:rPr>
              <w:t>Demostración</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38CA31D9" w14:textId="77777777" w:rsidR="00677488" w:rsidRPr="000458F8" w:rsidRDefault="00677488" w:rsidP="00677488">
            <w:pPr>
              <w:jc w:val="right"/>
              <w:rPr>
                <w:sz w:val="18"/>
                <w:szCs w:val="18"/>
                <w:lang w:val="es-ES_tradnl" w:eastAsia="en-CA"/>
              </w:rPr>
            </w:pPr>
            <w:r w:rsidRPr="000458F8">
              <w:rPr>
                <w:sz w:val="18"/>
                <w:szCs w:val="18"/>
                <w:lang w:val="es-ES_tradnl" w:eastAsia="en-CA"/>
              </w:rPr>
              <w:t>42</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3FE710FF" w14:textId="77777777" w:rsidR="00677488" w:rsidRPr="000458F8" w:rsidRDefault="00677488" w:rsidP="00677488">
            <w:pPr>
              <w:jc w:val="right"/>
              <w:rPr>
                <w:sz w:val="18"/>
                <w:szCs w:val="18"/>
                <w:lang w:val="es-ES_tradnl" w:eastAsia="en-CA"/>
              </w:rPr>
            </w:pPr>
            <w:r w:rsidRPr="000458F8">
              <w:rPr>
                <w:sz w:val="18"/>
                <w:szCs w:val="18"/>
                <w:lang w:val="es-ES_tradnl" w:eastAsia="en-CA"/>
              </w:rPr>
              <w:t>41</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1E83E533" w14:textId="77777777" w:rsidR="00677488" w:rsidRPr="000458F8" w:rsidRDefault="00677488" w:rsidP="00677488">
            <w:pPr>
              <w:jc w:val="right"/>
              <w:rPr>
                <w:sz w:val="18"/>
                <w:szCs w:val="18"/>
                <w:lang w:val="es-ES_tradnl" w:eastAsia="en-CA"/>
              </w:rPr>
            </w:pPr>
            <w:r w:rsidRPr="000458F8">
              <w:rPr>
                <w:sz w:val="18"/>
                <w:szCs w:val="18"/>
                <w:lang w:val="es-ES_tradnl" w:eastAsia="en-CA"/>
              </w:rPr>
              <w:t>98</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44FC91D8" w14:textId="4B84D5B4" w:rsidR="00677488" w:rsidRPr="000458F8" w:rsidRDefault="00677488" w:rsidP="00677488">
            <w:pPr>
              <w:jc w:val="right"/>
              <w:rPr>
                <w:sz w:val="18"/>
                <w:szCs w:val="18"/>
                <w:lang w:val="es-ES_tradnl" w:eastAsia="en-CA"/>
              </w:rPr>
            </w:pPr>
            <w:r w:rsidRPr="000458F8">
              <w:rPr>
                <w:sz w:val="18"/>
                <w:szCs w:val="18"/>
                <w:lang w:val="es-ES_tradnl" w:eastAsia="en-CA"/>
              </w:rPr>
              <w:t>21 910 968</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2873EDC7" w14:textId="61FD14C5" w:rsidR="00677488" w:rsidRPr="000458F8" w:rsidRDefault="00677488" w:rsidP="00677488">
            <w:pPr>
              <w:jc w:val="right"/>
              <w:rPr>
                <w:sz w:val="18"/>
                <w:szCs w:val="18"/>
                <w:lang w:val="es-ES_tradnl" w:eastAsia="en-CA"/>
              </w:rPr>
            </w:pPr>
            <w:r w:rsidRPr="000458F8">
              <w:rPr>
                <w:sz w:val="18"/>
                <w:szCs w:val="18"/>
                <w:lang w:val="es-ES_tradnl" w:eastAsia="en-CA"/>
              </w:rPr>
              <w:t>21 451 655</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275AAC3" w14:textId="79B9FFEE" w:rsidR="00677488" w:rsidRPr="000458F8" w:rsidRDefault="00677488" w:rsidP="00677488">
            <w:pPr>
              <w:jc w:val="right"/>
              <w:rPr>
                <w:sz w:val="18"/>
                <w:szCs w:val="18"/>
                <w:lang w:val="es-ES_tradnl" w:eastAsia="en-CA"/>
              </w:rPr>
            </w:pPr>
            <w:r w:rsidRPr="000458F8">
              <w:rPr>
                <w:sz w:val="18"/>
                <w:szCs w:val="18"/>
                <w:lang w:val="es-ES_tradnl" w:eastAsia="en-CA"/>
              </w:rPr>
              <w:t>459 313</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7724A88B" w14:textId="77777777" w:rsidR="00677488" w:rsidRPr="000458F8" w:rsidRDefault="00677488" w:rsidP="00677488">
            <w:pPr>
              <w:jc w:val="right"/>
              <w:rPr>
                <w:sz w:val="18"/>
                <w:szCs w:val="18"/>
                <w:lang w:val="es-ES_tradnl" w:eastAsia="en-CA"/>
              </w:rPr>
            </w:pPr>
            <w:r w:rsidRPr="000458F8">
              <w:rPr>
                <w:sz w:val="18"/>
                <w:szCs w:val="18"/>
                <w:lang w:val="es-ES_tradnl" w:eastAsia="en-CA"/>
              </w:rPr>
              <w:t>98</w:t>
            </w:r>
          </w:p>
        </w:tc>
      </w:tr>
      <w:tr w:rsidR="00677488" w:rsidRPr="000458F8" w14:paraId="671122DD"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9474E4" w14:textId="500453C9" w:rsidR="00677488" w:rsidRPr="000458F8" w:rsidRDefault="00677488" w:rsidP="00677488">
            <w:pPr>
              <w:jc w:val="left"/>
              <w:rPr>
                <w:sz w:val="18"/>
                <w:szCs w:val="18"/>
                <w:lang w:val="es-ES_tradnl" w:eastAsia="en-CA"/>
              </w:rPr>
            </w:pPr>
            <w:r w:rsidRPr="000458F8">
              <w:rPr>
                <w:sz w:val="18"/>
                <w:szCs w:val="18"/>
                <w:lang w:val="es-ES_tradnl"/>
              </w:rPr>
              <w:t>Fortalecimiento institucional</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505543DE" w14:textId="77777777" w:rsidR="00677488" w:rsidRPr="000458F8" w:rsidRDefault="00677488" w:rsidP="00677488">
            <w:pPr>
              <w:jc w:val="right"/>
              <w:rPr>
                <w:sz w:val="18"/>
                <w:szCs w:val="18"/>
                <w:lang w:val="es-ES_tradnl" w:eastAsia="en-CA"/>
              </w:rPr>
            </w:pPr>
            <w:r w:rsidRPr="000458F8">
              <w:rPr>
                <w:sz w:val="18"/>
                <w:szCs w:val="18"/>
                <w:lang w:val="es-ES_tradnl" w:eastAsia="en-CA"/>
              </w:rPr>
              <w:t>249</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72196AFF" w14:textId="77777777" w:rsidR="00677488" w:rsidRPr="000458F8" w:rsidRDefault="00677488" w:rsidP="00677488">
            <w:pPr>
              <w:jc w:val="right"/>
              <w:rPr>
                <w:sz w:val="18"/>
                <w:szCs w:val="18"/>
                <w:lang w:val="es-ES_tradnl" w:eastAsia="en-CA"/>
              </w:rPr>
            </w:pPr>
            <w:r w:rsidRPr="000458F8">
              <w:rPr>
                <w:sz w:val="18"/>
                <w:szCs w:val="18"/>
                <w:lang w:val="es-ES_tradnl" w:eastAsia="en-CA"/>
              </w:rPr>
              <w:t>226</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542AA030" w14:textId="77777777" w:rsidR="00677488" w:rsidRPr="000458F8" w:rsidRDefault="00677488" w:rsidP="00677488">
            <w:pPr>
              <w:jc w:val="right"/>
              <w:rPr>
                <w:sz w:val="18"/>
                <w:szCs w:val="18"/>
                <w:lang w:val="es-ES_tradnl" w:eastAsia="en-CA"/>
              </w:rPr>
            </w:pPr>
            <w:r w:rsidRPr="000458F8">
              <w:rPr>
                <w:sz w:val="18"/>
                <w:szCs w:val="18"/>
                <w:lang w:val="es-ES_tradnl" w:eastAsia="en-CA"/>
              </w:rPr>
              <w:t>91</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2502C7B" w14:textId="24DC93F8" w:rsidR="00677488" w:rsidRPr="000458F8" w:rsidRDefault="00677488" w:rsidP="00677488">
            <w:pPr>
              <w:jc w:val="right"/>
              <w:rPr>
                <w:sz w:val="18"/>
                <w:szCs w:val="18"/>
                <w:lang w:val="es-ES_tradnl" w:eastAsia="en-CA"/>
              </w:rPr>
            </w:pPr>
            <w:r w:rsidRPr="000458F8">
              <w:rPr>
                <w:sz w:val="18"/>
                <w:szCs w:val="18"/>
                <w:lang w:val="es-ES_tradnl" w:eastAsia="en-CA"/>
              </w:rPr>
              <w:t>53 614 738</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58C71265" w14:textId="26087000" w:rsidR="00677488" w:rsidRPr="000458F8" w:rsidRDefault="00677488" w:rsidP="00677488">
            <w:pPr>
              <w:jc w:val="right"/>
              <w:rPr>
                <w:sz w:val="18"/>
                <w:szCs w:val="18"/>
                <w:lang w:val="es-ES_tradnl" w:eastAsia="en-CA"/>
              </w:rPr>
            </w:pPr>
            <w:r w:rsidRPr="000458F8">
              <w:rPr>
                <w:sz w:val="18"/>
                <w:szCs w:val="18"/>
                <w:lang w:val="es-ES_tradnl" w:eastAsia="en-CA"/>
              </w:rPr>
              <w:t>48 248 611</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681990DF" w14:textId="2D00B1A6" w:rsidR="00677488" w:rsidRPr="000458F8" w:rsidRDefault="00677488" w:rsidP="00677488">
            <w:pPr>
              <w:jc w:val="right"/>
              <w:rPr>
                <w:sz w:val="18"/>
                <w:szCs w:val="18"/>
                <w:lang w:val="es-ES_tradnl" w:eastAsia="en-CA"/>
              </w:rPr>
            </w:pPr>
            <w:r w:rsidRPr="000458F8">
              <w:rPr>
                <w:sz w:val="18"/>
                <w:szCs w:val="18"/>
                <w:lang w:val="es-ES_tradnl" w:eastAsia="en-CA"/>
              </w:rPr>
              <w:t>5 366 127</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37D7A63C" w14:textId="77777777" w:rsidR="00677488" w:rsidRPr="000458F8" w:rsidRDefault="00677488" w:rsidP="00677488">
            <w:pPr>
              <w:jc w:val="right"/>
              <w:rPr>
                <w:sz w:val="18"/>
                <w:szCs w:val="18"/>
                <w:lang w:val="es-ES_tradnl" w:eastAsia="en-CA"/>
              </w:rPr>
            </w:pPr>
            <w:r w:rsidRPr="000458F8">
              <w:rPr>
                <w:sz w:val="18"/>
                <w:szCs w:val="18"/>
                <w:lang w:val="es-ES_tradnl" w:eastAsia="en-CA"/>
              </w:rPr>
              <w:t>90</w:t>
            </w:r>
          </w:p>
        </w:tc>
      </w:tr>
      <w:tr w:rsidR="00677488" w:rsidRPr="000458F8" w14:paraId="31949E6A"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77354AD" w14:textId="4ABC3E50" w:rsidR="00677488" w:rsidRPr="002B12A8" w:rsidRDefault="00677488" w:rsidP="00677488">
            <w:pPr>
              <w:jc w:val="left"/>
              <w:rPr>
                <w:sz w:val="19"/>
                <w:szCs w:val="19"/>
                <w:lang w:val="es-ES_tradnl" w:eastAsia="en-CA"/>
              </w:rPr>
            </w:pPr>
            <w:r w:rsidRPr="002B12A8">
              <w:rPr>
                <w:sz w:val="19"/>
                <w:szCs w:val="19"/>
                <w:lang w:val="es-ES_tradnl"/>
              </w:rPr>
              <w:t>Inversión</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3E8422E6" w14:textId="75DAA7CC" w:rsidR="00677488" w:rsidRPr="002B12A8" w:rsidRDefault="00677488" w:rsidP="00677488">
            <w:pPr>
              <w:jc w:val="right"/>
              <w:rPr>
                <w:sz w:val="19"/>
                <w:szCs w:val="19"/>
                <w:lang w:val="es-ES_tradnl" w:eastAsia="en-CA"/>
              </w:rPr>
            </w:pPr>
            <w:r w:rsidRPr="002B12A8">
              <w:rPr>
                <w:sz w:val="19"/>
                <w:szCs w:val="19"/>
                <w:lang w:val="es-ES_tradnl" w:eastAsia="en-CA"/>
              </w:rPr>
              <w:t>1 275</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6E3BB847" w14:textId="7C9485A4" w:rsidR="00677488" w:rsidRPr="002B12A8" w:rsidRDefault="00677488" w:rsidP="00677488">
            <w:pPr>
              <w:jc w:val="right"/>
              <w:rPr>
                <w:sz w:val="19"/>
                <w:szCs w:val="19"/>
                <w:lang w:val="es-ES_tradnl" w:eastAsia="en-CA"/>
              </w:rPr>
            </w:pPr>
            <w:r w:rsidRPr="002B12A8">
              <w:rPr>
                <w:sz w:val="19"/>
                <w:szCs w:val="19"/>
                <w:lang w:val="es-ES_tradnl" w:eastAsia="en-CA"/>
              </w:rPr>
              <w:t>1 223</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04197D20" w14:textId="77777777" w:rsidR="00677488" w:rsidRPr="002B12A8" w:rsidRDefault="00677488" w:rsidP="00677488">
            <w:pPr>
              <w:jc w:val="right"/>
              <w:rPr>
                <w:sz w:val="19"/>
                <w:szCs w:val="19"/>
                <w:lang w:val="es-ES_tradnl" w:eastAsia="en-CA"/>
              </w:rPr>
            </w:pPr>
            <w:r w:rsidRPr="002B12A8">
              <w:rPr>
                <w:sz w:val="19"/>
                <w:szCs w:val="19"/>
                <w:lang w:val="es-ES_tradnl" w:eastAsia="en-CA"/>
              </w:rPr>
              <w:t>96</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60E1D584" w14:textId="2A4D8410" w:rsidR="00677488" w:rsidRPr="002B12A8" w:rsidRDefault="00677488" w:rsidP="00677488">
            <w:pPr>
              <w:jc w:val="right"/>
              <w:rPr>
                <w:sz w:val="19"/>
                <w:szCs w:val="19"/>
                <w:lang w:val="es-ES_tradnl" w:eastAsia="en-CA"/>
              </w:rPr>
            </w:pPr>
            <w:r w:rsidRPr="002B12A8">
              <w:rPr>
                <w:sz w:val="19"/>
                <w:szCs w:val="19"/>
                <w:lang w:val="es-ES_tradnl" w:eastAsia="en-CA"/>
              </w:rPr>
              <w:t>682 547 982</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52C91F30" w14:textId="6E479825" w:rsidR="00677488" w:rsidRPr="002B12A8" w:rsidRDefault="00677488" w:rsidP="00677488">
            <w:pPr>
              <w:jc w:val="right"/>
              <w:rPr>
                <w:sz w:val="19"/>
                <w:szCs w:val="19"/>
                <w:lang w:val="es-ES_tradnl" w:eastAsia="en-CA"/>
              </w:rPr>
            </w:pPr>
            <w:r w:rsidRPr="002B12A8">
              <w:rPr>
                <w:sz w:val="19"/>
                <w:szCs w:val="19"/>
                <w:lang w:val="es-ES_tradnl" w:eastAsia="en-CA"/>
              </w:rPr>
              <w:t>635 467 983</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8BE6668" w14:textId="51075E0E" w:rsidR="00677488" w:rsidRPr="002B12A8" w:rsidRDefault="00677488" w:rsidP="00677488">
            <w:pPr>
              <w:jc w:val="right"/>
              <w:rPr>
                <w:sz w:val="19"/>
                <w:szCs w:val="19"/>
                <w:lang w:val="es-ES_tradnl" w:eastAsia="en-CA"/>
              </w:rPr>
            </w:pPr>
            <w:r w:rsidRPr="002B12A8">
              <w:rPr>
                <w:sz w:val="19"/>
                <w:szCs w:val="19"/>
                <w:lang w:val="es-ES_tradnl" w:eastAsia="en-CA"/>
              </w:rPr>
              <w:t>47 079 999</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0B6B61D3" w14:textId="77777777" w:rsidR="00677488" w:rsidRPr="002B12A8" w:rsidRDefault="00677488" w:rsidP="00677488">
            <w:pPr>
              <w:jc w:val="right"/>
              <w:rPr>
                <w:sz w:val="19"/>
                <w:szCs w:val="19"/>
                <w:lang w:val="es-ES_tradnl" w:eastAsia="en-CA"/>
              </w:rPr>
            </w:pPr>
            <w:r w:rsidRPr="002B12A8">
              <w:rPr>
                <w:sz w:val="19"/>
                <w:szCs w:val="19"/>
                <w:lang w:val="es-ES_tradnl" w:eastAsia="en-CA"/>
              </w:rPr>
              <w:t>93</w:t>
            </w:r>
          </w:p>
        </w:tc>
      </w:tr>
      <w:tr w:rsidR="00677488" w:rsidRPr="000458F8" w14:paraId="787CCEF7"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AD9CF1F" w14:textId="77777777" w:rsidR="00677488" w:rsidRPr="002B12A8" w:rsidRDefault="00677488" w:rsidP="00C24C2E">
            <w:pPr>
              <w:pStyle w:val="TableParagraph"/>
              <w:rPr>
                <w:sz w:val="19"/>
                <w:szCs w:val="19"/>
                <w:lang w:val="es-ES_tradnl"/>
              </w:rPr>
            </w:pPr>
            <w:r w:rsidRPr="002B12A8">
              <w:rPr>
                <w:sz w:val="19"/>
                <w:szCs w:val="19"/>
                <w:lang w:val="es-ES_tradnl"/>
              </w:rPr>
              <w:lastRenderedPageBreak/>
              <w:t>Preparación de</w:t>
            </w:r>
          </w:p>
          <w:p w14:paraId="2D8E1C47" w14:textId="60EB93C1" w:rsidR="00677488" w:rsidRPr="002B12A8" w:rsidRDefault="00677488" w:rsidP="00677488">
            <w:pPr>
              <w:jc w:val="left"/>
              <w:rPr>
                <w:sz w:val="19"/>
                <w:szCs w:val="19"/>
                <w:lang w:val="es-ES_tradnl" w:eastAsia="en-CA"/>
              </w:rPr>
            </w:pPr>
            <w:r w:rsidRPr="002B12A8">
              <w:rPr>
                <w:sz w:val="19"/>
                <w:szCs w:val="19"/>
                <w:lang w:val="es-ES_tradnl"/>
              </w:rPr>
              <w:t>proyectos</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3FDFAC7B" w14:textId="77777777" w:rsidR="00677488" w:rsidRPr="002B12A8" w:rsidRDefault="00677488" w:rsidP="00677488">
            <w:pPr>
              <w:jc w:val="right"/>
              <w:rPr>
                <w:sz w:val="19"/>
                <w:szCs w:val="19"/>
                <w:lang w:val="es-ES_tradnl" w:eastAsia="en-CA"/>
              </w:rPr>
            </w:pPr>
            <w:r w:rsidRPr="002B12A8">
              <w:rPr>
                <w:sz w:val="19"/>
                <w:szCs w:val="19"/>
                <w:lang w:val="es-ES_tradnl" w:eastAsia="en-CA"/>
              </w:rPr>
              <w:t>539</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02E8B89D" w14:textId="77777777" w:rsidR="00677488" w:rsidRPr="002B12A8" w:rsidRDefault="00677488" w:rsidP="00677488">
            <w:pPr>
              <w:jc w:val="right"/>
              <w:rPr>
                <w:sz w:val="19"/>
                <w:szCs w:val="19"/>
                <w:lang w:val="es-ES_tradnl" w:eastAsia="en-CA"/>
              </w:rPr>
            </w:pPr>
            <w:r w:rsidRPr="002B12A8">
              <w:rPr>
                <w:sz w:val="19"/>
                <w:szCs w:val="19"/>
                <w:lang w:val="es-ES_tradnl" w:eastAsia="en-CA"/>
              </w:rPr>
              <w:t>518</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34FF0EEA" w14:textId="77777777" w:rsidR="00677488" w:rsidRPr="002B12A8" w:rsidRDefault="00677488" w:rsidP="00677488">
            <w:pPr>
              <w:jc w:val="right"/>
              <w:rPr>
                <w:sz w:val="19"/>
                <w:szCs w:val="19"/>
                <w:lang w:val="es-ES_tradnl" w:eastAsia="en-CA"/>
              </w:rPr>
            </w:pPr>
            <w:r w:rsidRPr="002B12A8">
              <w:rPr>
                <w:sz w:val="19"/>
                <w:szCs w:val="19"/>
                <w:lang w:val="es-ES_tradnl" w:eastAsia="en-CA"/>
              </w:rPr>
              <w:t>96</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37EC0379" w14:textId="753EC3DB" w:rsidR="00677488" w:rsidRPr="002B12A8" w:rsidRDefault="00677488" w:rsidP="00677488">
            <w:pPr>
              <w:jc w:val="right"/>
              <w:rPr>
                <w:sz w:val="19"/>
                <w:szCs w:val="19"/>
                <w:lang w:val="es-ES_tradnl" w:eastAsia="en-CA"/>
              </w:rPr>
            </w:pPr>
            <w:r w:rsidRPr="002B12A8">
              <w:rPr>
                <w:sz w:val="19"/>
                <w:szCs w:val="19"/>
                <w:lang w:val="es-ES_tradnl" w:eastAsia="en-CA"/>
              </w:rPr>
              <w:t>22 365 067</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744E08FA" w14:textId="6F63FB51" w:rsidR="00677488" w:rsidRPr="002B12A8" w:rsidRDefault="00677488" w:rsidP="00677488">
            <w:pPr>
              <w:jc w:val="right"/>
              <w:rPr>
                <w:sz w:val="19"/>
                <w:szCs w:val="19"/>
                <w:lang w:val="es-ES_tradnl" w:eastAsia="en-CA"/>
              </w:rPr>
            </w:pPr>
            <w:r w:rsidRPr="002B12A8">
              <w:rPr>
                <w:sz w:val="19"/>
                <w:szCs w:val="19"/>
                <w:lang w:val="es-ES_tradnl" w:eastAsia="en-CA"/>
              </w:rPr>
              <w:t>21 645 479</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70BB5EB8" w14:textId="37B82E23" w:rsidR="00677488" w:rsidRPr="002B12A8" w:rsidRDefault="00677488" w:rsidP="00677488">
            <w:pPr>
              <w:jc w:val="right"/>
              <w:rPr>
                <w:sz w:val="19"/>
                <w:szCs w:val="19"/>
                <w:lang w:val="es-ES_tradnl" w:eastAsia="en-CA"/>
              </w:rPr>
            </w:pPr>
            <w:r w:rsidRPr="002B12A8">
              <w:rPr>
                <w:sz w:val="19"/>
                <w:szCs w:val="19"/>
                <w:lang w:val="es-ES_tradnl" w:eastAsia="en-CA"/>
              </w:rPr>
              <w:t>719 588</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5F2DBB71" w14:textId="77777777" w:rsidR="00677488" w:rsidRPr="002B12A8" w:rsidRDefault="00677488" w:rsidP="00677488">
            <w:pPr>
              <w:jc w:val="right"/>
              <w:rPr>
                <w:sz w:val="19"/>
                <w:szCs w:val="19"/>
                <w:lang w:val="es-ES_tradnl" w:eastAsia="en-CA"/>
              </w:rPr>
            </w:pPr>
            <w:r w:rsidRPr="002B12A8">
              <w:rPr>
                <w:sz w:val="19"/>
                <w:szCs w:val="19"/>
                <w:lang w:val="es-ES_tradnl" w:eastAsia="en-CA"/>
              </w:rPr>
              <w:t>97</w:t>
            </w:r>
          </w:p>
        </w:tc>
      </w:tr>
      <w:tr w:rsidR="00677488" w:rsidRPr="000458F8" w14:paraId="64035392"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71CCFAA" w14:textId="5F610F91" w:rsidR="00677488" w:rsidRPr="002B12A8" w:rsidRDefault="00677488" w:rsidP="00677488">
            <w:pPr>
              <w:jc w:val="left"/>
              <w:rPr>
                <w:sz w:val="19"/>
                <w:szCs w:val="19"/>
                <w:lang w:val="es-ES_tradnl" w:eastAsia="en-CA"/>
              </w:rPr>
            </w:pPr>
            <w:r w:rsidRPr="002B12A8">
              <w:rPr>
                <w:sz w:val="19"/>
                <w:szCs w:val="19"/>
                <w:lang w:val="es-ES_tradnl"/>
              </w:rPr>
              <w:t>Asistencia técnica</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5757A95D" w14:textId="77777777" w:rsidR="00677488" w:rsidRPr="002B12A8" w:rsidRDefault="00677488" w:rsidP="00677488">
            <w:pPr>
              <w:jc w:val="right"/>
              <w:rPr>
                <w:sz w:val="19"/>
                <w:szCs w:val="19"/>
                <w:lang w:val="es-ES_tradnl" w:eastAsia="en-CA"/>
              </w:rPr>
            </w:pPr>
            <w:r w:rsidRPr="002B12A8">
              <w:rPr>
                <w:sz w:val="19"/>
                <w:szCs w:val="19"/>
                <w:lang w:val="es-ES_tradnl" w:eastAsia="en-CA"/>
              </w:rPr>
              <w:t>320</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5909313F" w14:textId="77777777" w:rsidR="00677488" w:rsidRPr="002B12A8" w:rsidRDefault="00677488" w:rsidP="00677488">
            <w:pPr>
              <w:jc w:val="right"/>
              <w:rPr>
                <w:sz w:val="19"/>
                <w:szCs w:val="19"/>
                <w:lang w:val="es-ES_tradnl" w:eastAsia="en-CA"/>
              </w:rPr>
            </w:pPr>
            <w:r w:rsidRPr="002B12A8">
              <w:rPr>
                <w:sz w:val="19"/>
                <w:szCs w:val="19"/>
                <w:lang w:val="es-ES_tradnl" w:eastAsia="en-CA"/>
              </w:rPr>
              <w:t>287</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50B31D45" w14:textId="77777777" w:rsidR="00677488" w:rsidRPr="002B12A8" w:rsidRDefault="00677488" w:rsidP="00677488">
            <w:pPr>
              <w:jc w:val="right"/>
              <w:rPr>
                <w:sz w:val="19"/>
                <w:szCs w:val="19"/>
                <w:lang w:val="es-ES_tradnl" w:eastAsia="en-CA"/>
              </w:rPr>
            </w:pPr>
            <w:r w:rsidRPr="002B12A8">
              <w:rPr>
                <w:sz w:val="19"/>
                <w:szCs w:val="19"/>
                <w:lang w:val="es-ES_tradnl" w:eastAsia="en-CA"/>
              </w:rPr>
              <w:t>90</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276C2AD" w14:textId="36675C10" w:rsidR="00677488" w:rsidRPr="002B12A8" w:rsidRDefault="00677488" w:rsidP="00677488">
            <w:pPr>
              <w:jc w:val="right"/>
              <w:rPr>
                <w:sz w:val="19"/>
                <w:szCs w:val="19"/>
                <w:lang w:val="es-ES_tradnl" w:eastAsia="en-CA"/>
              </w:rPr>
            </w:pPr>
            <w:r w:rsidRPr="002B12A8">
              <w:rPr>
                <w:sz w:val="19"/>
                <w:szCs w:val="19"/>
                <w:lang w:val="es-ES_tradnl" w:eastAsia="en-CA"/>
              </w:rPr>
              <w:t>48 238 204</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21171BD3" w14:textId="17223F36" w:rsidR="00677488" w:rsidRPr="002B12A8" w:rsidRDefault="00677488" w:rsidP="00677488">
            <w:pPr>
              <w:jc w:val="right"/>
              <w:rPr>
                <w:sz w:val="19"/>
                <w:szCs w:val="19"/>
                <w:lang w:val="es-ES_tradnl" w:eastAsia="en-CA"/>
              </w:rPr>
            </w:pPr>
            <w:r w:rsidRPr="002B12A8">
              <w:rPr>
                <w:sz w:val="19"/>
                <w:szCs w:val="19"/>
                <w:lang w:val="es-ES_tradnl" w:eastAsia="en-CA"/>
              </w:rPr>
              <w:t>38 660 157</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E93313E" w14:textId="280A11DE" w:rsidR="00677488" w:rsidRPr="002B12A8" w:rsidRDefault="00677488" w:rsidP="00677488">
            <w:pPr>
              <w:jc w:val="right"/>
              <w:rPr>
                <w:sz w:val="19"/>
                <w:szCs w:val="19"/>
                <w:lang w:val="es-ES_tradnl" w:eastAsia="en-CA"/>
              </w:rPr>
            </w:pPr>
            <w:r w:rsidRPr="002B12A8">
              <w:rPr>
                <w:sz w:val="19"/>
                <w:szCs w:val="19"/>
                <w:lang w:val="es-ES_tradnl" w:eastAsia="en-CA"/>
              </w:rPr>
              <w:t>9 578 047</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3FD4DBDC" w14:textId="77777777" w:rsidR="00677488" w:rsidRPr="002B12A8" w:rsidRDefault="00677488" w:rsidP="00677488">
            <w:pPr>
              <w:jc w:val="right"/>
              <w:rPr>
                <w:sz w:val="19"/>
                <w:szCs w:val="19"/>
                <w:lang w:val="es-ES_tradnl" w:eastAsia="en-CA"/>
              </w:rPr>
            </w:pPr>
            <w:r w:rsidRPr="002B12A8">
              <w:rPr>
                <w:sz w:val="19"/>
                <w:szCs w:val="19"/>
                <w:lang w:val="es-ES_tradnl" w:eastAsia="en-CA"/>
              </w:rPr>
              <w:t>80</w:t>
            </w:r>
          </w:p>
        </w:tc>
      </w:tr>
      <w:tr w:rsidR="00677488" w:rsidRPr="000458F8" w14:paraId="7ED1885F"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AA0145" w14:textId="4AF08B29" w:rsidR="00677488" w:rsidRPr="002B12A8" w:rsidRDefault="00677488" w:rsidP="00677488">
            <w:pPr>
              <w:jc w:val="left"/>
              <w:rPr>
                <w:sz w:val="19"/>
                <w:szCs w:val="19"/>
                <w:lang w:val="es-ES_tradnl" w:eastAsia="en-CA"/>
              </w:rPr>
            </w:pPr>
            <w:r w:rsidRPr="002B12A8">
              <w:rPr>
                <w:sz w:val="19"/>
                <w:szCs w:val="19"/>
                <w:lang w:val="es-ES_tradnl"/>
              </w:rPr>
              <w:t>Capacitación</w:t>
            </w:r>
          </w:p>
        </w:tc>
        <w:tc>
          <w:tcPr>
            <w:tcW w:w="900" w:type="dxa"/>
            <w:tcBorders>
              <w:top w:val="nil"/>
              <w:left w:val="nil"/>
              <w:bottom w:val="single" w:sz="4" w:space="0" w:color="auto"/>
              <w:right w:val="single" w:sz="4" w:space="0" w:color="auto"/>
            </w:tcBorders>
            <w:shd w:val="clear" w:color="auto" w:fill="auto"/>
            <w:noWrap/>
            <w:tcMar>
              <w:left w:w="0" w:type="dxa"/>
              <w:right w:w="58" w:type="dxa"/>
            </w:tcMar>
            <w:hideMark/>
          </w:tcPr>
          <w:p w14:paraId="0AFFB03A" w14:textId="77777777" w:rsidR="00677488" w:rsidRPr="002B12A8" w:rsidRDefault="00677488" w:rsidP="00677488">
            <w:pPr>
              <w:jc w:val="right"/>
              <w:rPr>
                <w:sz w:val="19"/>
                <w:szCs w:val="19"/>
                <w:lang w:val="es-ES_tradnl" w:eastAsia="en-CA"/>
              </w:rPr>
            </w:pPr>
            <w:r w:rsidRPr="002B12A8">
              <w:rPr>
                <w:sz w:val="19"/>
                <w:szCs w:val="19"/>
                <w:lang w:val="es-ES_tradnl" w:eastAsia="en-CA"/>
              </w:rPr>
              <w:t>28</w:t>
            </w:r>
          </w:p>
        </w:tc>
        <w:tc>
          <w:tcPr>
            <w:tcW w:w="990" w:type="dxa"/>
            <w:tcBorders>
              <w:top w:val="nil"/>
              <w:left w:val="nil"/>
              <w:bottom w:val="single" w:sz="4" w:space="0" w:color="auto"/>
              <w:right w:val="single" w:sz="4" w:space="0" w:color="auto"/>
            </w:tcBorders>
            <w:shd w:val="clear" w:color="auto" w:fill="auto"/>
            <w:noWrap/>
            <w:tcMar>
              <w:left w:w="0" w:type="dxa"/>
              <w:right w:w="58" w:type="dxa"/>
            </w:tcMar>
            <w:hideMark/>
          </w:tcPr>
          <w:p w14:paraId="0E1853CD" w14:textId="77777777" w:rsidR="00677488" w:rsidRPr="002B12A8" w:rsidRDefault="00677488" w:rsidP="00677488">
            <w:pPr>
              <w:jc w:val="right"/>
              <w:rPr>
                <w:sz w:val="19"/>
                <w:szCs w:val="19"/>
                <w:lang w:val="es-ES_tradnl" w:eastAsia="en-CA"/>
              </w:rPr>
            </w:pPr>
            <w:r w:rsidRPr="002B12A8">
              <w:rPr>
                <w:sz w:val="19"/>
                <w:szCs w:val="19"/>
                <w:lang w:val="es-ES_tradnl" w:eastAsia="en-CA"/>
              </w:rPr>
              <w:t>28</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565391D3" w14:textId="77777777" w:rsidR="00677488" w:rsidRPr="002B12A8" w:rsidRDefault="00677488" w:rsidP="00677488">
            <w:pPr>
              <w:jc w:val="right"/>
              <w:rPr>
                <w:sz w:val="19"/>
                <w:szCs w:val="19"/>
                <w:lang w:val="es-ES_tradnl" w:eastAsia="en-CA"/>
              </w:rPr>
            </w:pPr>
            <w:r w:rsidRPr="002B12A8">
              <w:rPr>
                <w:sz w:val="19"/>
                <w:szCs w:val="19"/>
                <w:lang w:val="es-ES_tradnl" w:eastAsia="en-CA"/>
              </w:rPr>
              <w:t>100</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5F0E27E3" w14:textId="6EF33073" w:rsidR="00677488" w:rsidRPr="002B12A8" w:rsidRDefault="00677488" w:rsidP="00677488">
            <w:pPr>
              <w:jc w:val="right"/>
              <w:rPr>
                <w:sz w:val="19"/>
                <w:szCs w:val="19"/>
                <w:lang w:val="es-ES_tradnl" w:eastAsia="en-CA"/>
              </w:rPr>
            </w:pPr>
            <w:r w:rsidRPr="002B12A8">
              <w:rPr>
                <w:sz w:val="19"/>
                <w:szCs w:val="19"/>
                <w:lang w:val="es-ES_tradnl" w:eastAsia="en-CA"/>
              </w:rPr>
              <w:t>1 590 489</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3D1D204F" w14:textId="2E389E4A" w:rsidR="00677488" w:rsidRPr="002B12A8" w:rsidRDefault="00677488" w:rsidP="00677488">
            <w:pPr>
              <w:jc w:val="right"/>
              <w:rPr>
                <w:sz w:val="19"/>
                <w:szCs w:val="19"/>
                <w:lang w:val="es-ES_tradnl" w:eastAsia="en-CA"/>
              </w:rPr>
            </w:pPr>
            <w:r w:rsidRPr="002B12A8">
              <w:rPr>
                <w:sz w:val="19"/>
                <w:szCs w:val="19"/>
                <w:lang w:val="es-ES_tradnl" w:eastAsia="en-CA"/>
              </w:rPr>
              <w:t>1 590 489</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216D3F4F" w14:textId="77777777" w:rsidR="00677488" w:rsidRPr="002B12A8" w:rsidRDefault="00677488" w:rsidP="00677488">
            <w:pPr>
              <w:jc w:val="right"/>
              <w:rPr>
                <w:sz w:val="19"/>
                <w:szCs w:val="19"/>
                <w:lang w:val="es-ES_tradnl" w:eastAsia="en-CA"/>
              </w:rPr>
            </w:pPr>
            <w:r w:rsidRPr="002B12A8">
              <w:rPr>
                <w:sz w:val="19"/>
                <w:szCs w:val="19"/>
                <w:lang w:val="es-ES_tradnl" w:eastAsia="en-CA"/>
              </w:rPr>
              <w:t>0</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77226D8C" w14:textId="77777777" w:rsidR="00677488" w:rsidRPr="002B12A8" w:rsidRDefault="00677488" w:rsidP="00677488">
            <w:pPr>
              <w:jc w:val="right"/>
              <w:rPr>
                <w:sz w:val="19"/>
                <w:szCs w:val="19"/>
                <w:lang w:val="es-ES_tradnl" w:eastAsia="en-CA"/>
              </w:rPr>
            </w:pPr>
            <w:r w:rsidRPr="002B12A8">
              <w:rPr>
                <w:sz w:val="19"/>
                <w:szCs w:val="19"/>
                <w:lang w:val="es-ES_tradnl" w:eastAsia="en-CA"/>
              </w:rPr>
              <w:t>100</w:t>
            </w:r>
          </w:p>
        </w:tc>
      </w:tr>
      <w:tr w:rsidR="00C3420C" w:rsidRPr="000458F8" w14:paraId="0C89190C" w14:textId="77777777" w:rsidTr="005172EB">
        <w:tc>
          <w:tcPr>
            <w:tcW w:w="171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7698FBC" w14:textId="77777777" w:rsidR="00C3420C" w:rsidRPr="002B12A8" w:rsidRDefault="00C3420C" w:rsidP="008E3F5E">
            <w:pPr>
              <w:jc w:val="left"/>
              <w:rPr>
                <w:b/>
                <w:bCs/>
                <w:sz w:val="19"/>
                <w:szCs w:val="19"/>
                <w:lang w:val="es-ES_tradnl" w:eastAsia="en-CA"/>
              </w:rPr>
            </w:pPr>
            <w:r w:rsidRPr="002B12A8">
              <w:rPr>
                <w:b/>
                <w:bCs/>
                <w:sz w:val="19"/>
                <w:szCs w:val="19"/>
                <w:lang w:val="es-ES_tradnl" w:eastAsia="en-CA"/>
              </w:rPr>
              <w:t>Total</w:t>
            </w:r>
          </w:p>
        </w:tc>
        <w:tc>
          <w:tcPr>
            <w:tcW w:w="900" w:type="dxa"/>
            <w:tcBorders>
              <w:top w:val="nil"/>
              <w:left w:val="nil"/>
              <w:bottom w:val="single" w:sz="4" w:space="0" w:color="auto"/>
              <w:right w:val="single" w:sz="4" w:space="0" w:color="auto"/>
            </w:tcBorders>
            <w:shd w:val="clear" w:color="auto" w:fill="auto"/>
            <w:tcMar>
              <w:left w:w="0" w:type="dxa"/>
              <w:right w:w="58" w:type="dxa"/>
            </w:tcMar>
            <w:hideMark/>
          </w:tcPr>
          <w:p w14:paraId="37BBF670" w14:textId="75C374D9" w:rsidR="00C3420C" w:rsidRPr="002B12A8" w:rsidRDefault="00C3420C" w:rsidP="008E3F5E">
            <w:pPr>
              <w:jc w:val="right"/>
              <w:rPr>
                <w:b/>
                <w:bCs/>
                <w:sz w:val="19"/>
                <w:szCs w:val="19"/>
                <w:lang w:val="es-ES_tradnl" w:eastAsia="en-CA"/>
              </w:rPr>
            </w:pPr>
            <w:r w:rsidRPr="002B12A8">
              <w:rPr>
                <w:b/>
                <w:bCs/>
                <w:sz w:val="19"/>
                <w:szCs w:val="19"/>
                <w:lang w:val="es-ES_tradnl" w:eastAsia="en-CA"/>
              </w:rPr>
              <w:t>2</w:t>
            </w:r>
            <w:r w:rsidR="005B3D00" w:rsidRPr="002B12A8">
              <w:rPr>
                <w:b/>
                <w:bCs/>
                <w:sz w:val="19"/>
                <w:szCs w:val="19"/>
                <w:lang w:val="es-ES_tradnl" w:eastAsia="en-CA"/>
              </w:rPr>
              <w:t> </w:t>
            </w:r>
            <w:r w:rsidRPr="002B12A8">
              <w:rPr>
                <w:b/>
                <w:bCs/>
                <w:sz w:val="19"/>
                <w:szCs w:val="19"/>
                <w:lang w:val="es-ES_tradnl" w:eastAsia="en-CA"/>
              </w:rPr>
              <w:t>475</w:t>
            </w:r>
          </w:p>
        </w:tc>
        <w:tc>
          <w:tcPr>
            <w:tcW w:w="990" w:type="dxa"/>
            <w:tcBorders>
              <w:top w:val="nil"/>
              <w:left w:val="nil"/>
              <w:bottom w:val="single" w:sz="4" w:space="0" w:color="auto"/>
              <w:right w:val="single" w:sz="4" w:space="0" w:color="auto"/>
            </w:tcBorders>
            <w:shd w:val="clear" w:color="auto" w:fill="auto"/>
            <w:tcMar>
              <w:left w:w="0" w:type="dxa"/>
              <w:right w:w="58" w:type="dxa"/>
            </w:tcMar>
            <w:hideMark/>
          </w:tcPr>
          <w:p w14:paraId="40EA0A0B" w14:textId="08A0F05A" w:rsidR="00C3420C" w:rsidRPr="002B12A8" w:rsidRDefault="00C3420C" w:rsidP="008E3F5E">
            <w:pPr>
              <w:jc w:val="right"/>
              <w:rPr>
                <w:b/>
                <w:bCs/>
                <w:sz w:val="19"/>
                <w:szCs w:val="19"/>
                <w:lang w:val="es-ES_tradnl" w:eastAsia="en-CA"/>
              </w:rPr>
            </w:pPr>
            <w:r w:rsidRPr="002B12A8">
              <w:rPr>
                <w:b/>
                <w:bCs/>
                <w:sz w:val="19"/>
                <w:szCs w:val="19"/>
                <w:lang w:val="es-ES_tradnl" w:eastAsia="en-CA"/>
              </w:rPr>
              <w:t>2</w:t>
            </w:r>
            <w:r w:rsidR="005B3D00" w:rsidRPr="002B12A8">
              <w:rPr>
                <w:b/>
                <w:bCs/>
                <w:sz w:val="19"/>
                <w:szCs w:val="19"/>
                <w:lang w:val="es-ES_tradnl" w:eastAsia="en-CA"/>
              </w:rPr>
              <w:t> </w:t>
            </w:r>
            <w:r w:rsidRPr="002B12A8">
              <w:rPr>
                <w:b/>
                <w:bCs/>
                <w:sz w:val="19"/>
                <w:szCs w:val="19"/>
                <w:lang w:val="es-ES_tradnl" w:eastAsia="en-CA"/>
              </w:rPr>
              <w:t>345</w:t>
            </w:r>
          </w:p>
        </w:tc>
        <w:tc>
          <w:tcPr>
            <w:tcW w:w="1170" w:type="dxa"/>
            <w:tcBorders>
              <w:top w:val="nil"/>
              <w:left w:val="nil"/>
              <w:bottom w:val="single" w:sz="4" w:space="0" w:color="auto"/>
              <w:right w:val="single" w:sz="4" w:space="0" w:color="auto"/>
            </w:tcBorders>
            <w:shd w:val="clear" w:color="auto" w:fill="auto"/>
            <w:noWrap/>
            <w:tcMar>
              <w:left w:w="0" w:type="dxa"/>
              <w:right w:w="58" w:type="dxa"/>
            </w:tcMar>
            <w:hideMark/>
          </w:tcPr>
          <w:p w14:paraId="6D901C4A" w14:textId="77777777" w:rsidR="00C3420C" w:rsidRPr="002B12A8" w:rsidRDefault="00C3420C" w:rsidP="008E3F5E">
            <w:pPr>
              <w:jc w:val="right"/>
              <w:rPr>
                <w:b/>
                <w:bCs/>
                <w:sz w:val="19"/>
                <w:szCs w:val="19"/>
                <w:lang w:val="es-ES_tradnl" w:eastAsia="en-CA"/>
              </w:rPr>
            </w:pPr>
            <w:r w:rsidRPr="002B12A8">
              <w:rPr>
                <w:b/>
                <w:bCs/>
                <w:sz w:val="19"/>
                <w:szCs w:val="19"/>
                <w:lang w:val="es-ES_tradnl" w:eastAsia="en-CA"/>
              </w:rPr>
              <w:t>95</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4C9A29FC" w14:textId="0E6A8F40" w:rsidR="00C3420C" w:rsidRPr="002B12A8" w:rsidRDefault="00C3420C" w:rsidP="008E3F5E">
            <w:pPr>
              <w:jc w:val="right"/>
              <w:rPr>
                <w:b/>
                <w:bCs/>
                <w:sz w:val="19"/>
                <w:szCs w:val="19"/>
                <w:lang w:val="es-ES_tradnl" w:eastAsia="en-CA"/>
              </w:rPr>
            </w:pPr>
            <w:r w:rsidRPr="002B12A8">
              <w:rPr>
                <w:b/>
                <w:bCs/>
                <w:sz w:val="19"/>
                <w:szCs w:val="19"/>
                <w:lang w:val="es-ES_tradnl" w:eastAsia="en-CA"/>
              </w:rPr>
              <w:t>831</w:t>
            </w:r>
            <w:r w:rsidR="005B3D00" w:rsidRPr="002B12A8">
              <w:rPr>
                <w:b/>
                <w:bCs/>
                <w:sz w:val="19"/>
                <w:szCs w:val="19"/>
                <w:lang w:val="es-ES_tradnl" w:eastAsia="en-CA"/>
              </w:rPr>
              <w:t> </w:t>
            </w:r>
            <w:r w:rsidRPr="002B12A8">
              <w:rPr>
                <w:b/>
                <w:bCs/>
                <w:sz w:val="19"/>
                <w:szCs w:val="19"/>
                <w:lang w:val="es-ES_tradnl" w:eastAsia="en-CA"/>
              </w:rPr>
              <w:t>896</w:t>
            </w:r>
            <w:r w:rsidR="005B3D00" w:rsidRPr="002B12A8">
              <w:rPr>
                <w:b/>
                <w:bCs/>
                <w:sz w:val="19"/>
                <w:szCs w:val="19"/>
                <w:lang w:val="es-ES_tradnl" w:eastAsia="en-CA"/>
              </w:rPr>
              <w:t> </w:t>
            </w:r>
            <w:r w:rsidRPr="002B12A8">
              <w:rPr>
                <w:b/>
                <w:bCs/>
                <w:sz w:val="19"/>
                <w:szCs w:val="19"/>
                <w:lang w:val="es-ES_tradnl" w:eastAsia="en-CA"/>
              </w:rPr>
              <w:t>245</w:t>
            </w:r>
          </w:p>
        </w:tc>
        <w:tc>
          <w:tcPr>
            <w:tcW w:w="1260" w:type="dxa"/>
            <w:tcBorders>
              <w:top w:val="nil"/>
              <w:left w:val="nil"/>
              <w:bottom w:val="single" w:sz="4" w:space="0" w:color="auto"/>
              <w:right w:val="single" w:sz="4" w:space="0" w:color="auto"/>
            </w:tcBorders>
            <w:shd w:val="clear" w:color="auto" w:fill="auto"/>
            <w:noWrap/>
            <w:tcMar>
              <w:left w:w="0" w:type="dxa"/>
              <w:right w:w="58" w:type="dxa"/>
            </w:tcMar>
            <w:hideMark/>
          </w:tcPr>
          <w:p w14:paraId="51497FFD" w14:textId="4EB81BC1" w:rsidR="00C3420C" w:rsidRPr="002B12A8" w:rsidRDefault="00C3420C" w:rsidP="008E3F5E">
            <w:pPr>
              <w:jc w:val="right"/>
              <w:rPr>
                <w:b/>
                <w:bCs/>
                <w:sz w:val="19"/>
                <w:szCs w:val="19"/>
                <w:lang w:val="es-ES_tradnl" w:eastAsia="en-CA"/>
              </w:rPr>
            </w:pPr>
            <w:r w:rsidRPr="002B12A8">
              <w:rPr>
                <w:b/>
                <w:bCs/>
                <w:sz w:val="19"/>
                <w:szCs w:val="19"/>
                <w:lang w:val="es-ES_tradnl" w:eastAsia="en-CA"/>
              </w:rPr>
              <w:t>768</w:t>
            </w:r>
            <w:r w:rsidR="005B3D00" w:rsidRPr="002B12A8">
              <w:rPr>
                <w:b/>
                <w:bCs/>
                <w:sz w:val="19"/>
                <w:szCs w:val="19"/>
                <w:lang w:val="es-ES_tradnl" w:eastAsia="en-CA"/>
              </w:rPr>
              <w:t> </w:t>
            </w:r>
            <w:r w:rsidRPr="002B12A8">
              <w:rPr>
                <w:b/>
                <w:bCs/>
                <w:sz w:val="19"/>
                <w:szCs w:val="19"/>
                <w:lang w:val="es-ES_tradnl" w:eastAsia="en-CA"/>
              </w:rPr>
              <w:t>693</w:t>
            </w:r>
            <w:r w:rsidR="005B3D00" w:rsidRPr="002B12A8">
              <w:rPr>
                <w:b/>
                <w:bCs/>
                <w:sz w:val="19"/>
                <w:szCs w:val="19"/>
                <w:lang w:val="es-ES_tradnl" w:eastAsia="en-CA"/>
              </w:rPr>
              <w:t> </w:t>
            </w:r>
            <w:r w:rsidRPr="002B12A8">
              <w:rPr>
                <w:b/>
                <w:bCs/>
                <w:sz w:val="19"/>
                <w:szCs w:val="19"/>
                <w:lang w:val="es-ES_tradnl" w:eastAsia="en-CA"/>
              </w:rPr>
              <w:t>171</w:t>
            </w:r>
          </w:p>
        </w:tc>
        <w:tc>
          <w:tcPr>
            <w:tcW w:w="1080" w:type="dxa"/>
            <w:tcBorders>
              <w:top w:val="nil"/>
              <w:left w:val="nil"/>
              <w:bottom w:val="single" w:sz="4" w:space="0" w:color="auto"/>
              <w:right w:val="single" w:sz="4" w:space="0" w:color="auto"/>
            </w:tcBorders>
            <w:shd w:val="clear" w:color="auto" w:fill="auto"/>
            <w:noWrap/>
            <w:tcMar>
              <w:left w:w="0" w:type="dxa"/>
              <w:right w:w="58" w:type="dxa"/>
            </w:tcMar>
            <w:hideMark/>
          </w:tcPr>
          <w:p w14:paraId="0BBFE5C7" w14:textId="2E506A6E" w:rsidR="00C3420C" w:rsidRPr="002B12A8" w:rsidRDefault="00C3420C" w:rsidP="008E3F5E">
            <w:pPr>
              <w:jc w:val="right"/>
              <w:rPr>
                <w:b/>
                <w:bCs/>
                <w:sz w:val="19"/>
                <w:szCs w:val="19"/>
                <w:lang w:val="es-ES_tradnl" w:eastAsia="en-CA"/>
              </w:rPr>
            </w:pPr>
            <w:r w:rsidRPr="002B12A8">
              <w:rPr>
                <w:b/>
                <w:bCs/>
                <w:sz w:val="19"/>
                <w:szCs w:val="19"/>
                <w:lang w:val="es-ES_tradnl" w:eastAsia="en-CA"/>
              </w:rPr>
              <w:t>63</w:t>
            </w:r>
            <w:r w:rsidR="005B3D00" w:rsidRPr="002B12A8">
              <w:rPr>
                <w:b/>
                <w:bCs/>
                <w:sz w:val="19"/>
                <w:szCs w:val="19"/>
                <w:lang w:val="es-ES_tradnl" w:eastAsia="en-CA"/>
              </w:rPr>
              <w:t> </w:t>
            </w:r>
            <w:r w:rsidRPr="002B12A8">
              <w:rPr>
                <w:b/>
                <w:bCs/>
                <w:sz w:val="19"/>
                <w:szCs w:val="19"/>
                <w:lang w:val="es-ES_tradnl" w:eastAsia="en-CA"/>
              </w:rPr>
              <w:t>203</w:t>
            </w:r>
            <w:r w:rsidR="005B3D00" w:rsidRPr="002B12A8">
              <w:rPr>
                <w:b/>
                <w:bCs/>
                <w:sz w:val="19"/>
                <w:szCs w:val="19"/>
                <w:lang w:val="es-ES_tradnl" w:eastAsia="en-CA"/>
              </w:rPr>
              <w:t> </w:t>
            </w:r>
            <w:r w:rsidRPr="002B12A8">
              <w:rPr>
                <w:b/>
                <w:bCs/>
                <w:sz w:val="19"/>
                <w:szCs w:val="19"/>
                <w:lang w:val="es-ES_tradnl" w:eastAsia="en-CA"/>
              </w:rPr>
              <w:t>074</w:t>
            </w:r>
          </w:p>
        </w:tc>
        <w:tc>
          <w:tcPr>
            <w:tcW w:w="1189" w:type="dxa"/>
            <w:tcBorders>
              <w:top w:val="nil"/>
              <w:left w:val="nil"/>
              <w:bottom w:val="single" w:sz="4" w:space="0" w:color="auto"/>
              <w:right w:val="single" w:sz="4" w:space="0" w:color="auto"/>
            </w:tcBorders>
            <w:shd w:val="clear" w:color="auto" w:fill="auto"/>
            <w:noWrap/>
            <w:tcMar>
              <w:left w:w="0" w:type="dxa"/>
              <w:right w:w="58" w:type="dxa"/>
            </w:tcMar>
            <w:hideMark/>
          </w:tcPr>
          <w:p w14:paraId="5BDEC71A" w14:textId="77777777" w:rsidR="00C3420C" w:rsidRPr="002B12A8" w:rsidRDefault="00C3420C" w:rsidP="008E3F5E">
            <w:pPr>
              <w:jc w:val="right"/>
              <w:rPr>
                <w:b/>
                <w:bCs/>
                <w:sz w:val="19"/>
                <w:szCs w:val="19"/>
                <w:lang w:val="es-ES_tradnl" w:eastAsia="en-CA"/>
              </w:rPr>
            </w:pPr>
            <w:r w:rsidRPr="002B12A8">
              <w:rPr>
                <w:b/>
                <w:bCs/>
                <w:sz w:val="19"/>
                <w:szCs w:val="19"/>
                <w:lang w:val="es-ES_tradnl" w:eastAsia="en-CA"/>
              </w:rPr>
              <w:t>92</w:t>
            </w:r>
          </w:p>
        </w:tc>
      </w:tr>
    </w:tbl>
    <w:p w14:paraId="0292AAB8" w14:textId="3065FB38" w:rsidR="00C3420C" w:rsidRPr="00C24C2E" w:rsidRDefault="00F51333" w:rsidP="00C3420C">
      <w:pPr>
        <w:jc w:val="left"/>
        <w:rPr>
          <w:sz w:val="18"/>
          <w:szCs w:val="18"/>
          <w:lang w:val="es-ES_tradnl"/>
        </w:rPr>
      </w:pPr>
      <w:r w:rsidRPr="00C24C2E">
        <w:rPr>
          <w:sz w:val="18"/>
          <w:szCs w:val="18"/>
          <w:lang w:val="es-ES_tradnl"/>
        </w:rPr>
        <w:t>*Excluidos los proyectos cerrados y transferidos.</w:t>
      </w:r>
    </w:p>
    <w:p w14:paraId="4FAC01A6" w14:textId="6896975D" w:rsidR="00C3420C" w:rsidRPr="000458F8" w:rsidRDefault="00F51333" w:rsidP="00C3420C">
      <w:pPr>
        <w:jc w:val="left"/>
        <w:rPr>
          <w:sz w:val="19"/>
          <w:szCs w:val="19"/>
          <w:lang w:val="es-ES_tradnl"/>
        </w:rPr>
      </w:pPr>
      <w:r w:rsidRPr="000458F8">
        <w:rPr>
          <w:sz w:val="18"/>
          <w:lang w:val="es-ES_tradnl"/>
        </w:rPr>
        <w:t>**Excluidos los gastos de apoyo al organismo</w:t>
      </w:r>
      <w:r w:rsidR="003C5179" w:rsidRPr="000458F8">
        <w:rPr>
          <w:sz w:val="18"/>
          <w:lang w:val="es-ES_tradnl"/>
        </w:rPr>
        <w:t>.</w:t>
      </w:r>
    </w:p>
    <w:p w14:paraId="14C82EFA" w14:textId="24EB1D95" w:rsidR="00C3420C" w:rsidRPr="000458F8" w:rsidRDefault="00F51333" w:rsidP="00C3420C">
      <w:pPr>
        <w:jc w:val="left"/>
        <w:rPr>
          <w:sz w:val="18"/>
          <w:szCs w:val="18"/>
          <w:lang w:val="es-ES_tradnl"/>
        </w:rPr>
      </w:pPr>
      <w:r w:rsidRPr="000458F8">
        <w:rPr>
          <w:sz w:val="18"/>
          <w:szCs w:val="18"/>
          <w:lang w:val="es-ES_tradnl"/>
        </w:rPr>
        <w:t xml:space="preserve"> </w:t>
      </w:r>
    </w:p>
    <w:p w14:paraId="5EBEE5FD" w14:textId="0BC152CB" w:rsidR="00C3420C" w:rsidRPr="000458F8" w:rsidRDefault="003C5179" w:rsidP="00C3420C">
      <w:pPr>
        <w:pStyle w:val="Heading1"/>
        <w:tabs>
          <w:tab w:val="clear" w:pos="0"/>
        </w:tabs>
        <w:rPr>
          <w:lang w:val="es-ES_tradnl"/>
        </w:rPr>
      </w:pPr>
      <w:r w:rsidRPr="000458F8">
        <w:rPr>
          <w:lang w:val="es-ES_tradnl"/>
        </w:rPr>
        <w:t>En el Cuadro 3 se presenta una reseña de la situación de ejecución de proyectos por año</w:t>
      </w:r>
      <w:r w:rsidR="00C3420C" w:rsidRPr="000458F8">
        <w:rPr>
          <w:rStyle w:val="FootnoteReference"/>
          <w:lang w:val="es-ES_tradnl"/>
        </w:rPr>
        <w:footnoteReference w:id="32"/>
      </w:r>
      <w:r w:rsidR="00C3420C" w:rsidRPr="000458F8">
        <w:rPr>
          <w:lang w:val="es-ES_tradnl"/>
        </w:rPr>
        <w:t>.</w:t>
      </w:r>
      <w:r w:rsidRPr="000458F8">
        <w:rPr>
          <w:lang w:val="es-ES_tradnl"/>
        </w:rPr>
        <w:t xml:space="preserve"> A la fecha, se han terminado todos los proyectos y actividades aprobados entre </w:t>
      </w:r>
      <w:r w:rsidR="00C3420C" w:rsidRPr="000458F8">
        <w:rPr>
          <w:lang w:val="es-ES_tradnl"/>
        </w:rPr>
        <w:t xml:space="preserve">1991 </w:t>
      </w:r>
      <w:r w:rsidRPr="000458F8">
        <w:rPr>
          <w:lang w:val="es-ES_tradnl"/>
        </w:rPr>
        <w:t>y</w:t>
      </w:r>
      <w:r w:rsidR="00C3420C" w:rsidRPr="000458F8">
        <w:rPr>
          <w:lang w:val="es-ES_tradnl"/>
        </w:rPr>
        <w:t xml:space="preserve"> 2011. </w:t>
      </w:r>
    </w:p>
    <w:p w14:paraId="5C8A0B73" w14:textId="6924975C" w:rsidR="00C3420C" w:rsidRPr="000458F8" w:rsidRDefault="00E57C25" w:rsidP="00C3420C">
      <w:pPr>
        <w:keepNext/>
        <w:suppressAutoHyphens/>
        <w:jc w:val="left"/>
        <w:rPr>
          <w:b/>
          <w:spacing w:val="-3"/>
          <w:lang w:val="es-ES_tradnl"/>
        </w:rPr>
      </w:pPr>
      <w:r w:rsidRPr="000458F8">
        <w:rPr>
          <w:b/>
          <w:spacing w:val="-3"/>
          <w:lang w:val="es-ES_tradnl"/>
        </w:rPr>
        <w:t>Cuadro 3. Situación de la ejecución de proyectos por año</w:t>
      </w:r>
    </w:p>
    <w:tbl>
      <w:tblPr>
        <w:tblW w:w="9431" w:type="dxa"/>
        <w:tblLayout w:type="fixed"/>
        <w:tblLook w:val="04A0" w:firstRow="1" w:lastRow="0" w:firstColumn="1" w:lastColumn="0" w:noHBand="0" w:noVBand="1"/>
      </w:tblPr>
      <w:tblGrid>
        <w:gridCol w:w="760"/>
        <w:gridCol w:w="1210"/>
        <w:gridCol w:w="1210"/>
        <w:gridCol w:w="1210"/>
        <w:gridCol w:w="1260"/>
        <w:gridCol w:w="1260"/>
        <w:gridCol w:w="1260"/>
        <w:gridCol w:w="1261"/>
      </w:tblGrid>
      <w:tr w:rsidR="00E57C25" w:rsidRPr="000458F8" w14:paraId="7ECD4840" w14:textId="77777777" w:rsidTr="00345118">
        <w:trPr>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DF1CAF" w14:textId="77777777" w:rsidR="00E57C25" w:rsidRPr="000458F8" w:rsidRDefault="00E57C25" w:rsidP="00E57C25">
            <w:pPr>
              <w:pStyle w:val="TableParagraph"/>
              <w:spacing w:before="5" w:line="240" w:lineRule="auto"/>
              <w:rPr>
                <w:b/>
                <w:sz w:val="20"/>
                <w:lang w:val="es-ES_tradnl"/>
              </w:rPr>
            </w:pPr>
          </w:p>
          <w:p w14:paraId="36E6343D" w14:textId="675C2629" w:rsidR="00E57C25" w:rsidRPr="000458F8" w:rsidRDefault="00E57C25" w:rsidP="00E57C25">
            <w:pPr>
              <w:jc w:val="center"/>
              <w:rPr>
                <w:b/>
                <w:bCs/>
                <w:sz w:val="20"/>
                <w:szCs w:val="20"/>
                <w:lang w:val="es-ES_tradnl" w:eastAsia="en-CA"/>
              </w:rPr>
            </w:pPr>
            <w:r w:rsidRPr="000458F8">
              <w:rPr>
                <w:b/>
                <w:sz w:val="20"/>
                <w:lang w:val="es-ES_tradnl"/>
              </w:rPr>
              <w:t>Año</w:t>
            </w:r>
          </w:p>
        </w:tc>
        <w:tc>
          <w:tcPr>
            <w:tcW w:w="3630" w:type="dxa"/>
            <w:gridSpan w:val="3"/>
            <w:tcBorders>
              <w:top w:val="single" w:sz="4" w:space="0" w:color="auto"/>
              <w:left w:val="nil"/>
              <w:bottom w:val="single" w:sz="4" w:space="0" w:color="auto"/>
              <w:right w:val="single" w:sz="4" w:space="0" w:color="auto"/>
            </w:tcBorders>
            <w:shd w:val="clear" w:color="auto" w:fill="auto"/>
            <w:noWrap/>
            <w:hideMark/>
          </w:tcPr>
          <w:p w14:paraId="386ECC7F" w14:textId="4F784AF3" w:rsidR="00E57C25" w:rsidRPr="000458F8" w:rsidRDefault="00E57C25" w:rsidP="00E57C25">
            <w:pPr>
              <w:jc w:val="center"/>
              <w:rPr>
                <w:b/>
                <w:bCs/>
                <w:sz w:val="20"/>
                <w:szCs w:val="20"/>
                <w:lang w:val="es-ES_tradnl" w:eastAsia="en-CA"/>
              </w:rPr>
            </w:pPr>
            <w:r w:rsidRPr="000458F8">
              <w:rPr>
                <w:b/>
                <w:sz w:val="20"/>
                <w:lang w:val="es-ES_tradnl"/>
              </w:rPr>
              <w:t>Cantidad de proyectos*</w:t>
            </w:r>
          </w:p>
        </w:tc>
        <w:tc>
          <w:tcPr>
            <w:tcW w:w="5041" w:type="dxa"/>
            <w:gridSpan w:val="4"/>
            <w:tcBorders>
              <w:top w:val="single" w:sz="4" w:space="0" w:color="auto"/>
              <w:left w:val="nil"/>
              <w:bottom w:val="single" w:sz="4" w:space="0" w:color="auto"/>
              <w:right w:val="single" w:sz="4" w:space="0" w:color="auto"/>
            </w:tcBorders>
            <w:shd w:val="clear" w:color="auto" w:fill="auto"/>
            <w:noWrap/>
            <w:hideMark/>
          </w:tcPr>
          <w:p w14:paraId="0DA7F0CB" w14:textId="371D3352" w:rsidR="00E57C25" w:rsidRPr="000458F8" w:rsidRDefault="00E57C25" w:rsidP="00E57C25">
            <w:pPr>
              <w:jc w:val="center"/>
              <w:rPr>
                <w:b/>
                <w:bCs/>
                <w:sz w:val="20"/>
                <w:szCs w:val="20"/>
                <w:lang w:val="es-ES_tradnl" w:eastAsia="en-CA"/>
              </w:rPr>
            </w:pPr>
            <w:r w:rsidRPr="000458F8">
              <w:rPr>
                <w:b/>
                <w:sz w:val="20"/>
                <w:lang w:val="es-ES_tradnl"/>
              </w:rPr>
              <w:t>Financiación ($EUA)**</w:t>
            </w:r>
          </w:p>
        </w:tc>
      </w:tr>
      <w:tr w:rsidR="00E57C25" w:rsidRPr="000458F8" w14:paraId="4D721796" w14:textId="77777777" w:rsidTr="00345118">
        <w:trPr>
          <w:tblHeader/>
        </w:trPr>
        <w:tc>
          <w:tcPr>
            <w:tcW w:w="760" w:type="dxa"/>
            <w:vMerge/>
            <w:tcBorders>
              <w:top w:val="single" w:sz="4" w:space="0" w:color="auto"/>
              <w:left w:val="single" w:sz="4" w:space="0" w:color="auto"/>
              <w:bottom w:val="single" w:sz="4" w:space="0" w:color="auto"/>
              <w:right w:val="single" w:sz="4" w:space="0" w:color="auto"/>
            </w:tcBorders>
            <w:hideMark/>
          </w:tcPr>
          <w:p w14:paraId="2459BB68" w14:textId="77777777" w:rsidR="00E57C25" w:rsidRPr="000458F8" w:rsidRDefault="00E57C25" w:rsidP="00E57C25">
            <w:pPr>
              <w:jc w:val="left"/>
              <w:rPr>
                <w:b/>
                <w:bCs/>
                <w:sz w:val="20"/>
                <w:szCs w:val="20"/>
                <w:lang w:val="es-ES_tradnl" w:eastAsia="en-CA"/>
              </w:rPr>
            </w:pPr>
          </w:p>
        </w:tc>
        <w:tc>
          <w:tcPr>
            <w:tcW w:w="1210" w:type="dxa"/>
            <w:tcBorders>
              <w:top w:val="nil"/>
              <w:left w:val="nil"/>
              <w:bottom w:val="single" w:sz="4" w:space="0" w:color="auto"/>
              <w:right w:val="single" w:sz="4" w:space="0" w:color="auto"/>
            </w:tcBorders>
            <w:shd w:val="clear" w:color="auto" w:fill="auto"/>
            <w:noWrap/>
            <w:tcMar>
              <w:left w:w="0" w:type="dxa"/>
              <w:right w:w="0" w:type="dxa"/>
            </w:tcMar>
            <w:hideMark/>
          </w:tcPr>
          <w:p w14:paraId="21775DE0" w14:textId="0DFEABD5" w:rsidR="00E57C25" w:rsidRPr="000458F8" w:rsidRDefault="00E57C25" w:rsidP="00E57C25">
            <w:pPr>
              <w:jc w:val="center"/>
              <w:rPr>
                <w:b/>
                <w:bCs/>
                <w:sz w:val="20"/>
                <w:szCs w:val="20"/>
                <w:lang w:val="es-ES_tradnl" w:eastAsia="en-CA"/>
              </w:rPr>
            </w:pPr>
            <w:r w:rsidRPr="000458F8">
              <w:rPr>
                <w:b/>
                <w:sz w:val="20"/>
                <w:lang w:val="es-ES_tradnl"/>
              </w:rPr>
              <w:t>Aprobados</w:t>
            </w:r>
          </w:p>
        </w:tc>
        <w:tc>
          <w:tcPr>
            <w:tcW w:w="1210" w:type="dxa"/>
            <w:tcBorders>
              <w:top w:val="nil"/>
              <w:left w:val="nil"/>
              <w:bottom w:val="single" w:sz="4" w:space="0" w:color="auto"/>
              <w:right w:val="single" w:sz="4" w:space="0" w:color="auto"/>
            </w:tcBorders>
            <w:shd w:val="clear" w:color="auto" w:fill="auto"/>
            <w:noWrap/>
            <w:tcMar>
              <w:left w:w="0" w:type="dxa"/>
              <w:right w:w="0" w:type="dxa"/>
            </w:tcMar>
            <w:hideMark/>
          </w:tcPr>
          <w:p w14:paraId="7B590CB9" w14:textId="2E04E383" w:rsidR="00E57C25" w:rsidRPr="000458F8" w:rsidRDefault="00E57C25" w:rsidP="00E57C25">
            <w:pPr>
              <w:jc w:val="left"/>
              <w:rPr>
                <w:b/>
                <w:bCs/>
                <w:sz w:val="20"/>
                <w:szCs w:val="20"/>
                <w:lang w:val="es-ES_tradnl" w:eastAsia="en-CA"/>
              </w:rPr>
            </w:pPr>
            <w:r w:rsidRPr="000458F8">
              <w:rPr>
                <w:b/>
                <w:sz w:val="20"/>
                <w:lang w:val="es-ES_tradnl"/>
              </w:rPr>
              <w:t>Terminados</w:t>
            </w:r>
          </w:p>
        </w:tc>
        <w:tc>
          <w:tcPr>
            <w:tcW w:w="1210" w:type="dxa"/>
            <w:tcBorders>
              <w:top w:val="nil"/>
              <w:left w:val="nil"/>
              <w:bottom w:val="single" w:sz="4" w:space="0" w:color="auto"/>
              <w:right w:val="single" w:sz="4" w:space="0" w:color="auto"/>
            </w:tcBorders>
            <w:shd w:val="clear" w:color="auto" w:fill="auto"/>
            <w:noWrap/>
            <w:tcMar>
              <w:left w:w="0" w:type="dxa"/>
              <w:right w:w="0" w:type="dxa"/>
            </w:tcMar>
            <w:hideMark/>
          </w:tcPr>
          <w:p w14:paraId="224A17CF" w14:textId="1AABB103" w:rsidR="00E57C25" w:rsidRPr="000458F8" w:rsidRDefault="00E57C25" w:rsidP="00E57C25">
            <w:pPr>
              <w:jc w:val="center"/>
              <w:rPr>
                <w:b/>
                <w:bCs/>
                <w:sz w:val="20"/>
                <w:szCs w:val="20"/>
                <w:lang w:val="es-ES_tradnl" w:eastAsia="en-CA"/>
              </w:rPr>
            </w:pPr>
            <w:r w:rsidRPr="000458F8">
              <w:rPr>
                <w:b/>
                <w:bCs/>
                <w:sz w:val="20"/>
                <w:szCs w:val="20"/>
                <w:lang w:val="es-ES_tradnl" w:eastAsia="en-CA"/>
              </w:rPr>
              <w:t>% terminados</w:t>
            </w:r>
          </w:p>
        </w:tc>
        <w:tc>
          <w:tcPr>
            <w:tcW w:w="1260" w:type="dxa"/>
            <w:tcBorders>
              <w:top w:val="nil"/>
              <w:left w:val="nil"/>
              <w:bottom w:val="single" w:sz="4" w:space="0" w:color="auto"/>
              <w:right w:val="single" w:sz="4" w:space="0" w:color="auto"/>
            </w:tcBorders>
            <w:shd w:val="clear" w:color="auto" w:fill="auto"/>
            <w:noWrap/>
            <w:tcMar>
              <w:left w:w="0" w:type="dxa"/>
              <w:right w:w="0" w:type="dxa"/>
            </w:tcMar>
            <w:hideMark/>
          </w:tcPr>
          <w:p w14:paraId="0F802AC2" w14:textId="726D7558" w:rsidR="00E57C25" w:rsidRPr="000458F8" w:rsidRDefault="00E57C25" w:rsidP="00E57C25">
            <w:pPr>
              <w:jc w:val="center"/>
              <w:rPr>
                <w:b/>
                <w:bCs/>
                <w:sz w:val="20"/>
                <w:szCs w:val="20"/>
                <w:lang w:val="es-ES_tradnl" w:eastAsia="en-CA"/>
              </w:rPr>
            </w:pPr>
            <w:r w:rsidRPr="000458F8">
              <w:rPr>
                <w:b/>
                <w:sz w:val="20"/>
                <w:lang w:val="es-ES_tradnl"/>
              </w:rPr>
              <w:t>Aprobad</w:t>
            </w:r>
            <w:r w:rsidR="00ED1901">
              <w:rPr>
                <w:b/>
                <w:sz w:val="20"/>
                <w:lang w:val="es-ES_tradnl"/>
              </w:rPr>
              <w:t>a</w:t>
            </w:r>
          </w:p>
        </w:tc>
        <w:tc>
          <w:tcPr>
            <w:tcW w:w="1260" w:type="dxa"/>
            <w:tcBorders>
              <w:top w:val="nil"/>
              <w:left w:val="nil"/>
              <w:bottom w:val="single" w:sz="4" w:space="0" w:color="auto"/>
              <w:right w:val="single" w:sz="4" w:space="0" w:color="auto"/>
            </w:tcBorders>
            <w:shd w:val="clear" w:color="auto" w:fill="auto"/>
            <w:noWrap/>
            <w:tcMar>
              <w:left w:w="0" w:type="dxa"/>
              <w:right w:w="0" w:type="dxa"/>
            </w:tcMar>
            <w:hideMark/>
          </w:tcPr>
          <w:p w14:paraId="42F4FDB0" w14:textId="511102D5" w:rsidR="00E57C25" w:rsidRPr="000458F8" w:rsidRDefault="00ED1901" w:rsidP="00E57C25">
            <w:pPr>
              <w:jc w:val="center"/>
              <w:rPr>
                <w:b/>
                <w:bCs/>
                <w:sz w:val="20"/>
                <w:szCs w:val="20"/>
                <w:lang w:val="es-ES_tradnl" w:eastAsia="en-CA"/>
              </w:rPr>
            </w:pPr>
            <w:r>
              <w:rPr>
                <w:b/>
                <w:sz w:val="20"/>
                <w:lang w:val="es-ES_tradnl"/>
              </w:rPr>
              <w:t>Desembolsada</w:t>
            </w:r>
          </w:p>
        </w:tc>
        <w:tc>
          <w:tcPr>
            <w:tcW w:w="1260" w:type="dxa"/>
            <w:tcBorders>
              <w:top w:val="nil"/>
              <w:left w:val="nil"/>
              <w:bottom w:val="single" w:sz="4" w:space="0" w:color="auto"/>
              <w:right w:val="single" w:sz="4" w:space="0" w:color="auto"/>
            </w:tcBorders>
            <w:shd w:val="clear" w:color="auto" w:fill="auto"/>
            <w:noWrap/>
            <w:tcMar>
              <w:left w:w="0" w:type="dxa"/>
              <w:right w:w="0" w:type="dxa"/>
            </w:tcMar>
            <w:hideMark/>
          </w:tcPr>
          <w:p w14:paraId="4BB51F08" w14:textId="13E8A236" w:rsidR="00E57C25" w:rsidRPr="000458F8" w:rsidRDefault="00E57C25" w:rsidP="00E57C25">
            <w:pPr>
              <w:jc w:val="center"/>
              <w:rPr>
                <w:b/>
                <w:bCs/>
                <w:sz w:val="20"/>
                <w:szCs w:val="20"/>
                <w:lang w:val="es-ES_tradnl" w:eastAsia="en-CA"/>
              </w:rPr>
            </w:pPr>
            <w:r w:rsidRPr="000458F8">
              <w:rPr>
                <w:b/>
                <w:bCs/>
                <w:sz w:val="20"/>
                <w:szCs w:val="20"/>
                <w:lang w:val="es-ES_tradnl" w:eastAsia="en-CA"/>
              </w:rPr>
              <w:t>Saldo</w:t>
            </w:r>
          </w:p>
        </w:tc>
        <w:tc>
          <w:tcPr>
            <w:tcW w:w="1261" w:type="dxa"/>
            <w:tcBorders>
              <w:top w:val="nil"/>
              <w:left w:val="nil"/>
              <w:bottom w:val="single" w:sz="4" w:space="0" w:color="auto"/>
              <w:right w:val="single" w:sz="4" w:space="0" w:color="auto"/>
            </w:tcBorders>
            <w:shd w:val="clear" w:color="auto" w:fill="auto"/>
            <w:noWrap/>
            <w:tcMar>
              <w:left w:w="0" w:type="dxa"/>
              <w:right w:w="0" w:type="dxa"/>
            </w:tcMar>
            <w:hideMark/>
          </w:tcPr>
          <w:p w14:paraId="28EFC88D" w14:textId="77777777" w:rsidR="00ED1901" w:rsidRDefault="00ED1901" w:rsidP="00E57C25">
            <w:pPr>
              <w:ind w:left="-176" w:right="-183"/>
              <w:jc w:val="center"/>
              <w:rPr>
                <w:b/>
                <w:sz w:val="20"/>
                <w:lang w:val="es-ES_tradnl"/>
              </w:rPr>
            </w:pPr>
            <w:r>
              <w:rPr>
                <w:b/>
                <w:sz w:val="20"/>
                <w:lang w:val="es-ES_tradnl"/>
              </w:rPr>
              <w:t xml:space="preserve">% </w:t>
            </w:r>
          </w:p>
          <w:p w14:paraId="7E74446D" w14:textId="6D3F1AB0" w:rsidR="00E57C25" w:rsidRPr="000458F8" w:rsidRDefault="00ED1901" w:rsidP="00E57C25">
            <w:pPr>
              <w:ind w:left="-176" w:right="-183"/>
              <w:jc w:val="center"/>
              <w:rPr>
                <w:b/>
                <w:bCs/>
                <w:sz w:val="20"/>
                <w:szCs w:val="20"/>
                <w:lang w:val="es-ES_tradnl" w:eastAsia="en-CA"/>
              </w:rPr>
            </w:pPr>
            <w:r>
              <w:rPr>
                <w:b/>
                <w:sz w:val="20"/>
                <w:lang w:val="es-ES_tradnl"/>
              </w:rPr>
              <w:t>desembolsada</w:t>
            </w:r>
          </w:p>
        </w:tc>
      </w:tr>
      <w:tr w:rsidR="00C3420C" w:rsidRPr="000458F8" w14:paraId="7D85B30B"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FFB76D" w14:textId="77777777" w:rsidR="00C3420C" w:rsidRPr="000458F8" w:rsidRDefault="00C3420C" w:rsidP="008E3F5E">
            <w:pPr>
              <w:jc w:val="left"/>
              <w:rPr>
                <w:sz w:val="20"/>
                <w:szCs w:val="20"/>
                <w:lang w:val="es-ES_tradnl" w:eastAsia="en-CA"/>
              </w:rPr>
            </w:pPr>
            <w:r w:rsidRPr="000458F8">
              <w:rPr>
                <w:sz w:val="20"/>
                <w:szCs w:val="20"/>
                <w:lang w:val="es-ES_tradnl" w:eastAsia="en-CA"/>
              </w:rPr>
              <w:t>1991</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2C9395" w14:textId="77777777" w:rsidR="00C3420C" w:rsidRPr="000458F8" w:rsidRDefault="00C3420C" w:rsidP="008E3F5E">
            <w:pPr>
              <w:jc w:val="right"/>
              <w:rPr>
                <w:sz w:val="20"/>
                <w:szCs w:val="20"/>
                <w:lang w:val="es-ES_tradnl" w:eastAsia="en-CA"/>
              </w:rPr>
            </w:pPr>
            <w:r w:rsidRPr="000458F8">
              <w:rPr>
                <w:sz w:val="20"/>
                <w:szCs w:val="20"/>
                <w:lang w:val="es-ES_tradnl" w:eastAsia="en-CA"/>
              </w:rPr>
              <w:t>15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E26A3CD" w14:textId="77777777" w:rsidR="00C3420C" w:rsidRPr="000458F8" w:rsidRDefault="00C3420C" w:rsidP="008E3F5E">
            <w:pPr>
              <w:jc w:val="right"/>
              <w:rPr>
                <w:sz w:val="20"/>
                <w:szCs w:val="20"/>
                <w:lang w:val="es-ES_tradnl" w:eastAsia="en-CA"/>
              </w:rPr>
            </w:pPr>
            <w:r w:rsidRPr="000458F8">
              <w:rPr>
                <w:sz w:val="20"/>
                <w:szCs w:val="20"/>
                <w:lang w:val="es-ES_tradnl" w:eastAsia="en-CA"/>
              </w:rPr>
              <w:t>15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B66E628"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159881F2" w14:textId="39069C26"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149</w:t>
            </w:r>
            <w:r w:rsidR="00700B97" w:rsidRPr="000458F8">
              <w:rPr>
                <w:sz w:val="20"/>
                <w:szCs w:val="20"/>
                <w:lang w:val="es-ES_tradnl" w:eastAsia="en-CA"/>
              </w:rPr>
              <w:t> </w:t>
            </w:r>
            <w:r w:rsidRPr="000458F8">
              <w:rPr>
                <w:sz w:val="20"/>
                <w:szCs w:val="20"/>
                <w:lang w:val="es-ES_tradnl" w:eastAsia="en-CA"/>
              </w:rPr>
              <w:t>032</w:t>
            </w:r>
          </w:p>
        </w:tc>
        <w:tc>
          <w:tcPr>
            <w:tcW w:w="1260" w:type="dxa"/>
            <w:tcBorders>
              <w:top w:val="nil"/>
              <w:left w:val="nil"/>
              <w:bottom w:val="single" w:sz="4" w:space="0" w:color="auto"/>
              <w:right w:val="single" w:sz="4" w:space="0" w:color="auto"/>
            </w:tcBorders>
            <w:shd w:val="clear" w:color="auto" w:fill="auto"/>
            <w:noWrap/>
            <w:vAlign w:val="center"/>
            <w:hideMark/>
          </w:tcPr>
          <w:p w14:paraId="16BDEC98" w14:textId="578E18A0"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149</w:t>
            </w:r>
            <w:r w:rsidR="00700B97" w:rsidRPr="000458F8">
              <w:rPr>
                <w:sz w:val="20"/>
                <w:szCs w:val="20"/>
                <w:lang w:val="es-ES_tradnl" w:eastAsia="en-CA"/>
              </w:rPr>
              <w:t> </w:t>
            </w:r>
            <w:r w:rsidRPr="000458F8">
              <w:rPr>
                <w:sz w:val="20"/>
                <w:szCs w:val="20"/>
                <w:lang w:val="es-ES_tradnl" w:eastAsia="en-CA"/>
              </w:rPr>
              <w:t>032</w:t>
            </w:r>
          </w:p>
        </w:tc>
        <w:tc>
          <w:tcPr>
            <w:tcW w:w="1260" w:type="dxa"/>
            <w:tcBorders>
              <w:top w:val="nil"/>
              <w:left w:val="nil"/>
              <w:bottom w:val="single" w:sz="4" w:space="0" w:color="auto"/>
              <w:right w:val="single" w:sz="4" w:space="0" w:color="auto"/>
            </w:tcBorders>
            <w:shd w:val="clear" w:color="auto" w:fill="auto"/>
            <w:noWrap/>
            <w:vAlign w:val="center"/>
            <w:hideMark/>
          </w:tcPr>
          <w:p w14:paraId="0F2A483B"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421BE12"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3105C59"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32AC87" w14:textId="77777777" w:rsidR="00C3420C" w:rsidRPr="000458F8" w:rsidRDefault="00C3420C" w:rsidP="008E3F5E">
            <w:pPr>
              <w:jc w:val="left"/>
              <w:rPr>
                <w:sz w:val="20"/>
                <w:szCs w:val="20"/>
                <w:lang w:val="es-ES_tradnl" w:eastAsia="en-CA"/>
              </w:rPr>
            </w:pPr>
            <w:r w:rsidRPr="000458F8">
              <w:rPr>
                <w:sz w:val="20"/>
                <w:szCs w:val="20"/>
                <w:lang w:val="es-ES_tradnl" w:eastAsia="en-CA"/>
              </w:rPr>
              <w:t>1992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C117083" w14:textId="77777777" w:rsidR="00C3420C" w:rsidRPr="000458F8" w:rsidRDefault="00C3420C" w:rsidP="008E3F5E">
            <w:pPr>
              <w:jc w:val="right"/>
              <w:rPr>
                <w:sz w:val="20"/>
                <w:szCs w:val="20"/>
                <w:lang w:val="es-ES_tradnl" w:eastAsia="en-CA"/>
              </w:rPr>
            </w:pPr>
            <w:r w:rsidRPr="000458F8">
              <w:rPr>
                <w:sz w:val="20"/>
                <w:szCs w:val="20"/>
                <w:lang w:val="es-ES_tradnl" w:eastAsia="en-CA"/>
              </w:rPr>
              <w:t>67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41637A4" w14:textId="77777777" w:rsidR="00C3420C" w:rsidRPr="000458F8" w:rsidRDefault="00C3420C" w:rsidP="008E3F5E">
            <w:pPr>
              <w:jc w:val="right"/>
              <w:rPr>
                <w:sz w:val="20"/>
                <w:szCs w:val="20"/>
                <w:lang w:val="es-ES_tradnl" w:eastAsia="en-CA"/>
              </w:rPr>
            </w:pPr>
            <w:r w:rsidRPr="000458F8">
              <w:rPr>
                <w:sz w:val="20"/>
                <w:szCs w:val="20"/>
                <w:lang w:val="es-ES_tradnl" w:eastAsia="en-CA"/>
              </w:rPr>
              <w:t>67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36177B5"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1D3A083D" w14:textId="229A5425" w:rsidR="00C3420C" w:rsidRPr="000458F8" w:rsidRDefault="00C3420C" w:rsidP="008E3F5E">
            <w:pPr>
              <w:jc w:val="right"/>
              <w:rPr>
                <w:sz w:val="20"/>
                <w:szCs w:val="20"/>
                <w:lang w:val="es-ES_tradnl" w:eastAsia="en-CA"/>
              </w:rPr>
            </w:pPr>
            <w:r w:rsidRPr="000458F8">
              <w:rPr>
                <w:sz w:val="20"/>
                <w:szCs w:val="20"/>
                <w:lang w:val="es-ES_tradnl" w:eastAsia="en-CA"/>
              </w:rPr>
              <w:t>8</w:t>
            </w:r>
            <w:r w:rsidR="00700B97" w:rsidRPr="000458F8">
              <w:rPr>
                <w:sz w:val="20"/>
                <w:szCs w:val="20"/>
                <w:lang w:val="es-ES_tradnl" w:eastAsia="en-CA"/>
              </w:rPr>
              <w:t> </w:t>
            </w:r>
            <w:r w:rsidRPr="000458F8">
              <w:rPr>
                <w:sz w:val="20"/>
                <w:szCs w:val="20"/>
                <w:lang w:val="es-ES_tradnl" w:eastAsia="en-CA"/>
              </w:rPr>
              <w:t>619</w:t>
            </w:r>
            <w:r w:rsidR="00700B97" w:rsidRPr="000458F8">
              <w:rPr>
                <w:sz w:val="20"/>
                <w:szCs w:val="20"/>
                <w:lang w:val="es-ES_tradnl" w:eastAsia="en-CA"/>
              </w:rPr>
              <w:t> </w:t>
            </w:r>
            <w:r w:rsidRPr="000458F8">
              <w:rPr>
                <w:sz w:val="20"/>
                <w:szCs w:val="20"/>
                <w:lang w:val="es-ES_tradnl" w:eastAsia="en-CA"/>
              </w:rPr>
              <w:t>002</w:t>
            </w:r>
          </w:p>
        </w:tc>
        <w:tc>
          <w:tcPr>
            <w:tcW w:w="1260" w:type="dxa"/>
            <w:tcBorders>
              <w:top w:val="nil"/>
              <w:left w:val="nil"/>
              <w:bottom w:val="single" w:sz="4" w:space="0" w:color="auto"/>
              <w:right w:val="single" w:sz="4" w:space="0" w:color="auto"/>
            </w:tcBorders>
            <w:shd w:val="clear" w:color="auto" w:fill="auto"/>
            <w:noWrap/>
            <w:vAlign w:val="center"/>
            <w:hideMark/>
          </w:tcPr>
          <w:p w14:paraId="565AC973" w14:textId="53C950A0" w:rsidR="00C3420C" w:rsidRPr="000458F8" w:rsidRDefault="00C3420C" w:rsidP="008E3F5E">
            <w:pPr>
              <w:jc w:val="right"/>
              <w:rPr>
                <w:sz w:val="20"/>
                <w:szCs w:val="20"/>
                <w:lang w:val="es-ES_tradnl" w:eastAsia="en-CA"/>
              </w:rPr>
            </w:pPr>
            <w:r w:rsidRPr="000458F8">
              <w:rPr>
                <w:sz w:val="20"/>
                <w:szCs w:val="20"/>
                <w:lang w:val="es-ES_tradnl" w:eastAsia="en-CA"/>
              </w:rPr>
              <w:t>8</w:t>
            </w:r>
            <w:r w:rsidR="00700B97" w:rsidRPr="000458F8">
              <w:rPr>
                <w:sz w:val="20"/>
                <w:szCs w:val="20"/>
                <w:lang w:val="es-ES_tradnl" w:eastAsia="en-CA"/>
              </w:rPr>
              <w:t> </w:t>
            </w:r>
            <w:r w:rsidRPr="000458F8">
              <w:rPr>
                <w:sz w:val="20"/>
                <w:szCs w:val="20"/>
                <w:lang w:val="es-ES_tradnl" w:eastAsia="en-CA"/>
              </w:rPr>
              <w:t>619</w:t>
            </w:r>
            <w:r w:rsidR="00700B97" w:rsidRPr="000458F8">
              <w:rPr>
                <w:sz w:val="20"/>
                <w:szCs w:val="20"/>
                <w:lang w:val="es-ES_tradnl" w:eastAsia="en-CA"/>
              </w:rPr>
              <w:t> </w:t>
            </w:r>
            <w:r w:rsidRPr="000458F8">
              <w:rPr>
                <w:sz w:val="20"/>
                <w:szCs w:val="20"/>
                <w:lang w:val="es-ES_tradnl" w:eastAsia="en-CA"/>
              </w:rPr>
              <w:t>002</w:t>
            </w:r>
          </w:p>
        </w:tc>
        <w:tc>
          <w:tcPr>
            <w:tcW w:w="1260" w:type="dxa"/>
            <w:tcBorders>
              <w:top w:val="nil"/>
              <w:left w:val="nil"/>
              <w:bottom w:val="single" w:sz="4" w:space="0" w:color="auto"/>
              <w:right w:val="single" w:sz="4" w:space="0" w:color="auto"/>
            </w:tcBorders>
            <w:shd w:val="clear" w:color="auto" w:fill="auto"/>
            <w:noWrap/>
            <w:vAlign w:val="center"/>
            <w:hideMark/>
          </w:tcPr>
          <w:p w14:paraId="73EF30F1"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A358A88"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1E20AEBC"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B38D1D" w14:textId="77777777" w:rsidR="00C3420C" w:rsidRPr="000458F8" w:rsidRDefault="00C3420C" w:rsidP="008E3F5E">
            <w:pPr>
              <w:jc w:val="left"/>
              <w:rPr>
                <w:sz w:val="20"/>
                <w:szCs w:val="20"/>
                <w:lang w:val="es-ES_tradnl" w:eastAsia="en-CA"/>
              </w:rPr>
            </w:pPr>
            <w:r w:rsidRPr="000458F8">
              <w:rPr>
                <w:sz w:val="20"/>
                <w:szCs w:val="20"/>
                <w:lang w:val="es-ES_tradnl" w:eastAsia="en-CA"/>
              </w:rPr>
              <w:t>1993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4394FA7" w14:textId="77777777" w:rsidR="00C3420C" w:rsidRPr="000458F8" w:rsidRDefault="00C3420C" w:rsidP="008E3F5E">
            <w:pPr>
              <w:jc w:val="right"/>
              <w:rPr>
                <w:sz w:val="20"/>
                <w:szCs w:val="20"/>
                <w:lang w:val="es-ES_tradnl" w:eastAsia="en-CA"/>
              </w:rPr>
            </w:pPr>
            <w:r w:rsidRPr="000458F8">
              <w:rPr>
                <w:sz w:val="20"/>
                <w:szCs w:val="20"/>
                <w:lang w:val="es-ES_tradnl" w:eastAsia="en-CA"/>
              </w:rPr>
              <w:t>57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B18366" w14:textId="77777777" w:rsidR="00C3420C" w:rsidRPr="000458F8" w:rsidRDefault="00C3420C" w:rsidP="008E3F5E">
            <w:pPr>
              <w:jc w:val="right"/>
              <w:rPr>
                <w:sz w:val="20"/>
                <w:szCs w:val="20"/>
                <w:lang w:val="es-ES_tradnl" w:eastAsia="en-CA"/>
              </w:rPr>
            </w:pPr>
            <w:r w:rsidRPr="000458F8">
              <w:rPr>
                <w:sz w:val="20"/>
                <w:szCs w:val="20"/>
                <w:lang w:val="es-ES_tradnl" w:eastAsia="en-CA"/>
              </w:rPr>
              <w:t>57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60AAFB4"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23036974" w14:textId="5F065789" w:rsidR="00C3420C" w:rsidRPr="000458F8" w:rsidRDefault="00C3420C" w:rsidP="008E3F5E">
            <w:pPr>
              <w:jc w:val="right"/>
              <w:rPr>
                <w:sz w:val="20"/>
                <w:szCs w:val="20"/>
                <w:lang w:val="es-ES_tradnl" w:eastAsia="en-CA"/>
              </w:rPr>
            </w:pPr>
            <w:r w:rsidRPr="000458F8">
              <w:rPr>
                <w:sz w:val="20"/>
                <w:szCs w:val="20"/>
                <w:lang w:val="es-ES_tradnl" w:eastAsia="en-CA"/>
              </w:rPr>
              <w:t>13</w:t>
            </w:r>
            <w:r w:rsidR="00700B97" w:rsidRPr="000458F8">
              <w:rPr>
                <w:sz w:val="20"/>
                <w:szCs w:val="20"/>
                <w:lang w:val="es-ES_tradnl" w:eastAsia="en-CA"/>
              </w:rPr>
              <w:t> </w:t>
            </w:r>
            <w:r w:rsidRPr="000458F8">
              <w:rPr>
                <w:sz w:val="20"/>
                <w:szCs w:val="20"/>
                <w:lang w:val="es-ES_tradnl" w:eastAsia="en-CA"/>
              </w:rPr>
              <w:t>204</w:t>
            </w:r>
            <w:r w:rsidR="00700B97" w:rsidRPr="000458F8">
              <w:rPr>
                <w:sz w:val="20"/>
                <w:szCs w:val="20"/>
                <w:lang w:val="es-ES_tradnl" w:eastAsia="en-CA"/>
              </w:rPr>
              <w:t> </w:t>
            </w:r>
            <w:r w:rsidRPr="000458F8">
              <w:rPr>
                <w:sz w:val="20"/>
                <w:szCs w:val="20"/>
                <w:lang w:val="es-ES_tradnl" w:eastAsia="en-CA"/>
              </w:rPr>
              <w:t>712</w:t>
            </w:r>
          </w:p>
        </w:tc>
        <w:tc>
          <w:tcPr>
            <w:tcW w:w="1260" w:type="dxa"/>
            <w:tcBorders>
              <w:top w:val="nil"/>
              <w:left w:val="nil"/>
              <w:bottom w:val="single" w:sz="4" w:space="0" w:color="auto"/>
              <w:right w:val="single" w:sz="4" w:space="0" w:color="auto"/>
            </w:tcBorders>
            <w:shd w:val="clear" w:color="auto" w:fill="auto"/>
            <w:noWrap/>
            <w:vAlign w:val="center"/>
            <w:hideMark/>
          </w:tcPr>
          <w:p w14:paraId="54F1518B" w14:textId="401CC359" w:rsidR="00C3420C" w:rsidRPr="000458F8" w:rsidRDefault="00C3420C" w:rsidP="008E3F5E">
            <w:pPr>
              <w:jc w:val="right"/>
              <w:rPr>
                <w:sz w:val="20"/>
                <w:szCs w:val="20"/>
                <w:lang w:val="es-ES_tradnl" w:eastAsia="en-CA"/>
              </w:rPr>
            </w:pPr>
            <w:r w:rsidRPr="000458F8">
              <w:rPr>
                <w:sz w:val="20"/>
                <w:szCs w:val="20"/>
                <w:lang w:val="es-ES_tradnl" w:eastAsia="en-CA"/>
              </w:rPr>
              <w:t>13</w:t>
            </w:r>
            <w:r w:rsidR="00700B97" w:rsidRPr="000458F8">
              <w:rPr>
                <w:sz w:val="20"/>
                <w:szCs w:val="20"/>
                <w:lang w:val="es-ES_tradnl" w:eastAsia="en-CA"/>
              </w:rPr>
              <w:t> </w:t>
            </w:r>
            <w:r w:rsidRPr="000458F8">
              <w:rPr>
                <w:sz w:val="20"/>
                <w:szCs w:val="20"/>
                <w:lang w:val="es-ES_tradnl" w:eastAsia="en-CA"/>
              </w:rPr>
              <w:t>204</w:t>
            </w:r>
            <w:r w:rsidR="00700B97" w:rsidRPr="000458F8">
              <w:rPr>
                <w:sz w:val="20"/>
                <w:szCs w:val="20"/>
                <w:lang w:val="es-ES_tradnl" w:eastAsia="en-CA"/>
              </w:rPr>
              <w:t> </w:t>
            </w:r>
            <w:r w:rsidRPr="000458F8">
              <w:rPr>
                <w:sz w:val="20"/>
                <w:szCs w:val="20"/>
                <w:lang w:val="es-ES_tradnl" w:eastAsia="en-CA"/>
              </w:rPr>
              <w:t>712</w:t>
            </w:r>
          </w:p>
        </w:tc>
        <w:tc>
          <w:tcPr>
            <w:tcW w:w="1260" w:type="dxa"/>
            <w:tcBorders>
              <w:top w:val="nil"/>
              <w:left w:val="nil"/>
              <w:bottom w:val="single" w:sz="4" w:space="0" w:color="auto"/>
              <w:right w:val="single" w:sz="4" w:space="0" w:color="auto"/>
            </w:tcBorders>
            <w:shd w:val="clear" w:color="auto" w:fill="auto"/>
            <w:noWrap/>
            <w:vAlign w:val="center"/>
            <w:hideMark/>
          </w:tcPr>
          <w:p w14:paraId="48D2297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18ECB79"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ECCC07B"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DC2A9A" w14:textId="77777777" w:rsidR="00C3420C" w:rsidRPr="000458F8" w:rsidRDefault="00C3420C" w:rsidP="008E3F5E">
            <w:pPr>
              <w:jc w:val="left"/>
              <w:rPr>
                <w:sz w:val="20"/>
                <w:szCs w:val="20"/>
                <w:lang w:val="es-ES_tradnl" w:eastAsia="en-CA"/>
              </w:rPr>
            </w:pPr>
            <w:r w:rsidRPr="000458F8">
              <w:rPr>
                <w:sz w:val="20"/>
                <w:szCs w:val="20"/>
                <w:lang w:val="es-ES_tradnl" w:eastAsia="en-CA"/>
              </w:rPr>
              <w:t>1994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75B3AA7" w14:textId="77777777" w:rsidR="00C3420C" w:rsidRPr="000458F8" w:rsidRDefault="00C3420C" w:rsidP="008E3F5E">
            <w:pPr>
              <w:jc w:val="right"/>
              <w:rPr>
                <w:sz w:val="20"/>
                <w:szCs w:val="20"/>
                <w:lang w:val="es-ES_tradnl" w:eastAsia="en-CA"/>
              </w:rPr>
            </w:pPr>
            <w:r w:rsidRPr="000458F8">
              <w:rPr>
                <w:sz w:val="20"/>
                <w:szCs w:val="20"/>
                <w:lang w:val="es-ES_tradnl" w:eastAsia="en-CA"/>
              </w:rPr>
              <w:t>148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1E5D0F0" w14:textId="77777777" w:rsidR="00C3420C" w:rsidRPr="000458F8" w:rsidRDefault="00C3420C" w:rsidP="008E3F5E">
            <w:pPr>
              <w:jc w:val="right"/>
              <w:rPr>
                <w:sz w:val="20"/>
                <w:szCs w:val="20"/>
                <w:lang w:val="es-ES_tradnl" w:eastAsia="en-CA"/>
              </w:rPr>
            </w:pPr>
            <w:r w:rsidRPr="000458F8">
              <w:rPr>
                <w:sz w:val="20"/>
                <w:szCs w:val="20"/>
                <w:lang w:val="es-ES_tradnl" w:eastAsia="en-CA"/>
              </w:rPr>
              <w:t>148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88D70D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052EA015" w14:textId="77FCB8F8" w:rsidR="00C3420C" w:rsidRPr="000458F8" w:rsidRDefault="00C3420C" w:rsidP="008E3F5E">
            <w:pPr>
              <w:jc w:val="right"/>
              <w:rPr>
                <w:sz w:val="20"/>
                <w:szCs w:val="20"/>
                <w:lang w:val="es-ES_tradnl" w:eastAsia="en-CA"/>
              </w:rPr>
            </w:pPr>
            <w:r w:rsidRPr="000458F8">
              <w:rPr>
                <w:sz w:val="20"/>
                <w:szCs w:val="20"/>
                <w:lang w:val="es-ES_tradnl" w:eastAsia="en-CA"/>
              </w:rPr>
              <w:t>49</w:t>
            </w:r>
            <w:r w:rsidR="00700B97" w:rsidRPr="000458F8">
              <w:rPr>
                <w:sz w:val="20"/>
                <w:szCs w:val="20"/>
                <w:lang w:val="es-ES_tradnl" w:eastAsia="en-CA"/>
              </w:rPr>
              <w:t> </w:t>
            </w:r>
            <w:r w:rsidRPr="000458F8">
              <w:rPr>
                <w:sz w:val="20"/>
                <w:szCs w:val="20"/>
                <w:lang w:val="es-ES_tradnl" w:eastAsia="en-CA"/>
              </w:rPr>
              <w:t>481</w:t>
            </w:r>
            <w:r w:rsidR="00700B97" w:rsidRPr="000458F8">
              <w:rPr>
                <w:sz w:val="20"/>
                <w:szCs w:val="20"/>
                <w:lang w:val="es-ES_tradnl" w:eastAsia="en-CA"/>
              </w:rPr>
              <w:t> </w:t>
            </w:r>
            <w:r w:rsidRPr="000458F8">
              <w:rPr>
                <w:sz w:val="20"/>
                <w:szCs w:val="20"/>
                <w:lang w:val="es-ES_tradnl" w:eastAsia="en-CA"/>
              </w:rPr>
              <w:t>581</w:t>
            </w:r>
          </w:p>
        </w:tc>
        <w:tc>
          <w:tcPr>
            <w:tcW w:w="1260" w:type="dxa"/>
            <w:tcBorders>
              <w:top w:val="nil"/>
              <w:left w:val="nil"/>
              <w:bottom w:val="single" w:sz="4" w:space="0" w:color="auto"/>
              <w:right w:val="single" w:sz="4" w:space="0" w:color="auto"/>
            </w:tcBorders>
            <w:shd w:val="clear" w:color="auto" w:fill="auto"/>
            <w:noWrap/>
            <w:vAlign w:val="center"/>
            <w:hideMark/>
          </w:tcPr>
          <w:p w14:paraId="68BFED0A" w14:textId="37E32484" w:rsidR="00C3420C" w:rsidRPr="000458F8" w:rsidRDefault="00C3420C" w:rsidP="008E3F5E">
            <w:pPr>
              <w:jc w:val="right"/>
              <w:rPr>
                <w:sz w:val="20"/>
                <w:szCs w:val="20"/>
                <w:lang w:val="es-ES_tradnl" w:eastAsia="en-CA"/>
              </w:rPr>
            </w:pPr>
            <w:r w:rsidRPr="000458F8">
              <w:rPr>
                <w:sz w:val="20"/>
                <w:szCs w:val="20"/>
                <w:lang w:val="es-ES_tradnl" w:eastAsia="en-CA"/>
              </w:rPr>
              <w:t>49</w:t>
            </w:r>
            <w:r w:rsidR="00700B97" w:rsidRPr="000458F8">
              <w:rPr>
                <w:sz w:val="20"/>
                <w:szCs w:val="20"/>
                <w:lang w:val="es-ES_tradnl" w:eastAsia="en-CA"/>
              </w:rPr>
              <w:t> </w:t>
            </w:r>
            <w:r w:rsidRPr="000458F8">
              <w:rPr>
                <w:sz w:val="20"/>
                <w:szCs w:val="20"/>
                <w:lang w:val="es-ES_tradnl" w:eastAsia="en-CA"/>
              </w:rPr>
              <w:t>481</w:t>
            </w:r>
            <w:r w:rsidR="00700B97" w:rsidRPr="000458F8">
              <w:rPr>
                <w:sz w:val="20"/>
                <w:szCs w:val="20"/>
                <w:lang w:val="es-ES_tradnl" w:eastAsia="en-CA"/>
              </w:rPr>
              <w:t> </w:t>
            </w:r>
            <w:r w:rsidRPr="000458F8">
              <w:rPr>
                <w:sz w:val="20"/>
                <w:szCs w:val="20"/>
                <w:lang w:val="es-ES_tradnl" w:eastAsia="en-CA"/>
              </w:rPr>
              <w:t>581</w:t>
            </w:r>
          </w:p>
        </w:tc>
        <w:tc>
          <w:tcPr>
            <w:tcW w:w="1260" w:type="dxa"/>
            <w:tcBorders>
              <w:top w:val="nil"/>
              <w:left w:val="nil"/>
              <w:bottom w:val="single" w:sz="4" w:space="0" w:color="auto"/>
              <w:right w:val="single" w:sz="4" w:space="0" w:color="auto"/>
            </w:tcBorders>
            <w:shd w:val="clear" w:color="auto" w:fill="auto"/>
            <w:noWrap/>
            <w:vAlign w:val="center"/>
            <w:hideMark/>
          </w:tcPr>
          <w:p w14:paraId="25F5874E"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75479A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6849B1A"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011854" w14:textId="77777777" w:rsidR="00C3420C" w:rsidRPr="000458F8" w:rsidRDefault="00C3420C" w:rsidP="008E3F5E">
            <w:pPr>
              <w:jc w:val="left"/>
              <w:rPr>
                <w:sz w:val="20"/>
                <w:szCs w:val="20"/>
                <w:lang w:val="es-ES_tradnl" w:eastAsia="en-CA"/>
              </w:rPr>
            </w:pPr>
            <w:r w:rsidRPr="000458F8">
              <w:rPr>
                <w:sz w:val="20"/>
                <w:szCs w:val="20"/>
                <w:lang w:val="es-ES_tradnl" w:eastAsia="en-CA"/>
              </w:rPr>
              <w:t>1995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50F5310" w14:textId="77777777" w:rsidR="00C3420C" w:rsidRPr="000458F8" w:rsidRDefault="00C3420C" w:rsidP="008E3F5E">
            <w:pPr>
              <w:jc w:val="right"/>
              <w:rPr>
                <w:sz w:val="20"/>
                <w:szCs w:val="20"/>
                <w:lang w:val="es-ES_tradnl" w:eastAsia="en-CA"/>
              </w:rPr>
            </w:pPr>
            <w:r w:rsidRPr="000458F8">
              <w:rPr>
                <w:sz w:val="20"/>
                <w:szCs w:val="20"/>
                <w:lang w:val="es-ES_tradnl" w:eastAsia="en-CA"/>
              </w:rPr>
              <w:t>117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7F27316" w14:textId="77777777" w:rsidR="00C3420C" w:rsidRPr="000458F8" w:rsidRDefault="00C3420C" w:rsidP="008E3F5E">
            <w:pPr>
              <w:jc w:val="right"/>
              <w:rPr>
                <w:sz w:val="20"/>
                <w:szCs w:val="20"/>
                <w:lang w:val="es-ES_tradnl" w:eastAsia="en-CA"/>
              </w:rPr>
            </w:pPr>
            <w:r w:rsidRPr="000458F8">
              <w:rPr>
                <w:sz w:val="20"/>
                <w:szCs w:val="20"/>
                <w:lang w:val="es-ES_tradnl" w:eastAsia="en-CA"/>
              </w:rPr>
              <w:t>117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B3610F2"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4434FAB7" w14:textId="1574F5A8"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599</w:t>
            </w:r>
            <w:r w:rsidR="00700B97" w:rsidRPr="000458F8">
              <w:rPr>
                <w:sz w:val="20"/>
                <w:szCs w:val="20"/>
                <w:lang w:val="es-ES_tradnl" w:eastAsia="en-CA"/>
              </w:rPr>
              <w:t> </w:t>
            </w:r>
            <w:r w:rsidRPr="000458F8">
              <w:rPr>
                <w:sz w:val="20"/>
                <w:szCs w:val="20"/>
                <w:lang w:val="es-ES_tradnl" w:eastAsia="en-CA"/>
              </w:rPr>
              <w:t>446</w:t>
            </w:r>
          </w:p>
        </w:tc>
        <w:tc>
          <w:tcPr>
            <w:tcW w:w="1260" w:type="dxa"/>
            <w:tcBorders>
              <w:top w:val="nil"/>
              <w:left w:val="nil"/>
              <w:bottom w:val="single" w:sz="4" w:space="0" w:color="auto"/>
              <w:right w:val="single" w:sz="4" w:space="0" w:color="auto"/>
            </w:tcBorders>
            <w:shd w:val="clear" w:color="auto" w:fill="auto"/>
            <w:noWrap/>
            <w:vAlign w:val="center"/>
            <w:hideMark/>
          </w:tcPr>
          <w:p w14:paraId="3F832069" w14:textId="5CA2FC0F"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599</w:t>
            </w:r>
            <w:r w:rsidR="00700B97" w:rsidRPr="000458F8">
              <w:rPr>
                <w:sz w:val="20"/>
                <w:szCs w:val="20"/>
                <w:lang w:val="es-ES_tradnl" w:eastAsia="en-CA"/>
              </w:rPr>
              <w:t> </w:t>
            </w:r>
            <w:r w:rsidRPr="000458F8">
              <w:rPr>
                <w:sz w:val="20"/>
                <w:szCs w:val="20"/>
                <w:lang w:val="es-ES_tradnl" w:eastAsia="en-CA"/>
              </w:rPr>
              <w:t>446</w:t>
            </w:r>
          </w:p>
        </w:tc>
        <w:tc>
          <w:tcPr>
            <w:tcW w:w="1260" w:type="dxa"/>
            <w:tcBorders>
              <w:top w:val="nil"/>
              <w:left w:val="nil"/>
              <w:bottom w:val="single" w:sz="4" w:space="0" w:color="auto"/>
              <w:right w:val="single" w:sz="4" w:space="0" w:color="auto"/>
            </w:tcBorders>
            <w:shd w:val="clear" w:color="auto" w:fill="auto"/>
            <w:noWrap/>
            <w:vAlign w:val="center"/>
            <w:hideMark/>
          </w:tcPr>
          <w:p w14:paraId="247F457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199DB7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F2C65B9"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3F037E" w14:textId="77777777" w:rsidR="00C3420C" w:rsidRPr="000458F8" w:rsidRDefault="00C3420C" w:rsidP="008E3F5E">
            <w:pPr>
              <w:jc w:val="left"/>
              <w:rPr>
                <w:sz w:val="20"/>
                <w:szCs w:val="20"/>
                <w:lang w:val="es-ES_tradnl" w:eastAsia="en-CA"/>
              </w:rPr>
            </w:pPr>
            <w:r w:rsidRPr="000458F8">
              <w:rPr>
                <w:sz w:val="20"/>
                <w:szCs w:val="20"/>
                <w:lang w:val="es-ES_tradnl" w:eastAsia="en-CA"/>
              </w:rPr>
              <w:t>1996</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475EAD0" w14:textId="77777777" w:rsidR="00C3420C" w:rsidRPr="000458F8" w:rsidRDefault="00C3420C" w:rsidP="008E3F5E">
            <w:pPr>
              <w:jc w:val="right"/>
              <w:rPr>
                <w:sz w:val="20"/>
                <w:szCs w:val="20"/>
                <w:lang w:val="es-ES_tradnl" w:eastAsia="en-CA"/>
              </w:rPr>
            </w:pPr>
            <w:r w:rsidRPr="000458F8">
              <w:rPr>
                <w:sz w:val="20"/>
                <w:szCs w:val="20"/>
                <w:lang w:val="es-ES_tradnl" w:eastAsia="en-CA"/>
              </w:rPr>
              <w:t>83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BE18EF" w14:textId="77777777" w:rsidR="00C3420C" w:rsidRPr="000458F8" w:rsidRDefault="00C3420C" w:rsidP="008E3F5E">
            <w:pPr>
              <w:jc w:val="right"/>
              <w:rPr>
                <w:sz w:val="20"/>
                <w:szCs w:val="20"/>
                <w:lang w:val="es-ES_tradnl" w:eastAsia="en-CA"/>
              </w:rPr>
            </w:pPr>
            <w:r w:rsidRPr="000458F8">
              <w:rPr>
                <w:sz w:val="20"/>
                <w:szCs w:val="20"/>
                <w:lang w:val="es-ES_tradnl" w:eastAsia="en-CA"/>
              </w:rPr>
              <w:t>83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9CF6DD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25B53229" w14:textId="1851436E" w:rsidR="00C3420C" w:rsidRPr="000458F8" w:rsidRDefault="00C3420C" w:rsidP="008E3F5E">
            <w:pPr>
              <w:jc w:val="right"/>
              <w:rPr>
                <w:sz w:val="20"/>
                <w:szCs w:val="20"/>
                <w:lang w:val="es-ES_tradnl" w:eastAsia="en-CA"/>
              </w:rPr>
            </w:pPr>
            <w:r w:rsidRPr="000458F8">
              <w:rPr>
                <w:sz w:val="20"/>
                <w:szCs w:val="20"/>
                <w:lang w:val="es-ES_tradnl" w:eastAsia="en-CA"/>
              </w:rPr>
              <w:t>27</w:t>
            </w:r>
            <w:r w:rsidR="00700B97" w:rsidRPr="000458F8">
              <w:rPr>
                <w:sz w:val="20"/>
                <w:szCs w:val="20"/>
                <w:lang w:val="es-ES_tradnl" w:eastAsia="en-CA"/>
              </w:rPr>
              <w:t> </w:t>
            </w:r>
            <w:r w:rsidRPr="000458F8">
              <w:rPr>
                <w:sz w:val="20"/>
                <w:szCs w:val="20"/>
                <w:lang w:val="es-ES_tradnl" w:eastAsia="en-CA"/>
              </w:rPr>
              <w:t>838</w:t>
            </w:r>
            <w:r w:rsidR="00700B97" w:rsidRPr="000458F8">
              <w:rPr>
                <w:sz w:val="20"/>
                <w:szCs w:val="20"/>
                <w:lang w:val="es-ES_tradnl" w:eastAsia="en-CA"/>
              </w:rPr>
              <w:t> </w:t>
            </w:r>
            <w:r w:rsidRPr="000458F8">
              <w:rPr>
                <w:sz w:val="20"/>
                <w:szCs w:val="20"/>
                <w:lang w:val="es-ES_tradnl" w:eastAsia="en-CA"/>
              </w:rPr>
              <w:t>805</w:t>
            </w:r>
          </w:p>
        </w:tc>
        <w:tc>
          <w:tcPr>
            <w:tcW w:w="1260" w:type="dxa"/>
            <w:tcBorders>
              <w:top w:val="nil"/>
              <w:left w:val="nil"/>
              <w:bottom w:val="single" w:sz="4" w:space="0" w:color="auto"/>
              <w:right w:val="single" w:sz="4" w:space="0" w:color="auto"/>
            </w:tcBorders>
            <w:shd w:val="clear" w:color="auto" w:fill="auto"/>
            <w:noWrap/>
            <w:vAlign w:val="center"/>
            <w:hideMark/>
          </w:tcPr>
          <w:p w14:paraId="33522823" w14:textId="50857C60" w:rsidR="00C3420C" w:rsidRPr="000458F8" w:rsidRDefault="00C3420C" w:rsidP="008E3F5E">
            <w:pPr>
              <w:jc w:val="right"/>
              <w:rPr>
                <w:sz w:val="20"/>
                <w:szCs w:val="20"/>
                <w:lang w:val="es-ES_tradnl" w:eastAsia="en-CA"/>
              </w:rPr>
            </w:pPr>
            <w:r w:rsidRPr="000458F8">
              <w:rPr>
                <w:sz w:val="20"/>
                <w:szCs w:val="20"/>
                <w:lang w:val="es-ES_tradnl" w:eastAsia="en-CA"/>
              </w:rPr>
              <w:t>27</w:t>
            </w:r>
            <w:r w:rsidR="00700B97" w:rsidRPr="000458F8">
              <w:rPr>
                <w:sz w:val="20"/>
                <w:szCs w:val="20"/>
                <w:lang w:val="es-ES_tradnl" w:eastAsia="en-CA"/>
              </w:rPr>
              <w:t> </w:t>
            </w:r>
            <w:r w:rsidRPr="000458F8">
              <w:rPr>
                <w:sz w:val="20"/>
                <w:szCs w:val="20"/>
                <w:lang w:val="es-ES_tradnl" w:eastAsia="en-CA"/>
              </w:rPr>
              <w:t>838</w:t>
            </w:r>
            <w:r w:rsidR="00700B97" w:rsidRPr="000458F8">
              <w:rPr>
                <w:sz w:val="20"/>
                <w:szCs w:val="20"/>
                <w:lang w:val="es-ES_tradnl" w:eastAsia="en-CA"/>
              </w:rPr>
              <w:t> </w:t>
            </w:r>
            <w:r w:rsidRPr="000458F8">
              <w:rPr>
                <w:sz w:val="20"/>
                <w:szCs w:val="20"/>
                <w:lang w:val="es-ES_tradnl" w:eastAsia="en-CA"/>
              </w:rPr>
              <w:t>805</w:t>
            </w:r>
          </w:p>
        </w:tc>
        <w:tc>
          <w:tcPr>
            <w:tcW w:w="1260" w:type="dxa"/>
            <w:tcBorders>
              <w:top w:val="nil"/>
              <w:left w:val="nil"/>
              <w:bottom w:val="single" w:sz="4" w:space="0" w:color="auto"/>
              <w:right w:val="single" w:sz="4" w:space="0" w:color="auto"/>
            </w:tcBorders>
            <w:shd w:val="clear" w:color="auto" w:fill="auto"/>
            <w:noWrap/>
            <w:vAlign w:val="center"/>
            <w:hideMark/>
          </w:tcPr>
          <w:p w14:paraId="71DA8700"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77A055B"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267FAD51"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475919" w14:textId="77777777" w:rsidR="00C3420C" w:rsidRPr="000458F8" w:rsidRDefault="00C3420C" w:rsidP="008E3F5E">
            <w:pPr>
              <w:jc w:val="left"/>
              <w:rPr>
                <w:sz w:val="20"/>
                <w:szCs w:val="20"/>
                <w:lang w:val="es-ES_tradnl" w:eastAsia="en-CA"/>
              </w:rPr>
            </w:pPr>
            <w:r w:rsidRPr="000458F8">
              <w:rPr>
                <w:sz w:val="20"/>
                <w:szCs w:val="20"/>
                <w:lang w:val="es-ES_tradnl" w:eastAsia="en-CA"/>
              </w:rPr>
              <w:t>1997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320DB1" w14:textId="77777777" w:rsidR="00C3420C" w:rsidRPr="000458F8" w:rsidRDefault="00C3420C" w:rsidP="008E3F5E">
            <w:pPr>
              <w:jc w:val="right"/>
              <w:rPr>
                <w:sz w:val="20"/>
                <w:szCs w:val="20"/>
                <w:lang w:val="es-ES_tradnl" w:eastAsia="en-CA"/>
              </w:rPr>
            </w:pPr>
            <w:r w:rsidRPr="000458F8">
              <w:rPr>
                <w:sz w:val="20"/>
                <w:szCs w:val="20"/>
                <w:lang w:val="es-ES_tradnl" w:eastAsia="en-CA"/>
              </w:rPr>
              <w:t>188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44411A6" w14:textId="77777777" w:rsidR="00C3420C" w:rsidRPr="000458F8" w:rsidRDefault="00C3420C" w:rsidP="008E3F5E">
            <w:pPr>
              <w:jc w:val="right"/>
              <w:rPr>
                <w:sz w:val="20"/>
                <w:szCs w:val="20"/>
                <w:lang w:val="es-ES_tradnl" w:eastAsia="en-CA"/>
              </w:rPr>
            </w:pPr>
            <w:r w:rsidRPr="000458F8">
              <w:rPr>
                <w:sz w:val="20"/>
                <w:szCs w:val="20"/>
                <w:lang w:val="es-ES_tradnl" w:eastAsia="en-CA"/>
              </w:rPr>
              <w:t>188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265D8B0"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68368112" w14:textId="2BC775E8" w:rsidR="00C3420C" w:rsidRPr="000458F8" w:rsidRDefault="00C3420C" w:rsidP="008E3F5E">
            <w:pPr>
              <w:jc w:val="right"/>
              <w:rPr>
                <w:sz w:val="20"/>
                <w:szCs w:val="20"/>
                <w:lang w:val="es-ES_tradnl" w:eastAsia="en-CA"/>
              </w:rPr>
            </w:pPr>
            <w:r w:rsidRPr="000458F8">
              <w:rPr>
                <w:sz w:val="20"/>
                <w:szCs w:val="20"/>
                <w:lang w:val="es-ES_tradnl" w:eastAsia="en-CA"/>
              </w:rPr>
              <w:t>44</w:t>
            </w:r>
            <w:r w:rsidR="00700B97" w:rsidRPr="000458F8">
              <w:rPr>
                <w:sz w:val="20"/>
                <w:szCs w:val="20"/>
                <w:lang w:val="es-ES_tradnl" w:eastAsia="en-CA"/>
              </w:rPr>
              <w:t> </w:t>
            </w:r>
            <w:r w:rsidRPr="000458F8">
              <w:rPr>
                <w:sz w:val="20"/>
                <w:szCs w:val="20"/>
                <w:lang w:val="es-ES_tradnl" w:eastAsia="en-CA"/>
              </w:rPr>
              <w:t>056</w:t>
            </w:r>
            <w:r w:rsidR="00700B97" w:rsidRPr="000458F8">
              <w:rPr>
                <w:sz w:val="20"/>
                <w:szCs w:val="20"/>
                <w:lang w:val="es-ES_tradnl" w:eastAsia="en-CA"/>
              </w:rPr>
              <w:t> </w:t>
            </w:r>
            <w:r w:rsidRPr="000458F8">
              <w:rPr>
                <w:sz w:val="20"/>
                <w:szCs w:val="20"/>
                <w:lang w:val="es-ES_tradnl" w:eastAsia="en-CA"/>
              </w:rPr>
              <w:t>257</w:t>
            </w:r>
          </w:p>
        </w:tc>
        <w:tc>
          <w:tcPr>
            <w:tcW w:w="1260" w:type="dxa"/>
            <w:tcBorders>
              <w:top w:val="nil"/>
              <w:left w:val="nil"/>
              <w:bottom w:val="single" w:sz="4" w:space="0" w:color="auto"/>
              <w:right w:val="single" w:sz="4" w:space="0" w:color="auto"/>
            </w:tcBorders>
            <w:shd w:val="clear" w:color="auto" w:fill="auto"/>
            <w:noWrap/>
            <w:vAlign w:val="center"/>
            <w:hideMark/>
          </w:tcPr>
          <w:p w14:paraId="0E028508" w14:textId="09F9F203" w:rsidR="00C3420C" w:rsidRPr="000458F8" w:rsidRDefault="00C3420C" w:rsidP="008E3F5E">
            <w:pPr>
              <w:jc w:val="right"/>
              <w:rPr>
                <w:sz w:val="20"/>
                <w:szCs w:val="20"/>
                <w:lang w:val="es-ES_tradnl" w:eastAsia="en-CA"/>
              </w:rPr>
            </w:pPr>
            <w:r w:rsidRPr="000458F8">
              <w:rPr>
                <w:sz w:val="20"/>
                <w:szCs w:val="20"/>
                <w:lang w:val="es-ES_tradnl" w:eastAsia="en-CA"/>
              </w:rPr>
              <w:t>44</w:t>
            </w:r>
            <w:r w:rsidR="00700B97" w:rsidRPr="000458F8">
              <w:rPr>
                <w:sz w:val="20"/>
                <w:szCs w:val="20"/>
                <w:lang w:val="es-ES_tradnl" w:eastAsia="en-CA"/>
              </w:rPr>
              <w:t> </w:t>
            </w:r>
            <w:r w:rsidRPr="000458F8">
              <w:rPr>
                <w:sz w:val="20"/>
                <w:szCs w:val="20"/>
                <w:lang w:val="es-ES_tradnl" w:eastAsia="en-CA"/>
              </w:rPr>
              <w:t>056</w:t>
            </w:r>
            <w:r w:rsidR="00700B97" w:rsidRPr="000458F8">
              <w:rPr>
                <w:sz w:val="20"/>
                <w:szCs w:val="20"/>
                <w:lang w:val="es-ES_tradnl" w:eastAsia="en-CA"/>
              </w:rPr>
              <w:t> </w:t>
            </w:r>
            <w:r w:rsidRPr="000458F8">
              <w:rPr>
                <w:sz w:val="20"/>
                <w:szCs w:val="20"/>
                <w:lang w:val="es-ES_tradnl" w:eastAsia="en-CA"/>
              </w:rPr>
              <w:t>257</w:t>
            </w:r>
          </w:p>
        </w:tc>
        <w:tc>
          <w:tcPr>
            <w:tcW w:w="1260" w:type="dxa"/>
            <w:tcBorders>
              <w:top w:val="nil"/>
              <w:left w:val="nil"/>
              <w:bottom w:val="single" w:sz="4" w:space="0" w:color="auto"/>
              <w:right w:val="single" w:sz="4" w:space="0" w:color="auto"/>
            </w:tcBorders>
            <w:shd w:val="clear" w:color="auto" w:fill="auto"/>
            <w:noWrap/>
            <w:vAlign w:val="center"/>
            <w:hideMark/>
          </w:tcPr>
          <w:p w14:paraId="11B63031"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56388B1"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7325536C"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28CD0D" w14:textId="77777777" w:rsidR="00C3420C" w:rsidRPr="000458F8" w:rsidRDefault="00C3420C" w:rsidP="008E3F5E">
            <w:pPr>
              <w:jc w:val="left"/>
              <w:rPr>
                <w:sz w:val="20"/>
                <w:szCs w:val="20"/>
                <w:lang w:val="es-ES_tradnl" w:eastAsia="en-CA"/>
              </w:rPr>
            </w:pPr>
            <w:r w:rsidRPr="000458F8">
              <w:rPr>
                <w:sz w:val="20"/>
                <w:szCs w:val="20"/>
                <w:lang w:val="es-ES_tradnl" w:eastAsia="en-CA"/>
              </w:rPr>
              <w:t>1998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74F3048" w14:textId="77777777" w:rsidR="00C3420C" w:rsidRPr="000458F8" w:rsidRDefault="00C3420C" w:rsidP="008E3F5E">
            <w:pPr>
              <w:jc w:val="right"/>
              <w:rPr>
                <w:sz w:val="20"/>
                <w:szCs w:val="20"/>
                <w:lang w:val="es-ES_tradnl" w:eastAsia="en-CA"/>
              </w:rPr>
            </w:pPr>
            <w:r w:rsidRPr="000458F8">
              <w:rPr>
                <w:sz w:val="20"/>
                <w:szCs w:val="20"/>
                <w:lang w:val="es-ES_tradnl" w:eastAsia="en-CA"/>
              </w:rPr>
              <w:t>172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3FC1BB6" w14:textId="77777777" w:rsidR="00C3420C" w:rsidRPr="000458F8" w:rsidRDefault="00C3420C" w:rsidP="008E3F5E">
            <w:pPr>
              <w:jc w:val="right"/>
              <w:rPr>
                <w:sz w:val="20"/>
                <w:szCs w:val="20"/>
                <w:lang w:val="es-ES_tradnl" w:eastAsia="en-CA"/>
              </w:rPr>
            </w:pPr>
            <w:r w:rsidRPr="000458F8">
              <w:rPr>
                <w:sz w:val="20"/>
                <w:szCs w:val="20"/>
                <w:lang w:val="es-ES_tradnl" w:eastAsia="en-CA"/>
              </w:rPr>
              <w:t>172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9C001F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46191DE7" w14:textId="73C26AB0" w:rsidR="00C3420C" w:rsidRPr="000458F8" w:rsidRDefault="00C3420C" w:rsidP="008E3F5E">
            <w:pPr>
              <w:jc w:val="right"/>
              <w:rPr>
                <w:sz w:val="20"/>
                <w:szCs w:val="20"/>
                <w:lang w:val="es-ES_tradnl" w:eastAsia="en-CA"/>
              </w:rPr>
            </w:pPr>
            <w:r w:rsidRPr="000458F8">
              <w:rPr>
                <w:sz w:val="20"/>
                <w:szCs w:val="20"/>
                <w:lang w:val="es-ES_tradnl" w:eastAsia="en-CA"/>
              </w:rPr>
              <w:t>31</w:t>
            </w:r>
            <w:r w:rsidR="00700B97" w:rsidRPr="000458F8">
              <w:rPr>
                <w:sz w:val="20"/>
                <w:szCs w:val="20"/>
                <w:lang w:val="es-ES_tradnl" w:eastAsia="en-CA"/>
              </w:rPr>
              <w:t> </w:t>
            </w:r>
            <w:r w:rsidRPr="000458F8">
              <w:rPr>
                <w:sz w:val="20"/>
                <w:szCs w:val="20"/>
                <w:lang w:val="es-ES_tradnl" w:eastAsia="en-CA"/>
              </w:rPr>
              <w:t>305</w:t>
            </w:r>
            <w:r w:rsidR="00700B97" w:rsidRPr="000458F8">
              <w:rPr>
                <w:sz w:val="20"/>
                <w:szCs w:val="20"/>
                <w:lang w:val="es-ES_tradnl" w:eastAsia="en-CA"/>
              </w:rPr>
              <w:t> </w:t>
            </w:r>
            <w:r w:rsidRPr="000458F8">
              <w:rPr>
                <w:sz w:val="20"/>
                <w:szCs w:val="20"/>
                <w:lang w:val="es-ES_tradnl" w:eastAsia="en-CA"/>
              </w:rPr>
              <w:t>010</w:t>
            </w:r>
          </w:p>
        </w:tc>
        <w:tc>
          <w:tcPr>
            <w:tcW w:w="1260" w:type="dxa"/>
            <w:tcBorders>
              <w:top w:val="nil"/>
              <w:left w:val="nil"/>
              <w:bottom w:val="single" w:sz="4" w:space="0" w:color="auto"/>
              <w:right w:val="single" w:sz="4" w:space="0" w:color="auto"/>
            </w:tcBorders>
            <w:shd w:val="clear" w:color="auto" w:fill="auto"/>
            <w:noWrap/>
            <w:vAlign w:val="center"/>
            <w:hideMark/>
          </w:tcPr>
          <w:p w14:paraId="4C9CFC56" w14:textId="171577B0" w:rsidR="00C3420C" w:rsidRPr="000458F8" w:rsidRDefault="00C3420C" w:rsidP="008E3F5E">
            <w:pPr>
              <w:jc w:val="right"/>
              <w:rPr>
                <w:sz w:val="20"/>
                <w:szCs w:val="20"/>
                <w:lang w:val="es-ES_tradnl" w:eastAsia="en-CA"/>
              </w:rPr>
            </w:pPr>
            <w:r w:rsidRPr="000458F8">
              <w:rPr>
                <w:sz w:val="20"/>
                <w:szCs w:val="20"/>
                <w:lang w:val="es-ES_tradnl" w:eastAsia="en-CA"/>
              </w:rPr>
              <w:t>31</w:t>
            </w:r>
            <w:r w:rsidR="00700B97" w:rsidRPr="000458F8">
              <w:rPr>
                <w:sz w:val="20"/>
                <w:szCs w:val="20"/>
                <w:lang w:val="es-ES_tradnl" w:eastAsia="en-CA"/>
              </w:rPr>
              <w:t> </w:t>
            </w:r>
            <w:r w:rsidRPr="000458F8">
              <w:rPr>
                <w:sz w:val="20"/>
                <w:szCs w:val="20"/>
                <w:lang w:val="es-ES_tradnl" w:eastAsia="en-CA"/>
              </w:rPr>
              <w:t>305</w:t>
            </w:r>
            <w:r w:rsidR="00700B97" w:rsidRPr="000458F8">
              <w:rPr>
                <w:sz w:val="20"/>
                <w:szCs w:val="20"/>
                <w:lang w:val="es-ES_tradnl" w:eastAsia="en-CA"/>
              </w:rPr>
              <w:t> </w:t>
            </w:r>
            <w:r w:rsidRPr="000458F8">
              <w:rPr>
                <w:sz w:val="20"/>
                <w:szCs w:val="20"/>
                <w:lang w:val="es-ES_tradnl" w:eastAsia="en-CA"/>
              </w:rPr>
              <w:t>010</w:t>
            </w:r>
          </w:p>
        </w:tc>
        <w:tc>
          <w:tcPr>
            <w:tcW w:w="1260" w:type="dxa"/>
            <w:tcBorders>
              <w:top w:val="nil"/>
              <w:left w:val="nil"/>
              <w:bottom w:val="single" w:sz="4" w:space="0" w:color="auto"/>
              <w:right w:val="single" w:sz="4" w:space="0" w:color="auto"/>
            </w:tcBorders>
            <w:shd w:val="clear" w:color="auto" w:fill="auto"/>
            <w:noWrap/>
            <w:vAlign w:val="center"/>
            <w:hideMark/>
          </w:tcPr>
          <w:p w14:paraId="3D894BC7"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72CF7A5"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904D21D"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FE584F" w14:textId="77777777" w:rsidR="00C3420C" w:rsidRPr="000458F8" w:rsidRDefault="00C3420C" w:rsidP="008E3F5E">
            <w:pPr>
              <w:jc w:val="left"/>
              <w:rPr>
                <w:sz w:val="20"/>
                <w:szCs w:val="20"/>
                <w:lang w:val="es-ES_tradnl" w:eastAsia="en-CA"/>
              </w:rPr>
            </w:pPr>
            <w:r w:rsidRPr="000458F8">
              <w:rPr>
                <w:sz w:val="20"/>
                <w:szCs w:val="20"/>
                <w:lang w:val="es-ES_tradnl" w:eastAsia="en-CA"/>
              </w:rPr>
              <w:t>1999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D8EB521" w14:textId="77777777" w:rsidR="00C3420C" w:rsidRPr="000458F8" w:rsidRDefault="00C3420C" w:rsidP="008E3F5E">
            <w:pPr>
              <w:jc w:val="right"/>
              <w:rPr>
                <w:sz w:val="20"/>
                <w:szCs w:val="20"/>
                <w:lang w:val="es-ES_tradnl" w:eastAsia="en-CA"/>
              </w:rPr>
            </w:pPr>
            <w:r w:rsidRPr="000458F8">
              <w:rPr>
                <w:sz w:val="20"/>
                <w:szCs w:val="20"/>
                <w:lang w:val="es-ES_tradnl" w:eastAsia="en-CA"/>
              </w:rPr>
              <w:t>204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6C77227" w14:textId="77777777" w:rsidR="00C3420C" w:rsidRPr="000458F8" w:rsidRDefault="00C3420C" w:rsidP="008E3F5E">
            <w:pPr>
              <w:jc w:val="right"/>
              <w:rPr>
                <w:sz w:val="20"/>
                <w:szCs w:val="20"/>
                <w:lang w:val="es-ES_tradnl" w:eastAsia="en-CA"/>
              </w:rPr>
            </w:pPr>
            <w:r w:rsidRPr="000458F8">
              <w:rPr>
                <w:sz w:val="20"/>
                <w:szCs w:val="20"/>
                <w:lang w:val="es-ES_tradnl" w:eastAsia="en-CA"/>
              </w:rPr>
              <w:t>204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C7320B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27BB6241" w14:textId="7B4BD6F8"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896</w:t>
            </w:r>
            <w:r w:rsidR="00700B97" w:rsidRPr="000458F8">
              <w:rPr>
                <w:sz w:val="20"/>
                <w:szCs w:val="20"/>
                <w:lang w:val="es-ES_tradnl" w:eastAsia="en-CA"/>
              </w:rPr>
              <w:t> </w:t>
            </w:r>
            <w:r w:rsidRPr="000458F8">
              <w:rPr>
                <w:sz w:val="20"/>
                <w:szCs w:val="20"/>
                <w:lang w:val="es-ES_tradnl" w:eastAsia="en-CA"/>
              </w:rPr>
              <w:t>884</w:t>
            </w:r>
          </w:p>
        </w:tc>
        <w:tc>
          <w:tcPr>
            <w:tcW w:w="1260" w:type="dxa"/>
            <w:tcBorders>
              <w:top w:val="nil"/>
              <w:left w:val="nil"/>
              <w:bottom w:val="single" w:sz="4" w:space="0" w:color="auto"/>
              <w:right w:val="single" w:sz="4" w:space="0" w:color="auto"/>
            </w:tcBorders>
            <w:shd w:val="clear" w:color="auto" w:fill="auto"/>
            <w:noWrap/>
            <w:vAlign w:val="center"/>
            <w:hideMark/>
          </w:tcPr>
          <w:p w14:paraId="5AB5138E" w14:textId="008837A7"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896</w:t>
            </w:r>
            <w:r w:rsidR="00700B97" w:rsidRPr="000458F8">
              <w:rPr>
                <w:sz w:val="20"/>
                <w:szCs w:val="20"/>
                <w:lang w:val="es-ES_tradnl" w:eastAsia="en-CA"/>
              </w:rPr>
              <w:t> </w:t>
            </w:r>
            <w:r w:rsidRPr="000458F8">
              <w:rPr>
                <w:sz w:val="20"/>
                <w:szCs w:val="20"/>
                <w:lang w:val="es-ES_tradnl" w:eastAsia="en-CA"/>
              </w:rPr>
              <w:t>884</w:t>
            </w:r>
          </w:p>
        </w:tc>
        <w:tc>
          <w:tcPr>
            <w:tcW w:w="1260" w:type="dxa"/>
            <w:tcBorders>
              <w:top w:val="nil"/>
              <w:left w:val="nil"/>
              <w:bottom w:val="single" w:sz="4" w:space="0" w:color="auto"/>
              <w:right w:val="single" w:sz="4" w:space="0" w:color="auto"/>
            </w:tcBorders>
            <w:shd w:val="clear" w:color="auto" w:fill="auto"/>
            <w:noWrap/>
            <w:vAlign w:val="center"/>
            <w:hideMark/>
          </w:tcPr>
          <w:p w14:paraId="6FBC1469"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D67FA94"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75BDBDD1"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FD6DEB" w14:textId="77777777" w:rsidR="00C3420C" w:rsidRPr="000458F8" w:rsidRDefault="00C3420C" w:rsidP="008E3F5E">
            <w:pPr>
              <w:jc w:val="left"/>
              <w:rPr>
                <w:sz w:val="20"/>
                <w:szCs w:val="20"/>
                <w:lang w:val="es-ES_tradnl" w:eastAsia="en-CA"/>
              </w:rPr>
            </w:pPr>
            <w:r w:rsidRPr="000458F8">
              <w:rPr>
                <w:sz w:val="20"/>
                <w:szCs w:val="20"/>
                <w:lang w:val="es-ES_tradnl" w:eastAsia="en-CA"/>
              </w:rPr>
              <w:t>2000</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D6E7981" w14:textId="77777777" w:rsidR="00C3420C" w:rsidRPr="000458F8" w:rsidRDefault="00C3420C" w:rsidP="008E3F5E">
            <w:pPr>
              <w:jc w:val="right"/>
              <w:rPr>
                <w:sz w:val="20"/>
                <w:szCs w:val="20"/>
                <w:lang w:val="es-ES_tradnl" w:eastAsia="en-CA"/>
              </w:rPr>
            </w:pPr>
            <w:r w:rsidRPr="000458F8">
              <w:rPr>
                <w:sz w:val="20"/>
                <w:szCs w:val="20"/>
                <w:lang w:val="es-ES_tradnl" w:eastAsia="en-CA"/>
              </w:rPr>
              <w:t>149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2383F5B" w14:textId="77777777" w:rsidR="00C3420C" w:rsidRPr="000458F8" w:rsidRDefault="00C3420C" w:rsidP="008E3F5E">
            <w:pPr>
              <w:jc w:val="right"/>
              <w:rPr>
                <w:sz w:val="20"/>
                <w:szCs w:val="20"/>
                <w:lang w:val="es-ES_tradnl" w:eastAsia="en-CA"/>
              </w:rPr>
            </w:pPr>
            <w:r w:rsidRPr="000458F8">
              <w:rPr>
                <w:sz w:val="20"/>
                <w:szCs w:val="20"/>
                <w:lang w:val="es-ES_tradnl" w:eastAsia="en-CA"/>
              </w:rPr>
              <w:t>149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2E33258"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310F1ADC" w14:textId="79881219" w:rsidR="00C3420C" w:rsidRPr="000458F8" w:rsidRDefault="00C3420C" w:rsidP="008E3F5E">
            <w:pPr>
              <w:jc w:val="right"/>
              <w:rPr>
                <w:sz w:val="20"/>
                <w:szCs w:val="20"/>
                <w:lang w:val="es-ES_tradnl" w:eastAsia="en-CA"/>
              </w:rPr>
            </w:pPr>
            <w:r w:rsidRPr="000458F8">
              <w:rPr>
                <w:sz w:val="20"/>
                <w:szCs w:val="20"/>
                <w:lang w:val="es-ES_tradnl" w:eastAsia="en-CA"/>
              </w:rPr>
              <w:t>31</w:t>
            </w:r>
            <w:r w:rsidR="00700B97" w:rsidRPr="000458F8">
              <w:rPr>
                <w:sz w:val="20"/>
                <w:szCs w:val="20"/>
                <w:lang w:val="es-ES_tradnl" w:eastAsia="en-CA"/>
              </w:rPr>
              <w:t> </w:t>
            </w:r>
            <w:r w:rsidRPr="000458F8">
              <w:rPr>
                <w:sz w:val="20"/>
                <w:szCs w:val="20"/>
                <w:lang w:val="es-ES_tradnl" w:eastAsia="en-CA"/>
              </w:rPr>
              <w:t>268</w:t>
            </w:r>
            <w:r w:rsidR="00700B97" w:rsidRPr="000458F8">
              <w:rPr>
                <w:sz w:val="20"/>
                <w:szCs w:val="20"/>
                <w:lang w:val="es-ES_tradnl" w:eastAsia="en-CA"/>
              </w:rPr>
              <w:t> </w:t>
            </w:r>
            <w:r w:rsidRPr="000458F8">
              <w:rPr>
                <w:sz w:val="20"/>
                <w:szCs w:val="20"/>
                <w:lang w:val="es-ES_tradnl" w:eastAsia="en-CA"/>
              </w:rPr>
              <w:t>361</w:t>
            </w:r>
          </w:p>
        </w:tc>
        <w:tc>
          <w:tcPr>
            <w:tcW w:w="1260" w:type="dxa"/>
            <w:tcBorders>
              <w:top w:val="nil"/>
              <w:left w:val="nil"/>
              <w:bottom w:val="single" w:sz="4" w:space="0" w:color="auto"/>
              <w:right w:val="single" w:sz="4" w:space="0" w:color="auto"/>
            </w:tcBorders>
            <w:shd w:val="clear" w:color="auto" w:fill="auto"/>
            <w:noWrap/>
            <w:vAlign w:val="center"/>
            <w:hideMark/>
          </w:tcPr>
          <w:p w14:paraId="2B8628F0" w14:textId="7509706E" w:rsidR="00C3420C" w:rsidRPr="000458F8" w:rsidRDefault="00C3420C" w:rsidP="008E3F5E">
            <w:pPr>
              <w:jc w:val="right"/>
              <w:rPr>
                <w:sz w:val="20"/>
                <w:szCs w:val="20"/>
                <w:lang w:val="es-ES_tradnl" w:eastAsia="en-CA"/>
              </w:rPr>
            </w:pPr>
            <w:r w:rsidRPr="000458F8">
              <w:rPr>
                <w:sz w:val="20"/>
                <w:szCs w:val="20"/>
                <w:lang w:val="es-ES_tradnl" w:eastAsia="en-CA"/>
              </w:rPr>
              <w:t>31</w:t>
            </w:r>
            <w:r w:rsidR="00700B97" w:rsidRPr="000458F8">
              <w:rPr>
                <w:sz w:val="20"/>
                <w:szCs w:val="20"/>
                <w:lang w:val="es-ES_tradnl" w:eastAsia="en-CA"/>
              </w:rPr>
              <w:t> </w:t>
            </w:r>
            <w:r w:rsidRPr="000458F8">
              <w:rPr>
                <w:sz w:val="20"/>
                <w:szCs w:val="20"/>
                <w:lang w:val="es-ES_tradnl" w:eastAsia="en-CA"/>
              </w:rPr>
              <w:t>268</w:t>
            </w:r>
            <w:r w:rsidR="00700B97" w:rsidRPr="000458F8">
              <w:rPr>
                <w:sz w:val="20"/>
                <w:szCs w:val="20"/>
                <w:lang w:val="es-ES_tradnl" w:eastAsia="en-CA"/>
              </w:rPr>
              <w:t> </w:t>
            </w:r>
            <w:r w:rsidRPr="000458F8">
              <w:rPr>
                <w:sz w:val="20"/>
                <w:szCs w:val="20"/>
                <w:lang w:val="es-ES_tradnl" w:eastAsia="en-CA"/>
              </w:rPr>
              <w:t>361</w:t>
            </w:r>
          </w:p>
        </w:tc>
        <w:tc>
          <w:tcPr>
            <w:tcW w:w="1260" w:type="dxa"/>
            <w:tcBorders>
              <w:top w:val="nil"/>
              <w:left w:val="nil"/>
              <w:bottom w:val="single" w:sz="4" w:space="0" w:color="auto"/>
              <w:right w:val="single" w:sz="4" w:space="0" w:color="auto"/>
            </w:tcBorders>
            <w:shd w:val="clear" w:color="auto" w:fill="auto"/>
            <w:noWrap/>
            <w:vAlign w:val="center"/>
            <w:hideMark/>
          </w:tcPr>
          <w:p w14:paraId="54DD4FC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94BA31F"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2E9C8D5"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27E7CD" w14:textId="77777777" w:rsidR="00C3420C" w:rsidRPr="000458F8" w:rsidRDefault="00C3420C" w:rsidP="008E3F5E">
            <w:pPr>
              <w:jc w:val="left"/>
              <w:rPr>
                <w:sz w:val="20"/>
                <w:szCs w:val="20"/>
                <w:lang w:val="es-ES_tradnl" w:eastAsia="en-CA"/>
              </w:rPr>
            </w:pPr>
            <w:r w:rsidRPr="000458F8">
              <w:rPr>
                <w:sz w:val="20"/>
                <w:szCs w:val="20"/>
                <w:lang w:val="es-ES_tradnl" w:eastAsia="en-CA"/>
              </w:rPr>
              <w:t>2001</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4F4541B" w14:textId="77777777" w:rsidR="00C3420C" w:rsidRPr="000458F8" w:rsidRDefault="00C3420C" w:rsidP="008E3F5E">
            <w:pPr>
              <w:jc w:val="right"/>
              <w:rPr>
                <w:sz w:val="20"/>
                <w:szCs w:val="20"/>
                <w:lang w:val="es-ES_tradnl" w:eastAsia="en-CA"/>
              </w:rPr>
            </w:pPr>
            <w:r w:rsidRPr="000458F8">
              <w:rPr>
                <w:sz w:val="20"/>
                <w:szCs w:val="20"/>
                <w:lang w:val="es-ES_tradnl" w:eastAsia="en-CA"/>
              </w:rPr>
              <w:t>179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4B3EDC" w14:textId="77777777" w:rsidR="00C3420C" w:rsidRPr="000458F8" w:rsidRDefault="00C3420C" w:rsidP="008E3F5E">
            <w:pPr>
              <w:jc w:val="right"/>
              <w:rPr>
                <w:sz w:val="20"/>
                <w:szCs w:val="20"/>
                <w:lang w:val="es-ES_tradnl" w:eastAsia="en-CA"/>
              </w:rPr>
            </w:pPr>
            <w:r w:rsidRPr="000458F8">
              <w:rPr>
                <w:sz w:val="20"/>
                <w:szCs w:val="20"/>
                <w:lang w:val="es-ES_tradnl" w:eastAsia="en-CA"/>
              </w:rPr>
              <w:t>179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DB780D2"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33D5DEB8" w14:textId="5F86F10E"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292</w:t>
            </w:r>
            <w:r w:rsidR="00700B97" w:rsidRPr="000458F8">
              <w:rPr>
                <w:sz w:val="20"/>
                <w:szCs w:val="20"/>
                <w:lang w:val="es-ES_tradnl" w:eastAsia="en-CA"/>
              </w:rPr>
              <w:t> </w:t>
            </w:r>
            <w:r w:rsidRPr="000458F8">
              <w:rPr>
                <w:sz w:val="20"/>
                <w:szCs w:val="20"/>
                <w:lang w:val="es-ES_tradnl" w:eastAsia="en-CA"/>
              </w:rPr>
              <w:t>271</w:t>
            </w:r>
          </w:p>
        </w:tc>
        <w:tc>
          <w:tcPr>
            <w:tcW w:w="1260" w:type="dxa"/>
            <w:tcBorders>
              <w:top w:val="nil"/>
              <w:left w:val="nil"/>
              <w:bottom w:val="single" w:sz="4" w:space="0" w:color="auto"/>
              <w:right w:val="single" w:sz="4" w:space="0" w:color="auto"/>
            </w:tcBorders>
            <w:shd w:val="clear" w:color="auto" w:fill="auto"/>
            <w:noWrap/>
            <w:vAlign w:val="center"/>
            <w:hideMark/>
          </w:tcPr>
          <w:p w14:paraId="2ECDF802" w14:textId="6225BB9D"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292</w:t>
            </w:r>
            <w:r w:rsidR="00700B97" w:rsidRPr="000458F8">
              <w:rPr>
                <w:sz w:val="20"/>
                <w:szCs w:val="20"/>
                <w:lang w:val="es-ES_tradnl" w:eastAsia="en-CA"/>
              </w:rPr>
              <w:t> </w:t>
            </w:r>
            <w:r w:rsidRPr="000458F8">
              <w:rPr>
                <w:sz w:val="20"/>
                <w:szCs w:val="20"/>
                <w:lang w:val="es-ES_tradnl" w:eastAsia="en-CA"/>
              </w:rPr>
              <w:t>271</w:t>
            </w:r>
          </w:p>
        </w:tc>
        <w:tc>
          <w:tcPr>
            <w:tcW w:w="1260" w:type="dxa"/>
            <w:tcBorders>
              <w:top w:val="nil"/>
              <w:left w:val="nil"/>
              <w:bottom w:val="single" w:sz="4" w:space="0" w:color="auto"/>
              <w:right w:val="single" w:sz="4" w:space="0" w:color="auto"/>
            </w:tcBorders>
            <w:shd w:val="clear" w:color="auto" w:fill="auto"/>
            <w:noWrap/>
            <w:vAlign w:val="center"/>
            <w:hideMark/>
          </w:tcPr>
          <w:p w14:paraId="2EB0434A"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B122A3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96E9734"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DCA7935" w14:textId="77777777" w:rsidR="00C3420C" w:rsidRPr="000458F8" w:rsidRDefault="00C3420C" w:rsidP="008E3F5E">
            <w:pPr>
              <w:jc w:val="left"/>
              <w:rPr>
                <w:sz w:val="20"/>
                <w:szCs w:val="20"/>
                <w:lang w:val="es-ES_tradnl" w:eastAsia="en-CA"/>
              </w:rPr>
            </w:pPr>
            <w:r w:rsidRPr="000458F8">
              <w:rPr>
                <w:sz w:val="20"/>
                <w:szCs w:val="20"/>
                <w:lang w:val="es-ES_tradnl" w:eastAsia="en-CA"/>
              </w:rPr>
              <w:t>2002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98BA52" w14:textId="77777777" w:rsidR="00C3420C" w:rsidRPr="000458F8" w:rsidRDefault="00C3420C" w:rsidP="008E3F5E">
            <w:pPr>
              <w:jc w:val="right"/>
              <w:rPr>
                <w:sz w:val="20"/>
                <w:szCs w:val="20"/>
                <w:lang w:val="es-ES_tradnl" w:eastAsia="en-CA"/>
              </w:rPr>
            </w:pPr>
            <w:r w:rsidRPr="000458F8">
              <w:rPr>
                <w:sz w:val="20"/>
                <w:szCs w:val="20"/>
                <w:lang w:val="es-ES_tradnl" w:eastAsia="en-CA"/>
              </w:rPr>
              <w:t>117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D30D45A" w14:textId="77777777" w:rsidR="00C3420C" w:rsidRPr="000458F8" w:rsidRDefault="00C3420C" w:rsidP="008E3F5E">
            <w:pPr>
              <w:jc w:val="right"/>
              <w:rPr>
                <w:sz w:val="20"/>
                <w:szCs w:val="20"/>
                <w:lang w:val="es-ES_tradnl" w:eastAsia="en-CA"/>
              </w:rPr>
            </w:pPr>
            <w:r w:rsidRPr="000458F8">
              <w:rPr>
                <w:sz w:val="20"/>
                <w:szCs w:val="20"/>
                <w:lang w:val="es-ES_tradnl" w:eastAsia="en-CA"/>
              </w:rPr>
              <w:t>117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4F3E36"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0C127C54" w14:textId="7FB2F464" w:rsidR="00C3420C" w:rsidRPr="000458F8" w:rsidRDefault="00C3420C" w:rsidP="008E3F5E">
            <w:pPr>
              <w:jc w:val="right"/>
              <w:rPr>
                <w:sz w:val="20"/>
                <w:szCs w:val="20"/>
                <w:lang w:val="es-ES_tradnl" w:eastAsia="en-CA"/>
              </w:rPr>
            </w:pPr>
            <w:r w:rsidRPr="000458F8">
              <w:rPr>
                <w:sz w:val="20"/>
                <w:szCs w:val="20"/>
                <w:lang w:val="es-ES_tradnl" w:eastAsia="en-CA"/>
              </w:rPr>
              <w:t>44</w:t>
            </w:r>
            <w:r w:rsidR="00700B97" w:rsidRPr="000458F8">
              <w:rPr>
                <w:sz w:val="20"/>
                <w:szCs w:val="20"/>
                <w:lang w:val="es-ES_tradnl" w:eastAsia="en-CA"/>
              </w:rPr>
              <w:t> </w:t>
            </w:r>
            <w:r w:rsidRPr="000458F8">
              <w:rPr>
                <w:sz w:val="20"/>
                <w:szCs w:val="20"/>
                <w:lang w:val="es-ES_tradnl" w:eastAsia="en-CA"/>
              </w:rPr>
              <w:t>316</w:t>
            </w:r>
            <w:r w:rsidR="00700B97" w:rsidRPr="000458F8">
              <w:rPr>
                <w:sz w:val="20"/>
                <w:szCs w:val="20"/>
                <w:lang w:val="es-ES_tradnl" w:eastAsia="en-CA"/>
              </w:rPr>
              <w:t> </w:t>
            </w:r>
            <w:r w:rsidRPr="000458F8">
              <w:rPr>
                <w:sz w:val="20"/>
                <w:szCs w:val="20"/>
                <w:lang w:val="es-ES_tradnl" w:eastAsia="en-CA"/>
              </w:rPr>
              <w:t>422</w:t>
            </w:r>
          </w:p>
        </w:tc>
        <w:tc>
          <w:tcPr>
            <w:tcW w:w="1260" w:type="dxa"/>
            <w:tcBorders>
              <w:top w:val="nil"/>
              <w:left w:val="nil"/>
              <w:bottom w:val="single" w:sz="4" w:space="0" w:color="auto"/>
              <w:right w:val="single" w:sz="4" w:space="0" w:color="auto"/>
            </w:tcBorders>
            <w:shd w:val="clear" w:color="auto" w:fill="auto"/>
            <w:noWrap/>
            <w:vAlign w:val="center"/>
            <w:hideMark/>
          </w:tcPr>
          <w:p w14:paraId="3C386CC5" w14:textId="7E54BDDE" w:rsidR="00C3420C" w:rsidRPr="000458F8" w:rsidRDefault="00C3420C" w:rsidP="008E3F5E">
            <w:pPr>
              <w:jc w:val="right"/>
              <w:rPr>
                <w:sz w:val="20"/>
                <w:szCs w:val="20"/>
                <w:lang w:val="es-ES_tradnl" w:eastAsia="en-CA"/>
              </w:rPr>
            </w:pPr>
            <w:r w:rsidRPr="000458F8">
              <w:rPr>
                <w:sz w:val="20"/>
                <w:szCs w:val="20"/>
                <w:lang w:val="es-ES_tradnl" w:eastAsia="en-CA"/>
              </w:rPr>
              <w:t>44</w:t>
            </w:r>
            <w:r w:rsidR="00700B97" w:rsidRPr="000458F8">
              <w:rPr>
                <w:sz w:val="20"/>
                <w:szCs w:val="20"/>
                <w:lang w:val="es-ES_tradnl" w:eastAsia="en-CA"/>
              </w:rPr>
              <w:t> </w:t>
            </w:r>
            <w:r w:rsidRPr="000458F8">
              <w:rPr>
                <w:sz w:val="20"/>
                <w:szCs w:val="20"/>
                <w:lang w:val="es-ES_tradnl" w:eastAsia="en-CA"/>
              </w:rPr>
              <w:t>316</w:t>
            </w:r>
            <w:r w:rsidR="00700B97" w:rsidRPr="000458F8">
              <w:rPr>
                <w:sz w:val="20"/>
                <w:szCs w:val="20"/>
                <w:lang w:val="es-ES_tradnl" w:eastAsia="en-CA"/>
              </w:rPr>
              <w:t> </w:t>
            </w:r>
            <w:r w:rsidRPr="000458F8">
              <w:rPr>
                <w:sz w:val="20"/>
                <w:szCs w:val="20"/>
                <w:lang w:val="es-ES_tradnl" w:eastAsia="en-CA"/>
              </w:rPr>
              <w:t>422</w:t>
            </w:r>
          </w:p>
        </w:tc>
        <w:tc>
          <w:tcPr>
            <w:tcW w:w="1260" w:type="dxa"/>
            <w:tcBorders>
              <w:top w:val="nil"/>
              <w:left w:val="nil"/>
              <w:bottom w:val="single" w:sz="4" w:space="0" w:color="auto"/>
              <w:right w:val="single" w:sz="4" w:space="0" w:color="auto"/>
            </w:tcBorders>
            <w:shd w:val="clear" w:color="auto" w:fill="auto"/>
            <w:noWrap/>
            <w:vAlign w:val="center"/>
            <w:hideMark/>
          </w:tcPr>
          <w:p w14:paraId="5BB19BA1"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7AC5611"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B73EF6D"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AB753D" w14:textId="77777777" w:rsidR="00C3420C" w:rsidRPr="000458F8" w:rsidRDefault="00C3420C" w:rsidP="008E3F5E">
            <w:pPr>
              <w:jc w:val="left"/>
              <w:rPr>
                <w:sz w:val="20"/>
                <w:szCs w:val="20"/>
                <w:lang w:val="es-ES_tradnl" w:eastAsia="en-CA"/>
              </w:rPr>
            </w:pPr>
            <w:r w:rsidRPr="000458F8">
              <w:rPr>
                <w:sz w:val="20"/>
                <w:szCs w:val="20"/>
                <w:lang w:val="es-ES_tradnl" w:eastAsia="en-CA"/>
              </w:rPr>
              <w:t>2003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6BD8CB6" w14:textId="77777777" w:rsidR="00C3420C" w:rsidRPr="000458F8" w:rsidRDefault="00C3420C" w:rsidP="008E3F5E">
            <w:pPr>
              <w:jc w:val="right"/>
              <w:rPr>
                <w:sz w:val="20"/>
                <w:szCs w:val="20"/>
                <w:lang w:val="es-ES_tradnl" w:eastAsia="en-CA"/>
              </w:rPr>
            </w:pPr>
            <w:r w:rsidRPr="000458F8">
              <w:rPr>
                <w:sz w:val="20"/>
                <w:szCs w:val="20"/>
                <w:lang w:val="es-ES_tradnl" w:eastAsia="en-CA"/>
              </w:rPr>
              <w:t>64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0CBFD02" w14:textId="77777777" w:rsidR="00C3420C" w:rsidRPr="000458F8" w:rsidRDefault="00C3420C" w:rsidP="008E3F5E">
            <w:pPr>
              <w:jc w:val="right"/>
              <w:rPr>
                <w:sz w:val="20"/>
                <w:szCs w:val="20"/>
                <w:lang w:val="es-ES_tradnl" w:eastAsia="en-CA"/>
              </w:rPr>
            </w:pPr>
            <w:r w:rsidRPr="000458F8">
              <w:rPr>
                <w:sz w:val="20"/>
                <w:szCs w:val="20"/>
                <w:lang w:val="es-ES_tradnl" w:eastAsia="en-CA"/>
              </w:rPr>
              <w:t>64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B5F5D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6BA60BB4" w14:textId="68DF0DBB" w:rsidR="00C3420C" w:rsidRPr="000458F8" w:rsidRDefault="00C3420C" w:rsidP="008E3F5E">
            <w:pPr>
              <w:jc w:val="right"/>
              <w:rPr>
                <w:sz w:val="20"/>
                <w:szCs w:val="20"/>
                <w:lang w:val="es-ES_tradnl" w:eastAsia="en-CA"/>
              </w:rPr>
            </w:pPr>
            <w:r w:rsidRPr="000458F8">
              <w:rPr>
                <w:sz w:val="20"/>
                <w:szCs w:val="20"/>
                <w:lang w:val="es-ES_tradnl" w:eastAsia="en-CA"/>
              </w:rPr>
              <w:t>36</w:t>
            </w:r>
            <w:r w:rsidR="00700B97" w:rsidRPr="000458F8">
              <w:rPr>
                <w:sz w:val="20"/>
                <w:szCs w:val="20"/>
                <w:lang w:val="es-ES_tradnl" w:eastAsia="en-CA"/>
              </w:rPr>
              <w:t> </w:t>
            </w:r>
            <w:r w:rsidRPr="000458F8">
              <w:rPr>
                <w:sz w:val="20"/>
                <w:szCs w:val="20"/>
                <w:lang w:val="es-ES_tradnl" w:eastAsia="en-CA"/>
              </w:rPr>
              <w:t>336</w:t>
            </w:r>
            <w:r w:rsidR="00700B97" w:rsidRPr="000458F8">
              <w:rPr>
                <w:sz w:val="20"/>
                <w:szCs w:val="20"/>
                <w:lang w:val="es-ES_tradnl" w:eastAsia="en-CA"/>
              </w:rPr>
              <w:t> </w:t>
            </w:r>
            <w:r w:rsidRPr="000458F8">
              <w:rPr>
                <w:sz w:val="20"/>
                <w:szCs w:val="20"/>
                <w:lang w:val="es-ES_tradnl" w:eastAsia="en-CA"/>
              </w:rPr>
              <w:t>530</w:t>
            </w:r>
          </w:p>
        </w:tc>
        <w:tc>
          <w:tcPr>
            <w:tcW w:w="1260" w:type="dxa"/>
            <w:tcBorders>
              <w:top w:val="nil"/>
              <w:left w:val="nil"/>
              <w:bottom w:val="single" w:sz="4" w:space="0" w:color="auto"/>
              <w:right w:val="single" w:sz="4" w:space="0" w:color="auto"/>
            </w:tcBorders>
            <w:shd w:val="clear" w:color="auto" w:fill="auto"/>
            <w:noWrap/>
            <w:vAlign w:val="center"/>
            <w:hideMark/>
          </w:tcPr>
          <w:p w14:paraId="5C1BF24C" w14:textId="3E3AC184" w:rsidR="00C3420C" w:rsidRPr="000458F8" w:rsidRDefault="00C3420C" w:rsidP="008E3F5E">
            <w:pPr>
              <w:jc w:val="right"/>
              <w:rPr>
                <w:sz w:val="20"/>
                <w:szCs w:val="20"/>
                <w:lang w:val="es-ES_tradnl" w:eastAsia="en-CA"/>
              </w:rPr>
            </w:pPr>
            <w:r w:rsidRPr="000458F8">
              <w:rPr>
                <w:sz w:val="20"/>
                <w:szCs w:val="20"/>
                <w:lang w:val="es-ES_tradnl" w:eastAsia="en-CA"/>
              </w:rPr>
              <w:t>36</w:t>
            </w:r>
            <w:r w:rsidR="00700B97" w:rsidRPr="000458F8">
              <w:rPr>
                <w:sz w:val="20"/>
                <w:szCs w:val="20"/>
                <w:lang w:val="es-ES_tradnl" w:eastAsia="en-CA"/>
              </w:rPr>
              <w:t> </w:t>
            </w:r>
            <w:r w:rsidRPr="000458F8">
              <w:rPr>
                <w:sz w:val="20"/>
                <w:szCs w:val="20"/>
                <w:lang w:val="es-ES_tradnl" w:eastAsia="en-CA"/>
              </w:rPr>
              <w:t>336</w:t>
            </w:r>
            <w:r w:rsidR="00700B97" w:rsidRPr="000458F8">
              <w:rPr>
                <w:sz w:val="20"/>
                <w:szCs w:val="20"/>
                <w:lang w:val="es-ES_tradnl" w:eastAsia="en-CA"/>
              </w:rPr>
              <w:t> </w:t>
            </w:r>
            <w:r w:rsidRPr="000458F8">
              <w:rPr>
                <w:sz w:val="20"/>
                <w:szCs w:val="20"/>
                <w:lang w:val="es-ES_tradnl" w:eastAsia="en-CA"/>
              </w:rPr>
              <w:t>530</w:t>
            </w:r>
          </w:p>
        </w:tc>
        <w:tc>
          <w:tcPr>
            <w:tcW w:w="1260" w:type="dxa"/>
            <w:tcBorders>
              <w:top w:val="nil"/>
              <w:left w:val="nil"/>
              <w:bottom w:val="single" w:sz="4" w:space="0" w:color="auto"/>
              <w:right w:val="single" w:sz="4" w:space="0" w:color="auto"/>
            </w:tcBorders>
            <w:shd w:val="clear" w:color="auto" w:fill="auto"/>
            <w:noWrap/>
            <w:vAlign w:val="center"/>
            <w:hideMark/>
          </w:tcPr>
          <w:p w14:paraId="372B3BD4"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0A3154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8708C8D"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B51001" w14:textId="77777777" w:rsidR="00C3420C" w:rsidRPr="000458F8" w:rsidRDefault="00C3420C" w:rsidP="008E3F5E">
            <w:pPr>
              <w:jc w:val="left"/>
              <w:rPr>
                <w:sz w:val="20"/>
                <w:szCs w:val="20"/>
                <w:lang w:val="es-ES_tradnl" w:eastAsia="en-CA"/>
              </w:rPr>
            </w:pPr>
            <w:r w:rsidRPr="000458F8">
              <w:rPr>
                <w:sz w:val="20"/>
                <w:szCs w:val="20"/>
                <w:lang w:val="es-ES_tradnl" w:eastAsia="en-CA"/>
              </w:rPr>
              <w:t>2004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2339CF5" w14:textId="77777777" w:rsidR="00C3420C" w:rsidRPr="000458F8" w:rsidRDefault="00C3420C" w:rsidP="008E3F5E">
            <w:pPr>
              <w:jc w:val="right"/>
              <w:rPr>
                <w:sz w:val="20"/>
                <w:szCs w:val="20"/>
                <w:lang w:val="es-ES_tradnl" w:eastAsia="en-CA"/>
              </w:rPr>
            </w:pPr>
            <w:r w:rsidRPr="000458F8">
              <w:rPr>
                <w:sz w:val="20"/>
                <w:szCs w:val="20"/>
                <w:lang w:val="es-ES_tradnl" w:eastAsia="en-CA"/>
              </w:rPr>
              <w:t>69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1190506" w14:textId="77777777" w:rsidR="00C3420C" w:rsidRPr="000458F8" w:rsidRDefault="00C3420C" w:rsidP="008E3F5E">
            <w:pPr>
              <w:jc w:val="right"/>
              <w:rPr>
                <w:sz w:val="20"/>
                <w:szCs w:val="20"/>
                <w:lang w:val="es-ES_tradnl" w:eastAsia="en-CA"/>
              </w:rPr>
            </w:pPr>
            <w:r w:rsidRPr="000458F8">
              <w:rPr>
                <w:sz w:val="20"/>
                <w:szCs w:val="20"/>
                <w:lang w:val="es-ES_tradnl" w:eastAsia="en-CA"/>
              </w:rPr>
              <w:t>69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7E27C7F"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16CEB8EE" w14:textId="52F02660" w:rsidR="00C3420C" w:rsidRPr="000458F8" w:rsidRDefault="00C3420C" w:rsidP="008E3F5E">
            <w:pPr>
              <w:jc w:val="right"/>
              <w:rPr>
                <w:sz w:val="20"/>
                <w:szCs w:val="20"/>
                <w:lang w:val="es-ES_tradnl" w:eastAsia="en-CA"/>
              </w:rPr>
            </w:pPr>
            <w:r w:rsidRPr="000458F8">
              <w:rPr>
                <w:sz w:val="20"/>
                <w:szCs w:val="20"/>
                <w:lang w:val="es-ES_tradnl" w:eastAsia="en-CA"/>
              </w:rPr>
              <w:t>24</w:t>
            </w:r>
            <w:r w:rsidR="00700B97" w:rsidRPr="000458F8">
              <w:rPr>
                <w:sz w:val="20"/>
                <w:szCs w:val="20"/>
                <w:lang w:val="es-ES_tradnl" w:eastAsia="en-CA"/>
              </w:rPr>
              <w:t> </w:t>
            </w:r>
            <w:r w:rsidRPr="000458F8">
              <w:rPr>
                <w:sz w:val="20"/>
                <w:szCs w:val="20"/>
                <w:lang w:val="es-ES_tradnl" w:eastAsia="en-CA"/>
              </w:rPr>
              <w:t>802</w:t>
            </w:r>
            <w:r w:rsidR="00700B97" w:rsidRPr="000458F8">
              <w:rPr>
                <w:sz w:val="20"/>
                <w:szCs w:val="20"/>
                <w:lang w:val="es-ES_tradnl" w:eastAsia="en-CA"/>
              </w:rPr>
              <w:t> </w:t>
            </w:r>
            <w:r w:rsidRPr="000458F8">
              <w:rPr>
                <w:sz w:val="20"/>
                <w:szCs w:val="20"/>
                <w:lang w:val="es-ES_tradnl" w:eastAsia="en-CA"/>
              </w:rPr>
              <w:t>714</w:t>
            </w:r>
          </w:p>
        </w:tc>
        <w:tc>
          <w:tcPr>
            <w:tcW w:w="1260" w:type="dxa"/>
            <w:tcBorders>
              <w:top w:val="nil"/>
              <w:left w:val="nil"/>
              <w:bottom w:val="single" w:sz="4" w:space="0" w:color="auto"/>
              <w:right w:val="single" w:sz="4" w:space="0" w:color="auto"/>
            </w:tcBorders>
            <w:shd w:val="clear" w:color="auto" w:fill="auto"/>
            <w:noWrap/>
            <w:vAlign w:val="center"/>
            <w:hideMark/>
          </w:tcPr>
          <w:p w14:paraId="13993D0F" w14:textId="21E14DA3" w:rsidR="00C3420C" w:rsidRPr="000458F8" w:rsidRDefault="00C3420C" w:rsidP="008E3F5E">
            <w:pPr>
              <w:jc w:val="right"/>
              <w:rPr>
                <w:sz w:val="20"/>
                <w:szCs w:val="20"/>
                <w:lang w:val="es-ES_tradnl" w:eastAsia="en-CA"/>
              </w:rPr>
            </w:pPr>
            <w:r w:rsidRPr="000458F8">
              <w:rPr>
                <w:sz w:val="20"/>
                <w:szCs w:val="20"/>
                <w:lang w:val="es-ES_tradnl" w:eastAsia="en-CA"/>
              </w:rPr>
              <w:t>24</w:t>
            </w:r>
            <w:r w:rsidR="00700B97" w:rsidRPr="000458F8">
              <w:rPr>
                <w:sz w:val="20"/>
                <w:szCs w:val="20"/>
                <w:lang w:val="es-ES_tradnl" w:eastAsia="en-CA"/>
              </w:rPr>
              <w:t> </w:t>
            </w:r>
            <w:r w:rsidRPr="000458F8">
              <w:rPr>
                <w:sz w:val="20"/>
                <w:szCs w:val="20"/>
                <w:lang w:val="es-ES_tradnl" w:eastAsia="en-CA"/>
              </w:rPr>
              <w:t>802</w:t>
            </w:r>
            <w:r w:rsidR="00700B97" w:rsidRPr="000458F8">
              <w:rPr>
                <w:sz w:val="20"/>
                <w:szCs w:val="20"/>
                <w:lang w:val="es-ES_tradnl" w:eastAsia="en-CA"/>
              </w:rPr>
              <w:t> </w:t>
            </w:r>
            <w:r w:rsidRPr="000458F8">
              <w:rPr>
                <w:sz w:val="20"/>
                <w:szCs w:val="20"/>
                <w:lang w:val="es-ES_tradnl" w:eastAsia="en-CA"/>
              </w:rPr>
              <w:t>714</w:t>
            </w:r>
          </w:p>
        </w:tc>
        <w:tc>
          <w:tcPr>
            <w:tcW w:w="1260" w:type="dxa"/>
            <w:tcBorders>
              <w:top w:val="nil"/>
              <w:left w:val="nil"/>
              <w:bottom w:val="single" w:sz="4" w:space="0" w:color="auto"/>
              <w:right w:val="single" w:sz="4" w:space="0" w:color="auto"/>
            </w:tcBorders>
            <w:shd w:val="clear" w:color="auto" w:fill="auto"/>
            <w:noWrap/>
            <w:vAlign w:val="center"/>
            <w:hideMark/>
          </w:tcPr>
          <w:p w14:paraId="78C81D92"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2361E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40A23A5"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CCD3B0" w14:textId="77777777" w:rsidR="00C3420C" w:rsidRPr="000458F8" w:rsidRDefault="00C3420C" w:rsidP="008E3F5E">
            <w:pPr>
              <w:jc w:val="left"/>
              <w:rPr>
                <w:sz w:val="20"/>
                <w:szCs w:val="20"/>
                <w:lang w:val="es-ES_tradnl" w:eastAsia="en-CA"/>
              </w:rPr>
            </w:pPr>
            <w:r w:rsidRPr="000458F8">
              <w:rPr>
                <w:sz w:val="20"/>
                <w:szCs w:val="20"/>
                <w:lang w:val="es-ES_tradnl" w:eastAsia="en-CA"/>
              </w:rPr>
              <w:t>2005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CE1F84D" w14:textId="77777777" w:rsidR="00C3420C" w:rsidRPr="000458F8" w:rsidRDefault="00C3420C" w:rsidP="008E3F5E">
            <w:pPr>
              <w:jc w:val="right"/>
              <w:rPr>
                <w:sz w:val="20"/>
                <w:szCs w:val="20"/>
                <w:lang w:val="es-ES_tradnl" w:eastAsia="en-CA"/>
              </w:rPr>
            </w:pPr>
            <w:r w:rsidRPr="000458F8">
              <w:rPr>
                <w:sz w:val="20"/>
                <w:szCs w:val="20"/>
                <w:lang w:val="es-ES_tradnl" w:eastAsia="en-CA"/>
              </w:rPr>
              <w:t>53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3FF9B6F" w14:textId="77777777" w:rsidR="00C3420C" w:rsidRPr="000458F8" w:rsidRDefault="00C3420C" w:rsidP="008E3F5E">
            <w:pPr>
              <w:jc w:val="right"/>
              <w:rPr>
                <w:sz w:val="20"/>
                <w:szCs w:val="20"/>
                <w:lang w:val="es-ES_tradnl" w:eastAsia="en-CA"/>
              </w:rPr>
            </w:pPr>
            <w:r w:rsidRPr="000458F8">
              <w:rPr>
                <w:sz w:val="20"/>
                <w:szCs w:val="20"/>
                <w:lang w:val="es-ES_tradnl" w:eastAsia="en-CA"/>
              </w:rPr>
              <w:t>53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FFAB5BB"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501AC0EB" w14:textId="17D963BB"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124</w:t>
            </w:r>
            <w:r w:rsidR="00700B97" w:rsidRPr="000458F8">
              <w:rPr>
                <w:sz w:val="20"/>
                <w:szCs w:val="20"/>
                <w:lang w:val="es-ES_tradnl" w:eastAsia="en-CA"/>
              </w:rPr>
              <w:t> </w:t>
            </w:r>
            <w:r w:rsidRPr="000458F8">
              <w:rPr>
                <w:sz w:val="20"/>
                <w:szCs w:val="20"/>
                <w:lang w:val="es-ES_tradnl" w:eastAsia="en-CA"/>
              </w:rPr>
              <w:t>833</w:t>
            </w:r>
          </w:p>
        </w:tc>
        <w:tc>
          <w:tcPr>
            <w:tcW w:w="1260" w:type="dxa"/>
            <w:tcBorders>
              <w:top w:val="nil"/>
              <w:left w:val="nil"/>
              <w:bottom w:val="single" w:sz="4" w:space="0" w:color="auto"/>
              <w:right w:val="single" w:sz="4" w:space="0" w:color="auto"/>
            </w:tcBorders>
            <w:shd w:val="clear" w:color="auto" w:fill="auto"/>
            <w:noWrap/>
            <w:vAlign w:val="center"/>
            <w:hideMark/>
          </w:tcPr>
          <w:p w14:paraId="2D67C61F" w14:textId="787601C7"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124</w:t>
            </w:r>
            <w:r w:rsidR="00700B97" w:rsidRPr="000458F8">
              <w:rPr>
                <w:sz w:val="20"/>
                <w:szCs w:val="20"/>
                <w:lang w:val="es-ES_tradnl" w:eastAsia="en-CA"/>
              </w:rPr>
              <w:t> </w:t>
            </w:r>
            <w:r w:rsidRPr="000458F8">
              <w:rPr>
                <w:sz w:val="20"/>
                <w:szCs w:val="20"/>
                <w:lang w:val="es-ES_tradnl" w:eastAsia="en-CA"/>
              </w:rPr>
              <w:t>833</w:t>
            </w:r>
          </w:p>
        </w:tc>
        <w:tc>
          <w:tcPr>
            <w:tcW w:w="1260" w:type="dxa"/>
            <w:tcBorders>
              <w:top w:val="nil"/>
              <w:left w:val="nil"/>
              <w:bottom w:val="single" w:sz="4" w:space="0" w:color="auto"/>
              <w:right w:val="single" w:sz="4" w:space="0" w:color="auto"/>
            </w:tcBorders>
            <w:shd w:val="clear" w:color="auto" w:fill="auto"/>
            <w:noWrap/>
            <w:vAlign w:val="center"/>
            <w:hideMark/>
          </w:tcPr>
          <w:p w14:paraId="0128696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6617675"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1234477C"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065EAB" w14:textId="77777777" w:rsidR="00C3420C" w:rsidRPr="000458F8" w:rsidRDefault="00C3420C" w:rsidP="008E3F5E">
            <w:pPr>
              <w:jc w:val="left"/>
              <w:rPr>
                <w:sz w:val="20"/>
                <w:szCs w:val="20"/>
                <w:lang w:val="es-ES_tradnl" w:eastAsia="en-CA"/>
              </w:rPr>
            </w:pPr>
            <w:r w:rsidRPr="000458F8">
              <w:rPr>
                <w:sz w:val="20"/>
                <w:szCs w:val="20"/>
                <w:lang w:val="es-ES_tradnl" w:eastAsia="en-CA"/>
              </w:rPr>
              <w:t>2006</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6AAC06" w14:textId="77777777" w:rsidR="00C3420C" w:rsidRPr="000458F8" w:rsidRDefault="00C3420C" w:rsidP="008E3F5E">
            <w:pPr>
              <w:jc w:val="right"/>
              <w:rPr>
                <w:sz w:val="20"/>
                <w:szCs w:val="20"/>
                <w:lang w:val="es-ES_tradnl" w:eastAsia="en-CA"/>
              </w:rPr>
            </w:pPr>
            <w:r w:rsidRPr="000458F8">
              <w:rPr>
                <w:sz w:val="20"/>
                <w:szCs w:val="20"/>
                <w:lang w:val="es-ES_tradnl" w:eastAsia="en-CA"/>
              </w:rPr>
              <w:t>62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563D38" w14:textId="77777777" w:rsidR="00C3420C" w:rsidRPr="000458F8" w:rsidRDefault="00C3420C" w:rsidP="008E3F5E">
            <w:pPr>
              <w:jc w:val="right"/>
              <w:rPr>
                <w:sz w:val="20"/>
                <w:szCs w:val="20"/>
                <w:lang w:val="es-ES_tradnl" w:eastAsia="en-CA"/>
              </w:rPr>
            </w:pPr>
            <w:r w:rsidRPr="000458F8">
              <w:rPr>
                <w:sz w:val="20"/>
                <w:szCs w:val="20"/>
                <w:lang w:val="es-ES_tradnl" w:eastAsia="en-CA"/>
              </w:rPr>
              <w:t>62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D775B6B"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16FAFC0E" w14:textId="33844472" w:rsidR="00C3420C" w:rsidRPr="000458F8" w:rsidRDefault="00C3420C" w:rsidP="008E3F5E">
            <w:pPr>
              <w:jc w:val="right"/>
              <w:rPr>
                <w:sz w:val="20"/>
                <w:szCs w:val="20"/>
                <w:lang w:val="es-ES_tradnl" w:eastAsia="en-CA"/>
              </w:rPr>
            </w:pPr>
            <w:r w:rsidRPr="000458F8">
              <w:rPr>
                <w:sz w:val="20"/>
                <w:szCs w:val="20"/>
                <w:lang w:val="es-ES_tradnl" w:eastAsia="en-CA"/>
              </w:rPr>
              <w:t>15</w:t>
            </w:r>
            <w:r w:rsidR="00700B97" w:rsidRPr="000458F8">
              <w:rPr>
                <w:sz w:val="20"/>
                <w:szCs w:val="20"/>
                <w:lang w:val="es-ES_tradnl" w:eastAsia="en-CA"/>
              </w:rPr>
              <w:t> </w:t>
            </w:r>
            <w:r w:rsidRPr="000458F8">
              <w:rPr>
                <w:sz w:val="20"/>
                <w:szCs w:val="20"/>
                <w:lang w:val="es-ES_tradnl" w:eastAsia="en-CA"/>
              </w:rPr>
              <w:t>753</w:t>
            </w:r>
            <w:r w:rsidR="00700B97" w:rsidRPr="000458F8">
              <w:rPr>
                <w:sz w:val="20"/>
                <w:szCs w:val="20"/>
                <w:lang w:val="es-ES_tradnl" w:eastAsia="en-CA"/>
              </w:rPr>
              <w:t> </w:t>
            </w:r>
            <w:r w:rsidRPr="000458F8">
              <w:rPr>
                <w:sz w:val="20"/>
                <w:szCs w:val="20"/>
                <w:lang w:val="es-ES_tradnl" w:eastAsia="en-CA"/>
              </w:rPr>
              <w:t>459</w:t>
            </w:r>
          </w:p>
        </w:tc>
        <w:tc>
          <w:tcPr>
            <w:tcW w:w="1260" w:type="dxa"/>
            <w:tcBorders>
              <w:top w:val="nil"/>
              <w:left w:val="nil"/>
              <w:bottom w:val="single" w:sz="4" w:space="0" w:color="auto"/>
              <w:right w:val="single" w:sz="4" w:space="0" w:color="auto"/>
            </w:tcBorders>
            <w:shd w:val="clear" w:color="auto" w:fill="auto"/>
            <w:noWrap/>
            <w:vAlign w:val="center"/>
            <w:hideMark/>
          </w:tcPr>
          <w:p w14:paraId="35A45305" w14:textId="536C8C75" w:rsidR="00C3420C" w:rsidRPr="000458F8" w:rsidRDefault="00C3420C" w:rsidP="008E3F5E">
            <w:pPr>
              <w:jc w:val="right"/>
              <w:rPr>
                <w:sz w:val="20"/>
                <w:szCs w:val="20"/>
                <w:lang w:val="es-ES_tradnl" w:eastAsia="en-CA"/>
              </w:rPr>
            </w:pPr>
            <w:r w:rsidRPr="000458F8">
              <w:rPr>
                <w:sz w:val="20"/>
                <w:szCs w:val="20"/>
                <w:lang w:val="es-ES_tradnl" w:eastAsia="en-CA"/>
              </w:rPr>
              <w:t>15</w:t>
            </w:r>
            <w:r w:rsidR="00700B97" w:rsidRPr="000458F8">
              <w:rPr>
                <w:sz w:val="20"/>
                <w:szCs w:val="20"/>
                <w:lang w:val="es-ES_tradnl" w:eastAsia="en-CA"/>
              </w:rPr>
              <w:t> </w:t>
            </w:r>
            <w:r w:rsidRPr="000458F8">
              <w:rPr>
                <w:sz w:val="20"/>
                <w:szCs w:val="20"/>
                <w:lang w:val="es-ES_tradnl" w:eastAsia="en-CA"/>
              </w:rPr>
              <w:t>753</w:t>
            </w:r>
            <w:r w:rsidR="00700B97" w:rsidRPr="000458F8">
              <w:rPr>
                <w:sz w:val="20"/>
                <w:szCs w:val="20"/>
                <w:lang w:val="es-ES_tradnl" w:eastAsia="en-CA"/>
              </w:rPr>
              <w:t> </w:t>
            </w:r>
            <w:r w:rsidRPr="000458F8">
              <w:rPr>
                <w:sz w:val="20"/>
                <w:szCs w:val="20"/>
                <w:lang w:val="es-ES_tradnl" w:eastAsia="en-CA"/>
              </w:rPr>
              <w:t>461</w:t>
            </w:r>
          </w:p>
        </w:tc>
        <w:tc>
          <w:tcPr>
            <w:tcW w:w="1260" w:type="dxa"/>
            <w:tcBorders>
              <w:top w:val="nil"/>
              <w:left w:val="nil"/>
              <w:bottom w:val="single" w:sz="4" w:space="0" w:color="auto"/>
              <w:right w:val="single" w:sz="4" w:space="0" w:color="auto"/>
            </w:tcBorders>
            <w:shd w:val="clear" w:color="auto" w:fill="auto"/>
            <w:noWrap/>
            <w:vAlign w:val="center"/>
            <w:hideMark/>
          </w:tcPr>
          <w:p w14:paraId="7C11A78D" w14:textId="77777777" w:rsidR="00C3420C" w:rsidRPr="000458F8" w:rsidRDefault="00C3420C" w:rsidP="008E3F5E">
            <w:pPr>
              <w:jc w:val="right"/>
              <w:rPr>
                <w:sz w:val="20"/>
                <w:szCs w:val="20"/>
                <w:lang w:val="es-ES_tradnl" w:eastAsia="en-CA"/>
              </w:rPr>
            </w:pPr>
            <w:r w:rsidRPr="000458F8">
              <w:rPr>
                <w:sz w:val="20"/>
                <w:szCs w:val="20"/>
                <w:lang w:val="es-ES_tradnl" w:eastAsia="en-CA"/>
              </w:rPr>
              <w:t>-2</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C55CA0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98349E2"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A72AD2" w14:textId="77777777" w:rsidR="00C3420C" w:rsidRPr="000458F8" w:rsidRDefault="00C3420C" w:rsidP="008E3F5E">
            <w:pPr>
              <w:jc w:val="left"/>
              <w:rPr>
                <w:sz w:val="20"/>
                <w:szCs w:val="20"/>
                <w:lang w:val="es-ES_tradnl" w:eastAsia="en-CA"/>
              </w:rPr>
            </w:pPr>
            <w:r w:rsidRPr="000458F8">
              <w:rPr>
                <w:sz w:val="20"/>
                <w:szCs w:val="20"/>
                <w:lang w:val="es-ES_tradnl" w:eastAsia="en-CA"/>
              </w:rPr>
              <w:t>2007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22C521" w14:textId="77777777" w:rsidR="00C3420C" w:rsidRPr="000458F8" w:rsidRDefault="00C3420C" w:rsidP="008E3F5E">
            <w:pPr>
              <w:jc w:val="right"/>
              <w:rPr>
                <w:sz w:val="20"/>
                <w:szCs w:val="20"/>
                <w:lang w:val="es-ES_tradnl" w:eastAsia="en-CA"/>
              </w:rPr>
            </w:pPr>
            <w:r w:rsidRPr="000458F8">
              <w:rPr>
                <w:sz w:val="20"/>
                <w:szCs w:val="20"/>
                <w:lang w:val="es-ES_tradnl" w:eastAsia="en-CA"/>
              </w:rPr>
              <w:t>54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F17328" w14:textId="77777777" w:rsidR="00C3420C" w:rsidRPr="000458F8" w:rsidRDefault="00C3420C" w:rsidP="008E3F5E">
            <w:pPr>
              <w:jc w:val="right"/>
              <w:rPr>
                <w:sz w:val="20"/>
                <w:szCs w:val="20"/>
                <w:lang w:val="es-ES_tradnl" w:eastAsia="en-CA"/>
              </w:rPr>
            </w:pPr>
            <w:r w:rsidRPr="000458F8">
              <w:rPr>
                <w:sz w:val="20"/>
                <w:szCs w:val="20"/>
                <w:lang w:val="es-ES_tradnl" w:eastAsia="en-CA"/>
              </w:rPr>
              <w:t>54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3DB9C3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3B05169E" w14:textId="6150EF56" w:rsidR="00C3420C" w:rsidRPr="000458F8" w:rsidRDefault="00C3420C" w:rsidP="008E3F5E">
            <w:pPr>
              <w:jc w:val="right"/>
              <w:rPr>
                <w:sz w:val="20"/>
                <w:szCs w:val="20"/>
                <w:lang w:val="es-ES_tradnl" w:eastAsia="en-CA"/>
              </w:rPr>
            </w:pPr>
            <w:r w:rsidRPr="000458F8">
              <w:rPr>
                <w:sz w:val="20"/>
                <w:szCs w:val="20"/>
                <w:lang w:val="es-ES_tradnl" w:eastAsia="en-CA"/>
              </w:rPr>
              <w:t>12</w:t>
            </w:r>
            <w:r w:rsidR="00700B97" w:rsidRPr="000458F8">
              <w:rPr>
                <w:sz w:val="20"/>
                <w:szCs w:val="20"/>
                <w:lang w:val="es-ES_tradnl" w:eastAsia="en-CA"/>
              </w:rPr>
              <w:t> </w:t>
            </w:r>
            <w:r w:rsidRPr="000458F8">
              <w:rPr>
                <w:sz w:val="20"/>
                <w:szCs w:val="20"/>
                <w:lang w:val="es-ES_tradnl" w:eastAsia="en-CA"/>
              </w:rPr>
              <w:t>142</w:t>
            </w:r>
            <w:r w:rsidR="00700B97" w:rsidRPr="000458F8">
              <w:rPr>
                <w:sz w:val="20"/>
                <w:szCs w:val="20"/>
                <w:lang w:val="es-ES_tradnl" w:eastAsia="en-CA"/>
              </w:rPr>
              <w:t> </w:t>
            </w:r>
            <w:r w:rsidRPr="000458F8">
              <w:rPr>
                <w:sz w:val="20"/>
                <w:szCs w:val="20"/>
                <w:lang w:val="es-ES_tradnl" w:eastAsia="en-CA"/>
              </w:rPr>
              <w:t>486</w:t>
            </w:r>
          </w:p>
        </w:tc>
        <w:tc>
          <w:tcPr>
            <w:tcW w:w="1260" w:type="dxa"/>
            <w:tcBorders>
              <w:top w:val="nil"/>
              <w:left w:val="nil"/>
              <w:bottom w:val="single" w:sz="4" w:space="0" w:color="auto"/>
              <w:right w:val="single" w:sz="4" w:space="0" w:color="auto"/>
            </w:tcBorders>
            <w:shd w:val="clear" w:color="auto" w:fill="auto"/>
            <w:noWrap/>
            <w:vAlign w:val="center"/>
            <w:hideMark/>
          </w:tcPr>
          <w:p w14:paraId="4D41720E" w14:textId="3B51239B" w:rsidR="00C3420C" w:rsidRPr="000458F8" w:rsidRDefault="00C3420C" w:rsidP="008E3F5E">
            <w:pPr>
              <w:jc w:val="right"/>
              <w:rPr>
                <w:sz w:val="20"/>
                <w:szCs w:val="20"/>
                <w:lang w:val="es-ES_tradnl" w:eastAsia="en-CA"/>
              </w:rPr>
            </w:pPr>
            <w:r w:rsidRPr="000458F8">
              <w:rPr>
                <w:sz w:val="20"/>
                <w:szCs w:val="20"/>
                <w:lang w:val="es-ES_tradnl" w:eastAsia="en-CA"/>
              </w:rPr>
              <w:t>12</w:t>
            </w:r>
            <w:r w:rsidR="00700B97" w:rsidRPr="000458F8">
              <w:rPr>
                <w:sz w:val="20"/>
                <w:szCs w:val="20"/>
                <w:lang w:val="es-ES_tradnl" w:eastAsia="en-CA"/>
              </w:rPr>
              <w:t> </w:t>
            </w:r>
            <w:r w:rsidRPr="000458F8">
              <w:rPr>
                <w:sz w:val="20"/>
                <w:szCs w:val="20"/>
                <w:lang w:val="es-ES_tradnl" w:eastAsia="en-CA"/>
              </w:rPr>
              <w:t>142</w:t>
            </w:r>
            <w:r w:rsidR="00700B97" w:rsidRPr="000458F8">
              <w:rPr>
                <w:sz w:val="20"/>
                <w:szCs w:val="20"/>
                <w:lang w:val="es-ES_tradnl" w:eastAsia="en-CA"/>
              </w:rPr>
              <w:t> </w:t>
            </w:r>
            <w:r w:rsidRPr="000458F8">
              <w:rPr>
                <w:sz w:val="20"/>
                <w:szCs w:val="20"/>
                <w:lang w:val="es-ES_tradnl" w:eastAsia="en-CA"/>
              </w:rPr>
              <w:t>486</w:t>
            </w:r>
          </w:p>
        </w:tc>
        <w:tc>
          <w:tcPr>
            <w:tcW w:w="1260" w:type="dxa"/>
            <w:tcBorders>
              <w:top w:val="nil"/>
              <w:left w:val="nil"/>
              <w:bottom w:val="single" w:sz="4" w:space="0" w:color="auto"/>
              <w:right w:val="single" w:sz="4" w:space="0" w:color="auto"/>
            </w:tcBorders>
            <w:shd w:val="clear" w:color="auto" w:fill="auto"/>
            <w:noWrap/>
            <w:vAlign w:val="center"/>
            <w:hideMark/>
          </w:tcPr>
          <w:p w14:paraId="62C167F0"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0BD4EC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F69C6C3"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CB64209" w14:textId="77777777" w:rsidR="00C3420C" w:rsidRPr="000458F8" w:rsidRDefault="00C3420C" w:rsidP="008E3F5E">
            <w:pPr>
              <w:jc w:val="left"/>
              <w:rPr>
                <w:sz w:val="20"/>
                <w:szCs w:val="20"/>
                <w:lang w:val="es-ES_tradnl" w:eastAsia="en-CA"/>
              </w:rPr>
            </w:pPr>
            <w:r w:rsidRPr="000458F8">
              <w:rPr>
                <w:sz w:val="20"/>
                <w:szCs w:val="20"/>
                <w:lang w:val="es-ES_tradnl" w:eastAsia="en-CA"/>
              </w:rPr>
              <w:t>2008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710326E" w14:textId="77777777" w:rsidR="00C3420C" w:rsidRPr="000458F8" w:rsidRDefault="00C3420C" w:rsidP="008E3F5E">
            <w:pPr>
              <w:jc w:val="right"/>
              <w:rPr>
                <w:sz w:val="20"/>
                <w:szCs w:val="20"/>
                <w:lang w:val="es-ES_tradnl" w:eastAsia="en-CA"/>
              </w:rPr>
            </w:pPr>
            <w:r w:rsidRPr="000458F8">
              <w:rPr>
                <w:sz w:val="20"/>
                <w:szCs w:val="20"/>
                <w:lang w:val="es-ES_tradnl" w:eastAsia="en-CA"/>
              </w:rPr>
              <w:t>84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6B73D0" w14:textId="77777777" w:rsidR="00C3420C" w:rsidRPr="000458F8" w:rsidRDefault="00C3420C" w:rsidP="008E3F5E">
            <w:pPr>
              <w:jc w:val="right"/>
              <w:rPr>
                <w:sz w:val="20"/>
                <w:szCs w:val="20"/>
                <w:lang w:val="es-ES_tradnl" w:eastAsia="en-CA"/>
              </w:rPr>
            </w:pPr>
            <w:r w:rsidRPr="000458F8">
              <w:rPr>
                <w:sz w:val="20"/>
                <w:szCs w:val="20"/>
                <w:lang w:val="es-ES_tradnl" w:eastAsia="en-CA"/>
              </w:rPr>
              <w:t>84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C46C1D6"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01870F54" w14:textId="43B469CB" w:rsidR="00C3420C" w:rsidRPr="000458F8" w:rsidRDefault="00C3420C" w:rsidP="008E3F5E">
            <w:pPr>
              <w:jc w:val="right"/>
              <w:rPr>
                <w:sz w:val="20"/>
                <w:szCs w:val="20"/>
                <w:lang w:val="es-ES_tradnl" w:eastAsia="en-CA"/>
              </w:rPr>
            </w:pPr>
            <w:r w:rsidRPr="000458F8">
              <w:rPr>
                <w:sz w:val="20"/>
                <w:szCs w:val="20"/>
                <w:lang w:val="es-ES_tradnl" w:eastAsia="en-CA"/>
              </w:rPr>
              <w:t>22</w:t>
            </w:r>
            <w:r w:rsidR="00700B97" w:rsidRPr="000458F8">
              <w:rPr>
                <w:sz w:val="20"/>
                <w:szCs w:val="20"/>
                <w:lang w:val="es-ES_tradnl" w:eastAsia="en-CA"/>
              </w:rPr>
              <w:t> </w:t>
            </w:r>
            <w:r w:rsidRPr="000458F8">
              <w:rPr>
                <w:sz w:val="20"/>
                <w:szCs w:val="20"/>
                <w:lang w:val="es-ES_tradnl" w:eastAsia="en-CA"/>
              </w:rPr>
              <w:t>873</w:t>
            </w:r>
            <w:r w:rsidR="00700B97" w:rsidRPr="000458F8">
              <w:rPr>
                <w:sz w:val="20"/>
                <w:szCs w:val="20"/>
                <w:lang w:val="es-ES_tradnl" w:eastAsia="en-CA"/>
              </w:rPr>
              <w:t> </w:t>
            </w:r>
            <w:r w:rsidRPr="000458F8">
              <w:rPr>
                <w:sz w:val="20"/>
                <w:szCs w:val="20"/>
                <w:lang w:val="es-ES_tradnl" w:eastAsia="en-CA"/>
              </w:rPr>
              <w:t>866</w:t>
            </w:r>
          </w:p>
        </w:tc>
        <w:tc>
          <w:tcPr>
            <w:tcW w:w="1260" w:type="dxa"/>
            <w:tcBorders>
              <w:top w:val="nil"/>
              <w:left w:val="nil"/>
              <w:bottom w:val="single" w:sz="4" w:space="0" w:color="auto"/>
              <w:right w:val="single" w:sz="4" w:space="0" w:color="auto"/>
            </w:tcBorders>
            <w:shd w:val="clear" w:color="auto" w:fill="auto"/>
            <w:noWrap/>
            <w:vAlign w:val="center"/>
            <w:hideMark/>
          </w:tcPr>
          <w:p w14:paraId="3563C22A" w14:textId="5BF57536" w:rsidR="00C3420C" w:rsidRPr="000458F8" w:rsidRDefault="00C3420C" w:rsidP="008E3F5E">
            <w:pPr>
              <w:jc w:val="right"/>
              <w:rPr>
                <w:sz w:val="20"/>
                <w:szCs w:val="20"/>
                <w:lang w:val="es-ES_tradnl" w:eastAsia="en-CA"/>
              </w:rPr>
            </w:pPr>
            <w:r w:rsidRPr="000458F8">
              <w:rPr>
                <w:sz w:val="20"/>
                <w:szCs w:val="20"/>
                <w:lang w:val="es-ES_tradnl" w:eastAsia="en-CA"/>
              </w:rPr>
              <w:t>22</w:t>
            </w:r>
            <w:r w:rsidR="00700B97" w:rsidRPr="000458F8">
              <w:rPr>
                <w:sz w:val="20"/>
                <w:szCs w:val="20"/>
                <w:lang w:val="es-ES_tradnl" w:eastAsia="en-CA"/>
              </w:rPr>
              <w:t> </w:t>
            </w:r>
            <w:r w:rsidRPr="000458F8">
              <w:rPr>
                <w:sz w:val="20"/>
                <w:szCs w:val="20"/>
                <w:lang w:val="es-ES_tradnl" w:eastAsia="en-CA"/>
              </w:rPr>
              <w:t>873</w:t>
            </w:r>
            <w:r w:rsidR="00700B97" w:rsidRPr="000458F8">
              <w:rPr>
                <w:sz w:val="20"/>
                <w:szCs w:val="20"/>
                <w:lang w:val="es-ES_tradnl" w:eastAsia="en-CA"/>
              </w:rPr>
              <w:t> </w:t>
            </w:r>
            <w:r w:rsidRPr="000458F8">
              <w:rPr>
                <w:sz w:val="20"/>
                <w:szCs w:val="20"/>
                <w:lang w:val="es-ES_tradnl" w:eastAsia="en-CA"/>
              </w:rPr>
              <w:t>866</w:t>
            </w:r>
          </w:p>
        </w:tc>
        <w:tc>
          <w:tcPr>
            <w:tcW w:w="1260" w:type="dxa"/>
            <w:tcBorders>
              <w:top w:val="nil"/>
              <w:left w:val="nil"/>
              <w:bottom w:val="single" w:sz="4" w:space="0" w:color="auto"/>
              <w:right w:val="single" w:sz="4" w:space="0" w:color="auto"/>
            </w:tcBorders>
            <w:shd w:val="clear" w:color="auto" w:fill="auto"/>
            <w:noWrap/>
            <w:vAlign w:val="center"/>
            <w:hideMark/>
          </w:tcPr>
          <w:p w14:paraId="4F1C8506"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4280C3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2C20766"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FB21CB" w14:textId="77777777" w:rsidR="00C3420C" w:rsidRPr="000458F8" w:rsidRDefault="00C3420C" w:rsidP="008E3F5E">
            <w:pPr>
              <w:jc w:val="left"/>
              <w:rPr>
                <w:sz w:val="20"/>
                <w:szCs w:val="20"/>
                <w:lang w:val="es-ES_tradnl" w:eastAsia="en-CA"/>
              </w:rPr>
            </w:pPr>
            <w:r w:rsidRPr="000458F8">
              <w:rPr>
                <w:sz w:val="20"/>
                <w:szCs w:val="20"/>
                <w:lang w:val="es-ES_tradnl" w:eastAsia="en-CA"/>
              </w:rPr>
              <w:t>2009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84C6BB8" w14:textId="77777777" w:rsidR="00C3420C" w:rsidRPr="000458F8" w:rsidRDefault="00C3420C" w:rsidP="008E3F5E">
            <w:pPr>
              <w:jc w:val="right"/>
              <w:rPr>
                <w:sz w:val="20"/>
                <w:szCs w:val="20"/>
                <w:lang w:val="es-ES_tradnl" w:eastAsia="en-CA"/>
              </w:rPr>
            </w:pPr>
            <w:r w:rsidRPr="000458F8">
              <w:rPr>
                <w:sz w:val="20"/>
                <w:szCs w:val="20"/>
                <w:lang w:val="es-ES_tradnl" w:eastAsia="en-CA"/>
              </w:rPr>
              <w:t>92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6CD5F2A" w14:textId="77777777" w:rsidR="00C3420C" w:rsidRPr="000458F8" w:rsidRDefault="00C3420C" w:rsidP="008E3F5E">
            <w:pPr>
              <w:jc w:val="right"/>
              <w:rPr>
                <w:sz w:val="20"/>
                <w:szCs w:val="20"/>
                <w:lang w:val="es-ES_tradnl" w:eastAsia="en-CA"/>
              </w:rPr>
            </w:pPr>
            <w:r w:rsidRPr="000458F8">
              <w:rPr>
                <w:sz w:val="20"/>
                <w:szCs w:val="20"/>
                <w:lang w:val="es-ES_tradnl" w:eastAsia="en-CA"/>
              </w:rPr>
              <w:t>92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FC8A8B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3FFC97B8" w14:textId="76431BDD" w:rsidR="00C3420C" w:rsidRPr="000458F8" w:rsidRDefault="00C3420C" w:rsidP="008E3F5E">
            <w:pPr>
              <w:jc w:val="right"/>
              <w:rPr>
                <w:sz w:val="20"/>
                <w:szCs w:val="20"/>
                <w:lang w:val="es-ES_tradnl" w:eastAsia="en-CA"/>
              </w:rPr>
            </w:pPr>
            <w:r w:rsidRPr="000458F8">
              <w:rPr>
                <w:sz w:val="20"/>
                <w:szCs w:val="20"/>
                <w:lang w:val="es-ES_tradnl" w:eastAsia="en-CA"/>
              </w:rPr>
              <w:t>13</w:t>
            </w:r>
            <w:r w:rsidR="00700B97" w:rsidRPr="000458F8">
              <w:rPr>
                <w:sz w:val="20"/>
                <w:szCs w:val="20"/>
                <w:lang w:val="es-ES_tradnl" w:eastAsia="en-CA"/>
              </w:rPr>
              <w:t> </w:t>
            </w:r>
            <w:r w:rsidRPr="000458F8">
              <w:rPr>
                <w:sz w:val="20"/>
                <w:szCs w:val="20"/>
                <w:lang w:val="es-ES_tradnl" w:eastAsia="en-CA"/>
              </w:rPr>
              <w:t>222</w:t>
            </w:r>
            <w:r w:rsidR="00700B97" w:rsidRPr="000458F8">
              <w:rPr>
                <w:sz w:val="20"/>
                <w:szCs w:val="20"/>
                <w:lang w:val="es-ES_tradnl" w:eastAsia="en-CA"/>
              </w:rPr>
              <w:t> </w:t>
            </w:r>
            <w:r w:rsidRPr="000458F8">
              <w:rPr>
                <w:sz w:val="20"/>
                <w:szCs w:val="20"/>
                <w:lang w:val="es-ES_tradnl" w:eastAsia="en-CA"/>
              </w:rPr>
              <w:t>786</w:t>
            </w:r>
          </w:p>
        </w:tc>
        <w:tc>
          <w:tcPr>
            <w:tcW w:w="1260" w:type="dxa"/>
            <w:tcBorders>
              <w:top w:val="nil"/>
              <w:left w:val="nil"/>
              <w:bottom w:val="single" w:sz="4" w:space="0" w:color="auto"/>
              <w:right w:val="single" w:sz="4" w:space="0" w:color="auto"/>
            </w:tcBorders>
            <w:shd w:val="clear" w:color="auto" w:fill="auto"/>
            <w:noWrap/>
            <w:vAlign w:val="center"/>
            <w:hideMark/>
          </w:tcPr>
          <w:p w14:paraId="58554CA0" w14:textId="0913EDB1" w:rsidR="00C3420C" w:rsidRPr="000458F8" w:rsidRDefault="00C3420C" w:rsidP="008E3F5E">
            <w:pPr>
              <w:jc w:val="right"/>
              <w:rPr>
                <w:sz w:val="20"/>
                <w:szCs w:val="20"/>
                <w:lang w:val="es-ES_tradnl" w:eastAsia="en-CA"/>
              </w:rPr>
            </w:pPr>
            <w:r w:rsidRPr="000458F8">
              <w:rPr>
                <w:sz w:val="20"/>
                <w:szCs w:val="20"/>
                <w:lang w:val="es-ES_tradnl" w:eastAsia="en-CA"/>
              </w:rPr>
              <w:t>13</w:t>
            </w:r>
            <w:r w:rsidR="00700B97" w:rsidRPr="000458F8">
              <w:rPr>
                <w:sz w:val="20"/>
                <w:szCs w:val="20"/>
                <w:lang w:val="es-ES_tradnl" w:eastAsia="en-CA"/>
              </w:rPr>
              <w:t> </w:t>
            </w:r>
            <w:r w:rsidRPr="000458F8">
              <w:rPr>
                <w:sz w:val="20"/>
                <w:szCs w:val="20"/>
                <w:lang w:val="es-ES_tradnl" w:eastAsia="en-CA"/>
              </w:rPr>
              <w:t>193</w:t>
            </w:r>
            <w:r w:rsidR="00700B97" w:rsidRPr="000458F8">
              <w:rPr>
                <w:sz w:val="20"/>
                <w:szCs w:val="20"/>
                <w:lang w:val="es-ES_tradnl" w:eastAsia="en-CA"/>
              </w:rPr>
              <w:t> </w:t>
            </w:r>
            <w:r w:rsidRPr="000458F8">
              <w:rPr>
                <w:sz w:val="20"/>
                <w:szCs w:val="20"/>
                <w:lang w:val="es-ES_tradnl" w:eastAsia="en-CA"/>
              </w:rPr>
              <w:t>670</w:t>
            </w:r>
          </w:p>
        </w:tc>
        <w:tc>
          <w:tcPr>
            <w:tcW w:w="1260" w:type="dxa"/>
            <w:tcBorders>
              <w:top w:val="nil"/>
              <w:left w:val="nil"/>
              <w:bottom w:val="single" w:sz="4" w:space="0" w:color="auto"/>
              <w:right w:val="single" w:sz="4" w:space="0" w:color="auto"/>
            </w:tcBorders>
            <w:shd w:val="clear" w:color="auto" w:fill="auto"/>
            <w:noWrap/>
            <w:vAlign w:val="center"/>
            <w:hideMark/>
          </w:tcPr>
          <w:p w14:paraId="5B698DB6" w14:textId="75225D95"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116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B6E550E"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0438DE9"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A2C412" w14:textId="77777777" w:rsidR="00C3420C" w:rsidRPr="000458F8" w:rsidRDefault="00C3420C" w:rsidP="008E3F5E">
            <w:pPr>
              <w:jc w:val="left"/>
              <w:rPr>
                <w:sz w:val="20"/>
                <w:szCs w:val="20"/>
                <w:lang w:val="es-ES_tradnl" w:eastAsia="en-CA"/>
              </w:rPr>
            </w:pPr>
            <w:r w:rsidRPr="000458F8">
              <w:rPr>
                <w:sz w:val="20"/>
                <w:szCs w:val="20"/>
                <w:lang w:val="es-ES_tradnl" w:eastAsia="en-CA"/>
              </w:rPr>
              <w:t>2010</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748D596" w14:textId="77777777" w:rsidR="00C3420C" w:rsidRPr="000458F8" w:rsidRDefault="00C3420C" w:rsidP="008E3F5E">
            <w:pPr>
              <w:jc w:val="right"/>
              <w:rPr>
                <w:sz w:val="20"/>
                <w:szCs w:val="20"/>
                <w:lang w:val="es-ES_tradnl" w:eastAsia="en-CA"/>
              </w:rPr>
            </w:pPr>
            <w:r w:rsidRPr="000458F8">
              <w:rPr>
                <w:sz w:val="20"/>
                <w:szCs w:val="20"/>
                <w:lang w:val="es-ES_tradnl" w:eastAsia="en-CA"/>
              </w:rPr>
              <w:t>43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0369676" w14:textId="77777777" w:rsidR="00C3420C" w:rsidRPr="000458F8" w:rsidRDefault="00C3420C" w:rsidP="008E3F5E">
            <w:pPr>
              <w:jc w:val="right"/>
              <w:rPr>
                <w:sz w:val="20"/>
                <w:szCs w:val="20"/>
                <w:lang w:val="es-ES_tradnl" w:eastAsia="en-CA"/>
              </w:rPr>
            </w:pPr>
            <w:r w:rsidRPr="000458F8">
              <w:rPr>
                <w:sz w:val="20"/>
                <w:szCs w:val="20"/>
                <w:lang w:val="es-ES_tradnl" w:eastAsia="en-CA"/>
              </w:rPr>
              <w:t>43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93704D6"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3EC142A9" w14:textId="7DBB9813" w:rsidR="00C3420C" w:rsidRPr="000458F8" w:rsidRDefault="00C3420C" w:rsidP="008E3F5E">
            <w:pPr>
              <w:jc w:val="right"/>
              <w:rPr>
                <w:sz w:val="20"/>
                <w:szCs w:val="20"/>
                <w:lang w:val="es-ES_tradnl" w:eastAsia="en-CA"/>
              </w:rPr>
            </w:pPr>
            <w:r w:rsidRPr="000458F8">
              <w:rPr>
                <w:sz w:val="20"/>
                <w:szCs w:val="20"/>
                <w:lang w:val="es-ES_tradnl" w:eastAsia="en-CA"/>
              </w:rPr>
              <w:t>19</w:t>
            </w:r>
            <w:r w:rsidR="00700B97" w:rsidRPr="000458F8">
              <w:rPr>
                <w:sz w:val="20"/>
                <w:szCs w:val="20"/>
                <w:lang w:val="es-ES_tradnl" w:eastAsia="en-CA"/>
              </w:rPr>
              <w:t> </w:t>
            </w:r>
            <w:r w:rsidRPr="000458F8">
              <w:rPr>
                <w:sz w:val="20"/>
                <w:szCs w:val="20"/>
                <w:lang w:val="es-ES_tradnl" w:eastAsia="en-CA"/>
              </w:rPr>
              <w:t>567</w:t>
            </w:r>
            <w:r w:rsidR="00700B97" w:rsidRPr="000458F8">
              <w:rPr>
                <w:sz w:val="20"/>
                <w:szCs w:val="20"/>
                <w:lang w:val="es-ES_tradnl" w:eastAsia="en-CA"/>
              </w:rPr>
              <w:t> </w:t>
            </w:r>
            <w:r w:rsidRPr="000458F8">
              <w:rPr>
                <w:sz w:val="20"/>
                <w:szCs w:val="20"/>
                <w:lang w:val="es-ES_tradnl" w:eastAsia="en-CA"/>
              </w:rPr>
              <w:t>970</w:t>
            </w:r>
          </w:p>
        </w:tc>
        <w:tc>
          <w:tcPr>
            <w:tcW w:w="1260" w:type="dxa"/>
            <w:tcBorders>
              <w:top w:val="nil"/>
              <w:left w:val="nil"/>
              <w:bottom w:val="single" w:sz="4" w:space="0" w:color="auto"/>
              <w:right w:val="single" w:sz="4" w:space="0" w:color="auto"/>
            </w:tcBorders>
            <w:shd w:val="clear" w:color="auto" w:fill="auto"/>
            <w:noWrap/>
            <w:vAlign w:val="center"/>
            <w:hideMark/>
          </w:tcPr>
          <w:p w14:paraId="17271AB9" w14:textId="4651FF8D" w:rsidR="00C3420C" w:rsidRPr="000458F8" w:rsidRDefault="00C3420C" w:rsidP="008E3F5E">
            <w:pPr>
              <w:jc w:val="right"/>
              <w:rPr>
                <w:sz w:val="20"/>
                <w:szCs w:val="20"/>
                <w:lang w:val="es-ES_tradnl" w:eastAsia="en-CA"/>
              </w:rPr>
            </w:pPr>
            <w:r w:rsidRPr="000458F8">
              <w:rPr>
                <w:sz w:val="20"/>
                <w:szCs w:val="20"/>
                <w:lang w:val="es-ES_tradnl" w:eastAsia="en-CA"/>
              </w:rPr>
              <w:t>19</w:t>
            </w:r>
            <w:r w:rsidR="00700B97" w:rsidRPr="000458F8">
              <w:rPr>
                <w:sz w:val="20"/>
                <w:szCs w:val="20"/>
                <w:lang w:val="es-ES_tradnl" w:eastAsia="en-CA"/>
              </w:rPr>
              <w:t> </w:t>
            </w:r>
            <w:r w:rsidRPr="000458F8">
              <w:rPr>
                <w:sz w:val="20"/>
                <w:szCs w:val="20"/>
                <w:lang w:val="es-ES_tradnl" w:eastAsia="en-CA"/>
              </w:rPr>
              <w:t>567</w:t>
            </w:r>
            <w:r w:rsidR="00700B97" w:rsidRPr="000458F8">
              <w:rPr>
                <w:sz w:val="20"/>
                <w:szCs w:val="20"/>
                <w:lang w:val="es-ES_tradnl" w:eastAsia="en-CA"/>
              </w:rPr>
              <w:t> </w:t>
            </w:r>
            <w:r w:rsidRPr="000458F8">
              <w:rPr>
                <w:sz w:val="20"/>
                <w:szCs w:val="20"/>
                <w:lang w:val="es-ES_tradnl" w:eastAsia="en-CA"/>
              </w:rPr>
              <w:t>970</w:t>
            </w:r>
          </w:p>
        </w:tc>
        <w:tc>
          <w:tcPr>
            <w:tcW w:w="1260" w:type="dxa"/>
            <w:tcBorders>
              <w:top w:val="nil"/>
              <w:left w:val="nil"/>
              <w:bottom w:val="single" w:sz="4" w:space="0" w:color="auto"/>
              <w:right w:val="single" w:sz="4" w:space="0" w:color="auto"/>
            </w:tcBorders>
            <w:shd w:val="clear" w:color="auto" w:fill="auto"/>
            <w:noWrap/>
            <w:vAlign w:val="center"/>
            <w:hideMark/>
          </w:tcPr>
          <w:p w14:paraId="5238F011"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D5E933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D25A70C"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A7FC23" w14:textId="77777777" w:rsidR="00C3420C" w:rsidRPr="000458F8" w:rsidRDefault="00C3420C" w:rsidP="008E3F5E">
            <w:pPr>
              <w:jc w:val="left"/>
              <w:rPr>
                <w:sz w:val="20"/>
                <w:szCs w:val="20"/>
                <w:lang w:val="es-ES_tradnl" w:eastAsia="en-CA"/>
              </w:rPr>
            </w:pPr>
            <w:r w:rsidRPr="000458F8">
              <w:rPr>
                <w:sz w:val="20"/>
                <w:szCs w:val="20"/>
                <w:lang w:val="es-ES_tradnl" w:eastAsia="en-CA"/>
              </w:rPr>
              <w:t>2011</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980920C" w14:textId="77777777" w:rsidR="00C3420C" w:rsidRPr="000458F8" w:rsidRDefault="00C3420C" w:rsidP="008E3F5E">
            <w:pPr>
              <w:jc w:val="right"/>
              <w:rPr>
                <w:sz w:val="20"/>
                <w:szCs w:val="20"/>
                <w:lang w:val="es-ES_tradnl" w:eastAsia="en-CA"/>
              </w:rPr>
            </w:pPr>
            <w:r w:rsidRPr="000458F8">
              <w:rPr>
                <w:sz w:val="20"/>
                <w:szCs w:val="20"/>
                <w:lang w:val="es-ES_tradnl" w:eastAsia="en-CA"/>
              </w:rPr>
              <w:t>63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46FAD34" w14:textId="77777777" w:rsidR="00C3420C" w:rsidRPr="000458F8" w:rsidRDefault="00C3420C" w:rsidP="008E3F5E">
            <w:pPr>
              <w:jc w:val="right"/>
              <w:rPr>
                <w:sz w:val="20"/>
                <w:szCs w:val="20"/>
                <w:lang w:val="es-ES_tradnl" w:eastAsia="en-CA"/>
              </w:rPr>
            </w:pPr>
            <w:r w:rsidRPr="000458F8">
              <w:rPr>
                <w:sz w:val="20"/>
                <w:szCs w:val="20"/>
                <w:lang w:val="es-ES_tradnl" w:eastAsia="en-CA"/>
              </w:rPr>
              <w:t>63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B546B60"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260" w:type="dxa"/>
            <w:tcBorders>
              <w:top w:val="nil"/>
              <w:left w:val="nil"/>
              <w:bottom w:val="single" w:sz="4" w:space="0" w:color="auto"/>
              <w:right w:val="single" w:sz="4" w:space="0" w:color="auto"/>
            </w:tcBorders>
            <w:shd w:val="clear" w:color="auto" w:fill="auto"/>
            <w:noWrap/>
            <w:vAlign w:val="center"/>
            <w:hideMark/>
          </w:tcPr>
          <w:p w14:paraId="10A8004B" w14:textId="5F2AD128" w:rsidR="00C3420C" w:rsidRPr="000458F8" w:rsidRDefault="00C3420C" w:rsidP="008E3F5E">
            <w:pPr>
              <w:jc w:val="right"/>
              <w:rPr>
                <w:sz w:val="20"/>
                <w:szCs w:val="20"/>
                <w:lang w:val="es-ES_tradnl" w:eastAsia="en-CA"/>
              </w:rPr>
            </w:pPr>
            <w:r w:rsidRPr="000458F8">
              <w:rPr>
                <w:sz w:val="20"/>
                <w:szCs w:val="20"/>
                <w:lang w:val="es-ES_tradnl" w:eastAsia="en-CA"/>
              </w:rPr>
              <w:t>57</w:t>
            </w:r>
            <w:r w:rsidR="00700B97" w:rsidRPr="000458F8">
              <w:rPr>
                <w:sz w:val="20"/>
                <w:szCs w:val="20"/>
                <w:lang w:val="es-ES_tradnl" w:eastAsia="en-CA"/>
              </w:rPr>
              <w:t> </w:t>
            </w:r>
            <w:r w:rsidRPr="000458F8">
              <w:rPr>
                <w:sz w:val="20"/>
                <w:szCs w:val="20"/>
                <w:lang w:val="es-ES_tradnl" w:eastAsia="en-CA"/>
              </w:rPr>
              <w:t>446</w:t>
            </w:r>
            <w:r w:rsidR="00700B97" w:rsidRPr="000458F8">
              <w:rPr>
                <w:sz w:val="20"/>
                <w:szCs w:val="20"/>
                <w:lang w:val="es-ES_tradnl" w:eastAsia="en-CA"/>
              </w:rPr>
              <w:t> </w:t>
            </w:r>
            <w:r w:rsidRPr="000458F8">
              <w:rPr>
                <w:sz w:val="20"/>
                <w:szCs w:val="20"/>
                <w:lang w:val="es-ES_tradnl" w:eastAsia="en-CA"/>
              </w:rPr>
              <w:t>042</w:t>
            </w:r>
          </w:p>
        </w:tc>
        <w:tc>
          <w:tcPr>
            <w:tcW w:w="1260" w:type="dxa"/>
            <w:tcBorders>
              <w:top w:val="nil"/>
              <w:left w:val="nil"/>
              <w:bottom w:val="single" w:sz="4" w:space="0" w:color="auto"/>
              <w:right w:val="single" w:sz="4" w:space="0" w:color="auto"/>
            </w:tcBorders>
            <w:shd w:val="clear" w:color="auto" w:fill="auto"/>
            <w:noWrap/>
            <w:vAlign w:val="center"/>
            <w:hideMark/>
          </w:tcPr>
          <w:p w14:paraId="181FFC7D" w14:textId="093177CF" w:rsidR="00C3420C" w:rsidRPr="000458F8" w:rsidRDefault="00C3420C" w:rsidP="008E3F5E">
            <w:pPr>
              <w:jc w:val="right"/>
              <w:rPr>
                <w:sz w:val="20"/>
                <w:szCs w:val="20"/>
                <w:lang w:val="es-ES_tradnl" w:eastAsia="en-CA"/>
              </w:rPr>
            </w:pPr>
            <w:r w:rsidRPr="000458F8">
              <w:rPr>
                <w:sz w:val="20"/>
                <w:szCs w:val="20"/>
                <w:lang w:val="es-ES_tradnl" w:eastAsia="en-CA"/>
              </w:rPr>
              <w:t>57</w:t>
            </w:r>
            <w:r w:rsidR="00700B97" w:rsidRPr="000458F8">
              <w:rPr>
                <w:sz w:val="20"/>
                <w:szCs w:val="20"/>
                <w:lang w:val="es-ES_tradnl" w:eastAsia="en-CA"/>
              </w:rPr>
              <w:t> </w:t>
            </w:r>
            <w:r w:rsidRPr="000458F8">
              <w:rPr>
                <w:sz w:val="20"/>
                <w:szCs w:val="20"/>
                <w:lang w:val="es-ES_tradnl" w:eastAsia="en-CA"/>
              </w:rPr>
              <w:t>421</w:t>
            </w:r>
            <w:r w:rsidR="00700B97" w:rsidRPr="000458F8">
              <w:rPr>
                <w:sz w:val="20"/>
                <w:szCs w:val="20"/>
                <w:lang w:val="es-ES_tradnl" w:eastAsia="en-CA"/>
              </w:rPr>
              <w:t> </w:t>
            </w:r>
            <w:r w:rsidRPr="000458F8">
              <w:rPr>
                <w:sz w:val="20"/>
                <w:szCs w:val="20"/>
                <w:lang w:val="es-ES_tradnl" w:eastAsia="en-CA"/>
              </w:rPr>
              <w:t>734</w:t>
            </w:r>
          </w:p>
        </w:tc>
        <w:tc>
          <w:tcPr>
            <w:tcW w:w="1260" w:type="dxa"/>
            <w:tcBorders>
              <w:top w:val="nil"/>
              <w:left w:val="nil"/>
              <w:bottom w:val="single" w:sz="4" w:space="0" w:color="auto"/>
              <w:right w:val="single" w:sz="4" w:space="0" w:color="auto"/>
            </w:tcBorders>
            <w:shd w:val="clear" w:color="auto" w:fill="auto"/>
            <w:noWrap/>
            <w:vAlign w:val="center"/>
            <w:hideMark/>
          </w:tcPr>
          <w:p w14:paraId="1E260694" w14:textId="7BA5958D" w:rsidR="00C3420C" w:rsidRPr="000458F8" w:rsidRDefault="00C3420C" w:rsidP="008E3F5E">
            <w:pPr>
              <w:jc w:val="right"/>
              <w:rPr>
                <w:sz w:val="20"/>
                <w:szCs w:val="20"/>
                <w:lang w:val="es-ES_tradnl" w:eastAsia="en-CA"/>
              </w:rPr>
            </w:pPr>
            <w:r w:rsidRPr="000458F8">
              <w:rPr>
                <w:sz w:val="20"/>
                <w:szCs w:val="20"/>
                <w:lang w:val="es-ES_tradnl" w:eastAsia="en-CA"/>
              </w:rPr>
              <w:t>24</w:t>
            </w:r>
            <w:r w:rsidR="00700B97" w:rsidRPr="000458F8">
              <w:rPr>
                <w:sz w:val="20"/>
                <w:szCs w:val="20"/>
                <w:lang w:val="es-ES_tradnl" w:eastAsia="en-CA"/>
              </w:rPr>
              <w:t> </w:t>
            </w:r>
            <w:r w:rsidRPr="000458F8">
              <w:rPr>
                <w:sz w:val="20"/>
                <w:szCs w:val="20"/>
                <w:lang w:val="es-ES_tradnl" w:eastAsia="en-CA"/>
              </w:rPr>
              <w:t>308</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3D713F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E6703E4"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8659AB" w14:textId="77777777" w:rsidR="00C3420C" w:rsidRPr="000458F8" w:rsidRDefault="00C3420C" w:rsidP="008E3F5E">
            <w:pPr>
              <w:jc w:val="left"/>
              <w:rPr>
                <w:sz w:val="20"/>
                <w:szCs w:val="20"/>
                <w:lang w:val="es-ES_tradnl" w:eastAsia="en-CA"/>
              </w:rPr>
            </w:pPr>
            <w:r w:rsidRPr="000458F8">
              <w:rPr>
                <w:sz w:val="20"/>
                <w:szCs w:val="20"/>
                <w:lang w:val="es-ES_tradnl" w:eastAsia="en-CA"/>
              </w:rPr>
              <w:t>2012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52AB496" w14:textId="77777777" w:rsidR="00C3420C" w:rsidRPr="000458F8" w:rsidRDefault="00C3420C" w:rsidP="008E3F5E">
            <w:pPr>
              <w:jc w:val="right"/>
              <w:rPr>
                <w:sz w:val="20"/>
                <w:szCs w:val="20"/>
                <w:lang w:val="es-ES_tradnl" w:eastAsia="en-CA"/>
              </w:rPr>
            </w:pPr>
            <w:r w:rsidRPr="000458F8">
              <w:rPr>
                <w:sz w:val="20"/>
                <w:szCs w:val="20"/>
                <w:lang w:val="es-ES_tradnl" w:eastAsia="en-CA"/>
              </w:rPr>
              <w:t>29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25EB28F" w14:textId="77777777" w:rsidR="00C3420C" w:rsidRPr="000458F8" w:rsidRDefault="00C3420C" w:rsidP="008E3F5E">
            <w:pPr>
              <w:jc w:val="right"/>
              <w:rPr>
                <w:sz w:val="20"/>
                <w:szCs w:val="20"/>
                <w:lang w:val="es-ES_tradnl" w:eastAsia="en-CA"/>
              </w:rPr>
            </w:pPr>
            <w:r w:rsidRPr="000458F8">
              <w:rPr>
                <w:sz w:val="20"/>
                <w:szCs w:val="20"/>
                <w:lang w:val="es-ES_tradnl" w:eastAsia="en-CA"/>
              </w:rPr>
              <w:t>28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5F51083" w14:textId="77777777" w:rsidR="00C3420C" w:rsidRPr="000458F8" w:rsidRDefault="00C3420C" w:rsidP="008E3F5E">
            <w:pPr>
              <w:jc w:val="right"/>
              <w:rPr>
                <w:sz w:val="20"/>
                <w:szCs w:val="20"/>
                <w:lang w:val="es-ES_tradnl" w:eastAsia="en-CA"/>
              </w:rPr>
            </w:pPr>
            <w:r w:rsidRPr="000458F8">
              <w:rPr>
                <w:sz w:val="20"/>
                <w:szCs w:val="20"/>
                <w:lang w:val="es-ES_tradnl" w:eastAsia="en-CA"/>
              </w:rPr>
              <w:t>97</w:t>
            </w:r>
          </w:p>
        </w:tc>
        <w:tc>
          <w:tcPr>
            <w:tcW w:w="1260" w:type="dxa"/>
            <w:tcBorders>
              <w:top w:val="nil"/>
              <w:left w:val="nil"/>
              <w:bottom w:val="single" w:sz="4" w:space="0" w:color="auto"/>
              <w:right w:val="single" w:sz="4" w:space="0" w:color="auto"/>
            </w:tcBorders>
            <w:shd w:val="clear" w:color="auto" w:fill="auto"/>
            <w:noWrap/>
            <w:vAlign w:val="center"/>
            <w:hideMark/>
          </w:tcPr>
          <w:p w14:paraId="15872F1C" w14:textId="594D99A8" w:rsidR="00C3420C" w:rsidRPr="000458F8" w:rsidRDefault="00C3420C" w:rsidP="008E3F5E">
            <w:pPr>
              <w:jc w:val="right"/>
              <w:rPr>
                <w:sz w:val="20"/>
                <w:szCs w:val="20"/>
                <w:lang w:val="es-ES_tradnl" w:eastAsia="en-CA"/>
              </w:rPr>
            </w:pPr>
            <w:r w:rsidRPr="000458F8">
              <w:rPr>
                <w:sz w:val="20"/>
                <w:szCs w:val="20"/>
                <w:lang w:val="es-ES_tradnl" w:eastAsia="en-CA"/>
              </w:rPr>
              <w:t>33</w:t>
            </w:r>
            <w:r w:rsidR="00700B97" w:rsidRPr="000458F8">
              <w:rPr>
                <w:sz w:val="20"/>
                <w:szCs w:val="20"/>
                <w:lang w:val="es-ES_tradnl" w:eastAsia="en-CA"/>
              </w:rPr>
              <w:t> </w:t>
            </w:r>
            <w:r w:rsidRPr="000458F8">
              <w:rPr>
                <w:sz w:val="20"/>
                <w:szCs w:val="20"/>
                <w:lang w:val="es-ES_tradnl" w:eastAsia="en-CA"/>
              </w:rPr>
              <w:t>889</w:t>
            </w:r>
            <w:r w:rsidR="00700B97" w:rsidRPr="000458F8">
              <w:rPr>
                <w:sz w:val="20"/>
                <w:szCs w:val="20"/>
                <w:lang w:val="es-ES_tradnl" w:eastAsia="en-CA"/>
              </w:rPr>
              <w:t> </w:t>
            </w:r>
            <w:r w:rsidRPr="000458F8">
              <w:rPr>
                <w:sz w:val="20"/>
                <w:szCs w:val="20"/>
                <w:lang w:val="es-ES_tradnl" w:eastAsia="en-CA"/>
              </w:rPr>
              <w:t>850</w:t>
            </w:r>
          </w:p>
        </w:tc>
        <w:tc>
          <w:tcPr>
            <w:tcW w:w="1260" w:type="dxa"/>
            <w:tcBorders>
              <w:top w:val="nil"/>
              <w:left w:val="nil"/>
              <w:bottom w:val="single" w:sz="4" w:space="0" w:color="auto"/>
              <w:right w:val="single" w:sz="4" w:space="0" w:color="auto"/>
            </w:tcBorders>
            <w:shd w:val="clear" w:color="auto" w:fill="auto"/>
            <w:noWrap/>
            <w:vAlign w:val="center"/>
            <w:hideMark/>
          </w:tcPr>
          <w:p w14:paraId="7E26FD84" w14:textId="5C29BD5A" w:rsidR="00C3420C" w:rsidRPr="000458F8" w:rsidRDefault="00C3420C" w:rsidP="008E3F5E">
            <w:pPr>
              <w:jc w:val="right"/>
              <w:rPr>
                <w:sz w:val="20"/>
                <w:szCs w:val="20"/>
                <w:lang w:val="es-ES_tradnl" w:eastAsia="en-CA"/>
              </w:rPr>
            </w:pPr>
            <w:r w:rsidRPr="000458F8">
              <w:rPr>
                <w:sz w:val="20"/>
                <w:szCs w:val="20"/>
                <w:lang w:val="es-ES_tradnl" w:eastAsia="en-CA"/>
              </w:rPr>
              <w:t>32</w:t>
            </w:r>
            <w:r w:rsidR="00700B97" w:rsidRPr="000458F8">
              <w:rPr>
                <w:sz w:val="20"/>
                <w:szCs w:val="20"/>
                <w:lang w:val="es-ES_tradnl" w:eastAsia="en-CA"/>
              </w:rPr>
              <w:t> </w:t>
            </w:r>
            <w:r w:rsidRPr="000458F8">
              <w:rPr>
                <w:sz w:val="20"/>
                <w:szCs w:val="20"/>
                <w:lang w:val="es-ES_tradnl" w:eastAsia="en-CA"/>
              </w:rPr>
              <w:t>979</w:t>
            </w:r>
            <w:r w:rsidR="00700B97" w:rsidRPr="000458F8">
              <w:rPr>
                <w:sz w:val="20"/>
                <w:szCs w:val="20"/>
                <w:lang w:val="es-ES_tradnl" w:eastAsia="en-CA"/>
              </w:rPr>
              <w:t> </w:t>
            </w:r>
            <w:r w:rsidRPr="000458F8">
              <w:rPr>
                <w:sz w:val="20"/>
                <w:szCs w:val="20"/>
                <w:lang w:val="es-ES_tradnl" w:eastAsia="en-CA"/>
              </w:rPr>
              <w:t>174</w:t>
            </w:r>
          </w:p>
        </w:tc>
        <w:tc>
          <w:tcPr>
            <w:tcW w:w="1260" w:type="dxa"/>
            <w:tcBorders>
              <w:top w:val="nil"/>
              <w:left w:val="nil"/>
              <w:bottom w:val="single" w:sz="4" w:space="0" w:color="auto"/>
              <w:right w:val="single" w:sz="4" w:space="0" w:color="auto"/>
            </w:tcBorders>
            <w:shd w:val="clear" w:color="auto" w:fill="auto"/>
            <w:noWrap/>
            <w:vAlign w:val="center"/>
            <w:hideMark/>
          </w:tcPr>
          <w:p w14:paraId="38D8A192" w14:textId="0D6E94D1" w:rsidR="00C3420C" w:rsidRPr="000458F8" w:rsidRDefault="00C3420C" w:rsidP="008E3F5E">
            <w:pPr>
              <w:jc w:val="right"/>
              <w:rPr>
                <w:sz w:val="20"/>
                <w:szCs w:val="20"/>
                <w:lang w:val="es-ES_tradnl" w:eastAsia="en-CA"/>
              </w:rPr>
            </w:pPr>
            <w:r w:rsidRPr="000458F8">
              <w:rPr>
                <w:sz w:val="20"/>
                <w:szCs w:val="20"/>
                <w:lang w:val="es-ES_tradnl" w:eastAsia="en-CA"/>
              </w:rPr>
              <w:t>910</w:t>
            </w:r>
            <w:r w:rsidR="00700B97" w:rsidRPr="000458F8">
              <w:rPr>
                <w:sz w:val="20"/>
                <w:szCs w:val="20"/>
                <w:lang w:val="es-ES_tradnl" w:eastAsia="en-CA"/>
              </w:rPr>
              <w:t> </w:t>
            </w:r>
            <w:r w:rsidRPr="000458F8">
              <w:rPr>
                <w:sz w:val="20"/>
                <w:szCs w:val="20"/>
                <w:lang w:val="es-ES_tradnl" w:eastAsia="en-CA"/>
              </w:rPr>
              <w:t>676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9BB382D" w14:textId="77777777" w:rsidR="00C3420C" w:rsidRPr="000458F8" w:rsidRDefault="00C3420C" w:rsidP="008E3F5E">
            <w:pPr>
              <w:jc w:val="right"/>
              <w:rPr>
                <w:sz w:val="20"/>
                <w:szCs w:val="20"/>
                <w:lang w:val="es-ES_tradnl" w:eastAsia="en-CA"/>
              </w:rPr>
            </w:pPr>
            <w:r w:rsidRPr="000458F8">
              <w:rPr>
                <w:sz w:val="20"/>
                <w:szCs w:val="20"/>
                <w:lang w:val="es-ES_tradnl" w:eastAsia="en-CA"/>
              </w:rPr>
              <w:t>97</w:t>
            </w:r>
          </w:p>
        </w:tc>
      </w:tr>
      <w:tr w:rsidR="00C3420C" w:rsidRPr="000458F8" w14:paraId="15297D6D"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0D3118" w14:textId="77777777" w:rsidR="00C3420C" w:rsidRPr="000458F8" w:rsidRDefault="00C3420C" w:rsidP="008E3F5E">
            <w:pPr>
              <w:jc w:val="left"/>
              <w:rPr>
                <w:sz w:val="20"/>
                <w:szCs w:val="20"/>
                <w:lang w:val="es-ES_tradnl" w:eastAsia="en-CA"/>
              </w:rPr>
            </w:pPr>
            <w:r w:rsidRPr="000458F8">
              <w:rPr>
                <w:sz w:val="20"/>
                <w:szCs w:val="20"/>
                <w:lang w:val="es-ES_tradnl" w:eastAsia="en-CA"/>
              </w:rPr>
              <w:t>2013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2215BCE" w14:textId="77777777" w:rsidR="00C3420C" w:rsidRPr="000458F8" w:rsidRDefault="00C3420C" w:rsidP="008E3F5E">
            <w:pPr>
              <w:jc w:val="right"/>
              <w:rPr>
                <w:sz w:val="20"/>
                <w:szCs w:val="20"/>
                <w:lang w:val="es-ES_tradnl" w:eastAsia="en-CA"/>
              </w:rPr>
            </w:pPr>
            <w:r w:rsidRPr="000458F8">
              <w:rPr>
                <w:sz w:val="20"/>
                <w:szCs w:val="20"/>
                <w:lang w:val="es-ES_tradnl" w:eastAsia="en-CA"/>
              </w:rPr>
              <w:t>43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4CBD1DD" w14:textId="77777777" w:rsidR="00C3420C" w:rsidRPr="000458F8" w:rsidRDefault="00C3420C" w:rsidP="008E3F5E">
            <w:pPr>
              <w:jc w:val="right"/>
              <w:rPr>
                <w:sz w:val="20"/>
                <w:szCs w:val="20"/>
                <w:lang w:val="es-ES_tradnl" w:eastAsia="en-CA"/>
              </w:rPr>
            </w:pPr>
            <w:r w:rsidRPr="000458F8">
              <w:rPr>
                <w:sz w:val="20"/>
                <w:szCs w:val="20"/>
                <w:lang w:val="es-ES_tradnl" w:eastAsia="en-CA"/>
              </w:rPr>
              <w:t>42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A3EF7EE" w14:textId="77777777" w:rsidR="00C3420C" w:rsidRPr="000458F8" w:rsidRDefault="00C3420C" w:rsidP="008E3F5E">
            <w:pPr>
              <w:jc w:val="right"/>
              <w:rPr>
                <w:sz w:val="20"/>
                <w:szCs w:val="20"/>
                <w:lang w:val="es-ES_tradnl" w:eastAsia="en-CA"/>
              </w:rPr>
            </w:pPr>
            <w:r w:rsidRPr="000458F8">
              <w:rPr>
                <w:sz w:val="20"/>
                <w:szCs w:val="20"/>
                <w:lang w:val="es-ES_tradnl" w:eastAsia="en-CA"/>
              </w:rPr>
              <w:t>98</w:t>
            </w:r>
          </w:p>
        </w:tc>
        <w:tc>
          <w:tcPr>
            <w:tcW w:w="1260" w:type="dxa"/>
            <w:tcBorders>
              <w:top w:val="nil"/>
              <w:left w:val="nil"/>
              <w:bottom w:val="single" w:sz="4" w:space="0" w:color="auto"/>
              <w:right w:val="single" w:sz="4" w:space="0" w:color="auto"/>
            </w:tcBorders>
            <w:shd w:val="clear" w:color="auto" w:fill="auto"/>
            <w:noWrap/>
            <w:vAlign w:val="center"/>
            <w:hideMark/>
          </w:tcPr>
          <w:p w14:paraId="5CBA4DD6" w14:textId="309D8E51" w:rsidR="00C3420C" w:rsidRPr="000458F8" w:rsidRDefault="00C3420C" w:rsidP="008E3F5E">
            <w:pPr>
              <w:jc w:val="right"/>
              <w:rPr>
                <w:sz w:val="20"/>
                <w:szCs w:val="20"/>
                <w:lang w:val="es-ES_tradnl" w:eastAsia="en-CA"/>
              </w:rPr>
            </w:pPr>
            <w:r w:rsidRPr="000458F8">
              <w:rPr>
                <w:sz w:val="20"/>
                <w:szCs w:val="20"/>
                <w:lang w:val="es-ES_tradnl" w:eastAsia="en-CA"/>
              </w:rPr>
              <w:t>34</w:t>
            </w:r>
            <w:r w:rsidR="00700B97" w:rsidRPr="000458F8">
              <w:rPr>
                <w:sz w:val="20"/>
                <w:szCs w:val="20"/>
                <w:lang w:val="es-ES_tradnl" w:eastAsia="en-CA"/>
              </w:rPr>
              <w:t> </w:t>
            </w:r>
            <w:r w:rsidRPr="000458F8">
              <w:rPr>
                <w:sz w:val="20"/>
                <w:szCs w:val="20"/>
                <w:lang w:val="es-ES_tradnl" w:eastAsia="en-CA"/>
              </w:rPr>
              <w:t>567</w:t>
            </w:r>
            <w:r w:rsidR="00700B97" w:rsidRPr="000458F8">
              <w:rPr>
                <w:sz w:val="20"/>
                <w:szCs w:val="20"/>
                <w:lang w:val="es-ES_tradnl" w:eastAsia="en-CA"/>
              </w:rPr>
              <w:t> </w:t>
            </w:r>
            <w:r w:rsidRPr="000458F8">
              <w:rPr>
                <w:sz w:val="20"/>
                <w:szCs w:val="20"/>
                <w:lang w:val="es-ES_tradnl" w:eastAsia="en-CA"/>
              </w:rPr>
              <w:t>186</w:t>
            </w:r>
          </w:p>
        </w:tc>
        <w:tc>
          <w:tcPr>
            <w:tcW w:w="1260" w:type="dxa"/>
            <w:tcBorders>
              <w:top w:val="nil"/>
              <w:left w:val="nil"/>
              <w:bottom w:val="single" w:sz="4" w:space="0" w:color="auto"/>
              <w:right w:val="single" w:sz="4" w:space="0" w:color="auto"/>
            </w:tcBorders>
            <w:shd w:val="clear" w:color="auto" w:fill="auto"/>
            <w:noWrap/>
            <w:vAlign w:val="center"/>
            <w:hideMark/>
          </w:tcPr>
          <w:p w14:paraId="7248E5A1" w14:textId="142C929F" w:rsidR="00C3420C" w:rsidRPr="000458F8" w:rsidRDefault="00C3420C" w:rsidP="008E3F5E">
            <w:pPr>
              <w:jc w:val="right"/>
              <w:rPr>
                <w:sz w:val="20"/>
                <w:szCs w:val="20"/>
                <w:lang w:val="es-ES_tradnl" w:eastAsia="en-CA"/>
              </w:rPr>
            </w:pPr>
            <w:r w:rsidRPr="000458F8">
              <w:rPr>
                <w:sz w:val="20"/>
                <w:szCs w:val="20"/>
                <w:lang w:val="es-ES_tradnl" w:eastAsia="en-CA"/>
              </w:rPr>
              <w:t>33</w:t>
            </w:r>
            <w:r w:rsidR="00700B97" w:rsidRPr="000458F8">
              <w:rPr>
                <w:sz w:val="20"/>
                <w:szCs w:val="20"/>
                <w:lang w:val="es-ES_tradnl" w:eastAsia="en-CA"/>
              </w:rPr>
              <w:t> </w:t>
            </w:r>
            <w:r w:rsidRPr="000458F8">
              <w:rPr>
                <w:sz w:val="20"/>
                <w:szCs w:val="20"/>
                <w:lang w:val="es-ES_tradnl" w:eastAsia="en-CA"/>
              </w:rPr>
              <w:t>721</w:t>
            </w:r>
            <w:r w:rsidR="00700B97" w:rsidRPr="000458F8">
              <w:rPr>
                <w:sz w:val="20"/>
                <w:szCs w:val="20"/>
                <w:lang w:val="es-ES_tradnl" w:eastAsia="en-CA"/>
              </w:rPr>
              <w:t> </w:t>
            </w:r>
            <w:r w:rsidRPr="000458F8">
              <w:rPr>
                <w:sz w:val="20"/>
                <w:szCs w:val="20"/>
                <w:lang w:val="es-ES_tradnl" w:eastAsia="en-CA"/>
              </w:rPr>
              <w:t>314</w:t>
            </w:r>
          </w:p>
        </w:tc>
        <w:tc>
          <w:tcPr>
            <w:tcW w:w="1260" w:type="dxa"/>
            <w:tcBorders>
              <w:top w:val="nil"/>
              <w:left w:val="nil"/>
              <w:bottom w:val="single" w:sz="4" w:space="0" w:color="auto"/>
              <w:right w:val="single" w:sz="4" w:space="0" w:color="auto"/>
            </w:tcBorders>
            <w:shd w:val="clear" w:color="auto" w:fill="auto"/>
            <w:noWrap/>
            <w:vAlign w:val="center"/>
            <w:hideMark/>
          </w:tcPr>
          <w:p w14:paraId="719E37FD" w14:textId="13A5DAE0" w:rsidR="00C3420C" w:rsidRPr="000458F8" w:rsidRDefault="00C3420C" w:rsidP="008E3F5E">
            <w:pPr>
              <w:jc w:val="right"/>
              <w:rPr>
                <w:sz w:val="20"/>
                <w:szCs w:val="20"/>
                <w:lang w:val="es-ES_tradnl" w:eastAsia="en-CA"/>
              </w:rPr>
            </w:pPr>
            <w:r w:rsidRPr="000458F8">
              <w:rPr>
                <w:sz w:val="20"/>
                <w:szCs w:val="20"/>
                <w:lang w:val="es-ES_tradnl" w:eastAsia="en-CA"/>
              </w:rPr>
              <w:t>845</w:t>
            </w:r>
            <w:r w:rsidR="00700B97" w:rsidRPr="000458F8">
              <w:rPr>
                <w:sz w:val="20"/>
                <w:szCs w:val="20"/>
                <w:lang w:val="es-ES_tradnl" w:eastAsia="en-CA"/>
              </w:rPr>
              <w:t> </w:t>
            </w:r>
            <w:r w:rsidRPr="000458F8">
              <w:rPr>
                <w:sz w:val="20"/>
                <w:szCs w:val="20"/>
                <w:lang w:val="es-ES_tradnl" w:eastAsia="en-CA"/>
              </w:rPr>
              <w:t>872</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DD6D154" w14:textId="77777777" w:rsidR="00C3420C" w:rsidRPr="000458F8" w:rsidRDefault="00C3420C" w:rsidP="008E3F5E">
            <w:pPr>
              <w:jc w:val="right"/>
              <w:rPr>
                <w:sz w:val="20"/>
                <w:szCs w:val="20"/>
                <w:lang w:val="es-ES_tradnl" w:eastAsia="en-CA"/>
              </w:rPr>
            </w:pPr>
            <w:r w:rsidRPr="000458F8">
              <w:rPr>
                <w:sz w:val="20"/>
                <w:szCs w:val="20"/>
                <w:lang w:val="es-ES_tradnl" w:eastAsia="en-CA"/>
              </w:rPr>
              <w:t>98</w:t>
            </w:r>
          </w:p>
        </w:tc>
      </w:tr>
      <w:tr w:rsidR="00C3420C" w:rsidRPr="000458F8" w14:paraId="338BD703"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3BD8660" w14:textId="77777777" w:rsidR="00C3420C" w:rsidRPr="000458F8" w:rsidRDefault="00C3420C" w:rsidP="008E3F5E">
            <w:pPr>
              <w:jc w:val="left"/>
              <w:rPr>
                <w:sz w:val="20"/>
                <w:szCs w:val="20"/>
                <w:lang w:val="es-ES_tradnl" w:eastAsia="en-CA"/>
              </w:rPr>
            </w:pPr>
            <w:r w:rsidRPr="000458F8">
              <w:rPr>
                <w:sz w:val="20"/>
                <w:szCs w:val="20"/>
                <w:lang w:val="es-ES_tradnl" w:eastAsia="en-CA"/>
              </w:rPr>
              <w:t>2014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8D91187" w14:textId="77777777" w:rsidR="00C3420C" w:rsidRPr="000458F8" w:rsidRDefault="00C3420C" w:rsidP="008E3F5E">
            <w:pPr>
              <w:jc w:val="right"/>
              <w:rPr>
                <w:sz w:val="20"/>
                <w:szCs w:val="20"/>
                <w:lang w:val="es-ES_tradnl" w:eastAsia="en-CA"/>
              </w:rPr>
            </w:pPr>
            <w:r w:rsidRPr="000458F8">
              <w:rPr>
                <w:sz w:val="20"/>
                <w:szCs w:val="20"/>
                <w:lang w:val="es-ES_tradnl" w:eastAsia="en-CA"/>
              </w:rPr>
              <w:t>67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A823D3C" w14:textId="77777777" w:rsidR="00C3420C" w:rsidRPr="000458F8" w:rsidRDefault="00C3420C" w:rsidP="008E3F5E">
            <w:pPr>
              <w:jc w:val="right"/>
              <w:rPr>
                <w:sz w:val="20"/>
                <w:szCs w:val="20"/>
                <w:lang w:val="es-ES_tradnl" w:eastAsia="en-CA"/>
              </w:rPr>
            </w:pPr>
            <w:r w:rsidRPr="000458F8">
              <w:rPr>
                <w:sz w:val="20"/>
                <w:szCs w:val="20"/>
                <w:lang w:val="es-ES_tradnl" w:eastAsia="en-CA"/>
              </w:rPr>
              <w:t>65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17414CC" w14:textId="77777777" w:rsidR="00C3420C" w:rsidRPr="000458F8" w:rsidRDefault="00C3420C" w:rsidP="008E3F5E">
            <w:pPr>
              <w:jc w:val="right"/>
              <w:rPr>
                <w:sz w:val="20"/>
                <w:szCs w:val="20"/>
                <w:lang w:val="es-ES_tradnl" w:eastAsia="en-CA"/>
              </w:rPr>
            </w:pPr>
            <w:r w:rsidRPr="000458F8">
              <w:rPr>
                <w:sz w:val="20"/>
                <w:szCs w:val="20"/>
                <w:lang w:val="es-ES_tradnl" w:eastAsia="en-CA"/>
              </w:rPr>
              <w:t>97</w:t>
            </w:r>
          </w:p>
        </w:tc>
        <w:tc>
          <w:tcPr>
            <w:tcW w:w="1260" w:type="dxa"/>
            <w:tcBorders>
              <w:top w:val="nil"/>
              <w:left w:val="nil"/>
              <w:bottom w:val="single" w:sz="4" w:space="0" w:color="auto"/>
              <w:right w:val="single" w:sz="4" w:space="0" w:color="auto"/>
            </w:tcBorders>
            <w:shd w:val="clear" w:color="auto" w:fill="auto"/>
            <w:noWrap/>
            <w:vAlign w:val="center"/>
            <w:hideMark/>
          </w:tcPr>
          <w:p w14:paraId="5D4E7C19" w14:textId="265CF892" w:rsidR="00C3420C" w:rsidRPr="000458F8" w:rsidRDefault="00C3420C" w:rsidP="008E3F5E">
            <w:pPr>
              <w:jc w:val="right"/>
              <w:rPr>
                <w:sz w:val="20"/>
                <w:szCs w:val="20"/>
                <w:lang w:val="es-ES_tradnl" w:eastAsia="en-CA"/>
              </w:rPr>
            </w:pPr>
            <w:r w:rsidRPr="000458F8">
              <w:rPr>
                <w:sz w:val="20"/>
                <w:szCs w:val="20"/>
                <w:lang w:val="es-ES_tradnl" w:eastAsia="en-CA"/>
              </w:rPr>
              <w:t>22</w:t>
            </w:r>
            <w:r w:rsidR="00700B97" w:rsidRPr="000458F8">
              <w:rPr>
                <w:sz w:val="20"/>
                <w:szCs w:val="20"/>
                <w:lang w:val="es-ES_tradnl" w:eastAsia="en-CA"/>
              </w:rPr>
              <w:t> </w:t>
            </w:r>
            <w:r w:rsidRPr="000458F8">
              <w:rPr>
                <w:sz w:val="20"/>
                <w:szCs w:val="20"/>
                <w:lang w:val="es-ES_tradnl" w:eastAsia="en-CA"/>
              </w:rPr>
              <w:t>714</w:t>
            </w:r>
            <w:r w:rsidR="00700B97" w:rsidRPr="000458F8">
              <w:rPr>
                <w:sz w:val="20"/>
                <w:szCs w:val="20"/>
                <w:lang w:val="es-ES_tradnl" w:eastAsia="en-CA"/>
              </w:rPr>
              <w:t> </w:t>
            </w:r>
            <w:r w:rsidRPr="000458F8">
              <w:rPr>
                <w:sz w:val="20"/>
                <w:szCs w:val="20"/>
                <w:lang w:val="es-ES_tradnl" w:eastAsia="en-CA"/>
              </w:rPr>
              <w:t>330</w:t>
            </w:r>
          </w:p>
        </w:tc>
        <w:tc>
          <w:tcPr>
            <w:tcW w:w="1260" w:type="dxa"/>
            <w:tcBorders>
              <w:top w:val="nil"/>
              <w:left w:val="nil"/>
              <w:bottom w:val="single" w:sz="4" w:space="0" w:color="auto"/>
              <w:right w:val="single" w:sz="4" w:space="0" w:color="auto"/>
            </w:tcBorders>
            <w:shd w:val="clear" w:color="auto" w:fill="auto"/>
            <w:noWrap/>
            <w:vAlign w:val="center"/>
            <w:hideMark/>
          </w:tcPr>
          <w:p w14:paraId="26FBA872" w14:textId="7ECB465C" w:rsidR="00C3420C" w:rsidRPr="000458F8" w:rsidRDefault="00C3420C" w:rsidP="008E3F5E">
            <w:pPr>
              <w:jc w:val="right"/>
              <w:rPr>
                <w:sz w:val="20"/>
                <w:szCs w:val="20"/>
                <w:lang w:val="es-ES_tradnl" w:eastAsia="en-CA"/>
              </w:rPr>
            </w:pPr>
            <w:r w:rsidRPr="000458F8">
              <w:rPr>
                <w:sz w:val="20"/>
                <w:szCs w:val="20"/>
                <w:lang w:val="es-ES_tradnl" w:eastAsia="en-CA"/>
              </w:rPr>
              <w:t>22</w:t>
            </w:r>
            <w:r w:rsidR="00700B97" w:rsidRPr="000458F8">
              <w:rPr>
                <w:sz w:val="20"/>
                <w:szCs w:val="20"/>
                <w:lang w:val="es-ES_tradnl" w:eastAsia="en-CA"/>
              </w:rPr>
              <w:t> </w:t>
            </w:r>
            <w:r w:rsidRPr="000458F8">
              <w:rPr>
                <w:sz w:val="20"/>
                <w:szCs w:val="20"/>
                <w:lang w:val="es-ES_tradnl" w:eastAsia="en-CA"/>
              </w:rPr>
              <w:t>292</w:t>
            </w:r>
            <w:r w:rsidR="00700B97" w:rsidRPr="000458F8">
              <w:rPr>
                <w:sz w:val="20"/>
                <w:szCs w:val="20"/>
                <w:lang w:val="es-ES_tradnl" w:eastAsia="en-CA"/>
              </w:rPr>
              <w:t> </w:t>
            </w:r>
            <w:r w:rsidRPr="000458F8">
              <w:rPr>
                <w:sz w:val="20"/>
                <w:szCs w:val="20"/>
                <w:lang w:val="es-ES_tradnl" w:eastAsia="en-CA"/>
              </w:rPr>
              <w:t>594</w:t>
            </w:r>
          </w:p>
        </w:tc>
        <w:tc>
          <w:tcPr>
            <w:tcW w:w="1260" w:type="dxa"/>
            <w:tcBorders>
              <w:top w:val="nil"/>
              <w:left w:val="nil"/>
              <w:bottom w:val="single" w:sz="4" w:space="0" w:color="auto"/>
              <w:right w:val="single" w:sz="4" w:space="0" w:color="auto"/>
            </w:tcBorders>
            <w:shd w:val="clear" w:color="auto" w:fill="auto"/>
            <w:noWrap/>
            <w:vAlign w:val="center"/>
            <w:hideMark/>
          </w:tcPr>
          <w:p w14:paraId="1F79E8CB" w14:textId="4742EF5A" w:rsidR="00C3420C" w:rsidRPr="000458F8" w:rsidRDefault="00C3420C" w:rsidP="008E3F5E">
            <w:pPr>
              <w:jc w:val="right"/>
              <w:rPr>
                <w:sz w:val="20"/>
                <w:szCs w:val="20"/>
                <w:lang w:val="es-ES_tradnl" w:eastAsia="en-CA"/>
              </w:rPr>
            </w:pPr>
            <w:r w:rsidRPr="000458F8">
              <w:rPr>
                <w:sz w:val="20"/>
                <w:szCs w:val="20"/>
                <w:lang w:val="es-ES_tradnl" w:eastAsia="en-CA"/>
              </w:rPr>
              <w:t>421</w:t>
            </w:r>
            <w:r w:rsidR="00700B97" w:rsidRPr="000458F8">
              <w:rPr>
                <w:sz w:val="20"/>
                <w:szCs w:val="20"/>
                <w:lang w:val="es-ES_tradnl" w:eastAsia="en-CA"/>
              </w:rPr>
              <w:t> </w:t>
            </w:r>
            <w:r w:rsidRPr="000458F8">
              <w:rPr>
                <w:sz w:val="20"/>
                <w:szCs w:val="20"/>
                <w:lang w:val="es-ES_tradnl" w:eastAsia="en-CA"/>
              </w:rPr>
              <w:t>736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2E4833F" w14:textId="77777777" w:rsidR="00C3420C" w:rsidRPr="000458F8" w:rsidRDefault="00C3420C" w:rsidP="008E3F5E">
            <w:pPr>
              <w:jc w:val="right"/>
              <w:rPr>
                <w:sz w:val="20"/>
                <w:szCs w:val="20"/>
                <w:lang w:val="es-ES_tradnl" w:eastAsia="en-CA"/>
              </w:rPr>
            </w:pPr>
            <w:r w:rsidRPr="000458F8">
              <w:rPr>
                <w:sz w:val="20"/>
                <w:szCs w:val="20"/>
                <w:lang w:val="es-ES_tradnl" w:eastAsia="en-CA"/>
              </w:rPr>
              <w:t>98</w:t>
            </w:r>
          </w:p>
        </w:tc>
      </w:tr>
      <w:tr w:rsidR="00C3420C" w:rsidRPr="000458F8" w14:paraId="4828C483"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C460BD" w14:textId="77777777" w:rsidR="00C3420C" w:rsidRPr="000458F8" w:rsidRDefault="00C3420C" w:rsidP="008E3F5E">
            <w:pPr>
              <w:jc w:val="left"/>
              <w:rPr>
                <w:sz w:val="20"/>
                <w:szCs w:val="20"/>
                <w:lang w:val="es-ES_tradnl" w:eastAsia="en-CA"/>
              </w:rPr>
            </w:pPr>
            <w:r w:rsidRPr="000458F8">
              <w:rPr>
                <w:sz w:val="20"/>
                <w:szCs w:val="20"/>
                <w:lang w:val="es-ES_tradnl" w:eastAsia="en-CA"/>
              </w:rPr>
              <w:t>2015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6BFF38D" w14:textId="77777777" w:rsidR="00C3420C" w:rsidRPr="000458F8" w:rsidRDefault="00C3420C" w:rsidP="008E3F5E">
            <w:pPr>
              <w:jc w:val="right"/>
              <w:rPr>
                <w:sz w:val="20"/>
                <w:szCs w:val="20"/>
                <w:lang w:val="es-ES_tradnl" w:eastAsia="en-CA"/>
              </w:rPr>
            </w:pPr>
            <w:r w:rsidRPr="000458F8">
              <w:rPr>
                <w:sz w:val="20"/>
                <w:szCs w:val="20"/>
                <w:lang w:val="es-ES_tradnl" w:eastAsia="en-CA"/>
              </w:rPr>
              <w:t>75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CEF273E" w14:textId="77777777" w:rsidR="00C3420C" w:rsidRPr="000458F8" w:rsidRDefault="00C3420C" w:rsidP="008E3F5E">
            <w:pPr>
              <w:jc w:val="right"/>
              <w:rPr>
                <w:sz w:val="20"/>
                <w:szCs w:val="20"/>
                <w:lang w:val="es-ES_tradnl" w:eastAsia="en-CA"/>
              </w:rPr>
            </w:pPr>
            <w:r w:rsidRPr="000458F8">
              <w:rPr>
                <w:sz w:val="20"/>
                <w:szCs w:val="20"/>
                <w:lang w:val="es-ES_tradnl" w:eastAsia="en-CA"/>
              </w:rPr>
              <w:t>74</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DC11FC8" w14:textId="77777777" w:rsidR="00C3420C" w:rsidRPr="000458F8" w:rsidRDefault="00C3420C" w:rsidP="008E3F5E">
            <w:pPr>
              <w:jc w:val="right"/>
              <w:rPr>
                <w:sz w:val="20"/>
                <w:szCs w:val="20"/>
                <w:lang w:val="es-ES_tradnl" w:eastAsia="en-CA"/>
              </w:rPr>
            </w:pPr>
            <w:r w:rsidRPr="000458F8">
              <w:rPr>
                <w:sz w:val="20"/>
                <w:szCs w:val="20"/>
                <w:lang w:val="es-ES_tradnl" w:eastAsia="en-CA"/>
              </w:rPr>
              <w:t>99</w:t>
            </w:r>
          </w:p>
        </w:tc>
        <w:tc>
          <w:tcPr>
            <w:tcW w:w="1260" w:type="dxa"/>
            <w:tcBorders>
              <w:top w:val="nil"/>
              <w:left w:val="nil"/>
              <w:bottom w:val="single" w:sz="4" w:space="0" w:color="auto"/>
              <w:right w:val="single" w:sz="4" w:space="0" w:color="auto"/>
            </w:tcBorders>
            <w:shd w:val="clear" w:color="auto" w:fill="auto"/>
            <w:noWrap/>
            <w:vAlign w:val="center"/>
            <w:hideMark/>
          </w:tcPr>
          <w:p w14:paraId="04ED2695" w14:textId="600185D1" w:rsidR="00C3420C" w:rsidRPr="000458F8" w:rsidRDefault="00C3420C" w:rsidP="008E3F5E">
            <w:pPr>
              <w:jc w:val="right"/>
              <w:rPr>
                <w:sz w:val="20"/>
                <w:szCs w:val="20"/>
                <w:lang w:val="es-ES_tradnl" w:eastAsia="en-CA"/>
              </w:rPr>
            </w:pPr>
            <w:r w:rsidRPr="000458F8">
              <w:rPr>
                <w:sz w:val="20"/>
                <w:szCs w:val="20"/>
                <w:lang w:val="es-ES_tradnl" w:eastAsia="en-CA"/>
              </w:rPr>
              <w:t>33</w:t>
            </w:r>
            <w:r w:rsidR="00700B97" w:rsidRPr="000458F8">
              <w:rPr>
                <w:sz w:val="20"/>
                <w:szCs w:val="20"/>
                <w:lang w:val="es-ES_tradnl" w:eastAsia="en-CA"/>
              </w:rPr>
              <w:t> </w:t>
            </w:r>
            <w:r w:rsidRPr="000458F8">
              <w:rPr>
                <w:sz w:val="20"/>
                <w:szCs w:val="20"/>
                <w:lang w:val="es-ES_tradnl" w:eastAsia="en-CA"/>
              </w:rPr>
              <w:t>523</w:t>
            </w:r>
            <w:r w:rsidR="00700B97" w:rsidRPr="000458F8">
              <w:rPr>
                <w:sz w:val="20"/>
                <w:szCs w:val="20"/>
                <w:lang w:val="es-ES_tradnl" w:eastAsia="en-CA"/>
              </w:rPr>
              <w:t> </w:t>
            </w:r>
            <w:r w:rsidRPr="000458F8">
              <w:rPr>
                <w:sz w:val="20"/>
                <w:szCs w:val="20"/>
                <w:lang w:val="es-ES_tradnl" w:eastAsia="en-CA"/>
              </w:rPr>
              <w:t>195</w:t>
            </w:r>
          </w:p>
        </w:tc>
        <w:tc>
          <w:tcPr>
            <w:tcW w:w="1260" w:type="dxa"/>
            <w:tcBorders>
              <w:top w:val="nil"/>
              <w:left w:val="nil"/>
              <w:bottom w:val="single" w:sz="4" w:space="0" w:color="auto"/>
              <w:right w:val="single" w:sz="4" w:space="0" w:color="auto"/>
            </w:tcBorders>
            <w:shd w:val="clear" w:color="auto" w:fill="auto"/>
            <w:noWrap/>
            <w:vAlign w:val="center"/>
            <w:hideMark/>
          </w:tcPr>
          <w:p w14:paraId="18EDDD53" w14:textId="36ECA167" w:rsidR="00C3420C" w:rsidRPr="000458F8" w:rsidRDefault="00C3420C" w:rsidP="008E3F5E">
            <w:pPr>
              <w:jc w:val="right"/>
              <w:rPr>
                <w:sz w:val="20"/>
                <w:szCs w:val="20"/>
                <w:lang w:val="es-ES_tradnl" w:eastAsia="en-CA"/>
              </w:rPr>
            </w:pPr>
            <w:r w:rsidRPr="000458F8">
              <w:rPr>
                <w:sz w:val="20"/>
                <w:szCs w:val="20"/>
                <w:lang w:val="es-ES_tradnl" w:eastAsia="en-CA"/>
              </w:rPr>
              <w:t>29</w:t>
            </w:r>
            <w:r w:rsidR="00700B97" w:rsidRPr="000458F8">
              <w:rPr>
                <w:sz w:val="20"/>
                <w:szCs w:val="20"/>
                <w:lang w:val="es-ES_tradnl" w:eastAsia="en-CA"/>
              </w:rPr>
              <w:t> </w:t>
            </w:r>
            <w:r w:rsidRPr="000458F8">
              <w:rPr>
                <w:sz w:val="20"/>
                <w:szCs w:val="20"/>
                <w:lang w:val="es-ES_tradnl" w:eastAsia="en-CA"/>
              </w:rPr>
              <w:t>056</w:t>
            </w:r>
            <w:r w:rsidR="00700B97" w:rsidRPr="000458F8">
              <w:rPr>
                <w:sz w:val="20"/>
                <w:szCs w:val="20"/>
                <w:lang w:val="es-ES_tradnl" w:eastAsia="en-CA"/>
              </w:rPr>
              <w:t> </w:t>
            </w:r>
            <w:r w:rsidRPr="000458F8">
              <w:rPr>
                <w:sz w:val="20"/>
                <w:szCs w:val="20"/>
                <w:lang w:val="es-ES_tradnl" w:eastAsia="en-CA"/>
              </w:rPr>
              <w:t>699</w:t>
            </w:r>
          </w:p>
        </w:tc>
        <w:tc>
          <w:tcPr>
            <w:tcW w:w="1260" w:type="dxa"/>
            <w:tcBorders>
              <w:top w:val="nil"/>
              <w:left w:val="nil"/>
              <w:bottom w:val="single" w:sz="4" w:space="0" w:color="auto"/>
              <w:right w:val="single" w:sz="4" w:space="0" w:color="auto"/>
            </w:tcBorders>
            <w:shd w:val="clear" w:color="auto" w:fill="auto"/>
            <w:noWrap/>
            <w:vAlign w:val="center"/>
            <w:hideMark/>
          </w:tcPr>
          <w:p w14:paraId="78507FA8" w14:textId="34344CE1" w:rsidR="00C3420C" w:rsidRPr="000458F8" w:rsidRDefault="00C3420C" w:rsidP="008E3F5E">
            <w:pPr>
              <w:jc w:val="right"/>
              <w:rPr>
                <w:sz w:val="20"/>
                <w:szCs w:val="20"/>
                <w:lang w:val="es-ES_tradnl" w:eastAsia="en-CA"/>
              </w:rPr>
            </w:pPr>
            <w:r w:rsidRPr="000458F8">
              <w:rPr>
                <w:sz w:val="20"/>
                <w:szCs w:val="20"/>
                <w:lang w:val="es-ES_tradnl" w:eastAsia="en-CA"/>
              </w:rPr>
              <w:t>4</w:t>
            </w:r>
            <w:r w:rsidR="00700B97" w:rsidRPr="000458F8">
              <w:rPr>
                <w:sz w:val="20"/>
                <w:szCs w:val="20"/>
                <w:lang w:val="es-ES_tradnl" w:eastAsia="en-CA"/>
              </w:rPr>
              <w:t> </w:t>
            </w:r>
            <w:r w:rsidRPr="000458F8">
              <w:rPr>
                <w:sz w:val="20"/>
                <w:szCs w:val="20"/>
                <w:lang w:val="es-ES_tradnl" w:eastAsia="en-CA"/>
              </w:rPr>
              <w:t>466</w:t>
            </w:r>
            <w:r w:rsidR="00700B97" w:rsidRPr="000458F8">
              <w:rPr>
                <w:sz w:val="20"/>
                <w:szCs w:val="20"/>
                <w:lang w:val="es-ES_tradnl" w:eastAsia="en-CA"/>
              </w:rPr>
              <w:t> </w:t>
            </w:r>
            <w:r w:rsidRPr="000458F8">
              <w:rPr>
                <w:sz w:val="20"/>
                <w:szCs w:val="20"/>
                <w:lang w:val="es-ES_tradnl" w:eastAsia="en-CA"/>
              </w:rPr>
              <w:t>496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33E4D50" w14:textId="77777777" w:rsidR="00C3420C" w:rsidRPr="000458F8" w:rsidRDefault="00C3420C" w:rsidP="008E3F5E">
            <w:pPr>
              <w:jc w:val="right"/>
              <w:rPr>
                <w:sz w:val="20"/>
                <w:szCs w:val="20"/>
                <w:lang w:val="es-ES_tradnl" w:eastAsia="en-CA"/>
              </w:rPr>
            </w:pPr>
            <w:r w:rsidRPr="000458F8">
              <w:rPr>
                <w:sz w:val="20"/>
                <w:szCs w:val="20"/>
                <w:lang w:val="es-ES_tradnl" w:eastAsia="en-CA"/>
              </w:rPr>
              <w:t>87</w:t>
            </w:r>
          </w:p>
        </w:tc>
      </w:tr>
      <w:tr w:rsidR="00C3420C" w:rsidRPr="000458F8" w14:paraId="26289835"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F07B63F" w14:textId="77777777" w:rsidR="00C3420C" w:rsidRPr="000458F8" w:rsidRDefault="00C3420C" w:rsidP="008E3F5E">
            <w:pPr>
              <w:jc w:val="left"/>
              <w:rPr>
                <w:sz w:val="20"/>
                <w:szCs w:val="20"/>
                <w:lang w:val="es-ES_tradnl" w:eastAsia="en-CA"/>
              </w:rPr>
            </w:pPr>
            <w:r w:rsidRPr="000458F8">
              <w:rPr>
                <w:sz w:val="20"/>
                <w:szCs w:val="20"/>
                <w:lang w:val="es-ES_tradnl" w:eastAsia="en-CA"/>
              </w:rPr>
              <w:t>2016</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E774DD" w14:textId="77777777" w:rsidR="00C3420C" w:rsidRPr="000458F8" w:rsidRDefault="00C3420C" w:rsidP="008E3F5E">
            <w:pPr>
              <w:jc w:val="right"/>
              <w:rPr>
                <w:sz w:val="20"/>
                <w:szCs w:val="20"/>
                <w:lang w:val="es-ES_tradnl" w:eastAsia="en-CA"/>
              </w:rPr>
            </w:pPr>
            <w:r w:rsidRPr="000458F8">
              <w:rPr>
                <w:sz w:val="20"/>
                <w:szCs w:val="20"/>
                <w:lang w:val="es-ES_tradnl" w:eastAsia="en-CA"/>
              </w:rPr>
              <w:t>52</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B7B244A" w14:textId="77777777" w:rsidR="00C3420C" w:rsidRPr="000458F8" w:rsidRDefault="00C3420C" w:rsidP="008E3F5E">
            <w:pPr>
              <w:jc w:val="right"/>
              <w:rPr>
                <w:sz w:val="20"/>
                <w:szCs w:val="20"/>
                <w:lang w:val="es-ES_tradnl" w:eastAsia="en-CA"/>
              </w:rPr>
            </w:pPr>
            <w:r w:rsidRPr="000458F8">
              <w:rPr>
                <w:sz w:val="20"/>
                <w:szCs w:val="20"/>
                <w:lang w:val="es-ES_tradnl" w:eastAsia="en-CA"/>
              </w:rPr>
              <w:t>37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E2C1B34" w14:textId="77777777" w:rsidR="00C3420C" w:rsidRPr="000458F8" w:rsidRDefault="00C3420C" w:rsidP="008E3F5E">
            <w:pPr>
              <w:jc w:val="right"/>
              <w:rPr>
                <w:sz w:val="20"/>
                <w:szCs w:val="20"/>
                <w:lang w:val="es-ES_tradnl" w:eastAsia="en-CA"/>
              </w:rPr>
            </w:pPr>
            <w:r w:rsidRPr="000458F8">
              <w:rPr>
                <w:sz w:val="20"/>
                <w:szCs w:val="20"/>
                <w:lang w:val="es-ES_tradnl" w:eastAsia="en-CA"/>
              </w:rPr>
              <w:t>71</w:t>
            </w:r>
          </w:p>
        </w:tc>
        <w:tc>
          <w:tcPr>
            <w:tcW w:w="1260" w:type="dxa"/>
            <w:tcBorders>
              <w:top w:val="nil"/>
              <w:left w:val="nil"/>
              <w:bottom w:val="single" w:sz="4" w:space="0" w:color="auto"/>
              <w:right w:val="single" w:sz="4" w:space="0" w:color="auto"/>
            </w:tcBorders>
            <w:shd w:val="clear" w:color="auto" w:fill="auto"/>
            <w:noWrap/>
            <w:vAlign w:val="center"/>
            <w:hideMark/>
          </w:tcPr>
          <w:p w14:paraId="1D1C5815" w14:textId="4776D633" w:rsidR="00C3420C" w:rsidRPr="000458F8" w:rsidRDefault="00C3420C" w:rsidP="008E3F5E">
            <w:pPr>
              <w:jc w:val="right"/>
              <w:rPr>
                <w:sz w:val="20"/>
                <w:szCs w:val="20"/>
                <w:lang w:val="es-ES_tradnl" w:eastAsia="en-CA"/>
              </w:rPr>
            </w:pPr>
            <w:r w:rsidRPr="000458F8">
              <w:rPr>
                <w:sz w:val="20"/>
                <w:szCs w:val="20"/>
                <w:lang w:val="es-ES_tradnl" w:eastAsia="en-CA"/>
              </w:rPr>
              <w:t>42</w:t>
            </w:r>
            <w:r w:rsidR="00700B97" w:rsidRPr="000458F8">
              <w:rPr>
                <w:sz w:val="20"/>
                <w:szCs w:val="20"/>
                <w:lang w:val="es-ES_tradnl" w:eastAsia="en-CA"/>
              </w:rPr>
              <w:t> </w:t>
            </w:r>
            <w:r w:rsidRPr="000458F8">
              <w:rPr>
                <w:sz w:val="20"/>
                <w:szCs w:val="20"/>
                <w:lang w:val="es-ES_tradnl" w:eastAsia="en-CA"/>
              </w:rPr>
              <w:t>508</w:t>
            </w:r>
            <w:r w:rsidR="00700B97" w:rsidRPr="000458F8">
              <w:rPr>
                <w:sz w:val="20"/>
                <w:szCs w:val="20"/>
                <w:lang w:val="es-ES_tradnl" w:eastAsia="en-CA"/>
              </w:rPr>
              <w:t> </w:t>
            </w:r>
            <w:r w:rsidRPr="000458F8">
              <w:rPr>
                <w:sz w:val="20"/>
                <w:szCs w:val="20"/>
                <w:lang w:val="es-ES_tradnl" w:eastAsia="en-CA"/>
              </w:rPr>
              <w:t>656</w:t>
            </w:r>
          </w:p>
        </w:tc>
        <w:tc>
          <w:tcPr>
            <w:tcW w:w="1260" w:type="dxa"/>
            <w:tcBorders>
              <w:top w:val="nil"/>
              <w:left w:val="nil"/>
              <w:bottom w:val="single" w:sz="4" w:space="0" w:color="auto"/>
              <w:right w:val="single" w:sz="4" w:space="0" w:color="auto"/>
            </w:tcBorders>
            <w:shd w:val="clear" w:color="auto" w:fill="auto"/>
            <w:noWrap/>
            <w:vAlign w:val="center"/>
            <w:hideMark/>
          </w:tcPr>
          <w:p w14:paraId="636BEE53" w14:textId="298E3DF0" w:rsidR="00C3420C" w:rsidRPr="000458F8" w:rsidRDefault="00C3420C" w:rsidP="008E3F5E">
            <w:pPr>
              <w:jc w:val="right"/>
              <w:rPr>
                <w:sz w:val="20"/>
                <w:szCs w:val="20"/>
                <w:lang w:val="es-ES_tradnl" w:eastAsia="en-CA"/>
              </w:rPr>
            </w:pPr>
            <w:r w:rsidRPr="000458F8">
              <w:rPr>
                <w:sz w:val="20"/>
                <w:szCs w:val="20"/>
                <w:lang w:val="es-ES_tradnl" w:eastAsia="en-CA"/>
              </w:rPr>
              <w:t>33</w:t>
            </w:r>
            <w:r w:rsidR="00700B97" w:rsidRPr="000458F8">
              <w:rPr>
                <w:sz w:val="20"/>
                <w:szCs w:val="20"/>
                <w:lang w:val="es-ES_tradnl" w:eastAsia="en-CA"/>
              </w:rPr>
              <w:t> </w:t>
            </w:r>
            <w:r w:rsidRPr="000458F8">
              <w:rPr>
                <w:sz w:val="20"/>
                <w:szCs w:val="20"/>
                <w:lang w:val="es-ES_tradnl" w:eastAsia="en-CA"/>
              </w:rPr>
              <w:t>144</w:t>
            </w:r>
            <w:r w:rsidR="00700B97" w:rsidRPr="000458F8">
              <w:rPr>
                <w:sz w:val="20"/>
                <w:szCs w:val="20"/>
                <w:lang w:val="es-ES_tradnl" w:eastAsia="en-CA"/>
              </w:rPr>
              <w:t> </w:t>
            </w:r>
            <w:r w:rsidRPr="000458F8">
              <w:rPr>
                <w:sz w:val="20"/>
                <w:szCs w:val="20"/>
                <w:lang w:val="es-ES_tradnl" w:eastAsia="en-CA"/>
              </w:rPr>
              <w:t>050</w:t>
            </w:r>
          </w:p>
        </w:tc>
        <w:tc>
          <w:tcPr>
            <w:tcW w:w="1260" w:type="dxa"/>
            <w:tcBorders>
              <w:top w:val="nil"/>
              <w:left w:val="nil"/>
              <w:bottom w:val="single" w:sz="4" w:space="0" w:color="auto"/>
              <w:right w:val="single" w:sz="4" w:space="0" w:color="auto"/>
            </w:tcBorders>
            <w:shd w:val="clear" w:color="auto" w:fill="auto"/>
            <w:noWrap/>
            <w:vAlign w:val="center"/>
            <w:hideMark/>
          </w:tcPr>
          <w:p w14:paraId="3EA2D80B" w14:textId="1757C0C3" w:rsidR="00C3420C" w:rsidRPr="000458F8" w:rsidRDefault="00C3420C" w:rsidP="008E3F5E">
            <w:pPr>
              <w:jc w:val="right"/>
              <w:rPr>
                <w:sz w:val="20"/>
                <w:szCs w:val="20"/>
                <w:lang w:val="es-ES_tradnl" w:eastAsia="en-CA"/>
              </w:rPr>
            </w:pPr>
            <w:r w:rsidRPr="000458F8">
              <w:rPr>
                <w:sz w:val="20"/>
                <w:szCs w:val="20"/>
                <w:lang w:val="es-ES_tradnl" w:eastAsia="en-CA"/>
              </w:rPr>
              <w:t>9</w:t>
            </w:r>
            <w:r w:rsidR="00700B97" w:rsidRPr="000458F8">
              <w:rPr>
                <w:sz w:val="20"/>
                <w:szCs w:val="20"/>
                <w:lang w:val="es-ES_tradnl" w:eastAsia="en-CA"/>
              </w:rPr>
              <w:t> </w:t>
            </w:r>
            <w:r w:rsidRPr="000458F8">
              <w:rPr>
                <w:sz w:val="20"/>
                <w:szCs w:val="20"/>
                <w:lang w:val="es-ES_tradnl" w:eastAsia="en-CA"/>
              </w:rPr>
              <w:t>364</w:t>
            </w:r>
            <w:r w:rsidR="00700B97" w:rsidRPr="000458F8">
              <w:rPr>
                <w:sz w:val="20"/>
                <w:szCs w:val="20"/>
                <w:lang w:val="es-ES_tradnl" w:eastAsia="en-CA"/>
              </w:rPr>
              <w:t> </w:t>
            </w:r>
            <w:r w:rsidRPr="000458F8">
              <w:rPr>
                <w:sz w:val="20"/>
                <w:szCs w:val="20"/>
                <w:lang w:val="es-ES_tradnl" w:eastAsia="en-CA"/>
              </w:rPr>
              <w:t>606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846FB6F" w14:textId="77777777" w:rsidR="00C3420C" w:rsidRPr="000458F8" w:rsidRDefault="00C3420C" w:rsidP="008E3F5E">
            <w:pPr>
              <w:jc w:val="right"/>
              <w:rPr>
                <w:sz w:val="20"/>
                <w:szCs w:val="20"/>
                <w:lang w:val="es-ES_tradnl" w:eastAsia="en-CA"/>
              </w:rPr>
            </w:pPr>
            <w:r w:rsidRPr="000458F8">
              <w:rPr>
                <w:sz w:val="20"/>
                <w:szCs w:val="20"/>
                <w:lang w:val="es-ES_tradnl" w:eastAsia="en-CA"/>
              </w:rPr>
              <w:t>78</w:t>
            </w:r>
          </w:p>
        </w:tc>
      </w:tr>
      <w:tr w:rsidR="00C3420C" w:rsidRPr="000458F8" w14:paraId="513BCFBE"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63FCA5" w14:textId="77777777" w:rsidR="00C3420C" w:rsidRPr="000458F8" w:rsidRDefault="00C3420C" w:rsidP="008E3F5E">
            <w:pPr>
              <w:jc w:val="left"/>
              <w:rPr>
                <w:sz w:val="20"/>
                <w:szCs w:val="20"/>
                <w:lang w:val="es-ES_tradnl" w:eastAsia="en-CA"/>
              </w:rPr>
            </w:pPr>
            <w:r w:rsidRPr="000458F8">
              <w:rPr>
                <w:sz w:val="20"/>
                <w:szCs w:val="20"/>
                <w:lang w:val="es-ES_tradnl" w:eastAsia="en-CA"/>
              </w:rPr>
              <w:t>2017</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CE04C83" w14:textId="77777777" w:rsidR="00C3420C" w:rsidRPr="000458F8" w:rsidRDefault="00C3420C" w:rsidP="008E3F5E">
            <w:pPr>
              <w:jc w:val="right"/>
              <w:rPr>
                <w:sz w:val="20"/>
                <w:szCs w:val="20"/>
                <w:lang w:val="es-ES_tradnl" w:eastAsia="en-CA"/>
              </w:rPr>
            </w:pPr>
            <w:r w:rsidRPr="000458F8">
              <w:rPr>
                <w:sz w:val="20"/>
                <w:szCs w:val="20"/>
                <w:lang w:val="es-ES_tradnl" w:eastAsia="en-CA"/>
              </w:rPr>
              <w:t>28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3E4201F" w14:textId="77777777" w:rsidR="00C3420C" w:rsidRPr="000458F8" w:rsidRDefault="00C3420C" w:rsidP="008E3F5E">
            <w:pPr>
              <w:jc w:val="right"/>
              <w:rPr>
                <w:sz w:val="20"/>
                <w:szCs w:val="20"/>
                <w:lang w:val="es-ES_tradnl" w:eastAsia="en-CA"/>
              </w:rPr>
            </w:pPr>
            <w:r w:rsidRPr="000458F8">
              <w:rPr>
                <w:sz w:val="20"/>
                <w:szCs w:val="20"/>
                <w:lang w:val="es-ES_tradnl" w:eastAsia="en-CA"/>
              </w:rPr>
              <w:t>16</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1B119A3" w14:textId="77777777" w:rsidR="00C3420C" w:rsidRPr="000458F8" w:rsidRDefault="00C3420C" w:rsidP="008E3F5E">
            <w:pPr>
              <w:jc w:val="right"/>
              <w:rPr>
                <w:sz w:val="20"/>
                <w:szCs w:val="20"/>
                <w:lang w:val="es-ES_tradnl" w:eastAsia="en-CA"/>
              </w:rPr>
            </w:pPr>
            <w:r w:rsidRPr="000458F8">
              <w:rPr>
                <w:sz w:val="20"/>
                <w:szCs w:val="20"/>
                <w:lang w:val="es-ES_tradnl" w:eastAsia="en-CA"/>
              </w:rPr>
              <w:t>57</w:t>
            </w:r>
          </w:p>
        </w:tc>
        <w:tc>
          <w:tcPr>
            <w:tcW w:w="1260" w:type="dxa"/>
            <w:tcBorders>
              <w:top w:val="nil"/>
              <w:left w:val="nil"/>
              <w:bottom w:val="single" w:sz="4" w:space="0" w:color="auto"/>
              <w:right w:val="single" w:sz="4" w:space="0" w:color="auto"/>
            </w:tcBorders>
            <w:shd w:val="clear" w:color="auto" w:fill="auto"/>
            <w:noWrap/>
            <w:vAlign w:val="center"/>
            <w:hideMark/>
          </w:tcPr>
          <w:p w14:paraId="02312390" w14:textId="19957A46" w:rsidR="00C3420C" w:rsidRPr="000458F8" w:rsidRDefault="00C3420C" w:rsidP="008E3F5E">
            <w:pPr>
              <w:jc w:val="right"/>
              <w:rPr>
                <w:sz w:val="20"/>
                <w:szCs w:val="20"/>
                <w:lang w:val="es-ES_tradnl" w:eastAsia="en-CA"/>
              </w:rPr>
            </w:pPr>
            <w:r w:rsidRPr="000458F8">
              <w:rPr>
                <w:sz w:val="20"/>
                <w:szCs w:val="20"/>
                <w:lang w:val="es-ES_tradnl" w:eastAsia="en-CA"/>
              </w:rPr>
              <w:t>30</w:t>
            </w:r>
            <w:r w:rsidR="00700B97" w:rsidRPr="000458F8">
              <w:rPr>
                <w:sz w:val="20"/>
                <w:szCs w:val="20"/>
                <w:lang w:val="es-ES_tradnl" w:eastAsia="en-CA"/>
              </w:rPr>
              <w:t> </w:t>
            </w:r>
            <w:r w:rsidRPr="000458F8">
              <w:rPr>
                <w:sz w:val="20"/>
                <w:szCs w:val="20"/>
                <w:lang w:val="es-ES_tradnl" w:eastAsia="en-CA"/>
              </w:rPr>
              <w:t>728</w:t>
            </w:r>
            <w:r w:rsidR="00700B97" w:rsidRPr="000458F8">
              <w:rPr>
                <w:sz w:val="20"/>
                <w:szCs w:val="20"/>
                <w:lang w:val="es-ES_tradnl" w:eastAsia="en-CA"/>
              </w:rPr>
              <w:t> </w:t>
            </w:r>
            <w:r w:rsidRPr="000458F8">
              <w:rPr>
                <w:sz w:val="20"/>
                <w:szCs w:val="20"/>
                <w:lang w:val="es-ES_tradnl" w:eastAsia="en-CA"/>
              </w:rPr>
              <w:t>346</w:t>
            </w:r>
          </w:p>
        </w:tc>
        <w:tc>
          <w:tcPr>
            <w:tcW w:w="1260" w:type="dxa"/>
            <w:tcBorders>
              <w:top w:val="nil"/>
              <w:left w:val="nil"/>
              <w:bottom w:val="single" w:sz="4" w:space="0" w:color="auto"/>
              <w:right w:val="single" w:sz="4" w:space="0" w:color="auto"/>
            </w:tcBorders>
            <w:shd w:val="clear" w:color="auto" w:fill="auto"/>
            <w:noWrap/>
            <w:vAlign w:val="center"/>
            <w:hideMark/>
          </w:tcPr>
          <w:p w14:paraId="322DF846" w14:textId="7C11FABD" w:rsidR="00C3420C" w:rsidRPr="000458F8" w:rsidRDefault="00C3420C" w:rsidP="008E3F5E">
            <w:pPr>
              <w:jc w:val="right"/>
              <w:rPr>
                <w:sz w:val="20"/>
                <w:szCs w:val="20"/>
                <w:lang w:val="es-ES_tradnl" w:eastAsia="en-CA"/>
              </w:rPr>
            </w:pPr>
            <w:r w:rsidRPr="000458F8">
              <w:rPr>
                <w:sz w:val="20"/>
                <w:szCs w:val="20"/>
                <w:lang w:val="es-ES_tradnl" w:eastAsia="en-CA"/>
              </w:rPr>
              <w:t>28</w:t>
            </w:r>
            <w:r w:rsidR="00700B97" w:rsidRPr="000458F8">
              <w:rPr>
                <w:sz w:val="20"/>
                <w:szCs w:val="20"/>
                <w:lang w:val="es-ES_tradnl" w:eastAsia="en-CA"/>
              </w:rPr>
              <w:t> </w:t>
            </w:r>
            <w:r w:rsidRPr="000458F8">
              <w:rPr>
                <w:sz w:val="20"/>
                <w:szCs w:val="20"/>
                <w:lang w:val="es-ES_tradnl" w:eastAsia="en-CA"/>
              </w:rPr>
              <w:t>749</w:t>
            </w:r>
            <w:r w:rsidR="00700B97" w:rsidRPr="000458F8">
              <w:rPr>
                <w:sz w:val="20"/>
                <w:szCs w:val="20"/>
                <w:lang w:val="es-ES_tradnl" w:eastAsia="en-CA"/>
              </w:rPr>
              <w:t> </w:t>
            </w:r>
            <w:r w:rsidRPr="000458F8">
              <w:rPr>
                <w:sz w:val="20"/>
                <w:szCs w:val="20"/>
                <w:lang w:val="es-ES_tradnl" w:eastAsia="en-CA"/>
              </w:rPr>
              <w:t>500</w:t>
            </w:r>
          </w:p>
        </w:tc>
        <w:tc>
          <w:tcPr>
            <w:tcW w:w="1260" w:type="dxa"/>
            <w:tcBorders>
              <w:top w:val="nil"/>
              <w:left w:val="nil"/>
              <w:bottom w:val="single" w:sz="4" w:space="0" w:color="auto"/>
              <w:right w:val="single" w:sz="4" w:space="0" w:color="auto"/>
            </w:tcBorders>
            <w:shd w:val="clear" w:color="auto" w:fill="auto"/>
            <w:noWrap/>
            <w:vAlign w:val="center"/>
            <w:hideMark/>
          </w:tcPr>
          <w:p w14:paraId="289A5F4E" w14:textId="349C5CFD"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978</w:t>
            </w:r>
            <w:r w:rsidR="00700B97" w:rsidRPr="000458F8">
              <w:rPr>
                <w:sz w:val="20"/>
                <w:szCs w:val="20"/>
                <w:lang w:val="es-ES_tradnl" w:eastAsia="en-CA"/>
              </w:rPr>
              <w:t> </w:t>
            </w:r>
            <w:r w:rsidRPr="000458F8">
              <w:rPr>
                <w:sz w:val="20"/>
                <w:szCs w:val="20"/>
                <w:lang w:val="es-ES_tradnl" w:eastAsia="en-CA"/>
              </w:rPr>
              <w:t>846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5470947" w14:textId="77777777" w:rsidR="00C3420C" w:rsidRPr="000458F8" w:rsidRDefault="00C3420C" w:rsidP="008E3F5E">
            <w:pPr>
              <w:jc w:val="right"/>
              <w:rPr>
                <w:sz w:val="20"/>
                <w:szCs w:val="20"/>
                <w:lang w:val="es-ES_tradnl" w:eastAsia="en-CA"/>
              </w:rPr>
            </w:pPr>
            <w:r w:rsidRPr="000458F8">
              <w:rPr>
                <w:sz w:val="20"/>
                <w:szCs w:val="20"/>
                <w:lang w:val="es-ES_tradnl" w:eastAsia="en-CA"/>
              </w:rPr>
              <w:t>94</w:t>
            </w:r>
          </w:p>
        </w:tc>
      </w:tr>
      <w:tr w:rsidR="00C3420C" w:rsidRPr="000458F8" w14:paraId="07F997E2"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9D9BE3" w14:textId="77777777" w:rsidR="00C3420C" w:rsidRPr="000458F8" w:rsidRDefault="00C3420C" w:rsidP="008E3F5E">
            <w:pPr>
              <w:jc w:val="left"/>
              <w:rPr>
                <w:sz w:val="20"/>
                <w:szCs w:val="20"/>
                <w:lang w:val="es-ES_tradnl" w:eastAsia="en-CA"/>
              </w:rPr>
            </w:pPr>
            <w:r w:rsidRPr="000458F8">
              <w:rPr>
                <w:sz w:val="20"/>
                <w:szCs w:val="20"/>
                <w:lang w:val="es-ES_tradnl" w:eastAsia="en-CA"/>
              </w:rPr>
              <w:t>2018</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7F725AEF" w14:textId="77777777" w:rsidR="00C3420C" w:rsidRPr="000458F8" w:rsidRDefault="00C3420C" w:rsidP="008E3F5E">
            <w:pPr>
              <w:jc w:val="right"/>
              <w:rPr>
                <w:sz w:val="20"/>
                <w:szCs w:val="20"/>
                <w:lang w:val="es-ES_tradnl" w:eastAsia="en-CA"/>
              </w:rPr>
            </w:pPr>
            <w:r w:rsidRPr="000458F8">
              <w:rPr>
                <w:sz w:val="20"/>
                <w:szCs w:val="20"/>
                <w:lang w:val="es-ES_tradnl" w:eastAsia="en-CA"/>
              </w:rPr>
              <w:t>60</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1176C3F" w14:textId="77777777" w:rsidR="00C3420C" w:rsidRPr="000458F8" w:rsidRDefault="00C3420C" w:rsidP="008E3F5E">
            <w:pPr>
              <w:jc w:val="right"/>
              <w:rPr>
                <w:sz w:val="20"/>
                <w:szCs w:val="20"/>
                <w:lang w:val="es-ES_tradnl" w:eastAsia="en-CA"/>
              </w:rPr>
            </w:pPr>
            <w:r w:rsidRPr="000458F8">
              <w:rPr>
                <w:sz w:val="20"/>
                <w:szCs w:val="20"/>
                <w:lang w:val="es-ES_tradnl" w:eastAsia="en-CA"/>
              </w:rPr>
              <w:t>3</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5AA09C9A" w14:textId="77777777" w:rsidR="00C3420C" w:rsidRPr="000458F8" w:rsidRDefault="00C3420C" w:rsidP="008E3F5E">
            <w:pPr>
              <w:jc w:val="right"/>
              <w:rPr>
                <w:sz w:val="20"/>
                <w:szCs w:val="20"/>
                <w:lang w:val="es-ES_tradnl" w:eastAsia="en-CA"/>
              </w:rPr>
            </w:pPr>
            <w:r w:rsidRPr="000458F8">
              <w:rPr>
                <w:sz w:val="20"/>
                <w:szCs w:val="20"/>
                <w:lang w:val="es-ES_tradnl" w:eastAsia="en-CA"/>
              </w:rPr>
              <w:t>5</w:t>
            </w:r>
          </w:p>
        </w:tc>
        <w:tc>
          <w:tcPr>
            <w:tcW w:w="1260" w:type="dxa"/>
            <w:tcBorders>
              <w:top w:val="nil"/>
              <w:left w:val="nil"/>
              <w:bottom w:val="single" w:sz="4" w:space="0" w:color="auto"/>
              <w:right w:val="single" w:sz="4" w:space="0" w:color="auto"/>
            </w:tcBorders>
            <w:shd w:val="clear" w:color="auto" w:fill="auto"/>
            <w:noWrap/>
            <w:vAlign w:val="center"/>
            <w:hideMark/>
          </w:tcPr>
          <w:p w14:paraId="5EA4B97A" w14:textId="43AB8B03" w:rsidR="00C3420C" w:rsidRPr="000458F8" w:rsidRDefault="00C3420C" w:rsidP="008E3F5E">
            <w:pPr>
              <w:jc w:val="right"/>
              <w:rPr>
                <w:sz w:val="20"/>
                <w:szCs w:val="20"/>
                <w:lang w:val="es-ES_tradnl" w:eastAsia="en-CA"/>
              </w:rPr>
            </w:pPr>
            <w:r w:rsidRPr="000458F8">
              <w:rPr>
                <w:sz w:val="20"/>
                <w:szCs w:val="20"/>
                <w:lang w:val="es-ES_tradnl" w:eastAsia="en-CA"/>
              </w:rPr>
              <w:t>40</w:t>
            </w:r>
            <w:r w:rsidR="00700B97" w:rsidRPr="000458F8">
              <w:rPr>
                <w:sz w:val="20"/>
                <w:szCs w:val="20"/>
                <w:lang w:val="es-ES_tradnl" w:eastAsia="en-CA"/>
              </w:rPr>
              <w:t> </w:t>
            </w:r>
            <w:r w:rsidRPr="000458F8">
              <w:rPr>
                <w:sz w:val="20"/>
                <w:szCs w:val="20"/>
                <w:lang w:val="es-ES_tradnl" w:eastAsia="en-CA"/>
              </w:rPr>
              <w:t>274</w:t>
            </w:r>
            <w:r w:rsidR="00700B97" w:rsidRPr="000458F8">
              <w:rPr>
                <w:sz w:val="20"/>
                <w:szCs w:val="20"/>
                <w:lang w:val="es-ES_tradnl" w:eastAsia="en-CA"/>
              </w:rPr>
              <w:t> </w:t>
            </w:r>
            <w:r w:rsidRPr="000458F8">
              <w:rPr>
                <w:sz w:val="20"/>
                <w:szCs w:val="20"/>
                <w:lang w:val="es-ES_tradnl" w:eastAsia="en-CA"/>
              </w:rPr>
              <w:t>486</w:t>
            </w:r>
          </w:p>
        </w:tc>
        <w:tc>
          <w:tcPr>
            <w:tcW w:w="1260" w:type="dxa"/>
            <w:tcBorders>
              <w:top w:val="nil"/>
              <w:left w:val="nil"/>
              <w:bottom w:val="single" w:sz="4" w:space="0" w:color="auto"/>
              <w:right w:val="single" w:sz="4" w:space="0" w:color="auto"/>
            </w:tcBorders>
            <w:shd w:val="clear" w:color="auto" w:fill="auto"/>
            <w:noWrap/>
            <w:vAlign w:val="center"/>
            <w:hideMark/>
          </w:tcPr>
          <w:p w14:paraId="706C6EFC" w14:textId="2A46F1D5" w:rsidR="00C3420C" w:rsidRPr="000458F8" w:rsidRDefault="00C3420C" w:rsidP="008E3F5E">
            <w:pPr>
              <w:jc w:val="right"/>
              <w:rPr>
                <w:sz w:val="20"/>
                <w:szCs w:val="20"/>
                <w:lang w:val="es-ES_tradnl" w:eastAsia="en-CA"/>
              </w:rPr>
            </w:pPr>
            <w:r w:rsidRPr="000458F8">
              <w:rPr>
                <w:sz w:val="20"/>
                <w:szCs w:val="20"/>
                <w:lang w:val="es-ES_tradnl" w:eastAsia="en-CA"/>
              </w:rPr>
              <w:t>5</w:t>
            </w:r>
            <w:r w:rsidR="00700B97" w:rsidRPr="000458F8">
              <w:rPr>
                <w:sz w:val="20"/>
                <w:szCs w:val="20"/>
                <w:lang w:val="es-ES_tradnl" w:eastAsia="en-CA"/>
              </w:rPr>
              <w:t> </w:t>
            </w:r>
            <w:r w:rsidRPr="000458F8">
              <w:rPr>
                <w:sz w:val="20"/>
                <w:szCs w:val="20"/>
                <w:lang w:val="es-ES_tradnl" w:eastAsia="en-CA"/>
              </w:rPr>
              <w:t>469</w:t>
            </w:r>
            <w:r w:rsidR="00700B97" w:rsidRPr="000458F8">
              <w:rPr>
                <w:sz w:val="20"/>
                <w:szCs w:val="20"/>
                <w:lang w:val="es-ES_tradnl" w:eastAsia="en-CA"/>
              </w:rPr>
              <w:t> </w:t>
            </w:r>
            <w:r w:rsidRPr="000458F8">
              <w:rPr>
                <w:sz w:val="20"/>
                <w:szCs w:val="20"/>
                <w:lang w:val="es-ES_tradnl" w:eastAsia="en-CA"/>
              </w:rPr>
              <w:t>512</w:t>
            </w:r>
          </w:p>
        </w:tc>
        <w:tc>
          <w:tcPr>
            <w:tcW w:w="1260" w:type="dxa"/>
            <w:tcBorders>
              <w:top w:val="nil"/>
              <w:left w:val="nil"/>
              <w:bottom w:val="single" w:sz="4" w:space="0" w:color="auto"/>
              <w:right w:val="single" w:sz="4" w:space="0" w:color="auto"/>
            </w:tcBorders>
            <w:shd w:val="clear" w:color="auto" w:fill="auto"/>
            <w:noWrap/>
            <w:vAlign w:val="center"/>
            <w:hideMark/>
          </w:tcPr>
          <w:p w14:paraId="0AEAA872" w14:textId="73CB33DA" w:rsidR="00C3420C" w:rsidRPr="000458F8" w:rsidRDefault="00C3420C" w:rsidP="008E3F5E">
            <w:pPr>
              <w:jc w:val="right"/>
              <w:rPr>
                <w:sz w:val="20"/>
                <w:szCs w:val="20"/>
                <w:lang w:val="es-ES_tradnl" w:eastAsia="en-CA"/>
              </w:rPr>
            </w:pPr>
            <w:r w:rsidRPr="000458F8">
              <w:rPr>
                <w:sz w:val="20"/>
                <w:szCs w:val="20"/>
                <w:lang w:val="es-ES_tradnl" w:eastAsia="en-CA"/>
              </w:rPr>
              <w:t>34</w:t>
            </w:r>
            <w:r w:rsidR="00700B97" w:rsidRPr="000458F8">
              <w:rPr>
                <w:sz w:val="20"/>
                <w:szCs w:val="20"/>
                <w:lang w:val="es-ES_tradnl" w:eastAsia="en-CA"/>
              </w:rPr>
              <w:t> </w:t>
            </w:r>
            <w:r w:rsidRPr="000458F8">
              <w:rPr>
                <w:sz w:val="20"/>
                <w:szCs w:val="20"/>
                <w:lang w:val="es-ES_tradnl" w:eastAsia="en-CA"/>
              </w:rPr>
              <w:t>804</w:t>
            </w:r>
            <w:r w:rsidR="00700B97" w:rsidRPr="000458F8">
              <w:rPr>
                <w:sz w:val="20"/>
                <w:szCs w:val="20"/>
                <w:lang w:val="es-ES_tradnl" w:eastAsia="en-CA"/>
              </w:rPr>
              <w:t> </w:t>
            </w:r>
            <w:r w:rsidRPr="000458F8">
              <w:rPr>
                <w:sz w:val="20"/>
                <w:szCs w:val="20"/>
                <w:lang w:val="es-ES_tradnl" w:eastAsia="en-CA"/>
              </w:rPr>
              <w:t>974</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74CCA4B" w14:textId="77777777" w:rsidR="00C3420C" w:rsidRPr="000458F8" w:rsidRDefault="00C3420C" w:rsidP="008E3F5E">
            <w:pPr>
              <w:jc w:val="right"/>
              <w:rPr>
                <w:sz w:val="20"/>
                <w:szCs w:val="20"/>
                <w:lang w:val="es-ES_tradnl" w:eastAsia="en-CA"/>
              </w:rPr>
            </w:pPr>
            <w:r w:rsidRPr="000458F8">
              <w:rPr>
                <w:sz w:val="20"/>
                <w:szCs w:val="20"/>
                <w:lang w:val="es-ES_tradnl" w:eastAsia="en-CA"/>
              </w:rPr>
              <w:t>14</w:t>
            </w:r>
          </w:p>
        </w:tc>
      </w:tr>
      <w:tr w:rsidR="00C3420C" w:rsidRPr="000458F8" w14:paraId="2F26CBD0"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447D84" w14:textId="77777777" w:rsidR="00C3420C" w:rsidRPr="000458F8" w:rsidRDefault="00C3420C" w:rsidP="008E3F5E">
            <w:pPr>
              <w:jc w:val="left"/>
              <w:rPr>
                <w:sz w:val="20"/>
                <w:szCs w:val="20"/>
                <w:lang w:val="es-ES_tradnl" w:eastAsia="en-CA"/>
              </w:rPr>
            </w:pPr>
            <w:r w:rsidRPr="000458F8">
              <w:rPr>
                <w:sz w:val="20"/>
                <w:szCs w:val="20"/>
                <w:lang w:val="es-ES_tradnl" w:eastAsia="en-CA"/>
              </w:rPr>
              <w:t>2019</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78FDE36" w14:textId="77777777" w:rsidR="00C3420C" w:rsidRPr="000458F8" w:rsidRDefault="00C3420C" w:rsidP="008E3F5E">
            <w:pPr>
              <w:jc w:val="right"/>
              <w:rPr>
                <w:sz w:val="20"/>
                <w:szCs w:val="20"/>
                <w:lang w:val="es-ES_tradnl" w:eastAsia="en-CA"/>
              </w:rPr>
            </w:pPr>
            <w:r w:rsidRPr="000458F8">
              <w:rPr>
                <w:sz w:val="20"/>
                <w:szCs w:val="20"/>
                <w:lang w:val="es-ES_tradnl" w:eastAsia="en-CA"/>
              </w:rPr>
              <w:t>41</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054C8C5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64B1C850"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260" w:type="dxa"/>
            <w:tcBorders>
              <w:top w:val="nil"/>
              <w:left w:val="nil"/>
              <w:bottom w:val="single" w:sz="4" w:space="0" w:color="auto"/>
              <w:right w:val="single" w:sz="4" w:space="0" w:color="auto"/>
            </w:tcBorders>
            <w:shd w:val="clear" w:color="auto" w:fill="auto"/>
            <w:noWrap/>
            <w:vAlign w:val="center"/>
            <w:hideMark/>
          </w:tcPr>
          <w:p w14:paraId="135EA0EC" w14:textId="5566F686" w:rsidR="00C3420C" w:rsidRPr="000458F8" w:rsidRDefault="00C3420C" w:rsidP="008E3F5E">
            <w:pPr>
              <w:jc w:val="right"/>
              <w:rPr>
                <w:sz w:val="20"/>
                <w:szCs w:val="20"/>
                <w:lang w:val="es-ES_tradnl" w:eastAsia="en-CA"/>
              </w:rPr>
            </w:pPr>
            <w:r w:rsidRPr="000458F8">
              <w:rPr>
                <w:sz w:val="20"/>
                <w:szCs w:val="20"/>
                <w:lang w:val="es-ES_tradnl" w:eastAsia="en-CA"/>
              </w:rPr>
              <w:t>10</w:t>
            </w:r>
            <w:r w:rsidR="00700B97" w:rsidRPr="000458F8">
              <w:rPr>
                <w:sz w:val="20"/>
                <w:szCs w:val="20"/>
                <w:lang w:val="es-ES_tradnl" w:eastAsia="en-CA"/>
              </w:rPr>
              <w:t> </w:t>
            </w:r>
            <w:r w:rsidRPr="000458F8">
              <w:rPr>
                <w:sz w:val="20"/>
                <w:szCs w:val="20"/>
                <w:lang w:val="es-ES_tradnl" w:eastAsia="en-CA"/>
              </w:rPr>
              <w:t>391</w:t>
            </w:r>
            <w:r w:rsidR="00700B97" w:rsidRPr="000458F8">
              <w:rPr>
                <w:sz w:val="20"/>
                <w:szCs w:val="20"/>
                <w:lang w:val="es-ES_tradnl" w:eastAsia="en-CA"/>
              </w:rPr>
              <w:t> </w:t>
            </w:r>
            <w:r w:rsidRPr="000458F8">
              <w:rPr>
                <w:sz w:val="20"/>
                <w:szCs w:val="20"/>
                <w:lang w:val="es-ES_tradnl" w:eastAsia="en-CA"/>
              </w:rPr>
              <w:t>727</w:t>
            </w:r>
          </w:p>
        </w:tc>
        <w:tc>
          <w:tcPr>
            <w:tcW w:w="1260" w:type="dxa"/>
            <w:tcBorders>
              <w:top w:val="nil"/>
              <w:left w:val="nil"/>
              <w:bottom w:val="single" w:sz="4" w:space="0" w:color="auto"/>
              <w:right w:val="single" w:sz="4" w:space="0" w:color="auto"/>
            </w:tcBorders>
            <w:shd w:val="clear" w:color="auto" w:fill="auto"/>
            <w:noWrap/>
            <w:vAlign w:val="center"/>
            <w:hideMark/>
          </w:tcPr>
          <w:p w14:paraId="30503AE1" w14:textId="7858A269"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281</w:t>
            </w:r>
          </w:p>
        </w:tc>
        <w:tc>
          <w:tcPr>
            <w:tcW w:w="1260" w:type="dxa"/>
            <w:tcBorders>
              <w:top w:val="nil"/>
              <w:left w:val="nil"/>
              <w:bottom w:val="single" w:sz="4" w:space="0" w:color="auto"/>
              <w:right w:val="single" w:sz="4" w:space="0" w:color="auto"/>
            </w:tcBorders>
            <w:shd w:val="clear" w:color="auto" w:fill="auto"/>
            <w:noWrap/>
            <w:vAlign w:val="center"/>
            <w:hideMark/>
          </w:tcPr>
          <w:p w14:paraId="10EF859C" w14:textId="12F674BA" w:rsidR="00C3420C" w:rsidRPr="000458F8" w:rsidRDefault="00C3420C" w:rsidP="008E3F5E">
            <w:pPr>
              <w:jc w:val="right"/>
              <w:rPr>
                <w:sz w:val="20"/>
                <w:szCs w:val="20"/>
                <w:lang w:val="es-ES_tradnl" w:eastAsia="en-CA"/>
              </w:rPr>
            </w:pPr>
            <w:r w:rsidRPr="000458F8">
              <w:rPr>
                <w:sz w:val="20"/>
                <w:szCs w:val="20"/>
                <w:lang w:val="es-ES_tradnl" w:eastAsia="en-CA"/>
              </w:rPr>
              <w:t>10</w:t>
            </w:r>
            <w:r w:rsidR="00700B97" w:rsidRPr="000458F8">
              <w:rPr>
                <w:sz w:val="20"/>
                <w:szCs w:val="20"/>
                <w:lang w:val="es-ES_tradnl" w:eastAsia="en-CA"/>
              </w:rPr>
              <w:t> </w:t>
            </w:r>
            <w:r w:rsidRPr="000458F8">
              <w:rPr>
                <w:sz w:val="20"/>
                <w:szCs w:val="20"/>
                <w:lang w:val="es-ES_tradnl" w:eastAsia="en-CA"/>
              </w:rPr>
              <w:t>356</w:t>
            </w:r>
            <w:r w:rsidR="00700B97" w:rsidRPr="000458F8">
              <w:rPr>
                <w:sz w:val="20"/>
                <w:szCs w:val="20"/>
                <w:lang w:val="es-ES_tradnl" w:eastAsia="en-CA"/>
              </w:rPr>
              <w:t> </w:t>
            </w:r>
            <w:r w:rsidRPr="000458F8">
              <w:rPr>
                <w:sz w:val="20"/>
                <w:szCs w:val="20"/>
                <w:lang w:val="es-ES_tradnl" w:eastAsia="en-CA"/>
              </w:rPr>
              <w:t>446</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4FE56A2B"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56D1E4FD" w14:textId="77777777" w:rsidTr="008E3F5E">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65BC61" w14:textId="77777777" w:rsidR="00C3420C" w:rsidRPr="000458F8" w:rsidRDefault="00C3420C" w:rsidP="008E3F5E">
            <w:pPr>
              <w:jc w:val="left"/>
              <w:rPr>
                <w:b/>
                <w:bCs/>
                <w:sz w:val="20"/>
                <w:szCs w:val="20"/>
                <w:lang w:val="es-ES_tradnl" w:eastAsia="en-CA"/>
              </w:rPr>
            </w:pPr>
            <w:r w:rsidRPr="000458F8">
              <w:rPr>
                <w:b/>
                <w:bCs/>
                <w:sz w:val="20"/>
                <w:szCs w:val="20"/>
                <w:lang w:val="es-ES_tradnl" w:eastAsia="en-CA"/>
              </w:rPr>
              <w:t>Total</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1FF8E2EE" w14:textId="658EAD51" w:rsidR="00C3420C" w:rsidRPr="000458F8" w:rsidRDefault="00C3420C" w:rsidP="008E3F5E">
            <w:pPr>
              <w:jc w:val="right"/>
              <w:rPr>
                <w:b/>
                <w:bCs/>
                <w:sz w:val="20"/>
                <w:szCs w:val="20"/>
                <w:lang w:val="es-ES_tradnl" w:eastAsia="en-CA"/>
              </w:rPr>
            </w:pPr>
            <w:r w:rsidRPr="000458F8">
              <w:rPr>
                <w:b/>
                <w:bCs/>
                <w:sz w:val="20"/>
                <w:szCs w:val="20"/>
                <w:lang w:val="es-ES_tradnl" w:eastAsia="en-CA"/>
              </w:rPr>
              <w:t>2</w:t>
            </w:r>
            <w:r w:rsidR="00700B97" w:rsidRPr="000458F8">
              <w:rPr>
                <w:b/>
                <w:bCs/>
                <w:sz w:val="20"/>
                <w:szCs w:val="20"/>
                <w:lang w:val="es-ES_tradnl" w:eastAsia="en-CA"/>
              </w:rPr>
              <w:t> </w:t>
            </w:r>
            <w:r w:rsidRPr="000458F8">
              <w:rPr>
                <w:b/>
                <w:bCs/>
                <w:sz w:val="20"/>
                <w:szCs w:val="20"/>
                <w:lang w:val="es-ES_tradnl" w:eastAsia="en-CA"/>
              </w:rPr>
              <w:t>475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A268A85" w14:textId="5260135E" w:rsidR="00C3420C" w:rsidRPr="000458F8" w:rsidRDefault="00C3420C" w:rsidP="008E3F5E">
            <w:pPr>
              <w:jc w:val="right"/>
              <w:rPr>
                <w:b/>
                <w:bCs/>
                <w:sz w:val="20"/>
                <w:szCs w:val="20"/>
                <w:lang w:val="es-ES_tradnl" w:eastAsia="en-CA"/>
              </w:rPr>
            </w:pPr>
            <w:r w:rsidRPr="000458F8">
              <w:rPr>
                <w:b/>
                <w:bCs/>
                <w:sz w:val="20"/>
                <w:szCs w:val="20"/>
                <w:lang w:val="es-ES_tradnl" w:eastAsia="en-CA"/>
              </w:rPr>
              <w:t>2</w:t>
            </w:r>
            <w:r w:rsidR="00700B97" w:rsidRPr="000458F8">
              <w:rPr>
                <w:b/>
                <w:bCs/>
                <w:sz w:val="20"/>
                <w:szCs w:val="20"/>
                <w:lang w:val="es-ES_tradnl" w:eastAsia="en-CA"/>
              </w:rPr>
              <w:t> </w:t>
            </w:r>
            <w:r w:rsidRPr="000458F8">
              <w:rPr>
                <w:b/>
                <w:bCs/>
                <w:sz w:val="20"/>
                <w:szCs w:val="20"/>
                <w:lang w:val="es-ES_tradnl" w:eastAsia="en-CA"/>
              </w:rPr>
              <w:t>345</w:t>
            </w:r>
          </w:p>
        </w:tc>
        <w:tc>
          <w:tcPr>
            <w:tcW w:w="1210"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239CE3CA"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95</w:t>
            </w:r>
          </w:p>
        </w:tc>
        <w:tc>
          <w:tcPr>
            <w:tcW w:w="1260" w:type="dxa"/>
            <w:tcBorders>
              <w:top w:val="nil"/>
              <w:left w:val="nil"/>
              <w:bottom w:val="single" w:sz="4" w:space="0" w:color="auto"/>
              <w:right w:val="single" w:sz="4" w:space="0" w:color="auto"/>
            </w:tcBorders>
            <w:shd w:val="clear" w:color="auto" w:fill="auto"/>
            <w:noWrap/>
            <w:vAlign w:val="center"/>
            <w:hideMark/>
          </w:tcPr>
          <w:p w14:paraId="54DB7D32" w14:textId="59363566" w:rsidR="00C3420C" w:rsidRPr="000458F8" w:rsidRDefault="00C3420C" w:rsidP="008E3F5E">
            <w:pPr>
              <w:jc w:val="right"/>
              <w:rPr>
                <w:b/>
                <w:bCs/>
                <w:sz w:val="20"/>
                <w:szCs w:val="20"/>
                <w:lang w:val="es-ES_tradnl" w:eastAsia="en-CA"/>
              </w:rPr>
            </w:pPr>
            <w:r w:rsidRPr="000458F8">
              <w:rPr>
                <w:b/>
                <w:bCs/>
                <w:sz w:val="20"/>
                <w:szCs w:val="20"/>
                <w:lang w:val="es-ES_tradnl" w:eastAsia="en-CA"/>
              </w:rPr>
              <w:t>831</w:t>
            </w:r>
            <w:r w:rsidR="00700B97" w:rsidRPr="000458F8">
              <w:rPr>
                <w:b/>
                <w:bCs/>
                <w:sz w:val="20"/>
                <w:szCs w:val="20"/>
                <w:lang w:val="es-ES_tradnl" w:eastAsia="en-CA"/>
              </w:rPr>
              <w:t> </w:t>
            </w:r>
            <w:r w:rsidRPr="000458F8">
              <w:rPr>
                <w:b/>
                <w:bCs/>
                <w:sz w:val="20"/>
                <w:szCs w:val="20"/>
                <w:lang w:val="es-ES_tradnl" w:eastAsia="en-CA"/>
              </w:rPr>
              <w:t>896</w:t>
            </w:r>
            <w:r w:rsidR="00700B97" w:rsidRPr="000458F8">
              <w:rPr>
                <w:b/>
                <w:bCs/>
                <w:sz w:val="20"/>
                <w:szCs w:val="20"/>
                <w:lang w:val="es-ES_tradnl" w:eastAsia="en-CA"/>
              </w:rPr>
              <w:t> </w:t>
            </w:r>
            <w:r w:rsidRPr="000458F8">
              <w:rPr>
                <w:b/>
                <w:bCs/>
                <w:sz w:val="20"/>
                <w:szCs w:val="20"/>
                <w:lang w:val="es-ES_tradnl" w:eastAsia="en-CA"/>
              </w:rPr>
              <w:t>245</w:t>
            </w:r>
          </w:p>
        </w:tc>
        <w:tc>
          <w:tcPr>
            <w:tcW w:w="1260" w:type="dxa"/>
            <w:tcBorders>
              <w:top w:val="nil"/>
              <w:left w:val="nil"/>
              <w:bottom w:val="single" w:sz="4" w:space="0" w:color="auto"/>
              <w:right w:val="single" w:sz="4" w:space="0" w:color="auto"/>
            </w:tcBorders>
            <w:shd w:val="clear" w:color="auto" w:fill="auto"/>
            <w:noWrap/>
            <w:vAlign w:val="center"/>
            <w:hideMark/>
          </w:tcPr>
          <w:p w14:paraId="035EC594" w14:textId="45244952" w:rsidR="00C3420C" w:rsidRPr="000458F8" w:rsidRDefault="00C3420C" w:rsidP="008E3F5E">
            <w:pPr>
              <w:jc w:val="right"/>
              <w:rPr>
                <w:b/>
                <w:bCs/>
                <w:sz w:val="20"/>
                <w:szCs w:val="20"/>
                <w:lang w:val="es-ES_tradnl" w:eastAsia="en-CA"/>
              </w:rPr>
            </w:pPr>
            <w:r w:rsidRPr="000458F8">
              <w:rPr>
                <w:b/>
                <w:bCs/>
                <w:sz w:val="20"/>
                <w:szCs w:val="20"/>
                <w:lang w:val="es-ES_tradnl" w:eastAsia="en-CA"/>
              </w:rPr>
              <w:t>768</w:t>
            </w:r>
            <w:r w:rsidR="00700B97" w:rsidRPr="000458F8">
              <w:rPr>
                <w:b/>
                <w:bCs/>
                <w:sz w:val="20"/>
                <w:szCs w:val="20"/>
                <w:lang w:val="es-ES_tradnl" w:eastAsia="en-CA"/>
              </w:rPr>
              <w:t> </w:t>
            </w:r>
            <w:r w:rsidRPr="000458F8">
              <w:rPr>
                <w:b/>
                <w:bCs/>
                <w:sz w:val="20"/>
                <w:szCs w:val="20"/>
                <w:lang w:val="es-ES_tradnl" w:eastAsia="en-CA"/>
              </w:rPr>
              <w:t>693</w:t>
            </w:r>
            <w:r w:rsidR="00700B97" w:rsidRPr="000458F8">
              <w:rPr>
                <w:b/>
                <w:bCs/>
                <w:sz w:val="20"/>
                <w:szCs w:val="20"/>
                <w:lang w:val="es-ES_tradnl" w:eastAsia="en-CA"/>
              </w:rPr>
              <w:t> </w:t>
            </w:r>
            <w:r w:rsidRPr="000458F8">
              <w:rPr>
                <w:b/>
                <w:bCs/>
                <w:sz w:val="20"/>
                <w:szCs w:val="20"/>
                <w:lang w:val="es-ES_tradnl" w:eastAsia="en-CA"/>
              </w:rPr>
              <w:t>171</w:t>
            </w:r>
          </w:p>
        </w:tc>
        <w:tc>
          <w:tcPr>
            <w:tcW w:w="1260" w:type="dxa"/>
            <w:tcBorders>
              <w:top w:val="nil"/>
              <w:left w:val="nil"/>
              <w:bottom w:val="single" w:sz="4" w:space="0" w:color="auto"/>
              <w:right w:val="single" w:sz="4" w:space="0" w:color="auto"/>
            </w:tcBorders>
            <w:shd w:val="clear" w:color="auto" w:fill="auto"/>
            <w:noWrap/>
            <w:vAlign w:val="center"/>
            <w:hideMark/>
          </w:tcPr>
          <w:p w14:paraId="65CE6D25" w14:textId="106E75AE" w:rsidR="00C3420C" w:rsidRPr="000458F8" w:rsidRDefault="00C3420C" w:rsidP="008E3F5E">
            <w:pPr>
              <w:jc w:val="right"/>
              <w:rPr>
                <w:b/>
                <w:bCs/>
                <w:sz w:val="20"/>
                <w:szCs w:val="20"/>
                <w:lang w:val="es-ES_tradnl" w:eastAsia="en-CA"/>
              </w:rPr>
            </w:pPr>
            <w:r w:rsidRPr="000458F8">
              <w:rPr>
                <w:b/>
                <w:bCs/>
                <w:sz w:val="20"/>
                <w:szCs w:val="20"/>
                <w:lang w:val="es-ES_tradnl" w:eastAsia="en-CA"/>
              </w:rPr>
              <w:t>63</w:t>
            </w:r>
            <w:r w:rsidR="00700B97" w:rsidRPr="000458F8">
              <w:rPr>
                <w:b/>
                <w:bCs/>
                <w:sz w:val="20"/>
                <w:szCs w:val="20"/>
                <w:lang w:val="es-ES_tradnl" w:eastAsia="en-CA"/>
              </w:rPr>
              <w:t> </w:t>
            </w:r>
            <w:r w:rsidRPr="000458F8">
              <w:rPr>
                <w:b/>
                <w:bCs/>
                <w:sz w:val="20"/>
                <w:szCs w:val="20"/>
                <w:lang w:val="es-ES_tradnl" w:eastAsia="en-CA"/>
              </w:rPr>
              <w:t>203</w:t>
            </w:r>
            <w:r w:rsidR="00700B97" w:rsidRPr="000458F8">
              <w:rPr>
                <w:b/>
                <w:bCs/>
                <w:sz w:val="20"/>
                <w:szCs w:val="20"/>
                <w:lang w:val="es-ES_tradnl" w:eastAsia="en-CA"/>
              </w:rPr>
              <w:t> </w:t>
            </w:r>
            <w:r w:rsidRPr="000458F8">
              <w:rPr>
                <w:b/>
                <w:bCs/>
                <w:sz w:val="20"/>
                <w:szCs w:val="20"/>
                <w:lang w:val="es-ES_tradnl" w:eastAsia="en-CA"/>
              </w:rPr>
              <w:t>074</w:t>
            </w:r>
          </w:p>
        </w:tc>
        <w:tc>
          <w:tcPr>
            <w:tcW w:w="1261" w:type="dxa"/>
            <w:tcBorders>
              <w:top w:val="nil"/>
              <w:left w:val="nil"/>
              <w:bottom w:val="single" w:sz="4" w:space="0" w:color="auto"/>
              <w:right w:val="single" w:sz="4" w:space="0" w:color="auto"/>
            </w:tcBorders>
            <w:shd w:val="clear" w:color="auto" w:fill="auto"/>
            <w:noWrap/>
            <w:tcMar>
              <w:left w:w="115" w:type="dxa"/>
              <w:right w:w="173" w:type="dxa"/>
            </w:tcMar>
            <w:vAlign w:val="center"/>
            <w:hideMark/>
          </w:tcPr>
          <w:p w14:paraId="3B3E0EFD" w14:textId="77777777" w:rsidR="00C3420C" w:rsidRPr="000458F8" w:rsidRDefault="00C3420C" w:rsidP="008E3F5E">
            <w:pPr>
              <w:ind w:left="-176"/>
              <w:jc w:val="right"/>
              <w:rPr>
                <w:b/>
                <w:bCs/>
                <w:sz w:val="20"/>
                <w:szCs w:val="20"/>
                <w:lang w:val="es-ES_tradnl" w:eastAsia="en-CA"/>
              </w:rPr>
            </w:pPr>
            <w:r w:rsidRPr="000458F8">
              <w:rPr>
                <w:b/>
                <w:bCs/>
                <w:sz w:val="20"/>
                <w:szCs w:val="20"/>
                <w:lang w:val="es-ES_tradnl" w:eastAsia="en-CA"/>
              </w:rPr>
              <w:t>92</w:t>
            </w:r>
          </w:p>
        </w:tc>
      </w:tr>
    </w:tbl>
    <w:p w14:paraId="4D4A9906" w14:textId="38C2011C" w:rsidR="00C3420C" w:rsidRPr="000458F8" w:rsidRDefault="00C3420C" w:rsidP="00C3420C">
      <w:pPr>
        <w:keepNext/>
        <w:suppressAutoHyphens/>
        <w:jc w:val="left"/>
        <w:rPr>
          <w:sz w:val="19"/>
          <w:szCs w:val="19"/>
          <w:lang w:val="es-ES_tradnl"/>
        </w:rPr>
      </w:pPr>
      <w:r w:rsidRPr="000458F8">
        <w:rPr>
          <w:sz w:val="19"/>
          <w:szCs w:val="19"/>
          <w:lang w:val="es-ES_tradnl"/>
        </w:rPr>
        <w:lastRenderedPageBreak/>
        <w:t>*</w:t>
      </w:r>
      <w:r w:rsidR="00887B9D" w:rsidRPr="000458F8">
        <w:rPr>
          <w:sz w:val="19"/>
          <w:szCs w:val="19"/>
          <w:lang w:val="es-ES_tradnl"/>
        </w:rPr>
        <w:t>Excluidos los proyectos cerrados y transferidos.</w:t>
      </w:r>
    </w:p>
    <w:p w14:paraId="41DD5039" w14:textId="1BF16083" w:rsidR="00C3420C" w:rsidRPr="000458F8" w:rsidRDefault="00C3420C" w:rsidP="00C3420C">
      <w:pPr>
        <w:spacing w:after="240"/>
        <w:rPr>
          <w:sz w:val="18"/>
          <w:szCs w:val="18"/>
          <w:lang w:val="es-ES_tradnl"/>
        </w:rPr>
      </w:pPr>
      <w:r w:rsidRPr="000458F8">
        <w:rPr>
          <w:sz w:val="19"/>
          <w:szCs w:val="19"/>
          <w:lang w:val="es-ES_tradnl"/>
        </w:rPr>
        <w:t>**</w:t>
      </w:r>
      <w:r w:rsidR="00887B9D" w:rsidRPr="000458F8">
        <w:rPr>
          <w:sz w:val="19"/>
          <w:szCs w:val="19"/>
          <w:lang w:val="es-ES_tradnl"/>
        </w:rPr>
        <w:t>Excluidos los gastos de apoyo al organismo.</w:t>
      </w:r>
    </w:p>
    <w:p w14:paraId="625B7AC3" w14:textId="38633B1A" w:rsidR="00C3420C" w:rsidRPr="000458F8" w:rsidRDefault="00CF3D14" w:rsidP="00CF3D14">
      <w:pPr>
        <w:pStyle w:val="Heading1"/>
        <w:rPr>
          <w:lang w:val="es-ES_tradnl"/>
        </w:rPr>
      </w:pPr>
      <w:r w:rsidRPr="000458F8">
        <w:rPr>
          <w:lang w:val="es-ES_tradnl"/>
        </w:rPr>
        <w:t>En el cuadro 4 se muestra la ejecución de proyectos por países durante 2019.</w:t>
      </w:r>
    </w:p>
    <w:p w14:paraId="6A8185CB" w14:textId="7FEE27CC" w:rsidR="00C3420C" w:rsidRPr="000458F8" w:rsidRDefault="00CF3D14" w:rsidP="00C3420C">
      <w:pPr>
        <w:pStyle w:val="Title1"/>
        <w:keepNext/>
        <w:jc w:val="both"/>
        <w:rPr>
          <w:caps w:val="0"/>
          <w:lang w:val="es-ES_tradnl"/>
        </w:rPr>
      </w:pPr>
      <w:r w:rsidRPr="000458F8">
        <w:rPr>
          <w:caps w:val="0"/>
          <w:lang w:val="es-ES_tradnl"/>
        </w:rPr>
        <w:t xml:space="preserve">Cuadro 4. Resumen de la ejecución de proyectos por el PNUD durante </w:t>
      </w:r>
      <w:r w:rsidR="00C3420C" w:rsidRPr="000458F8">
        <w:rPr>
          <w:caps w:val="0"/>
          <w:lang w:val="es-ES_tradnl"/>
        </w:rPr>
        <w:t>2019</w:t>
      </w:r>
    </w:p>
    <w:tbl>
      <w:tblPr>
        <w:tblW w:w="10026" w:type="dxa"/>
        <w:tblLook w:val="04A0" w:firstRow="1" w:lastRow="0" w:firstColumn="1" w:lastColumn="0" w:noHBand="0" w:noVBand="1"/>
      </w:tblPr>
      <w:tblGrid>
        <w:gridCol w:w="2266"/>
        <w:gridCol w:w="1150"/>
        <w:gridCol w:w="1342"/>
        <w:gridCol w:w="1383"/>
        <w:gridCol w:w="1383"/>
        <w:gridCol w:w="1419"/>
        <w:gridCol w:w="1083"/>
      </w:tblGrid>
      <w:tr w:rsidR="00CF3D14" w:rsidRPr="00DB56CB" w14:paraId="3940A87F" w14:textId="77777777" w:rsidTr="00CF3D14">
        <w:trPr>
          <w:tblHeader/>
        </w:trPr>
        <w:tc>
          <w:tcPr>
            <w:tcW w:w="2266"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11C28477" w14:textId="77777777" w:rsidR="00CF3D14" w:rsidRPr="000458F8" w:rsidRDefault="00CF3D14" w:rsidP="00CF3D14">
            <w:pPr>
              <w:pStyle w:val="TableParagraph"/>
              <w:spacing w:line="240" w:lineRule="auto"/>
              <w:rPr>
                <w:b/>
                <w:lang w:val="es-ES_tradnl"/>
              </w:rPr>
            </w:pPr>
          </w:p>
          <w:p w14:paraId="6E6091AF" w14:textId="77777777" w:rsidR="00CF3D14" w:rsidRPr="000458F8" w:rsidRDefault="00CF3D14" w:rsidP="00CF3D14">
            <w:pPr>
              <w:pStyle w:val="TableParagraph"/>
              <w:spacing w:before="10" w:line="240" w:lineRule="auto"/>
              <w:rPr>
                <w:b/>
                <w:sz w:val="27"/>
                <w:lang w:val="es-ES_tradnl"/>
              </w:rPr>
            </w:pPr>
          </w:p>
          <w:p w14:paraId="05F6BFBA" w14:textId="09C1D938" w:rsidR="00CF3D14" w:rsidRPr="000458F8" w:rsidRDefault="00CF3D14" w:rsidP="00CF3D14">
            <w:pPr>
              <w:jc w:val="center"/>
              <w:rPr>
                <w:b/>
                <w:bCs/>
                <w:sz w:val="20"/>
                <w:szCs w:val="20"/>
                <w:lang w:val="es-ES_tradnl" w:eastAsia="en-CA"/>
              </w:rPr>
            </w:pPr>
            <w:r w:rsidRPr="000458F8">
              <w:rPr>
                <w:b/>
                <w:sz w:val="20"/>
                <w:lang w:val="es-ES_tradnl"/>
              </w:rPr>
              <w:t>País</w:t>
            </w:r>
          </w:p>
        </w:tc>
        <w:tc>
          <w:tcPr>
            <w:tcW w:w="1150"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40298BA7" w14:textId="77777777" w:rsidR="00CF3D14" w:rsidRPr="000458F8" w:rsidRDefault="00CF3D14" w:rsidP="00CF3D14">
            <w:pPr>
              <w:pStyle w:val="TableParagraph"/>
              <w:spacing w:line="240" w:lineRule="auto"/>
              <w:rPr>
                <w:b/>
                <w:lang w:val="es-ES_tradnl"/>
              </w:rPr>
            </w:pPr>
          </w:p>
          <w:p w14:paraId="14DF54B8" w14:textId="77777777" w:rsidR="00CF3D14" w:rsidRPr="000458F8" w:rsidRDefault="00CF3D14" w:rsidP="00CF3D14">
            <w:pPr>
              <w:pStyle w:val="TableParagraph"/>
              <w:spacing w:before="11" w:line="240" w:lineRule="auto"/>
              <w:rPr>
                <w:b/>
                <w:sz w:val="17"/>
                <w:lang w:val="es-ES_tradnl"/>
              </w:rPr>
            </w:pPr>
          </w:p>
          <w:p w14:paraId="6625E32A" w14:textId="0AFD72CD" w:rsidR="00CF3D14" w:rsidRPr="000458F8" w:rsidRDefault="00CF3D14" w:rsidP="00CF3D14">
            <w:pPr>
              <w:jc w:val="center"/>
              <w:rPr>
                <w:b/>
                <w:bCs/>
                <w:sz w:val="20"/>
                <w:szCs w:val="20"/>
                <w:lang w:val="es-ES_tradnl" w:eastAsia="en-CA"/>
              </w:rPr>
            </w:pPr>
            <w:r w:rsidRPr="000458F8">
              <w:rPr>
                <w:b/>
                <w:sz w:val="20"/>
                <w:lang w:val="es-ES_tradnl"/>
              </w:rPr>
              <w:t>Eliminación en 2019*</w:t>
            </w:r>
          </w:p>
        </w:tc>
        <w:tc>
          <w:tcPr>
            <w:tcW w:w="1342"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6889C9F" w14:textId="0ED27C80" w:rsidR="00CF3D14" w:rsidRPr="000458F8" w:rsidRDefault="00CF3D14" w:rsidP="00CF3D14">
            <w:pPr>
              <w:jc w:val="center"/>
              <w:rPr>
                <w:b/>
                <w:bCs/>
                <w:sz w:val="20"/>
                <w:szCs w:val="20"/>
                <w:lang w:val="es-ES_tradnl" w:eastAsia="en-CA"/>
              </w:rPr>
            </w:pPr>
            <w:r w:rsidRPr="000458F8">
              <w:rPr>
                <w:b/>
                <w:sz w:val="20"/>
                <w:lang w:val="es-ES_tradnl"/>
              </w:rPr>
              <w:t>Porcentaje de eliminación prevista lograda en 2019</w:t>
            </w:r>
          </w:p>
        </w:tc>
        <w:tc>
          <w:tcPr>
            <w:tcW w:w="1383"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1ED5BD9" w14:textId="4157DAD3" w:rsidR="00CF3D14" w:rsidRPr="000458F8" w:rsidRDefault="00CF3D14" w:rsidP="00CF3D14">
            <w:pPr>
              <w:jc w:val="center"/>
              <w:rPr>
                <w:b/>
                <w:bCs/>
                <w:sz w:val="20"/>
                <w:szCs w:val="20"/>
                <w:lang w:val="es-ES_tradnl" w:eastAsia="en-CA"/>
              </w:rPr>
            </w:pPr>
            <w:r w:rsidRPr="000458F8">
              <w:rPr>
                <w:b/>
                <w:sz w:val="20"/>
                <w:lang w:val="es-ES_tradnl"/>
              </w:rPr>
              <w:t>Estimación de los fondos desembolsados en 2019 ($EUA)</w:t>
            </w:r>
          </w:p>
        </w:tc>
        <w:tc>
          <w:tcPr>
            <w:tcW w:w="1383"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8EADC37" w14:textId="77777777" w:rsidR="00CF3D14" w:rsidRPr="000458F8" w:rsidRDefault="00CF3D14" w:rsidP="00CF3D14">
            <w:pPr>
              <w:pStyle w:val="TableParagraph"/>
              <w:spacing w:before="10" w:line="240" w:lineRule="auto"/>
              <w:rPr>
                <w:b/>
                <w:sz w:val="19"/>
                <w:lang w:val="es-ES_tradnl"/>
              </w:rPr>
            </w:pPr>
          </w:p>
          <w:p w14:paraId="19E976BD" w14:textId="6342DE1C" w:rsidR="00CF3D14" w:rsidRPr="000458F8" w:rsidRDefault="00CF3D14" w:rsidP="00CF3D14">
            <w:pPr>
              <w:jc w:val="center"/>
              <w:rPr>
                <w:b/>
                <w:bCs/>
                <w:sz w:val="20"/>
                <w:szCs w:val="20"/>
                <w:lang w:val="es-ES_tradnl" w:eastAsia="en-CA"/>
              </w:rPr>
            </w:pPr>
            <w:r w:rsidRPr="000458F8">
              <w:rPr>
                <w:b/>
                <w:sz w:val="20"/>
                <w:lang w:val="es-ES_tradnl"/>
              </w:rPr>
              <w:t>Fondos desembolsados en 2019 ($EUA)</w:t>
            </w:r>
          </w:p>
        </w:tc>
        <w:tc>
          <w:tcPr>
            <w:tcW w:w="1419"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0D841C7B" w14:textId="77777777" w:rsidR="00CF3D14" w:rsidRPr="000458F8" w:rsidRDefault="00CF3D14" w:rsidP="00CF3D14">
            <w:pPr>
              <w:pStyle w:val="TableParagraph"/>
              <w:spacing w:line="240" w:lineRule="auto"/>
              <w:ind w:right="-15" w:hanging="1"/>
              <w:jc w:val="center"/>
              <w:rPr>
                <w:b/>
                <w:sz w:val="20"/>
                <w:lang w:val="es-ES_tradnl"/>
              </w:rPr>
            </w:pPr>
            <w:r w:rsidRPr="000458F8">
              <w:rPr>
                <w:b/>
                <w:sz w:val="20"/>
                <w:lang w:val="es-ES_tradnl"/>
              </w:rPr>
              <w:t>Porcentaje de fondos desembolsados respecto de la cifra estimada</w:t>
            </w:r>
          </w:p>
          <w:p w14:paraId="2C7D0182" w14:textId="687E0279" w:rsidR="00CF3D14" w:rsidRPr="000458F8" w:rsidRDefault="00CF3D14" w:rsidP="00CF3D14">
            <w:pPr>
              <w:ind w:left="-18"/>
              <w:jc w:val="center"/>
              <w:rPr>
                <w:b/>
                <w:bCs/>
                <w:sz w:val="20"/>
                <w:szCs w:val="20"/>
                <w:lang w:val="es-ES_tradnl" w:eastAsia="en-CA"/>
              </w:rPr>
            </w:pPr>
            <w:r w:rsidRPr="000458F8">
              <w:rPr>
                <w:b/>
                <w:sz w:val="20"/>
                <w:lang w:val="es-ES_tradnl"/>
              </w:rPr>
              <w:t>en 2019</w:t>
            </w:r>
          </w:p>
        </w:tc>
        <w:tc>
          <w:tcPr>
            <w:tcW w:w="1083"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52AFB1B1" w14:textId="2398D0EC" w:rsidR="00CF3D14" w:rsidRPr="000458F8" w:rsidRDefault="00CF3D14" w:rsidP="00CF3D14">
            <w:pPr>
              <w:jc w:val="center"/>
              <w:rPr>
                <w:b/>
                <w:bCs/>
                <w:sz w:val="20"/>
                <w:szCs w:val="20"/>
                <w:lang w:val="es-ES_tradnl" w:eastAsia="en-CA"/>
              </w:rPr>
            </w:pPr>
            <w:r w:rsidRPr="000458F8">
              <w:rPr>
                <w:b/>
                <w:sz w:val="20"/>
                <w:lang w:val="es-ES_tradnl"/>
              </w:rPr>
              <w:t>Porcentaje de proyectos previstos terminados en 2019</w:t>
            </w:r>
          </w:p>
        </w:tc>
      </w:tr>
      <w:tr w:rsidR="00C3420C" w:rsidRPr="000458F8" w14:paraId="1EF3180F"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08CD7C6" w14:textId="77777777" w:rsidR="00C3420C" w:rsidRPr="000458F8" w:rsidRDefault="00C3420C" w:rsidP="008E3F5E">
            <w:pPr>
              <w:jc w:val="left"/>
              <w:rPr>
                <w:sz w:val="20"/>
                <w:szCs w:val="20"/>
                <w:lang w:val="es-ES_tradnl" w:eastAsia="en-CA"/>
              </w:rPr>
            </w:pPr>
            <w:r w:rsidRPr="000458F8">
              <w:rPr>
                <w:sz w:val="20"/>
                <w:szCs w:val="20"/>
                <w:lang w:val="es-ES_tradnl" w:eastAsia="en-CA"/>
              </w:rPr>
              <w:t>Angola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63E6CEB" w14:textId="17DAC9E6" w:rsidR="00C3420C" w:rsidRPr="000458F8" w:rsidRDefault="00C3420C" w:rsidP="008E3F5E">
            <w:pPr>
              <w:jc w:val="right"/>
              <w:rPr>
                <w:sz w:val="20"/>
                <w:szCs w:val="20"/>
                <w:lang w:val="es-ES_tradnl" w:eastAsia="en-CA"/>
              </w:rPr>
            </w:pPr>
            <w:r w:rsidRPr="000458F8">
              <w:rPr>
                <w:sz w:val="20"/>
                <w:szCs w:val="20"/>
                <w:lang w:val="es-ES_tradnl" w:eastAsia="en-CA"/>
              </w:rPr>
              <w:t>2</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3E550BC"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F5707AC" w14:textId="77C77C17" w:rsidR="00C3420C" w:rsidRPr="000458F8" w:rsidRDefault="00C3420C" w:rsidP="008E3F5E">
            <w:pPr>
              <w:jc w:val="right"/>
              <w:rPr>
                <w:sz w:val="20"/>
                <w:szCs w:val="20"/>
                <w:lang w:val="es-ES_tradnl" w:eastAsia="en-CA"/>
              </w:rPr>
            </w:pPr>
            <w:r w:rsidRPr="000458F8">
              <w:rPr>
                <w:sz w:val="20"/>
                <w:szCs w:val="20"/>
                <w:lang w:val="es-ES_tradnl" w:eastAsia="en-CA"/>
              </w:rPr>
              <w:t>75</w:t>
            </w:r>
            <w:r w:rsidR="00700B97" w:rsidRPr="000458F8">
              <w:rPr>
                <w:sz w:val="20"/>
                <w:szCs w:val="20"/>
                <w:lang w:val="es-ES_tradnl" w:eastAsia="en-CA"/>
              </w:rPr>
              <w:t> </w:t>
            </w:r>
            <w:r w:rsidRPr="000458F8">
              <w:rPr>
                <w:sz w:val="20"/>
                <w:szCs w:val="20"/>
                <w:lang w:val="es-ES_tradnl" w:eastAsia="en-CA"/>
              </w:rPr>
              <w:t>680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8CE4759" w14:textId="34B022AA" w:rsidR="00C3420C" w:rsidRPr="000458F8" w:rsidRDefault="00C3420C" w:rsidP="008E3F5E">
            <w:pPr>
              <w:jc w:val="right"/>
              <w:rPr>
                <w:sz w:val="20"/>
                <w:szCs w:val="20"/>
                <w:lang w:val="es-ES_tradnl" w:eastAsia="en-CA"/>
              </w:rPr>
            </w:pPr>
            <w:r w:rsidRPr="000458F8">
              <w:rPr>
                <w:sz w:val="20"/>
                <w:szCs w:val="20"/>
                <w:lang w:val="es-ES_tradnl" w:eastAsia="en-CA"/>
              </w:rPr>
              <w:t>138</w:t>
            </w:r>
            <w:r w:rsidR="00700B97" w:rsidRPr="000458F8">
              <w:rPr>
                <w:sz w:val="20"/>
                <w:szCs w:val="20"/>
                <w:lang w:val="es-ES_tradnl" w:eastAsia="en-CA"/>
              </w:rPr>
              <w:t> </w:t>
            </w:r>
            <w:r w:rsidRPr="000458F8">
              <w:rPr>
                <w:sz w:val="20"/>
                <w:szCs w:val="20"/>
                <w:lang w:val="es-ES_tradnl" w:eastAsia="en-CA"/>
              </w:rPr>
              <w:t>812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C93F076" w14:textId="77777777" w:rsidR="00C3420C" w:rsidRPr="000458F8" w:rsidRDefault="00C3420C" w:rsidP="008E3F5E">
            <w:pPr>
              <w:jc w:val="right"/>
              <w:rPr>
                <w:sz w:val="20"/>
                <w:szCs w:val="20"/>
                <w:lang w:val="es-ES_tradnl" w:eastAsia="en-CA"/>
              </w:rPr>
            </w:pPr>
            <w:r w:rsidRPr="000458F8">
              <w:rPr>
                <w:sz w:val="20"/>
                <w:szCs w:val="20"/>
                <w:lang w:val="es-ES_tradnl" w:eastAsia="en-CA"/>
              </w:rPr>
              <w:t>183</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27C8B27"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B77C5E6"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EEEB676" w14:textId="77777777" w:rsidR="00C3420C" w:rsidRPr="000458F8" w:rsidRDefault="00C3420C" w:rsidP="008E3F5E">
            <w:pPr>
              <w:jc w:val="left"/>
              <w:rPr>
                <w:sz w:val="20"/>
                <w:szCs w:val="20"/>
                <w:lang w:val="es-ES_tradnl" w:eastAsia="en-CA"/>
              </w:rPr>
            </w:pPr>
            <w:r w:rsidRPr="000458F8">
              <w:rPr>
                <w:sz w:val="20"/>
                <w:szCs w:val="20"/>
                <w:lang w:val="es-ES_tradnl" w:eastAsia="en-CA"/>
              </w:rPr>
              <w:t>Argentina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6DAC3DA" w14:textId="32B9E059"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1986D1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F9EF974" w14:textId="6F1CA8DD" w:rsidR="00C3420C" w:rsidRPr="000458F8" w:rsidRDefault="00C3420C" w:rsidP="008E3F5E">
            <w:pPr>
              <w:jc w:val="right"/>
              <w:rPr>
                <w:sz w:val="20"/>
                <w:szCs w:val="20"/>
                <w:lang w:val="es-ES_tradnl" w:eastAsia="en-CA"/>
              </w:rPr>
            </w:pPr>
            <w:r w:rsidRPr="000458F8">
              <w:rPr>
                <w:sz w:val="20"/>
                <w:szCs w:val="20"/>
                <w:lang w:val="es-ES_tradnl" w:eastAsia="en-CA"/>
              </w:rPr>
              <w:t>113</w:t>
            </w:r>
            <w:r w:rsidR="00700B97" w:rsidRPr="000458F8">
              <w:rPr>
                <w:sz w:val="20"/>
                <w:szCs w:val="20"/>
                <w:lang w:val="es-ES_tradnl" w:eastAsia="en-CA"/>
              </w:rPr>
              <w:t> </w:t>
            </w:r>
            <w:r w:rsidRPr="000458F8">
              <w:rPr>
                <w:sz w:val="20"/>
                <w:szCs w:val="20"/>
                <w:lang w:val="es-ES_tradnl" w:eastAsia="en-CA"/>
              </w:rPr>
              <w:t>619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0D4C403" w14:textId="0C4A6FB9" w:rsidR="00C3420C" w:rsidRPr="000458F8" w:rsidRDefault="00C3420C" w:rsidP="008E3F5E">
            <w:pPr>
              <w:jc w:val="right"/>
              <w:rPr>
                <w:sz w:val="20"/>
                <w:szCs w:val="20"/>
                <w:lang w:val="es-ES_tradnl" w:eastAsia="en-CA"/>
              </w:rPr>
            </w:pPr>
            <w:r w:rsidRPr="000458F8">
              <w:rPr>
                <w:sz w:val="20"/>
                <w:szCs w:val="20"/>
                <w:lang w:val="es-ES_tradnl" w:eastAsia="en-CA"/>
              </w:rPr>
              <w:t>110</w:t>
            </w:r>
            <w:r w:rsidR="00700B97" w:rsidRPr="000458F8">
              <w:rPr>
                <w:sz w:val="20"/>
                <w:szCs w:val="20"/>
                <w:lang w:val="es-ES_tradnl" w:eastAsia="en-CA"/>
              </w:rPr>
              <w:t> </w:t>
            </w:r>
            <w:r w:rsidRPr="000458F8">
              <w:rPr>
                <w:sz w:val="20"/>
                <w:szCs w:val="20"/>
                <w:lang w:val="es-ES_tradnl" w:eastAsia="en-CA"/>
              </w:rPr>
              <w:t>653</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D707E15" w14:textId="77777777" w:rsidR="00C3420C" w:rsidRPr="000458F8" w:rsidRDefault="00C3420C" w:rsidP="008E3F5E">
            <w:pPr>
              <w:jc w:val="right"/>
              <w:rPr>
                <w:sz w:val="20"/>
                <w:szCs w:val="20"/>
                <w:lang w:val="es-ES_tradnl" w:eastAsia="en-CA"/>
              </w:rPr>
            </w:pPr>
            <w:r w:rsidRPr="000458F8">
              <w:rPr>
                <w:sz w:val="20"/>
                <w:szCs w:val="20"/>
                <w:lang w:val="es-ES_tradnl" w:eastAsia="en-CA"/>
              </w:rPr>
              <w:t>97</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FA1C10D"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467B401"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CEFC88B" w14:textId="77777777" w:rsidR="00C3420C" w:rsidRPr="000458F8" w:rsidRDefault="00C3420C" w:rsidP="008E3F5E">
            <w:pPr>
              <w:jc w:val="left"/>
              <w:rPr>
                <w:sz w:val="20"/>
                <w:szCs w:val="20"/>
                <w:lang w:val="es-ES_tradnl" w:eastAsia="en-CA"/>
              </w:rPr>
            </w:pPr>
            <w:r w:rsidRPr="000458F8">
              <w:rPr>
                <w:sz w:val="20"/>
                <w:szCs w:val="20"/>
                <w:lang w:val="es-ES_tradnl" w:eastAsia="en-CA"/>
              </w:rPr>
              <w:t>Armenia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5ED5AFA" w14:textId="03ABE94F"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DC82AE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322799E" w14:textId="62962184" w:rsidR="00C3420C" w:rsidRPr="000458F8" w:rsidRDefault="00C3420C" w:rsidP="008E3F5E">
            <w:pPr>
              <w:jc w:val="right"/>
              <w:rPr>
                <w:sz w:val="20"/>
                <w:szCs w:val="20"/>
                <w:lang w:val="es-ES_tradnl" w:eastAsia="en-CA"/>
              </w:rPr>
            </w:pPr>
            <w:r w:rsidRPr="000458F8">
              <w:rPr>
                <w:sz w:val="20"/>
                <w:szCs w:val="20"/>
                <w:lang w:val="es-ES_tradnl" w:eastAsia="en-CA"/>
              </w:rPr>
              <w:t>7</w:t>
            </w:r>
            <w:r w:rsidR="00700B97" w:rsidRPr="000458F8">
              <w:rPr>
                <w:sz w:val="20"/>
                <w:szCs w:val="20"/>
                <w:lang w:val="es-ES_tradnl" w:eastAsia="en-CA"/>
              </w:rPr>
              <w:t> </w:t>
            </w:r>
            <w:r w:rsidRPr="000458F8">
              <w:rPr>
                <w:sz w:val="20"/>
                <w:szCs w:val="20"/>
                <w:lang w:val="es-ES_tradnl" w:eastAsia="en-CA"/>
              </w:rPr>
              <w:t>005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CA087DB" w14:textId="2B2003CF" w:rsidR="00C3420C" w:rsidRPr="000458F8" w:rsidRDefault="00C3420C" w:rsidP="008E3F5E">
            <w:pPr>
              <w:jc w:val="right"/>
              <w:rPr>
                <w:sz w:val="20"/>
                <w:szCs w:val="20"/>
                <w:lang w:val="es-ES_tradnl" w:eastAsia="en-CA"/>
              </w:rPr>
            </w:pPr>
            <w:r w:rsidRPr="000458F8">
              <w:rPr>
                <w:sz w:val="20"/>
                <w:szCs w:val="20"/>
                <w:lang w:val="es-ES_tradnl" w:eastAsia="en-CA"/>
              </w:rPr>
              <w:t>30</w:t>
            </w:r>
            <w:r w:rsidR="00700B97" w:rsidRPr="000458F8">
              <w:rPr>
                <w:sz w:val="20"/>
                <w:szCs w:val="20"/>
                <w:lang w:val="es-ES_tradnl" w:eastAsia="en-CA"/>
              </w:rPr>
              <w:t> </w:t>
            </w:r>
            <w:r w:rsidRPr="000458F8">
              <w:rPr>
                <w:sz w:val="20"/>
                <w:szCs w:val="20"/>
                <w:lang w:val="es-ES_tradnl" w:eastAsia="en-CA"/>
              </w:rPr>
              <w:t>339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5888DF1" w14:textId="77777777" w:rsidR="00C3420C" w:rsidRPr="000458F8" w:rsidRDefault="00C3420C" w:rsidP="008E3F5E">
            <w:pPr>
              <w:jc w:val="right"/>
              <w:rPr>
                <w:sz w:val="20"/>
                <w:szCs w:val="20"/>
                <w:lang w:val="es-ES_tradnl" w:eastAsia="en-CA"/>
              </w:rPr>
            </w:pPr>
            <w:r w:rsidRPr="000458F8">
              <w:rPr>
                <w:sz w:val="20"/>
                <w:szCs w:val="20"/>
                <w:lang w:val="es-ES_tradnl" w:eastAsia="en-CA"/>
              </w:rPr>
              <w:t>433</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62B9FE90"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6D192D5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9714E19" w14:textId="77777777" w:rsidR="00C3420C" w:rsidRPr="000458F8" w:rsidRDefault="00C3420C" w:rsidP="008E3F5E">
            <w:pPr>
              <w:jc w:val="left"/>
              <w:rPr>
                <w:sz w:val="20"/>
                <w:szCs w:val="20"/>
                <w:lang w:val="es-ES_tradnl" w:eastAsia="en-CA"/>
              </w:rPr>
            </w:pPr>
            <w:r w:rsidRPr="000458F8">
              <w:rPr>
                <w:sz w:val="20"/>
                <w:szCs w:val="20"/>
                <w:lang w:val="es-ES_tradnl" w:eastAsia="en-CA"/>
              </w:rPr>
              <w:t>Bangladesh</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ACDF6B7" w14:textId="3B6483ED"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A7E97F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59864CD" w14:textId="347AFCF5" w:rsidR="00C3420C" w:rsidRPr="000458F8" w:rsidRDefault="00C3420C" w:rsidP="008E3F5E">
            <w:pPr>
              <w:jc w:val="right"/>
              <w:rPr>
                <w:sz w:val="20"/>
                <w:szCs w:val="20"/>
                <w:lang w:val="es-ES_tradnl" w:eastAsia="en-CA"/>
              </w:rPr>
            </w:pPr>
            <w:r w:rsidRPr="000458F8">
              <w:rPr>
                <w:sz w:val="20"/>
                <w:szCs w:val="20"/>
                <w:lang w:val="es-ES_tradnl" w:eastAsia="en-CA"/>
              </w:rPr>
              <w:t>475</w:t>
            </w:r>
            <w:r w:rsidR="00700B97" w:rsidRPr="000458F8">
              <w:rPr>
                <w:sz w:val="20"/>
                <w:szCs w:val="20"/>
                <w:lang w:val="es-ES_tradnl" w:eastAsia="en-CA"/>
              </w:rPr>
              <w:t> </w:t>
            </w:r>
            <w:r w:rsidRPr="000458F8">
              <w:rPr>
                <w:sz w:val="20"/>
                <w:szCs w:val="20"/>
                <w:lang w:val="es-ES_tradnl" w:eastAsia="en-CA"/>
              </w:rPr>
              <w:t>871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25FDB4C" w14:textId="5BA34238" w:rsidR="00C3420C" w:rsidRPr="000458F8" w:rsidRDefault="00C3420C" w:rsidP="008E3F5E">
            <w:pPr>
              <w:jc w:val="right"/>
              <w:rPr>
                <w:sz w:val="20"/>
                <w:szCs w:val="20"/>
                <w:lang w:val="es-ES_tradnl" w:eastAsia="en-CA"/>
              </w:rPr>
            </w:pPr>
            <w:r w:rsidRPr="000458F8">
              <w:rPr>
                <w:sz w:val="20"/>
                <w:szCs w:val="20"/>
                <w:lang w:val="es-ES_tradnl" w:eastAsia="en-CA"/>
              </w:rPr>
              <w:t>187</w:t>
            </w:r>
            <w:r w:rsidR="00700B97" w:rsidRPr="000458F8">
              <w:rPr>
                <w:sz w:val="20"/>
                <w:szCs w:val="20"/>
                <w:lang w:val="es-ES_tradnl" w:eastAsia="en-CA"/>
              </w:rPr>
              <w:t> </w:t>
            </w:r>
            <w:r w:rsidRPr="000458F8">
              <w:rPr>
                <w:sz w:val="20"/>
                <w:szCs w:val="20"/>
                <w:lang w:val="es-ES_tradnl" w:eastAsia="en-CA"/>
              </w:rPr>
              <w:t>628</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226CCFBF" w14:textId="77777777" w:rsidR="00C3420C" w:rsidRPr="000458F8" w:rsidRDefault="00C3420C" w:rsidP="008E3F5E">
            <w:pPr>
              <w:jc w:val="right"/>
              <w:rPr>
                <w:sz w:val="20"/>
                <w:szCs w:val="20"/>
                <w:lang w:val="es-ES_tradnl" w:eastAsia="en-CA"/>
              </w:rPr>
            </w:pPr>
            <w:r w:rsidRPr="000458F8">
              <w:rPr>
                <w:sz w:val="20"/>
                <w:szCs w:val="20"/>
                <w:lang w:val="es-ES_tradnl" w:eastAsia="en-CA"/>
              </w:rPr>
              <w:t>39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36AA3C2"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E1C4812"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9EDDAC4" w14:textId="77777777" w:rsidR="00C3420C" w:rsidRPr="000458F8" w:rsidRDefault="00C3420C" w:rsidP="008E3F5E">
            <w:pPr>
              <w:jc w:val="left"/>
              <w:rPr>
                <w:sz w:val="20"/>
                <w:szCs w:val="20"/>
                <w:lang w:val="es-ES_tradnl" w:eastAsia="en-CA"/>
              </w:rPr>
            </w:pPr>
            <w:r w:rsidRPr="000458F8">
              <w:rPr>
                <w:sz w:val="20"/>
                <w:szCs w:val="20"/>
                <w:lang w:val="es-ES_tradnl" w:eastAsia="en-CA"/>
              </w:rPr>
              <w:t>Barbados</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4EE81D2" w14:textId="3BB6FDEE"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4</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CF72F6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1E35624" w14:textId="5221B229" w:rsidR="00C3420C" w:rsidRPr="000458F8" w:rsidRDefault="00C3420C" w:rsidP="008E3F5E">
            <w:pPr>
              <w:jc w:val="right"/>
              <w:rPr>
                <w:sz w:val="20"/>
                <w:szCs w:val="20"/>
                <w:lang w:val="es-ES_tradnl" w:eastAsia="en-CA"/>
              </w:rPr>
            </w:pPr>
            <w:r w:rsidRPr="000458F8">
              <w:rPr>
                <w:sz w:val="20"/>
                <w:szCs w:val="20"/>
                <w:lang w:val="es-ES_tradnl" w:eastAsia="en-CA"/>
              </w:rPr>
              <w:t>5</w:t>
            </w:r>
            <w:r w:rsidR="00700B97" w:rsidRPr="000458F8">
              <w:rPr>
                <w:sz w:val="20"/>
                <w:szCs w:val="20"/>
                <w:lang w:val="es-ES_tradnl" w:eastAsia="en-CA"/>
              </w:rPr>
              <w:t> </w:t>
            </w:r>
            <w:r w:rsidRPr="000458F8">
              <w:rPr>
                <w:sz w:val="20"/>
                <w:szCs w:val="20"/>
                <w:lang w:val="es-ES_tradnl" w:eastAsia="en-CA"/>
              </w:rPr>
              <w:t>802</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96C9259" w14:textId="6CB65092" w:rsidR="00C3420C" w:rsidRPr="000458F8" w:rsidRDefault="00C3420C" w:rsidP="008E3F5E">
            <w:pPr>
              <w:jc w:val="right"/>
              <w:rPr>
                <w:sz w:val="20"/>
                <w:szCs w:val="20"/>
                <w:lang w:val="es-ES_tradnl" w:eastAsia="en-CA"/>
              </w:rPr>
            </w:pPr>
            <w:r w:rsidRPr="000458F8">
              <w:rPr>
                <w:sz w:val="20"/>
                <w:szCs w:val="20"/>
                <w:lang w:val="es-ES_tradnl" w:eastAsia="en-CA"/>
              </w:rPr>
              <w:t>27</w:t>
            </w:r>
            <w:r w:rsidR="00700B97" w:rsidRPr="000458F8">
              <w:rPr>
                <w:sz w:val="20"/>
                <w:szCs w:val="20"/>
                <w:lang w:val="es-ES_tradnl" w:eastAsia="en-CA"/>
              </w:rPr>
              <w:t> </w:t>
            </w:r>
            <w:r w:rsidRPr="000458F8">
              <w:rPr>
                <w:sz w:val="20"/>
                <w:szCs w:val="20"/>
                <w:lang w:val="es-ES_tradnl" w:eastAsia="en-CA"/>
              </w:rPr>
              <w:t>189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15373022" w14:textId="77777777" w:rsidR="00C3420C" w:rsidRPr="000458F8" w:rsidRDefault="00C3420C" w:rsidP="008E3F5E">
            <w:pPr>
              <w:jc w:val="right"/>
              <w:rPr>
                <w:sz w:val="20"/>
                <w:szCs w:val="20"/>
                <w:lang w:val="es-ES_tradnl" w:eastAsia="en-CA"/>
              </w:rPr>
            </w:pPr>
            <w:r w:rsidRPr="000458F8">
              <w:rPr>
                <w:sz w:val="20"/>
                <w:szCs w:val="20"/>
                <w:lang w:val="es-ES_tradnl" w:eastAsia="en-CA"/>
              </w:rPr>
              <w:t>469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013E4CFD"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052DEB70"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E05C34B" w14:textId="1F6FC8A3" w:rsidR="00C3420C" w:rsidRPr="000458F8" w:rsidRDefault="00C3420C" w:rsidP="008E3F5E">
            <w:pPr>
              <w:jc w:val="left"/>
              <w:rPr>
                <w:sz w:val="20"/>
                <w:szCs w:val="20"/>
                <w:lang w:val="es-ES_tradnl" w:eastAsia="en-CA"/>
              </w:rPr>
            </w:pPr>
            <w:r w:rsidRPr="000458F8">
              <w:rPr>
                <w:sz w:val="20"/>
                <w:szCs w:val="20"/>
                <w:lang w:val="es-ES_tradnl" w:eastAsia="en-CA"/>
              </w:rPr>
              <w:t>Beli</w:t>
            </w:r>
            <w:r w:rsidR="00CF3D14" w:rsidRPr="000458F8">
              <w:rPr>
                <w:sz w:val="20"/>
                <w:szCs w:val="20"/>
                <w:lang w:val="es-ES_tradnl" w:eastAsia="en-CA"/>
              </w:rPr>
              <w:t>c</w:t>
            </w:r>
            <w:r w:rsidRPr="000458F8">
              <w:rPr>
                <w:sz w:val="20"/>
                <w:szCs w:val="20"/>
                <w:lang w:val="es-ES_tradnl" w:eastAsia="en-CA"/>
              </w:rPr>
              <w:t>e</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2E21D0A4" w14:textId="6EBD2985"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24DE67D"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1902B1D" w14:textId="4731B6B8" w:rsidR="00C3420C" w:rsidRPr="000458F8" w:rsidRDefault="00C3420C" w:rsidP="008E3F5E">
            <w:pPr>
              <w:jc w:val="right"/>
              <w:rPr>
                <w:sz w:val="20"/>
                <w:szCs w:val="20"/>
                <w:lang w:val="es-ES_tradnl" w:eastAsia="en-CA"/>
              </w:rPr>
            </w:pPr>
            <w:r w:rsidRPr="000458F8">
              <w:rPr>
                <w:sz w:val="20"/>
                <w:szCs w:val="20"/>
                <w:lang w:val="es-ES_tradnl" w:eastAsia="en-CA"/>
              </w:rPr>
              <w:t>5</w:t>
            </w:r>
            <w:r w:rsidR="00700B97" w:rsidRPr="000458F8">
              <w:rPr>
                <w:sz w:val="20"/>
                <w:szCs w:val="20"/>
                <w:lang w:val="es-ES_tradnl" w:eastAsia="en-CA"/>
              </w:rPr>
              <w:t> </w:t>
            </w:r>
            <w:r w:rsidRPr="000458F8">
              <w:rPr>
                <w:sz w:val="20"/>
                <w:szCs w:val="20"/>
                <w:lang w:val="es-ES_tradnl" w:eastAsia="en-CA"/>
              </w:rPr>
              <w:t>250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2D2F257"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21A7E8A5"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194D14A"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7F6FCA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DADDC36" w14:textId="58203B92" w:rsidR="00C3420C" w:rsidRPr="000458F8" w:rsidRDefault="00C3420C" w:rsidP="008E3F5E">
            <w:pPr>
              <w:jc w:val="left"/>
              <w:rPr>
                <w:sz w:val="20"/>
                <w:szCs w:val="20"/>
                <w:lang w:val="es-ES_tradnl" w:eastAsia="en-CA"/>
              </w:rPr>
            </w:pPr>
            <w:r w:rsidRPr="000458F8">
              <w:rPr>
                <w:sz w:val="20"/>
                <w:szCs w:val="20"/>
                <w:lang w:val="es-ES_tradnl" w:eastAsia="en-CA"/>
              </w:rPr>
              <w:t>Bhut</w:t>
            </w:r>
            <w:r w:rsidR="00CF3D14" w:rsidRPr="000458F8">
              <w:rPr>
                <w:sz w:val="20"/>
                <w:szCs w:val="20"/>
                <w:lang w:val="es-ES_tradnl" w:eastAsia="en-CA"/>
              </w:rPr>
              <w:t>á</w:t>
            </w:r>
            <w:r w:rsidRPr="000458F8">
              <w:rPr>
                <w:sz w:val="20"/>
                <w:szCs w:val="20"/>
                <w:lang w:val="es-ES_tradnl" w:eastAsia="en-CA"/>
              </w:rPr>
              <w:t>n</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21E5EA1F" w14:textId="08C5779F"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1</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C536D53"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795B642" w14:textId="5E3B369D" w:rsidR="00C3420C" w:rsidRPr="000458F8" w:rsidRDefault="00C3420C" w:rsidP="008E3F5E">
            <w:pPr>
              <w:jc w:val="right"/>
              <w:rPr>
                <w:sz w:val="20"/>
                <w:szCs w:val="20"/>
                <w:lang w:val="es-ES_tradnl" w:eastAsia="en-CA"/>
              </w:rPr>
            </w:pPr>
            <w:r w:rsidRPr="000458F8">
              <w:rPr>
                <w:sz w:val="20"/>
                <w:szCs w:val="20"/>
                <w:lang w:val="es-ES_tradnl" w:eastAsia="en-CA"/>
              </w:rPr>
              <w:t>3</w:t>
            </w:r>
            <w:r w:rsidR="00700B97" w:rsidRPr="000458F8">
              <w:rPr>
                <w:sz w:val="20"/>
                <w:szCs w:val="20"/>
                <w:lang w:val="es-ES_tradnl" w:eastAsia="en-CA"/>
              </w:rPr>
              <w:t> </w:t>
            </w:r>
            <w:r w:rsidRPr="000458F8">
              <w:rPr>
                <w:sz w:val="20"/>
                <w:szCs w:val="20"/>
                <w:lang w:val="es-ES_tradnl" w:eastAsia="en-CA"/>
              </w:rPr>
              <w:t>264</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57DE927" w14:textId="5C177C80" w:rsidR="00C3420C" w:rsidRPr="000458F8" w:rsidRDefault="00C3420C" w:rsidP="008E3F5E">
            <w:pPr>
              <w:jc w:val="right"/>
              <w:rPr>
                <w:sz w:val="20"/>
                <w:szCs w:val="20"/>
                <w:lang w:val="es-ES_tradnl" w:eastAsia="en-CA"/>
              </w:rPr>
            </w:pPr>
            <w:r w:rsidRPr="000458F8">
              <w:rPr>
                <w:sz w:val="20"/>
                <w:szCs w:val="20"/>
                <w:lang w:val="es-ES_tradnl" w:eastAsia="en-CA"/>
              </w:rPr>
              <w:t>15</w:t>
            </w:r>
            <w:r w:rsidR="00700B97" w:rsidRPr="000458F8">
              <w:rPr>
                <w:sz w:val="20"/>
                <w:szCs w:val="20"/>
                <w:lang w:val="es-ES_tradnl" w:eastAsia="en-CA"/>
              </w:rPr>
              <w:t> </w:t>
            </w:r>
            <w:r w:rsidRPr="000458F8">
              <w:rPr>
                <w:sz w:val="20"/>
                <w:szCs w:val="20"/>
                <w:lang w:val="es-ES_tradnl" w:eastAsia="en-CA"/>
              </w:rPr>
              <w:t>677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A665BA8" w14:textId="77777777" w:rsidR="00C3420C" w:rsidRPr="000458F8" w:rsidRDefault="00C3420C" w:rsidP="008E3F5E">
            <w:pPr>
              <w:jc w:val="right"/>
              <w:rPr>
                <w:sz w:val="20"/>
                <w:szCs w:val="20"/>
                <w:lang w:val="es-ES_tradnl" w:eastAsia="en-CA"/>
              </w:rPr>
            </w:pPr>
            <w:r w:rsidRPr="000458F8">
              <w:rPr>
                <w:sz w:val="20"/>
                <w:szCs w:val="20"/>
                <w:lang w:val="es-ES_tradnl" w:eastAsia="en-CA"/>
              </w:rPr>
              <w:t>480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3D6F16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76042D2"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947EB37" w14:textId="4589F9FE" w:rsidR="00C3420C" w:rsidRPr="000458F8" w:rsidRDefault="00C3420C" w:rsidP="008E3F5E">
            <w:pPr>
              <w:jc w:val="left"/>
              <w:rPr>
                <w:sz w:val="20"/>
                <w:szCs w:val="20"/>
                <w:lang w:val="es-ES_tradnl" w:eastAsia="en-CA"/>
              </w:rPr>
            </w:pPr>
            <w:r w:rsidRPr="000458F8">
              <w:rPr>
                <w:sz w:val="20"/>
                <w:szCs w:val="20"/>
                <w:lang w:val="es-ES_tradnl" w:eastAsia="en-CA"/>
              </w:rPr>
              <w:t>Bra</w:t>
            </w:r>
            <w:r w:rsidR="00CF3D14" w:rsidRPr="000458F8">
              <w:rPr>
                <w:sz w:val="20"/>
                <w:szCs w:val="20"/>
                <w:lang w:val="es-ES_tradnl" w:eastAsia="en-CA"/>
              </w:rPr>
              <w:t>s</w:t>
            </w:r>
            <w:r w:rsidRPr="000458F8">
              <w:rPr>
                <w:sz w:val="20"/>
                <w:szCs w:val="20"/>
                <w:lang w:val="es-ES_tradnl" w:eastAsia="en-CA"/>
              </w:rPr>
              <w:t>il</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7174E35" w14:textId="57D49522" w:rsidR="00C3420C" w:rsidRPr="000458F8" w:rsidRDefault="00C3420C" w:rsidP="008E3F5E">
            <w:pPr>
              <w:jc w:val="right"/>
              <w:rPr>
                <w:sz w:val="20"/>
                <w:szCs w:val="20"/>
                <w:lang w:val="es-ES_tradnl" w:eastAsia="en-CA"/>
              </w:rPr>
            </w:pPr>
            <w:r w:rsidRPr="000458F8">
              <w:rPr>
                <w:sz w:val="20"/>
                <w:szCs w:val="20"/>
                <w:lang w:val="es-ES_tradnl" w:eastAsia="en-CA"/>
              </w:rPr>
              <w:t>92</w:t>
            </w:r>
            <w:r w:rsidR="00CF3D14" w:rsidRPr="000458F8">
              <w:rPr>
                <w:sz w:val="20"/>
                <w:szCs w:val="20"/>
                <w:lang w:val="es-ES_tradnl" w:eastAsia="en-CA"/>
              </w:rPr>
              <w:t>,</w:t>
            </w:r>
            <w:r w:rsidRPr="000458F8">
              <w:rPr>
                <w:sz w:val="20"/>
                <w:szCs w:val="20"/>
                <w:lang w:val="es-ES_tradnl" w:eastAsia="en-CA"/>
              </w:rPr>
              <w:t>4</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54202E0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193B104" w14:textId="39D5C44E" w:rsidR="00C3420C" w:rsidRPr="000458F8" w:rsidRDefault="00C3420C" w:rsidP="008E3F5E">
            <w:pPr>
              <w:jc w:val="right"/>
              <w:rPr>
                <w:sz w:val="20"/>
                <w:szCs w:val="20"/>
                <w:lang w:val="es-ES_tradnl" w:eastAsia="en-CA"/>
              </w:rPr>
            </w:pPr>
            <w:r w:rsidRPr="000458F8">
              <w:rPr>
                <w:sz w:val="20"/>
                <w:szCs w:val="20"/>
                <w:lang w:val="es-ES_tradnl" w:eastAsia="en-CA"/>
              </w:rPr>
              <w:t>2</w:t>
            </w:r>
            <w:r w:rsidR="00700B97" w:rsidRPr="000458F8">
              <w:rPr>
                <w:sz w:val="20"/>
                <w:szCs w:val="20"/>
                <w:lang w:val="es-ES_tradnl" w:eastAsia="en-CA"/>
              </w:rPr>
              <w:t> </w:t>
            </w:r>
            <w:r w:rsidRPr="000458F8">
              <w:rPr>
                <w:sz w:val="20"/>
                <w:szCs w:val="20"/>
                <w:lang w:val="es-ES_tradnl" w:eastAsia="en-CA"/>
              </w:rPr>
              <w:t>590</w:t>
            </w:r>
            <w:r w:rsidR="00700B97" w:rsidRPr="000458F8">
              <w:rPr>
                <w:sz w:val="20"/>
                <w:szCs w:val="20"/>
                <w:lang w:val="es-ES_tradnl" w:eastAsia="en-CA"/>
              </w:rPr>
              <w:t> </w:t>
            </w:r>
            <w:r w:rsidRPr="000458F8">
              <w:rPr>
                <w:sz w:val="20"/>
                <w:szCs w:val="20"/>
                <w:lang w:val="es-ES_tradnl" w:eastAsia="en-CA"/>
              </w:rPr>
              <w:t>760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9FACFCD" w14:textId="3ADA422B" w:rsidR="00C3420C" w:rsidRPr="000458F8" w:rsidRDefault="00C3420C" w:rsidP="008E3F5E">
            <w:pPr>
              <w:jc w:val="right"/>
              <w:rPr>
                <w:sz w:val="20"/>
                <w:szCs w:val="20"/>
                <w:lang w:val="es-ES_tradnl" w:eastAsia="en-CA"/>
              </w:rPr>
            </w:pPr>
            <w:r w:rsidRPr="000458F8">
              <w:rPr>
                <w:sz w:val="20"/>
                <w:szCs w:val="20"/>
                <w:lang w:val="es-ES_tradnl" w:eastAsia="en-CA"/>
              </w:rPr>
              <w:t>3</w:t>
            </w:r>
            <w:r w:rsidR="00700B97" w:rsidRPr="000458F8">
              <w:rPr>
                <w:sz w:val="20"/>
                <w:szCs w:val="20"/>
                <w:lang w:val="es-ES_tradnl" w:eastAsia="en-CA"/>
              </w:rPr>
              <w:t> </w:t>
            </w:r>
            <w:r w:rsidRPr="000458F8">
              <w:rPr>
                <w:sz w:val="20"/>
                <w:szCs w:val="20"/>
                <w:lang w:val="es-ES_tradnl" w:eastAsia="en-CA"/>
              </w:rPr>
              <w:t>934</w:t>
            </w:r>
            <w:r w:rsidR="00700B97" w:rsidRPr="000458F8">
              <w:rPr>
                <w:sz w:val="20"/>
                <w:szCs w:val="20"/>
                <w:lang w:val="es-ES_tradnl" w:eastAsia="en-CA"/>
              </w:rPr>
              <w:t> </w:t>
            </w:r>
            <w:r w:rsidRPr="000458F8">
              <w:rPr>
                <w:sz w:val="20"/>
                <w:szCs w:val="20"/>
                <w:lang w:val="es-ES_tradnl" w:eastAsia="en-CA"/>
              </w:rPr>
              <w:t>029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602D44C" w14:textId="77777777" w:rsidR="00C3420C" w:rsidRPr="000458F8" w:rsidRDefault="00C3420C" w:rsidP="008E3F5E">
            <w:pPr>
              <w:jc w:val="right"/>
              <w:rPr>
                <w:sz w:val="20"/>
                <w:szCs w:val="20"/>
                <w:lang w:val="es-ES_tradnl" w:eastAsia="en-CA"/>
              </w:rPr>
            </w:pPr>
            <w:r w:rsidRPr="000458F8">
              <w:rPr>
                <w:sz w:val="20"/>
                <w:szCs w:val="20"/>
                <w:lang w:val="es-ES_tradnl" w:eastAsia="en-CA"/>
              </w:rPr>
              <w:t>152</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59745D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0F90F82A"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2F03EB8" w14:textId="77777777" w:rsidR="00C3420C" w:rsidRPr="000458F8" w:rsidRDefault="00C3420C" w:rsidP="008E3F5E">
            <w:pPr>
              <w:jc w:val="left"/>
              <w:rPr>
                <w:sz w:val="20"/>
                <w:szCs w:val="20"/>
                <w:lang w:val="es-ES_tradnl" w:eastAsia="en-CA"/>
              </w:rPr>
            </w:pPr>
            <w:r w:rsidRPr="000458F8">
              <w:rPr>
                <w:sz w:val="20"/>
                <w:szCs w:val="20"/>
                <w:lang w:val="es-ES_tradnl" w:eastAsia="en-CA"/>
              </w:rPr>
              <w:t>Brunei Darussalam</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5A2D6CF" w14:textId="2FB0D67B"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317A55B"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D2F82F4" w14:textId="60E25980" w:rsidR="00C3420C" w:rsidRPr="000458F8" w:rsidRDefault="00C3420C" w:rsidP="008E3F5E">
            <w:pPr>
              <w:jc w:val="right"/>
              <w:rPr>
                <w:sz w:val="20"/>
                <w:szCs w:val="20"/>
                <w:lang w:val="es-ES_tradnl" w:eastAsia="en-CA"/>
              </w:rPr>
            </w:pPr>
            <w:r w:rsidRPr="000458F8">
              <w:rPr>
                <w:sz w:val="20"/>
                <w:szCs w:val="20"/>
                <w:lang w:val="es-ES_tradnl" w:eastAsia="en-CA"/>
              </w:rPr>
              <w:t>11</w:t>
            </w:r>
            <w:r w:rsidR="00700B97" w:rsidRPr="000458F8">
              <w:rPr>
                <w:sz w:val="20"/>
                <w:szCs w:val="20"/>
                <w:lang w:val="es-ES_tradnl" w:eastAsia="en-CA"/>
              </w:rPr>
              <w:t> </w:t>
            </w:r>
            <w:r w:rsidRPr="000458F8">
              <w:rPr>
                <w:sz w:val="20"/>
                <w:szCs w:val="20"/>
                <w:lang w:val="es-ES_tradnl" w:eastAsia="en-CA"/>
              </w:rPr>
              <w:t>520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2BF9DE3" w14:textId="4C64F840" w:rsidR="00C3420C" w:rsidRPr="000458F8" w:rsidRDefault="00C3420C" w:rsidP="008E3F5E">
            <w:pPr>
              <w:jc w:val="right"/>
              <w:rPr>
                <w:sz w:val="20"/>
                <w:szCs w:val="20"/>
                <w:lang w:val="es-ES_tradnl" w:eastAsia="en-CA"/>
              </w:rPr>
            </w:pPr>
            <w:r w:rsidRPr="000458F8">
              <w:rPr>
                <w:sz w:val="20"/>
                <w:szCs w:val="20"/>
                <w:lang w:val="es-ES_tradnl" w:eastAsia="en-CA"/>
              </w:rPr>
              <w:t>34</w:t>
            </w:r>
            <w:r w:rsidR="00700B97" w:rsidRPr="000458F8">
              <w:rPr>
                <w:sz w:val="20"/>
                <w:szCs w:val="20"/>
                <w:lang w:val="es-ES_tradnl" w:eastAsia="en-CA"/>
              </w:rPr>
              <w:t> </w:t>
            </w:r>
            <w:r w:rsidRPr="000458F8">
              <w:rPr>
                <w:sz w:val="20"/>
                <w:szCs w:val="20"/>
                <w:lang w:val="es-ES_tradnl" w:eastAsia="en-CA"/>
              </w:rPr>
              <w:t>600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C18DFBC" w14:textId="77777777" w:rsidR="00C3420C" w:rsidRPr="000458F8" w:rsidRDefault="00C3420C" w:rsidP="008E3F5E">
            <w:pPr>
              <w:jc w:val="right"/>
              <w:rPr>
                <w:sz w:val="20"/>
                <w:szCs w:val="20"/>
                <w:lang w:val="es-ES_tradnl" w:eastAsia="en-CA"/>
              </w:rPr>
            </w:pPr>
            <w:r w:rsidRPr="000458F8">
              <w:rPr>
                <w:sz w:val="20"/>
                <w:szCs w:val="20"/>
                <w:lang w:val="es-ES_tradnl" w:eastAsia="en-CA"/>
              </w:rPr>
              <w:t>300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14C1A11"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7771635"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78D0BA5" w14:textId="0B5B9F00" w:rsidR="00C3420C" w:rsidRPr="000458F8" w:rsidRDefault="00C3420C" w:rsidP="008E3F5E">
            <w:pPr>
              <w:jc w:val="left"/>
              <w:rPr>
                <w:sz w:val="20"/>
                <w:szCs w:val="20"/>
                <w:lang w:val="es-ES_tradnl" w:eastAsia="en-CA"/>
              </w:rPr>
            </w:pPr>
            <w:r w:rsidRPr="000458F8">
              <w:rPr>
                <w:sz w:val="20"/>
                <w:szCs w:val="20"/>
                <w:lang w:val="es-ES_tradnl" w:eastAsia="en-CA"/>
              </w:rPr>
              <w:t>Cambo</w:t>
            </w:r>
            <w:r w:rsidR="00CF3D14" w:rsidRPr="000458F8">
              <w:rPr>
                <w:sz w:val="20"/>
                <w:szCs w:val="20"/>
                <w:lang w:val="es-ES_tradnl" w:eastAsia="en-CA"/>
              </w:rPr>
              <w:t>ya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9048F1D" w14:textId="408BDC50" w:rsidR="00C3420C" w:rsidRPr="000458F8" w:rsidRDefault="00C3420C" w:rsidP="008E3F5E">
            <w:pPr>
              <w:jc w:val="right"/>
              <w:rPr>
                <w:sz w:val="20"/>
                <w:szCs w:val="20"/>
                <w:lang w:val="es-ES_tradnl" w:eastAsia="en-CA"/>
              </w:rPr>
            </w:pPr>
            <w:r w:rsidRPr="000458F8">
              <w:rPr>
                <w:sz w:val="20"/>
                <w:szCs w:val="20"/>
                <w:lang w:val="es-ES_tradnl" w:eastAsia="en-CA"/>
              </w:rPr>
              <w:t>1</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EF2FAAB"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A872F44" w14:textId="55592928" w:rsidR="00C3420C" w:rsidRPr="000458F8" w:rsidRDefault="00C3420C" w:rsidP="008E3F5E">
            <w:pPr>
              <w:jc w:val="right"/>
              <w:rPr>
                <w:sz w:val="20"/>
                <w:szCs w:val="20"/>
                <w:lang w:val="es-ES_tradnl" w:eastAsia="en-CA"/>
              </w:rPr>
            </w:pPr>
            <w:r w:rsidRPr="000458F8">
              <w:rPr>
                <w:sz w:val="20"/>
                <w:szCs w:val="20"/>
                <w:lang w:val="es-ES_tradnl" w:eastAsia="en-CA"/>
              </w:rPr>
              <w:t>10</w:t>
            </w:r>
            <w:r w:rsidR="00700B97" w:rsidRPr="000458F8">
              <w:rPr>
                <w:sz w:val="20"/>
                <w:szCs w:val="20"/>
                <w:lang w:val="es-ES_tradnl" w:eastAsia="en-CA"/>
              </w:rPr>
              <w:t> </w:t>
            </w:r>
            <w:r w:rsidRPr="000458F8">
              <w:rPr>
                <w:sz w:val="20"/>
                <w:szCs w:val="20"/>
                <w:lang w:val="es-ES_tradnl" w:eastAsia="en-CA"/>
              </w:rPr>
              <w:t>000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F2CFF92" w14:textId="2AD690D9" w:rsidR="00C3420C" w:rsidRPr="000458F8" w:rsidRDefault="00C3420C" w:rsidP="008E3F5E">
            <w:pPr>
              <w:jc w:val="right"/>
              <w:rPr>
                <w:sz w:val="20"/>
                <w:szCs w:val="20"/>
                <w:lang w:val="es-ES_tradnl" w:eastAsia="en-CA"/>
              </w:rPr>
            </w:pPr>
            <w:r w:rsidRPr="000458F8">
              <w:rPr>
                <w:sz w:val="20"/>
                <w:szCs w:val="20"/>
                <w:lang w:val="es-ES_tradnl" w:eastAsia="en-CA"/>
              </w:rPr>
              <w:t>50</w:t>
            </w:r>
            <w:r w:rsidR="00700B97" w:rsidRPr="000458F8">
              <w:rPr>
                <w:sz w:val="20"/>
                <w:szCs w:val="20"/>
                <w:lang w:val="es-ES_tradnl" w:eastAsia="en-CA"/>
              </w:rPr>
              <w:t> </w:t>
            </w:r>
            <w:r w:rsidRPr="000458F8">
              <w:rPr>
                <w:sz w:val="20"/>
                <w:szCs w:val="20"/>
                <w:lang w:val="es-ES_tradnl" w:eastAsia="en-CA"/>
              </w:rPr>
              <w:t>000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C5562E7" w14:textId="77777777" w:rsidR="00C3420C" w:rsidRPr="000458F8" w:rsidRDefault="00C3420C" w:rsidP="008E3F5E">
            <w:pPr>
              <w:jc w:val="right"/>
              <w:rPr>
                <w:sz w:val="20"/>
                <w:szCs w:val="20"/>
                <w:lang w:val="es-ES_tradnl" w:eastAsia="en-CA"/>
              </w:rPr>
            </w:pPr>
            <w:r w:rsidRPr="000458F8">
              <w:rPr>
                <w:sz w:val="20"/>
                <w:szCs w:val="20"/>
                <w:lang w:val="es-ES_tradnl" w:eastAsia="en-CA"/>
              </w:rPr>
              <w:t>500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2BFE9BF"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ACBAA9C"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E9BD695" w14:textId="77777777" w:rsidR="00C3420C" w:rsidRPr="000458F8" w:rsidRDefault="00C3420C" w:rsidP="008E3F5E">
            <w:pPr>
              <w:jc w:val="left"/>
              <w:rPr>
                <w:sz w:val="20"/>
                <w:szCs w:val="20"/>
                <w:lang w:val="es-ES_tradnl" w:eastAsia="en-CA"/>
              </w:rPr>
            </w:pPr>
            <w:r w:rsidRPr="000458F8">
              <w:rPr>
                <w:sz w:val="20"/>
                <w:szCs w:val="20"/>
                <w:lang w:val="es-ES_tradnl" w:eastAsia="en-CA"/>
              </w:rPr>
              <w:t>Chile</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B83D81E" w14:textId="37403D90" w:rsidR="00C3420C" w:rsidRPr="000458F8" w:rsidRDefault="00C3420C" w:rsidP="008E3F5E">
            <w:pPr>
              <w:jc w:val="right"/>
              <w:rPr>
                <w:sz w:val="20"/>
                <w:szCs w:val="20"/>
                <w:lang w:val="es-ES_tradnl" w:eastAsia="en-CA"/>
              </w:rPr>
            </w:pPr>
            <w:r w:rsidRPr="000458F8">
              <w:rPr>
                <w:sz w:val="20"/>
                <w:szCs w:val="20"/>
                <w:lang w:val="es-ES_tradnl" w:eastAsia="en-CA"/>
              </w:rPr>
              <w:t>23</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5C069D09"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4C34D92" w14:textId="2FC78064" w:rsidR="00C3420C" w:rsidRPr="000458F8" w:rsidRDefault="00C3420C" w:rsidP="008E3F5E">
            <w:pPr>
              <w:jc w:val="right"/>
              <w:rPr>
                <w:sz w:val="20"/>
                <w:szCs w:val="20"/>
                <w:lang w:val="es-ES_tradnl" w:eastAsia="en-CA"/>
              </w:rPr>
            </w:pPr>
            <w:r w:rsidRPr="000458F8">
              <w:rPr>
                <w:sz w:val="20"/>
                <w:szCs w:val="20"/>
                <w:lang w:val="es-ES_tradnl" w:eastAsia="en-CA"/>
              </w:rPr>
              <w:t>348</w:t>
            </w:r>
            <w:r w:rsidR="00700B97" w:rsidRPr="000458F8">
              <w:rPr>
                <w:sz w:val="20"/>
                <w:szCs w:val="20"/>
                <w:lang w:val="es-ES_tradnl" w:eastAsia="en-CA"/>
              </w:rPr>
              <w:t> </w:t>
            </w:r>
            <w:r w:rsidRPr="000458F8">
              <w:rPr>
                <w:sz w:val="20"/>
                <w:szCs w:val="20"/>
                <w:lang w:val="es-ES_tradnl" w:eastAsia="en-CA"/>
              </w:rPr>
              <w:t>129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38391B6" w14:textId="506C206E"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009</w:t>
            </w:r>
            <w:r w:rsidR="00700B97" w:rsidRPr="000458F8">
              <w:rPr>
                <w:sz w:val="20"/>
                <w:szCs w:val="20"/>
                <w:lang w:val="es-ES_tradnl" w:eastAsia="en-CA"/>
              </w:rPr>
              <w:t> </w:t>
            </w:r>
            <w:r w:rsidRPr="000458F8">
              <w:rPr>
                <w:sz w:val="20"/>
                <w:szCs w:val="20"/>
                <w:lang w:val="es-ES_tradnl" w:eastAsia="en-CA"/>
              </w:rPr>
              <w:t>701</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7979CB61" w14:textId="77777777" w:rsidR="00C3420C" w:rsidRPr="000458F8" w:rsidRDefault="00C3420C" w:rsidP="008E3F5E">
            <w:pPr>
              <w:jc w:val="right"/>
              <w:rPr>
                <w:sz w:val="20"/>
                <w:szCs w:val="20"/>
                <w:lang w:val="es-ES_tradnl" w:eastAsia="en-CA"/>
              </w:rPr>
            </w:pPr>
            <w:r w:rsidRPr="000458F8">
              <w:rPr>
                <w:sz w:val="20"/>
                <w:szCs w:val="20"/>
                <w:lang w:val="es-ES_tradnl" w:eastAsia="en-CA"/>
              </w:rPr>
              <w:t>290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07C4764"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75A5C946"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25CF001" w14:textId="77777777" w:rsidR="00C3420C" w:rsidRPr="000458F8" w:rsidRDefault="00C3420C" w:rsidP="008E3F5E">
            <w:pPr>
              <w:jc w:val="left"/>
              <w:rPr>
                <w:sz w:val="20"/>
                <w:szCs w:val="20"/>
                <w:lang w:val="es-ES_tradnl" w:eastAsia="en-CA"/>
              </w:rPr>
            </w:pPr>
            <w:r w:rsidRPr="000458F8">
              <w:rPr>
                <w:sz w:val="20"/>
                <w:szCs w:val="20"/>
                <w:lang w:val="es-ES_tradnl" w:eastAsia="en-CA"/>
              </w:rPr>
              <w:t>China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26FF4DC" w14:textId="645EA4F8" w:rsidR="00C3420C" w:rsidRPr="000458F8" w:rsidRDefault="00C3420C" w:rsidP="008E3F5E">
            <w:pPr>
              <w:jc w:val="right"/>
              <w:rPr>
                <w:sz w:val="20"/>
                <w:szCs w:val="20"/>
                <w:lang w:val="es-ES_tradnl" w:eastAsia="en-CA"/>
              </w:rPr>
            </w:pPr>
            <w:r w:rsidRPr="000458F8">
              <w:rPr>
                <w:sz w:val="20"/>
                <w:szCs w:val="20"/>
                <w:lang w:val="es-ES_tradnl" w:eastAsia="en-CA"/>
              </w:rPr>
              <w:t>5</w:t>
            </w:r>
            <w:r w:rsidR="00CF3D14" w:rsidRPr="000458F8">
              <w:rPr>
                <w:sz w:val="20"/>
                <w:szCs w:val="20"/>
                <w:lang w:val="es-ES_tradnl" w:eastAsia="en-CA"/>
              </w:rPr>
              <w:t>,</w:t>
            </w:r>
            <w:r w:rsidRPr="000458F8">
              <w:rPr>
                <w:sz w:val="20"/>
                <w:szCs w:val="20"/>
                <w:lang w:val="es-ES_tradnl" w:eastAsia="en-CA"/>
              </w:rPr>
              <w:t>9</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5C1172FD"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475474D" w14:textId="3E811FA1"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072</w:t>
            </w:r>
            <w:r w:rsidR="00700B97" w:rsidRPr="000458F8">
              <w:rPr>
                <w:sz w:val="20"/>
                <w:szCs w:val="20"/>
                <w:lang w:val="es-ES_tradnl" w:eastAsia="en-CA"/>
              </w:rPr>
              <w:t> </w:t>
            </w:r>
            <w:r w:rsidRPr="000458F8">
              <w:rPr>
                <w:sz w:val="20"/>
                <w:szCs w:val="20"/>
                <w:lang w:val="es-ES_tradnl" w:eastAsia="en-CA"/>
              </w:rPr>
              <w:t>665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23D2452" w14:textId="27B3D368" w:rsidR="00C3420C" w:rsidRPr="000458F8" w:rsidRDefault="00C3420C" w:rsidP="008E3F5E">
            <w:pPr>
              <w:jc w:val="right"/>
              <w:rPr>
                <w:sz w:val="20"/>
                <w:szCs w:val="20"/>
                <w:lang w:val="es-ES_tradnl" w:eastAsia="en-CA"/>
              </w:rPr>
            </w:pPr>
            <w:r w:rsidRPr="000458F8">
              <w:rPr>
                <w:sz w:val="20"/>
                <w:szCs w:val="20"/>
                <w:lang w:val="es-ES_tradnl" w:eastAsia="en-CA"/>
              </w:rPr>
              <w:t>5</w:t>
            </w:r>
            <w:r w:rsidR="00700B97" w:rsidRPr="000458F8">
              <w:rPr>
                <w:sz w:val="20"/>
                <w:szCs w:val="20"/>
                <w:lang w:val="es-ES_tradnl" w:eastAsia="en-CA"/>
              </w:rPr>
              <w:t> </w:t>
            </w:r>
            <w:r w:rsidRPr="000458F8">
              <w:rPr>
                <w:sz w:val="20"/>
                <w:szCs w:val="20"/>
                <w:lang w:val="es-ES_tradnl" w:eastAsia="en-CA"/>
              </w:rPr>
              <w:t>100</w:t>
            </w:r>
            <w:r w:rsidR="00700B97" w:rsidRPr="000458F8">
              <w:rPr>
                <w:sz w:val="20"/>
                <w:szCs w:val="20"/>
                <w:lang w:val="es-ES_tradnl" w:eastAsia="en-CA"/>
              </w:rPr>
              <w:t> </w:t>
            </w:r>
            <w:r w:rsidRPr="000458F8">
              <w:rPr>
                <w:sz w:val="20"/>
                <w:szCs w:val="20"/>
                <w:lang w:val="es-ES_tradnl" w:eastAsia="en-CA"/>
              </w:rPr>
              <w:t>642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EA74557" w14:textId="77777777" w:rsidR="00C3420C" w:rsidRPr="000458F8" w:rsidRDefault="00C3420C" w:rsidP="008E3F5E">
            <w:pPr>
              <w:jc w:val="right"/>
              <w:rPr>
                <w:sz w:val="20"/>
                <w:szCs w:val="20"/>
                <w:lang w:val="es-ES_tradnl" w:eastAsia="en-CA"/>
              </w:rPr>
            </w:pPr>
            <w:r w:rsidRPr="000458F8">
              <w:rPr>
                <w:sz w:val="20"/>
                <w:szCs w:val="20"/>
                <w:lang w:val="es-ES_tradnl" w:eastAsia="en-CA"/>
              </w:rPr>
              <w:t>476</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21BF57F"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0CE920F"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4276ED9" w14:textId="77777777" w:rsidR="00C3420C" w:rsidRPr="000458F8" w:rsidRDefault="00C3420C" w:rsidP="008E3F5E">
            <w:pPr>
              <w:jc w:val="left"/>
              <w:rPr>
                <w:sz w:val="20"/>
                <w:szCs w:val="20"/>
                <w:lang w:val="es-ES_tradnl" w:eastAsia="en-CA"/>
              </w:rPr>
            </w:pPr>
            <w:r w:rsidRPr="000458F8">
              <w:rPr>
                <w:sz w:val="20"/>
                <w:szCs w:val="20"/>
                <w:lang w:val="es-ES_tradnl" w:eastAsia="en-CA"/>
              </w:rPr>
              <w:t>Colombia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27D474BE" w14:textId="72BD5728" w:rsidR="00C3420C" w:rsidRPr="000458F8" w:rsidRDefault="00C3420C" w:rsidP="008E3F5E">
            <w:pPr>
              <w:jc w:val="right"/>
              <w:rPr>
                <w:sz w:val="20"/>
                <w:szCs w:val="20"/>
                <w:lang w:val="es-ES_tradnl" w:eastAsia="en-CA"/>
              </w:rPr>
            </w:pPr>
            <w:r w:rsidRPr="000458F8">
              <w:rPr>
                <w:sz w:val="20"/>
                <w:szCs w:val="20"/>
                <w:lang w:val="es-ES_tradnl" w:eastAsia="en-CA"/>
              </w:rPr>
              <w:t>10</w:t>
            </w:r>
            <w:r w:rsidR="00CF3D14" w:rsidRPr="000458F8">
              <w:rPr>
                <w:sz w:val="20"/>
                <w:szCs w:val="20"/>
                <w:lang w:val="es-ES_tradnl" w:eastAsia="en-CA"/>
              </w:rPr>
              <w:t>,</w:t>
            </w:r>
            <w:r w:rsidRPr="000458F8">
              <w:rPr>
                <w:sz w:val="20"/>
                <w:szCs w:val="20"/>
                <w:lang w:val="es-ES_tradnl" w:eastAsia="en-CA"/>
              </w:rPr>
              <w:t>8</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C8F64E2"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41DECFF" w14:textId="039B009C" w:rsidR="00C3420C" w:rsidRPr="000458F8" w:rsidRDefault="00C3420C" w:rsidP="008E3F5E">
            <w:pPr>
              <w:jc w:val="right"/>
              <w:rPr>
                <w:sz w:val="20"/>
                <w:szCs w:val="20"/>
                <w:lang w:val="es-ES_tradnl" w:eastAsia="en-CA"/>
              </w:rPr>
            </w:pPr>
            <w:r w:rsidRPr="000458F8">
              <w:rPr>
                <w:sz w:val="20"/>
                <w:szCs w:val="20"/>
                <w:lang w:val="es-ES_tradnl" w:eastAsia="en-CA"/>
              </w:rPr>
              <w:t>557</w:t>
            </w:r>
            <w:r w:rsidR="00700B97" w:rsidRPr="000458F8">
              <w:rPr>
                <w:sz w:val="20"/>
                <w:szCs w:val="20"/>
                <w:lang w:val="es-ES_tradnl" w:eastAsia="en-CA"/>
              </w:rPr>
              <w:t> </w:t>
            </w:r>
            <w:r w:rsidRPr="000458F8">
              <w:rPr>
                <w:sz w:val="20"/>
                <w:szCs w:val="20"/>
                <w:lang w:val="es-ES_tradnl" w:eastAsia="en-CA"/>
              </w:rPr>
              <w:t>174</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B19C3A2" w14:textId="14B0B4CD" w:rsidR="00C3420C" w:rsidRPr="000458F8" w:rsidRDefault="00C3420C" w:rsidP="008E3F5E">
            <w:pPr>
              <w:jc w:val="right"/>
              <w:rPr>
                <w:sz w:val="20"/>
                <w:szCs w:val="20"/>
                <w:lang w:val="es-ES_tradnl" w:eastAsia="en-CA"/>
              </w:rPr>
            </w:pPr>
            <w:r w:rsidRPr="000458F8">
              <w:rPr>
                <w:sz w:val="20"/>
                <w:szCs w:val="20"/>
                <w:lang w:val="es-ES_tradnl" w:eastAsia="en-CA"/>
              </w:rPr>
              <w:t>677</w:t>
            </w:r>
            <w:r w:rsidR="00700B97" w:rsidRPr="000458F8">
              <w:rPr>
                <w:sz w:val="20"/>
                <w:szCs w:val="20"/>
                <w:lang w:val="es-ES_tradnl" w:eastAsia="en-CA"/>
              </w:rPr>
              <w:t> </w:t>
            </w:r>
            <w:r w:rsidRPr="000458F8">
              <w:rPr>
                <w:sz w:val="20"/>
                <w:szCs w:val="20"/>
                <w:lang w:val="es-ES_tradnl" w:eastAsia="en-CA"/>
              </w:rPr>
              <w:t>345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6730541" w14:textId="77777777" w:rsidR="00C3420C" w:rsidRPr="000458F8" w:rsidRDefault="00C3420C" w:rsidP="008E3F5E">
            <w:pPr>
              <w:jc w:val="right"/>
              <w:rPr>
                <w:sz w:val="20"/>
                <w:szCs w:val="20"/>
                <w:lang w:val="es-ES_tradnl" w:eastAsia="en-CA"/>
              </w:rPr>
            </w:pPr>
            <w:r w:rsidRPr="000458F8">
              <w:rPr>
                <w:sz w:val="20"/>
                <w:szCs w:val="20"/>
                <w:lang w:val="es-ES_tradnl" w:eastAsia="en-CA"/>
              </w:rPr>
              <w:t>122</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59D5B90" w14:textId="77777777" w:rsidR="00C3420C" w:rsidRPr="000458F8" w:rsidRDefault="00C3420C" w:rsidP="008E3F5E">
            <w:pPr>
              <w:jc w:val="right"/>
              <w:rPr>
                <w:sz w:val="20"/>
                <w:szCs w:val="20"/>
                <w:lang w:val="es-ES_tradnl" w:eastAsia="en-CA"/>
              </w:rPr>
            </w:pPr>
            <w:r w:rsidRPr="000458F8">
              <w:rPr>
                <w:sz w:val="20"/>
                <w:szCs w:val="20"/>
                <w:lang w:val="es-ES_tradnl" w:eastAsia="en-CA"/>
              </w:rPr>
              <w:t>50</w:t>
            </w:r>
          </w:p>
        </w:tc>
      </w:tr>
      <w:tr w:rsidR="00C3420C" w:rsidRPr="000458F8" w14:paraId="4FDD6A85"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FC60EE7" w14:textId="77777777" w:rsidR="00C3420C" w:rsidRPr="000458F8" w:rsidRDefault="00C3420C" w:rsidP="008E3F5E">
            <w:pPr>
              <w:jc w:val="left"/>
              <w:rPr>
                <w:sz w:val="20"/>
                <w:szCs w:val="20"/>
                <w:lang w:val="es-ES_tradnl" w:eastAsia="en-CA"/>
              </w:rPr>
            </w:pPr>
            <w:r w:rsidRPr="000458F8">
              <w:rPr>
                <w:sz w:val="20"/>
                <w:szCs w:val="20"/>
                <w:lang w:val="es-ES_tradnl" w:eastAsia="en-CA"/>
              </w:rPr>
              <w:t>Costa Rica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6C36C2BB" w14:textId="0A12455B"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BD961D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D8C44B6" w14:textId="6BCAEB53" w:rsidR="00C3420C" w:rsidRPr="000458F8" w:rsidRDefault="00C3420C" w:rsidP="008E3F5E">
            <w:pPr>
              <w:jc w:val="right"/>
              <w:rPr>
                <w:sz w:val="20"/>
                <w:szCs w:val="20"/>
                <w:lang w:val="es-ES_tradnl" w:eastAsia="en-CA"/>
              </w:rPr>
            </w:pPr>
            <w:r w:rsidRPr="000458F8">
              <w:rPr>
                <w:sz w:val="20"/>
                <w:szCs w:val="20"/>
                <w:lang w:val="es-ES_tradnl" w:eastAsia="en-CA"/>
              </w:rPr>
              <w:t>65</w:t>
            </w:r>
            <w:r w:rsidR="00700B97" w:rsidRPr="000458F8">
              <w:rPr>
                <w:sz w:val="20"/>
                <w:szCs w:val="20"/>
                <w:lang w:val="es-ES_tradnl" w:eastAsia="en-CA"/>
              </w:rPr>
              <w:t> </w:t>
            </w:r>
            <w:r w:rsidRPr="000458F8">
              <w:rPr>
                <w:sz w:val="20"/>
                <w:szCs w:val="20"/>
                <w:lang w:val="es-ES_tradnl" w:eastAsia="en-CA"/>
              </w:rPr>
              <w:t>985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934C365" w14:textId="00ACE91A" w:rsidR="00C3420C" w:rsidRPr="000458F8" w:rsidRDefault="00C3420C" w:rsidP="008E3F5E">
            <w:pPr>
              <w:jc w:val="right"/>
              <w:rPr>
                <w:sz w:val="20"/>
                <w:szCs w:val="20"/>
                <w:lang w:val="es-ES_tradnl" w:eastAsia="en-CA"/>
              </w:rPr>
            </w:pPr>
            <w:r w:rsidRPr="000458F8">
              <w:rPr>
                <w:sz w:val="20"/>
                <w:szCs w:val="20"/>
                <w:lang w:val="es-ES_tradnl" w:eastAsia="en-CA"/>
              </w:rPr>
              <w:t>185</w:t>
            </w:r>
            <w:r w:rsidR="00700B97" w:rsidRPr="000458F8">
              <w:rPr>
                <w:sz w:val="20"/>
                <w:szCs w:val="20"/>
                <w:lang w:val="es-ES_tradnl" w:eastAsia="en-CA"/>
              </w:rPr>
              <w:t> </w:t>
            </w:r>
            <w:r w:rsidRPr="000458F8">
              <w:rPr>
                <w:sz w:val="20"/>
                <w:szCs w:val="20"/>
                <w:lang w:val="es-ES_tradnl" w:eastAsia="en-CA"/>
              </w:rPr>
              <w:t>239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7838EC41" w14:textId="77777777" w:rsidR="00C3420C" w:rsidRPr="000458F8" w:rsidRDefault="00C3420C" w:rsidP="008E3F5E">
            <w:pPr>
              <w:jc w:val="right"/>
              <w:rPr>
                <w:sz w:val="20"/>
                <w:szCs w:val="20"/>
                <w:lang w:val="es-ES_tradnl" w:eastAsia="en-CA"/>
              </w:rPr>
            </w:pPr>
            <w:r w:rsidRPr="000458F8">
              <w:rPr>
                <w:sz w:val="20"/>
                <w:szCs w:val="20"/>
                <w:lang w:val="es-ES_tradnl" w:eastAsia="en-CA"/>
              </w:rPr>
              <w:t>281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ACC6F7A"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7A4BD6D2"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C4C49ED" w14:textId="77777777" w:rsidR="00C3420C" w:rsidRPr="000458F8" w:rsidRDefault="00C3420C" w:rsidP="008E3F5E">
            <w:pPr>
              <w:jc w:val="left"/>
              <w:rPr>
                <w:sz w:val="20"/>
                <w:szCs w:val="20"/>
                <w:lang w:val="es-ES_tradnl" w:eastAsia="en-CA"/>
              </w:rPr>
            </w:pPr>
            <w:r w:rsidRPr="000458F8">
              <w:rPr>
                <w:sz w:val="20"/>
                <w:szCs w:val="20"/>
                <w:lang w:val="es-ES_tradnl" w:eastAsia="en-CA"/>
              </w:rPr>
              <w:t>Cuba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5BD1298" w14:textId="3F9CC377" w:rsidR="00C3420C" w:rsidRPr="000458F8" w:rsidRDefault="00C3420C" w:rsidP="008E3F5E">
            <w:pPr>
              <w:jc w:val="right"/>
              <w:rPr>
                <w:sz w:val="20"/>
                <w:szCs w:val="20"/>
                <w:lang w:val="es-ES_tradnl" w:eastAsia="en-CA"/>
              </w:rPr>
            </w:pPr>
            <w:r w:rsidRPr="000458F8">
              <w:rPr>
                <w:sz w:val="20"/>
                <w:szCs w:val="20"/>
                <w:lang w:val="es-ES_tradnl" w:eastAsia="en-CA"/>
              </w:rPr>
              <w:t>1</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17F10B0"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2AFDDA5" w14:textId="6EF6A83D" w:rsidR="00C3420C" w:rsidRPr="000458F8" w:rsidRDefault="00C3420C" w:rsidP="008E3F5E">
            <w:pPr>
              <w:jc w:val="right"/>
              <w:rPr>
                <w:sz w:val="20"/>
                <w:szCs w:val="20"/>
                <w:lang w:val="es-ES_tradnl" w:eastAsia="en-CA"/>
              </w:rPr>
            </w:pPr>
            <w:r w:rsidRPr="000458F8">
              <w:rPr>
                <w:sz w:val="20"/>
                <w:szCs w:val="20"/>
                <w:lang w:val="es-ES_tradnl" w:eastAsia="en-CA"/>
              </w:rPr>
              <w:t>126</w:t>
            </w:r>
            <w:r w:rsidR="00700B97" w:rsidRPr="000458F8">
              <w:rPr>
                <w:sz w:val="20"/>
                <w:szCs w:val="20"/>
                <w:lang w:val="es-ES_tradnl" w:eastAsia="en-CA"/>
              </w:rPr>
              <w:t> </w:t>
            </w:r>
            <w:r w:rsidRPr="000458F8">
              <w:rPr>
                <w:sz w:val="20"/>
                <w:szCs w:val="20"/>
                <w:lang w:val="es-ES_tradnl" w:eastAsia="en-CA"/>
              </w:rPr>
              <w:t>041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FD6D523" w14:textId="4C6208BC" w:rsidR="00C3420C" w:rsidRPr="000458F8" w:rsidRDefault="00C3420C" w:rsidP="008E3F5E">
            <w:pPr>
              <w:jc w:val="right"/>
              <w:rPr>
                <w:sz w:val="20"/>
                <w:szCs w:val="20"/>
                <w:lang w:val="es-ES_tradnl" w:eastAsia="en-CA"/>
              </w:rPr>
            </w:pPr>
            <w:r w:rsidRPr="000458F8">
              <w:rPr>
                <w:sz w:val="20"/>
                <w:szCs w:val="20"/>
                <w:lang w:val="es-ES_tradnl" w:eastAsia="en-CA"/>
              </w:rPr>
              <w:t>240</w:t>
            </w:r>
            <w:r w:rsidR="00700B97" w:rsidRPr="000458F8">
              <w:rPr>
                <w:sz w:val="20"/>
                <w:szCs w:val="20"/>
                <w:lang w:val="es-ES_tradnl" w:eastAsia="en-CA"/>
              </w:rPr>
              <w:t> </w:t>
            </w:r>
            <w:r w:rsidRPr="000458F8">
              <w:rPr>
                <w:sz w:val="20"/>
                <w:szCs w:val="20"/>
                <w:lang w:val="es-ES_tradnl" w:eastAsia="en-CA"/>
              </w:rPr>
              <w:t>312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2FBB8385" w14:textId="77777777" w:rsidR="00C3420C" w:rsidRPr="000458F8" w:rsidRDefault="00C3420C" w:rsidP="008E3F5E">
            <w:pPr>
              <w:jc w:val="right"/>
              <w:rPr>
                <w:sz w:val="20"/>
                <w:szCs w:val="20"/>
                <w:lang w:val="es-ES_tradnl" w:eastAsia="en-CA"/>
              </w:rPr>
            </w:pPr>
            <w:r w:rsidRPr="000458F8">
              <w:rPr>
                <w:sz w:val="20"/>
                <w:szCs w:val="20"/>
                <w:lang w:val="es-ES_tradnl" w:eastAsia="en-CA"/>
              </w:rPr>
              <w:t>191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7B15D0F"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6BFBEE0C"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A7D3657" w14:textId="007EA1D8" w:rsidR="00C3420C" w:rsidRPr="000458F8" w:rsidRDefault="00CF3D14" w:rsidP="00CF3D14">
            <w:pPr>
              <w:pStyle w:val="TableParagraph"/>
              <w:rPr>
                <w:sz w:val="20"/>
                <w:szCs w:val="20"/>
                <w:lang w:val="es-ES_tradnl" w:eastAsia="en-CA"/>
              </w:rPr>
            </w:pPr>
            <w:r w:rsidRPr="000458F8">
              <w:rPr>
                <w:sz w:val="20"/>
                <w:lang w:val="es-ES_tradnl"/>
              </w:rPr>
              <w:t>República Democrática del Congo</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09A91C7" w14:textId="2BEB0CDB"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4D767E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6B9858C" w14:textId="621396FF" w:rsidR="00C3420C" w:rsidRPr="000458F8" w:rsidRDefault="00C3420C" w:rsidP="008E3F5E">
            <w:pPr>
              <w:jc w:val="right"/>
              <w:rPr>
                <w:sz w:val="20"/>
                <w:szCs w:val="20"/>
                <w:lang w:val="es-ES_tradnl" w:eastAsia="en-CA"/>
              </w:rPr>
            </w:pPr>
            <w:r w:rsidRPr="000458F8">
              <w:rPr>
                <w:sz w:val="20"/>
                <w:szCs w:val="20"/>
                <w:lang w:val="es-ES_tradnl" w:eastAsia="en-CA"/>
              </w:rPr>
              <w:t>3</w:t>
            </w:r>
            <w:r w:rsidR="00700B97" w:rsidRPr="000458F8">
              <w:rPr>
                <w:sz w:val="20"/>
                <w:szCs w:val="20"/>
                <w:lang w:val="es-ES_tradnl" w:eastAsia="en-CA"/>
              </w:rPr>
              <w:t> </w:t>
            </w:r>
            <w:r w:rsidRPr="000458F8">
              <w:rPr>
                <w:sz w:val="20"/>
                <w:szCs w:val="20"/>
                <w:lang w:val="es-ES_tradnl" w:eastAsia="en-CA"/>
              </w:rPr>
              <w:t>667</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6451F08"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4C44136"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8067D26"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19C40909"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AE83AFF" w14:textId="300E41D9" w:rsidR="00C3420C" w:rsidRPr="000458F8" w:rsidRDefault="00CF3D14" w:rsidP="008E3F5E">
            <w:pPr>
              <w:jc w:val="left"/>
              <w:rPr>
                <w:sz w:val="20"/>
                <w:szCs w:val="20"/>
                <w:lang w:val="es-ES_tradnl" w:eastAsia="en-CA"/>
              </w:rPr>
            </w:pPr>
            <w:r w:rsidRPr="000458F8">
              <w:rPr>
                <w:sz w:val="20"/>
                <w:szCs w:val="20"/>
                <w:lang w:val="es-ES_tradnl" w:eastAsia="en-CA"/>
              </w:rPr>
              <w:t xml:space="preserve">República </w:t>
            </w:r>
            <w:r w:rsidR="00C3420C" w:rsidRPr="000458F8">
              <w:rPr>
                <w:sz w:val="20"/>
                <w:szCs w:val="20"/>
                <w:lang w:val="es-ES_tradnl" w:eastAsia="en-CA"/>
              </w:rPr>
              <w:t>Dominican</w:t>
            </w:r>
            <w:r w:rsidRPr="000458F8">
              <w:rPr>
                <w:sz w:val="20"/>
                <w:szCs w:val="20"/>
                <w:lang w:val="es-ES_tradnl" w:eastAsia="en-CA"/>
              </w:rPr>
              <w:t>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A2C0D31" w14:textId="346A602F" w:rsidR="00C3420C" w:rsidRPr="000458F8" w:rsidRDefault="00C3420C" w:rsidP="008E3F5E">
            <w:pPr>
              <w:jc w:val="right"/>
              <w:rPr>
                <w:sz w:val="20"/>
                <w:szCs w:val="20"/>
                <w:lang w:val="es-ES_tradnl" w:eastAsia="en-CA"/>
              </w:rPr>
            </w:pPr>
            <w:r w:rsidRPr="000458F8">
              <w:rPr>
                <w:sz w:val="20"/>
                <w:szCs w:val="20"/>
                <w:lang w:val="es-ES_tradnl" w:eastAsia="en-CA"/>
              </w:rPr>
              <w:t>2</w:t>
            </w:r>
            <w:r w:rsidR="00CF3D14" w:rsidRPr="000458F8">
              <w:rPr>
                <w:sz w:val="20"/>
                <w:szCs w:val="20"/>
                <w:lang w:val="es-ES_tradnl" w:eastAsia="en-CA"/>
              </w:rPr>
              <w:t>,</w:t>
            </w:r>
            <w:r w:rsidRPr="000458F8">
              <w:rPr>
                <w:sz w:val="20"/>
                <w:szCs w:val="20"/>
                <w:lang w:val="es-ES_tradnl" w:eastAsia="en-CA"/>
              </w:rPr>
              <w:t>3</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70318B9"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CD837DE" w14:textId="73588269" w:rsidR="00C3420C" w:rsidRPr="000458F8" w:rsidRDefault="00C3420C" w:rsidP="008E3F5E">
            <w:pPr>
              <w:jc w:val="right"/>
              <w:rPr>
                <w:sz w:val="20"/>
                <w:szCs w:val="20"/>
                <w:lang w:val="es-ES_tradnl" w:eastAsia="en-CA"/>
              </w:rPr>
            </w:pPr>
            <w:r w:rsidRPr="000458F8">
              <w:rPr>
                <w:sz w:val="20"/>
                <w:szCs w:val="20"/>
                <w:lang w:val="es-ES_tradnl" w:eastAsia="en-CA"/>
              </w:rPr>
              <w:t>149</w:t>
            </w:r>
            <w:r w:rsidR="00700B97" w:rsidRPr="000458F8">
              <w:rPr>
                <w:sz w:val="20"/>
                <w:szCs w:val="20"/>
                <w:lang w:val="es-ES_tradnl" w:eastAsia="en-CA"/>
              </w:rPr>
              <w:t> </w:t>
            </w:r>
            <w:r w:rsidRPr="000458F8">
              <w:rPr>
                <w:sz w:val="20"/>
                <w:szCs w:val="20"/>
                <w:lang w:val="es-ES_tradnl" w:eastAsia="en-CA"/>
              </w:rPr>
              <w:t>255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DE3FE24" w14:textId="1D3E396D" w:rsidR="00C3420C" w:rsidRPr="000458F8" w:rsidRDefault="00C3420C" w:rsidP="008E3F5E">
            <w:pPr>
              <w:jc w:val="right"/>
              <w:rPr>
                <w:sz w:val="20"/>
                <w:szCs w:val="20"/>
                <w:lang w:val="es-ES_tradnl" w:eastAsia="en-CA"/>
              </w:rPr>
            </w:pPr>
            <w:r w:rsidRPr="000458F8">
              <w:rPr>
                <w:sz w:val="20"/>
                <w:szCs w:val="20"/>
                <w:lang w:val="es-ES_tradnl" w:eastAsia="en-CA"/>
              </w:rPr>
              <w:t>403</w:t>
            </w:r>
            <w:r w:rsidR="00700B97" w:rsidRPr="000458F8">
              <w:rPr>
                <w:sz w:val="20"/>
                <w:szCs w:val="20"/>
                <w:lang w:val="es-ES_tradnl" w:eastAsia="en-CA"/>
              </w:rPr>
              <w:t> </w:t>
            </w:r>
            <w:r w:rsidRPr="000458F8">
              <w:rPr>
                <w:sz w:val="20"/>
                <w:szCs w:val="20"/>
                <w:lang w:val="es-ES_tradnl" w:eastAsia="en-CA"/>
              </w:rPr>
              <w:t>053</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1E99714A" w14:textId="77777777" w:rsidR="00C3420C" w:rsidRPr="000458F8" w:rsidRDefault="00C3420C" w:rsidP="008E3F5E">
            <w:pPr>
              <w:jc w:val="right"/>
              <w:rPr>
                <w:sz w:val="20"/>
                <w:szCs w:val="20"/>
                <w:lang w:val="es-ES_tradnl" w:eastAsia="en-CA"/>
              </w:rPr>
            </w:pPr>
            <w:r w:rsidRPr="000458F8">
              <w:rPr>
                <w:sz w:val="20"/>
                <w:szCs w:val="20"/>
                <w:lang w:val="es-ES_tradnl" w:eastAsia="en-CA"/>
              </w:rPr>
              <w:t>270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F9BDEEC"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7D0758A"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09B5725" w14:textId="4B2FD54A" w:rsidR="00C3420C" w:rsidRPr="000458F8" w:rsidRDefault="00C3420C" w:rsidP="008E3F5E">
            <w:pPr>
              <w:jc w:val="left"/>
              <w:rPr>
                <w:sz w:val="20"/>
                <w:szCs w:val="20"/>
                <w:lang w:val="es-ES_tradnl" w:eastAsia="en-CA"/>
              </w:rPr>
            </w:pPr>
            <w:r w:rsidRPr="000458F8">
              <w:rPr>
                <w:sz w:val="20"/>
                <w:szCs w:val="20"/>
                <w:lang w:val="es-ES_tradnl" w:eastAsia="en-CA"/>
              </w:rPr>
              <w:t>Eg</w:t>
            </w:r>
            <w:r w:rsidR="00CF3D14" w:rsidRPr="000458F8">
              <w:rPr>
                <w:sz w:val="20"/>
                <w:szCs w:val="20"/>
                <w:lang w:val="es-ES_tradnl" w:eastAsia="en-CA"/>
              </w:rPr>
              <w:t>ipto</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26AD4C0" w14:textId="330C34AF" w:rsidR="00C3420C" w:rsidRPr="000458F8" w:rsidRDefault="00C3420C" w:rsidP="008E3F5E">
            <w:pPr>
              <w:jc w:val="right"/>
              <w:rPr>
                <w:sz w:val="20"/>
                <w:szCs w:val="20"/>
                <w:lang w:val="es-ES_tradnl" w:eastAsia="en-CA"/>
              </w:rPr>
            </w:pPr>
            <w:r w:rsidRPr="000458F8">
              <w:rPr>
                <w:sz w:val="20"/>
                <w:szCs w:val="20"/>
                <w:lang w:val="es-ES_tradnl" w:eastAsia="en-CA"/>
              </w:rPr>
              <w:t>24</w:t>
            </w:r>
            <w:r w:rsidR="00CF3D14" w:rsidRPr="000458F8">
              <w:rPr>
                <w:sz w:val="20"/>
                <w:szCs w:val="20"/>
                <w:lang w:val="es-ES_tradnl" w:eastAsia="en-CA"/>
              </w:rPr>
              <w:t>,</w:t>
            </w:r>
            <w:r w:rsidRPr="000458F8">
              <w:rPr>
                <w:sz w:val="20"/>
                <w:szCs w:val="20"/>
                <w:lang w:val="es-ES_tradnl" w:eastAsia="en-CA"/>
              </w:rPr>
              <w:t>9</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77086F7" w14:textId="77777777" w:rsidR="00C3420C" w:rsidRPr="000458F8" w:rsidRDefault="00C3420C" w:rsidP="008E3F5E">
            <w:pPr>
              <w:jc w:val="right"/>
              <w:rPr>
                <w:sz w:val="20"/>
                <w:szCs w:val="20"/>
                <w:lang w:val="es-ES_tradnl" w:eastAsia="en-CA"/>
              </w:rPr>
            </w:pPr>
            <w:r w:rsidRPr="000458F8">
              <w:rPr>
                <w:sz w:val="20"/>
                <w:szCs w:val="20"/>
                <w:lang w:val="es-ES_tradnl" w:eastAsia="en-CA"/>
              </w:rPr>
              <w:t>78</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2F69AEE" w14:textId="32EFB8E9" w:rsidR="00C3420C" w:rsidRPr="000458F8" w:rsidRDefault="00C3420C" w:rsidP="008E3F5E">
            <w:pPr>
              <w:jc w:val="right"/>
              <w:rPr>
                <w:sz w:val="20"/>
                <w:szCs w:val="20"/>
                <w:lang w:val="es-ES_tradnl" w:eastAsia="en-CA"/>
              </w:rPr>
            </w:pPr>
            <w:r w:rsidRPr="000458F8">
              <w:rPr>
                <w:sz w:val="20"/>
                <w:szCs w:val="20"/>
                <w:lang w:val="es-ES_tradnl" w:eastAsia="en-CA"/>
              </w:rPr>
              <w:t>698</w:t>
            </w:r>
            <w:r w:rsidR="00700B97" w:rsidRPr="000458F8">
              <w:rPr>
                <w:sz w:val="20"/>
                <w:szCs w:val="20"/>
                <w:lang w:val="es-ES_tradnl" w:eastAsia="en-CA"/>
              </w:rPr>
              <w:t> </w:t>
            </w:r>
            <w:r w:rsidRPr="000458F8">
              <w:rPr>
                <w:sz w:val="20"/>
                <w:szCs w:val="20"/>
                <w:lang w:val="es-ES_tradnl" w:eastAsia="en-CA"/>
              </w:rPr>
              <w:t>412</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9A27734" w14:textId="129B04AE"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173</w:t>
            </w:r>
            <w:r w:rsidR="00700B97" w:rsidRPr="000458F8">
              <w:rPr>
                <w:sz w:val="20"/>
                <w:szCs w:val="20"/>
                <w:lang w:val="es-ES_tradnl" w:eastAsia="en-CA"/>
              </w:rPr>
              <w:t> </w:t>
            </w:r>
            <w:r w:rsidRPr="000458F8">
              <w:rPr>
                <w:sz w:val="20"/>
                <w:szCs w:val="20"/>
                <w:lang w:val="es-ES_tradnl" w:eastAsia="en-CA"/>
              </w:rPr>
              <w:t>382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8C3B818" w14:textId="77777777" w:rsidR="00C3420C" w:rsidRPr="000458F8" w:rsidRDefault="00C3420C" w:rsidP="008E3F5E">
            <w:pPr>
              <w:jc w:val="right"/>
              <w:rPr>
                <w:sz w:val="20"/>
                <w:szCs w:val="20"/>
                <w:lang w:val="es-ES_tradnl" w:eastAsia="en-CA"/>
              </w:rPr>
            </w:pPr>
            <w:r w:rsidRPr="000458F8">
              <w:rPr>
                <w:sz w:val="20"/>
                <w:szCs w:val="20"/>
                <w:lang w:val="es-ES_tradnl" w:eastAsia="en-CA"/>
              </w:rPr>
              <w:t>168</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77A3F05" w14:textId="77777777" w:rsidR="00C3420C" w:rsidRPr="000458F8" w:rsidRDefault="00C3420C" w:rsidP="008E3F5E">
            <w:pPr>
              <w:jc w:val="right"/>
              <w:rPr>
                <w:sz w:val="20"/>
                <w:szCs w:val="20"/>
                <w:lang w:val="es-ES_tradnl" w:eastAsia="en-CA"/>
              </w:rPr>
            </w:pPr>
            <w:r w:rsidRPr="000458F8">
              <w:rPr>
                <w:sz w:val="20"/>
                <w:szCs w:val="20"/>
                <w:lang w:val="es-ES_tradnl" w:eastAsia="en-CA"/>
              </w:rPr>
              <w:t>60</w:t>
            </w:r>
          </w:p>
        </w:tc>
      </w:tr>
      <w:tr w:rsidR="00C3420C" w:rsidRPr="000458F8" w14:paraId="1BE67AA9"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339F6FD" w14:textId="77777777" w:rsidR="00C3420C" w:rsidRPr="000458F8" w:rsidRDefault="00C3420C" w:rsidP="008E3F5E">
            <w:pPr>
              <w:jc w:val="left"/>
              <w:rPr>
                <w:sz w:val="20"/>
                <w:szCs w:val="20"/>
                <w:lang w:val="es-ES_tradnl" w:eastAsia="en-CA"/>
              </w:rPr>
            </w:pPr>
            <w:r w:rsidRPr="000458F8">
              <w:rPr>
                <w:sz w:val="20"/>
                <w:szCs w:val="20"/>
                <w:lang w:val="es-ES_tradnl" w:eastAsia="en-CA"/>
              </w:rPr>
              <w:t>El Salvador</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1C5292A" w14:textId="279AF4DF"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3C9279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701BFE0" w14:textId="437381CD" w:rsidR="00C3420C" w:rsidRPr="000458F8" w:rsidRDefault="00C3420C" w:rsidP="008E3F5E">
            <w:pPr>
              <w:jc w:val="right"/>
              <w:rPr>
                <w:sz w:val="20"/>
                <w:szCs w:val="20"/>
                <w:lang w:val="es-ES_tradnl" w:eastAsia="en-CA"/>
              </w:rPr>
            </w:pPr>
            <w:r w:rsidRPr="000458F8">
              <w:rPr>
                <w:sz w:val="20"/>
                <w:szCs w:val="20"/>
                <w:lang w:val="es-ES_tradnl" w:eastAsia="en-CA"/>
              </w:rPr>
              <w:t>34</w:t>
            </w:r>
            <w:r w:rsidR="00700B97" w:rsidRPr="000458F8">
              <w:rPr>
                <w:sz w:val="20"/>
                <w:szCs w:val="20"/>
                <w:lang w:val="es-ES_tradnl" w:eastAsia="en-CA"/>
              </w:rPr>
              <w:t> </w:t>
            </w:r>
            <w:r w:rsidRPr="000458F8">
              <w:rPr>
                <w:sz w:val="20"/>
                <w:szCs w:val="20"/>
                <w:lang w:val="es-ES_tradnl" w:eastAsia="en-CA"/>
              </w:rPr>
              <w:t>693</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92AC84C" w14:textId="77777777" w:rsidR="00C3420C" w:rsidRPr="000458F8" w:rsidRDefault="00C3420C" w:rsidP="008E3F5E">
            <w:pPr>
              <w:jc w:val="right"/>
              <w:rPr>
                <w:sz w:val="20"/>
                <w:szCs w:val="20"/>
                <w:lang w:val="es-ES_tradnl" w:eastAsia="en-CA"/>
              </w:rPr>
            </w:pPr>
            <w:r w:rsidRPr="000458F8">
              <w:rPr>
                <w:sz w:val="20"/>
                <w:szCs w:val="20"/>
                <w:lang w:val="es-ES_tradnl" w:eastAsia="en-CA"/>
              </w:rPr>
              <w:t>290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952CFDE" w14:textId="77777777" w:rsidR="00C3420C" w:rsidRPr="000458F8" w:rsidRDefault="00C3420C" w:rsidP="008E3F5E">
            <w:pPr>
              <w:jc w:val="right"/>
              <w:rPr>
                <w:sz w:val="20"/>
                <w:szCs w:val="20"/>
                <w:lang w:val="es-ES_tradnl" w:eastAsia="en-CA"/>
              </w:rPr>
            </w:pPr>
            <w:r w:rsidRPr="000458F8">
              <w:rPr>
                <w:sz w:val="20"/>
                <w:szCs w:val="20"/>
                <w:lang w:val="es-ES_tradnl" w:eastAsia="en-CA"/>
              </w:rPr>
              <w:t>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8FD63B2"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65F2518C"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3FC5472" w14:textId="77777777" w:rsidR="00C3420C" w:rsidRPr="000458F8" w:rsidRDefault="00C3420C" w:rsidP="008E3F5E">
            <w:pPr>
              <w:jc w:val="left"/>
              <w:rPr>
                <w:sz w:val="20"/>
                <w:szCs w:val="20"/>
                <w:lang w:val="es-ES_tradnl" w:eastAsia="en-CA"/>
              </w:rPr>
            </w:pPr>
            <w:r w:rsidRPr="000458F8">
              <w:rPr>
                <w:sz w:val="20"/>
                <w:szCs w:val="20"/>
                <w:lang w:val="es-ES_tradnl" w:eastAsia="en-CA"/>
              </w:rPr>
              <w:t>Fiji</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2409C51" w14:textId="6243D77D" w:rsidR="00C3420C" w:rsidRPr="000458F8" w:rsidRDefault="00C3420C" w:rsidP="008E3F5E">
            <w:pPr>
              <w:jc w:val="right"/>
              <w:rPr>
                <w:sz w:val="20"/>
                <w:szCs w:val="20"/>
                <w:lang w:val="es-ES_tradnl" w:eastAsia="en-CA"/>
              </w:rPr>
            </w:pPr>
            <w:r w:rsidRPr="000458F8">
              <w:rPr>
                <w:sz w:val="20"/>
                <w:szCs w:val="20"/>
                <w:lang w:val="es-ES_tradnl" w:eastAsia="en-CA"/>
              </w:rPr>
              <w:t>1</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73B98F7D"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0C293DD" w14:textId="698F43E0" w:rsidR="00C3420C" w:rsidRPr="000458F8" w:rsidRDefault="00C3420C" w:rsidP="008E3F5E">
            <w:pPr>
              <w:jc w:val="right"/>
              <w:rPr>
                <w:sz w:val="20"/>
                <w:szCs w:val="20"/>
                <w:lang w:val="es-ES_tradnl" w:eastAsia="en-CA"/>
              </w:rPr>
            </w:pPr>
            <w:r w:rsidRPr="000458F8">
              <w:rPr>
                <w:sz w:val="20"/>
                <w:szCs w:val="20"/>
                <w:lang w:val="es-ES_tradnl" w:eastAsia="en-CA"/>
              </w:rPr>
              <w:t>21</w:t>
            </w:r>
            <w:r w:rsidR="00700B97" w:rsidRPr="000458F8">
              <w:rPr>
                <w:sz w:val="20"/>
                <w:szCs w:val="20"/>
                <w:lang w:val="es-ES_tradnl" w:eastAsia="en-CA"/>
              </w:rPr>
              <w:t> </w:t>
            </w:r>
            <w:r w:rsidRPr="000458F8">
              <w:rPr>
                <w:sz w:val="20"/>
                <w:szCs w:val="20"/>
                <w:lang w:val="es-ES_tradnl" w:eastAsia="en-CA"/>
              </w:rPr>
              <w:t>809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3AF5D07" w14:textId="03C632A3" w:rsidR="00C3420C" w:rsidRPr="000458F8" w:rsidRDefault="00C3420C" w:rsidP="008E3F5E">
            <w:pPr>
              <w:jc w:val="right"/>
              <w:rPr>
                <w:sz w:val="20"/>
                <w:szCs w:val="20"/>
                <w:lang w:val="es-ES_tradnl" w:eastAsia="en-CA"/>
              </w:rPr>
            </w:pPr>
            <w:r w:rsidRPr="000458F8">
              <w:rPr>
                <w:sz w:val="20"/>
                <w:szCs w:val="20"/>
                <w:lang w:val="es-ES_tradnl" w:eastAsia="en-CA"/>
              </w:rPr>
              <w:t>48</w:t>
            </w:r>
            <w:r w:rsidR="00700B97" w:rsidRPr="000458F8">
              <w:rPr>
                <w:sz w:val="20"/>
                <w:szCs w:val="20"/>
                <w:lang w:val="es-ES_tradnl" w:eastAsia="en-CA"/>
              </w:rPr>
              <w:t> </w:t>
            </w:r>
            <w:r w:rsidRPr="000458F8">
              <w:rPr>
                <w:sz w:val="20"/>
                <w:szCs w:val="20"/>
                <w:lang w:val="es-ES_tradnl" w:eastAsia="en-CA"/>
              </w:rPr>
              <w:t>374</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990A3EA" w14:textId="77777777" w:rsidR="00C3420C" w:rsidRPr="000458F8" w:rsidRDefault="00C3420C" w:rsidP="008E3F5E">
            <w:pPr>
              <w:jc w:val="right"/>
              <w:rPr>
                <w:sz w:val="20"/>
                <w:szCs w:val="20"/>
                <w:lang w:val="es-ES_tradnl" w:eastAsia="en-CA"/>
              </w:rPr>
            </w:pPr>
            <w:r w:rsidRPr="000458F8">
              <w:rPr>
                <w:sz w:val="20"/>
                <w:szCs w:val="20"/>
                <w:lang w:val="es-ES_tradnl" w:eastAsia="en-CA"/>
              </w:rPr>
              <w:t>222</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6CED480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41F50E18"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C2F497E" w14:textId="77777777" w:rsidR="00C3420C" w:rsidRPr="000458F8" w:rsidRDefault="00C3420C" w:rsidP="008E3F5E">
            <w:pPr>
              <w:jc w:val="left"/>
              <w:rPr>
                <w:sz w:val="20"/>
                <w:szCs w:val="20"/>
                <w:lang w:val="es-ES_tradnl" w:eastAsia="en-CA"/>
              </w:rPr>
            </w:pPr>
            <w:r w:rsidRPr="000458F8">
              <w:rPr>
                <w:sz w:val="20"/>
                <w:szCs w:val="20"/>
                <w:lang w:val="es-ES_tradnl" w:eastAsia="en-CA"/>
              </w:rPr>
              <w:t>Georgia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D23343F" w14:textId="4E52BA66"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A984E0C"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FF6F12F" w14:textId="1127C2C5" w:rsidR="00C3420C" w:rsidRPr="000458F8" w:rsidRDefault="00C3420C" w:rsidP="008E3F5E">
            <w:pPr>
              <w:jc w:val="right"/>
              <w:rPr>
                <w:sz w:val="20"/>
                <w:szCs w:val="20"/>
                <w:lang w:val="es-ES_tradnl" w:eastAsia="en-CA"/>
              </w:rPr>
            </w:pPr>
            <w:r w:rsidRPr="000458F8">
              <w:rPr>
                <w:sz w:val="20"/>
                <w:szCs w:val="20"/>
                <w:lang w:val="es-ES_tradnl" w:eastAsia="en-CA"/>
              </w:rPr>
              <w:t>49</w:t>
            </w:r>
            <w:r w:rsidR="00700B97" w:rsidRPr="000458F8">
              <w:rPr>
                <w:sz w:val="20"/>
                <w:szCs w:val="20"/>
                <w:lang w:val="es-ES_tradnl" w:eastAsia="en-CA"/>
              </w:rPr>
              <w:t> </w:t>
            </w:r>
            <w:r w:rsidRPr="000458F8">
              <w:rPr>
                <w:sz w:val="20"/>
                <w:szCs w:val="20"/>
                <w:lang w:val="es-ES_tradnl" w:eastAsia="en-CA"/>
              </w:rPr>
              <w:t>231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F8F7536" w14:textId="4FFBAB45" w:rsidR="00C3420C" w:rsidRPr="000458F8" w:rsidRDefault="00C3420C" w:rsidP="008E3F5E">
            <w:pPr>
              <w:jc w:val="right"/>
              <w:rPr>
                <w:sz w:val="20"/>
                <w:szCs w:val="20"/>
                <w:lang w:val="es-ES_tradnl" w:eastAsia="en-CA"/>
              </w:rPr>
            </w:pPr>
            <w:r w:rsidRPr="000458F8">
              <w:rPr>
                <w:sz w:val="20"/>
                <w:szCs w:val="20"/>
                <w:lang w:val="es-ES_tradnl" w:eastAsia="en-CA"/>
              </w:rPr>
              <w:t>104</w:t>
            </w:r>
            <w:r w:rsidR="00700B97" w:rsidRPr="000458F8">
              <w:rPr>
                <w:sz w:val="20"/>
                <w:szCs w:val="20"/>
                <w:lang w:val="es-ES_tradnl" w:eastAsia="en-CA"/>
              </w:rPr>
              <w:t> </w:t>
            </w:r>
            <w:r w:rsidRPr="000458F8">
              <w:rPr>
                <w:sz w:val="20"/>
                <w:szCs w:val="20"/>
                <w:lang w:val="es-ES_tradnl" w:eastAsia="en-CA"/>
              </w:rPr>
              <w:t>337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2D9069FE" w14:textId="77777777" w:rsidR="00C3420C" w:rsidRPr="000458F8" w:rsidRDefault="00C3420C" w:rsidP="008E3F5E">
            <w:pPr>
              <w:jc w:val="right"/>
              <w:rPr>
                <w:sz w:val="20"/>
                <w:szCs w:val="20"/>
                <w:lang w:val="es-ES_tradnl" w:eastAsia="en-CA"/>
              </w:rPr>
            </w:pPr>
            <w:r w:rsidRPr="000458F8">
              <w:rPr>
                <w:sz w:val="20"/>
                <w:szCs w:val="20"/>
                <w:lang w:val="es-ES_tradnl" w:eastAsia="en-CA"/>
              </w:rPr>
              <w:t>212</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83EF2CB"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052187F3"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12A78F8" w14:textId="77777777" w:rsidR="00C3420C" w:rsidRPr="000458F8" w:rsidRDefault="00C3420C" w:rsidP="008E3F5E">
            <w:pPr>
              <w:jc w:val="left"/>
              <w:rPr>
                <w:sz w:val="20"/>
                <w:szCs w:val="20"/>
                <w:lang w:val="es-ES_tradnl" w:eastAsia="en-CA"/>
              </w:rPr>
            </w:pPr>
            <w:r w:rsidRPr="000458F8">
              <w:rPr>
                <w:sz w:val="20"/>
                <w:szCs w:val="20"/>
                <w:lang w:val="es-ES_tradnl" w:eastAsia="en-CA"/>
              </w:rPr>
              <w:t>Ghana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56FC286" w14:textId="7D629CB3" w:rsidR="00C3420C" w:rsidRPr="000458F8" w:rsidRDefault="00C3420C" w:rsidP="008E3F5E">
            <w:pPr>
              <w:jc w:val="right"/>
              <w:rPr>
                <w:sz w:val="20"/>
                <w:szCs w:val="20"/>
                <w:lang w:val="es-ES_tradnl" w:eastAsia="en-CA"/>
              </w:rPr>
            </w:pPr>
            <w:r w:rsidRPr="000458F8">
              <w:rPr>
                <w:sz w:val="20"/>
                <w:szCs w:val="20"/>
                <w:lang w:val="es-ES_tradnl" w:eastAsia="en-CA"/>
              </w:rPr>
              <w:t>-5</w:t>
            </w:r>
            <w:r w:rsidR="00CF3D14" w:rsidRPr="000458F8">
              <w:rPr>
                <w:sz w:val="20"/>
                <w:szCs w:val="20"/>
                <w:lang w:val="es-ES_tradnl" w:eastAsia="en-CA"/>
              </w:rPr>
              <w:t>,</w:t>
            </w:r>
            <w:r w:rsidRPr="000458F8">
              <w:rPr>
                <w:sz w:val="20"/>
                <w:szCs w:val="20"/>
                <w:lang w:val="es-ES_tradnl" w:eastAsia="en-CA"/>
              </w:rPr>
              <w:t>5</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B864F0B"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A9333F5" w14:textId="11DC513C" w:rsidR="00C3420C" w:rsidRPr="000458F8" w:rsidRDefault="00C3420C" w:rsidP="008E3F5E">
            <w:pPr>
              <w:jc w:val="right"/>
              <w:rPr>
                <w:sz w:val="20"/>
                <w:szCs w:val="20"/>
                <w:lang w:val="es-ES_tradnl" w:eastAsia="en-CA"/>
              </w:rPr>
            </w:pPr>
            <w:r w:rsidRPr="000458F8">
              <w:rPr>
                <w:sz w:val="20"/>
                <w:szCs w:val="20"/>
                <w:lang w:val="es-ES_tradnl" w:eastAsia="en-CA"/>
              </w:rPr>
              <w:t>75</w:t>
            </w:r>
            <w:r w:rsidR="00700B97" w:rsidRPr="000458F8">
              <w:rPr>
                <w:sz w:val="20"/>
                <w:szCs w:val="20"/>
                <w:lang w:val="es-ES_tradnl" w:eastAsia="en-CA"/>
              </w:rPr>
              <w:t> </w:t>
            </w:r>
            <w:r w:rsidRPr="000458F8">
              <w:rPr>
                <w:sz w:val="20"/>
                <w:szCs w:val="20"/>
                <w:lang w:val="es-ES_tradnl" w:eastAsia="en-CA"/>
              </w:rPr>
              <w:t>243</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C3D2B79" w14:textId="463DFE27" w:rsidR="00C3420C" w:rsidRPr="000458F8" w:rsidRDefault="00C3420C" w:rsidP="008E3F5E">
            <w:pPr>
              <w:jc w:val="right"/>
              <w:rPr>
                <w:sz w:val="20"/>
                <w:szCs w:val="20"/>
                <w:lang w:val="es-ES_tradnl" w:eastAsia="en-CA"/>
              </w:rPr>
            </w:pPr>
            <w:r w:rsidRPr="000458F8">
              <w:rPr>
                <w:sz w:val="20"/>
                <w:szCs w:val="20"/>
                <w:lang w:val="es-ES_tradnl" w:eastAsia="en-CA"/>
              </w:rPr>
              <w:t>147</w:t>
            </w:r>
            <w:r w:rsidR="00700B97" w:rsidRPr="000458F8">
              <w:rPr>
                <w:sz w:val="20"/>
                <w:szCs w:val="20"/>
                <w:lang w:val="es-ES_tradnl" w:eastAsia="en-CA"/>
              </w:rPr>
              <w:t> </w:t>
            </w:r>
            <w:r w:rsidRPr="000458F8">
              <w:rPr>
                <w:sz w:val="20"/>
                <w:szCs w:val="20"/>
                <w:lang w:val="es-ES_tradnl" w:eastAsia="en-CA"/>
              </w:rPr>
              <w:t>057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1B9A942" w14:textId="77777777" w:rsidR="00C3420C" w:rsidRPr="000458F8" w:rsidRDefault="00C3420C" w:rsidP="008E3F5E">
            <w:pPr>
              <w:jc w:val="right"/>
              <w:rPr>
                <w:sz w:val="20"/>
                <w:szCs w:val="20"/>
                <w:lang w:val="es-ES_tradnl" w:eastAsia="en-CA"/>
              </w:rPr>
            </w:pPr>
            <w:r w:rsidRPr="000458F8">
              <w:rPr>
                <w:sz w:val="20"/>
                <w:szCs w:val="20"/>
                <w:lang w:val="es-ES_tradnl" w:eastAsia="en-CA"/>
              </w:rPr>
              <w:t>195</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A9F1CD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A8986B2"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26918B7" w14:textId="77777777" w:rsidR="00C3420C" w:rsidRPr="000458F8" w:rsidRDefault="00C3420C" w:rsidP="008E3F5E">
            <w:pPr>
              <w:jc w:val="left"/>
              <w:rPr>
                <w:sz w:val="20"/>
                <w:szCs w:val="20"/>
                <w:lang w:val="es-ES_tradnl" w:eastAsia="en-CA"/>
              </w:rPr>
            </w:pPr>
            <w:r w:rsidRPr="000458F8">
              <w:rPr>
                <w:sz w:val="20"/>
                <w:szCs w:val="20"/>
                <w:lang w:val="es-ES_tradnl" w:eastAsia="en-CA"/>
              </w:rPr>
              <w:t>Guyana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4E62176" w14:textId="0549CE41"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2</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B9E84CF"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B59C3FB" w14:textId="276194C7" w:rsidR="00C3420C" w:rsidRPr="000458F8" w:rsidRDefault="00C3420C" w:rsidP="008E3F5E">
            <w:pPr>
              <w:jc w:val="right"/>
              <w:rPr>
                <w:sz w:val="20"/>
                <w:szCs w:val="20"/>
                <w:lang w:val="es-ES_tradnl" w:eastAsia="en-CA"/>
              </w:rPr>
            </w:pPr>
            <w:r w:rsidRPr="000458F8">
              <w:rPr>
                <w:sz w:val="20"/>
                <w:szCs w:val="20"/>
                <w:lang w:val="es-ES_tradnl" w:eastAsia="en-CA"/>
              </w:rPr>
              <w:t>10</w:t>
            </w:r>
            <w:r w:rsidR="00700B97" w:rsidRPr="000458F8">
              <w:rPr>
                <w:sz w:val="20"/>
                <w:szCs w:val="20"/>
                <w:lang w:val="es-ES_tradnl" w:eastAsia="en-CA"/>
              </w:rPr>
              <w:t> </w:t>
            </w:r>
            <w:r w:rsidRPr="000458F8">
              <w:rPr>
                <w:sz w:val="20"/>
                <w:szCs w:val="20"/>
                <w:lang w:val="es-ES_tradnl" w:eastAsia="en-CA"/>
              </w:rPr>
              <w:t>242</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DC0324C" w14:textId="2B92185C" w:rsidR="00C3420C" w:rsidRPr="000458F8" w:rsidRDefault="00C3420C" w:rsidP="008E3F5E">
            <w:pPr>
              <w:jc w:val="right"/>
              <w:rPr>
                <w:sz w:val="20"/>
                <w:szCs w:val="20"/>
                <w:lang w:val="es-ES_tradnl" w:eastAsia="en-CA"/>
              </w:rPr>
            </w:pPr>
            <w:r w:rsidRPr="000458F8">
              <w:rPr>
                <w:sz w:val="20"/>
                <w:szCs w:val="20"/>
                <w:lang w:val="es-ES_tradnl" w:eastAsia="en-CA"/>
              </w:rPr>
              <w:t>2</w:t>
            </w:r>
            <w:r w:rsidR="00700B97" w:rsidRPr="000458F8">
              <w:rPr>
                <w:sz w:val="20"/>
                <w:szCs w:val="20"/>
                <w:lang w:val="es-ES_tradnl" w:eastAsia="en-CA"/>
              </w:rPr>
              <w:t> </w:t>
            </w:r>
            <w:r w:rsidRPr="000458F8">
              <w:rPr>
                <w:sz w:val="20"/>
                <w:szCs w:val="20"/>
                <w:lang w:val="es-ES_tradnl" w:eastAsia="en-CA"/>
              </w:rPr>
              <w:t>705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1567DB4" w14:textId="77777777" w:rsidR="00C3420C" w:rsidRPr="000458F8" w:rsidRDefault="00C3420C" w:rsidP="008E3F5E">
            <w:pPr>
              <w:jc w:val="right"/>
              <w:rPr>
                <w:sz w:val="20"/>
                <w:szCs w:val="20"/>
                <w:lang w:val="es-ES_tradnl" w:eastAsia="en-CA"/>
              </w:rPr>
            </w:pPr>
            <w:r w:rsidRPr="000458F8">
              <w:rPr>
                <w:sz w:val="20"/>
                <w:szCs w:val="20"/>
                <w:lang w:val="es-ES_tradnl" w:eastAsia="en-CA"/>
              </w:rPr>
              <w:t>26</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E21320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DEF8FD5"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9012511" w14:textId="7940D574" w:rsidR="00C3420C" w:rsidRPr="000458F8" w:rsidRDefault="00C3420C" w:rsidP="008E3F5E">
            <w:pPr>
              <w:jc w:val="left"/>
              <w:rPr>
                <w:sz w:val="20"/>
                <w:szCs w:val="20"/>
                <w:lang w:val="es-ES_tradnl" w:eastAsia="en-CA"/>
              </w:rPr>
            </w:pPr>
            <w:r w:rsidRPr="000458F8">
              <w:rPr>
                <w:sz w:val="20"/>
                <w:szCs w:val="20"/>
                <w:lang w:val="es-ES_tradnl" w:eastAsia="en-CA"/>
              </w:rPr>
              <w:t>Hait</w:t>
            </w:r>
            <w:r w:rsidR="00CF3D14" w:rsidRPr="000458F8">
              <w:rPr>
                <w:sz w:val="20"/>
                <w:szCs w:val="20"/>
                <w:lang w:val="es-ES_tradnl" w:eastAsia="en-CA"/>
              </w:rPr>
              <w:t>í</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BF7E52D" w14:textId="1C623667"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01FCDB0"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F228059" w14:textId="6009FA87" w:rsidR="00C3420C" w:rsidRPr="000458F8" w:rsidRDefault="00C3420C" w:rsidP="008E3F5E">
            <w:pPr>
              <w:jc w:val="right"/>
              <w:rPr>
                <w:sz w:val="20"/>
                <w:szCs w:val="20"/>
                <w:lang w:val="es-ES_tradnl" w:eastAsia="en-CA"/>
              </w:rPr>
            </w:pPr>
            <w:r w:rsidRPr="000458F8">
              <w:rPr>
                <w:sz w:val="20"/>
                <w:szCs w:val="20"/>
                <w:lang w:val="es-ES_tradnl" w:eastAsia="en-CA"/>
              </w:rPr>
              <w:t>19</w:t>
            </w:r>
            <w:r w:rsidR="00700B97" w:rsidRPr="000458F8">
              <w:rPr>
                <w:sz w:val="20"/>
                <w:szCs w:val="20"/>
                <w:lang w:val="es-ES_tradnl" w:eastAsia="en-CA"/>
              </w:rPr>
              <w:t> </w:t>
            </w:r>
            <w:r w:rsidRPr="000458F8">
              <w:rPr>
                <w:sz w:val="20"/>
                <w:szCs w:val="20"/>
                <w:lang w:val="es-ES_tradnl" w:eastAsia="en-CA"/>
              </w:rPr>
              <w:t>424</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9A2C501" w14:textId="2F9FC394"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250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46C8418" w14:textId="77777777" w:rsidR="00C3420C" w:rsidRPr="000458F8" w:rsidRDefault="00C3420C" w:rsidP="008E3F5E">
            <w:pPr>
              <w:jc w:val="right"/>
              <w:rPr>
                <w:sz w:val="20"/>
                <w:szCs w:val="20"/>
                <w:lang w:val="es-ES_tradnl" w:eastAsia="en-CA"/>
              </w:rPr>
            </w:pPr>
            <w:r w:rsidRPr="000458F8">
              <w:rPr>
                <w:sz w:val="20"/>
                <w:szCs w:val="20"/>
                <w:lang w:val="es-ES_tradnl" w:eastAsia="en-CA"/>
              </w:rPr>
              <w:t>6</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214403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2966F12D"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A6DDE22" w14:textId="77777777" w:rsidR="00C3420C" w:rsidRPr="000458F8" w:rsidRDefault="00C3420C" w:rsidP="008E3F5E">
            <w:pPr>
              <w:jc w:val="left"/>
              <w:rPr>
                <w:sz w:val="20"/>
                <w:szCs w:val="20"/>
                <w:lang w:val="es-ES_tradnl" w:eastAsia="en-CA"/>
              </w:rPr>
            </w:pPr>
            <w:r w:rsidRPr="000458F8">
              <w:rPr>
                <w:sz w:val="20"/>
                <w:szCs w:val="20"/>
                <w:lang w:val="es-ES_tradnl" w:eastAsia="en-CA"/>
              </w:rPr>
              <w:t>India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3EF8CA8" w14:textId="37149B5D" w:rsidR="00C3420C" w:rsidRPr="000458F8" w:rsidRDefault="00C3420C" w:rsidP="008E3F5E">
            <w:pPr>
              <w:jc w:val="right"/>
              <w:rPr>
                <w:sz w:val="20"/>
                <w:szCs w:val="20"/>
                <w:lang w:val="es-ES_tradnl" w:eastAsia="en-CA"/>
              </w:rPr>
            </w:pPr>
            <w:r w:rsidRPr="000458F8">
              <w:rPr>
                <w:sz w:val="20"/>
                <w:szCs w:val="20"/>
                <w:lang w:val="es-ES_tradnl" w:eastAsia="en-CA"/>
              </w:rPr>
              <w:t>35</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7F3B564"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B82852E" w14:textId="7BC94833" w:rsidR="00C3420C" w:rsidRPr="000458F8" w:rsidRDefault="00C3420C" w:rsidP="008E3F5E">
            <w:pPr>
              <w:jc w:val="right"/>
              <w:rPr>
                <w:sz w:val="20"/>
                <w:szCs w:val="20"/>
                <w:lang w:val="es-ES_tradnl" w:eastAsia="en-CA"/>
              </w:rPr>
            </w:pPr>
            <w:r w:rsidRPr="000458F8">
              <w:rPr>
                <w:sz w:val="20"/>
                <w:szCs w:val="20"/>
                <w:lang w:val="es-ES_tradnl" w:eastAsia="en-CA"/>
              </w:rPr>
              <w:t>4</w:t>
            </w:r>
            <w:r w:rsidR="00700B97" w:rsidRPr="000458F8">
              <w:rPr>
                <w:sz w:val="20"/>
                <w:szCs w:val="20"/>
                <w:lang w:val="es-ES_tradnl" w:eastAsia="en-CA"/>
              </w:rPr>
              <w:t> </w:t>
            </w:r>
            <w:r w:rsidRPr="000458F8">
              <w:rPr>
                <w:sz w:val="20"/>
                <w:szCs w:val="20"/>
                <w:lang w:val="es-ES_tradnl" w:eastAsia="en-CA"/>
              </w:rPr>
              <w:t>578</w:t>
            </w:r>
            <w:r w:rsidR="00700B97" w:rsidRPr="000458F8">
              <w:rPr>
                <w:sz w:val="20"/>
                <w:szCs w:val="20"/>
                <w:lang w:val="es-ES_tradnl" w:eastAsia="en-CA"/>
              </w:rPr>
              <w:t> </w:t>
            </w:r>
            <w:r w:rsidRPr="000458F8">
              <w:rPr>
                <w:sz w:val="20"/>
                <w:szCs w:val="20"/>
                <w:lang w:val="es-ES_tradnl" w:eastAsia="en-CA"/>
              </w:rPr>
              <w:t>702</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93C3D54" w14:textId="4E486634" w:rsidR="00C3420C" w:rsidRPr="000458F8" w:rsidRDefault="00C3420C" w:rsidP="008E3F5E">
            <w:pPr>
              <w:jc w:val="right"/>
              <w:rPr>
                <w:sz w:val="20"/>
                <w:szCs w:val="20"/>
                <w:lang w:val="es-ES_tradnl" w:eastAsia="en-CA"/>
              </w:rPr>
            </w:pPr>
            <w:r w:rsidRPr="000458F8">
              <w:rPr>
                <w:sz w:val="20"/>
                <w:szCs w:val="20"/>
                <w:lang w:val="es-ES_tradnl" w:eastAsia="en-CA"/>
              </w:rPr>
              <w:t>3</w:t>
            </w:r>
            <w:r w:rsidR="00700B97" w:rsidRPr="000458F8">
              <w:rPr>
                <w:sz w:val="20"/>
                <w:szCs w:val="20"/>
                <w:lang w:val="es-ES_tradnl" w:eastAsia="en-CA"/>
              </w:rPr>
              <w:t> </w:t>
            </w:r>
            <w:r w:rsidRPr="000458F8">
              <w:rPr>
                <w:sz w:val="20"/>
                <w:szCs w:val="20"/>
                <w:lang w:val="es-ES_tradnl" w:eastAsia="en-CA"/>
              </w:rPr>
              <w:t>162</w:t>
            </w:r>
            <w:r w:rsidR="00700B97" w:rsidRPr="000458F8">
              <w:rPr>
                <w:sz w:val="20"/>
                <w:szCs w:val="20"/>
                <w:lang w:val="es-ES_tradnl" w:eastAsia="en-CA"/>
              </w:rPr>
              <w:t> </w:t>
            </w:r>
            <w:r w:rsidRPr="000458F8">
              <w:rPr>
                <w:sz w:val="20"/>
                <w:szCs w:val="20"/>
                <w:lang w:val="es-ES_tradnl" w:eastAsia="en-CA"/>
              </w:rPr>
              <w:t>037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7709B706" w14:textId="77777777" w:rsidR="00C3420C" w:rsidRPr="000458F8" w:rsidRDefault="00C3420C" w:rsidP="008E3F5E">
            <w:pPr>
              <w:jc w:val="right"/>
              <w:rPr>
                <w:sz w:val="20"/>
                <w:szCs w:val="20"/>
                <w:lang w:val="es-ES_tradnl" w:eastAsia="en-CA"/>
              </w:rPr>
            </w:pPr>
            <w:r w:rsidRPr="000458F8">
              <w:rPr>
                <w:sz w:val="20"/>
                <w:szCs w:val="20"/>
                <w:lang w:val="es-ES_tradnl" w:eastAsia="en-CA"/>
              </w:rPr>
              <w:t>69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ABF5684"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03C00ED7"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D3F2269" w14:textId="77777777" w:rsidR="00C3420C" w:rsidRPr="000458F8" w:rsidRDefault="00C3420C" w:rsidP="008E3F5E">
            <w:pPr>
              <w:jc w:val="left"/>
              <w:rPr>
                <w:sz w:val="20"/>
                <w:szCs w:val="20"/>
                <w:lang w:val="es-ES_tradnl" w:eastAsia="en-CA"/>
              </w:rPr>
            </w:pPr>
            <w:r w:rsidRPr="000458F8">
              <w:rPr>
                <w:sz w:val="20"/>
                <w:szCs w:val="20"/>
                <w:lang w:val="es-ES_tradnl" w:eastAsia="en-CA"/>
              </w:rPr>
              <w:t>Indonesia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2A1818E5" w14:textId="06EE13D6"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797FE1A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A01BDE8" w14:textId="042118E3" w:rsidR="00C3420C" w:rsidRPr="000458F8" w:rsidRDefault="00C3420C" w:rsidP="008E3F5E">
            <w:pPr>
              <w:jc w:val="right"/>
              <w:rPr>
                <w:sz w:val="20"/>
                <w:szCs w:val="20"/>
                <w:lang w:val="es-ES_tradnl" w:eastAsia="en-CA"/>
              </w:rPr>
            </w:pPr>
            <w:r w:rsidRPr="000458F8">
              <w:rPr>
                <w:sz w:val="20"/>
                <w:szCs w:val="20"/>
                <w:lang w:val="es-ES_tradnl" w:eastAsia="en-CA"/>
              </w:rPr>
              <w:t>847</w:t>
            </w:r>
            <w:r w:rsidR="00700B97" w:rsidRPr="000458F8">
              <w:rPr>
                <w:sz w:val="20"/>
                <w:szCs w:val="20"/>
                <w:lang w:val="es-ES_tradnl" w:eastAsia="en-CA"/>
              </w:rPr>
              <w:t> </w:t>
            </w:r>
            <w:r w:rsidRPr="000458F8">
              <w:rPr>
                <w:sz w:val="20"/>
                <w:szCs w:val="20"/>
                <w:lang w:val="es-ES_tradnl" w:eastAsia="en-CA"/>
              </w:rPr>
              <w:t>675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FDF441F" w14:textId="00E46CC2" w:rsidR="00C3420C" w:rsidRPr="000458F8" w:rsidRDefault="00C3420C" w:rsidP="008E3F5E">
            <w:pPr>
              <w:jc w:val="right"/>
              <w:rPr>
                <w:sz w:val="20"/>
                <w:szCs w:val="20"/>
                <w:lang w:val="es-ES_tradnl" w:eastAsia="en-CA"/>
              </w:rPr>
            </w:pPr>
            <w:r w:rsidRPr="000458F8">
              <w:rPr>
                <w:sz w:val="20"/>
                <w:szCs w:val="20"/>
                <w:lang w:val="es-ES_tradnl" w:eastAsia="en-CA"/>
              </w:rPr>
              <w:t>371</w:t>
            </w:r>
            <w:r w:rsidR="00700B97" w:rsidRPr="000458F8">
              <w:rPr>
                <w:sz w:val="20"/>
                <w:szCs w:val="20"/>
                <w:lang w:val="es-ES_tradnl" w:eastAsia="en-CA"/>
              </w:rPr>
              <w:t> </w:t>
            </w:r>
            <w:r w:rsidRPr="000458F8">
              <w:rPr>
                <w:sz w:val="20"/>
                <w:szCs w:val="20"/>
                <w:lang w:val="es-ES_tradnl" w:eastAsia="en-CA"/>
              </w:rPr>
              <w:t>366</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345471B" w14:textId="77777777" w:rsidR="00C3420C" w:rsidRPr="000458F8" w:rsidRDefault="00C3420C" w:rsidP="008E3F5E">
            <w:pPr>
              <w:jc w:val="right"/>
              <w:rPr>
                <w:sz w:val="20"/>
                <w:szCs w:val="20"/>
                <w:lang w:val="es-ES_tradnl" w:eastAsia="en-CA"/>
              </w:rPr>
            </w:pPr>
            <w:r w:rsidRPr="000458F8">
              <w:rPr>
                <w:sz w:val="20"/>
                <w:szCs w:val="20"/>
                <w:lang w:val="es-ES_tradnl" w:eastAsia="en-CA"/>
              </w:rPr>
              <w:t>44</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3C5BBBC" w14:textId="77777777" w:rsidR="00C3420C" w:rsidRPr="000458F8" w:rsidRDefault="00C3420C" w:rsidP="008E3F5E">
            <w:pPr>
              <w:jc w:val="right"/>
              <w:rPr>
                <w:sz w:val="20"/>
                <w:szCs w:val="20"/>
                <w:lang w:val="es-ES_tradnl" w:eastAsia="en-CA"/>
              </w:rPr>
            </w:pPr>
            <w:r w:rsidRPr="000458F8">
              <w:rPr>
                <w:sz w:val="20"/>
                <w:szCs w:val="20"/>
                <w:lang w:val="es-ES_tradnl" w:eastAsia="en-CA"/>
              </w:rPr>
              <w:t>33</w:t>
            </w:r>
          </w:p>
        </w:tc>
      </w:tr>
      <w:tr w:rsidR="00C3420C" w:rsidRPr="000458F8" w14:paraId="02283BC1"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A06052D" w14:textId="3E781F62" w:rsidR="00C3420C" w:rsidRPr="000458F8" w:rsidRDefault="00CF3D14" w:rsidP="008E3F5E">
            <w:pPr>
              <w:jc w:val="left"/>
              <w:rPr>
                <w:sz w:val="20"/>
                <w:szCs w:val="20"/>
                <w:lang w:val="es-ES_tradnl" w:eastAsia="en-CA"/>
              </w:rPr>
            </w:pPr>
            <w:r w:rsidRPr="000458F8">
              <w:rPr>
                <w:sz w:val="20"/>
                <w:lang w:val="es-ES_tradnl"/>
              </w:rPr>
              <w:t>Irán (República Islámica del)</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4017C98" w14:textId="0350DD96" w:rsidR="00C3420C" w:rsidRPr="000458F8" w:rsidRDefault="00C3420C" w:rsidP="008E3F5E">
            <w:pPr>
              <w:jc w:val="right"/>
              <w:rPr>
                <w:sz w:val="20"/>
                <w:szCs w:val="20"/>
                <w:lang w:val="es-ES_tradnl" w:eastAsia="en-CA"/>
              </w:rPr>
            </w:pPr>
            <w:r w:rsidRPr="000458F8">
              <w:rPr>
                <w:sz w:val="20"/>
                <w:szCs w:val="20"/>
                <w:lang w:val="es-ES_tradnl" w:eastAsia="en-CA"/>
              </w:rPr>
              <w:t>23</w:t>
            </w:r>
            <w:r w:rsidR="00CF3D14" w:rsidRPr="000458F8">
              <w:rPr>
                <w:sz w:val="20"/>
                <w:szCs w:val="20"/>
                <w:lang w:val="es-ES_tradnl" w:eastAsia="en-CA"/>
              </w:rPr>
              <w:t>,</w:t>
            </w:r>
            <w:r w:rsidRPr="000458F8">
              <w:rPr>
                <w:sz w:val="20"/>
                <w:szCs w:val="20"/>
                <w:lang w:val="es-ES_tradnl" w:eastAsia="en-CA"/>
              </w:rPr>
              <w:t>8</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5815A6C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1AB74FC" w14:textId="1896B4F8" w:rsidR="00C3420C" w:rsidRPr="000458F8" w:rsidRDefault="00C3420C" w:rsidP="008E3F5E">
            <w:pPr>
              <w:jc w:val="right"/>
              <w:rPr>
                <w:sz w:val="20"/>
                <w:szCs w:val="20"/>
                <w:lang w:val="es-ES_tradnl" w:eastAsia="en-CA"/>
              </w:rPr>
            </w:pPr>
            <w:r w:rsidRPr="000458F8">
              <w:rPr>
                <w:sz w:val="20"/>
                <w:szCs w:val="20"/>
                <w:lang w:val="es-ES_tradnl" w:eastAsia="en-CA"/>
              </w:rPr>
              <w:t>340</w:t>
            </w:r>
            <w:r w:rsidR="00700B97" w:rsidRPr="000458F8">
              <w:rPr>
                <w:sz w:val="20"/>
                <w:szCs w:val="20"/>
                <w:lang w:val="es-ES_tradnl" w:eastAsia="en-CA"/>
              </w:rPr>
              <w:t> </w:t>
            </w:r>
            <w:r w:rsidRPr="000458F8">
              <w:rPr>
                <w:sz w:val="20"/>
                <w:szCs w:val="20"/>
                <w:lang w:val="es-ES_tradnl" w:eastAsia="en-CA"/>
              </w:rPr>
              <w:t>013</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9B3C1D6" w14:textId="4441C1CD" w:rsidR="00C3420C" w:rsidRPr="000458F8" w:rsidRDefault="00C3420C" w:rsidP="008E3F5E">
            <w:pPr>
              <w:jc w:val="right"/>
              <w:rPr>
                <w:sz w:val="20"/>
                <w:szCs w:val="20"/>
                <w:lang w:val="es-ES_tradnl" w:eastAsia="en-CA"/>
              </w:rPr>
            </w:pPr>
            <w:r w:rsidRPr="000458F8">
              <w:rPr>
                <w:sz w:val="20"/>
                <w:szCs w:val="20"/>
                <w:lang w:val="es-ES_tradnl" w:eastAsia="en-CA"/>
              </w:rPr>
              <w:t>621</w:t>
            </w:r>
            <w:r w:rsidR="00700B97" w:rsidRPr="000458F8">
              <w:rPr>
                <w:sz w:val="20"/>
                <w:szCs w:val="20"/>
                <w:lang w:val="es-ES_tradnl" w:eastAsia="en-CA"/>
              </w:rPr>
              <w:t> </w:t>
            </w:r>
            <w:r w:rsidRPr="000458F8">
              <w:rPr>
                <w:sz w:val="20"/>
                <w:szCs w:val="20"/>
                <w:lang w:val="es-ES_tradnl" w:eastAsia="en-CA"/>
              </w:rPr>
              <w:t>656</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02003DC" w14:textId="77777777" w:rsidR="00C3420C" w:rsidRPr="000458F8" w:rsidRDefault="00C3420C" w:rsidP="008E3F5E">
            <w:pPr>
              <w:jc w:val="right"/>
              <w:rPr>
                <w:sz w:val="20"/>
                <w:szCs w:val="20"/>
                <w:lang w:val="es-ES_tradnl" w:eastAsia="en-CA"/>
              </w:rPr>
            </w:pPr>
            <w:r w:rsidRPr="000458F8">
              <w:rPr>
                <w:sz w:val="20"/>
                <w:szCs w:val="20"/>
                <w:lang w:val="es-ES_tradnl" w:eastAsia="en-CA"/>
              </w:rPr>
              <w:t>183</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740F5F3"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A6673B6"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C8911BC" w14:textId="77777777" w:rsidR="00C3420C" w:rsidRPr="000458F8" w:rsidRDefault="00C3420C" w:rsidP="008E3F5E">
            <w:pPr>
              <w:jc w:val="left"/>
              <w:rPr>
                <w:sz w:val="20"/>
                <w:szCs w:val="20"/>
                <w:lang w:val="es-ES_tradnl" w:eastAsia="en-CA"/>
              </w:rPr>
            </w:pPr>
            <w:r w:rsidRPr="000458F8">
              <w:rPr>
                <w:sz w:val="20"/>
                <w:szCs w:val="20"/>
                <w:lang w:val="es-ES_tradnl" w:eastAsia="en-CA"/>
              </w:rPr>
              <w:t>Jamaica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17A431A" w14:textId="6064D8BB"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A6CF2D9"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0AD1D5C" w14:textId="12DECB70" w:rsidR="00C3420C" w:rsidRPr="000458F8" w:rsidRDefault="00C3420C" w:rsidP="008E3F5E">
            <w:pPr>
              <w:jc w:val="right"/>
              <w:rPr>
                <w:sz w:val="20"/>
                <w:szCs w:val="20"/>
                <w:lang w:val="es-ES_tradnl" w:eastAsia="en-CA"/>
              </w:rPr>
            </w:pPr>
            <w:r w:rsidRPr="000458F8">
              <w:rPr>
                <w:sz w:val="20"/>
                <w:szCs w:val="20"/>
                <w:lang w:val="es-ES_tradnl" w:eastAsia="en-CA"/>
              </w:rPr>
              <w:t>24</w:t>
            </w:r>
            <w:r w:rsidR="00700B97" w:rsidRPr="000458F8">
              <w:rPr>
                <w:sz w:val="20"/>
                <w:szCs w:val="20"/>
                <w:lang w:val="es-ES_tradnl" w:eastAsia="en-CA"/>
              </w:rPr>
              <w:t> </w:t>
            </w:r>
            <w:r w:rsidRPr="000458F8">
              <w:rPr>
                <w:sz w:val="20"/>
                <w:szCs w:val="20"/>
                <w:lang w:val="es-ES_tradnl" w:eastAsia="en-CA"/>
              </w:rPr>
              <w:t>810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C4C4AE7" w14:textId="173FA8F5" w:rsidR="00C3420C" w:rsidRPr="000458F8" w:rsidRDefault="00C3420C" w:rsidP="008E3F5E">
            <w:pPr>
              <w:jc w:val="right"/>
              <w:rPr>
                <w:sz w:val="20"/>
                <w:szCs w:val="20"/>
                <w:lang w:val="es-ES_tradnl" w:eastAsia="en-CA"/>
              </w:rPr>
            </w:pPr>
            <w:r w:rsidRPr="000458F8">
              <w:rPr>
                <w:sz w:val="20"/>
                <w:szCs w:val="20"/>
                <w:lang w:val="es-ES_tradnl" w:eastAsia="en-CA"/>
              </w:rPr>
              <w:t>28</w:t>
            </w:r>
            <w:r w:rsidR="00700B97" w:rsidRPr="000458F8">
              <w:rPr>
                <w:sz w:val="20"/>
                <w:szCs w:val="20"/>
                <w:lang w:val="es-ES_tradnl" w:eastAsia="en-CA"/>
              </w:rPr>
              <w:t> </w:t>
            </w:r>
            <w:r w:rsidRPr="000458F8">
              <w:rPr>
                <w:sz w:val="20"/>
                <w:szCs w:val="20"/>
                <w:lang w:val="es-ES_tradnl" w:eastAsia="en-CA"/>
              </w:rPr>
              <w:t>345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5E2831E" w14:textId="77777777" w:rsidR="00C3420C" w:rsidRPr="000458F8" w:rsidRDefault="00C3420C" w:rsidP="008E3F5E">
            <w:pPr>
              <w:jc w:val="right"/>
              <w:rPr>
                <w:sz w:val="20"/>
                <w:szCs w:val="20"/>
                <w:lang w:val="es-ES_tradnl" w:eastAsia="en-CA"/>
              </w:rPr>
            </w:pPr>
            <w:r w:rsidRPr="000458F8">
              <w:rPr>
                <w:sz w:val="20"/>
                <w:szCs w:val="20"/>
                <w:lang w:val="es-ES_tradnl" w:eastAsia="en-CA"/>
              </w:rPr>
              <w:t>114</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DCCF1D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0570F947"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771E635" w14:textId="77777777" w:rsidR="00C3420C" w:rsidRPr="000458F8" w:rsidRDefault="00C3420C" w:rsidP="008E3F5E">
            <w:pPr>
              <w:jc w:val="left"/>
              <w:rPr>
                <w:sz w:val="20"/>
                <w:szCs w:val="20"/>
                <w:lang w:val="es-ES_tradnl" w:eastAsia="en-CA"/>
              </w:rPr>
            </w:pPr>
            <w:r w:rsidRPr="000458F8">
              <w:rPr>
                <w:sz w:val="20"/>
                <w:szCs w:val="20"/>
                <w:lang w:val="es-ES_tradnl" w:eastAsia="en-CA"/>
              </w:rPr>
              <w:t>Kuwait</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79957F8" w14:textId="58F3485D"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0D0A155"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ECA045B" w14:textId="6CCB6815" w:rsidR="00C3420C" w:rsidRPr="000458F8" w:rsidRDefault="00C3420C" w:rsidP="008E3F5E">
            <w:pPr>
              <w:jc w:val="right"/>
              <w:rPr>
                <w:sz w:val="20"/>
                <w:szCs w:val="20"/>
                <w:lang w:val="es-ES_tradnl" w:eastAsia="en-CA"/>
              </w:rPr>
            </w:pPr>
            <w:r w:rsidRPr="000458F8">
              <w:rPr>
                <w:sz w:val="20"/>
                <w:szCs w:val="20"/>
                <w:lang w:val="es-ES_tradnl" w:eastAsia="en-CA"/>
              </w:rPr>
              <w:t>68</w:t>
            </w:r>
            <w:r w:rsidR="00700B97" w:rsidRPr="000458F8">
              <w:rPr>
                <w:sz w:val="20"/>
                <w:szCs w:val="20"/>
                <w:lang w:val="es-ES_tradnl" w:eastAsia="en-CA"/>
              </w:rPr>
              <w:t> </w:t>
            </w:r>
            <w:r w:rsidRPr="000458F8">
              <w:rPr>
                <w:sz w:val="20"/>
                <w:szCs w:val="20"/>
                <w:lang w:val="es-ES_tradnl" w:eastAsia="en-CA"/>
              </w:rPr>
              <w:t>600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7160607"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2F214C1"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C1324A0"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r>
      <w:tr w:rsidR="00C3420C" w:rsidRPr="000458F8" w14:paraId="3D96C3E9"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A17C2AD" w14:textId="2CDEC3FA" w:rsidR="00C3420C" w:rsidRPr="000458F8" w:rsidRDefault="00CF3D14" w:rsidP="008E3F5E">
            <w:pPr>
              <w:jc w:val="left"/>
              <w:rPr>
                <w:sz w:val="20"/>
                <w:szCs w:val="20"/>
                <w:lang w:val="es-ES_tradnl" w:eastAsia="en-CA"/>
              </w:rPr>
            </w:pPr>
            <w:r w:rsidRPr="000458F8">
              <w:rPr>
                <w:sz w:val="20"/>
                <w:lang w:val="es-ES_tradnl"/>
              </w:rPr>
              <w:t>Kirguistán</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C94554A" w14:textId="186B7E1A"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198EE0C"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2F106FF" w14:textId="0244A420" w:rsidR="00C3420C" w:rsidRPr="000458F8" w:rsidRDefault="00C3420C" w:rsidP="008E3F5E">
            <w:pPr>
              <w:jc w:val="right"/>
              <w:rPr>
                <w:sz w:val="20"/>
                <w:szCs w:val="20"/>
                <w:lang w:val="es-ES_tradnl" w:eastAsia="en-CA"/>
              </w:rPr>
            </w:pPr>
            <w:r w:rsidRPr="000458F8">
              <w:rPr>
                <w:sz w:val="20"/>
                <w:szCs w:val="20"/>
                <w:lang w:val="es-ES_tradnl" w:eastAsia="en-CA"/>
              </w:rPr>
              <w:t>35</w:t>
            </w:r>
            <w:r w:rsidR="00700B97" w:rsidRPr="000458F8">
              <w:rPr>
                <w:sz w:val="20"/>
                <w:szCs w:val="20"/>
                <w:lang w:val="es-ES_tradnl" w:eastAsia="en-CA"/>
              </w:rPr>
              <w:t> </w:t>
            </w:r>
            <w:r w:rsidRPr="000458F8">
              <w:rPr>
                <w:sz w:val="20"/>
                <w:szCs w:val="20"/>
                <w:lang w:val="es-ES_tradnl" w:eastAsia="en-CA"/>
              </w:rPr>
              <w:t>035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3A626CD" w14:textId="5B49F217" w:rsidR="00C3420C" w:rsidRPr="000458F8" w:rsidRDefault="00C3420C" w:rsidP="008E3F5E">
            <w:pPr>
              <w:jc w:val="right"/>
              <w:rPr>
                <w:sz w:val="20"/>
                <w:szCs w:val="20"/>
                <w:lang w:val="es-ES_tradnl" w:eastAsia="en-CA"/>
              </w:rPr>
            </w:pPr>
            <w:r w:rsidRPr="000458F8">
              <w:rPr>
                <w:sz w:val="20"/>
                <w:szCs w:val="20"/>
                <w:lang w:val="es-ES_tradnl" w:eastAsia="en-CA"/>
              </w:rPr>
              <w:t>70</w:t>
            </w:r>
            <w:r w:rsidR="00700B97" w:rsidRPr="000458F8">
              <w:rPr>
                <w:sz w:val="20"/>
                <w:szCs w:val="20"/>
                <w:lang w:val="es-ES_tradnl" w:eastAsia="en-CA"/>
              </w:rPr>
              <w:t> </w:t>
            </w:r>
            <w:r w:rsidRPr="000458F8">
              <w:rPr>
                <w:sz w:val="20"/>
                <w:szCs w:val="20"/>
                <w:lang w:val="es-ES_tradnl" w:eastAsia="en-CA"/>
              </w:rPr>
              <w:t>429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82B48DB" w14:textId="77777777" w:rsidR="00C3420C" w:rsidRPr="000458F8" w:rsidRDefault="00C3420C" w:rsidP="008E3F5E">
            <w:pPr>
              <w:jc w:val="right"/>
              <w:rPr>
                <w:sz w:val="20"/>
                <w:szCs w:val="20"/>
                <w:lang w:val="es-ES_tradnl" w:eastAsia="en-CA"/>
              </w:rPr>
            </w:pPr>
            <w:r w:rsidRPr="000458F8">
              <w:rPr>
                <w:sz w:val="20"/>
                <w:szCs w:val="20"/>
                <w:lang w:val="es-ES_tradnl" w:eastAsia="en-CA"/>
              </w:rPr>
              <w:t>201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F96F73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497A88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BE68DB2" w14:textId="654719A8" w:rsidR="00C3420C" w:rsidRPr="000458F8" w:rsidRDefault="00C3420C" w:rsidP="008E3F5E">
            <w:pPr>
              <w:jc w:val="left"/>
              <w:rPr>
                <w:sz w:val="20"/>
                <w:szCs w:val="20"/>
                <w:lang w:val="es-ES_tradnl" w:eastAsia="en-CA"/>
              </w:rPr>
            </w:pPr>
            <w:r w:rsidRPr="000458F8">
              <w:rPr>
                <w:sz w:val="20"/>
                <w:szCs w:val="20"/>
                <w:lang w:val="es-ES_tradnl" w:eastAsia="en-CA"/>
              </w:rPr>
              <w:t>L</w:t>
            </w:r>
            <w:r w:rsidR="00CF3D14" w:rsidRPr="000458F8">
              <w:rPr>
                <w:sz w:val="20"/>
                <w:szCs w:val="20"/>
                <w:lang w:val="es-ES_tradnl" w:eastAsia="en-CA"/>
              </w:rPr>
              <w:t>íbano</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6D6CD84" w14:textId="73751B69" w:rsidR="00C3420C" w:rsidRPr="000458F8" w:rsidRDefault="00C3420C" w:rsidP="008E3F5E">
            <w:pPr>
              <w:jc w:val="right"/>
              <w:rPr>
                <w:sz w:val="20"/>
                <w:szCs w:val="20"/>
                <w:lang w:val="es-ES_tradnl" w:eastAsia="en-CA"/>
              </w:rPr>
            </w:pPr>
            <w:r w:rsidRPr="000458F8">
              <w:rPr>
                <w:sz w:val="20"/>
                <w:szCs w:val="20"/>
                <w:lang w:val="es-ES_tradnl" w:eastAsia="en-CA"/>
              </w:rPr>
              <w:t>6</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9971159"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3817FB6" w14:textId="31708643" w:rsidR="00C3420C" w:rsidRPr="000458F8" w:rsidRDefault="00C3420C" w:rsidP="008E3F5E">
            <w:pPr>
              <w:jc w:val="right"/>
              <w:rPr>
                <w:sz w:val="20"/>
                <w:szCs w:val="20"/>
                <w:lang w:val="es-ES_tradnl" w:eastAsia="en-CA"/>
              </w:rPr>
            </w:pPr>
            <w:r w:rsidRPr="000458F8">
              <w:rPr>
                <w:sz w:val="20"/>
                <w:szCs w:val="20"/>
                <w:lang w:val="es-ES_tradnl" w:eastAsia="en-CA"/>
              </w:rPr>
              <w:t>268</w:t>
            </w:r>
            <w:r w:rsidR="00700B97" w:rsidRPr="000458F8">
              <w:rPr>
                <w:sz w:val="20"/>
                <w:szCs w:val="20"/>
                <w:lang w:val="es-ES_tradnl" w:eastAsia="en-CA"/>
              </w:rPr>
              <w:t> </w:t>
            </w:r>
            <w:r w:rsidRPr="000458F8">
              <w:rPr>
                <w:sz w:val="20"/>
                <w:szCs w:val="20"/>
                <w:lang w:val="es-ES_tradnl" w:eastAsia="en-CA"/>
              </w:rPr>
              <w:t>127</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A0D5709" w14:textId="373038A0" w:rsidR="00C3420C" w:rsidRPr="000458F8" w:rsidRDefault="00C3420C" w:rsidP="008E3F5E">
            <w:pPr>
              <w:jc w:val="right"/>
              <w:rPr>
                <w:sz w:val="20"/>
                <w:szCs w:val="20"/>
                <w:lang w:val="es-ES_tradnl" w:eastAsia="en-CA"/>
              </w:rPr>
            </w:pPr>
            <w:r w:rsidRPr="000458F8">
              <w:rPr>
                <w:sz w:val="20"/>
                <w:szCs w:val="20"/>
                <w:lang w:val="es-ES_tradnl" w:eastAsia="en-CA"/>
              </w:rPr>
              <w:t>492</w:t>
            </w:r>
            <w:r w:rsidR="00700B97" w:rsidRPr="000458F8">
              <w:rPr>
                <w:sz w:val="20"/>
                <w:szCs w:val="20"/>
                <w:lang w:val="es-ES_tradnl" w:eastAsia="en-CA"/>
              </w:rPr>
              <w:t> </w:t>
            </w:r>
            <w:r w:rsidRPr="000458F8">
              <w:rPr>
                <w:sz w:val="20"/>
                <w:szCs w:val="20"/>
                <w:lang w:val="es-ES_tradnl" w:eastAsia="en-CA"/>
              </w:rPr>
              <w:t>085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CD0E004" w14:textId="77777777" w:rsidR="00C3420C" w:rsidRPr="000458F8" w:rsidRDefault="00C3420C" w:rsidP="008E3F5E">
            <w:pPr>
              <w:jc w:val="right"/>
              <w:rPr>
                <w:sz w:val="20"/>
                <w:szCs w:val="20"/>
                <w:lang w:val="es-ES_tradnl" w:eastAsia="en-CA"/>
              </w:rPr>
            </w:pPr>
            <w:r w:rsidRPr="000458F8">
              <w:rPr>
                <w:sz w:val="20"/>
                <w:szCs w:val="20"/>
                <w:lang w:val="es-ES_tradnl" w:eastAsia="en-CA"/>
              </w:rPr>
              <w:t>184</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42EDB16"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0F90FF8A"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929B643" w14:textId="73B0253C" w:rsidR="00C3420C" w:rsidRPr="000458F8" w:rsidRDefault="00C3420C" w:rsidP="008E3F5E">
            <w:pPr>
              <w:jc w:val="left"/>
              <w:rPr>
                <w:sz w:val="20"/>
                <w:szCs w:val="20"/>
                <w:lang w:val="es-ES_tradnl" w:eastAsia="en-CA"/>
              </w:rPr>
            </w:pPr>
            <w:r w:rsidRPr="000458F8">
              <w:rPr>
                <w:sz w:val="20"/>
                <w:szCs w:val="20"/>
                <w:lang w:val="es-ES_tradnl" w:eastAsia="en-CA"/>
              </w:rPr>
              <w:t>Malasia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041F30C" w14:textId="75DE4EE9" w:rsidR="00C3420C" w:rsidRPr="000458F8" w:rsidRDefault="00C3420C" w:rsidP="008E3F5E">
            <w:pPr>
              <w:jc w:val="right"/>
              <w:rPr>
                <w:sz w:val="20"/>
                <w:szCs w:val="20"/>
                <w:lang w:val="es-ES_tradnl" w:eastAsia="en-CA"/>
              </w:rPr>
            </w:pPr>
            <w:r w:rsidRPr="000458F8">
              <w:rPr>
                <w:sz w:val="20"/>
                <w:szCs w:val="20"/>
                <w:lang w:val="es-ES_tradnl" w:eastAsia="en-CA"/>
              </w:rPr>
              <w:t>73</w:t>
            </w:r>
            <w:r w:rsidR="00CF3D14" w:rsidRPr="000458F8">
              <w:rPr>
                <w:sz w:val="20"/>
                <w:szCs w:val="20"/>
                <w:lang w:val="es-ES_tradnl" w:eastAsia="en-CA"/>
              </w:rPr>
              <w:t>,</w:t>
            </w:r>
            <w:r w:rsidRPr="000458F8">
              <w:rPr>
                <w:sz w:val="20"/>
                <w:szCs w:val="20"/>
                <w:lang w:val="es-ES_tradnl" w:eastAsia="en-CA"/>
              </w:rPr>
              <w:t>6</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D15CA8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806AB13" w14:textId="2277D2AB" w:rsidR="00C3420C" w:rsidRPr="000458F8" w:rsidRDefault="00C3420C" w:rsidP="008E3F5E">
            <w:pPr>
              <w:jc w:val="right"/>
              <w:rPr>
                <w:sz w:val="20"/>
                <w:szCs w:val="20"/>
                <w:lang w:val="es-ES_tradnl" w:eastAsia="en-CA"/>
              </w:rPr>
            </w:pPr>
            <w:r w:rsidRPr="000458F8">
              <w:rPr>
                <w:sz w:val="20"/>
                <w:szCs w:val="20"/>
                <w:lang w:val="es-ES_tradnl" w:eastAsia="en-CA"/>
              </w:rPr>
              <w:t>504</w:t>
            </w:r>
            <w:r w:rsidR="00700B97" w:rsidRPr="000458F8">
              <w:rPr>
                <w:sz w:val="20"/>
                <w:szCs w:val="20"/>
                <w:lang w:val="es-ES_tradnl" w:eastAsia="en-CA"/>
              </w:rPr>
              <w:t> </w:t>
            </w:r>
            <w:r w:rsidRPr="000458F8">
              <w:rPr>
                <w:sz w:val="20"/>
                <w:szCs w:val="20"/>
                <w:lang w:val="es-ES_tradnl" w:eastAsia="en-CA"/>
              </w:rPr>
              <w:t>611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2DDED8B" w14:textId="4EBBE491"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385</w:t>
            </w:r>
            <w:r w:rsidR="00700B97" w:rsidRPr="000458F8">
              <w:rPr>
                <w:sz w:val="20"/>
                <w:szCs w:val="20"/>
                <w:lang w:val="es-ES_tradnl" w:eastAsia="en-CA"/>
              </w:rPr>
              <w:t> </w:t>
            </w:r>
            <w:r w:rsidRPr="000458F8">
              <w:rPr>
                <w:sz w:val="20"/>
                <w:szCs w:val="20"/>
                <w:lang w:val="es-ES_tradnl" w:eastAsia="en-CA"/>
              </w:rPr>
              <w:t>155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6EEA7B7" w14:textId="77777777" w:rsidR="00C3420C" w:rsidRPr="000458F8" w:rsidRDefault="00C3420C" w:rsidP="008E3F5E">
            <w:pPr>
              <w:jc w:val="right"/>
              <w:rPr>
                <w:sz w:val="20"/>
                <w:szCs w:val="20"/>
                <w:lang w:val="es-ES_tradnl" w:eastAsia="en-CA"/>
              </w:rPr>
            </w:pPr>
            <w:r w:rsidRPr="000458F8">
              <w:rPr>
                <w:sz w:val="20"/>
                <w:szCs w:val="20"/>
                <w:lang w:val="es-ES_tradnl" w:eastAsia="en-CA"/>
              </w:rPr>
              <w:t>274</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6CA4F67D"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57834E8"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8A81ACA" w14:textId="2E70C65F" w:rsidR="00C3420C" w:rsidRPr="000458F8" w:rsidRDefault="00C3420C" w:rsidP="008E3F5E">
            <w:pPr>
              <w:jc w:val="left"/>
              <w:rPr>
                <w:sz w:val="20"/>
                <w:szCs w:val="20"/>
                <w:lang w:val="es-ES_tradnl" w:eastAsia="en-CA"/>
              </w:rPr>
            </w:pPr>
            <w:r w:rsidRPr="000458F8">
              <w:rPr>
                <w:sz w:val="20"/>
                <w:szCs w:val="20"/>
                <w:lang w:val="es-ES_tradnl" w:eastAsia="en-CA"/>
              </w:rPr>
              <w:t>Maldiv</w:t>
            </w:r>
            <w:r w:rsidR="00CF3D14" w:rsidRPr="000458F8">
              <w:rPr>
                <w:sz w:val="20"/>
                <w:szCs w:val="20"/>
                <w:lang w:val="es-ES_tradnl" w:eastAsia="en-CA"/>
              </w:rPr>
              <w:t>a</w:t>
            </w:r>
            <w:r w:rsidRPr="000458F8">
              <w:rPr>
                <w:sz w:val="20"/>
                <w:szCs w:val="20"/>
                <w:lang w:val="es-ES_tradnl" w:eastAsia="en-CA"/>
              </w:rPr>
              <w:t>s</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418800F" w14:textId="712E47B8"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AF5C6F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1DFEEBD" w14:textId="3C1DF1A9" w:rsidR="00C3420C" w:rsidRPr="000458F8" w:rsidRDefault="00C3420C" w:rsidP="008E3F5E">
            <w:pPr>
              <w:jc w:val="right"/>
              <w:rPr>
                <w:sz w:val="20"/>
                <w:szCs w:val="20"/>
                <w:lang w:val="es-ES_tradnl" w:eastAsia="en-CA"/>
              </w:rPr>
            </w:pPr>
            <w:r w:rsidRPr="000458F8">
              <w:rPr>
                <w:sz w:val="20"/>
                <w:szCs w:val="20"/>
                <w:lang w:val="es-ES_tradnl" w:eastAsia="en-CA"/>
              </w:rPr>
              <w:t>32</w:t>
            </w:r>
            <w:r w:rsidR="00700B97" w:rsidRPr="000458F8">
              <w:rPr>
                <w:sz w:val="20"/>
                <w:szCs w:val="20"/>
                <w:lang w:val="es-ES_tradnl" w:eastAsia="en-CA"/>
              </w:rPr>
              <w:t> </w:t>
            </w:r>
            <w:r w:rsidRPr="000458F8">
              <w:rPr>
                <w:sz w:val="20"/>
                <w:szCs w:val="20"/>
                <w:lang w:val="es-ES_tradnl" w:eastAsia="en-CA"/>
              </w:rPr>
              <w:t>933</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6D6BB3A" w14:textId="41D78D09" w:rsidR="00C3420C" w:rsidRPr="000458F8" w:rsidRDefault="00C3420C" w:rsidP="008E3F5E">
            <w:pPr>
              <w:jc w:val="right"/>
              <w:rPr>
                <w:sz w:val="20"/>
                <w:szCs w:val="20"/>
                <w:lang w:val="es-ES_tradnl" w:eastAsia="en-CA"/>
              </w:rPr>
            </w:pPr>
            <w:r w:rsidRPr="000458F8">
              <w:rPr>
                <w:sz w:val="20"/>
                <w:szCs w:val="20"/>
                <w:lang w:val="es-ES_tradnl" w:eastAsia="en-CA"/>
              </w:rPr>
              <w:t>150</w:t>
            </w:r>
            <w:r w:rsidR="00700B97" w:rsidRPr="000458F8">
              <w:rPr>
                <w:sz w:val="20"/>
                <w:szCs w:val="20"/>
                <w:lang w:val="es-ES_tradnl" w:eastAsia="en-CA"/>
              </w:rPr>
              <w:t> </w:t>
            </w:r>
            <w:r w:rsidRPr="000458F8">
              <w:rPr>
                <w:sz w:val="20"/>
                <w:szCs w:val="20"/>
                <w:lang w:val="es-ES_tradnl" w:eastAsia="en-CA"/>
              </w:rPr>
              <w:t>540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6D96F91" w14:textId="77777777" w:rsidR="00C3420C" w:rsidRPr="000458F8" w:rsidRDefault="00C3420C" w:rsidP="008E3F5E">
            <w:pPr>
              <w:jc w:val="right"/>
              <w:rPr>
                <w:sz w:val="20"/>
                <w:szCs w:val="20"/>
                <w:lang w:val="es-ES_tradnl" w:eastAsia="en-CA"/>
              </w:rPr>
            </w:pPr>
            <w:r w:rsidRPr="000458F8">
              <w:rPr>
                <w:sz w:val="20"/>
                <w:szCs w:val="20"/>
                <w:lang w:val="es-ES_tradnl" w:eastAsia="en-CA"/>
              </w:rPr>
              <w:t>457</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E9A032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4A387B8E"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F92692B" w14:textId="6C815BC5" w:rsidR="00C3420C" w:rsidRPr="000458F8" w:rsidRDefault="00C3420C" w:rsidP="008E3F5E">
            <w:pPr>
              <w:jc w:val="left"/>
              <w:rPr>
                <w:sz w:val="20"/>
                <w:szCs w:val="20"/>
                <w:lang w:val="es-ES_tradnl" w:eastAsia="en-CA"/>
              </w:rPr>
            </w:pPr>
            <w:r w:rsidRPr="000458F8">
              <w:rPr>
                <w:sz w:val="20"/>
                <w:szCs w:val="20"/>
                <w:lang w:val="es-ES_tradnl" w:eastAsia="en-CA"/>
              </w:rPr>
              <w:t>Mal</w:t>
            </w:r>
            <w:r w:rsidR="00CF3D14" w:rsidRPr="000458F8">
              <w:rPr>
                <w:sz w:val="20"/>
                <w:szCs w:val="20"/>
                <w:lang w:val="es-ES_tradnl" w:eastAsia="en-CA"/>
              </w:rPr>
              <w:t>í</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ED97C01" w14:textId="7F53449F"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876DC9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2FAAAB0" w14:textId="13393ED0" w:rsidR="00C3420C" w:rsidRPr="000458F8" w:rsidRDefault="00C3420C" w:rsidP="008E3F5E">
            <w:pPr>
              <w:jc w:val="right"/>
              <w:rPr>
                <w:sz w:val="20"/>
                <w:szCs w:val="20"/>
                <w:lang w:val="es-ES_tradnl" w:eastAsia="en-CA"/>
              </w:rPr>
            </w:pPr>
            <w:r w:rsidRPr="000458F8">
              <w:rPr>
                <w:sz w:val="20"/>
                <w:szCs w:val="20"/>
                <w:lang w:val="es-ES_tradnl" w:eastAsia="en-CA"/>
              </w:rPr>
              <w:t>2</w:t>
            </w:r>
            <w:r w:rsidR="00700B97" w:rsidRPr="000458F8">
              <w:rPr>
                <w:sz w:val="20"/>
                <w:szCs w:val="20"/>
                <w:lang w:val="es-ES_tradnl" w:eastAsia="en-CA"/>
              </w:rPr>
              <w:t> </w:t>
            </w:r>
            <w:r w:rsidRPr="000458F8">
              <w:rPr>
                <w:sz w:val="20"/>
                <w:szCs w:val="20"/>
                <w:lang w:val="es-ES_tradnl" w:eastAsia="en-CA"/>
              </w:rPr>
              <w:t>821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572DD22"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129A27DD"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EF7F9D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6D3A441"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73E8D73E" w14:textId="77777777" w:rsidR="00C3420C" w:rsidRPr="000458F8" w:rsidRDefault="00C3420C" w:rsidP="008E3F5E">
            <w:pPr>
              <w:jc w:val="left"/>
              <w:rPr>
                <w:sz w:val="20"/>
                <w:szCs w:val="20"/>
                <w:lang w:val="es-ES_tradnl" w:eastAsia="en-CA"/>
              </w:rPr>
            </w:pPr>
            <w:r w:rsidRPr="000458F8">
              <w:rPr>
                <w:sz w:val="20"/>
                <w:szCs w:val="20"/>
                <w:lang w:val="es-ES_tradnl" w:eastAsia="en-CA"/>
              </w:rPr>
              <w:t>Mauritania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6964B80" w14:textId="1A2B9B11"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EDB4F9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E88D80E" w14:textId="1A8DB9C6" w:rsidR="00C3420C" w:rsidRPr="000458F8" w:rsidRDefault="00C3420C" w:rsidP="008E3F5E">
            <w:pPr>
              <w:jc w:val="right"/>
              <w:rPr>
                <w:sz w:val="20"/>
                <w:szCs w:val="20"/>
                <w:lang w:val="es-ES_tradnl" w:eastAsia="en-CA"/>
              </w:rPr>
            </w:pPr>
            <w:r w:rsidRPr="000458F8">
              <w:rPr>
                <w:sz w:val="20"/>
                <w:szCs w:val="20"/>
                <w:lang w:val="es-ES_tradnl" w:eastAsia="en-CA"/>
              </w:rPr>
              <w:t>21</w:t>
            </w:r>
            <w:r w:rsidR="00700B97" w:rsidRPr="000458F8">
              <w:rPr>
                <w:sz w:val="20"/>
                <w:szCs w:val="20"/>
                <w:lang w:val="es-ES_tradnl" w:eastAsia="en-CA"/>
              </w:rPr>
              <w:t> </w:t>
            </w:r>
            <w:r w:rsidRPr="000458F8">
              <w:rPr>
                <w:sz w:val="20"/>
                <w:szCs w:val="20"/>
                <w:lang w:val="es-ES_tradnl" w:eastAsia="en-CA"/>
              </w:rPr>
              <w:t>000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2D54B28"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BB10E9B" w14:textId="77777777" w:rsidR="00C3420C" w:rsidRPr="000458F8" w:rsidRDefault="00C3420C" w:rsidP="008E3F5E">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28A1851"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EAEA9D8"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05140BC" w14:textId="5D489BB3" w:rsidR="00C3420C" w:rsidRPr="000458F8" w:rsidRDefault="00C3420C" w:rsidP="008E3F5E">
            <w:pPr>
              <w:jc w:val="left"/>
              <w:rPr>
                <w:sz w:val="20"/>
                <w:szCs w:val="20"/>
                <w:lang w:val="es-ES_tradnl" w:eastAsia="en-CA"/>
              </w:rPr>
            </w:pPr>
            <w:r w:rsidRPr="000458F8">
              <w:rPr>
                <w:sz w:val="20"/>
                <w:szCs w:val="20"/>
                <w:lang w:val="es-ES_tradnl" w:eastAsia="en-CA"/>
              </w:rPr>
              <w:t>M</w:t>
            </w:r>
            <w:r w:rsidR="00CF3D14" w:rsidRPr="000458F8">
              <w:rPr>
                <w:sz w:val="20"/>
                <w:szCs w:val="20"/>
                <w:lang w:val="es-ES_tradnl" w:eastAsia="en-CA"/>
              </w:rPr>
              <w:t>é</w:t>
            </w:r>
            <w:r w:rsidRPr="000458F8">
              <w:rPr>
                <w:sz w:val="20"/>
                <w:szCs w:val="20"/>
                <w:lang w:val="es-ES_tradnl" w:eastAsia="en-CA"/>
              </w:rPr>
              <w:t>xico</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82D2E16" w14:textId="17DA75A4" w:rsidR="00C3420C" w:rsidRPr="000458F8" w:rsidRDefault="00C3420C" w:rsidP="008E3F5E">
            <w:pPr>
              <w:jc w:val="right"/>
              <w:rPr>
                <w:sz w:val="20"/>
                <w:szCs w:val="20"/>
                <w:lang w:val="es-ES_tradnl" w:eastAsia="en-CA"/>
              </w:rPr>
            </w:pPr>
            <w:r w:rsidRPr="000458F8">
              <w:rPr>
                <w:sz w:val="20"/>
                <w:szCs w:val="20"/>
                <w:lang w:val="es-ES_tradnl" w:eastAsia="en-CA"/>
              </w:rPr>
              <w:t>131</w:t>
            </w:r>
            <w:r w:rsidR="00CF3D14" w:rsidRPr="000458F8">
              <w:rPr>
                <w:sz w:val="20"/>
                <w:szCs w:val="20"/>
                <w:lang w:val="es-ES_tradnl" w:eastAsia="en-CA"/>
              </w:rPr>
              <w:t>,</w:t>
            </w:r>
            <w:r w:rsidRPr="000458F8">
              <w:rPr>
                <w:sz w:val="20"/>
                <w:szCs w:val="20"/>
                <w:lang w:val="es-ES_tradnl" w:eastAsia="en-CA"/>
              </w:rPr>
              <w:t>5</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84DC7E7"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AFAAE73" w14:textId="44E0B22E" w:rsidR="00C3420C" w:rsidRPr="000458F8" w:rsidRDefault="00C3420C" w:rsidP="008E3F5E">
            <w:pPr>
              <w:jc w:val="right"/>
              <w:rPr>
                <w:sz w:val="20"/>
                <w:szCs w:val="20"/>
                <w:lang w:val="es-ES_tradnl" w:eastAsia="en-CA"/>
              </w:rPr>
            </w:pPr>
            <w:r w:rsidRPr="000458F8">
              <w:rPr>
                <w:sz w:val="20"/>
                <w:szCs w:val="20"/>
                <w:lang w:val="es-ES_tradnl" w:eastAsia="en-CA"/>
              </w:rPr>
              <w:t>779</w:t>
            </w:r>
            <w:r w:rsidR="00700B97" w:rsidRPr="000458F8">
              <w:rPr>
                <w:sz w:val="20"/>
                <w:szCs w:val="20"/>
                <w:lang w:val="es-ES_tradnl" w:eastAsia="en-CA"/>
              </w:rPr>
              <w:t> </w:t>
            </w:r>
            <w:r w:rsidRPr="000458F8">
              <w:rPr>
                <w:sz w:val="20"/>
                <w:szCs w:val="20"/>
                <w:lang w:val="es-ES_tradnl" w:eastAsia="en-CA"/>
              </w:rPr>
              <w:t>300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E036131" w14:textId="08B82228" w:rsidR="00C3420C" w:rsidRPr="000458F8" w:rsidRDefault="00C3420C" w:rsidP="008E3F5E">
            <w:pPr>
              <w:jc w:val="right"/>
              <w:rPr>
                <w:sz w:val="20"/>
                <w:szCs w:val="20"/>
                <w:lang w:val="es-ES_tradnl" w:eastAsia="en-CA"/>
              </w:rPr>
            </w:pPr>
            <w:r w:rsidRPr="000458F8">
              <w:rPr>
                <w:sz w:val="20"/>
                <w:szCs w:val="20"/>
                <w:lang w:val="es-ES_tradnl" w:eastAsia="en-CA"/>
              </w:rPr>
              <w:t>1</w:t>
            </w:r>
            <w:r w:rsidR="00700B97" w:rsidRPr="000458F8">
              <w:rPr>
                <w:sz w:val="20"/>
                <w:szCs w:val="20"/>
                <w:lang w:val="es-ES_tradnl" w:eastAsia="en-CA"/>
              </w:rPr>
              <w:t> </w:t>
            </w:r>
            <w:r w:rsidRPr="000458F8">
              <w:rPr>
                <w:sz w:val="20"/>
                <w:szCs w:val="20"/>
                <w:lang w:val="es-ES_tradnl" w:eastAsia="en-CA"/>
              </w:rPr>
              <w:t>622</w:t>
            </w:r>
            <w:r w:rsidR="00700B97" w:rsidRPr="000458F8">
              <w:rPr>
                <w:sz w:val="20"/>
                <w:szCs w:val="20"/>
                <w:lang w:val="es-ES_tradnl" w:eastAsia="en-CA"/>
              </w:rPr>
              <w:t> </w:t>
            </w:r>
            <w:r w:rsidRPr="000458F8">
              <w:rPr>
                <w:sz w:val="20"/>
                <w:szCs w:val="20"/>
                <w:lang w:val="es-ES_tradnl" w:eastAsia="en-CA"/>
              </w:rPr>
              <w:t>125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2B498E6" w14:textId="77777777" w:rsidR="00C3420C" w:rsidRPr="000458F8" w:rsidRDefault="00C3420C" w:rsidP="008E3F5E">
            <w:pPr>
              <w:jc w:val="right"/>
              <w:rPr>
                <w:sz w:val="20"/>
                <w:szCs w:val="20"/>
                <w:lang w:val="es-ES_tradnl" w:eastAsia="en-CA"/>
              </w:rPr>
            </w:pPr>
            <w:r w:rsidRPr="000458F8">
              <w:rPr>
                <w:sz w:val="20"/>
                <w:szCs w:val="20"/>
                <w:lang w:val="es-ES_tradnl" w:eastAsia="en-CA"/>
              </w:rPr>
              <w:t>208</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55A9263"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2A7136A"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DB6A10E" w14:textId="77777777" w:rsidR="00C3420C" w:rsidRPr="000458F8" w:rsidRDefault="00C3420C" w:rsidP="008E3F5E">
            <w:pPr>
              <w:jc w:val="left"/>
              <w:rPr>
                <w:sz w:val="20"/>
                <w:szCs w:val="20"/>
                <w:lang w:val="es-ES_tradnl" w:eastAsia="en-CA"/>
              </w:rPr>
            </w:pPr>
            <w:r w:rsidRPr="000458F8">
              <w:rPr>
                <w:sz w:val="20"/>
                <w:szCs w:val="20"/>
                <w:lang w:val="es-ES_tradnl" w:eastAsia="en-CA"/>
              </w:rPr>
              <w:t>Nepal</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24D6AE7" w14:textId="50BF5397"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1</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1F0B1170"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6A8B05C" w14:textId="5CE551EF" w:rsidR="00C3420C" w:rsidRPr="000458F8" w:rsidRDefault="00C3420C" w:rsidP="008E3F5E">
            <w:pPr>
              <w:jc w:val="right"/>
              <w:rPr>
                <w:sz w:val="20"/>
                <w:szCs w:val="20"/>
                <w:lang w:val="es-ES_tradnl" w:eastAsia="en-CA"/>
              </w:rPr>
            </w:pPr>
            <w:r w:rsidRPr="000458F8">
              <w:rPr>
                <w:sz w:val="20"/>
                <w:szCs w:val="20"/>
                <w:lang w:val="es-ES_tradnl" w:eastAsia="en-CA"/>
              </w:rPr>
              <w:t>5</w:t>
            </w:r>
            <w:r w:rsidR="00700B97" w:rsidRPr="000458F8">
              <w:rPr>
                <w:sz w:val="20"/>
                <w:szCs w:val="20"/>
                <w:lang w:val="es-ES_tradnl" w:eastAsia="en-CA"/>
              </w:rPr>
              <w:t> </w:t>
            </w:r>
            <w:r w:rsidRPr="000458F8">
              <w:rPr>
                <w:sz w:val="20"/>
                <w:szCs w:val="20"/>
                <w:lang w:val="es-ES_tradnl" w:eastAsia="en-CA"/>
              </w:rPr>
              <w:t>337</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0827585" w14:textId="640302BC" w:rsidR="00C3420C" w:rsidRPr="000458F8" w:rsidRDefault="00C3420C" w:rsidP="008E3F5E">
            <w:pPr>
              <w:jc w:val="right"/>
              <w:rPr>
                <w:sz w:val="20"/>
                <w:szCs w:val="20"/>
                <w:lang w:val="es-ES_tradnl" w:eastAsia="en-CA"/>
              </w:rPr>
            </w:pPr>
            <w:r w:rsidRPr="000458F8">
              <w:rPr>
                <w:sz w:val="20"/>
                <w:szCs w:val="20"/>
                <w:lang w:val="es-ES_tradnl" w:eastAsia="en-CA"/>
              </w:rPr>
              <w:t>15</w:t>
            </w:r>
            <w:r w:rsidR="00700B97" w:rsidRPr="000458F8">
              <w:rPr>
                <w:sz w:val="20"/>
                <w:szCs w:val="20"/>
                <w:lang w:val="es-ES_tradnl" w:eastAsia="en-CA"/>
              </w:rPr>
              <w:t> </w:t>
            </w:r>
            <w:r w:rsidRPr="000458F8">
              <w:rPr>
                <w:sz w:val="20"/>
                <w:szCs w:val="20"/>
                <w:lang w:val="es-ES_tradnl" w:eastAsia="en-CA"/>
              </w:rPr>
              <w:t>000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77E3165A" w14:textId="77777777" w:rsidR="00C3420C" w:rsidRPr="000458F8" w:rsidRDefault="00C3420C" w:rsidP="008E3F5E">
            <w:pPr>
              <w:jc w:val="right"/>
              <w:rPr>
                <w:sz w:val="20"/>
                <w:szCs w:val="20"/>
                <w:lang w:val="es-ES_tradnl" w:eastAsia="en-CA"/>
              </w:rPr>
            </w:pPr>
            <w:r w:rsidRPr="000458F8">
              <w:rPr>
                <w:sz w:val="20"/>
                <w:szCs w:val="20"/>
                <w:lang w:val="es-ES_tradnl" w:eastAsia="en-CA"/>
              </w:rPr>
              <w:t>281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DDD6CE2"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599C5DDC"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EA07FE8" w14:textId="77777777" w:rsidR="00C3420C" w:rsidRPr="000458F8" w:rsidRDefault="00C3420C" w:rsidP="008E3F5E">
            <w:pPr>
              <w:jc w:val="left"/>
              <w:rPr>
                <w:sz w:val="20"/>
                <w:szCs w:val="20"/>
                <w:lang w:val="es-ES_tradnl" w:eastAsia="en-CA"/>
              </w:rPr>
            </w:pPr>
            <w:r w:rsidRPr="000458F8">
              <w:rPr>
                <w:sz w:val="20"/>
                <w:szCs w:val="20"/>
                <w:lang w:val="es-ES_tradnl" w:eastAsia="en-CA"/>
              </w:rPr>
              <w:t>Nigeria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E57BC2C" w14:textId="4F3894BD" w:rsidR="00C3420C" w:rsidRPr="000458F8" w:rsidRDefault="00C3420C" w:rsidP="008E3F5E">
            <w:pPr>
              <w:jc w:val="right"/>
              <w:rPr>
                <w:sz w:val="20"/>
                <w:szCs w:val="20"/>
                <w:lang w:val="es-ES_tradnl" w:eastAsia="en-CA"/>
              </w:rPr>
            </w:pPr>
            <w:r w:rsidRPr="000458F8">
              <w:rPr>
                <w:sz w:val="20"/>
                <w:szCs w:val="20"/>
                <w:lang w:val="es-ES_tradnl" w:eastAsia="en-CA"/>
              </w:rPr>
              <w:t>30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6DADC78"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548C46D" w14:textId="4EA7F9E2" w:rsidR="00C3420C" w:rsidRPr="000458F8" w:rsidRDefault="00C3420C" w:rsidP="008E3F5E">
            <w:pPr>
              <w:jc w:val="right"/>
              <w:rPr>
                <w:sz w:val="20"/>
                <w:szCs w:val="20"/>
                <w:lang w:val="es-ES_tradnl" w:eastAsia="en-CA"/>
              </w:rPr>
            </w:pPr>
            <w:r w:rsidRPr="000458F8">
              <w:rPr>
                <w:sz w:val="20"/>
                <w:szCs w:val="20"/>
                <w:lang w:val="es-ES_tradnl" w:eastAsia="en-CA"/>
              </w:rPr>
              <w:t>692</w:t>
            </w:r>
            <w:r w:rsidR="00700B97" w:rsidRPr="000458F8">
              <w:rPr>
                <w:sz w:val="20"/>
                <w:szCs w:val="20"/>
                <w:lang w:val="es-ES_tradnl" w:eastAsia="en-CA"/>
              </w:rPr>
              <w:t> </w:t>
            </w:r>
            <w:r w:rsidRPr="000458F8">
              <w:rPr>
                <w:sz w:val="20"/>
                <w:szCs w:val="20"/>
                <w:lang w:val="es-ES_tradnl" w:eastAsia="en-CA"/>
              </w:rPr>
              <w:t>859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3A48BD4" w14:textId="77BFD790" w:rsidR="00C3420C" w:rsidRPr="000458F8" w:rsidRDefault="00C3420C" w:rsidP="008E3F5E">
            <w:pPr>
              <w:jc w:val="right"/>
              <w:rPr>
                <w:sz w:val="20"/>
                <w:szCs w:val="20"/>
                <w:lang w:val="es-ES_tradnl" w:eastAsia="en-CA"/>
              </w:rPr>
            </w:pPr>
            <w:r w:rsidRPr="000458F8">
              <w:rPr>
                <w:sz w:val="20"/>
                <w:szCs w:val="20"/>
                <w:lang w:val="es-ES_tradnl" w:eastAsia="en-CA"/>
              </w:rPr>
              <w:t>235</w:t>
            </w:r>
            <w:r w:rsidR="00700B97" w:rsidRPr="000458F8">
              <w:rPr>
                <w:sz w:val="20"/>
                <w:szCs w:val="20"/>
                <w:lang w:val="es-ES_tradnl" w:eastAsia="en-CA"/>
              </w:rPr>
              <w:t> </w:t>
            </w:r>
            <w:r w:rsidRPr="000458F8">
              <w:rPr>
                <w:sz w:val="20"/>
                <w:szCs w:val="20"/>
                <w:lang w:val="es-ES_tradnl" w:eastAsia="en-CA"/>
              </w:rPr>
              <w:t>227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A94EBCD" w14:textId="77777777" w:rsidR="00C3420C" w:rsidRPr="000458F8" w:rsidRDefault="00C3420C" w:rsidP="008E3F5E">
            <w:pPr>
              <w:jc w:val="right"/>
              <w:rPr>
                <w:sz w:val="20"/>
                <w:szCs w:val="20"/>
                <w:lang w:val="es-ES_tradnl" w:eastAsia="en-CA"/>
              </w:rPr>
            </w:pPr>
            <w:r w:rsidRPr="000458F8">
              <w:rPr>
                <w:sz w:val="20"/>
                <w:szCs w:val="20"/>
                <w:lang w:val="es-ES_tradnl" w:eastAsia="en-CA"/>
              </w:rPr>
              <w:t>34</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E27029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973B92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5EC9A16E" w14:textId="49DFDCE9" w:rsidR="00C3420C" w:rsidRPr="000458F8" w:rsidRDefault="00C3420C" w:rsidP="008E3F5E">
            <w:pPr>
              <w:jc w:val="left"/>
              <w:rPr>
                <w:sz w:val="20"/>
                <w:szCs w:val="20"/>
                <w:lang w:val="es-ES_tradnl" w:eastAsia="en-CA"/>
              </w:rPr>
            </w:pPr>
            <w:r w:rsidRPr="000458F8">
              <w:rPr>
                <w:sz w:val="20"/>
                <w:szCs w:val="20"/>
                <w:lang w:val="es-ES_tradnl" w:eastAsia="en-CA"/>
              </w:rPr>
              <w:t>Pakist</w:t>
            </w:r>
            <w:r w:rsidR="00CF3D14" w:rsidRPr="000458F8">
              <w:rPr>
                <w:sz w:val="20"/>
                <w:szCs w:val="20"/>
                <w:lang w:val="es-ES_tradnl" w:eastAsia="en-CA"/>
              </w:rPr>
              <w:t>á</w:t>
            </w:r>
            <w:r w:rsidRPr="000458F8">
              <w:rPr>
                <w:sz w:val="20"/>
                <w:szCs w:val="20"/>
                <w:lang w:val="es-ES_tradnl" w:eastAsia="en-CA"/>
              </w:rPr>
              <w:t>n</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7842D100" w14:textId="7D3B6E6A"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658D740"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9467B9C" w14:textId="270F0334" w:rsidR="00C3420C" w:rsidRPr="000458F8" w:rsidRDefault="00C3420C" w:rsidP="008E3F5E">
            <w:pPr>
              <w:jc w:val="right"/>
              <w:rPr>
                <w:sz w:val="20"/>
                <w:szCs w:val="20"/>
                <w:lang w:val="es-ES_tradnl" w:eastAsia="en-CA"/>
              </w:rPr>
            </w:pPr>
            <w:r w:rsidRPr="000458F8">
              <w:rPr>
                <w:sz w:val="20"/>
                <w:szCs w:val="20"/>
                <w:lang w:val="es-ES_tradnl" w:eastAsia="en-CA"/>
              </w:rPr>
              <w:t>106</w:t>
            </w:r>
            <w:r w:rsidR="00700B97" w:rsidRPr="000458F8">
              <w:rPr>
                <w:sz w:val="20"/>
                <w:szCs w:val="20"/>
                <w:lang w:val="es-ES_tradnl" w:eastAsia="en-CA"/>
              </w:rPr>
              <w:t> </w:t>
            </w:r>
            <w:r w:rsidRPr="000458F8">
              <w:rPr>
                <w:sz w:val="20"/>
                <w:szCs w:val="20"/>
                <w:lang w:val="es-ES_tradnl" w:eastAsia="en-CA"/>
              </w:rPr>
              <w:t>099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000BC7A" w14:textId="7E34AFC9" w:rsidR="00C3420C" w:rsidRPr="000458F8" w:rsidRDefault="00C3420C" w:rsidP="008E3F5E">
            <w:pPr>
              <w:jc w:val="right"/>
              <w:rPr>
                <w:sz w:val="20"/>
                <w:szCs w:val="20"/>
                <w:lang w:val="es-ES_tradnl" w:eastAsia="en-CA"/>
              </w:rPr>
            </w:pPr>
            <w:r w:rsidRPr="000458F8">
              <w:rPr>
                <w:sz w:val="20"/>
                <w:szCs w:val="20"/>
                <w:lang w:val="es-ES_tradnl" w:eastAsia="en-CA"/>
              </w:rPr>
              <w:t>192</w:t>
            </w:r>
            <w:r w:rsidR="00700B97" w:rsidRPr="000458F8">
              <w:rPr>
                <w:sz w:val="20"/>
                <w:szCs w:val="20"/>
                <w:lang w:val="es-ES_tradnl" w:eastAsia="en-CA"/>
              </w:rPr>
              <w:t> </w:t>
            </w:r>
            <w:r w:rsidRPr="000458F8">
              <w:rPr>
                <w:sz w:val="20"/>
                <w:szCs w:val="20"/>
                <w:lang w:val="es-ES_tradnl" w:eastAsia="en-CA"/>
              </w:rPr>
              <w:t>321</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674B85FC" w14:textId="77777777" w:rsidR="00C3420C" w:rsidRPr="000458F8" w:rsidRDefault="00C3420C" w:rsidP="008E3F5E">
            <w:pPr>
              <w:jc w:val="right"/>
              <w:rPr>
                <w:sz w:val="20"/>
                <w:szCs w:val="20"/>
                <w:lang w:val="es-ES_tradnl" w:eastAsia="en-CA"/>
              </w:rPr>
            </w:pPr>
            <w:r w:rsidRPr="000458F8">
              <w:rPr>
                <w:sz w:val="20"/>
                <w:szCs w:val="20"/>
                <w:lang w:val="es-ES_tradnl" w:eastAsia="en-CA"/>
              </w:rPr>
              <w:t>181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57600384"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12680D2"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79374C6" w14:textId="50403D23" w:rsidR="00C3420C" w:rsidRPr="000458F8" w:rsidRDefault="00C3420C" w:rsidP="008E3F5E">
            <w:pPr>
              <w:jc w:val="left"/>
              <w:rPr>
                <w:sz w:val="20"/>
                <w:szCs w:val="20"/>
                <w:lang w:val="es-ES_tradnl" w:eastAsia="en-CA"/>
              </w:rPr>
            </w:pPr>
            <w:r w:rsidRPr="000458F8">
              <w:rPr>
                <w:sz w:val="20"/>
                <w:szCs w:val="20"/>
                <w:lang w:val="es-ES_tradnl" w:eastAsia="en-CA"/>
              </w:rPr>
              <w:t>Panam</w:t>
            </w:r>
            <w:r w:rsidR="00CF3D14" w:rsidRPr="000458F8">
              <w:rPr>
                <w:sz w:val="20"/>
                <w:szCs w:val="20"/>
                <w:lang w:val="es-ES_tradnl" w:eastAsia="en-CA"/>
              </w:rPr>
              <w:t>á</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EF394B7" w14:textId="03C9B32D" w:rsidR="00C3420C" w:rsidRPr="000458F8" w:rsidRDefault="00C3420C" w:rsidP="008E3F5E">
            <w:pPr>
              <w:jc w:val="right"/>
              <w:rPr>
                <w:sz w:val="20"/>
                <w:szCs w:val="20"/>
                <w:lang w:val="es-ES_tradnl" w:eastAsia="en-CA"/>
              </w:rPr>
            </w:pPr>
            <w:r w:rsidRPr="000458F8">
              <w:rPr>
                <w:sz w:val="20"/>
                <w:szCs w:val="20"/>
                <w:lang w:val="es-ES_tradnl" w:eastAsia="en-CA"/>
              </w:rPr>
              <w:t>2</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19D0095"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F2C0E47" w14:textId="6BB3C001" w:rsidR="00C3420C" w:rsidRPr="000458F8" w:rsidRDefault="00C3420C" w:rsidP="008E3F5E">
            <w:pPr>
              <w:jc w:val="right"/>
              <w:rPr>
                <w:sz w:val="20"/>
                <w:szCs w:val="20"/>
                <w:lang w:val="es-ES_tradnl" w:eastAsia="en-CA"/>
              </w:rPr>
            </w:pPr>
            <w:r w:rsidRPr="000458F8">
              <w:rPr>
                <w:sz w:val="20"/>
                <w:szCs w:val="20"/>
                <w:lang w:val="es-ES_tradnl" w:eastAsia="en-CA"/>
              </w:rPr>
              <w:t>172</w:t>
            </w:r>
            <w:r w:rsidR="00700B97" w:rsidRPr="000458F8">
              <w:rPr>
                <w:sz w:val="20"/>
                <w:szCs w:val="20"/>
                <w:lang w:val="es-ES_tradnl" w:eastAsia="en-CA"/>
              </w:rPr>
              <w:t> </w:t>
            </w:r>
            <w:r w:rsidRPr="000458F8">
              <w:rPr>
                <w:sz w:val="20"/>
                <w:szCs w:val="20"/>
                <w:lang w:val="es-ES_tradnl" w:eastAsia="en-CA"/>
              </w:rPr>
              <w:t>912</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82C6B78" w14:textId="64A35AB3" w:rsidR="00C3420C" w:rsidRPr="000458F8" w:rsidRDefault="00C3420C" w:rsidP="008E3F5E">
            <w:pPr>
              <w:jc w:val="right"/>
              <w:rPr>
                <w:sz w:val="20"/>
                <w:szCs w:val="20"/>
                <w:lang w:val="es-ES_tradnl" w:eastAsia="en-CA"/>
              </w:rPr>
            </w:pPr>
            <w:r w:rsidRPr="000458F8">
              <w:rPr>
                <w:sz w:val="20"/>
                <w:szCs w:val="20"/>
                <w:lang w:val="es-ES_tradnl" w:eastAsia="en-CA"/>
              </w:rPr>
              <w:t>225</w:t>
            </w:r>
            <w:r w:rsidR="00700B97" w:rsidRPr="000458F8">
              <w:rPr>
                <w:sz w:val="20"/>
                <w:szCs w:val="20"/>
                <w:lang w:val="es-ES_tradnl" w:eastAsia="en-CA"/>
              </w:rPr>
              <w:t> </w:t>
            </w:r>
            <w:r w:rsidRPr="000458F8">
              <w:rPr>
                <w:sz w:val="20"/>
                <w:szCs w:val="20"/>
                <w:lang w:val="es-ES_tradnl" w:eastAsia="en-CA"/>
              </w:rPr>
              <w:t>742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B23C4D7" w14:textId="77777777" w:rsidR="00C3420C" w:rsidRPr="000458F8" w:rsidRDefault="00C3420C" w:rsidP="008E3F5E">
            <w:pPr>
              <w:jc w:val="right"/>
              <w:rPr>
                <w:sz w:val="20"/>
                <w:szCs w:val="20"/>
                <w:lang w:val="es-ES_tradnl" w:eastAsia="en-CA"/>
              </w:rPr>
            </w:pPr>
            <w:r w:rsidRPr="000458F8">
              <w:rPr>
                <w:sz w:val="20"/>
                <w:szCs w:val="20"/>
                <w:lang w:val="es-ES_tradnl" w:eastAsia="en-CA"/>
              </w:rPr>
              <w:t>131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06435BD4"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6E1A66B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D28E9F5" w14:textId="77777777" w:rsidR="00C3420C" w:rsidRPr="000458F8" w:rsidRDefault="00C3420C" w:rsidP="008E3F5E">
            <w:pPr>
              <w:jc w:val="left"/>
              <w:rPr>
                <w:sz w:val="20"/>
                <w:szCs w:val="20"/>
                <w:lang w:val="es-ES_tradnl" w:eastAsia="en-CA"/>
              </w:rPr>
            </w:pPr>
            <w:r w:rsidRPr="000458F8">
              <w:rPr>
                <w:sz w:val="20"/>
                <w:szCs w:val="20"/>
                <w:lang w:val="es-ES_tradnl" w:eastAsia="en-CA"/>
              </w:rPr>
              <w:t>Paraguay</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45A42489" w14:textId="43C085BD" w:rsidR="00C3420C" w:rsidRPr="000458F8" w:rsidRDefault="00C3420C" w:rsidP="008E3F5E">
            <w:pPr>
              <w:jc w:val="right"/>
              <w:rPr>
                <w:sz w:val="20"/>
                <w:szCs w:val="20"/>
                <w:lang w:val="es-ES_tradnl" w:eastAsia="en-CA"/>
              </w:rPr>
            </w:pPr>
            <w:r w:rsidRPr="000458F8">
              <w:rPr>
                <w:sz w:val="20"/>
                <w:szCs w:val="20"/>
                <w:lang w:val="es-ES_tradnl" w:eastAsia="en-CA"/>
              </w:rPr>
              <w:t>2</w:t>
            </w:r>
            <w:r w:rsidR="00CF3D14" w:rsidRPr="000458F8">
              <w:rPr>
                <w:sz w:val="20"/>
                <w:szCs w:val="20"/>
                <w:lang w:val="es-ES_tradnl" w:eastAsia="en-CA"/>
              </w:rPr>
              <w:t>,</w:t>
            </w:r>
            <w:r w:rsidRPr="000458F8">
              <w:rPr>
                <w:sz w:val="20"/>
                <w:szCs w:val="20"/>
                <w:lang w:val="es-ES_tradnl" w:eastAsia="en-CA"/>
              </w:rPr>
              <w:t>1</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51A6F04"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221BEBA" w14:textId="2065D5BA" w:rsidR="00C3420C" w:rsidRPr="000458F8" w:rsidRDefault="00C3420C" w:rsidP="008E3F5E">
            <w:pPr>
              <w:jc w:val="right"/>
              <w:rPr>
                <w:sz w:val="20"/>
                <w:szCs w:val="20"/>
                <w:lang w:val="es-ES_tradnl" w:eastAsia="en-CA"/>
              </w:rPr>
            </w:pPr>
            <w:r w:rsidRPr="000458F8">
              <w:rPr>
                <w:sz w:val="20"/>
                <w:szCs w:val="20"/>
                <w:lang w:val="es-ES_tradnl" w:eastAsia="en-CA"/>
              </w:rPr>
              <w:t>13</w:t>
            </w:r>
            <w:r w:rsidR="00700B97" w:rsidRPr="000458F8">
              <w:rPr>
                <w:sz w:val="20"/>
                <w:szCs w:val="20"/>
                <w:lang w:val="es-ES_tradnl" w:eastAsia="en-CA"/>
              </w:rPr>
              <w:t> </w:t>
            </w:r>
            <w:r w:rsidRPr="000458F8">
              <w:rPr>
                <w:sz w:val="20"/>
                <w:szCs w:val="20"/>
                <w:lang w:val="es-ES_tradnl" w:eastAsia="en-CA"/>
              </w:rPr>
              <w:t>325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39EA9FC" w14:textId="0AC18048" w:rsidR="00C3420C" w:rsidRPr="000458F8" w:rsidRDefault="00C3420C" w:rsidP="008E3F5E">
            <w:pPr>
              <w:jc w:val="right"/>
              <w:rPr>
                <w:sz w:val="20"/>
                <w:szCs w:val="20"/>
                <w:lang w:val="es-ES_tradnl" w:eastAsia="en-CA"/>
              </w:rPr>
            </w:pPr>
            <w:r w:rsidRPr="000458F8">
              <w:rPr>
                <w:sz w:val="20"/>
                <w:szCs w:val="20"/>
                <w:lang w:val="es-ES_tradnl" w:eastAsia="en-CA"/>
              </w:rPr>
              <w:t>43</w:t>
            </w:r>
            <w:r w:rsidR="00700B97" w:rsidRPr="000458F8">
              <w:rPr>
                <w:sz w:val="20"/>
                <w:szCs w:val="20"/>
                <w:lang w:val="es-ES_tradnl" w:eastAsia="en-CA"/>
              </w:rPr>
              <w:t> </w:t>
            </w:r>
            <w:r w:rsidRPr="000458F8">
              <w:rPr>
                <w:sz w:val="20"/>
                <w:szCs w:val="20"/>
                <w:lang w:val="es-ES_tradnl" w:eastAsia="en-CA"/>
              </w:rPr>
              <w:t>311</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78EBD5CD" w14:textId="77777777" w:rsidR="00C3420C" w:rsidRPr="000458F8" w:rsidRDefault="00C3420C" w:rsidP="008E3F5E">
            <w:pPr>
              <w:jc w:val="right"/>
              <w:rPr>
                <w:sz w:val="20"/>
                <w:szCs w:val="20"/>
                <w:lang w:val="es-ES_tradnl" w:eastAsia="en-CA"/>
              </w:rPr>
            </w:pPr>
            <w:r w:rsidRPr="000458F8">
              <w:rPr>
                <w:sz w:val="20"/>
                <w:szCs w:val="20"/>
                <w:lang w:val="es-ES_tradnl" w:eastAsia="en-CA"/>
              </w:rPr>
              <w:t>325</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0A760E97"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DAAD389"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5E416C3" w14:textId="15B773FD" w:rsidR="00C3420C" w:rsidRPr="000458F8" w:rsidRDefault="00C3420C" w:rsidP="008E3F5E">
            <w:pPr>
              <w:jc w:val="left"/>
              <w:rPr>
                <w:sz w:val="20"/>
                <w:szCs w:val="20"/>
                <w:lang w:val="es-ES_tradnl" w:eastAsia="en-CA"/>
              </w:rPr>
            </w:pPr>
            <w:r w:rsidRPr="000458F8">
              <w:rPr>
                <w:sz w:val="20"/>
                <w:szCs w:val="20"/>
                <w:lang w:val="es-ES_tradnl" w:eastAsia="en-CA"/>
              </w:rPr>
              <w:t>Per</w:t>
            </w:r>
            <w:r w:rsidR="00CF3D14" w:rsidRPr="000458F8">
              <w:rPr>
                <w:sz w:val="20"/>
                <w:szCs w:val="20"/>
                <w:lang w:val="es-ES_tradnl" w:eastAsia="en-CA"/>
              </w:rPr>
              <w:t>ú</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A49F003" w14:textId="24107385"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9</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1896D45"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031C32A" w14:textId="3C6404A1" w:rsidR="00C3420C" w:rsidRPr="000458F8" w:rsidRDefault="00C3420C" w:rsidP="008E3F5E">
            <w:pPr>
              <w:jc w:val="right"/>
              <w:rPr>
                <w:sz w:val="20"/>
                <w:szCs w:val="20"/>
                <w:lang w:val="es-ES_tradnl" w:eastAsia="en-CA"/>
              </w:rPr>
            </w:pPr>
            <w:r w:rsidRPr="000458F8">
              <w:rPr>
                <w:sz w:val="20"/>
                <w:szCs w:val="20"/>
                <w:lang w:val="es-ES_tradnl" w:eastAsia="en-CA"/>
              </w:rPr>
              <w:t>73</w:t>
            </w:r>
            <w:r w:rsidR="00700B97" w:rsidRPr="000458F8">
              <w:rPr>
                <w:sz w:val="20"/>
                <w:szCs w:val="20"/>
                <w:lang w:val="es-ES_tradnl" w:eastAsia="en-CA"/>
              </w:rPr>
              <w:t> </w:t>
            </w:r>
            <w:r w:rsidRPr="000458F8">
              <w:rPr>
                <w:sz w:val="20"/>
                <w:szCs w:val="20"/>
                <w:lang w:val="es-ES_tradnl" w:eastAsia="en-CA"/>
              </w:rPr>
              <w:t>495</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018E699" w14:textId="2FA13AE6" w:rsidR="00C3420C" w:rsidRPr="000458F8" w:rsidRDefault="00C3420C" w:rsidP="008E3F5E">
            <w:pPr>
              <w:jc w:val="right"/>
              <w:rPr>
                <w:sz w:val="20"/>
                <w:szCs w:val="20"/>
                <w:lang w:val="es-ES_tradnl" w:eastAsia="en-CA"/>
              </w:rPr>
            </w:pPr>
            <w:r w:rsidRPr="000458F8">
              <w:rPr>
                <w:sz w:val="20"/>
                <w:szCs w:val="20"/>
                <w:lang w:val="es-ES_tradnl" w:eastAsia="en-CA"/>
              </w:rPr>
              <w:t>103</w:t>
            </w:r>
            <w:r w:rsidR="00700B97" w:rsidRPr="000458F8">
              <w:rPr>
                <w:sz w:val="20"/>
                <w:szCs w:val="20"/>
                <w:lang w:val="es-ES_tradnl" w:eastAsia="en-CA"/>
              </w:rPr>
              <w:t> </w:t>
            </w:r>
            <w:r w:rsidRPr="000458F8">
              <w:rPr>
                <w:sz w:val="20"/>
                <w:szCs w:val="20"/>
                <w:lang w:val="es-ES_tradnl" w:eastAsia="en-CA"/>
              </w:rPr>
              <w:t>517</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65321DF" w14:textId="77777777" w:rsidR="00C3420C" w:rsidRPr="000458F8" w:rsidRDefault="00C3420C" w:rsidP="008E3F5E">
            <w:pPr>
              <w:jc w:val="right"/>
              <w:rPr>
                <w:sz w:val="20"/>
                <w:szCs w:val="20"/>
                <w:lang w:val="es-ES_tradnl" w:eastAsia="en-CA"/>
              </w:rPr>
            </w:pPr>
            <w:r w:rsidRPr="000458F8">
              <w:rPr>
                <w:sz w:val="20"/>
                <w:szCs w:val="20"/>
                <w:lang w:val="es-ES_tradnl" w:eastAsia="en-CA"/>
              </w:rPr>
              <w:t>141</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E473AE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4313031D"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D81E3AB" w14:textId="412B2200" w:rsidR="00C3420C" w:rsidRPr="000458F8" w:rsidRDefault="00C3420C" w:rsidP="008E3F5E">
            <w:pPr>
              <w:jc w:val="left"/>
              <w:rPr>
                <w:sz w:val="20"/>
                <w:szCs w:val="20"/>
                <w:lang w:val="es-ES_tradnl" w:eastAsia="en-CA"/>
              </w:rPr>
            </w:pPr>
            <w:r w:rsidRPr="000458F8">
              <w:rPr>
                <w:sz w:val="20"/>
                <w:szCs w:val="20"/>
                <w:lang w:val="es-ES_tradnl" w:eastAsia="en-CA"/>
              </w:rPr>
              <w:lastRenderedPageBreak/>
              <w:t>Re</w:t>
            </w:r>
            <w:r w:rsidR="00CF3D14" w:rsidRPr="000458F8">
              <w:rPr>
                <w:sz w:val="20"/>
                <w:szCs w:val="20"/>
                <w:lang w:val="es-ES_tradnl" w:eastAsia="en-CA"/>
              </w:rPr>
              <w:t xml:space="preserve">pública de </w:t>
            </w:r>
            <w:r w:rsidRPr="000458F8">
              <w:rPr>
                <w:sz w:val="20"/>
                <w:szCs w:val="20"/>
                <w:lang w:val="es-ES_tradnl" w:eastAsia="en-CA"/>
              </w:rPr>
              <w:t xml:space="preserve">Moldova </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B07FA1A" w14:textId="14159EE2"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2</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C128F43"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2F0ED2AF" w14:textId="33C9763A" w:rsidR="00C3420C" w:rsidRPr="000458F8" w:rsidRDefault="00C3420C" w:rsidP="008E3F5E">
            <w:pPr>
              <w:jc w:val="right"/>
              <w:rPr>
                <w:sz w:val="20"/>
                <w:szCs w:val="20"/>
                <w:lang w:val="es-ES_tradnl" w:eastAsia="en-CA"/>
              </w:rPr>
            </w:pPr>
            <w:r w:rsidRPr="000458F8">
              <w:rPr>
                <w:sz w:val="20"/>
                <w:szCs w:val="20"/>
                <w:lang w:val="es-ES_tradnl" w:eastAsia="en-CA"/>
              </w:rPr>
              <w:t>20</w:t>
            </w:r>
            <w:r w:rsidR="00700B97" w:rsidRPr="000458F8">
              <w:rPr>
                <w:sz w:val="20"/>
                <w:szCs w:val="20"/>
                <w:lang w:val="es-ES_tradnl" w:eastAsia="en-CA"/>
              </w:rPr>
              <w:t> </w:t>
            </w:r>
            <w:r w:rsidRPr="000458F8">
              <w:rPr>
                <w:sz w:val="20"/>
                <w:szCs w:val="20"/>
                <w:lang w:val="es-ES_tradnl" w:eastAsia="en-CA"/>
              </w:rPr>
              <w:t>590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6B55924" w14:textId="13DBC38B" w:rsidR="00C3420C" w:rsidRPr="000458F8" w:rsidRDefault="00C3420C" w:rsidP="008E3F5E">
            <w:pPr>
              <w:jc w:val="right"/>
              <w:rPr>
                <w:sz w:val="20"/>
                <w:szCs w:val="20"/>
                <w:lang w:val="es-ES_tradnl" w:eastAsia="en-CA"/>
              </w:rPr>
            </w:pPr>
            <w:r w:rsidRPr="000458F8">
              <w:rPr>
                <w:sz w:val="20"/>
                <w:szCs w:val="20"/>
                <w:lang w:val="es-ES_tradnl" w:eastAsia="en-CA"/>
              </w:rPr>
              <w:t>65</w:t>
            </w:r>
            <w:r w:rsidR="00700B97" w:rsidRPr="000458F8">
              <w:rPr>
                <w:sz w:val="20"/>
                <w:szCs w:val="20"/>
                <w:lang w:val="es-ES_tradnl" w:eastAsia="en-CA"/>
              </w:rPr>
              <w:t> </w:t>
            </w:r>
            <w:r w:rsidRPr="000458F8">
              <w:rPr>
                <w:sz w:val="20"/>
                <w:szCs w:val="20"/>
                <w:lang w:val="es-ES_tradnl" w:eastAsia="en-CA"/>
              </w:rPr>
              <w:t>295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629A48D" w14:textId="77777777" w:rsidR="00C3420C" w:rsidRPr="000458F8" w:rsidRDefault="00C3420C" w:rsidP="008E3F5E">
            <w:pPr>
              <w:jc w:val="right"/>
              <w:rPr>
                <w:sz w:val="20"/>
                <w:szCs w:val="20"/>
                <w:lang w:val="es-ES_tradnl" w:eastAsia="en-CA"/>
              </w:rPr>
            </w:pPr>
            <w:r w:rsidRPr="000458F8">
              <w:rPr>
                <w:sz w:val="20"/>
                <w:szCs w:val="20"/>
                <w:lang w:val="es-ES_tradnl" w:eastAsia="en-CA"/>
              </w:rPr>
              <w:t>317</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169A9356"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7A2B1674"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B6B4434" w14:textId="41138889" w:rsidR="00C3420C" w:rsidRPr="000458F8" w:rsidRDefault="00C3420C" w:rsidP="008E3F5E">
            <w:pPr>
              <w:jc w:val="left"/>
              <w:rPr>
                <w:sz w:val="20"/>
                <w:szCs w:val="20"/>
                <w:lang w:val="es-ES_tradnl" w:eastAsia="en-CA"/>
              </w:rPr>
            </w:pPr>
            <w:r w:rsidRPr="000458F8">
              <w:rPr>
                <w:sz w:val="20"/>
                <w:szCs w:val="20"/>
                <w:lang w:val="es-ES_tradnl" w:eastAsia="en-CA"/>
              </w:rPr>
              <w:t xml:space="preserve">Saint Kitts </w:t>
            </w:r>
            <w:r w:rsidR="00CF3D14" w:rsidRPr="000458F8">
              <w:rPr>
                <w:sz w:val="20"/>
                <w:szCs w:val="20"/>
                <w:lang w:val="es-ES_tradnl" w:eastAsia="en-CA"/>
              </w:rPr>
              <w:t>y</w:t>
            </w:r>
            <w:r w:rsidRPr="000458F8">
              <w:rPr>
                <w:sz w:val="20"/>
                <w:szCs w:val="20"/>
                <w:lang w:val="es-ES_tradnl" w:eastAsia="en-CA"/>
              </w:rPr>
              <w:t xml:space="preserve"> Nevis</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6D246278" w14:textId="01103BFE"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1</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27E27ECB"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7270C7C" w14:textId="45E7315E" w:rsidR="00C3420C" w:rsidRPr="000458F8" w:rsidRDefault="00C3420C" w:rsidP="008E3F5E">
            <w:pPr>
              <w:jc w:val="right"/>
              <w:rPr>
                <w:sz w:val="20"/>
                <w:szCs w:val="20"/>
                <w:lang w:val="es-ES_tradnl" w:eastAsia="en-CA"/>
              </w:rPr>
            </w:pPr>
            <w:r w:rsidRPr="000458F8">
              <w:rPr>
                <w:sz w:val="20"/>
                <w:szCs w:val="20"/>
                <w:lang w:val="es-ES_tradnl" w:eastAsia="en-CA"/>
              </w:rPr>
              <w:t>8</w:t>
            </w:r>
            <w:r w:rsidR="00700B97" w:rsidRPr="000458F8">
              <w:rPr>
                <w:sz w:val="20"/>
                <w:szCs w:val="20"/>
                <w:lang w:val="es-ES_tradnl" w:eastAsia="en-CA"/>
              </w:rPr>
              <w:t> </w:t>
            </w:r>
            <w:r w:rsidRPr="000458F8">
              <w:rPr>
                <w:sz w:val="20"/>
                <w:szCs w:val="20"/>
                <w:lang w:val="es-ES_tradnl" w:eastAsia="en-CA"/>
              </w:rPr>
              <w:t>000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016C99C" w14:textId="14A681E5" w:rsidR="00C3420C" w:rsidRPr="000458F8" w:rsidRDefault="00C3420C" w:rsidP="008E3F5E">
            <w:pPr>
              <w:jc w:val="right"/>
              <w:rPr>
                <w:sz w:val="20"/>
                <w:szCs w:val="20"/>
                <w:lang w:val="es-ES_tradnl" w:eastAsia="en-CA"/>
              </w:rPr>
            </w:pPr>
            <w:r w:rsidRPr="000458F8">
              <w:rPr>
                <w:sz w:val="20"/>
                <w:szCs w:val="20"/>
                <w:lang w:val="es-ES_tradnl" w:eastAsia="en-CA"/>
              </w:rPr>
              <w:t>39</w:t>
            </w:r>
            <w:r w:rsidR="00700B97" w:rsidRPr="000458F8">
              <w:rPr>
                <w:sz w:val="20"/>
                <w:szCs w:val="20"/>
                <w:lang w:val="es-ES_tradnl" w:eastAsia="en-CA"/>
              </w:rPr>
              <w:t> </w:t>
            </w:r>
            <w:r w:rsidRPr="000458F8">
              <w:rPr>
                <w:sz w:val="20"/>
                <w:szCs w:val="20"/>
                <w:lang w:val="es-ES_tradnl" w:eastAsia="en-CA"/>
              </w:rPr>
              <w:t>942</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5415A56" w14:textId="77777777" w:rsidR="00C3420C" w:rsidRPr="000458F8" w:rsidRDefault="00C3420C" w:rsidP="008E3F5E">
            <w:pPr>
              <w:jc w:val="right"/>
              <w:rPr>
                <w:sz w:val="20"/>
                <w:szCs w:val="20"/>
                <w:lang w:val="es-ES_tradnl" w:eastAsia="en-CA"/>
              </w:rPr>
            </w:pPr>
            <w:r w:rsidRPr="000458F8">
              <w:rPr>
                <w:sz w:val="20"/>
                <w:szCs w:val="20"/>
                <w:lang w:val="es-ES_tradnl" w:eastAsia="en-CA"/>
              </w:rPr>
              <w:t>499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2733680A"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6F36B565"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620963A3" w14:textId="77777777" w:rsidR="00C3420C" w:rsidRPr="000458F8" w:rsidRDefault="00C3420C" w:rsidP="008E3F5E">
            <w:pPr>
              <w:jc w:val="left"/>
              <w:rPr>
                <w:sz w:val="20"/>
                <w:szCs w:val="20"/>
                <w:lang w:val="es-ES_tradnl" w:eastAsia="en-CA"/>
              </w:rPr>
            </w:pPr>
            <w:r w:rsidRPr="000458F8">
              <w:rPr>
                <w:sz w:val="20"/>
                <w:szCs w:val="20"/>
                <w:lang w:val="es-ES_tradnl" w:eastAsia="en-CA"/>
              </w:rPr>
              <w:t>Sri Lanka</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1D405C07" w14:textId="5D71EF0F" w:rsidR="00C3420C" w:rsidRPr="000458F8" w:rsidRDefault="00C3420C" w:rsidP="008E3F5E">
            <w:pPr>
              <w:jc w:val="right"/>
              <w:rPr>
                <w:sz w:val="20"/>
                <w:szCs w:val="20"/>
                <w:lang w:val="es-ES_tradnl" w:eastAsia="en-CA"/>
              </w:rPr>
            </w:pPr>
            <w:r w:rsidRPr="000458F8">
              <w:rPr>
                <w:sz w:val="20"/>
                <w:szCs w:val="20"/>
                <w:lang w:val="es-ES_tradnl" w:eastAsia="en-CA"/>
              </w:rPr>
              <w:t>1</w:t>
            </w:r>
            <w:r w:rsidR="00CF3D14" w:rsidRPr="000458F8">
              <w:rPr>
                <w:sz w:val="20"/>
                <w:szCs w:val="20"/>
                <w:lang w:val="es-ES_tradnl" w:eastAsia="en-CA"/>
              </w:rPr>
              <w:t>,</w:t>
            </w:r>
            <w:r w:rsidRPr="000458F8">
              <w:rPr>
                <w:sz w:val="20"/>
                <w:szCs w:val="20"/>
                <w:lang w:val="es-ES_tradnl" w:eastAsia="en-CA"/>
              </w:rPr>
              <w:t>1</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49173D07"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B8D1022" w14:textId="5A4C5D76" w:rsidR="00C3420C" w:rsidRPr="000458F8" w:rsidRDefault="00C3420C" w:rsidP="008E3F5E">
            <w:pPr>
              <w:jc w:val="right"/>
              <w:rPr>
                <w:sz w:val="20"/>
                <w:szCs w:val="20"/>
                <w:lang w:val="es-ES_tradnl" w:eastAsia="en-CA"/>
              </w:rPr>
            </w:pPr>
            <w:r w:rsidRPr="000458F8">
              <w:rPr>
                <w:sz w:val="20"/>
                <w:szCs w:val="20"/>
                <w:lang w:val="es-ES_tradnl" w:eastAsia="en-CA"/>
              </w:rPr>
              <w:t>50</w:t>
            </w:r>
            <w:r w:rsidR="00700B97" w:rsidRPr="000458F8">
              <w:rPr>
                <w:sz w:val="20"/>
                <w:szCs w:val="20"/>
                <w:lang w:val="es-ES_tradnl" w:eastAsia="en-CA"/>
              </w:rPr>
              <w:t> </w:t>
            </w:r>
            <w:r w:rsidRPr="000458F8">
              <w:rPr>
                <w:sz w:val="20"/>
                <w:szCs w:val="20"/>
                <w:lang w:val="es-ES_tradnl" w:eastAsia="en-CA"/>
              </w:rPr>
              <w:t>451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DB0B2FC" w14:textId="2A77371D" w:rsidR="00C3420C" w:rsidRPr="000458F8" w:rsidRDefault="00C3420C" w:rsidP="008E3F5E">
            <w:pPr>
              <w:jc w:val="right"/>
              <w:rPr>
                <w:sz w:val="20"/>
                <w:szCs w:val="20"/>
                <w:lang w:val="es-ES_tradnl" w:eastAsia="en-CA"/>
              </w:rPr>
            </w:pPr>
            <w:r w:rsidRPr="000458F8">
              <w:rPr>
                <w:sz w:val="20"/>
                <w:szCs w:val="20"/>
                <w:lang w:val="es-ES_tradnl" w:eastAsia="en-CA"/>
              </w:rPr>
              <w:t>104</w:t>
            </w:r>
            <w:r w:rsidR="00700B97" w:rsidRPr="000458F8">
              <w:rPr>
                <w:sz w:val="20"/>
                <w:szCs w:val="20"/>
                <w:lang w:val="es-ES_tradnl" w:eastAsia="en-CA"/>
              </w:rPr>
              <w:t> </w:t>
            </w:r>
            <w:r w:rsidRPr="000458F8">
              <w:rPr>
                <w:sz w:val="20"/>
                <w:szCs w:val="20"/>
                <w:lang w:val="es-ES_tradnl" w:eastAsia="en-CA"/>
              </w:rPr>
              <w:t>604</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ECF1DBA" w14:textId="77777777" w:rsidR="00C3420C" w:rsidRPr="000458F8" w:rsidRDefault="00C3420C" w:rsidP="008E3F5E">
            <w:pPr>
              <w:jc w:val="right"/>
              <w:rPr>
                <w:sz w:val="20"/>
                <w:szCs w:val="20"/>
                <w:lang w:val="es-ES_tradnl" w:eastAsia="en-CA"/>
              </w:rPr>
            </w:pPr>
            <w:r w:rsidRPr="000458F8">
              <w:rPr>
                <w:sz w:val="20"/>
                <w:szCs w:val="20"/>
                <w:lang w:val="es-ES_tradnl" w:eastAsia="en-CA"/>
              </w:rPr>
              <w:t>207</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AB43A8A"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3420C" w:rsidRPr="000458F8" w14:paraId="3AD1A91B"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0D9C7DF" w14:textId="77777777" w:rsidR="00C3420C" w:rsidRPr="000458F8" w:rsidRDefault="00C3420C" w:rsidP="008E3F5E">
            <w:pPr>
              <w:jc w:val="left"/>
              <w:rPr>
                <w:sz w:val="20"/>
                <w:szCs w:val="20"/>
                <w:lang w:val="es-ES_tradnl" w:eastAsia="en-CA"/>
              </w:rPr>
            </w:pPr>
            <w:r w:rsidRPr="000458F8">
              <w:rPr>
                <w:sz w:val="20"/>
                <w:szCs w:val="20"/>
                <w:lang w:val="es-ES_tradnl" w:eastAsia="en-CA"/>
              </w:rPr>
              <w:t>Timor-Leste</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5DD58A4E" w14:textId="7A62825A" w:rsidR="00C3420C" w:rsidRPr="000458F8" w:rsidRDefault="00C3420C" w:rsidP="008E3F5E">
            <w:pPr>
              <w:jc w:val="right"/>
              <w:rPr>
                <w:sz w:val="20"/>
                <w:szCs w:val="20"/>
                <w:lang w:val="es-ES_tradnl" w:eastAsia="en-CA"/>
              </w:rPr>
            </w:pPr>
            <w:r w:rsidRPr="000458F8">
              <w:rPr>
                <w:sz w:val="20"/>
                <w:szCs w:val="20"/>
                <w:lang w:val="es-ES_tradnl" w:eastAsia="en-CA"/>
              </w:rPr>
              <w:t>0</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427B96F"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301D521" w14:textId="5E2479C6" w:rsidR="00C3420C" w:rsidRPr="000458F8" w:rsidRDefault="00C3420C" w:rsidP="008E3F5E">
            <w:pPr>
              <w:jc w:val="right"/>
              <w:rPr>
                <w:sz w:val="20"/>
                <w:szCs w:val="20"/>
                <w:lang w:val="es-ES_tradnl" w:eastAsia="en-CA"/>
              </w:rPr>
            </w:pPr>
            <w:r w:rsidRPr="000458F8">
              <w:rPr>
                <w:sz w:val="20"/>
                <w:szCs w:val="20"/>
                <w:lang w:val="es-ES_tradnl" w:eastAsia="en-CA"/>
              </w:rPr>
              <w:t>14</w:t>
            </w:r>
            <w:r w:rsidR="00700B97" w:rsidRPr="000458F8">
              <w:rPr>
                <w:sz w:val="20"/>
                <w:szCs w:val="20"/>
                <w:lang w:val="es-ES_tradnl" w:eastAsia="en-CA"/>
              </w:rPr>
              <w:t> </w:t>
            </w:r>
            <w:r w:rsidRPr="000458F8">
              <w:rPr>
                <w:sz w:val="20"/>
                <w:szCs w:val="20"/>
                <w:lang w:val="es-ES_tradnl" w:eastAsia="en-CA"/>
              </w:rPr>
              <w:t>540</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585A2BDA" w14:textId="6C7FF920" w:rsidR="00C3420C" w:rsidRPr="000458F8" w:rsidRDefault="00C3420C" w:rsidP="008E3F5E">
            <w:pPr>
              <w:jc w:val="right"/>
              <w:rPr>
                <w:sz w:val="20"/>
                <w:szCs w:val="20"/>
                <w:lang w:val="es-ES_tradnl" w:eastAsia="en-CA"/>
              </w:rPr>
            </w:pPr>
            <w:r w:rsidRPr="000458F8">
              <w:rPr>
                <w:sz w:val="20"/>
                <w:szCs w:val="20"/>
                <w:lang w:val="es-ES_tradnl" w:eastAsia="en-CA"/>
              </w:rPr>
              <w:t>6</w:t>
            </w:r>
            <w:r w:rsidR="00700B97" w:rsidRPr="000458F8">
              <w:rPr>
                <w:sz w:val="20"/>
                <w:szCs w:val="20"/>
                <w:lang w:val="es-ES_tradnl" w:eastAsia="en-CA"/>
              </w:rPr>
              <w:t> </w:t>
            </w:r>
            <w:r w:rsidRPr="000458F8">
              <w:rPr>
                <w:sz w:val="20"/>
                <w:szCs w:val="20"/>
                <w:lang w:val="es-ES_tradnl" w:eastAsia="en-CA"/>
              </w:rPr>
              <w:t>050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1651345F" w14:textId="77777777" w:rsidR="00C3420C" w:rsidRPr="000458F8" w:rsidRDefault="00C3420C" w:rsidP="008E3F5E">
            <w:pPr>
              <w:jc w:val="right"/>
              <w:rPr>
                <w:sz w:val="20"/>
                <w:szCs w:val="20"/>
                <w:lang w:val="es-ES_tradnl" w:eastAsia="en-CA"/>
              </w:rPr>
            </w:pPr>
            <w:r w:rsidRPr="000458F8">
              <w:rPr>
                <w:sz w:val="20"/>
                <w:szCs w:val="20"/>
                <w:lang w:val="es-ES_tradnl" w:eastAsia="en-CA"/>
              </w:rPr>
              <w:t>42</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4452E2C0"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3096B4F0"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185143FB" w14:textId="6DDCE7F5" w:rsidR="00C3420C" w:rsidRPr="000458F8" w:rsidRDefault="00C3420C" w:rsidP="008E3F5E">
            <w:pPr>
              <w:jc w:val="left"/>
              <w:rPr>
                <w:sz w:val="20"/>
                <w:szCs w:val="20"/>
                <w:lang w:val="es-ES_tradnl" w:eastAsia="en-CA"/>
              </w:rPr>
            </w:pPr>
            <w:r w:rsidRPr="000458F8">
              <w:rPr>
                <w:sz w:val="20"/>
                <w:szCs w:val="20"/>
                <w:lang w:val="es-ES_tradnl" w:eastAsia="en-CA"/>
              </w:rPr>
              <w:t xml:space="preserve">Trinidad </w:t>
            </w:r>
            <w:r w:rsidR="00CF3D14" w:rsidRPr="000458F8">
              <w:rPr>
                <w:sz w:val="20"/>
                <w:szCs w:val="20"/>
                <w:lang w:val="es-ES_tradnl" w:eastAsia="en-CA"/>
              </w:rPr>
              <w:t>y</w:t>
            </w:r>
            <w:r w:rsidRPr="000458F8">
              <w:rPr>
                <w:sz w:val="20"/>
                <w:szCs w:val="20"/>
                <w:lang w:val="es-ES_tradnl" w:eastAsia="en-CA"/>
              </w:rPr>
              <w:t xml:space="preserve"> T</w:t>
            </w:r>
            <w:r w:rsidR="00CF3D14" w:rsidRPr="000458F8">
              <w:rPr>
                <w:sz w:val="20"/>
                <w:szCs w:val="20"/>
                <w:lang w:val="es-ES_tradnl" w:eastAsia="en-CA"/>
              </w:rPr>
              <w:t>a</w:t>
            </w:r>
            <w:r w:rsidRPr="000458F8">
              <w:rPr>
                <w:sz w:val="20"/>
                <w:szCs w:val="20"/>
                <w:lang w:val="es-ES_tradnl" w:eastAsia="en-CA"/>
              </w:rPr>
              <w:t>bago</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00A9BF7E" w14:textId="3279DC70" w:rsidR="00C3420C" w:rsidRPr="000458F8" w:rsidRDefault="00C3420C" w:rsidP="008E3F5E">
            <w:pPr>
              <w:jc w:val="right"/>
              <w:rPr>
                <w:sz w:val="20"/>
                <w:szCs w:val="20"/>
                <w:lang w:val="es-ES_tradnl" w:eastAsia="en-CA"/>
              </w:rPr>
            </w:pPr>
            <w:r w:rsidRPr="000458F8">
              <w:rPr>
                <w:sz w:val="20"/>
                <w:szCs w:val="20"/>
                <w:lang w:val="es-ES_tradnl" w:eastAsia="en-CA"/>
              </w:rPr>
              <w:t>4</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B23E6F2"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7B5F7ECB" w14:textId="073D14F5" w:rsidR="00C3420C" w:rsidRPr="000458F8" w:rsidRDefault="00C3420C" w:rsidP="008E3F5E">
            <w:pPr>
              <w:jc w:val="right"/>
              <w:rPr>
                <w:sz w:val="20"/>
                <w:szCs w:val="20"/>
                <w:lang w:val="es-ES_tradnl" w:eastAsia="en-CA"/>
              </w:rPr>
            </w:pPr>
            <w:r w:rsidRPr="000458F8">
              <w:rPr>
                <w:sz w:val="20"/>
                <w:szCs w:val="20"/>
                <w:lang w:val="es-ES_tradnl" w:eastAsia="en-CA"/>
              </w:rPr>
              <w:t>89</w:t>
            </w:r>
            <w:r w:rsidR="00700B97" w:rsidRPr="000458F8">
              <w:rPr>
                <w:sz w:val="20"/>
                <w:szCs w:val="20"/>
                <w:lang w:val="es-ES_tradnl" w:eastAsia="en-CA"/>
              </w:rPr>
              <w:t> </w:t>
            </w:r>
            <w:r w:rsidRPr="000458F8">
              <w:rPr>
                <w:sz w:val="20"/>
                <w:szCs w:val="20"/>
                <w:lang w:val="es-ES_tradnl" w:eastAsia="en-CA"/>
              </w:rPr>
              <w:t>436</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99035E3" w14:textId="029BEC79" w:rsidR="00C3420C" w:rsidRPr="000458F8" w:rsidRDefault="00C3420C" w:rsidP="008E3F5E">
            <w:pPr>
              <w:jc w:val="right"/>
              <w:rPr>
                <w:sz w:val="20"/>
                <w:szCs w:val="20"/>
                <w:lang w:val="es-ES_tradnl" w:eastAsia="en-CA"/>
              </w:rPr>
            </w:pPr>
            <w:r w:rsidRPr="000458F8">
              <w:rPr>
                <w:sz w:val="20"/>
                <w:szCs w:val="20"/>
                <w:lang w:val="es-ES_tradnl" w:eastAsia="en-CA"/>
              </w:rPr>
              <w:t>245</w:t>
            </w:r>
            <w:r w:rsidR="00700B97" w:rsidRPr="000458F8">
              <w:rPr>
                <w:sz w:val="20"/>
                <w:szCs w:val="20"/>
                <w:lang w:val="es-ES_tradnl" w:eastAsia="en-CA"/>
              </w:rPr>
              <w:t> </w:t>
            </w:r>
            <w:r w:rsidRPr="000458F8">
              <w:rPr>
                <w:sz w:val="20"/>
                <w:szCs w:val="20"/>
                <w:lang w:val="es-ES_tradnl" w:eastAsia="en-CA"/>
              </w:rPr>
              <w:t>546</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4C6FF232" w14:textId="77777777" w:rsidR="00C3420C" w:rsidRPr="000458F8" w:rsidRDefault="00C3420C" w:rsidP="008E3F5E">
            <w:pPr>
              <w:jc w:val="right"/>
              <w:rPr>
                <w:sz w:val="20"/>
                <w:szCs w:val="20"/>
                <w:lang w:val="es-ES_tradnl" w:eastAsia="en-CA"/>
              </w:rPr>
            </w:pPr>
            <w:r w:rsidRPr="000458F8">
              <w:rPr>
                <w:sz w:val="20"/>
                <w:szCs w:val="20"/>
                <w:lang w:val="es-ES_tradnl" w:eastAsia="en-CA"/>
              </w:rPr>
              <w:t>275</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DAB52DC"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r>
      <w:tr w:rsidR="00C3420C" w:rsidRPr="000458F8" w14:paraId="1F98626D"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0A82E23" w14:textId="77777777" w:rsidR="00C3420C" w:rsidRPr="000458F8" w:rsidRDefault="00C3420C" w:rsidP="008E3F5E">
            <w:pPr>
              <w:jc w:val="left"/>
              <w:rPr>
                <w:sz w:val="20"/>
                <w:szCs w:val="20"/>
                <w:lang w:val="es-ES_tradnl" w:eastAsia="en-CA"/>
              </w:rPr>
            </w:pPr>
            <w:r w:rsidRPr="000458F8">
              <w:rPr>
                <w:sz w:val="20"/>
                <w:szCs w:val="20"/>
                <w:lang w:val="es-ES_tradnl" w:eastAsia="en-CA"/>
              </w:rPr>
              <w:t>Uruguay</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6EFEAB1C" w14:textId="18E23905" w:rsidR="00C3420C" w:rsidRPr="000458F8" w:rsidRDefault="00C3420C" w:rsidP="008E3F5E">
            <w:pPr>
              <w:jc w:val="right"/>
              <w:rPr>
                <w:sz w:val="20"/>
                <w:szCs w:val="20"/>
                <w:lang w:val="es-ES_tradnl" w:eastAsia="en-CA"/>
              </w:rPr>
            </w:pPr>
            <w:r w:rsidRPr="000458F8">
              <w:rPr>
                <w:sz w:val="20"/>
                <w:szCs w:val="20"/>
                <w:lang w:val="es-ES_tradnl" w:eastAsia="en-CA"/>
              </w:rPr>
              <w:t>1</w:t>
            </w:r>
            <w:r w:rsidR="00CF3D14" w:rsidRPr="000458F8">
              <w:rPr>
                <w:sz w:val="20"/>
                <w:szCs w:val="20"/>
                <w:lang w:val="es-ES_tradnl" w:eastAsia="en-CA"/>
              </w:rPr>
              <w:t>,</w:t>
            </w:r>
            <w:r w:rsidRPr="000458F8">
              <w:rPr>
                <w:sz w:val="20"/>
                <w:szCs w:val="20"/>
                <w:lang w:val="es-ES_tradnl" w:eastAsia="en-CA"/>
              </w:rPr>
              <w:t>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3AF74C6E" w14:textId="77777777" w:rsidR="00C3420C" w:rsidRPr="000458F8" w:rsidRDefault="00C3420C" w:rsidP="008E3F5E">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3C3BEA28" w14:textId="48A52955" w:rsidR="00C3420C" w:rsidRPr="000458F8" w:rsidRDefault="00C3420C" w:rsidP="008E3F5E">
            <w:pPr>
              <w:jc w:val="right"/>
              <w:rPr>
                <w:sz w:val="20"/>
                <w:szCs w:val="20"/>
                <w:lang w:val="es-ES_tradnl" w:eastAsia="en-CA"/>
              </w:rPr>
            </w:pPr>
            <w:r w:rsidRPr="000458F8">
              <w:rPr>
                <w:sz w:val="20"/>
                <w:szCs w:val="20"/>
                <w:lang w:val="es-ES_tradnl" w:eastAsia="en-CA"/>
              </w:rPr>
              <w:t>179</w:t>
            </w:r>
            <w:r w:rsidR="00700B97" w:rsidRPr="000458F8">
              <w:rPr>
                <w:sz w:val="20"/>
                <w:szCs w:val="20"/>
                <w:lang w:val="es-ES_tradnl" w:eastAsia="en-CA"/>
              </w:rPr>
              <w:t> </w:t>
            </w:r>
            <w:r w:rsidRPr="000458F8">
              <w:rPr>
                <w:sz w:val="20"/>
                <w:szCs w:val="20"/>
                <w:lang w:val="es-ES_tradnl" w:eastAsia="en-CA"/>
              </w:rPr>
              <w:t>784</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192E456" w14:textId="4F42982C" w:rsidR="00C3420C" w:rsidRPr="000458F8" w:rsidRDefault="00C3420C" w:rsidP="008E3F5E">
            <w:pPr>
              <w:jc w:val="right"/>
              <w:rPr>
                <w:sz w:val="20"/>
                <w:szCs w:val="20"/>
                <w:lang w:val="es-ES_tradnl" w:eastAsia="en-CA"/>
              </w:rPr>
            </w:pPr>
            <w:r w:rsidRPr="000458F8">
              <w:rPr>
                <w:sz w:val="20"/>
                <w:szCs w:val="20"/>
                <w:lang w:val="es-ES_tradnl" w:eastAsia="en-CA"/>
              </w:rPr>
              <w:t>250</w:t>
            </w:r>
            <w:r w:rsidR="00700B97" w:rsidRPr="000458F8">
              <w:rPr>
                <w:sz w:val="20"/>
                <w:szCs w:val="20"/>
                <w:lang w:val="es-ES_tradnl" w:eastAsia="en-CA"/>
              </w:rPr>
              <w:t> </w:t>
            </w:r>
            <w:r w:rsidRPr="000458F8">
              <w:rPr>
                <w:sz w:val="20"/>
                <w:szCs w:val="20"/>
                <w:lang w:val="es-ES_tradnl" w:eastAsia="en-CA"/>
              </w:rPr>
              <w:t>629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B4E8EFB" w14:textId="77777777" w:rsidR="00C3420C" w:rsidRPr="000458F8" w:rsidRDefault="00C3420C" w:rsidP="008E3F5E">
            <w:pPr>
              <w:jc w:val="right"/>
              <w:rPr>
                <w:sz w:val="20"/>
                <w:szCs w:val="20"/>
                <w:lang w:val="es-ES_tradnl" w:eastAsia="en-CA"/>
              </w:rPr>
            </w:pPr>
            <w:r w:rsidRPr="000458F8">
              <w:rPr>
                <w:sz w:val="20"/>
                <w:szCs w:val="20"/>
                <w:lang w:val="es-ES_tradnl" w:eastAsia="en-CA"/>
              </w:rPr>
              <w:t>139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6FD027EB" w14:textId="77777777" w:rsidR="00C3420C" w:rsidRPr="000458F8" w:rsidRDefault="00C3420C" w:rsidP="008E3F5E">
            <w:pPr>
              <w:jc w:val="right"/>
              <w:rPr>
                <w:sz w:val="20"/>
                <w:szCs w:val="20"/>
                <w:lang w:val="es-ES_tradnl" w:eastAsia="en-CA"/>
              </w:rPr>
            </w:pPr>
            <w:r w:rsidRPr="000458F8">
              <w:rPr>
                <w:sz w:val="20"/>
                <w:szCs w:val="20"/>
                <w:lang w:val="es-ES_tradnl" w:eastAsia="en-CA"/>
              </w:rPr>
              <w:t>100</w:t>
            </w:r>
          </w:p>
        </w:tc>
      </w:tr>
      <w:tr w:rsidR="00CF3D14" w:rsidRPr="000458F8" w14:paraId="0C7DAC34"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404B369" w14:textId="7001F335" w:rsidR="00CF3D14" w:rsidRPr="000458F8" w:rsidRDefault="00CF3D14" w:rsidP="00CF3D14">
            <w:pPr>
              <w:jc w:val="left"/>
              <w:rPr>
                <w:sz w:val="20"/>
                <w:szCs w:val="20"/>
                <w:lang w:val="es-ES_tradnl" w:eastAsia="en-CA"/>
              </w:rPr>
            </w:pPr>
            <w:r w:rsidRPr="000458F8">
              <w:rPr>
                <w:sz w:val="20"/>
                <w:lang w:val="es-ES_tradnl"/>
              </w:rPr>
              <w:t>Venezuela (República Bolivariana de)</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33638562" w14:textId="025BFB73" w:rsidR="00CF3D14" w:rsidRPr="000458F8" w:rsidRDefault="00CF3D14" w:rsidP="00CF3D14">
            <w:pPr>
              <w:jc w:val="right"/>
              <w:rPr>
                <w:sz w:val="20"/>
                <w:szCs w:val="20"/>
                <w:lang w:val="es-ES_tradnl" w:eastAsia="en-CA"/>
              </w:rPr>
            </w:pPr>
            <w:r w:rsidRPr="000458F8">
              <w:rPr>
                <w:sz w:val="20"/>
                <w:szCs w:val="20"/>
                <w:lang w:val="es-ES_tradnl" w:eastAsia="en-CA"/>
              </w:rPr>
              <w:t>0,0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C00C9F6" w14:textId="77777777" w:rsidR="00CF3D14" w:rsidRPr="000458F8" w:rsidRDefault="00CF3D14" w:rsidP="00CF3D14">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5508F2D" w14:textId="20AF35E6" w:rsidR="00CF3D14" w:rsidRPr="000458F8" w:rsidRDefault="00CF3D14" w:rsidP="00CF3D14">
            <w:pPr>
              <w:jc w:val="right"/>
              <w:rPr>
                <w:sz w:val="20"/>
                <w:szCs w:val="20"/>
                <w:lang w:val="es-ES_tradnl" w:eastAsia="en-CA"/>
              </w:rPr>
            </w:pPr>
            <w:r w:rsidRPr="000458F8">
              <w:rPr>
                <w:sz w:val="20"/>
                <w:szCs w:val="20"/>
                <w:lang w:val="es-ES_tradnl" w:eastAsia="en-CA"/>
              </w:rPr>
              <w:t>92 069</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4E917CA6" w14:textId="0E4C3227" w:rsidR="00CF3D14" w:rsidRPr="000458F8" w:rsidRDefault="00CF3D14" w:rsidP="00CF3D14">
            <w:pPr>
              <w:jc w:val="right"/>
              <w:rPr>
                <w:sz w:val="20"/>
                <w:szCs w:val="20"/>
                <w:lang w:val="es-ES_tradnl" w:eastAsia="en-CA"/>
              </w:rPr>
            </w:pPr>
            <w:r w:rsidRPr="000458F8">
              <w:rPr>
                <w:sz w:val="20"/>
                <w:szCs w:val="20"/>
                <w:lang w:val="es-ES_tradnl" w:eastAsia="en-CA"/>
              </w:rPr>
              <w:t>82 069</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3E67DB33" w14:textId="77777777" w:rsidR="00CF3D14" w:rsidRPr="000458F8" w:rsidRDefault="00CF3D14" w:rsidP="00CF3D14">
            <w:pPr>
              <w:jc w:val="right"/>
              <w:rPr>
                <w:sz w:val="20"/>
                <w:szCs w:val="20"/>
                <w:lang w:val="es-ES_tradnl" w:eastAsia="en-CA"/>
              </w:rPr>
            </w:pPr>
            <w:r w:rsidRPr="000458F8">
              <w:rPr>
                <w:sz w:val="20"/>
                <w:szCs w:val="20"/>
                <w:lang w:val="es-ES_tradnl" w:eastAsia="en-CA"/>
              </w:rPr>
              <w:t>89</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315106C6" w14:textId="77777777" w:rsidR="00CF3D14" w:rsidRPr="000458F8" w:rsidRDefault="00CF3D14" w:rsidP="00CF3D14">
            <w:pPr>
              <w:jc w:val="right"/>
              <w:rPr>
                <w:sz w:val="20"/>
                <w:szCs w:val="20"/>
                <w:lang w:val="es-ES_tradnl" w:eastAsia="en-CA"/>
              </w:rPr>
            </w:pPr>
            <w:r w:rsidRPr="000458F8">
              <w:rPr>
                <w:sz w:val="20"/>
                <w:szCs w:val="20"/>
                <w:lang w:val="es-ES_tradnl" w:eastAsia="en-CA"/>
              </w:rPr>
              <w:t>100</w:t>
            </w:r>
          </w:p>
        </w:tc>
      </w:tr>
      <w:tr w:rsidR="00CF3D14" w:rsidRPr="000458F8" w14:paraId="169D61BE"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4C440B4D" w14:textId="77777777" w:rsidR="00CF3D14" w:rsidRPr="000458F8" w:rsidRDefault="00CF3D14" w:rsidP="00CF3D14">
            <w:pPr>
              <w:jc w:val="left"/>
              <w:rPr>
                <w:sz w:val="20"/>
                <w:szCs w:val="20"/>
                <w:lang w:val="es-ES_tradnl" w:eastAsia="en-CA"/>
              </w:rPr>
            </w:pPr>
            <w:r w:rsidRPr="000458F8">
              <w:rPr>
                <w:sz w:val="20"/>
                <w:szCs w:val="20"/>
                <w:lang w:val="es-ES_tradnl" w:eastAsia="en-CA"/>
              </w:rPr>
              <w:t>Zimbabwe</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69725C97" w14:textId="6C84A5F8" w:rsidR="00CF3D14" w:rsidRPr="000458F8" w:rsidRDefault="00CF3D14" w:rsidP="00CF3D14">
            <w:pPr>
              <w:jc w:val="right"/>
              <w:rPr>
                <w:sz w:val="20"/>
                <w:szCs w:val="20"/>
                <w:lang w:val="es-ES_tradnl" w:eastAsia="en-CA"/>
              </w:rPr>
            </w:pPr>
            <w:r w:rsidRPr="000458F8">
              <w:rPr>
                <w:sz w:val="20"/>
                <w:szCs w:val="20"/>
                <w:lang w:val="es-ES_tradnl" w:eastAsia="en-CA"/>
              </w:rPr>
              <w:t>0,0</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635701F7" w14:textId="77777777" w:rsidR="00CF3D14" w:rsidRPr="000458F8" w:rsidRDefault="00CF3D14" w:rsidP="00CF3D14">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1BF35D44" w14:textId="7CB3F06B" w:rsidR="00CF3D14" w:rsidRPr="000458F8" w:rsidRDefault="00CF3D14" w:rsidP="00CF3D14">
            <w:pPr>
              <w:jc w:val="right"/>
              <w:rPr>
                <w:sz w:val="20"/>
                <w:szCs w:val="20"/>
                <w:lang w:val="es-ES_tradnl" w:eastAsia="en-CA"/>
              </w:rPr>
            </w:pPr>
            <w:r w:rsidRPr="000458F8">
              <w:rPr>
                <w:sz w:val="20"/>
                <w:szCs w:val="20"/>
                <w:lang w:val="es-ES_tradnl" w:eastAsia="en-CA"/>
              </w:rPr>
              <w:t>65 391</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24DA8D5" w14:textId="77777777" w:rsidR="00CF3D14" w:rsidRPr="000458F8" w:rsidRDefault="00CF3D14" w:rsidP="00CF3D14">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5852D6E2" w14:textId="77777777" w:rsidR="00CF3D14" w:rsidRPr="000458F8" w:rsidRDefault="00CF3D14" w:rsidP="00CF3D14">
            <w:pPr>
              <w:jc w:val="right"/>
              <w:rPr>
                <w:sz w:val="20"/>
                <w:szCs w:val="20"/>
                <w:lang w:val="es-ES_tradnl" w:eastAsia="en-CA"/>
              </w:rPr>
            </w:pPr>
            <w:r w:rsidRPr="000458F8">
              <w:rPr>
                <w:sz w:val="20"/>
                <w:szCs w:val="20"/>
                <w:lang w:val="es-ES_tradnl" w:eastAsia="en-CA"/>
              </w:rPr>
              <w:t>0</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7D0A7E54" w14:textId="77777777" w:rsidR="00CF3D14" w:rsidRPr="000458F8" w:rsidRDefault="00CF3D14" w:rsidP="00CF3D14">
            <w:pPr>
              <w:jc w:val="left"/>
              <w:rPr>
                <w:sz w:val="20"/>
                <w:szCs w:val="20"/>
                <w:lang w:val="es-ES_tradnl" w:eastAsia="en-CA"/>
              </w:rPr>
            </w:pPr>
            <w:r w:rsidRPr="000458F8">
              <w:rPr>
                <w:sz w:val="20"/>
                <w:szCs w:val="20"/>
                <w:lang w:val="es-ES_tradnl" w:eastAsia="en-CA"/>
              </w:rPr>
              <w:t> </w:t>
            </w:r>
          </w:p>
        </w:tc>
      </w:tr>
      <w:tr w:rsidR="00CF3D14" w:rsidRPr="000458F8" w14:paraId="67A4D271" w14:textId="77777777" w:rsidTr="00CF3D14">
        <w:tc>
          <w:tcPr>
            <w:tcW w:w="2266"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EBB6801" w14:textId="39433DB9" w:rsidR="00CF3D14" w:rsidRPr="000458F8" w:rsidRDefault="00CF3D14" w:rsidP="00CF3D14">
            <w:pPr>
              <w:jc w:val="left"/>
              <w:rPr>
                <w:sz w:val="20"/>
                <w:szCs w:val="20"/>
                <w:lang w:val="es-ES_tradnl" w:eastAsia="en-CA"/>
              </w:rPr>
            </w:pPr>
            <w:r w:rsidRPr="000458F8">
              <w:rPr>
                <w:sz w:val="20"/>
                <w:szCs w:val="20"/>
                <w:lang w:val="es-ES_tradnl" w:eastAsia="en-CA"/>
              </w:rPr>
              <w:t>Mundial</w:t>
            </w:r>
          </w:p>
        </w:tc>
        <w:tc>
          <w:tcPr>
            <w:tcW w:w="1150"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6691A7C2" w14:textId="2853A916" w:rsidR="00CF3D14" w:rsidRPr="000458F8" w:rsidRDefault="00CF3D14" w:rsidP="00CF3D14">
            <w:pPr>
              <w:jc w:val="right"/>
              <w:rPr>
                <w:sz w:val="20"/>
                <w:szCs w:val="20"/>
                <w:lang w:val="es-ES_tradnl" w:eastAsia="en-CA"/>
              </w:rPr>
            </w:pPr>
            <w:r w:rsidRPr="000458F8">
              <w:rPr>
                <w:sz w:val="20"/>
                <w:szCs w:val="20"/>
                <w:lang w:val="es-ES_tradnl" w:eastAsia="en-CA"/>
              </w:rPr>
              <w:t>0,0</w:t>
            </w:r>
          </w:p>
        </w:tc>
        <w:tc>
          <w:tcPr>
            <w:tcW w:w="1342"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7CDD9C8F" w14:textId="77777777" w:rsidR="00CF3D14" w:rsidRPr="000458F8" w:rsidRDefault="00CF3D14" w:rsidP="00CF3D14">
            <w:pPr>
              <w:jc w:val="left"/>
              <w:rPr>
                <w:sz w:val="20"/>
                <w:szCs w:val="20"/>
                <w:lang w:val="es-ES_tradnl" w:eastAsia="en-CA"/>
              </w:rPr>
            </w:pPr>
            <w:r w:rsidRPr="000458F8">
              <w:rPr>
                <w:sz w:val="20"/>
                <w:szCs w:val="20"/>
                <w:lang w:val="es-ES_tradnl" w:eastAsia="en-CA"/>
              </w:rPr>
              <w:t> </w:t>
            </w:r>
          </w:p>
        </w:tc>
        <w:tc>
          <w:tcPr>
            <w:tcW w:w="138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CCC070B" w14:textId="77777777" w:rsidR="00CF3D14" w:rsidRPr="000458F8" w:rsidRDefault="00CF3D14" w:rsidP="00CF3D14">
            <w:pPr>
              <w:jc w:val="right"/>
              <w:rPr>
                <w:sz w:val="20"/>
                <w:szCs w:val="20"/>
                <w:lang w:val="es-ES_tradnl" w:eastAsia="en-CA"/>
              </w:rPr>
            </w:pPr>
            <w:r w:rsidRPr="000458F8">
              <w:rPr>
                <w:sz w:val="20"/>
                <w:szCs w:val="20"/>
                <w:lang w:val="es-ES_tradnl" w:eastAsia="en-CA"/>
              </w:rPr>
              <w:t>0</w:t>
            </w:r>
          </w:p>
        </w:tc>
        <w:tc>
          <w:tcPr>
            <w:tcW w:w="138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A371CD2" w14:textId="77777777" w:rsidR="00CF3D14" w:rsidRPr="000458F8" w:rsidRDefault="00CF3D14" w:rsidP="00CF3D14">
            <w:pPr>
              <w:jc w:val="right"/>
              <w:rPr>
                <w:sz w:val="20"/>
                <w:szCs w:val="20"/>
                <w:lang w:val="es-ES_tradnl" w:eastAsia="en-CA"/>
              </w:rPr>
            </w:pPr>
            <w:r w:rsidRPr="000458F8">
              <w:rPr>
                <w:sz w:val="20"/>
                <w:szCs w:val="20"/>
                <w:lang w:val="es-ES_tradnl" w:eastAsia="en-CA"/>
              </w:rPr>
              <w:t>0</w:t>
            </w:r>
          </w:p>
        </w:tc>
        <w:tc>
          <w:tcPr>
            <w:tcW w:w="1419"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4F596660" w14:textId="77777777" w:rsidR="00CF3D14" w:rsidRPr="000458F8" w:rsidRDefault="00CF3D14" w:rsidP="00CF3D14">
            <w:pPr>
              <w:jc w:val="left"/>
              <w:rPr>
                <w:sz w:val="20"/>
                <w:szCs w:val="20"/>
                <w:lang w:val="es-ES_tradnl" w:eastAsia="en-CA"/>
              </w:rPr>
            </w:pPr>
            <w:r w:rsidRPr="000458F8">
              <w:rPr>
                <w:sz w:val="20"/>
                <w:szCs w:val="20"/>
                <w:lang w:val="es-ES_tradnl" w:eastAsia="en-CA"/>
              </w:rPr>
              <w:t> </w:t>
            </w:r>
          </w:p>
        </w:tc>
        <w:tc>
          <w:tcPr>
            <w:tcW w:w="1083" w:type="dxa"/>
            <w:tcBorders>
              <w:top w:val="nil"/>
              <w:left w:val="nil"/>
              <w:bottom w:val="single" w:sz="4" w:space="0" w:color="auto"/>
              <w:right w:val="single" w:sz="4" w:space="0" w:color="auto"/>
            </w:tcBorders>
            <w:shd w:val="clear" w:color="auto" w:fill="auto"/>
            <w:noWrap/>
            <w:tcMar>
              <w:left w:w="58" w:type="dxa"/>
              <w:right w:w="173" w:type="dxa"/>
            </w:tcMar>
            <w:vAlign w:val="center"/>
            <w:hideMark/>
          </w:tcPr>
          <w:p w14:paraId="33B952A8" w14:textId="77777777" w:rsidR="00CF3D14" w:rsidRPr="000458F8" w:rsidRDefault="00CF3D14" w:rsidP="00CF3D14">
            <w:pPr>
              <w:jc w:val="right"/>
              <w:rPr>
                <w:sz w:val="20"/>
                <w:szCs w:val="20"/>
                <w:lang w:val="es-ES_tradnl" w:eastAsia="en-CA"/>
              </w:rPr>
            </w:pPr>
            <w:r w:rsidRPr="000458F8">
              <w:rPr>
                <w:sz w:val="20"/>
                <w:szCs w:val="20"/>
                <w:lang w:val="es-ES_tradnl" w:eastAsia="en-CA"/>
              </w:rPr>
              <w:t>100</w:t>
            </w:r>
          </w:p>
        </w:tc>
      </w:tr>
      <w:tr w:rsidR="00CF3D14" w:rsidRPr="000458F8" w14:paraId="6A4B30B4" w14:textId="77777777" w:rsidTr="00CF3D14">
        <w:tc>
          <w:tcPr>
            <w:tcW w:w="226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392A29F8" w14:textId="77777777" w:rsidR="00CF3D14" w:rsidRPr="000458F8" w:rsidRDefault="00CF3D14" w:rsidP="00CF3D14">
            <w:pPr>
              <w:jc w:val="left"/>
              <w:rPr>
                <w:b/>
                <w:bCs/>
                <w:sz w:val="20"/>
                <w:szCs w:val="20"/>
                <w:lang w:val="es-ES_tradnl" w:eastAsia="en-CA"/>
              </w:rPr>
            </w:pPr>
            <w:r w:rsidRPr="000458F8">
              <w:rPr>
                <w:b/>
                <w:bCs/>
                <w:sz w:val="20"/>
                <w:szCs w:val="20"/>
                <w:lang w:val="es-ES_tradnl" w:eastAsia="en-CA"/>
              </w:rPr>
              <w:t>Total</w:t>
            </w:r>
          </w:p>
        </w:tc>
        <w:tc>
          <w:tcPr>
            <w:tcW w:w="1150" w:type="dxa"/>
            <w:tcBorders>
              <w:top w:val="nil"/>
              <w:left w:val="nil"/>
              <w:bottom w:val="single" w:sz="4" w:space="0" w:color="auto"/>
              <w:right w:val="single" w:sz="4" w:space="0" w:color="auto"/>
            </w:tcBorders>
            <w:shd w:val="clear" w:color="auto" w:fill="auto"/>
            <w:tcMar>
              <w:left w:w="58" w:type="dxa"/>
              <w:right w:w="173" w:type="dxa"/>
            </w:tcMar>
            <w:hideMark/>
          </w:tcPr>
          <w:p w14:paraId="2198DEAB" w14:textId="58229463" w:rsidR="00CF3D14" w:rsidRPr="000458F8" w:rsidRDefault="00CF3D14" w:rsidP="00CF3D14">
            <w:pPr>
              <w:jc w:val="right"/>
              <w:rPr>
                <w:b/>
                <w:bCs/>
                <w:sz w:val="20"/>
                <w:szCs w:val="20"/>
                <w:lang w:val="es-ES_tradnl" w:eastAsia="en-CA"/>
              </w:rPr>
            </w:pPr>
            <w:r w:rsidRPr="000458F8">
              <w:rPr>
                <w:b/>
                <w:bCs/>
                <w:sz w:val="20"/>
                <w:szCs w:val="20"/>
                <w:lang w:val="es-ES_tradnl" w:eastAsia="en-CA"/>
              </w:rPr>
              <w:t>470,9</w:t>
            </w:r>
          </w:p>
        </w:tc>
        <w:tc>
          <w:tcPr>
            <w:tcW w:w="1342" w:type="dxa"/>
            <w:tcBorders>
              <w:top w:val="nil"/>
              <w:left w:val="nil"/>
              <w:bottom w:val="single" w:sz="4" w:space="0" w:color="auto"/>
              <w:right w:val="single" w:sz="4" w:space="0" w:color="auto"/>
            </w:tcBorders>
            <w:shd w:val="clear" w:color="auto" w:fill="auto"/>
            <w:tcMar>
              <w:left w:w="58" w:type="dxa"/>
              <w:right w:w="173" w:type="dxa"/>
            </w:tcMar>
            <w:hideMark/>
          </w:tcPr>
          <w:p w14:paraId="00A31C38" w14:textId="77777777" w:rsidR="00CF3D14" w:rsidRPr="000458F8" w:rsidRDefault="00CF3D14" w:rsidP="00CF3D14">
            <w:pPr>
              <w:jc w:val="right"/>
              <w:rPr>
                <w:b/>
                <w:bCs/>
                <w:sz w:val="20"/>
                <w:szCs w:val="20"/>
                <w:lang w:val="es-ES_tradnl" w:eastAsia="en-CA"/>
              </w:rPr>
            </w:pPr>
            <w:r w:rsidRPr="000458F8">
              <w:rPr>
                <w:b/>
                <w:bCs/>
                <w:sz w:val="20"/>
                <w:szCs w:val="20"/>
                <w:lang w:val="es-ES_tradnl" w:eastAsia="en-CA"/>
              </w:rPr>
              <w:t>48</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0C7E3882" w14:textId="38A6AE41" w:rsidR="00CF3D14" w:rsidRPr="000458F8" w:rsidRDefault="00CF3D14" w:rsidP="00CF3D14">
            <w:pPr>
              <w:jc w:val="right"/>
              <w:rPr>
                <w:b/>
                <w:bCs/>
                <w:sz w:val="20"/>
                <w:szCs w:val="20"/>
                <w:lang w:val="es-ES_tradnl" w:eastAsia="en-CA"/>
              </w:rPr>
            </w:pPr>
            <w:r w:rsidRPr="000458F8">
              <w:rPr>
                <w:b/>
                <w:bCs/>
                <w:sz w:val="20"/>
                <w:szCs w:val="20"/>
                <w:lang w:val="es-ES_tradnl" w:eastAsia="en-CA"/>
              </w:rPr>
              <w:t>15 618 656</w:t>
            </w:r>
          </w:p>
        </w:tc>
        <w:tc>
          <w:tcPr>
            <w:tcW w:w="1383" w:type="dxa"/>
            <w:tcBorders>
              <w:top w:val="nil"/>
              <w:left w:val="nil"/>
              <w:bottom w:val="single" w:sz="4" w:space="0" w:color="auto"/>
              <w:right w:val="single" w:sz="4" w:space="0" w:color="auto"/>
            </w:tcBorders>
            <w:shd w:val="clear" w:color="auto" w:fill="auto"/>
            <w:tcMar>
              <w:left w:w="58" w:type="dxa"/>
              <w:right w:w="58" w:type="dxa"/>
            </w:tcMar>
            <w:hideMark/>
          </w:tcPr>
          <w:p w14:paraId="614A947D" w14:textId="46E7BDE8" w:rsidR="00CF3D14" w:rsidRPr="000458F8" w:rsidRDefault="00CF3D14" w:rsidP="00CF3D14">
            <w:pPr>
              <w:jc w:val="right"/>
              <w:rPr>
                <w:b/>
                <w:bCs/>
                <w:sz w:val="20"/>
                <w:szCs w:val="20"/>
                <w:lang w:val="es-ES_tradnl" w:eastAsia="en-CA"/>
              </w:rPr>
            </w:pPr>
            <w:r w:rsidRPr="000458F8">
              <w:rPr>
                <w:b/>
                <w:bCs/>
                <w:sz w:val="20"/>
                <w:szCs w:val="20"/>
                <w:lang w:val="es-ES_tradnl" w:eastAsia="en-CA"/>
              </w:rPr>
              <w:t>23 135 605</w:t>
            </w:r>
          </w:p>
        </w:tc>
        <w:tc>
          <w:tcPr>
            <w:tcW w:w="1419" w:type="dxa"/>
            <w:tcBorders>
              <w:top w:val="nil"/>
              <w:left w:val="nil"/>
              <w:bottom w:val="single" w:sz="4" w:space="0" w:color="auto"/>
              <w:right w:val="single" w:sz="4" w:space="0" w:color="auto"/>
            </w:tcBorders>
            <w:shd w:val="clear" w:color="auto" w:fill="auto"/>
            <w:tcMar>
              <w:left w:w="58" w:type="dxa"/>
              <w:right w:w="173" w:type="dxa"/>
            </w:tcMar>
            <w:hideMark/>
          </w:tcPr>
          <w:p w14:paraId="052F6CC6" w14:textId="77777777" w:rsidR="00CF3D14" w:rsidRPr="000458F8" w:rsidRDefault="00CF3D14" w:rsidP="00CF3D14">
            <w:pPr>
              <w:jc w:val="right"/>
              <w:rPr>
                <w:b/>
                <w:bCs/>
                <w:sz w:val="20"/>
                <w:szCs w:val="20"/>
                <w:lang w:val="es-ES_tradnl" w:eastAsia="en-CA"/>
              </w:rPr>
            </w:pPr>
            <w:r w:rsidRPr="000458F8">
              <w:rPr>
                <w:b/>
                <w:bCs/>
                <w:sz w:val="20"/>
                <w:szCs w:val="20"/>
                <w:lang w:val="es-ES_tradnl" w:eastAsia="en-CA"/>
              </w:rPr>
              <w:t>148</w:t>
            </w:r>
          </w:p>
        </w:tc>
        <w:tc>
          <w:tcPr>
            <w:tcW w:w="1083" w:type="dxa"/>
            <w:tcBorders>
              <w:top w:val="nil"/>
              <w:left w:val="nil"/>
              <w:bottom w:val="single" w:sz="4" w:space="0" w:color="auto"/>
              <w:right w:val="single" w:sz="4" w:space="0" w:color="auto"/>
            </w:tcBorders>
            <w:shd w:val="clear" w:color="auto" w:fill="auto"/>
            <w:noWrap/>
            <w:tcMar>
              <w:left w:w="58" w:type="dxa"/>
              <w:right w:w="173" w:type="dxa"/>
            </w:tcMar>
            <w:hideMark/>
          </w:tcPr>
          <w:p w14:paraId="076C8C33" w14:textId="77777777" w:rsidR="00CF3D14" w:rsidRPr="000458F8" w:rsidRDefault="00CF3D14" w:rsidP="00CF3D14">
            <w:pPr>
              <w:jc w:val="right"/>
              <w:rPr>
                <w:b/>
                <w:bCs/>
                <w:sz w:val="20"/>
                <w:szCs w:val="20"/>
                <w:lang w:val="es-ES_tradnl" w:eastAsia="en-CA"/>
              </w:rPr>
            </w:pPr>
            <w:r w:rsidRPr="000458F8">
              <w:rPr>
                <w:b/>
                <w:bCs/>
                <w:sz w:val="20"/>
                <w:szCs w:val="20"/>
                <w:lang w:val="es-ES_tradnl" w:eastAsia="en-CA"/>
              </w:rPr>
              <w:t>74</w:t>
            </w:r>
          </w:p>
        </w:tc>
      </w:tr>
    </w:tbl>
    <w:p w14:paraId="619861B9" w14:textId="33BD2BF4" w:rsidR="00C3420C" w:rsidRPr="000458F8" w:rsidRDefault="00C3420C" w:rsidP="00C3420C">
      <w:pPr>
        <w:pStyle w:val="Title1"/>
        <w:keepNext/>
        <w:jc w:val="both"/>
        <w:rPr>
          <w:b w:val="0"/>
          <w:caps w:val="0"/>
          <w:sz w:val="20"/>
          <w:szCs w:val="20"/>
          <w:lang w:val="es-ES_tradnl"/>
        </w:rPr>
      </w:pPr>
      <w:r w:rsidRPr="000458F8">
        <w:rPr>
          <w:b w:val="0"/>
          <w:caps w:val="0"/>
          <w:sz w:val="20"/>
          <w:szCs w:val="20"/>
          <w:lang w:val="es-ES_tradnl"/>
        </w:rPr>
        <w:t xml:space="preserve">* </w:t>
      </w:r>
      <w:r w:rsidR="00CF3D14" w:rsidRPr="000458F8">
        <w:rPr>
          <w:b w:val="0"/>
          <w:caps w:val="0"/>
          <w:sz w:val="20"/>
          <w:szCs w:val="20"/>
          <w:lang w:val="es-ES_tradnl"/>
        </w:rPr>
        <w:t xml:space="preserve">En 2019 se eliminaron </w:t>
      </w:r>
      <w:r w:rsidRPr="000458F8">
        <w:rPr>
          <w:b w:val="0"/>
          <w:caps w:val="0"/>
          <w:sz w:val="20"/>
          <w:szCs w:val="20"/>
          <w:lang w:val="es-ES_tradnl"/>
        </w:rPr>
        <w:t>87</w:t>
      </w:r>
      <w:r w:rsidR="00CF3D14" w:rsidRPr="000458F8">
        <w:rPr>
          <w:b w:val="0"/>
          <w:caps w:val="0"/>
          <w:sz w:val="20"/>
          <w:szCs w:val="20"/>
          <w:lang w:val="es-ES_tradnl"/>
        </w:rPr>
        <w:t>,</w:t>
      </w:r>
      <w:r w:rsidRPr="000458F8">
        <w:rPr>
          <w:b w:val="0"/>
          <w:caps w:val="0"/>
          <w:sz w:val="20"/>
          <w:szCs w:val="20"/>
          <w:lang w:val="es-ES_tradnl"/>
        </w:rPr>
        <w:t xml:space="preserve">3 </w:t>
      </w:r>
      <w:r w:rsidR="00CF3D14" w:rsidRPr="000458F8">
        <w:rPr>
          <w:b w:val="0"/>
          <w:caps w:val="0"/>
          <w:sz w:val="20"/>
          <w:szCs w:val="20"/>
          <w:lang w:val="es-ES_tradnl"/>
        </w:rPr>
        <w:t xml:space="preserve">tm </w:t>
      </w:r>
      <w:r w:rsidRPr="000458F8">
        <w:rPr>
          <w:b w:val="0"/>
          <w:caps w:val="0"/>
          <w:sz w:val="20"/>
          <w:szCs w:val="20"/>
          <w:lang w:val="es-ES_tradnl"/>
        </w:rPr>
        <w:t>(125</w:t>
      </w:r>
      <w:r w:rsidR="00700B97" w:rsidRPr="000458F8">
        <w:rPr>
          <w:b w:val="0"/>
          <w:caps w:val="0"/>
          <w:sz w:val="20"/>
          <w:szCs w:val="20"/>
          <w:lang w:val="es-ES_tradnl"/>
        </w:rPr>
        <w:t> </w:t>
      </w:r>
      <w:r w:rsidRPr="000458F8">
        <w:rPr>
          <w:b w:val="0"/>
          <w:caps w:val="0"/>
          <w:sz w:val="20"/>
          <w:szCs w:val="20"/>
          <w:lang w:val="es-ES_tradnl"/>
        </w:rPr>
        <w:t xml:space="preserve">000 </w:t>
      </w:r>
      <w:r w:rsidR="00CF3D14" w:rsidRPr="000458F8">
        <w:rPr>
          <w:b w:val="0"/>
          <w:caps w:val="0"/>
          <w:sz w:val="20"/>
          <w:szCs w:val="20"/>
          <w:lang w:val="es-ES_tradnl"/>
        </w:rPr>
        <w:t xml:space="preserve">tm </w:t>
      </w:r>
      <w:bookmarkStart w:id="2" w:name="_Hlk55558768"/>
      <w:r w:rsidR="00CF3D14" w:rsidRPr="000458F8">
        <w:rPr>
          <w:b w:val="0"/>
          <w:caps w:val="0"/>
          <w:sz w:val="20"/>
          <w:szCs w:val="20"/>
          <w:lang w:val="es-ES_tradnl"/>
        </w:rPr>
        <w:t xml:space="preserve">de </w:t>
      </w:r>
      <w:r w:rsidRPr="000458F8">
        <w:rPr>
          <w:b w:val="0"/>
          <w:caps w:val="0"/>
          <w:sz w:val="20"/>
          <w:szCs w:val="20"/>
          <w:lang w:val="es-ES_tradnl"/>
        </w:rPr>
        <w:t>CO</w:t>
      </w:r>
      <w:r w:rsidRPr="000458F8">
        <w:rPr>
          <w:b w:val="0"/>
          <w:caps w:val="0"/>
          <w:sz w:val="20"/>
          <w:szCs w:val="20"/>
          <w:vertAlign w:val="subscript"/>
          <w:lang w:val="es-ES_tradnl"/>
        </w:rPr>
        <w:t>2</w:t>
      </w:r>
      <w:r w:rsidR="00CF3D14" w:rsidRPr="000458F8">
        <w:rPr>
          <w:b w:val="0"/>
          <w:caps w:val="0"/>
          <w:sz w:val="20"/>
          <w:szCs w:val="20"/>
          <w:lang w:val="es-ES_tradnl"/>
        </w:rPr>
        <w:t xml:space="preserve"> </w:t>
      </w:r>
      <w:r w:rsidRPr="000458F8">
        <w:rPr>
          <w:b w:val="0"/>
          <w:caps w:val="0"/>
          <w:sz w:val="20"/>
          <w:szCs w:val="20"/>
          <w:lang w:val="es-ES_tradnl"/>
        </w:rPr>
        <w:t>eq</w:t>
      </w:r>
      <w:r w:rsidR="00CF3D14" w:rsidRPr="000458F8">
        <w:rPr>
          <w:b w:val="0"/>
          <w:caps w:val="0"/>
          <w:sz w:val="20"/>
          <w:szCs w:val="20"/>
          <w:lang w:val="es-ES_tradnl"/>
        </w:rPr>
        <w:t>uivalent</w:t>
      </w:r>
      <w:r w:rsidR="00AA1BB7" w:rsidRPr="000458F8">
        <w:rPr>
          <w:b w:val="0"/>
          <w:caps w:val="0"/>
          <w:sz w:val="20"/>
          <w:szCs w:val="20"/>
          <w:lang w:val="es-ES_tradnl"/>
        </w:rPr>
        <w:t>e</w:t>
      </w:r>
      <w:bookmarkEnd w:id="2"/>
      <w:r w:rsidRPr="000458F8">
        <w:rPr>
          <w:b w:val="0"/>
          <w:caps w:val="0"/>
          <w:sz w:val="20"/>
          <w:szCs w:val="20"/>
          <w:lang w:val="es-ES_tradnl"/>
        </w:rPr>
        <w:t xml:space="preserve">) </w:t>
      </w:r>
      <w:r w:rsidR="00CF3D14" w:rsidRPr="000458F8">
        <w:rPr>
          <w:b w:val="0"/>
          <w:caps w:val="0"/>
          <w:sz w:val="20"/>
          <w:szCs w:val="20"/>
          <w:lang w:val="es-ES_tradnl"/>
        </w:rPr>
        <w:t xml:space="preserve">para proyectos relacionados con </w:t>
      </w:r>
      <w:r w:rsidR="00AA1BB7" w:rsidRPr="000458F8">
        <w:rPr>
          <w:b w:val="0"/>
          <w:caps w:val="0"/>
          <w:sz w:val="20"/>
          <w:szCs w:val="20"/>
          <w:lang w:val="es-ES_tradnl"/>
        </w:rPr>
        <w:t xml:space="preserve">los </w:t>
      </w:r>
      <w:r w:rsidR="00CF3D14" w:rsidRPr="000458F8">
        <w:rPr>
          <w:b w:val="0"/>
          <w:caps w:val="0"/>
          <w:sz w:val="20"/>
          <w:szCs w:val="20"/>
          <w:lang w:val="es-ES_tradnl"/>
        </w:rPr>
        <w:t>HFC</w:t>
      </w:r>
      <w:r w:rsidRPr="000458F8">
        <w:rPr>
          <w:b w:val="0"/>
          <w:caps w:val="0"/>
          <w:sz w:val="20"/>
          <w:szCs w:val="20"/>
          <w:lang w:val="es-ES_tradnl"/>
        </w:rPr>
        <w:t>.</w:t>
      </w:r>
    </w:p>
    <w:p w14:paraId="2DE9EB79" w14:textId="77777777" w:rsidR="00C3420C" w:rsidRPr="000458F8" w:rsidRDefault="00C3420C" w:rsidP="00C3420C">
      <w:pPr>
        <w:pStyle w:val="Title1"/>
        <w:keepNext/>
        <w:jc w:val="both"/>
        <w:rPr>
          <w:caps w:val="0"/>
          <w:lang w:val="es-ES_tradnl"/>
        </w:rPr>
      </w:pPr>
    </w:p>
    <w:p w14:paraId="708BE3D1" w14:textId="11F5E6FA" w:rsidR="00AA1BB7" w:rsidRPr="000458F8" w:rsidRDefault="00AA1BB7" w:rsidP="00AA1BB7">
      <w:pPr>
        <w:pStyle w:val="Heading1"/>
        <w:tabs>
          <w:tab w:val="clear" w:pos="0"/>
        </w:tabs>
        <w:rPr>
          <w:lang w:val="es-ES_tradnl"/>
        </w:rPr>
      </w:pPr>
      <w:r w:rsidRPr="000458F8">
        <w:rPr>
          <w:lang w:val="es-ES_tradnl"/>
        </w:rPr>
        <w:t>En el cuadro 5 figura un resumen de los proyectos relacionados con los HFC aprobados en el marco de las contribuciones ordinarias.</w:t>
      </w:r>
    </w:p>
    <w:p w14:paraId="1EA12648" w14:textId="0199B937" w:rsidR="00C3420C" w:rsidRPr="000458F8" w:rsidRDefault="00AA1BB7" w:rsidP="00C3420C">
      <w:pPr>
        <w:rPr>
          <w:b/>
          <w:lang w:val="es-ES_tradnl"/>
        </w:rPr>
      </w:pPr>
      <w:r w:rsidRPr="000458F8">
        <w:rPr>
          <w:b/>
          <w:lang w:val="es-ES_tradnl"/>
        </w:rPr>
        <w:t xml:space="preserve">Cuadro 5. Proyectos aprobados en relación con los HFC con arreglo a las contribuciones voluntarias </w:t>
      </w:r>
    </w:p>
    <w:tbl>
      <w:tblPr>
        <w:tblW w:w="9398" w:type="dxa"/>
        <w:tblInd w:w="-5" w:type="dxa"/>
        <w:tblLayout w:type="fixed"/>
        <w:tblLook w:val="04A0" w:firstRow="1" w:lastRow="0" w:firstColumn="1" w:lastColumn="0" w:noHBand="0" w:noVBand="1"/>
      </w:tblPr>
      <w:tblGrid>
        <w:gridCol w:w="1946"/>
        <w:gridCol w:w="1104"/>
        <w:gridCol w:w="1104"/>
        <w:gridCol w:w="1105"/>
        <w:gridCol w:w="1034"/>
        <w:gridCol w:w="1035"/>
        <w:gridCol w:w="1035"/>
        <w:gridCol w:w="1035"/>
      </w:tblGrid>
      <w:tr w:rsidR="00AA1BB7" w:rsidRPr="000458F8" w14:paraId="7D09CE61" w14:textId="77777777" w:rsidTr="008E3F5E">
        <w:tc>
          <w:tcPr>
            <w:tcW w:w="1946"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3444C21A" w14:textId="77777777" w:rsidR="00AA1BB7" w:rsidRPr="000458F8" w:rsidRDefault="00AA1BB7" w:rsidP="00AA1BB7">
            <w:pPr>
              <w:pStyle w:val="TableParagraph"/>
              <w:spacing w:before="6" w:line="240" w:lineRule="auto"/>
              <w:rPr>
                <w:b/>
                <w:sz w:val="18"/>
                <w:lang w:val="es-ES_tradnl"/>
              </w:rPr>
            </w:pPr>
          </w:p>
          <w:p w14:paraId="2746560D" w14:textId="4CD73F47" w:rsidR="00AA1BB7" w:rsidRPr="000458F8" w:rsidRDefault="00AA1BB7" w:rsidP="00AA1BB7">
            <w:pPr>
              <w:jc w:val="left"/>
              <w:rPr>
                <w:b/>
                <w:bCs/>
                <w:sz w:val="20"/>
                <w:szCs w:val="20"/>
                <w:lang w:val="es-ES_tradnl" w:eastAsia="en-CA"/>
              </w:rPr>
            </w:pPr>
            <w:r w:rsidRPr="000458F8">
              <w:rPr>
                <w:b/>
                <w:sz w:val="20"/>
                <w:lang w:val="es-ES_tradnl"/>
              </w:rPr>
              <w:t>Tipo</w:t>
            </w:r>
          </w:p>
        </w:tc>
        <w:tc>
          <w:tcPr>
            <w:tcW w:w="3313"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505FFC8D" w14:textId="30938372" w:rsidR="00AA1BB7" w:rsidRPr="000458F8" w:rsidRDefault="00AA1BB7" w:rsidP="00AA1BB7">
            <w:pPr>
              <w:jc w:val="center"/>
              <w:rPr>
                <w:b/>
                <w:bCs/>
                <w:sz w:val="20"/>
                <w:szCs w:val="20"/>
                <w:lang w:val="es-ES_tradnl" w:eastAsia="en-CA"/>
              </w:rPr>
            </w:pPr>
            <w:r w:rsidRPr="000458F8">
              <w:rPr>
                <w:b/>
                <w:sz w:val="20"/>
                <w:lang w:val="es-ES_tradnl"/>
              </w:rPr>
              <w:t>Número de proyectos</w:t>
            </w:r>
          </w:p>
        </w:tc>
        <w:tc>
          <w:tcPr>
            <w:tcW w:w="4139"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0D68802C" w14:textId="2BFC9FB0" w:rsidR="00AA1BB7" w:rsidRPr="000458F8" w:rsidRDefault="00AA1BB7" w:rsidP="00AA1BB7">
            <w:pPr>
              <w:jc w:val="center"/>
              <w:rPr>
                <w:b/>
                <w:bCs/>
                <w:sz w:val="20"/>
                <w:szCs w:val="20"/>
                <w:lang w:val="es-ES_tradnl" w:eastAsia="en-CA"/>
              </w:rPr>
            </w:pPr>
            <w:r w:rsidRPr="000458F8">
              <w:rPr>
                <w:b/>
                <w:sz w:val="20"/>
                <w:lang w:val="es-ES_tradnl"/>
              </w:rPr>
              <w:t>Financiación ($ EUA)*</w:t>
            </w:r>
          </w:p>
        </w:tc>
      </w:tr>
      <w:tr w:rsidR="00AA1BB7" w:rsidRPr="000458F8" w14:paraId="65E750E9" w14:textId="77777777" w:rsidTr="00345118">
        <w:tc>
          <w:tcPr>
            <w:tcW w:w="1946"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7C3F5A7E" w14:textId="77777777" w:rsidR="00AA1BB7" w:rsidRPr="000458F8" w:rsidRDefault="00AA1BB7" w:rsidP="00AA1BB7">
            <w:pPr>
              <w:jc w:val="left"/>
              <w:rPr>
                <w:b/>
                <w:bCs/>
                <w:sz w:val="20"/>
                <w:szCs w:val="20"/>
                <w:lang w:val="es-ES_tradnl" w:eastAsia="en-CA"/>
              </w:rPr>
            </w:pPr>
          </w:p>
        </w:tc>
        <w:tc>
          <w:tcPr>
            <w:tcW w:w="1104" w:type="dxa"/>
            <w:tcBorders>
              <w:top w:val="nil"/>
              <w:left w:val="nil"/>
              <w:bottom w:val="single" w:sz="4" w:space="0" w:color="auto"/>
              <w:right w:val="single" w:sz="4" w:space="0" w:color="auto"/>
            </w:tcBorders>
            <w:shd w:val="clear" w:color="auto" w:fill="auto"/>
            <w:tcMar>
              <w:left w:w="58" w:type="dxa"/>
              <w:right w:w="58" w:type="dxa"/>
            </w:tcMar>
            <w:hideMark/>
          </w:tcPr>
          <w:p w14:paraId="257F8C56" w14:textId="74184CEE" w:rsidR="00AA1BB7" w:rsidRPr="000458F8" w:rsidRDefault="00AA1BB7" w:rsidP="00AA1BB7">
            <w:pPr>
              <w:jc w:val="center"/>
              <w:rPr>
                <w:b/>
                <w:bCs/>
                <w:sz w:val="20"/>
                <w:szCs w:val="20"/>
                <w:lang w:val="es-ES_tradnl" w:eastAsia="en-CA"/>
              </w:rPr>
            </w:pPr>
            <w:r w:rsidRPr="000458F8">
              <w:rPr>
                <w:b/>
                <w:sz w:val="18"/>
                <w:lang w:val="es-ES_tradnl"/>
              </w:rPr>
              <w:t>Aprobados</w:t>
            </w:r>
          </w:p>
        </w:tc>
        <w:tc>
          <w:tcPr>
            <w:tcW w:w="1104" w:type="dxa"/>
            <w:tcBorders>
              <w:top w:val="nil"/>
              <w:left w:val="nil"/>
              <w:bottom w:val="single" w:sz="4" w:space="0" w:color="auto"/>
              <w:right w:val="single" w:sz="4" w:space="0" w:color="auto"/>
            </w:tcBorders>
            <w:shd w:val="clear" w:color="auto" w:fill="auto"/>
            <w:tcMar>
              <w:left w:w="58" w:type="dxa"/>
              <w:right w:w="58" w:type="dxa"/>
            </w:tcMar>
            <w:hideMark/>
          </w:tcPr>
          <w:p w14:paraId="29377CC3" w14:textId="008A7625" w:rsidR="00AA1BB7" w:rsidRPr="000458F8" w:rsidRDefault="00AA1BB7" w:rsidP="00AA1BB7">
            <w:pPr>
              <w:jc w:val="center"/>
              <w:rPr>
                <w:b/>
                <w:bCs/>
                <w:sz w:val="20"/>
                <w:szCs w:val="20"/>
                <w:lang w:val="es-ES_tradnl" w:eastAsia="en-CA"/>
              </w:rPr>
            </w:pPr>
            <w:r w:rsidRPr="000458F8">
              <w:rPr>
                <w:b/>
                <w:sz w:val="18"/>
                <w:lang w:val="es-ES_tradnl"/>
              </w:rPr>
              <w:t>Terminados</w:t>
            </w:r>
          </w:p>
        </w:tc>
        <w:tc>
          <w:tcPr>
            <w:tcW w:w="1105" w:type="dxa"/>
            <w:tcBorders>
              <w:top w:val="nil"/>
              <w:left w:val="nil"/>
              <w:bottom w:val="single" w:sz="4" w:space="0" w:color="auto"/>
              <w:right w:val="single" w:sz="4" w:space="0" w:color="auto"/>
            </w:tcBorders>
            <w:shd w:val="clear" w:color="auto" w:fill="auto"/>
            <w:tcMar>
              <w:left w:w="58" w:type="dxa"/>
              <w:right w:w="58" w:type="dxa"/>
            </w:tcMar>
            <w:hideMark/>
          </w:tcPr>
          <w:p w14:paraId="50B9FD2F" w14:textId="418DB272" w:rsidR="00AA1BB7" w:rsidRPr="000458F8" w:rsidRDefault="00AA1BB7" w:rsidP="00AA1BB7">
            <w:pPr>
              <w:jc w:val="center"/>
              <w:rPr>
                <w:b/>
                <w:bCs/>
                <w:sz w:val="20"/>
                <w:szCs w:val="20"/>
                <w:lang w:val="es-ES_tradnl" w:eastAsia="en-CA"/>
              </w:rPr>
            </w:pPr>
            <w:r w:rsidRPr="000458F8">
              <w:rPr>
                <w:b/>
                <w:bCs/>
                <w:sz w:val="20"/>
                <w:szCs w:val="20"/>
                <w:lang w:val="es-ES_tradnl" w:eastAsia="en-CA"/>
              </w:rPr>
              <w:t>% terminados</w:t>
            </w:r>
          </w:p>
        </w:tc>
        <w:tc>
          <w:tcPr>
            <w:tcW w:w="1034" w:type="dxa"/>
            <w:tcBorders>
              <w:top w:val="nil"/>
              <w:left w:val="nil"/>
              <w:bottom w:val="single" w:sz="4" w:space="0" w:color="auto"/>
              <w:right w:val="single" w:sz="4" w:space="0" w:color="auto"/>
            </w:tcBorders>
            <w:shd w:val="clear" w:color="auto" w:fill="auto"/>
            <w:tcMar>
              <w:left w:w="58" w:type="dxa"/>
              <w:right w:w="58" w:type="dxa"/>
            </w:tcMar>
            <w:hideMark/>
          </w:tcPr>
          <w:p w14:paraId="0A32E4B2" w14:textId="2AD2C63E" w:rsidR="00AA1BB7" w:rsidRPr="000458F8" w:rsidRDefault="00AA1BB7" w:rsidP="00AA1BB7">
            <w:pPr>
              <w:jc w:val="center"/>
              <w:rPr>
                <w:b/>
                <w:bCs/>
                <w:sz w:val="20"/>
                <w:szCs w:val="20"/>
                <w:lang w:val="es-ES_tradnl" w:eastAsia="en-CA"/>
              </w:rPr>
            </w:pPr>
            <w:r w:rsidRPr="000458F8">
              <w:rPr>
                <w:b/>
                <w:sz w:val="18"/>
                <w:lang w:val="es-ES_tradnl"/>
              </w:rPr>
              <w:t>Aprobad</w:t>
            </w:r>
            <w:r w:rsidR="00ED1901">
              <w:rPr>
                <w:b/>
                <w:sz w:val="18"/>
                <w:lang w:val="es-ES_tradnl"/>
              </w:rPr>
              <w:t>a</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5D7C345D" w14:textId="20B5FCF9" w:rsidR="00AA1BB7" w:rsidRPr="000458F8" w:rsidRDefault="00AA1BB7" w:rsidP="00AA1BB7">
            <w:pPr>
              <w:jc w:val="center"/>
              <w:rPr>
                <w:b/>
                <w:bCs/>
                <w:sz w:val="20"/>
                <w:szCs w:val="20"/>
                <w:lang w:val="es-ES_tradnl" w:eastAsia="en-CA"/>
              </w:rPr>
            </w:pPr>
            <w:r w:rsidRPr="000458F8">
              <w:rPr>
                <w:b/>
                <w:sz w:val="18"/>
                <w:lang w:val="es-ES_tradnl"/>
              </w:rPr>
              <w:t>Terminad</w:t>
            </w:r>
            <w:r w:rsidR="00ED1901">
              <w:rPr>
                <w:b/>
                <w:sz w:val="18"/>
                <w:lang w:val="es-ES_tradnl"/>
              </w:rPr>
              <w:t>a</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00F1BA5E" w14:textId="442C6353" w:rsidR="00AA1BB7" w:rsidRPr="000458F8" w:rsidRDefault="00AA1BB7" w:rsidP="00AA1BB7">
            <w:pPr>
              <w:jc w:val="center"/>
              <w:rPr>
                <w:b/>
                <w:bCs/>
                <w:sz w:val="20"/>
                <w:szCs w:val="20"/>
                <w:lang w:val="es-ES_tradnl" w:eastAsia="en-CA"/>
              </w:rPr>
            </w:pPr>
            <w:r w:rsidRPr="000458F8">
              <w:rPr>
                <w:b/>
                <w:bCs/>
                <w:sz w:val="20"/>
                <w:szCs w:val="20"/>
                <w:lang w:val="es-ES_tradnl" w:eastAsia="en-CA"/>
              </w:rPr>
              <w:t>Saldo</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312E3DF1" w14:textId="77777777" w:rsidR="00ED1901" w:rsidRDefault="00ED1901" w:rsidP="00AA1BB7">
            <w:pPr>
              <w:jc w:val="center"/>
              <w:rPr>
                <w:b/>
                <w:sz w:val="18"/>
                <w:lang w:val="es-ES_tradnl"/>
              </w:rPr>
            </w:pPr>
            <w:r>
              <w:rPr>
                <w:b/>
                <w:sz w:val="18"/>
                <w:lang w:val="es-ES_tradnl"/>
              </w:rPr>
              <w:t>%</w:t>
            </w:r>
          </w:p>
          <w:p w14:paraId="54874ECF" w14:textId="3E79D7D6" w:rsidR="00AA1BB7" w:rsidRPr="000458F8" w:rsidRDefault="00ED1901" w:rsidP="00AA1BB7">
            <w:pPr>
              <w:jc w:val="center"/>
              <w:rPr>
                <w:b/>
                <w:bCs/>
                <w:sz w:val="20"/>
                <w:szCs w:val="20"/>
                <w:lang w:val="es-ES_tradnl" w:eastAsia="en-CA"/>
              </w:rPr>
            </w:pPr>
            <w:r>
              <w:rPr>
                <w:b/>
                <w:sz w:val="18"/>
                <w:lang w:val="es-ES_tradnl"/>
              </w:rPr>
              <w:t>desembolsada</w:t>
            </w:r>
          </w:p>
        </w:tc>
      </w:tr>
      <w:tr w:rsidR="00AA1BB7" w:rsidRPr="000458F8" w14:paraId="218322CA" w14:textId="77777777" w:rsidTr="00345118">
        <w:tc>
          <w:tcPr>
            <w:tcW w:w="1946"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7617EDA8" w14:textId="74F51259" w:rsidR="00AA1BB7" w:rsidRPr="000458F8" w:rsidRDefault="00AA1BB7" w:rsidP="00AA1BB7">
            <w:pPr>
              <w:jc w:val="left"/>
              <w:rPr>
                <w:sz w:val="20"/>
                <w:szCs w:val="20"/>
                <w:lang w:val="es-ES_tradnl" w:eastAsia="en-CA"/>
              </w:rPr>
            </w:pPr>
            <w:r w:rsidRPr="000458F8">
              <w:rPr>
                <w:sz w:val="20"/>
                <w:lang w:val="es-ES_tradnl"/>
              </w:rPr>
              <w:t>Inversión**</w:t>
            </w:r>
          </w:p>
        </w:tc>
        <w:tc>
          <w:tcPr>
            <w:tcW w:w="1104" w:type="dxa"/>
            <w:tcBorders>
              <w:top w:val="nil"/>
              <w:left w:val="nil"/>
              <w:bottom w:val="single" w:sz="4" w:space="0" w:color="auto"/>
              <w:right w:val="single" w:sz="4" w:space="0" w:color="auto"/>
            </w:tcBorders>
            <w:shd w:val="clear" w:color="auto" w:fill="auto"/>
            <w:noWrap/>
            <w:tcMar>
              <w:left w:w="58" w:type="dxa"/>
              <w:right w:w="173" w:type="dxa"/>
            </w:tcMar>
            <w:hideMark/>
          </w:tcPr>
          <w:p w14:paraId="0F053F45" w14:textId="77777777" w:rsidR="00AA1BB7" w:rsidRPr="000458F8" w:rsidRDefault="00AA1BB7" w:rsidP="00AA1BB7">
            <w:pPr>
              <w:jc w:val="right"/>
              <w:rPr>
                <w:sz w:val="20"/>
                <w:szCs w:val="20"/>
                <w:lang w:val="es-ES_tradnl" w:eastAsia="en-CA"/>
              </w:rPr>
            </w:pPr>
            <w:r w:rsidRPr="000458F8">
              <w:rPr>
                <w:sz w:val="20"/>
                <w:szCs w:val="20"/>
                <w:lang w:val="es-ES_tradnl" w:eastAsia="en-CA"/>
              </w:rPr>
              <w:t>3</w:t>
            </w:r>
          </w:p>
        </w:tc>
        <w:tc>
          <w:tcPr>
            <w:tcW w:w="1104" w:type="dxa"/>
            <w:tcBorders>
              <w:top w:val="nil"/>
              <w:left w:val="nil"/>
              <w:bottom w:val="single" w:sz="4" w:space="0" w:color="auto"/>
              <w:right w:val="single" w:sz="4" w:space="0" w:color="auto"/>
            </w:tcBorders>
            <w:shd w:val="clear" w:color="auto" w:fill="auto"/>
            <w:noWrap/>
            <w:tcMar>
              <w:left w:w="58" w:type="dxa"/>
              <w:right w:w="173" w:type="dxa"/>
            </w:tcMar>
            <w:hideMark/>
          </w:tcPr>
          <w:p w14:paraId="5758E9A5" w14:textId="77777777" w:rsidR="00AA1BB7" w:rsidRPr="000458F8" w:rsidRDefault="00AA1BB7" w:rsidP="00AA1BB7">
            <w:pPr>
              <w:jc w:val="right"/>
              <w:rPr>
                <w:sz w:val="20"/>
                <w:szCs w:val="20"/>
                <w:lang w:val="es-ES_tradnl" w:eastAsia="en-CA"/>
              </w:rPr>
            </w:pPr>
            <w:r w:rsidRPr="000458F8">
              <w:rPr>
                <w:sz w:val="20"/>
                <w:szCs w:val="20"/>
                <w:lang w:val="es-ES_tradnl" w:eastAsia="en-CA"/>
              </w:rPr>
              <w:t>1</w:t>
            </w:r>
          </w:p>
        </w:tc>
        <w:tc>
          <w:tcPr>
            <w:tcW w:w="1105" w:type="dxa"/>
            <w:tcBorders>
              <w:top w:val="nil"/>
              <w:left w:val="nil"/>
              <w:bottom w:val="single" w:sz="4" w:space="0" w:color="auto"/>
              <w:right w:val="single" w:sz="4" w:space="0" w:color="auto"/>
            </w:tcBorders>
            <w:shd w:val="clear" w:color="auto" w:fill="auto"/>
            <w:noWrap/>
            <w:tcMar>
              <w:left w:w="58" w:type="dxa"/>
              <w:right w:w="173" w:type="dxa"/>
            </w:tcMar>
            <w:hideMark/>
          </w:tcPr>
          <w:p w14:paraId="090845E6" w14:textId="77777777" w:rsidR="00AA1BB7" w:rsidRPr="000458F8" w:rsidRDefault="00AA1BB7" w:rsidP="00AA1BB7">
            <w:pPr>
              <w:jc w:val="right"/>
              <w:rPr>
                <w:sz w:val="20"/>
                <w:szCs w:val="20"/>
                <w:lang w:val="es-ES_tradnl" w:eastAsia="en-CA"/>
              </w:rPr>
            </w:pPr>
            <w:r w:rsidRPr="000458F8">
              <w:rPr>
                <w:sz w:val="20"/>
                <w:szCs w:val="20"/>
                <w:lang w:val="es-ES_tradnl" w:eastAsia="en-CA"/>
              </w:rPr>
              <w:t>33</w:t>
            </w:r>
          </w:p>
        </w:tc>
        <w:tc>
          <w:tcPr>
            <w:tcW w:w="1034" w:type="dxa"/>
            <w:tcBorders>
              <w:top w:val="nil"/>
              <w:left w:val="nil"/>
              <w:bottom w:val="single" w:sz="4" w:space="0" w:color="auto"/>
              <w:right w:val="single" w:sz="4" w:space="0" w:color="auto"/>
            </w:tcBorders>
            <w:shd w:val="clear" w:color="auto" w:fill="auto"/>
            <w:noWrap/>
            <w:tcMar>
              <w:left w:w="58" w:type="dxa"/>
              <w:right w:w="58" w:type="dxa"/>
            </w:tcMar>
            <w:hideMark/>
          </w:tcPr>
          <w:p w14:paraId="1D6E2BB3" w14:textId="2D68A786" w:rsidR="00AA1BB7" w:rsidRPr="000458F8" w:rsidRDefault="00AA1BB7" w:rsidP="00AA1BB7">
            <w:pPr>
              <w:jc w:val="right"/>
              <w:rPr>
                <w:sz w:val="20"/>
                <w:szCs w:val="20"/>
                <w:lang w:val="es-ES_tradnl" w:eastAsia="en-CA"/>
              </w:rPr>
            </w:pPr>
            <w:r w:rsidRPr="000458F8">
              <w:rPr>
                <w:sz w:val="20"/>
                <w:szCs w:val="20"/>
                <w:lang w:val="es-ES_tradnl" w:eastAsia="en-CA"/>
              </w:rPr>
              <w:t>2 491 791</w:t>
            </w:r>
          </w:p>
        </w:tc>
        <w:tc>
          <w:tcPr>
            <w:tcW w:w="1035" w:type="dxa"/>
            <w:tcBorders>
              <w:top w:val="nil"/>
              <w:left w:val="nil"/>
              <w:bottom w:val="single" w:sz="4" w:space="0" w:color="auto"/>
              <w:right w:val="single" w:sz="4" w:space="0" w:color="auto"/>
            </w:tcBorders>
            <w:shd w:val="clear" w:color="auto" w:fill="auto"/>
            <w:noWrap/>
            <w:tcMar>
              <w:left w:w="58" w:type="dxa"/>
              <w:right w:w="58" w:type="dxa"/>
            </w:tcMar>
            <w:hideMark/>
          </w:tcPr>
          <w:p w14:paraId="268F2CC6" w14:textId="77777777" w:rsidR="00AA1BB7" w:rsidRPr="000458F8" w:rsidRDefault="00AA1BB7" w:rsidP="00AA1BB7">
            <w:pPr>
              <w:jc w:val="right"/>
              <w:rPr>
                <w:sz w:val="20"/>
                <w:szCs w:val="20"/>
                <w:lang w:val="es-ES_tradnl" w:eastAsia="en-CA"/>
              </w:rPr>
            </w:pPr>
            <w:r w:rsidRPr="000458F8">
              <w:rPr>
                <w:sz w:val="20"/>
                <w:szCs w:val="20"/>
                <w:lang w:val="es-ES_tradnl" w:eastAsia="en-CA"/>
              </w:rPr>
              <w:t>1565244</w:t>
            </w:r>
          </w:p>
        </w:tc>
        <w:tc>
          <w:tcPr>
            <w:tcW w:w="1035" w:type="dxa"/>
            <w:tcBorders>
              <w:top w:val="nil"/>
              <w:left w:val="nil"/>
              <w:bottom w:val="single" w:sz="4" w:space="0" w:color="auto"/>
              <w:right w:val="single" w:sz="4" w:space="0" w:color="auto"/>
            </w:tcBorders>
            <w:shd w:val="clear" w:color="auto" w:fill="auto"/>
            <w:noWrap/>
            <w:tcMar>
              <w:left w:w="58" w:type="dxa"/>
              <w:right w:w="58" w:type="dxa"/>
            </w:tcMar>
            <w:hideMark/>
          </w:tcPr>
          <w:p w14:paraId="5DB56AFD" w14:textId="5A7A30AA" w:rsidR="00AA1BB7" w:rsidRPr="000458F8" w:rsidRDefault="00AA1BB7" w:rsidP="00AA1BB7">
            <w:pPr>
              <w:jc w:val="right"/>
              <w:rPr>
                <w:sz w:val="20"/>
                <w:szCs w:val="20"/>
                <w:lang w:val="es-ES_tradnl" w:eastAsia="en-CA"/>
              </w:rPr>
            </w:pPr>
            <w:r w:rsidRPr="000458F8">
              <w:rPr>
                <w:sz w:val="20"/>
                <w:szCs w:val="20"/>
                <w:lang w:val="es-ES_tradnl" w:eastAsia="en-CA"/>
              </w:rPr>
              <w:t>926 547</w:t>
            </w:r>
          </w:p>
        </w:tc>
        <w:tc>
          <w:tcPr>
            <w:tcW w:w="1035" w:type="dxa"/>
            <w:tcBorders>
              <w:top w:val="nil"/>
              <w:left w:val="nil"/>
              <w:bottom w:val="single" w:sz="4" w:space="0" w:color="auto"/>
              <w:right w:val="single" w:sz="4" w:space="0" w:color="auto"/>
            </w:tcBorders>
            <w:shd w:val="clear" w:color="auto" w:fill="auto"/>
            <w:noWrap/>
            <w:tcMar>
              <w:left w:w="58" w:type="dxa"/>
              <w:right w:w="173" w:type="dxa"/>
            </w:tcMar>
            <w:hideMark/>
          </w:tcPr>
          <w:p w14:paraId="13D65B8E" w14:textId="77777777" w:rsidR="00AA1BB7" w:rsidRPr="000458F8" w:rsidRDefault="00AA1BB7" w:rsidP="00AA1BB7">
            <w:pPr>
              <w:jc w:val="right"/>
              <w:rPr>
                <w:sz w:val="20"/>
                <w:szCs w:val="20"/>
                <w:lang w:val="es-ES_tradnl" w:eastAsia="en-CA"/>
              </w:rPr>
            </w:pPr>
            <w:r w:rsidRPr="000458F8">
              <w:rPr>
                <w:sz w:val="20"/>
                <w:szCs w:val="20"/>
                <w:lang w:val="es-ES_tradnl" w:eastAsia="en-CA"/>
              </w:rPr>
              <w:t>63</w:t>
            </w:r>
          </w:p>
        </w:tc>
      </w:tr>
      <w:tr w:rsidR="00AA1BB7" w:rsidRPr="000458F8" w14:paraId="1D195360" w14:textId="77777777" w:rsidTr="00345118">
        <w:tc>
          <w:tcPr>
            <w:tcW w:w="1946"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0A267C62" w14:textId="77777777" w:rsidR="00AA1BB7" w:rsidRPr="000458F8" w:rsidRDefault="00AA1BB7" w:rsidP="00AA1BB7">
            <w:pPr>
              <w:pStyle w:val="TableParagraph"/>
              <w:ind w:left="107"/>
              <w:rPr>
                <w:sz w:val="20"/>
                <w:lang w:val="es-ES_tradnl"/>
              </w:rPr>
            </w:pPr>
            <w:r w:rsidRPr="000458F8">
              <w:rPr>
                <w:sz w:val="20"/>
                <w:lang w:val="es-ES_tradnl"/>
              </w:rPr>
              <w:t>Asistencia técnica</w:t>
            </w:r>
          </w:p>
          <w:p w14:paraId="3EDA6ECF" w14:textId="017E78AC" w:rsidR="00AA1BB7" w:rsidRPr="000458F8" w:rsidRDefault="00AA1BB7" w:rsidP="00AA1BB7">
            <w:pPr>
              <w:jc w:val="left"/>
              <w:rPr>
                <w:sz w:val="20"/>
                <w:szCs w:val="20"/>
                <w:lang w:val="es-ES_tradnl" w:eastAsia="en-CA"/>
              </w:rPr>
            </w:pPr>
            <w:r w:rsidRPr="000458F8">
              <w:rPr>
                <w:sz w:val="20"/>
                <w:lang w:val="es-ES_tradnl"/>
              </w:rPr>
              <w:t>– actividades de apoyo</w:t>
            </w:r>
          </w:p>
        </w:tc>
        <w:tc>
          <w:tcPr>
            <w:tcW w:w="1104" w:type="dxa"/>
            <w:tcBorders>
              <w:top w:val="nil"/>
              <w:left w:val="nil"/>
              <w:bottom w:val="single" w:sz="4" w:space="0" w:color="auto"/>
              <w:right w:val="single" w:sz="4" w:space="0" w:color="auto"/>
            </w:tcBorders>
            <w:shd w:val="clear" w:color="auto" w:fill="auto"/>
            <w:noWrap/>
            <w:tcMar>
              <w:left w:w="58" w:type="dxa"/>
              <w:right w:w="173" w:type="dxa"/>
            </w:tcMar>
            <w:hideMark/>
          </w:tcPr>
          <w:p w14:paraId="5CD9C35B" w14:textId="77777777" w:rsidR="00AA1BB7" w:rsidRPr="000458F8" w:rsidRDefault="00AA1BB7" w:rsidP="00AA1BB7">
            <w:pPr>
              <w:jc w:val="right"/>
              <w:rPr>
                <w:sz w:val="20"/>
                <w:szCs w:val="20"/>
                <w:lang w:val="es-ES_tradnl" w:eastAsia="en-CA"/>
              </w:rPr>
            </w:pPr>
            <w:r w:rsidRPr="000458F8">
              <w:rPr>
                <w:sz w:val="20"/>
                <w:szCs w:val="20"/>
                <w:lang w:val="es-ES_tradnl" w:eastAsia="en-CA"/>
              </w:rPr>
              <w:t>5</w:t>
            </w:r>
          </w:p>
        </w:tc>
        <w:tc>
          <w:tcPr>
            <w:tcW w:w="1104" w:type="dxa"/>
            <w:tcBorders>
              <w:top w:val="nil"/>
              <w:left w:val="nil"/>
              <w:bottom w:val="single" w:sz="4" w:space="0" w:color="auto"/>
              <w:right w:val="single" w:sz="4" w:space="0" w:color="auto"/>
            </w:tcBorders>
            <w:shd w:val="clear" w:color="auto" w:fill="auto"/>
            <w:tcMar>
              <w:left w:w="58" w:type="dxa"/>
              <w:right w:w="173" w:type="dxa"/>
            </w:tcMar>
            <w:hideMark/>
          </w:tcPr>
          <w:p w14:paraId="292850D4" w14:textId="77777777" w:rsidR="00AA1BB7" w:rsidRPr="000458F8" w:rsidRDefault="00AA1BB7" w:rsidP="00AA1BB7">
            <w:pPr>
              <w:jc w:val="right"/>
              <w:rPr>
                <w:sz w:val="20"/>
                <w:szCs w:val="20"/>
                <w:lang w:val="es-ES_tradnl" w:eastAsia="en-CA"/>
              </w:rPr>
            </w:pPr>
            <w:r w:rsidRPr="000458F8">
              <w:rPr>
                <w:sz w:val="20"/>
                <w:szCs w:val="20"/>
                <w:lang w:val="es-ES_tradnl" w:eastAsia="en-CA"/>
              </w:rPr>
              <w:t>0</w:t>
            </w:r>
          </w:p>
        </w:tc>
        <w:tc>
          <w:tcPr>
            <w:tcW w:w="1105" w:type="dxa"/>
            <w:tcBorders>
              <w:top w:val="nil"/>
              <w:left w:val="nil"/>
              <w:bottom w:val="single" w:sz="4" w:space="0" w:color="auto"/>
              <w:right w:val="single" w:sz="4" w:space="0" w:color="auto"/>
            </w:tcBorders>
            <w:shd w:val="clear" w:color="auto" w:fill="auto"/>
            <w:noWrap/>
            <w:tcMar>
              <w:left w:w="58" w:type="dxa"/>
              <w:right w:w="173" w:type="dxa"/>
            </w:tcMar>
            <w:hideMark/>
          </w:tcPr>
          <w:p w14:paraId="0AB19588" w14:textId="77777777" w:rsidR="00AA1BB7" w:rsidRPr="000458F8" w:rsidRDefault="00AA1BB7" w:rsidP="00AA1BB7">
            <w:pPr>
              <w:jc w:val="right"/>
              <w:rPr>
                <w:sz w:val="20"/>
                <w:szCs w:val="20"/>
                <w:lang w:val="es-ES_tradnl" w:eastAsia="en-CA"/>
              </w:rPr>
            </w:pPr>
            <w:r w:rsidRPr="000458F8">
              <w:rPr>
                <w:sz w:val="20"/>
                <w:szCs w:val="20"/>
                <w:lang w:val="es-ES_tradnl" w:eastAsia="en-CA"/>
              </w:rPr>
              <w:t>0</w:t>
            </w:r>
          </w:p>
        </w:tc>
        <w:tc>
          <w:tcPr>
            <w:tcW w:w="1034" w:type="dxa"/>
            <w:tcBorders>
              <w:top w:val="nil"/>
              <w:left w:val="nil"/>
              <w:bottom w:val="single" w:sz="4" w:space="0" w:color="auto"/>
              <w:right w:val="single" w:sz="4" w:space="0" w:color="auto"/>
            </w:tcBorders>
            <w:shd w:val="clear" w:color="auto" w:fill="auto"/>
            <w:tcMar>
              <w:left w:w="58" w:type="dxa"/>
              <w:right w:w="58" w:type="dxa"/>
            </w:tcMar>
            <w:hideMark/>
          </w:tcPr>
          <w:p w14:paraId="59C244F1" w14:textId="379F17CE" w:rsidR="00AA1BB7" w:rsidRPr="000458F8" w:rsidRDefault="00AA1BB7" w:rsidP="00AA1BB7">
            <w:pPr>
              <w:jc w:val="right"/>
              <w:rPr>
                <w:sz w:val="20"/>
                <w:szCs w:val="20"/>
                <w:lang w:val="es-ES_tradnl" w:eastAsia="en-CA"/>
              </w:rPr>
            </w:pPr>
            <w:r w:rsidRPr="000458F8">
              <w:rPr>
                <w:sz w:val="20"/>
                <w:szCs w:val="20"/>
                <w:lang w:val="es-ES_tradnl" w:eastAsia="en-CA"/>
              </w:rPr>
              <w:t>384 000</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0CDBB6C8" w14:textId="41D4D328" w:rsidR="00AA1BB7" w:rsidRPr="000458F8" w:rsidRDefault="00AA1BB7" w:rsidP="00AA1BB7">
            <w:pPr>
              <w:jc w:val="right"/>
              <w:rPr>
                <w:sz w:val="20"/>
                <w:szCs w:val="20"/>
                <w:lang w:val="es-ES_tradnl" w:eastAsia="en-CA"/>
              </w:rPr>
            </w:pPr>
            <w:r w:rsidRPr="000458F8">
              <w:rPr>
                <w:sz w:val="20"/>
                <w:szCs w:val="20"/>
                <w:lang w:val="es-ES_tradnl" w:eastAsia="en-CA"/>
              </w:rPr>
              <w:t>50 919</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63FFD957" w14:textId="785D42C5" w:rsidR="00AA1BB7" w:rsidRPr="000458F8" w:rsidRDefault="00AA1BB7" w:rsidP="00AA1BB7">
            <w:pPr>
              <w:jc w:val="right"/>
              <w:rPr>
                <w:sz w:val="20"/>
                <w:szCs w:val="20"/>
                <w:lang w:val="es-ES_tradnl" w:eastAsia="en-CA"/>
              </w:rPr>
            </w:pPr>
            <w:r w:rsidRPr="000458F8">
              <w:rPr>
                <w:sz w:val="20"/>
                <w:szCs w:val="20"/>
                <w:lang w:val="es-ES_tradnl" w:eastAsia="en-CA"/>
              </w:rPr>
              <w:t>333 081</w:t>
            </w:r>
          </w:p>
        </w:tc>
        <w:tc>
          <w:tcPr>
            <w:tcW w:w="1035" w:type="dxa"/>
            <w:tcBorders>
              <w:top w:val="nil"/>
              <w:left w:val="nil"/>
              <w:bottom w:val="single" w:sz="4" w:space="0" w:color="auto"/>
              <w:right w:val="single" w:sz="4" w:space="0" w:color="auto"/>
            </w:tcBorders>
            <w:shd w:val="clear" w:color="auto" w:fill="auto"/>
            <w:noWrap/>
            <w:tcMar>
              <w:left w:w="58" w:type="dxa"/>
              <w:right w:w="173" w:type="dxa"/>
            </w:tcMar>
            <w:hideMark/>
          </w:tcPr>
          <w:p w14:paraId="6941D1C5" w14:textId="77777777" w:rsidR="00AA1BB7" w:rsidRPr="000458F8" w:rsidRDefault="00AA1BB7" w:rsidP="00AA1BB7">
            <w:pPr>
              <w:jc w:val="right"/>
              <w:rPr>
                <w:sz w:val="20"/>
                <w:szCs w:val="20"/>
                <w:lang w:val="es-ES_tradnl" w:eastAsia="en-CA"/>
              </w:rPr>
            </w:pPr>
            <w:r w:rsidRPr="000458F8">
              <w:rPr>
                <w:sz w:val="20"/>
                <w:szCs w:val="20"/>
                <w:lang w:val="es-ES_tradnl" w:eastAsia="en-CA"/>
              </w:rPr>
              <w:t>13</w:t>
            </w:r>
          </w:p>
        </w:tc>
      </w:tr>
      <w:tr w:rsidR="00C3420C" w:rsidRPr="000458F8" w14:paraId="73500F4A" w14:textId="77777777" w:rsidTr="008E3F5E">
        <w:tc>
          <w:tcPr>
            <w:tcW w:w="1946"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FA0576C" w14:textId="77777777" w:rsidR="00C3420C" w:rsidRPr="000458F8" w:rsidRDefault="00C3420C" w:rsidP="008E3F5E">
            <w:pPr>
              <w:jc w:val="left"/>
              <w:rPr>
                <w:b/>
                <w:bCs/>
                <w:sz w:val="20"/>
                <w:szCs w:val="20"/>
                <w:lang w:val="es-ES_tradnl" w:eastAsia="en-CA"/>
              </w:rPr>
            </w:pPr>
            <w:r w:rsidRPr="000458F8">
              <w:rPr>
                <w:b/>
                <w:bCs/>
                <w:sz w:val="20"/>
                <w:szCs w:val="20"/>
                <w:lang w:val="es-ES_tradnl" w:eastAsia="en-CA"/>
              </w:rPr>
              <w:t>Total</w:t>
            </w:r>
          </w:p>
        </w:tc>
        <w:tc>
          <w:tcPr>
            <w:tcW w:w="1104" w:type="dxa"/>
            <w:tcBorders>
              <w:top w:val="nil"/>
              <w:left w:val="nil"/>
              <w:bottom w:val="single" w:sz="4" w:space="0" w:color="auto"/>
              <w:right w:val="single" w:sz="4" w:space="0" w:color="auto"/>
            </w:tcBorders>
            <w:shd w:val="clear" w:color="auto" w:fill="auto"/>
            <w:noWrap/>
            <w:tcMar>
              <w:left w:w="58" w:type="dxa"/>
              <w:right w:w="173" w:type="dxa"/>
            </w:tcMar>
            <w:hideMark/>
          </w:tcPr>
          <w:p w14:paraId="7546CA5C" w14:textId="77777777" w:rsidR="00C3420C" w:rsidRPr="000458F8" w:rsidRDefault="00C3420C" w:rsidP="008E3F5E">
            <w:pPr>
              <w:jc w:val="right"/>
              <w:rPr>
                <w:b/>
                <w:sz w:val="20"/>
                <w:szCs w:val="20"/>
                <w:lang w:val="es-ES_tradnl" w:eastAsia="en-CA"/>
              </w:rPr>
            </w:pPr>
            <w:r w:rsidRPr="000458F8">
              <w:rPr>
                <w:b/>
                <w:sz w:val="20"/>
                <w:szCs w:val="20"/>
                <w:lang w:val="es-ES_tradnl" w:eastAsia="en-CA"/>
              </w:rPr>
              <w:t>8</w:t>
            </w:r>
          </w:p>
        </w:tc>
        <w:tc>
          <w:tcPr>
            <w:tcW w:w="1104" w:type="dxa"/>
            <w:tcBorders>
              <w:top w:val="nil"/>
              <w:left w:val="nil"/>
              <w:bottom w:val="single" w:sz="4" w:space="0" w:color="auto"/>
              <w:right w:val="single" w:sz="4" w:space="0" w:color="auto"/>
            </w:tcBorders>
            <w:shd w:val="clear" w:color="auto" w:fill="auto"/>
            <w:tcMar>
              <w:left w:w="58" w:type="dxa"/>
              <w:right w:w="173" w:type="dxa"/>
            </w:tcMar>
            <w:hideMark/>
          </w:tcPr>
          <w:p w14:paraId="37CE1CA4"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1</w:t>
            </w:r>
          </w:p>
        </w:tc>
        <w:tc>
          <w:tcPr>
            <w:tcW w:w="1105" w:type="dxa"/>
            <w:tcBorders>
              <w:top w:val="nil"/>
              <w:left w:val="nil"/>
              <w:bottom w:val="single" w:sz="4" w:space="0" w:color="auto"/>
              <w:right w:val="single" w:sz="4" w:space="0" w:color="auto"/>
            </w:tcBorders>
            <w:shd w:val="clear" w:color="auto" w:fill="auto"/>
            <w:noWrap/>
            <w:tcMar>
              <w:left w:w="58" w:type="dxa"/>
              <w:right w:w="173" w:type="dxa"/>
            </w:tcMar>
            <w:hideMark/>
          </w:tcPr>
          <w:p w14:paraId="792D84BC" w14:textId="77777777" w:rsidR="00C3420C" w:rsidRPr="000458F8" w:rsidRDefault="00C3420C" w:rsidP="008E3F5E">
            <w:pPr>
              <w:jc w:val="right"/>
              <w:rPr>
                <w:b/>
                <w:sz w:val="20"/>
                <w:szCs w:val="20"/>
                <w:lang w:val="es-ES_tradnl" w:eastAsia="en-CA"/>
              </w:rPr>
            </w:pPr>
            <w:r w:rsidRPr="000458F8">
              <w:rPr>
                <w:b/>
                <w:sz w:val="20"/>
                <w:szCs w:val="20"/>
                <w:lang w:val="es-ES_tradnl" w:eastAsia="en-CA"/>
              </w:rPr>
              <w:t>13</w:t>
            </w:r>
          </w:p>
        </w:tc>
        <w:tc>
          <w:tcPr>
            <w:tcW w:w="1034" w:type="dxa"/>
            <w:tcBorders>
              <w:top w:val="nil"/>
              <w:left w:val="nil"/>
              <w:bottom w:val="single" w:sz="4" w:space="0" w:color="auto"/>
              <w:right w:val="single" w:sz="4" w:space="0" w:color="auto"/>
            </w:tcBorders>
            <w:shd w:val="clear" w:color="auto" w:fill="auto"/>
            <w:tcMar>
              <w:left w:w="58" w:type="dxa"/>
              <w:right w:w="58" w:type="dxa"/>
            </w:tcMar>
            <w:hideMark/>
          </w:tcPr>
          <w:p w14:paraId="624A133C" w14:textId="64718291" w:rsidR="00C3420C" w:rsidRPr="000458F8" w:rsidRDefault="00C3420C" w:rsidP="008E3F5E">
            <w:pPr>
              <w:jc w:val="right"/>
              <w:rPr>
                <w:b/>
                <w:bCs/>
                <w:sz w:val="20"/>
                <w:szCs w:val="20"/>
                <w:lang w:val="es-ES_tradnl" w:eastAsia="en-CA"/>
              </w:rPr>
            </w:pPr>
            <w:r w:rsidRPr="000458F8">
              <w:rPr>
                <w:b/>
                <w:bCs/>
                <w:sz w:val="20"/>
                <w:szCs w:val="20"/>
                <w:lang w:val="es-ES_tradnl" w:eastAsia="en-CA"/>
              </w:rPr>
              <w:t>2</w:t>
            </w:r>
            <w:r w:rsidR="00700B97" w:rsidRPr="000458F8">
              <w:rPr>
                <w:b/>
                <w:bCs/>
                <w:sz w:val="20"/>
                <w:szCs w:val="20"/>
                <w:lang w:val="es-ES_tradnl" w:eastAsia="en-CA"/>
              </w:rPr>
              <w:t> </w:t>
            </w:r>
            <w:r w:rsidRPr="000458F8">
              <w:rPr>
                <w:b/>
                <w:bCs/>
                <w:sz w:val="20"/>
                <w:szCs w:val="20"/>
                <w:lang w:val="es-ES_tradnl" w:eastAsia="en-CA"/>
              </w:rPr>
              <w:t>875</w:t>
            </w:r>
            <w:r w:rsidR="00700B97" w:rsidRPr="000458F8">
              <w:rPr>
                <w:b/>
                <w:bCs/>
                <w:sz w:val="20"/>
                <w:szCs w:val="20"/>
                <w:lang w:val="es-ES_tradnl" w:eastAsia="en-CA"/>
              </w:rPr>
              <w:t> </w:t>
            </w:r>
            <w:r w:rsidRPr="000458F8">
              <w:rPr>
                <w:b/>
                <w:bCs/>
                <w:sz w:val="20"/>
                <w:szCs w:val="20"/>
                <w:lang w:val="es-ES_tradnl" w:eastAsia="en-CA"/>
              </w:rPr>
              <w:t>791</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4ED0D736" w14:textId="0C05ED6F" w:rsidR="00C3420C" w:rsidRPr="000458F8" w:rsidRDefault="00C3420C" w:rsidP="008E3F5E">
            <w:pPr>
              <w:jc w:val="right"/>
              <w:rPr>
                <w:b/>
                <w:bCs/>
                <w:sz w:val="20"/>
                <w:szCs w:val="20"/>
                <w:lang w:val="es-ES_tradnl" w:eastAsia="en-CA"/>
              </w:rPr>
            </w:pPr>
            <w:r w:rsidRPr="000458F8">
              <w:rPr>
                <w:b/>
                <w:bCs/>
                <w:sz w:val="20"/>
                <w:szCs w:val="20"/>
                <w:lang w:val="es-ES_tradnl" w:eastAsia="en-CA"/>
              </w:rPr>
              <w:t>1</w:t>
            </w:r>
            <w:r w:rsidR="00700B97" w:rsidRPr="000458F8">
              <w:rPr>
                <w:b/>
                <w:bCs/>
                <w:sz w:val="20"/>
                <w:szCs w:val="20"/>
                <w:lang w:val="es-ES_tradnl" w:eastAsia="en-CA"/>
              </w:rPr>
              <w:t> </w:t>
            </w:r>
            <w:r w:rsidRPr="000458F8">
              <w:rPr>
                <w:b/>
                <w:bCs/>
                <w:sz w:val="20"/>
                <w:szCs w:val="20"/>
                <w:lang w:val="es-ES_tradnl" w:eastAsia="en-CA"/>
              </w:rPr>
              <w:t>616</w:t>
            </w:r>
            <w:r w:rsidR="00700B97" w:rsidRPr="000458F8">
              <w:rPr>
                <w:b/>
                <w:bCs/>
                <w:sz w:val="20"/>
                <w:szCs w:val="20"/>
                <w:lang w:val="es-ES_tradnl" w:eastAsia="en-CA"/>
              </w:rPr>
              <w:t> </w:t>
            </w:r>
            <w:r w:rsidRPr="000458F8">
              <w:rPr>
                <w:b/>
                <w:bCs/>
                <w:sz w:val="20"/>
                <w:szCs w:val="20"/>
                <w:lang w:val="es-ES_tradnl" w:eastAsia="en-CA"/>
              </w:rPr>
              <w:t>163</w:t>
            </w:r>
          </w:p>
        </w:tc>
        <w:tc>
          <w:tcPr>
            <w:tcW w:w="1035" w:type="dxa"/>
            <w:tcBorders>
              <w:top w:val="nil"/>
              <w:left w:val="nil"/>
              <w:bottom w:val="single" w:sz="4" w:space="0" w:color="auto"/>
              <w:right w:val="single" w:sz="4" w:space="0" w:color="auto"/>
            </w:tcBorders>
            <w:shd w:val="clear" w:color="auto" w:fill="auto"/>
            <w:tcMar>
              <w:left w:w="58" w:type="dxa"/>
              <w:right w:w="58" w:type="dxa"/>
            </w:tcMar>
            <w:hideMark/>
          </w:tcPr>
          <w:p w14:paraId="3CDD1A78" w14:textId="0B684675" w:rsidR="00C3420C" w:rsidRPr="000458F8" w:rsidRDefault="00C3420C" w:rsidP="008E3F5E">
            <w:pPr>
              <w:jc w:val="right"/>
              <w:rPr>
                <w:b/>
                <w:bCs/>
                <w:sz w:val="20"/>
                <w:szCs w:val="20"/>
                <w:lang w:val="es-ES_tradnl" w:eastAsia="en-CA"/>
              </w:rPr>
            </w:pPr>
            <w:r w:rsidRPr="000458F8">
              <w:rPr>
                <w:b/>
                <w:bCs/>
                <w:sz w:val="20"/>
                <w:szCs w:val="20"/>
                <w:lang w:val="es-ES_tradnl" w:eastAsia="en-CA"/>
              </w:rPr>
              <w:t>1</w:t>
            </w:r>
            <w:r w:rsidR="00700B97" w:rsidRPr="000458F8">
              <w:rPr>
                <w:b/>
                <w:bCs/>
                <w:sz w:val="20"/>
                <w:szCs w:val="20"/>
                <w:lang w:val="es-ES_tradnl" w:eastAsia="en-CA"/>
              </w:rPr>
              <w:t> </w:t>
            </w:r>
            <w:r w:rsidRPr="000458F8">
              <w:rPr>
                <w:b/>
                <w:bCs/>
                <w:sz w:val="20"/>
                <w:szCs w:val="20"/>
                <w:lang w:val="es-ES_tradnl" w:eastAsia="en-CA"/>
              </w:rPr>
              <w:t>259</w:t>
            </w:r>
            <w:r w:rsidR="00700B97" w:rsidRPr="000458F8">
              <w:rPr>
                <w:b/>
                <w:bCs/>
                <w:sz w:val="20"/>
                <w:szCs w:val="20"/>
                <w:lang w:val="es-ES_tradnl" w:eastAsia="en-CA"/>
              </w:rPr>
              <w:t> </w:t>
            </w:r>
            <w:r w:rsidRPr="000458F8">
              <w:rPr>
                <w:b/>
                <w:bCs/>
                <w:sz w:val="20"/>
                <w:szCs w:val="20"/>
                <w:lang w:val="es-ES_tradnl" w:eastAsia="en-CA"/>
              </w:rPr>
              <w:t>628</w:t>
            </w:r>
          </w:p>
        </w:tc>
        <w:tc>
          <w:tcPr>
            <w:tcW w:w="1035" w:type="dxa"/>
            <w:tcBorders>
              <w:top w:val="nil"/>
              <w:left w:val="nil"/>
              <w:bottom w:val="single" w:sz="4" w:space="0" w:color="auto"/>
              <w:right w:val="single" w:sz="4" w:space="0" w:color="auto"/>
            </w:tcBorders>
            <w:shd w:val="clear" w:color="auto" w:fill="auto"/>
            <w:noWrap/>
            <w:tcMar>
              <w:left w:w="58" w:type="dxa"/>
              <w:right w:w="173" w:type="dxa"/>
            </w:tcMar>
            <w:hideMark/>
          </w:tcPr>
          <w:p w14:paraId="094D3DFF" w14:textId="77777777" w:rsidR="00C3420C" w:rsidRPr="000458F8" w:rsidRDefault="00C3420C" w:rsidP="008E3F5E">
            <w:pPr>
              <w:jc w:val="right"/>
              <w:rPr>
                <w:b/>
                <w:bCs/>
                <w:sz w:val="20"/>
                <w:szCs w:val="20"/>
                <w:lang w:val="es-ES_tradnl" w:eastAsia="en-CA"/>
              </w:rPr>
            </w:pPr>
            <w:r w:rsidRPr="000458F8">
              <w:rPr>
                <w:b/>
                <w:bCs/>
                <w:sz w:val="20"/>
                <w:szCs w:val="20"/>
                <w:lang w:val="es-ES_tradnl" w:eastAsia="en-CA"/>
              </w:rPr>
              <w:t>56</w:t>
            </w:r>
          </w:p>
        </w:tc>
      </w:tr>
    </w:tbl>
    <w:p w14:paraId="616777CD" w14:textId="21CA4D4C" w:rsidR="00C3420C" w:rsidRPr="000458F8" w:rsidRDefault="00C3420C" w:rsidP="00C3420C">
      <w:pPr>
        <w:rPr>
          <w:sz w:val="19"/>
          <w:szCs w:val="19"/>
          <w:lang w:val="es-ES_tradnl"/>
        </w:rPr>
      </w:pPr>
      <w:r w:rsidRPr="000458F8">
        <w:rPr>
          <w:sz w:val="19"/>
          <w:szCs w:val="19"/>
          <w:lang w:val="es-ES_tradnl"/>
        </w:rPr>
        <w:t>*</w:t>
      </w:r>
      <w:r w:rsidR="00AA1BB7" w:rsidRPr="000458F8">
        <w:rPr>
          <w:sz w:val="19"/>
          <w:szCs w:val="19"/>
          <w:lang w:val="es-ES_tradnl"/>
        </w:rPr>
        <w:t>Excluye los gastos de apoyo al organismo.</w:t>
      </w:r>
    </w:p>
    <w:p w14:paraId="596BDF4B" w14:textId="22F66F14" w:rsidR="00C3420C" w:rsidRPr="000458F8" w:rsidRDefault="00C3420C" w:rsidP="00C3420C">
      <w:pPr>
        <w:rPr>
          <w:sz w:val="20"/>
          <w:szCs w:val="20"/>
          <w:lang w:val="es-ES_tradnl"/>
        </w:rPr>
      </w:pPr>
      <w:r w:rsidRPr="000458F8">
        <w:rPr>
          <w:sz w:val="20"/>
          <w:szCs w:val="20"/>
          <w:lang w:val="es-ES_tradnl"/>
        </w:rPr>
        <w:t>**</w:t>
      </w:r>
      <w:r w:rsidR="00AA1BB7" w:rsidRPr="000458F8">
        <w:rPr>
          <w:sz w:val="20"/>
          <w:szCs w:val="20"/>
          <w:lang w:val="es-ES_tradnl"/>
        </w:rPr>
        <w:t>Se aprobaron 142,8 tm para proyectos de inversión (204 332 tm de CO</w:t>
      </w:r>
      <w:r w:rsidR="00AA1BB7" w:rsidRPr="000458F8">
        <w:rPr>
          <w:sz w:val="20"/>
          <w:szCs w:val="20"/>
          <w:vertAlign w:val="subscript"/>
          <w:lang w:val="es-ES_tradnl"/>
        </w:rPr>
        <w:t>2</w:t>
      </w:r>
      <w:r w:rsidR="00AA1BB7" w:rsidRPr="000458F8">
        <w:rPr>
          <w:sz w:val="20"/>
          <w:szCs w:val="20"/>
          <w:lang w:val="es-ES_tradnl"/>
        </w:rPr>
        <w:t xml:space="preserve"> equivalente).</w:t>
      </w:r>
    </w:p>
    <w:p w14:paraId="1A6228B3" w14:textId="77777777" w:rsidR="00C3420C" w:rsidRPr="000458F8" w:rsidRDefault="00C3420C" w:rsidP="00C3420C">
      <w:pPr>
        <w:rPr>
          <w:sz w:val="20"/>
          <w:szCs w:val="20"/>
          <w:lang w:val="es-ES_tradnl"/>
        </w:rPr>
      </w:pPr>
    </w:p>
    <w:p w14:paraId="79F8E7C9" w14:textId="78ADEA40" w:rsidR="00850824" w:rsidRPr="000458F8" w:rsidRDefault="00850824" w:rsidP="00850824">
      <w:pPr>
        <w:pStyle w:val="Heading1"/>
        <w:tabs>
          <w:tab w:val="clear" w:pos="0"/>
        </w:tabs>
        <w:rPr>
          <w:lang w:val="es-ES_tradnl"/>
        </w:rPr>
      </w:pPr>
      <w:r w:rsidRPr="000458F8">
        <w:rPr>
          <w:lang w:val="es-ES_tradnl"/>
        </w:rPr>
        <w:t>Se</w:t>
      </w:r>
      <w:r w:rsidRPr="000458F8">
        <w:rPr>
          <w:spacing w:val="-6"/>
          <w:lang w:val="es-ES_tradnl"/>
        </w:rPr>
        <w:t xml:space="preserve"> </w:t>
      </w:r>
      <w:r w:rsidRPr="000458F8">
        <w:rPr>
          <w:lang w:val="es-ES_tradnl"/>
        </w:rPr>
        <w:t>están</w:t>
      </w:r>
      <w:r w:rsidRPr="000458F8">
        <w:rPr>
          <w:spacing w:val="-5"/>
          <w:lang w:val="es-ES_tradnl"/>
        </w:rPr>
        <w:t xml:space="preserve"> </w:t>
      </w:r>
      <w:r w:rsidRPr="000458F8">
        <w:rPr>
          <w:lang w:val="es-ES_tradnl"/>
        </w:rPr>
        <w:t>ejecutando</w:t>
      </w:r>
      <w:r w:rsidRPr="000458F8">
        <w:rPr>
          <w:spacing w:val="-5"/>
          <w:lang w:val="es-ES_tradnl"/>
        </w:rPr>
        <w:t xml:space="preserve"> </w:t>
      </w:r>
      <w:r w:rsidRPr="000458F8">
        <w:rPr>
          <w:lang w:val="es-ES_tradnl"/>
        </w:rPr>
        <w:t>en</w:t>
      </w:r>
      <w:r w:rsidRPr="000458F8">
        <w:rPr>
          <w:spacing w:val="-5"/>
          <w:lang w:val="es-ES_tradnl"/>
        </w:rPr>
        <w:t xml:space="preserve"> </w:t>
      </w:r>
      <w:r w:rsidRPr="000458F8">
        <w:rPr>
          <w:lang w:val="es-ES_tradnl"/>
        </w:rPr>
        <w:t>estos</w:t>
      </w:r>
      <w:r w:rsidRPr="000458F8">
        <w:rPr>
          <w:spacing w:val="-4"/>
          <w:lang w:val="es-ES_tradnl"/>
        </w:rPr>
        <w:t xml:space="preserve"> </w:t>
      </w:r>
      <w:r w:rsidRPr="000458F8">
        <w:rPr>
          <w:lang w:val="es-ES_tradnl"/>
        </w:rPr>
        <w:t>momentos</w:t>
      </w:r>
      <w:r w:rsidRPr="000458F8">
        <w:rPr>
          <w:spacing w:val="-3"/>
          <w:lang w:val="es-ES_tradnl"/>
        </w:rPr>
        <w:t xml:space="preserve"> </w:t>
      </w:r>
      <w:r w:rsidRPr="000458F8">
        <w:rPr>
          <w:lang w:val="es-ES_tradnl"/>
        </w:rPr>
        <w:t>ocho</w:t>
      </w:r>
      <w:r w:rsidRPr="000458F8">
        <w:rPr>
          <w:spacing w:val="-5"/>
          <w:lang w:val="es-ES_tradnl"/>
        </w:rPr>
        <w:t xml:space="preserve"> </w:t>
      </w:r>
      <w:r w:rsidRPr="000458F8">
        <w:rPr>
          <w:lang w:val="es-ES_tradnl"/>
        </w:rPr>
        <w:t>proyectos</w:t>
      </w:r>
      <w:r w:rsidRPr="000458F8">
        <w:rPr>
          <w:spacing w:val="-5"/>
          <w:lang w:val="es-ES_tradnl"/>
        </w:rPr>
        <w:t xml:space="preserve"> </w:t>
      </w:r>
      <w:r w:rsidRPr="000458F8">
        <w:rPr>
          <w:lang w:val="es-ES_tradnl"/>
        </w:rPr>
        <w:t>relacionados</w:t>
      </w:r>
      <w:r w:rsidRPr="000458F8">
        <w:rPr>
          <w:spacing w:val="-6"/>
          <w:lang w:val="es-ES_tradnl"/>
        </w:rPr>
        <w:t xml:space="preserve"> </w:t>
      </w:r>
      <w:r w:rsidRPr="000458F8">
        <w:rPr>
          <w:lang w:val="es-ES_tradnl"/>
        </w:rPr>
        <w:t>con</w:t>
      </w:r>
      <w:r w:rsidRPr="000458F8">
        <w:rPr>
          <w:spacing w:val="-5"/>
          <w:lang w:val="es-ES_tradnl"/>
        </w:rPr>
        <w:t xml:space="preserve"> </w:t>
      </w:r>
      <w:r w:rsidRPr="000458F8">
        <w:rPr>
          <w:lang w:val="es-ES_tradnl"/>
        </w:rPr>
        <w:t>los</w:t>
      </w:r>
      <w:r w:rsidRPr="000458F8">
        <w:rPr>
          <w:spacing w:val="-5"/>
          <w:lang w:val="es-ES_tradnl"/>
        </w:rPr>
        <w:t xml:space="preserve"> </w:t>
      </w:r>
      <w:r w:rsidRPr="000458F8">
        <w:rPr>
          <w:lang w:val="es-ES_tradnl"/>
        </w:rPr>
        <w:t>HFC</w:t>
      </w:r>
      <w:r w:rsidRPr="000458F8">
        <w:rPr>
          <w:spacing w:val="-5"/>
          <w:lang w:val="es-ES_tradnl"/>
        </w:rPr>
        <w:t xml:space="preserve"> </w:t>
      </w:r>
      <w:r w:rsidRPr="000458F8">
        <w:rPr>
          <w:lang w:val="es-ES_tradnl"/>
        </w:rPr>
        <w:t>(de</w:t>
      </w:r>
      <w:r w:rsidRPr="000458F8">
        <w:rPr>
          <w:spacing w:val="-6"/>
          <w:lang w:val="es-ES_tradnl"/>
        </w:rPr>
        <w:t xml:space="preserve"> </w:t>
      </w:r>
      <w:r w:rsidRPr="000458F8">
        <w:rPr>
          <w:lang w:val="es-ES_tradnl"/>
        </w:rPr>
        <w:t>ellos,</w:t>
      </w:r>
      <w:r w:rsidRPr="000458F8">
        <w:rPr>
          <w:spacing w:val="-5"/>
          <w:lang w:val="es-ES_tradnl"/>
        </w:rPr>
        <w:t xml:space="preserve"> </w:t>
      </w:r>
      <w:r w:rsidRPr="000458F8">
        <w:rPr>
          <w:lang w:val="es-ES_tradnl"/>
        </w:rPr>
        <w:t>tres</w:t>
      </w:r>
      <w:r w:rsidRPr="000458F8">
        <w:rPr>
          <w:spacing w:val="-5"/>
          <w:lang w:val="es-ES_tradnl"/>
        </w:rPr>
        <w:t xml:space="preserve"> </w:t>
      </w:r>
      <w:r w:rsidRPr="000458F8">
        <w:rPr>
          <w:lang w:val="es-ES_tradnl"/>
        </w:rPr>
        <w:t>de inversión</w:t>
      </w:r>
      <w:r w:rsidRPr="000458F8">
        <w:rPr>
          <w:spacing w:val="-13"/>
          <w:lang w:val="es-ES_tradnl"/>
        </w:rPr>
        <w:t xml:space="preserve"> </w:t>
      </w:r>
      <w:r w:rsidRPr="000458F8">
        <w:rPr>
          <w:lang w:val="es-ES_tradnl"/>
        </w:rPr>
        <w:t>y</w:t>
      </w:r>
      <w:r w:rsidRPr="000458F8">
        <w:rPr>
          <w:spacing w:val="-9"/>
          <w:lang w:val="es-ES_tradnl"/>
        </w:rPr>
        <w:t xml:space="preserve"> </w:t>
      </w:r>
      <w:r w:rsidRPr="000458F8">
        <w:rPr>
          <w:lang w:val="es-ES_tradnl"/>
        </w:rPr>
        <w:t>cinco</w:t>
      </w:r>
      <w:r w:rsidRPr="000458F8">
        <w:rPr>
          <w:spacing w:val="-12"/>
          <w:lang w:val="es-ES_tradnl"/>
        </w:rPr>
        <w:t xml:space="preserve"> </w:t>
      </w:r>
      <w:r w:rsidRPr="000458F8">
        <w:rPr>
          <w:lang w:val="es-ES_tradnl"/>
        </w:rPr>
        <w:t>actividades</w:t>
      </w:r>
      <w:r w:rsidRPr="000458F8">
        <w:rPr>
          <w:spacing w:val="-11"/>
          <w:lang w:val="es-ES_tradnl"/>
        </w:rPr>
        <w:t xml:space="preserve"> </w:t>
      </w:r>
      <w:r w:rsidRPr="000458F8">
        <w:rPr>
          <w:lang w:val="es-ES_tradnl"/>
        </w:rPr>
        <w:t>de</w:t>
      </w:r>
      <w:r w:rsidRPr="000458F8">
        <w:rPr>
          <w:spacing w:val="-9"/>
          <w:lang w:val="es-ES_tradnl"/>
        </w:rPr>
        <w:t xml:space="preserve"> </w:t>
      </w:r>
      <w:r w:rsidRPr="000458F8">
        <w:rPr>
          <w:lang w:val="es-ES_tradnl"/>
        </w:rPr>
        <w:t>apoyo). De los ocho proyectos, se ha terminado uno de los proyectos de inversión, con lo cual quedan siete en curso. En la 84ª reunión se aprobó la prórroga de las fechas de terminación de tres actividades de apoyo; dichas actividades en curso se encuentran en diversas etapas de ejecución.</w:t>
      </w:r>
    </w:p>
    <w:p w14:paraId="5E29EED3" w14:textId="16EDA592" w:rsidR="00C3420C" w:rsidRPr="000458F8" w:rsidRDefault="00850824" w:rsidP="00345118">
      <w:pPr>
        <w:pStyle w:val="Heading1"/>
        <w:rPr>
          <w:lang w:val="es-ES_tradnl"/>
        </w:rPr>
      </w:pPr>
      <w:r w:rsidRPr="000458F8">
        <w:rPr>
          <w:lang w:val="es-ES_tradnl"/>
        </w:rPr>
        <w:t>Los dos proyectos de inversión restantes se encuentran en distintas etapas de realización y se prevé que terminarán en</w:t>
      </w:r>
      <w:r w:rsidR="00C3420C" w:rsidRPr="000458F8">
        <w:rPr>
          <w:lang w:val="es-ES_tradnl"/>
        </w:rPr>
        <w:t xml:space="preserve"> 2021 </w:t>
      </w:r>
      <w:r w:rsidRPr="000458F8">
        <w:rPr>
          <w:lang w:val="es-ES_tradnl"/>
        </w:rPr>
        <w:t>y</w:t>
      </w:r>
      <w:r w:rsidR="00C3420C" w:rsidRPr="000458F8">
        <w:rPr>
          <w:lang w:val="es-ES_tradnl"/>
        </w:rPr>
        <w:t xml:space="preserve"> 2022. </w:t>
      </w:r>
    </w:p>
    <w:p w14:paraId="09BC0593" w14:textId="0808C9C4" w:rsidR="00C3420C" w:rsidRPr="000458F8" w:rsidRDefault="00D827B1" w:rsidP="00C3420C">
      <w:pPr>
        <w:pStyle w:val="Heading1"/>
        <w:tabs>
          <w:tab w:val="clear" w:pos="0"/>
        </w:tabs>
        <w:rPr>
          <w:lang w:val="es-ES_tradnl"/>
        </w:rPr>
      </w:pPr>
      <w:r w:rsidRPr="000458F8">
        <w:rPr>
          <w:lang w:val="es-ES_tradnl"/>
        </w:rPr>
        <w:t xml:space="preserve">Del total de fondos acumulados aprobados de </w:t>
      </w:r>
      <w:r w:rsidR="00C3420C" w:rsidRPr="000458F8">
        <w:rPr>
          <w:lang w:val="es-ES_tradnl"/>
        </w:rPr>
        <w:t>2</w:t>
      </w:r>
      <w:r w:rsidR="00700B97" w:rsidRPr="000458F8">
        <w:rPr>
          <w:lang w:val="es-ES_tradnl"/>
        </w:rPr>
        <w:t> </w:t>
      </w:r>
      <w:r w:rsidR="00C3420C" w:rsidRPr="000458F8">
        <w:rPr>
          <w:lang w:val="es-ES_tradnl"/>
        </w:rPr>
        <w:t>875</w:t>
      </w:r>
      <w:r w:rsidR="00700B97" w:rsidRPr="000458F8">
        <w:rPr>
          <w:lang w:val="es-ES_tradnl"/>
        </w:rPr>
        <w:t> </w:t>
      </w:r>
      <w:r w:rsidR="00C3420C" w:rsidRPr="000458F8">
        <w:rPr>
          <w:lang w:val="es-ES_tradnl"/>
        </w:rPr>
        <w:t xml:space="preserve">791 </w:t>
      </w:r>
      <w:r w:rsidRPr="000458F8">
        <w:rPr>
          <w:lang w:val="es-ES_tradnl"/>
        </w:rPr>
        <w:t>$EUA</w:t>
      </w:r>
      <w:r w:rsidRPr="000458F8">
        <w:rPr>
          <w:spacing w:val="-4"/>
          <w:lang w:val="es-ES_tradnl"/>
        </w:rPr>
        <w:t xml:space="preserve"> </w:t>
      </w:r>
      <w:r w:rsidR="00C3420C" w:rsidRPr="000458F8">
        <w:rPr>
          <w:lang w:val="es-ES_tradnl"/>
        </w:rPr>
        <w:t>(</w:t>
      </w:r>
      <w:r w:rsidRPr="000458F8">
        <w:rPr>
          <w:lang w:val="es-ES_tradnl"/>
        </w:rPr>
        <w:t>con exclusión de los gastos de apoyo</w:t>
      </w:r>
      <w:r w:rsidR="00C3420C" w:rsidRPr="000458F8">
        <w:rPr>
          <w:lang w:val="es-ES_tradnl"/>
        </w:rPr>
        <w:t xml:space="preserve">), </w:t>
      </w:r>
      <w:r w:rsidRPr="000458F8">
        <w:rPr>
          <w:lang w:val="es-ES_tradnl"/>
        </w:rPr>
        <w:t xml:space="preserve">se había desembolsado </w:t>
      </w:r>
      <w:r w:rsidR="00C3420C" w:rsidRPr="000458F8">
        <w:rPr>
          <w:lang w:val="es-ES_tradnl"/>
        </w:rPr>
        <w:t>1</w:t>
      </w:r>
      <w:r w:rsidR="00700B97" w:rsidRPr="000458F8">
        <w:rPr>
          <w:lang w:val="es-ES_tradnl"/>
        </w:rPr>
        <w:t> </w:t>
      </w:r>
      <w:r w:rsidR="00C3420C" w:rsidRPr="000458F8">
        <w:rPr>
          <w:lang w:val="es-ES_tradnl"/>
        </w:rPr>
        <w:t>616</w:t>
      </w:r>
      <w:r w:rsidR="00700B97" w:rsidRPr="000458F8">
        <w:rPr>
          <w:lang w:val="es-ES_tradnl"/>
        </w:rPr>
        <w:t> </w:t>
      </w:r>
      <w:r w:rsidR="00C3420C" w:rsidRPr="000458F8">
        <w:rPr>
          <w:lang w:val="es-ES_tradnl"/>
        </w:rPr>
        <w:t xml:space="preserve">163 </w:t>
      </w:r>
      <w:r w:rsidRPr="000458F8">
        <w:rPr>
          <w:lang w:val="es-ES_tradnl"/>
        </w:rPr>
        <w:t>$EUA</w:t>
      </w:r>
      <w:r w:rsidR="00C3420C" w:rsidRPr="000458F8">
        <w:rPr>
          <w:lang w:val="es-ES_tradnl"/>
        </w:rPr>
        <w:t xml:space="preserve">, </w:t>
      </w:r>
      <w:r w:rsidRPr="000458F8">
        <w:rPr>
          <w:lang w:val="es-ES_tradnl"/>
        </w:rPr>
        <w:t xml:space="preserve">lo que representa una tasa de desembolso del </w:t>
      </w:r>
      <w:r w:rsidR="00C3420C" w:rsidRPr="000458F8">
        <w:rPr>
          <w:lang w:val="es-ES_tradnl"/>
        </w:rPr>
        <w:t xml:space="preserve">56 </w:t>
      </w:r>
      <w:r w:rsidR="00CC3B4D">
        <w:rPr>
          <w:lang w:val="es-ES_tradnl"/>
        </w:rPr>
        <w:t>por ciento</w:t>
      </w:r>
      <w:r w:rsidR="00C3420C" w:rsidRPr="000458F8">
        <w:rPr>
          <w:lang w:val="es-ES_tradnl"/>
        </w:rPr>
        <w:t>.</w:t>
      </w:r>
    </w:p>
    <w:p w14:paraId="1B1F1AF1" w14:textId="015D8361" w:rsidR="00536BD6" w:rsidRPr="000458F8" w:rsidRDefault="00C3420C" w:rsidP="00536BD6">
      <w:pPr>
        <w:pStyle w:val="Heading1"/>
        <w:keepNext/>
        <w:keepLines/>
        <w:numPr>
          <w:ilvl w:val="0"/>
          <w:numId w:val="0"/>
        </w:numPr>
        <w:ind w:left="1418" w:hanging="1418"/>
        <w:rPr>
          <w:rFonts w:ascii="Times New Roman Bold" w:hAnsi="Times New Roman Bold"/>
          <w:b/>
          <w:caps/>
          <w:szCs w:val="28"/>
          <w:lang w:val="es-ES_tradnl"/>
        </w:rPr>
      </w:pPr>
      <w:r w:rsidRPr="000458F8">
        <w:rPr>
          <w:rFonts w:ascii="Times New Roman Bold" w:hAnsi="Times New Roman Bold"/>
          <w:caps/>
          <w:szCs w:val="28"/>
          <w:lang w:val="es-ES_tradnl"/>
        </w:rPr>
        <w:t>Part</w:t>
      </w:r>
      <w:r w:rsidR="00536BD6" w:rsidRPr="000458F8">
        <w:rPr>
          <w:rFonts w:ascii="Times New Roman Bold" w:hAnsi="Times New Roman Bold"/>
          <w:caps/>
          <w:szCs w:val="28"/>
          <w:lang w:val="es-ES_tradnl"/>
        </w:rPr>
        <w:t>E</w:t>
      </w:r>
      <w:r w:rsidRPr="000458F8">
        <w:rPr>
          <w:rFonts w:ascii="Times New Roman Bold" w:hAnsi="Times New Roman Bold"/>
          <w:caps/>
          <w:szCs w:val="28"/>
          <w:lang w:val="es-ES_tradnl"/>
        </w:rPr>
        <w:t xml:space="preserve"> II: </w:t>
      </w:r>
      <w:r w:rsidR="00536BD6" w:rsidRPr="000458F8">
        <w:rPr>
          <w:rFonts w:ascii="Times New Roman Bold" w:hAnsi="Times New Roman Bold"/>
          <w:caps/>
          <w:szCs w:val="28"/>
          <w:lang w:val="es-ES_tradnl"/>
        </w:rPr>
        <w:tab/>
      </w:r>
      <w:r w:rsidR="00536BD6" w:rsidRPr="000458F8">
        <w:rPr>
          <w:rFonts w:ascii="Times New Roman Bold" w:hAnsi="Times New Roman Bold"/>
          <w:b/>
          <w:caps/>
          <w:szCs w:val="28"/>
          <w:lang w:val="es-ES_tradnl"/>
        </w:rPr>
        <w:t>PROYECTOS APROBADOS EN EL MARCO DE OTRAS CONTRIBUCIONES VOLUNTARIAS PARA EL APOYO ACELERADO A LA REDUCCIÓN DE LOS HFC.</w:t>
      </w:r>
    </w:p>
    <w:p w14:paraId="7C9B85B4" w14:textId="77777777" w:rsidR="00536BD6" w:rsidRPr="000458F8" w:rsidRDefault="00536BD6" w:rsidP="00536BD6">
      <w:pPr>
        <w:rPr>
          <w:lang w:val="es-ES_tradnl"/>
        </w:rPr>
      </w:pPr>
    </w:p>
    <w:p w14:paraId="55128BA0" w14:textId="786F9D4A" w:rsidR="001907BB" w:rsidRPr="000458F8" w:rsidRDefault="001907BB" w:rsidP="001907BB">
      <w:pPr>
        <w:pStyle w:val="Heading1"/>
        <w:tabs>
          <w:tab w:val="clear" w:pos="0"/>
        </w:tabs>
        <w:rPr>
          <w:lang w:val="es-ES_tradnl"/>
        </w:rPr>
      </w:pPr>
      <w:r w:rsidRPr="000458F8">
        <w:rPr>
          <w:lang w:val="es-ES_tradnl"/>
        </w:rPr>
        <w:t xml:space="preserve">Al 31 de diciembre de 2019, el Comité Ejecutivo había aprobado 18 proyectos relacionados con los HFC con cargo a las contribuciones voluntarias adicionales por un valor de 6 053 676 $EUA (excluidos </w:t>
      </w:r>
      <w:r w:rsidRPr="000458F8">
        <w:rPr>
          <w:lang w:val="es-ES_tradnl"/>
        </w:rPr>
        <w:lastRenderedPageBreak/>
        <w:t>los gastos de apoyo a los organismos). En el Cuadro 6 se presenta un resumen de la situación de estos proyectos.</w:t>
      </w:r>
    </w:p>
    <w:p w14:paraId="4AD5D283" w14:textId="4E4D46AE" w:rsidR="00C3420C" w:rsidRPr="000458F8" w:rsidRDefault="00734566" w:rsidP="00C3420C">
      <w:pPr>
        <w:pStyle w:val="Heading1"/>
        <w:keepNext/>
        <w:numPr>
          <w:ilvl w:val="0"/>
          <w:numId w:val="0"/>
        </w:numPr>
        <w:spacing w:after="0"/>
        <w:rPr>
          <w:b/>
          <w:lang w:val="es-ES_tradnl"/>
        </w:rPr>
      </w:pPr>
      <w:r w:rsidRPr="000458F8">
        <w:rPr>
          <w:b/>
          <w:lang w:val="es-ES_tradnl"/>
        </w:rPr>
        <w:t>Cuadro 6. Proyectos relacionados con los HFC aprobados a finales de 2018</w:t>
      </w:r>
    </w:p>
    <w:tbl>
      <w:tblPr>
        <w:tblW w:w="9406" w:type="dxa"/>
        <w:tblInd w:w="-5" w:type="dxa"/>
        <w:tblLayout w:type="fixed"/>
        <w:tblLook w:val="04A0" w:firstRow="1" w:lastRow="0" w:firstColumn="1" w:lastColumn="0" w:noHBand="0" w:noVBand="1"/>
      </w:tblPr>
      <w:tblGrid>
        <w:gridCol w:w="1350"/>
        <w:gridCol w:w="1080"/>
        <w:gridCol w:w="1170"/>
        <w:gridCol w:w="1080"/>
        <w:gridCol w:w="990"/>
        <w:gridCol w:w="1440"/>
        <w:gridCol w:w="990"/>
        <w:gridCol w:w="1306"/>
      </w:tblGrid>
      <w:tr w:rsidR="00C3420C" w:rsidRPr="000458F8" w14:paraId="60CFAC0E" w14:textId="77777777" w:rsidTr="005172EB">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07F9D338" w14:textId="31C7A4DE" w:rsidR="00C3420C" w:rsidRPr="000458F8" w:rsidRDefault="00C3420C" w:rsidP="008E3F5E">
            <w:pPr>
              <w:keepNext/>
              <w:keepLines/>
              <w:jc w:val="left"/>
              <w:rPr>
                <w:b/>
                <w:bCs/>
                <w:sz w:val="19"/>
                <w:szCs w:val="19"/>
                <w:lang w:val="es-ES_tradnl" w:eastAsia="en-CA"/>
              </w:rPr>
            </w:pPr>
            <w:r w:rsidRPr="000458F8">
              <w:rPr>
                <w:b/>
                <w:bCs/>
                <w:sz w:val="19"/>
                <w:szCs w:val="19"/>
                <w:lang w:val="es-ES_tradnl" w:eastAsia="en-CA"/>
              </w:rPr>
              <w:t>T</w:t>
            </w:r>
            <w:r w:rsidR="00734566" w:rsidRPr="000458F8">
              <w:rPr>
                <w:b/>
                <w:bCs/>
                <w:sz w:val="19"/>
                <w:szCs w:val="19"/>
                <w:lang w:val="es-ES_tradnl" w:eastAsia="en-CA"/>
              </w:rPr>
              <w:t>ipo</w:t>
            </w:r>
          </w:p>
        </w:tc>
        <w:tc>
          <w:tcPr>
            <w:tcW w:w="333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1628C6D7" w14:textId="3ADF91F8" w:rsidR="00C3420C" w:rsidRPr="000458F8" w:rsidRDefault="00C3420C" w:rsidP="008E3F5E">
            <w:pPr>
              <w:keepNext/>
              <w:keepLines/>
              <w:jc w:val="center"/>
              <w:rPr>
                <w:b/>
                <w:bCs/>
                <w:sz w:val="19"/>
                <w:szCs w:val="19"/>
                <w:lang w:val="es-ES_tradnl" w:eastAsia="en-CA"/>
              </w:rPr>
            </w:pPr>
            <w:r w:rsidRPr="000458F8">
              <w:rPr>
                <w:b/>
                <w:bCs/>
                <w:sz w:val="19"/>
                <w:szCs w:val="19"/>
                <w:lang w:val="es-ES_tradnl" w:eastAsia="en-CA"/>
              </w:rPr>
              <w:t>N</w:t>
            </w:r>
            <w:r w:rsidR="00734566" w:rsidRPr="000458F8">
              <w:rPr>
                <w:b/>
                <w:bCs/>
                <w:sz w:val="19"/>
                <w:szCs w:val="19"/>
                <w:lang w:val="es-ES_tradnl" w:eastAsia="en-CA"/>
              </w:rPr>
              <w:t>úmero de proyecto</w:t>
            </w:r>
          </w:p>
        </w:tc>
        <w:tc>
          <w:tcPr>
            <w:tcW w:w="4726"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3560E220" w14:textId="5E762EFA" w:rsidR="00C3420C" w:rsidRPr="000458F8" w:rsidRDefault="00C3420C" w:rsidP="008E3F5E">
            <w:pPr>
              <w:keepNext/>
              <w:keepLines/>
              <w:jc w:val="center"/>
              <w:rPr>
                <w:b/>
                <w:bCs/>
                <w:sz w:val="19"/>
                <w:szCs w:val="19"/>
                <w:lang w:val="es-ES_tradnl" w:eastAsia="en-CA"/>
              </w:rPr>
            </w:pPr>
            <w:r w:rsidRPr="000458F8">
              <w:rPr>
                <w:b/>
                <w:bCs/>
                <w:sz w:val="19"/>
                <w:szCs w:val="19"/>
                <w:lang w:val="es-ES_tradnl" w:eastAsia="en-CA"/>
              </w:rPr>
              <w:t>F</w:t>
            </w:r>
            <w:r w:rsidR="00734566" w:rsidRPr="000458F8">
              <w:rPr>
                <w:b/>
                <w:bCs/>
                <w:sz w:val="19"/>
                <w:szCs w:val="19"/>
                <w:lang w:val="es-ES_tradnl" w:eastAsia="en-CA"/>
              </w:rPr>
              <w:t>inanciación</w:t>
            </w:r>
            <w:r w:rsidRPr="000458F8">
              <w:rPr>
                <w:b/>
                <w:bCs/>
                <w:sz w:val="19"/>
                <w:szCs w:val="19"/>
                <w:lang w:val="es-ES_tradnl" w:eastAsia="en-CA"/>
              </w:rPr>
              <w:t xml:space="preserve"> (</w:t>
            </w:r>
            <w:r w:rsidR="00151956" w:rsidRPr="000458F8">
              <w:rPr>
                <w:b/>
                <w:bCs/>
                <w:sz w:val="19"/>
                <w:szCs w:val="19"/>
                <w:lang w:val="es-ES_tradnl" w:eastAsia="en-CA"/>
              </w:rPr>
              <w:t>$EUA</w:t>
            </w:r>
            <w:r w:rsidRPr="000458F8">
              <w:rPr>
                <w:b/>
                <w:bCs/>
                <w:sz w:val="19"/>
                <w:szCs w:val="19"/>
                <w:lang w:val="es-ES_tradnl" w:eastAsia="en-CA"/>
              </w:rPr>
              <w:t>)*</w:t>
            </w:r>
          </w:p>
        </w:tc>
      </w:tr>
      <w:tr w:rsidR="00734566" w:rsidRPr="000458F8" w14:paraId="583A9AA6" w14:textId="77777777" w:rsidTr="005172EB">
        <w:tc>
          <w:tcPr>
            <w:tcW w:w="1350" w:type="dxa"/>
            <w:vMerge/>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1A088B66" w14:textId="77777777" w:rsidR="00734566" w:rsidRPr="000458F8" w:rsidRDefault="00734566" w:rsidP="00734566">
            <w:pPr>
              <w:keepNext/>
              <w:keepLines/>
              <w:jc w:val="left"/>
              <w:rPr>
                <w:b/>
                <w:bCs/>
                <w:sz w:val="19"/>
                <w:szCs w:val="19"/>
                <w:lang w:val="es-ES_tradnl" w:eastAsia="en-CA"/>
              </w:rPr>
            </w:pPr>
          </w:p>
        </w:tc>
        <w:tc>
          <w:tcPr>
            <w:tcW w:w="1080" w:type="dxa"/>
            <w:tcBorders>
              <w:top w:val="nil"/>
              <w:left w:val="nil"/>
              <w:bottom w:val="single" w:sz="4" w:space="0" w:color="auto"/>
              <w:right w:val="single" w:sz="4" w:space="0" w:color="auto"/>
            </w:tcBorders>
            <w:shd w:val="clear" w:color="auto" w:fill="auto"/>
            <w:tcMar>
              <w:left w:w="58" w:type="dxa"/>
              <w:right w:w="58" w:type="dxa"/>
            </w:tcMar>
            <w:hideMark/>
          </w:tcPr>
          <w:p w14:paraId="54D89AA0" w14:textId="2F09B95F" w:rsidR="00734566" w:rsidRPr="000458F8" w:rsidRDefault="00734566" w:rsidP="00734566">
            <w:pPr>
              <w:keepNext/>
              <w:keepLines/>
              <w:rPr>
                <w:b/>
                <w:bCs/>
                <w:sz w:val="19"/>
                <w:szCs w:val="19"/>
                <w:lang w:val="es-ES_tradnl" w:eastAsia="en-CA"/>
              </w:rPr>
            </w:pPr>
            <w:r w:rsidRPr="000458F8">
              <w:rPr>
                <w:b/>
                <w:sz w:val="19"/>
                <w:szCs w:val="19"/>
                <w:lang w:val="es-ES_tradnl"/>
              </w:rPr>
              <w:t>Aprobados</w:t>
            </w:r>
          </w:p>
        </w:tc>
        <w:tc>
          <w:tcPr>
            <w:tcW w:w="1170" w:type="dxa"/>
            <w:tcBorders>
              <w:top w:val="nil"/>
              <w:left w:val="nil"/>
              <w:bottom w:val="single" w:sz="4" w:space="0" w:color="auto"/>
              <w:right w:val="single" w:sz="4" w:space="0" w:color="auto"/>
            </w:tcBorders>
            <w:shd w:val="clear" w:color="auto" w:fill="auto"/>
            <w:tcMar>
              <w:left w:w="58" w:type="dxa"/>
              <w:right w:w="58" w:type="dxa"/>
            </w:tcMar>
            <w:hideMark/>
          </w:tcPr>
          <w:p w14:paraId="14B0CC69" w14:textId="1C303016" w:rsidR="00734566" w:rsidRPr="000458F8" w:rsidRDefault="00734566" w:rsidP="00734566">
            <w:pPr>
              <w:keepNext/>
              <w:keepLines/>
              <w:jc w:val="center"/>
              <w:rPr>
                <w:b/>
                <w:bCs/>
                <w:sz w:val="19"/>
                <w:szCs w:val="19"/>
                <w:lang w:val="es-ES_tradnl" w:eastAsia="en-CA"/>
              </w:rPr>
            </w:pPr>
            <w:r w:rsidRPr="000458F8">
              <w:rPr>
                <w:b/>
                <w:sz w:val="19"/>
                <w:szCs w:val="19"/>
                <w:lang w:val="es-ES_tradnl"/>
              </w:rPr>
              <w:t>Terminados</w:t>
            </w:r>
          </w:p>
        </w:tc>
        <w:tc>
          <w:tcPr>
            <w:tcW w:w="1080" w:type="dxa"/>
            <w:tcBorders>
              <w:top w:val="nil"/>
              <w:left w:val="nil"/>
              <w:bottom w:val="single" w:sz="4" w:space="0" w:color="auto"/>
              <w:right w:val="single" w:sz="4" w:space="0" w:color="auto"/>
            </w:tcBorders>
            <w:shd w:val="clear" w:color="auto" w:fill="auto"/>
            <w:tcMar>
              <w:left w:w="58" w:type="dxa"/>
              <w:right w:w="58" w:type="dxa"/>
            </w:tcMar>
            <w:hideMark/>
          </w:tcPr>
          <w:p w14:paraId="56757019" w14:textId="77777777" w:rsidR="00734566" w:rsidRPr="000458F8" w:rsidRDefault="00734566" w:rsidP="00734566">
            <w:pPr>
              <w:pStyle w:val="TableParagraph"/>
              <w:spacing w:line="230" w:lineRule="exact"/>
              <w:ind w:left="8"/>
              <w:jc w:val="center"/>
              <w:rPr>
                <w:b/>
                <w:sz w:val="19"/>
                <w:szCs w:val="19"/>
                <w:lang w:val="es-ES_tradnl"/>
              </w:rPr>
            </w:pPr>
            <w:r w:rsidRPr="000458F8">
              <w:rPr>
                <w:b/>
                <w:sz w:val="19"/>
                <w:szCs w:val="19"/>
                <w:lang w:val="es-ES_tradnl"/>
              </w:rPr>
              <w:t>%</w:t>
            </w:r>
          </w:p>
          <w:p w14:paraId="5D9E9B47" w14:textId="3F058AD7" w:rsidR="00734566" w:rsidRPr="000458F8" w:rsidRDefault="00734566" w:rsidP="00734566">
            <w:pPr>
              <w:keepNext/>
              <w:keepLines/>
              <w:jc w:val="center"/>
              <w:rPr>
                <w:b/>
                <w:bCs/>
                <w:sz w:val="19"/>
                <w:szCs w:val="19"/>
                <w:lang w:val="es-ES_tradnl" w:eastAsia="en-CA"/>
              </w:rPr>
            </w:pPr>
            <w:r w:rsidRPr="000458F8">
              <w:rPr>
                <w:b/>
                <w:sz w:val="19"/>
                <w:szCs w:val="19"/>
                <w:lang w:val="es-ES_tradnl"/>
              </w:rPr>
              <w:t>terminados</w:t>
            </w:r>
          </w:p>
        </w:tc>
        <w:tc>
          <w:tcPr>
            <w:tcW w:w="990" w:type="dxa"/>
            <w:tcBorders>
              <w:top w:val="nil"/>
              <w:left w:val="nil"/>
              <w:bottom w:val="single" w:sz="4" w:space="0" w:color="auto"/>
              <w:right w:val="single" w:sz="4" w:space="0" w:color="auto"/>
            </w:tcBorders>
            <w:shd w:val="clear" w:color="auto" w:fill="auto"/>
            <w:tcMar>
              <w:left w:w="58" w:type="dxa"/>
              <w:right w:w="58" w:type="dxa"/>
            </w:tcMar>
            <w:hideMark/>
          </w:tcPr>
          <w:p w14:paraId="28B7E968" w14:textId="59D92AD5" w:rsidR="00734566" w:rsidRPr="000458F8" w:rsidRDefault="00734566" w:rsidP="00734566">
            <w:pPr>
              <w:keepNext/>
              <w:keepLines/>
              <w:jc w:val="center"/>
              <w:rPr>
                <w:b/>
                <w:bCs/>
                <w:sz w:val="19"/>
                <w:szCs w:val="19"/>
                <w:lang w:val="es-ES_tradnl" w:eastAsia="en-CA"/>
              </w:rPr>
            </w:pPr>
            <w:r w:rsidRPr="000458F8">
              <w:rPr>
                <w:b/>
                <w:sz w:val="19"/>
                <w:szCs w:val="19"/>
                <w:lang w:val="es-ES_tradnl"/>
              </w:rPr>
              <w:t>Aprobada</w:t>
            </w:r>
          </w:p>
        </w:tc>
        <w:tc>
          <w:tcPr>
            <w:tcW w:w="1440" w:type="dxa"/>
            <w:tcBorders>
              <w:top w:val="nil"/>
              <w:left w:val="nil"/>
              <w:bottom w:val="single" w:sz="4" w:space="0" w:color="auto"/>
              <w:right w:val="single" w:sz="4" w:space="0" w:color="auto"/>
            </w:tcBorders>
            <w:shd w:val="clear" w:color="auto" w:fill="auto"/>
            <w:tcMar>
              <w:left w:w="58" w:type="dxa"/>
              <w:right w:w="58" w:type="dxa"/>
            </w:tcMar>
            <w:hideMark/>
          </w:tcPr>
          <w:p w14:paraId="328202DD" w14:textId="545FE96C" w:rsidR="00734566" w:rsidRPr="000458F8" w:rsidRDefault="00734566" w:rsidP="00734566">
            <w:pPr>
              <w:keepNext/>
              <w:keepLines/>
              <w:jc w:val="center"/>
              <w:rPr>
                <w:b/>
                <w:bCs/>
                <w:sz w:val="19"/>
                <w:szCs w:val="19"/>
                <w:lang w:val="es-ES_tradnl" w:eastAsia="en-CA"/>
              </w:rPr>
            </w:pPr>
            <w:r w:rsidRPr="000458F8">
              <w:rPr>
                <w:b/>
                <w:sz w:val="19"/>
                <w:szCs w:val="19"/>
                <w:lang w:val="es-ES_tradnl"/>
              </w:rPr>
              <w:t>Desembolsada</w:t>
            </w:r>
          </w:p>
        </w:tc>
        <w:tc>
          <w:tcPr>
            <w:tcW w:w="990" w:type="dxa"/>
            <w:tcBorders>
              <w:top w:val="nil"/>
              <w:left w:val="nil"/>
              <w:bottom w:val="single" w:sz="4" w:space="0" w:color="auto"/>
              <w:right w:val="single" w:sz="4" w:space="0" w:color="auto"/>
            </w:tcBorders>
            <w:shd w:val="clear" w:color="auto" w:fill="auto"/>
            <w:tcMar>
              <w:left w:w="58" w:type="dxa"/>
              <w:right w:w="58" w:type="dxa"/>
            </w:tcMar>
            <w:hideMark/>
          </w:tcPr>
          <w:p w14:paraId="40B4A816" w14:textId="291CA263" w:rsidR="00734566" w:rsidRPr="000458F8" w:rsidRDefault="00734566" w:rsidP="00734566">
            <w:pPr>
              <w:keepNext/>
              <w:keepLines/>
              <w:jc w:val="center"/>
              <w:rPr>
                <w:b/>
                <w:bCs/>
                <w:sz w:val="19"/>
                <w:szCs w:val="19"/>
                <w:lang w:val="es-ES_tradnl" w:eastAsia="en-CA"/>
              </w:rPr>
            </w:pPr>
            <w:r w:rsidRPr="000458F8">
              <w:rPr>
                <w:b/>
                <w:sz w:val="19"/>
                <w:szCs w:val="19"/>
                <w:lang w:val="es-ES_tradnl"/>
              </w:rPr>
              <w:t>Saldo</w:t>
            </w:r>
          </w:p>
        </w:tc>
        <w:tc>
          <w:tcPr>
            <w:tcW w:w="1306" w:type="dxa"/>
            <w:tcBorders>
              <w:top w:val="nil"/>
              <w:left w:val="nil"/>
              <w:bottom w:val="single" w:sz="4" w:space="0" w:color="auto"/>
              <w:right w:val="single" w:sz="4" w:space="0" w:color="auto"/>
            </w:tcBorders>
            <w:shd w:val="clear" w:color="auto" w:fill="auto"/>
            <w:tcMar>
              <w:left w:w="58" w:type="dxa"/>
              <w:right w:w="58" w:type="dxa"/>
            </w:tcMar>
            <w:hideMark/>
          </w:tcPr>
          <w:p w14:paraId="565E1722" w14:textId="77777777" w:rsidR="00734566" w:rsidRPr="000458F8" w:rsidRDefault="00734566" w:rsidP="00734566">
            <w:pPr>
              <w:pStyle w:val="TableParagraph"/>
              <w:spacing w:line="230" w:lineRule="exact"/>
              <w:ind w:right="1"/>
              <w:jc w:val="center"/>
              <w:rPr>
                <w:b/>
                <w:sz w:val="19"/>
                <w:szCs w:val="19"/>
                <w:lang w:val="es-ES_tradnl"/>
              </w:rPr>
            </w:pPr>
            <w:r w:rsidRPr="000458F8">
              <w:rPr>
                <w:b/>
                <w:sz w:val="19"/>
                <w:szCs w:val="19"/>
                <w:lang w:val="es-ES_tradnl"/>
              </w:rPr>
              <w:t>%</w:t>
            </w:r>
          </w:p>
          <w:p w14:paraId="6DA118A0" w14:textId="72AA4A0A" w:rsidR="00734566" w:rsidRPr="000458F8" w:rsidRDefault="00734566" w:rsidP="00734566">
            <w:pPr>
              <w:keepNext/>
              <w:keepLines/>
              <w:jc w:val="center"/>
              <w:rPr>
                <w:b/>
                <w:bCs/>
                <w:sz w:val="19"/>
                <w:szCs w:val="19"/>
                <w:lang w:val="es-ES_tradnl" w:eastAsia="en-CA"/>
              </w:rPr>
            </w:pPr>
            <w:r w:rsidRPr="000458F8">
              <w:rPr>
                <w:b/>
                <w:sz w:val="19"/>
                <w:szCs w:val="19"/>
                <w:lang w:val="es-ES_tradnl"/>
              </w:rPr>
              <w:t>desembolsada</w:t>
            </w:r>
          </w:p>
        </w:tc>
      </w:tr>
      <w:tr w:rsidR="00734566" w:rsidRPr="000458F8" w14:paraId="11A3D735" w14:textId="77777777" w:rsidTr="005172EB">
        <w:tc>
          <w:tcPr>
            <w:tcW w:w="135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B4BBB21" w14:textId="7C19E662" w:rsidR="00734566" w:rsidRPr="000458F8" w:rsidRDefault="00734566" w:rsidP="00734566">
            <w:pPr>
              <w:keepNext/>
              <w:keepLines/>
              <w:jc w:val="left"/>
              <w:rPr>
                <w:sz w:val="19"/>
                <w:szCs w:val="19"/>
                <w:lang w:val="es-ES_tradnl" w:eastAsia="en-CA"/>
              </w:rPr>
            </w:pPr>
            <w:r w:rsidRPr="000458F8">
              <w:rPr>
                <w:sz w:val="19"/>
                <w:szCs w:val="19"/>
                <w:lang w:val="es-ES_tradnl"/>
              </w:rPr>
              <w:t>Inversión**</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0356BF41" w14:textId="77777777" w:rsidR="00734566" w:rsidRPr="000458F8" w:rsidRDefault="00734566" w:rsidP="00734566">
            <w:pPr>
              <w:keepNext/>
              <w:keepLines/>
              <w:jc w:val="right"/>
              <w:rPr>
                <w:sz w:val="19"/>
                <w:szCs w:val="19"/>
                <w:lang w:val="es-ES_tradnl" w:eastAsia="en-CA"/>
              </w:rPr>
            </w:pPr>
            <w:r w:rsidRPr="000458F8">
              <w:rPr>
                <w:sz w:val="19"/>
                <w:szCs w:val="19"/>
                <w:lang w:val="es-ES_tradnl" w:eastAsia="en-CA"/>
              </w:rPr>
              <w:t>2</w:t>
            </w:r>
          </w:p>
        </w:tc>
        <w:tc>
          <w:tcPr>
            <w:tcW w:w="1170" w:type="dxa"/>
            <w:tcBorders>
              <w:top w:val="nil"/>
              <w:left w:val="nil"/>
              <w:bottom w:val="single" w:sz="4" w:space="0" w:color="auto"/>
              <w:right w:val="single" w:sz="4" w:space="0" w:color="auto"/>
            </w:tcBorders>
            <w:shd w:val="clear" w:color="auto" w:fill="auto"/>
            <w:noWrap/>
            <w:tcMar>
              <w:left w:w="58" w:type="dxa"/>
              <w:right w:w="173" w:type="dxa"/>
            </w:tcMar>
            <w:hideMark/>
          </w:tcPr>
          <w:p w14:paraId="31F3C10F" w14:textId="77777777" w:rsidR="00734566" w:rsidRPr="000458F8" w:rsidRDefault="00734566" w:rsidP="00734566">
            <w:pPr>
              <w:keepNext/>
              <w:keepLines/>
              <w:jc w:val="right"/>
              <w:rPr>
                <w:sz w:val="19"/>
                <w:szCs w:val="19"/>
                <w:lang w:val="es-ES_tradnl" w:eastAsia="en-CA"/>
              </w:rPr>
            </w:pPr>
            <w:r w:rsidRPr="000458F8">
              <w:rPr>
                <w:sz w:val="19"/>
                <w:szCs w:val="19"/>
                <w:lang w:val="es-ES_tradnl" w:eastAsia="en-CA"/>
              </w:rPr>
              <w:t>1</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6F4228E0" w14:textId="77777777" w:rsidR="00734566" w:rsidRPr="000458F8" w:rsidRDefault="00734566" w:rsidP="00734566">
            <w:pPr>
              <w:keepNext/>
              <w:keepLines/>
              <w:jc w:val="right"/>
              <w:rPr>
                <w:sz w:val="19"/>
                <w:szCs w:val="19"/>
                <w:lang w:val="es-ES_tradnl" w:eastAsia="en-CA"/>
              </w:rPr>
            </w:pPr>
            <w:r w:rsidRPr="000458F8">
              <w:rPr>
                <w:sz w:val="19"/>
                <w:szCs w:val="19"/>
                <w:lang w:val="es-ES_tradnl" w:eastAsia="en-CA"/>
              </w:rPr>
              <w:t>50</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5826FDB4" w14:textId="5087A6E6" w:rsidR="00734566" w:rsidRPr="000458F8" w:rsidRDefault="00734566" w:rsidP="00734566">
            <w:pPr>
              <w:keepNext/>
              <w:keepLines/>
              <w:jc w:val="right"/>
              <w:rPr>
                <w:sz w:val="19"/>
                <w:szCs w:val="19"/>
                <w:lang w:val="es-ES_tradnl" w:eastAsia="en-CA"/>
              </w:rPr>
            </w:pPr>
            <w:r w:rsidRPr="000458F8">
              <w:rPr>
                <w:sz w:val="19"/>
                <w:szCs w:val="19"/>
                <w:lang w:val="es-ES_tradnl" w:eastAsia="en-CA"/>
              </w:rPr>
              <w:t>4 406 610</w:t>
            </w:r>
          </w:p>
        </w:tc>
        <w:tc>
          <w:tcPr>
            <w:tcW w:w="1440" w:type="dxa"/>
            <w:tcBorders>
              <w:top w:val="nil"/>
              <w:left w:val="nil"/>
              <w:bottom w:val="single" w:sz="4" w:space="0" w:color="auto"/>
              <w:right w:val="single" w:sz="4" w:space="0" w:color="auto"/>
            </w:tcBorders>
            <w:shd w:val="clear" w:color="auto" w:fill="auto"/>
            <w:noWrap/>
            <w:tcMar>
              <w:left w:w="58" w:type="dxa"/>
              <w:right w:w="58" w:type="dxa"/>
            </w:tcMar>
            <w:hideMark/>
          </w:tcPr>
          <w:p w14:paraId="6ADFC49F" w14:textId="561B3202" w:rsidR="00734566" w:rsidRPr="000458F8" w:rsidRDefault="00734566" w:rsidP="00734566">
            <w:pPr>
              <w:keepNext/>
              <w:keepLines/>
              <w:jc w:val="right"/>
              <w:rPr>
                <w:sz w:val="19"/>
                <w:szCs w:val="19"/>
                <w:lang w:val="es-ES_tradnl" w:eastAsia="en-CA"/>
              </w:rPr>
            </w:pPr>
            <w:r w:rsidRPr="000458F8">
              <w:rPr>
                <w:sz w:val="19"/>
                <w:szCs w:val="19"/>
                <w:lang w:val="es-ES_tradnl" w:eastAsia="en-CA"/>
              </w:rPr>
              <w:t>4 144 828</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2586E69F" w14:textId="64102B76" w:rsidR="00734566" w:rsidRPr="000458F8" w:rsidRDefault="00734566" w:rsidP="00734566">
            <w:pPr>
              <w:keepNext/>
              <w:keepLines/>
              <w:jc w:val="right"/>
              <w:rPr>
                <w:sz w:val="19"/>
                <w:szCs w:val="19"/>
                <w:lang w:val="es-ES_tradnl" w:eastAsia="en-CA"/>
              </w:rPr>
            </w:pPr>
            <w:r w:rsidRPr="000458F8">
              <w:rPr>
                <w:sz w:val="19"/>
                <w:szCs w:val="19"/>
                <w:lang w:val="es-ES_tradnl" w:eastAsia="en-CA"/>
              </w:rPr>
              <w:t>261 782</w:t>
            </w:r>
          </w:p>
        </w:tc>
        <w:tc>
          <w:tcPr>
            <w:tcW w:w="1306" w:type="dxa"/>
            <w:tcBorders>
              <w:top w:val="nil"/>
              <w:left w:val="nil"/>
              <w:bottom w:val="single" w:sz="4" w:space="0" w:color="auto"/>
              <w:right w:val="single" w:sz="4" w:space="0" w:color="auto"/>
            </w:tcBorders>
            <w:shd w:val="clear" w:color="auto" w:fill="auto"/>
            <w:noWrap/>
            <w:tcMar>
              <w:left w:w="58" w:type="dxa"/>
              <w:right w:w="173" w:type="dxa"/>
            </w:tcMar>
            <w:hideMark/>
          </w:tcPr>
          <w:p w14:paraId="434A3A1A" w14:textId="77777777" w:rsidR="00734566" w:rsidRPr="000458F8" w:rsidRDefault="00734566" w:rsidP="00734566">
            <w:pPr>
              <w:keepNext/>
              <w:keepLines/>
              <w:jc w:val="right"/>
              <w:rPr>
                <w:sz w:val="19"/>
                <w:szCs w:val="19"/>
                <w:lang w:val="es-ES_tradnl" w:eastAsia="en-CA"/>
              </w:rPr>
            </w:pPr>
            <w:r w:rsidRPr="000458F8">
              <w:rPr>
                <w:sz w:val="19"/>
                <w:szCs w:val="19"/>
                <w:lang w:val="es-ES_tradnl" w:eastAsia="en-CA"/>
              </w:rPr>
              <w:t>94</w:t>
            </w:r>
          </w:p>
        </w:tc>
      </w:tr>
      <w:tr w:rsidR="00734566" w:rsidRPr="000458F8" w14:paraId="5615F6E0" w14:textId="77777777" w:rsidTr="005172EB">
        <w:tc>
          <w:tcPr>
            <w:tcW w:w="135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371BD33F" w14:textId="77777777" w:rsidR="00734566" w:rsidRPr="000458F8" w:rsidRDefault="00734566" w:rsidP="00734566">
            <w:pPr>
              <w:pStyle w:val="TableParagraph"/>
              <w:ind w:left="57"/>
              <w:rPr>
                <w:sz w:val="19"/>
                <w:szCs w:val="19"/>
                <w:lang w:val="es-ES_tradnl"/>
              </w:rPr>
            </w:pPr>
            <w:r w:rsidRPr="000458F8">
              <w:rPr>
                <w:sz w:val="19"/>
                <w:szCs w:val="19"/>
                <w:lang w:val="es-ES_tradnl"/>
              </w:rPr>
              <w:t>Preparación de</w:t>
            </w:r>
          </w:p>
          <w:p w14:paraId="5583C4F9" w14:textId="4183D960" w:rsidR="00734566" w:rsidRPr="000458F8" w:rsidRDefault="00734566" w:rsidP="00734566">
            <w:pPr>
              <w:jc w:val="left"/>
              <w:rPr>
                <w:sz w:val="19"/>
                <w:szCs w:val="19"/>
                <w:lang w:val="es-ES_tradnl" w:eastAsia="en-CA"/>
              </w:rPr>
            </w:pPr>
            <w:r w:rsidRPr="000458F8">
              <w:rPr>
                <w:sz w:val="19"/>
                <w:szCs w:val="19"/>
                <w:lang w:val="es-ES_tradnl"/>
              </w:rPr>
              <w:t>proyectos</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3B28718E" w14:textId="77777777" w:rsidR="00734566" w:rsidRPr="000458F8" w:rsidRDefault="00734566" w:rsidP="00734566">
            <w:pPr>
              <w:jc w:val="right"/>
              <w:rPr>
                <w:sz w:val="19"/>
                <w:szCs w:val="19"/>
                <w:lang w:val="es-ES_tradnl" w:eastAsia="en-CA"/>
              </w:rPr>
            </w:pPr>
            <w:r w:rsidRPr="000458F8">
              <w:rPr>
                <w:sz w:val="19"/>
                <w:szCs w:val="19"/>
                <w:lang w:val="es-ES_tradnl" w:eastAsia="en-CA"/>
              </w:rPr>
              <w:t>5</w:t>
            </w:r>
          </w:p>
        </w:tc>
        <w:tc>
          <w:tcPr>
            <w:tcW w:w="1170" w:type="dxa"/>
            <w:tcBorders>
              <w:top w:val="nil"/>
              <w:left w:val="nil"/>
              <w:bottom w:val="single" w:sz="4" w:space="0" w:color="auto"/>
              <w:right w:val="single" w:sz="4" w:space="0" w:color="auto"/>
            </w:tcBorders>
            <w:shd w:val="clear" w:color="auto" w:fill="auto"/>
            <w:noWrap/>
            <w:tcMar>
              <w:left w:w="58" w:type="dxa"/>
              <w:right w:w="173" w:type="dxa"/>
            </w:tcMar>
            <w:hideMark/>
          </w:tcPr>
          <w:p w14:paraId="19991A0C" w14:textId="77777777" w:rsidR="00734566" w:rsidRPr="000458F8" w:rsidRDefault="00734566" w:rsidP="00734566">
            <w:pPr>
              <w:jc w:val="right"/>
              <w:rPr>
                <w:sz w:val="19"/>
                <w:szCs w:val="19"/>
                <w:lang w:val="es-ES_tradnl" w:eastAsia="en-CA"/>
              </w:rPr>
            </w:pPr>
            <w:r w:rsidRPr="000458F8">
              <w:rPr>
                <w:sz w:val="19"/>
                <w:szCs w:val="19"/>
                <w:lang w:val="es-ES_tradnl" w:eastAsia="en-CA"/>
              </w:rPr>
              <w:t>5</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21890073" w14:textId="77777777" w:rsidR="00734566" w:rsidRPr="000458F8" w:rsidRDefault="00734566" w:rsidP="00734566">
            <w:pPr>
              <w:jc w:val="right"/>
              <w:rPr>
                <w:sz w:val="19"/>
                <w:szCs w:val="19"/>
                <w:lang w:val="es-ES_tradnl" w:eastAsia="en-CA"/>
              </w:rPr>
            </w:pPr>
            <w:r w:rsidRPr="000458F8">
              <w:rPr>
                <w:sz w:val="19"/>
                <w:szCs w:val="19"/>
                <w:lang w:val="es-ES_tradnl" w:eastAsia="en-CA"/>
              </w:rPr>
              <w:t>100</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1FE2F733" w14:textId="15138315" w:rsidR="00734566" w:rsidRPr="000458F8" w:rsidRDefault="00734566" w:rsidP="00734566">
            <w:pPr>
              <w:jc w:val="right"/>
              <w:rPr>
                <w:sz w:val="19"/>
                <w:szCs w:val="19"/>
                <w:lang w:val="es-ES_tradnl" w:eastAsia="en-CA"/>
              </w:rPr>
            </w:pPr>
            <w:r w:rsidRPr="000458F8">
              <w:rPr>
                <w:sz w:val="19"/>
                <w:szCs w:val="19"/>
                <w:lang w:val="es-ES_tradnl" w:eastAsia="en-CA"/>
              </w:rPr>
              <w:t>124 066</w:t>
            </w:r>
          </w:p>
        </w:tc>
        <w:tc>
          <w:tcPr>
            <w:tcW w:w="1440" w:type="dxa"/>
            <w:tcBorders>
              <w:top w:val="nil"/>
              <w:left w:val="nil"/>
              <w:bottom w:val="single" w:sz="4" w:space="0" w:color="auto"/>
              <w:right w:val="single" w:sz="4" w:space="0" w:color="auto"/>
            </w:tcBorders>
            <w:shd w:val="clear" w:color="auto" w:fill="auto"/>
            <w:noWrap/>
            <w:tcMar>
              <w:left w:w="58" w:type="dxa"/>
              <w:right w:w="58" w:type="dxa"/>
            </w:tcMar>
            <w:hideMark/>
          </w:tcPr>
          <w:p w14:paraId="61321493" w14:textId="7AAFD1E0" w:rsidR="00734566" w:rsidRPr="000458F8" w:rsidRDefault="00734566" w:rsidP="00734566">
            <w:pPr>
              <w:jc w:val="right"/>
              <w:rPr>
                <w:sz w:val="19"/>
                <w:szCs w:val="19"/>
                <w:lang w:val="es-ES_tradnl" w:eastAsia="en-CA"/>
              </w:rPr>
            </w:pPr>
            <w:r w:rsidRPr="000458F8">
              <w:rPr>
                <w:sz w:val="19"/>
                <w:szCs w:val="19"/>
                <w:lang w:val="es-ES_tradnl" w:eastAsia="en-CA"/>
              </w:rPr>
              <w:t>75 911</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594C3C51" w14:textId="72DADD4E" w:rsidR="00734566" w:rsidRPr="000458F8" w:rsidRDefault="00734566" w:rsidP="00734566">
            <w:pPr>
              <w:jc w:val="right"/>
              <w:rPr>
                <w:sz w:val="19"/>
                <w:szCs w:val="19"/>
                <w:lang w:val="es-ES_tradnl" w:eastAsia="en-CA"/>
              </w:rPr>
            </w:pPr>
            <w:r w:rsidRPr="000458F8">
              <w:rPr>
                <w:sz w:val="19"/>
                <w:szCs w:val="19"/>
                <w:lang w:val="es-ES_tradnl" w:eastAsia="en-CA"/>
              </w:rPr>
              <w:t>48 155</w:t>
            </w:r>
          </w:p>
        </w:tc>
        <w:tc>
          <w:tcPr>
            <w:tcW w:w="1306" w:type="dxa"/>
            <w:tcBorders>
              <w:top w:val="nil"/>
              <w:left w:val="nil"/>
              <w:bottom w:val="single" w:sz="4" w:space="0" w:color="auto"/>
              <w:right w:val="single" w:sz="4" w:space="0" w:color="auto"/>
            </w:tcBorders>
            <w:shd w:val="clear" w:color="auto" w:fill="auto"/>
            <w:noWrap/>
            <w:tcMar>
              <w:left w:w="58" w:type="dxa"/>
              <w:right w:w="173" w:type="dxa"/>
            </w:tcMar>
            <w:hideMark/>
          </w:tcPr>
          <w:p w14:paraId="5CB2E55D" w14:textId="77777777" w:rsidR="00734566" w:rsidRPr="000458F8" w:rsidRDefault="00734566" w:rsidP="00734566">
            <w:pPr>
              <w:jc w:val="right"/>
              <w:rPr>
                <w:sz w:val="19"/>
                <w:szCs w:val="19"/>
                <w:lang w:val="es-ES_tradnl" w:eastAsia="en-CA"/>
              </w:rPr>
            </w:pPr>
            <w:r w:rsidRPr="000458F8">
              <w:rPr>
                <w:sz w:val="19"/>
                <w:szCs w:val="19"/>
                <w:lang w:val="es-ES_tradnl" w:eastAsia="en-CA"/>
              </w:rPr>
              <w:t>61</w:t>
            </w:r>
          </w:p>
        </w:tc>
      </w:tr>
      <w:tr w:rsidR="00734566" w:rsidRPr="000458F8" w14:paraId="1F9AC51C" w14:textId="77777777" w:rsidTr="005172EB">
        <w:tc>
          <w:tcPr>
            <w:tcW w:w="1350" w:type="dxa"/>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23ACE444" w14:textId="2C453B73" w:rsidR="00734566" w:rsidRPr="000458F8" w:rsidRDefault="00734566" w:rsidP="00734566">
            <w:pPr>
              <w:jc w:val="left"/>
              <w:rPr>
                <w:sz w:val="19"/>
                <w:szCs w:val="19"/>
                <w:lang w:val="es-ES_tradnl" w:eastAsia="en-CA"/>
              </w:rPr>
            </w:pPr>
            <w:r w:rsidRPr="000458F8">
              <w:rPr>
                <w:sz w:val="19"/>
                <w:szCs w:val="19"/>
                <w:lang w:val="es-ES_tradnl"/>
              </w:rPr>
              <w:t>Asistencia técnica – Actividades de apoyo</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3ABDC5F7" w14:textId="77777777" w:rsidR="00734566" w:rsidRPr="000458F8" w:rsidRDefault="00734566" w:rsidP="00734566">
            <w:pPr>
              <w:jc w:val="right"/>
              <w:rPr>
                <w:sz w:val="19"/>
                <w:szCs w:val="19"/>
                <w:lang w:val="es-ES_tradnl" w:eastAsia="en-CA"/>
              </w:rPr>
            </w:pPr>
            <w:r w:rsidRPr="000458F8">
              <w:rPr>
                <w:sz w:val="19"/>
                <w:szCs w:val="19"/>
                <w:lang w:val="es-ES_tradnl" w:eastAsia="en-CA"/>
              </w:rPr>
              <w:t>11</w:t>
            </w:r>
          </w:p>
        </w:tc>
        <w:tc>
          <w:tcPr>
            <w:tcW w:w="1170" w:type="dxa"/>
            <w:tcBorders>
              <w:top w:val="nil"/>
              <w:left w:val="nil"/>
              <w:bottom w:val="single" w:sz="4" w:space="0" w:color="auto"/>
              <w:right w:val="single" w:sz="4" w:space="0" w:color="auto"/>
            </w:tcBorders>
            <w:shd w:val="clear" w:color="auto" w:fill="auto"/>
            <w:noWrap/>
            <w:tcMar>
              <w:left w:w="58" w:type="dxa"/>
              <w:right w:w="173" w:type="dxa"/>
            </w:tcMar>
            <w:hideMark/>
          </w:tcPr>
          <w:p w14:paraId="1D607697" w14:textId="77777777" w:rsidR="00734566" w:rsidRPr="000458F8" w:rsidRDefault="00734566" w:rsidP="00734566">
            <w:pPr>
              <w:jc w:val="right"/>
              <w:rPr>
                <w:sz w:val="19"/>
                <w:szCs w:val="19"/>
                <w:lang w:val="es-ES_tradnl" w:eastAsia="en-CA"/>
              </w:rPr>
            </w:pPr>
            <w:r w:rsidRPr="000458F8">
              <w:rPr>
                <w:sz w:val="19"/>
                <w:szCs w:val="19"/>
                <w:lang w:val="es-ES_tradnl" w:eastAsia="en-CA"/>
              </w:rPr>
              <w:t>1</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18B23AE0" w14:textId="77777777" w:rsidR="00734566" w:rsidRPr="000458F8" w:rsidRDefault="00734566" w:rsidP="00734566">
            <w:pPr>
              <w:jc w:val="right"/>
              <w:rPr>
                <w:sz w:val="19"/>
                <w:szCs w:val="19"/>
                <w:lang w:val="es-ES_tradnl" w:eastAsia="en-CA"/>
              </w:rPr>
            </w:pPr>
            <w:r w:rsidRPr="000458F8">
              <w:rPr>
                <w:sz w:val="19"/>
                <w:szCs w:val="19"/>
                <w:lang w:val="es-ES_tradnl" w:eastAsia="en-CA"/>
              </w:rPr>
              <w:t>9</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088969D0" w14:textId="04A26864" w:rsidR="00734566" w:rsidRPr="000458F8" w:rsidRDefault="00734566" w:rsidP="00734566">
            <w:pPr>
              <w:jc w:val="right"/>
              <w:rPr>
                <w:sz w:val="19"/>
                <w:szCs w:val="19"/>
                <w:lang w:val="es-ES_tradnl" w:eastAsia="en-CA"/>
              </w:rPr>
            </w:pPr>
            <w:r w:rsidRPr="000458F8">
              <w:rPr>
                <w:sz w:val="19"/>
                <w:szCs w:val="19"/>
                <w:lang w:val="es-ES_tradnl" w:eastAsia="en-CA"/>
              </w:rPr>
              <w:t>1 523 000</w:t>
            </w:r>
          </w:p>
        </w:tc>
        <w:tc>
          <w:tcPr>
            <w:tcW w:w="1440" w:type="dxa"/>
            <w:tcBorders>
              <w:top w:val="nil"/>
              <w:left w:val="nil"/>
              <w:bottom w:val="single" w:sz="4" w:space="0" w:color="auto"/>
              <w:right w:val="single" w:sz="4" w:space="0" w:color="auto"/>
            </w:tcBorders>
            <w:shd w:val="clear" w:color="auto" w:fill="auto"/>
            <w:noWrap/>
            <w:tcMar>
              <w:left w:w="58" w:type="dxa"/>
              <w:right w:w="58" w:type="dxa"/>
            </w:tcMar>
            <w:hideMark/>
          </w:tcPr>
          <w:p w14:paraId="1AACFA26" w14:textId="30AB6097" w:rsidR="00734566" w:rsidRPr="000458F8" w:rsidRDefault="00734566" w:rsidP="00734566">
            <w:pPr>
              <w:jc w:val="right"/>
              <w:rPr>
                <w:sz w:val="19"/>
                <w:szCs w:val="19"/>
                <w:lang w:val="es-ES_tradnl" w:eastAsia="en-CA"/>
              </w:rPr>
            </w:pPr>
            <w:r w:rsidRPr="000458F8">
              <w:rPr>
                <w:sz w:val="19"/>
                <w:szCs w:val="19"/>
                <w:lang w:val="es-ES_tradnl" w:eastAsia="en-CA"/>
              </w:rPr>
              <w:t>712 989</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7905565F" w14:textId="14B27193" w:rsidR="00734566" w:rsidRPr="000458F8" w:rsidRDefault="00734566" w:rsidP="00734566">
            <w:pPr>
              <w:jc w:val="right"/>
              <w:rPr>
                <w:sz w:val="19"/>
                <w:szCs w:val="19"/>
                <w:lang w:val="es-ES_tradnl" w:eastAsia="en-CA"/>
              </w:rPr>
            </w:pPr>
            <w:r w:rsidRPr="000458F8">
              <w:rPr>
                <w:sz w:val="19"/>
                <w:szCs w:val="19"/>
                <w:lang w:val="es-ES_tradnl" w:eastAsia="en-CA"/>
              </w:rPr>
              <w:t>810 011</w:t>
            </w:r>
          </w:p>
        </w:tc>
        <w:tc>
          <w:tcPr>
            <w:tcW w:w="1306" w:type="dxa"/>
            <w:tcBorders>
              <w:top w:val="nil"/>
              <w:left w:val="nil"/>
              <w:bottom w:val="single" w:sz="4" w:space="0" w:color="auto"/>
              <w:right w:val="single" w:sz="4" w:space="0" w:color="auto"/>
            </w:tcBorders>
            <w:shd w:val="clear" w:color="auto" w:fill="auto"/>
            <w:noWrap/>
            <w:tcMar>
              <w:left w:w="58" w:type="dxa"/>
              <w:right w:w="173" w:type="dxa"/>
            </w:tcMar>
            <w:hideMark/>
          </w:tcPr>
          <w:p w14:paraId="5CCF8128" w14:textId="77777777" w:rsidR="00734566" w:rsidRPr="000458F8" w:rsidRDefault="00734566" w:rsidP="00734566">
            <w:pPr>
              <w:jc w:val="right"/>
              <w:rPr>
                <w:sz w:val="19"/>
                <w:szCs w:val="19"/>
                <w:lang w:val="es-ES_tradnl" w:eastAsia="en-CA"/>
              </w:rPr>
            </w:pPr>
            <w:r w:rsidRPr="000458F8">
              <w:rPr>
                <w:sz w:val="19"/>
                <w:szCs w:val="19"/>
                <w:lang w:val="es-ES_tradnl" w:eastAsia="en-CA"/>
              </w:rPr>
              <w:t>47</w:t>
            </w:r>
          </w:p>
        </w:tc>
      </w:tr>
      <w:tr w:rsidR="00C3420C" w:rsidRPr="000458F8" w14:paraId="5F5E6E17" w14:textId="77777777" w:rsidTr="005172EB">
        <w:trPr>
          <w:trHeight w:val="91"/>
        </w:trPr>
        <w:tc>
          <w:tcPr>
            <w:tcW w:w="1350"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F887407" w14:textId="77777777" w:rsidR="00C3420C" w:rsidRPr="000458F8" w:rsidRDefault="00C3420C" w:rsidP="008E3F5E">
            <w:pPr>
              <w:jc w:val="left"/>
              <w:rPr>
                <w:b/>
                <w:bCs/>
                <w:sz w:val="19"/>
                <w:szCs w:val="19"/>
                <w:lang w:val="es-ES_tradnl" w:eastAsia="en-CA"/>
              </w:rPr>
            </w:pPr>
            <w:r w:rsidRPr="000458F8">
              <w:rPr>
                <w:b/>
                <w:bCs/>
                <w:sz w:val="19"/>
                <w:szCs w:val="19"/>
                <w:lang w:val="es-ES_tradnl" w:eastAsia="en-CA"/>
              </w:rPr>
              <w:t>Total</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00D7F482" w14:textId="77777777" w:rsidR="00C3420C" w:rsidRPr="000458F8" w:rsidRDefault="00C3420C" w:rsidP="008E3F5E">
            <w:pPr>
              <w:jc w:val="right"/>
              <w:rPr>
                <w:b/>
                <w:bCs/>
                <w:sz w:val="19"/>
                <w:szCs w:val="19"/>
                <w:lang w:val="es-ES_tradnl" w:eastAsia="en-CA"/>
              </w:rPr>
            </w:pPr>
            <w:r w:rsidRPr="000458F8">
              <w:rPr>
                <w:b/>
                <w:bCs/>
                <w:sz w:val="19"/>
                <w:szCs w:val="19"/>
                <w:lang w:val="es-ES_tradnl" w:eastAsia="en-CA"/>
              </w:rPr>
              <w:t>18</w:t>
            </w:r>
          </w:p>
        </w:tc>
        <w:tc>
          <w:tcPr>
            <w:tcW w:w="1170" w:type="dxa"/>
            <w:tcBorders>
              <w:top w:val="nil"/>
              <w:left w:val="nil"/>
              <w:bottom w:val="single" w:sz="4" w:space="0" w:color="auto"/>
              <w:right w:val="single" w:sz="4" w:space="0" w:color="auto"/>
            </w:tcBorders>
            <w:shd w:val="clear" w:color="auto" w:fill="auto"/>
            <w:noWrap/>
            <w:tcMar>
              <w:left w:w="58" w:type="dxa"/>
              <w:right w:w="173" w:type="dxa"/>
            </w:tcMar>
            <w:hideMark/>
          </w:tcPr>
          <w:p w14:paraId="77CBC909" w14:textId="77777777" w:rsidR="00C3420C" w:rsidRPr="000458F8" w:rsidRDefault="00C3420C" w:rsidP="008E3F5E">
            <w:pPr>
              <w:jc w:val="right"/>
              <w:rPr>
                <w:b/>
                <w:bCs/>
                <w:sz w:val="19"/>
                <w:szCs w:val="19"/>
                <w:lang w:val="es-ES_tradnl" w:eastAsia="en-CA"/>
              </w:rPr>
            </w:pPr>
            <w:r w:rsidRPr="000458F8">
              <w:rPr>
                <w:b/>
                <w:bCs/>
                <w:sz w:val="19"/>
                <w:szCs w:val="19"/>
                <w:lang w:val="es-ES_tradnl" w:eastAsia="en-CA"/>
              </w:rPr>
              <w:t>7</w:t>
            </w:r>
          </w:p>
        </w:tc>
        <w:tc>
          <w:tcPr>
            <w:tcW w:w="1080" w:type="dxa"/>
            <w:tcBorders>
              <w:top w:val="nil"/>
              <w:left w:val="nil"/>
              <w:bottom w:val="single" w:sz="4" w:space="0" w:color="auto"/>
              <w:right w:val="single" w:sz="4" w:space="0" w:color="auto"/>
            </w:tcBorders>
            <w:shd w:val="clear" w:color="auto" w:fill="auto"/>
            <w:noWrap/>
            <w:tcMar>
              <w:left w:w="58" w:type="dxa"/>
              <w:right w:w="173" w:type="dxa"/>
            </w:tcMar>
            <w:hideMark/>
          </w:tcPr>
          <w:p w14:paraId="5FEC45BF" w14:textId="77777777" w:rsidR="00C3420C" w:rsidRPr="000458F8" w:rsidRDefault="00C3420C" w:rsidP="008E3F5E">
            <w:pPr>
              <w:jc w:val="right"/>
              <w:rPr>
                <w:b/>
                <w:bCs/>
                <w:sz w:val="19"/>
                <w:szCs w:val="19"/>
                <w:lang w:val="es-ES_tradnl" w:eastAsia="en-CA"/>
              </w:rPr>
            </w:pPr>
            <w:r w:rsidRPr="000458F8">
              <w:rPr>
                <w:b/>
                <w:bCs/>
                <w:sz w:val="19"/>
                <w:szCs w:val="19"/>
                <w:lang w:val="es-ES_tradnl" w:eastAsia="en-CA"/>
              </w:rPr>
              <w:t>39</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063C8FED" w14:textId="525E78FD" w:rsidR="00C3420C" w:rsidRPr="000458F8" w:rsidRDefault="00C3420C" w:rsidP="008E3F5E">
            <w:pPr>
              <w:jc w:val="right"/>
              <w:rPr>
                <w:b/>
                <w:bCs/>
                <w:sz w:val="19"/>
                <w:szCs w:val="19"/>
                <w:lang w:val="es-ES_tradnl" w:eastAsia="en-CA"/>
              </w:rPr>
            </w:pPr>
            <w:r w:rsidRPr="000458F8">
              <w:rPr>
                <w:b/>
                <w:bCs/>
                <w:sz w:val="19"/>
                <w:szCs w:val="19"/>
                <w:lang w:val="es-ES_tradnl" w:eastAsia="en-CA"/>
              </w:rPr>
              <w:t>6</w:t>
            </w:r>
            <w:r w:rsidR="00700B97" w:rsidRPr="000458F8">
              <w:rPr>
                <w:b/>
                <w:bCs/>
                <w:sz w:val="19"/>
                <w:szCs w:val="19"/>
                <w:lang w:val="es-ES_tradnl" w:eastAsia="en-CA"/>
              </w:rPr>
              <w:t> </w:t>
            </w:r>
            <w:r w:rsidRPr="000458F8">
              <w:rPr>
                <w:b/>
                <w:bCs/>
                <w:sz w:val="19"/>
                <w:szCs w:val="19"/>
                <w:lang w:val="es-ES_tradnl" w:eastAsia="en-CA"/>
              </w:rPr>
              <w:t>053</w:t>
            </w:r>
            <w:r w:rsidR="00700B97" w:rsidRPr="000458F8">
              <w:rPr>
                <w:b/>
                <w:bCs/>
                <w:sz w:val="19"/>
                <w:szCs w:val="19"/>
                <w:lang w:val="es-ES_tradnl" w:eastAsia="en-CA"/>
              </w:rPr>
              <w:t> </w:t>
            </w:r>
            <w:r w:rsidRPr="000458F8">
              <w:rPr>
                <w:b/>
                <w:bCs/>
                <w:sz w:val="19"/>
                <w:szCs w:val="19"/>
                <w:lang w:val="es-ES_tradnl" w:eastAsia="en-CA"/>
              </w:rPr>
              <w:t>676</w:t>
            </w:r>
          </w:p>
        </w:tc>
        <w:tc>
          <w:tcPr>
            <w:tcW w:w="1440" w:type="dxa"/>
            <w:tcBorders>
              <w:top w:val="nil"/>
              <w:left w:val="nil"/>
              <w:bottom w:val="single" w:sz="4" w:space="0" w:color="auto"/>
              <w:right w:val="single" w:sz="4" w:space="0" w:color="auto"/>
            </w:tcBorders>
            <w:shd w:val="clear" w:color="auto" w:fill="auto"/>
            <w:noWrap/>
            <w:tcMar>
              <w:left w:w="58" w:type="dxa"/>
              <w:right w:w="58" w:type="dxa"/>
            </w:tcMar>
            <w:hideMark/>
          </w:tcPr>
          <w:p w14:paraId="5C6A1AE9" w14:textId="1FC1066D" w:rsidR="00C3420C" w:rsidRPr="000458F8" w:rsidRDefault="00C3420C" w:rsidP="008E3F5E">
            <w:pPr>
              <w:jc w:val="right"/>
              <w:rPr>
                <w:b/>
                <w:bCs/>
                <w:sz w:val="19"/>
                <w:szCs w:val="19"/>
                <w:lang w:val="es-ES_tradnl" w:eastAsia="en-CA"/>
              </w:rPr>
            </w:pPr>
            <w:r w:rsidRPr="000458F8">
              <w:rPr>
                <w:b/>
                <w:bCs/>
                <w:sz w:val="19"/>
                <w:szCs w:val="19"/>
                <w:lang w:val="es-ES_tradnl" w:eastAsia="en-CA"/>
              </w:rPr>
              <w:t>4</w:t>
            </w:r>
            <w:r w:rsidR="00700B97" w:rsidRPr="000458F8">
              <w:rPr>
                <w:b/>
                <w:bCs/>
                <w:sz w:val="19"/>
                <w:szCs w:val="19"/>
                <w:lang w:val="es-ES_tradnl" w:eastAsia="en-CA"/>
              </w:rPr>
              <w:t> </w:t>
            </w:r>
            <w:r w:rsidRPr="000458F8">
              <w:rPr>
                <w:b/>
                <w:bCs/>
                <w:sz w:val="19"/>
                <w:szCs w:val="19"/>
                <w:lang w:val="es-ES_tradnl" w:eastAsia="en-CA"/>
              </w:rPr>
              <w:t>933</w:t>
            </w:r>
            <w:r w:rsidR="00700B97" w:rsidRPr="000458F8">
              <w:rPr>
                <w:b/>
                <w:bCs/>
                <w:sz w:val="19"/>
                <w:szCs w:val="19"/>
                <w:lang w:val="es-ES_tradnl" w:eastAsia="en-CA"/>
              </w:rPr>
              <w:t> </w:t>
            </w:r>
            <w:r w:rsidRPr="000458F8">
              <w:rPr>
                <w:b/>
                <w:bCs/>
                <w:sz w:val="19"/>
                <w:szCs w:val="19"/>
                <w:lang w:val="es-ES_tradnl" w:eastAsia="en-CA"/>
              </w:rPr>
              <w:t>728</w:t>
            </w:r>
          </w:p>
        </w:tc>
        <w:tc>
          <w:tcPr>
            <w:tcW w:w="990" w:type="dxa"/>
            <w:tcBorders>
              <w:top w:val="nil"/>
              <w:left w:val="nil"/>
              <w:bottom w:val="single" w:sz="4" w:space="0" w:color="auto"/>
              <w:right w:val="single" w:sz="4" w:space="0" w:color="auto"/>
            </w:tcBorders>
            <w:shd w:val="clear" w:color="auto" w:fill="auto"/>
            <w:noWrap/>
            <w:tcMar>
              <w:left w:w="58" w:type="dxa"/>
              <w:right w:w="58" w:type="dxa"/>
            </w:tcMar>
            <w:hideMark/>
          </w:tcPr>
          <w:p w14:paraId="6D97561A" w14:textId="20CCCB87" w:rsidR="00C3420C" w:rsidRPr="000458F8" w:rsidRDefault="00C3420C" w:rsidP="008E3F5E">
            <w:pPr>
              <w:jc w:val="right"/>
              <w:rPr>
                <w:b/>
                <w:bCs/>
                <w:sz w:val="19"/>
                <w:szCs w:val="19"/>
                <w:lang w:val="es-ES_tradnl" w:eastAsia="en-CA"/>
              </w:rPr>
            </w:pPr>
            <w:r w:rsidRPr="000458F8">
              <w:rPr>
                <w:b/>
                <w:bCs/>
                <w:sz w:val="19"/>
                <w:szCs w:val="19"/>
                <w:lang w:val="es-ES_tradnl" w:eastAsia="en-CA"/>
              </w:rPr>
              <w:t>1</w:t>
            </w:r>
            <w:r w:rsidR="00700B97" w:rsidRPr="000458F8">
              <w:rPr>
                <w:b/>
                <w:bCs/>
                <w:sz w:val="19"/>
                <w:szCs w:val="19"/>
                <w:lang w:val="es-ES_tradnl" w:eastAsia="en-CA"/>
              </w:rPr>
              <w:t> </w:t>
            </w:r>
            <w:r w:rsidRPr="000458F8">
              <w:rPr>
                <w:b/>
                <w:bCs/>
                <w:sz w:val="19"/>
                <w:szCs w:val="19"/>
                <w:lang w:val="es-ES_tradnl" w:eastAsia="en-CA"/>
              </w:rPr>
              <w:t>119</w:t>
            </w:r>
            <w:r w:rsidR="00700B97" w:rsidRPr="000458F8">
              <w:rPr>
                <w:b/>
                <w:bCs/>
                <w:sz w:val="19"/>
                <w:szCs w:val="19"/>
                <w:lang w:val="es-ES_tradnl" w:eastAsia="en-CA"/>
              </w:rPr>
              <w:t> </w:t>
            </w:r>
            <w:r w:rsidRPr="000458F8">
              <w:rPr>
                <w:b/>
                <w:bCs/>
                <w:sz w:val="19"/>
                <w:szCs w:val="19"/>
                <w:lang w:val="es-ES_tradnl" w:eastAsia="en-CA"/>
              </w:rPr>
              <w:t>948</w:t>
            </w:r>
          </w:p>
        </w:tc>
        <w:tc>
          <w:tcPr>
            <w:tcW w:w="1306" w:type="dxa"/>
            <w:tcBorders>
              <w:top w:val="nil"/>
              <w:left w:val="nil"/>
              <w:bottom w:val="single" w:sz="4" w:space="0" w:color="auto"/>
              <w:right w:val="single" w:sz="4" w:space="0" w:color="auto"/>
            </w:tcBorders>
            <w:shd w:val="clear" w:color="auto" w:fill="auto"/>
            <w:noWrap/>
            <w:tcMar>
              <w:left w:w="58" w:type="dxa"/>
              <w:right w:w="173" w:type="dxa"/>
            </w:tcMar>
            <w:hideMark/>
          </w:tcPr>
          <w:p w14:paraId="61CF0E24" w14:textId="77777777" w:rsidR="00C3420C" w:rsidRPr="000458F8" w:rsidRDefault="00C3420C" w:rsidP="008E3F5E">
            <w:pPr>
              <w:jc w:val="right"/>
              <w:rPr>
                <w:b/>
                <w:bCs/>
                <w:sz w:val="19"/>
                <w:szCs w:val="19"/>
                <w:lang w:val="es-ES_tradnl" w:eastAsia="en-CA"/>
              </w:rPr>
            </w:pPr>
            <w:r w:rsidRPr="000458F8">
              <w:rPr>
                <w:b/>
                <w:bCs/>
                <w:sz w:val="19"/>
                <w:szCs w:val="19"/>
                <w:lang w:val="es-ES_tradnl" w:eastAsia="en-CA"/>
              </w:rPr>
              <w:t>81</w:t>
            </w:r>
          </w:p>
        </w:tc>
      </w:tr>
    </w:tbl>
    <w:p w14:paraId="44B26197" w14:textId="2203A2B9" w:rsidR="00C3420C" w:rsidRPr="000458F8" w:rsidRDefault="00C3420C" w:rsidP="00C3420C">
      <w:pPr>
        <w:pStyle w:val="Title1"/>
        <w:jc w:val="both"/>
        <w:rPr>
          <w:b w:val="0"/>
          <w:caps w:val="0"/>
          <w:sz w:val="19"/>
          <w:szCs w:val="19"/>
          <w:lang w:val="es-ES_tradnl"/>
        </w:rPr>
      </w:pPr>
      <w:r w:rsidRPr="000458F8">
        <w:rPr>
          <w:b w:val="0"/>
          <w:caps w:val="0"/>
          <w:sz w:val="19"/>
          <w:szCs w:val="19"/>
          <w:lang w:val="es-ES_tradnl"/>
        </w:rPr>
        <w:t xml:space="preserve">* </w:t>
      </w:r>
      <w:r w:rsidR="00734566" w:rsidRPr="000458F8">
        <w:rPr>
          <w:b w:val="0"/>
          <w:caps w:val="0"/>
          <w:sz w:val="19"/>
          <w:szCs w:val="19"/>
          <w:lang w:val="es-ES_tradnl"/>
        </w:rPr>
        <w:t>Excluye los gastos de apoyo al organismo.</w:t>
      </w:r>
    </w:p>
    <w:p w14:paraId="0A56B3A7" w14:textId="22116B4F" w:rsidR="00C3420C" w:rsidRPr="000458F8" w:rsidRDefault="00C3420C" w:rsidP="00C3420C">
      <w:pPr>
        <w:pStyle w:val="Title1"/>
        <w:jc w:val="both"/>
        <w:rPr>
          <w:b w:val="0"/>
          <w:caps w:val="0"/>
          <w:sz w:val="19"/>
          <w:szCs w:val="19"/>
          <w:lang w:val="es-ES_tradnl"/>
        </w:rPr>
      </w:pPr>
      <w:r w:rsidRPr="000458F8">
        <w:rPr>
          <w:b w:val="0"/>
          <w:caps w:val="0"/>
          <w:sz w:val="19"/>
          <w:szCs w:val="19"/>
          <w:lang w:val="es-ES_tradnl"/>
        </w:rPr>
        <w:t xml:space="preserve">** </w:t>
      </w:r>
      <w:r w:rsidR="00734566" w:rsidRPr="000458F8">
        <w:rPr>
          <w:b w:val="0"/>
          <w:caps w:val="0"/>
          <w:sz w:val="19"/>
          <w:szCs w:val="19"/>
          <w:lang w:val="es-ES_tradnl"/>
        </w:rPr>
        <w:t>Se han de eliminar 480,6 tm (587 301 tm de CO</w:t>
      </w:r>
      <w:r w:rsidR="00734566" w:rsidRPr="000458F8">
        <w:rPr>
          <w:b w:val="0"/>
          <w:caps w:val="0"/>
          <w:sz w:val="19"/>
          <w:szCs w:val="19"/>
          <w:vertAlign w:val="subscript"/>
          <w:lang w:val="es-ES_tradnl"/>
        </w:rPr>
        <w:t>2</w:t>
      </w:r>
      <w:r w:rsidR="00734566" w:rsidRPr="000458F8">
        <w:rPr>
          <w:b w:val="0"/>
          <w:caps w:val="0"/>
          <w:sz w:val="19"/>
          <w:szCs w:val="19"/>
          <w:lang w:val="es-ES_tradnl"/>
        </w:rPr>
        <w:t xml:space="preserve"> equivalente) de HFC</w:t>
      </w:r>
      <w:r w:rsidRPr="000458F8">
        <w:rPr>
          <w:b w:val="0"/>
          <w:caps w:val="0"/>
          <w:sz w:val="19"/>
          <w:szCs w:val="19"/>
          <w:lang w:val="es-ES_tradnl"/>
        </w:rPr>
        <w:t>.</w:t>
      </w:r>
    </w:p>
    <w:p w14:paraId="3B36C052" w14:textId="77777777" w:rsidR="00C3420C" w:rsidRPr="000458F8" w:rsidRDefault="00C3420C" w:rsidP="00C3420C">
      <w:pPr>
        <w:pStyle w:val="Title1"/>
        <w:jc w:val="both"/>
        <w:rPr>
          <w:b w:val="0"/>
          <w:caps w:val="0"/>
          <w:sz w:val="19"/>
          <w:szCs w:val="19"/>
          <w:lang w:val="es-ES_tradnl"/>
        </w:rPr>
      </w:pPr>
    </w:p>
    <w:p w14:paraId="3E7CDB89" w14:textId="4F7B0FBE" w:rsidR="00C3420C" w:rsidRPr="000458F8" w:rsidRDefault="00126CA0" w:rsidP="00C3420C">
      <w:pPr>
        <w:pStyle w:val="Heading1"/>
        <w:tabs>
          <w:tab w:val="clear" w:pos="0"/>
        </w:tabs>
        <w:rPr>
          <w:lang w:val="es-ES_tradnl"/>
        </w:rPr>
      </w:pPr>
      <w:r w:rsidRPr="000458F8">
        <w:rPr>
          <w:lang w:val="es-ES_tradnl"/>
        </w:rPr>
        <w:t xml:space="preserve">A fines de </w:t>
      </w:r>
      <w:r w:rsidR="00C3420C" w:rsidRPr="000458F8">
        <w:rPr>
          <w:lang w:val="es-ES_tradnl"/>
        </w:rPr>
        <w:t xml:space="preserve">2019, </w:t>
      </w:r>
      <w:r w:rsidRPr="000458F8">
        <w:rPr>
          <w:lang w:val="es-ES_tradnl"/>
        </w:rPr>
        <w:t>de los 18 proyecto</w:t>
      </w:r>
      <w:r w:rsidR="0053460C" w:rsidRPr="000458F8">
        <w:rPr>
          <w:lang w:val="es-ES_tradnl"/>
        </w:rPr>
        <w:t>s</w:t>
      </w:r>
      <w:r w:rsidRPr="000458F8">
        <w:rPr>
          <w:lang w:val="es-ES_tradnl"/>
        </w:rPr>
        <w:t xml:space="preserve"> aprobados, se han terminado siete proyectos incluido un proyecto de inversión, una actividad de apoyo y cinco actividades de preparación, quedando 11 proyectos en curso</w:t>
      </w:r>
      <w:r w:rsidR="00C3420C" w:rsidRPr="000458F8">
        <w:rPr>
          <w:lang w:val="es-ES_tradnl"/>
        </w:rPr>
        <w:t xml:space="preserve">. </w:t>
      </w:r>
      <w:r w:rsidRPr="000458F8">
        <w:rPr>
          <w:lang w:val="es-ES_tradnl"/>
        </w:rPr>
        <w:t>La prórroga de las fechas de terminación de las 10 actividades de apoyo en curso se aprob</w:t>
      </w:r>
      <w:r w:rsidR="00337BDA" w:rsidRPr="000458F8">
        <w:rPr>
          <w:lang w:val="es-ES_tradnl"/>
        </w:rPr>
        <w:t>ó</w:t>
      </w:r>
      <w:r w:rsidRPr="000458F8">
        <w:rPr>
          <w:lang w:val="es-ES_tradnl"/>
        </w:rPr>
        <w:t xml:space="preserve"> en la 83ª </w:t>
      </w:r>
      <w:r w:rsidR="00337BDA" w:rsidRPr="000458F8">
        <w:rPr>
          <w:lang w:val="es-ES_tradnl"/>
        </w:rPr>
        <w:t>reunión (nueve proyectos) y en la 84ª reunión</w:t>
      </w:r>
      <w:r w:rsidR="00C3420C" w:rsidRPr="000458F8">
        <w:rPr>
          <w:lang w:val="es-ES_tradnl"/>
        </w:rPr>
        <w:t xml:space="preserve"> (</w:t>
      </w:r>
      <w:r w:rsidR="00337BDA" w:rsidRPr="000458F8">
        <w:rPr>
          <w:lang w:val="es-ES_tradnl"/>
        </w:rPr>
        <w:t>un proyecto</w:t>
      </w:r>
      <w:r w:rsidR="00C3420C" w:rsidRPr="000458F8">
        <w:rPr>
          <w:lang w:val="es-ES_tradnl"/>
        </w:rPr>
        <w:t xml:space="preserve">); </w:t>
      </w:r>
      <w:r w:rsidR="00337BDA" w:rsidRPr="000458F8">
        <w:rPr>
          <w:lang w:val="es-ES_tradnl"/>
        </w:rPr>
        <w:t xml:space="preserve">dichas actividades </w:t>
      </w:r>
      <w:r w:rsidR="00ED1901">
        <w:rPr>
          <w:lang w:val="es-ES_tradnl"/>
        </w:rPr>
        <w:t>de</w:t>
      </w:r>
      <w:r w:rsidR="00063C6A">
        <w:rPr>
          <w:lang w:val="es-ES_tradnl"/>
        </w:rPr>
        <w:t xml:space="preserve"> </w:t>
      </w:r>
      <w:r w:rsidR="00337BDA" w:rsidRPr="000458F8">
        <w:rPr>
          <w:lang w:val="es-ES_tradnl"/>
        </w:rPr>
        <w:t>apoyo se encuentran en distintas etapas de realización</w:t>
      </w:r>
      <w:r w:rsidR="00C3420C" w:rsidRPr="000458F8">
        <w:rPr>
          <w:lang w:val="es-ES_tradnl"/>
        </w:rPr>
        <w:t>.</w:t>
      </w:r>
    </w:p>
    <w:p w14:paraId="671BFD7B" w14:textId="263DA433" w:rsidR="00ED1901" w:rsidRPr="00ED1901" w:rsidRDefault="00ED1901" w:rsidP="00ED1901">
      <w:pPr>
        <w:pStyle w:val="Heading1"/>
        <w:rPr>
          <w:lang w:val="es-ES_tradnl"/>
        </w:rPr>
      </w:pPr>
      <w:r w:rsidRPr="00ED1901">
        <w:rPr>
          <w:lang w:val="es-ES_tradnl"/>
        </w:rPr>
        <w:t xml:space="preserve">Para 2021 se prevé la terminación del proyecto de inversión restante en curso, aprobado en la 82ª reunión, del cual se ha desembolsado el 80 </w:t>
      </w:r>
      <w:r w:rsidR="00CC3B4D">
        <w:rPr>
          <w:lang w:val="es-ES_tradnl"/>
        </w:rPr>
        <w:t>por ciento</w:t>
      </w:r>
      <w:r w:rsidRPr="00ED1901">
        <w:rPr>
          <w:lang w:val="es-ES_tradnl"/>
        </w:rPr>
        <w:t xml:space="preserve"> de los fondos aprobados. </w:t>
      </w:r>
    </w:p>
    <w:p w14:paraId="0E5B7719" w14:textId="5A8A2E9D" w:rsidR="00C3420C" w:rsidRPr="000458F8" w:rsidRDefault="00DC196F" w:rsidP="00D827B1">
      <w:pPr>
        <w:pStyle w:val="Heading1"/>
        <w:rPr>
          <w:lang w:val="es-ES_tradnl"/>
        </w:rPr>
      </w:pPr>
      <w:r w:rsidRPr="000458F8">
        <w:rPr>
          <w:lang w:val="es-ES_tradnl"/>
        </w:rPr>
        <w:t xml:space="preserve">Del total de </w:t>
      </w:r>
      <w:r w:rsidR="00D827B1" w:rsidRPr="000458F8">
        <w:rPr>
          <w:lang w:val="es-ES_tradnl"/>
        </w:rPr>
        <w:t xml:space="preserve">fondos acumulados aprobados de </w:t>
      </w:r>
      <w:r w:rsidR="00C3420C" w:rsidRPr="000458F8">
        <w:rPr>
          <w:lang w:val="es-ES_tradnl"/>
        </w:rPr>
        <w:t>6</w:t>
      </w:r>
      <w:r w:rsidR="00700B97" w:rsidRPr="000458F8">
        <w:rPr>
          <w:lang w:val="es-ES_tradnl"/>
        </w:rPr>
        <w:t> </w:t>
      </w:r>
      <w:r w:rsidR="00C3420C" w:rsidRPr="000458F8">
        <w:rPr>
          <w:lang w:val="es-ES_tradnl"/>
        </w:rPr>
        <w:t>053</w:t>
      </w:r>
      <w:r w:rsidR="00700B97" w:rsidRPr="000458F8">
        <w:rPr>
          <w:lang w:val="es-ES_tradnl"/>
        </w:rPr>
        <w:t> </w:t>
      </w:r>
      <w:r w:rsidR="00C3420C" w:rsidRPr="000458F8">
        <w:rPr>
          <w:lang w:val="es-ES_tradnl"/>
        </w:rPr>
        <w:t>676</w:t>
      </w:r>
      <w:r w:rsidR="00D827B1" w:rsidRPr="000458F8">
        <w:rPr>
          <w:lang w:val="es-ES_tradnl"/>
        </w:rPr>
        <w:t> $EUA</w:t>
      </w:r>
      <w:r w:rsidR="00C3420C" w:rsidRPr="000458F8">
        <w:rPr>
          <w:lang w:val="es-ES_tradnl"/>
        </w:rPr>
        <w:t xml:space="preserve">, </w:t>
      </w:r>
      <w:r w:rsidR="00D827B1" w:rsidRPr="000458F8">
        <w:rPr>
          <w:lang w:val="es-ES_tradnl"/>
        </w:rPr>
        <w:t xml:space="preserve">se han desembolsado </w:t>
      </w:r>
      <w:r w:rsidR="00C3420C" w:rsidRPr="000458F8">
        <w:rPr>
          <w:lang w:val="es-ES_tradnl"/>
        </w:rPr>
        <w:t>4</w:t>
      </w:r>
      <w:r w:rsidR="00700B97" w:rsidRPr="000458F8">
        <w:rPr>
          <w:lang w:val="es-ES_tradnl"/>
        </w:rPr>
        <w:t> </w:t>
      </w:r>
      <w:r w:rsidR="00C3420C" w:rsidRPr="000458F8">
        <w:rPr>
          <w:lang w:val="es-ES_tradnl"/>
        </w:rPr>
        <w:t>933</w:t>
      </w:r>
      <w:r w:rsidR="00700B97" w:rsidRPr="000458F8">
        <w:rPr>
          <w:lang w:val="es-ES_tradnl"/>
        </w:rPr>
        <w:t> </w:t>
      </w:r>
      <w:r w:rsidR="00C3420C" w:rsidRPr="000458F8">
        <w:rPr>
          <w:lang w:val="es-ES_tradnl"/>
        </w:rPr>
        <w:t>728</w:t>
      </w:r>
      <w:r w:rsidR="00D827B1" w:rsidRPr="000458F8">
        <w:rPr>
          <w:lang w:val="es-ES_tradnl"/>
        </w:rPr>
        <w:t> $EUA, lo que representa una tasa de desembolso del 81</w:t>
      </w:r>
      <w:r w:rsidR="005172EB">
        <w:rPr>
          <w:lang w:val="es-ES_tradnl"/>
        </w:rPr>
        <w:t xml:space="preserve"> </w:t>
      </w:r>
      <w:r w:rsidR="00CC3B4D">
        <w:rPr>
          <w:lang w:val="es-ES_tradnl"/>
        </w:rPr>
        <w:t>por ciento</w:t>
      </w:r>
      <w:r w:rsidR="00D827B1" w:rsidRPr="000458F8">
        <w:rPr>
          <w:lang w:val="es-ES_tradnl"/>
        </w:rPr>
        <w:t>.</w:t>
      </w:r>
    </w:p>
    <w:p w14:paraId="32E642BB" w14:textId="77777777" w:rsidR="00D827B1" w:rsidRPr="000458F8" w:rsidRDefault="00D827B1" w:rsidP="00D827B1">
      <w:pPr>
        <w:rPr>
          <w:lang w:val="es-ES_tradnl"/>
        </w:rPr>
      </w:pPr>
    </w:p>
    <w:sectPr w:rsidR="00D827B1" w:rsidRPr="000458F8" w:rsidSect="00B74A66">
      <w:headerReference w:type="even" r:id="rId21"/>
      <w:headerReference w:type="default" r:id="rId22"/>
      <w:headerReference w:type="first" r:id="rId23"/>
      <w:footerReference w:type="first" r:id="rId24"/>
      <w:footnotePr>
        <w:numRestart w:val="eachSect"/>
      </w:footnotePr>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D5AA" w14:textId="77777777" w:rsidR="003D534C" w:rsidRDefault="003D534C">
      <w:r>
        <w:separator/>
      </w:r>
    </w:p>
  </w:endnote>
  <w:endnote w:type="continuationSeparator" w:id="0">
    <w:p w14:paraId="6383B233" w14:textId="77777777" w:rsidR="003D534C" w:rsidRDefault="003D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0237" w14:textId="156ED576" w:rsidR="00110EE4" w:rsidRPr="0033525D" w:rsidRDefault="00110EE4">
    <w:pPr>
      <w:jc w:val="center"/>
    </w:pPr>
    <w:r>
      <w:fldChar w:fldCharType="begin"/>
    </w:r>
    <w:r>
      <w:instrText xml:space="preserve"> PAGE </w:instrText>
    </w:r>
    <w:r>
      <w:fldChar w:fldCharType="separate"/>
    </w:r>
    <w:r w:rsidR="00805BF6">
      <w:rPr>
        <w:noProof/>
      </w:rPr>
      <w:t>4</w:t>
    </w:r>
    <w:r>
      <w:rPr>
        <w:noProof/>
      </w:rPr>
      <w:fldChar w:fldCharType="end"/>
    </w:r>
  </w:p>
  <w:p w14:paraId="2CD7BC04" w14:textId="77777777" w:rsidR="00110EE4" w:rsidRDefault="00110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F693" w14:textId="0AAA9486" w:rsidR="00110EE4" w:rsidRPr="0033525D" w:rsidRDefault="00110EE4">
    <w:pPr>
      <w:jc w:val="center"/>
    </w:pPr>
    <w:r>
      <w:fldChar w:fldCharType="begin"/>
    </w:r>
    <w:r>
      <w:instrText xml:space="preserve"> PAGE </w:instrText>
    </w:r>
    <w:r>
      <w:fldChar w:fldCharType="separate"/>
    </w:r>
    <w:r w:rsidR="00805BF6">
      <w:rPr>
        <w:noProof/>
      </w:rPr>
      <w:t>5</w:t>
    </w:r>
    <w:r>
      <w:rPr>
        <w:noProof/>
      </w:rPr>
      <w:fldChar w:fldCharType="end"/>
    </w:r>
  </w:p>
  <w:p w14:paraId="5AA739D8" w14:textId="77777777" w:rsidR="00110EE4" w:rsidRDefault="00110E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21BC" w14:textId="77777777" w:rsidR="00110EE4" w:rsidRDefault="00110EE4" w:rsidP="00410A07">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8A46" w14:textId="2230A390" w:rsidR="00345118" w:rsidRPr="00405367" w:rsidRDefault="00110EE4">
    <w:pPr>
      <w:jc w:val="center"/>
      <w:rPr>
        <w:lang w:val="es-ES"/>
      </w:rPr>
    </w:pPr>
    <w:r>
      <w:rPr>
        <w:lang w:val="es-ES"/>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615493"/>
      <w:docPartObj>
        <w:docPartGallery w:val="Page Numbers (Bottom of Page)"/>
        <w:docPartUnique/>
      </w:docPartObj>
    </w:sdtPr>
    <w:sdtEndPr>
      <w:rPr>
        <w:noProof/>
      </w:rPr>
    </w:sdtEndPr>
    <w:sdtContent>
      <w:p w14:paraId="3F78CCBC" w14:textId="66A28CD5" w:rsidR="00110EE4" w:rsidRDefault="00110EE4">
        <w:pPr>
          <w:pStyle w:val="Footer"/>
          <w:jc w:val="center"/>
        </w:pPr>
        <w:r>
          <w:fldChar w:fldCharType="begin"/>
        </w:r>
        <w:r>
          <w:instrText xml:space="preserve"> PAGE   \* MERGEFORMAT </w:instrText>
        </w:r>
        <w:r>
          <w:fldChar w:fldCharType="separate"/>
        </w:r>
        <w:r w:rsidR="00805BF6">
          <w:rPr>
            <w:noProof/>
          </w:rPr>
          <w:t>5</w:t>
        </w:r>
        <w:r>
          <w:rPr>
            <w:noProof/>
          </w:rPr>
          <w:fldChar w:fldCharType="end"/>
        </w:r>
      </w:p>
    </w:sdtContent>
  </w:sdt>
  <w:p w14:paraId="77EA8D96" w14:textId="48CB6F47" w:rsidR="00345118" w:rsidRPr="00405367" w:rsidRDefault="00345118">
    <w:pPr>
      <w:jc w:val="center"/>
      <w:rPr>
        <w:lang w:val="es-E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712018"/>
      <w:docPartObj>
        <w:docPartGallery w:val="Page Numbers (Bottom of Page)"/>
        <w:docPartUnique/>
      </w:docPartObj>
    </w:sdtPr>
    <w:sdtEndPr>
      <w:rPr>
        <w:noProof/>
      </w:rPr>
    </w:sdtEndPr>
    <w:sdtContent>
      <w:p w14:paraId="3F5CA517" w14:textId="00B97692" w:rsidR="00345118" w:rsidRDefault="00345118">
        <w:pPr>
          <w:pStyle w:val="Footer"/>
          <w:jc w:val="center"/>
        </w:pPr>
        <w:r>
          <w:fldChar w:fldCharType="begin"/>
        </w:r>
        <w:r>
          <w:instrText xml:space="preserve"> PAGE   \* MERGEFORMAT </w:instrText>
        </w:r>
        <w:r>
          <w:fldChar w:fldCharType="separate"/>
        </w:r>
        <w:r w:rsidR="00805BF6">
          <w:rPr>
            <w:noProof/>
          </w:rPr>
          <w:t>1</w:t>
        </w:r>
        <w:r>
          <w:rPr>
            <w:noProof/>
          </w:rPr>
          <w:fldChar w:fldCharType="end"/>
        </w:r>
      </w:p>
    </w:sdtContent>
  </w:sdt>
  <w:p w14:paraId="603639E5" w14:textId="77777777" w:rsidR="00345118" w:rsidRPr="007E7443" w:rsidRDefault="00345118" w:rsidP="008E3F5E">
    <w:pPr>
      <w:pStyle w:val="Footer"/>
    </w:pPr>
  </w:p>
  <w:p w14:paraId="26C989FA" w14:textId="77777777" w:rsidR="00345118" w:rsidRDefault="0034511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802514"/>
      <w:docPartObj>
        <w:docPartGallery w:val="Page Numbers (Bottom of Page)"/>
        <w:docPartUnique/>
      </w:docPartObj>
    </w:sdtPr>
    <w:sdtEndPr>
      <w:rPr>
        <w:noProof/>
      </w:rPr>
    </w:sdtEndPr>
    <w:sdtContent>
      <w:p w14:paraId="492260AB" w14:textId="18D0DEC0" w:rsidR="00C40B35" w:rsidRDefault="00C40B35">
        <w:pPr>
          <w:pStyle w:val="Footer"/>
          <w:jc w:val="center"/>
        </w:pPr>
        <w:r>
          <w:fldChar w:fldCharType="begin"/>
        </w:r>
        <w:r>
          <w:instrText xml:space="preserve"> PAGE   \* MERGEFORMAT </w:instrText>
        </w:r>
        <w:r>
          <w:fldChar w:fldCharType="separate"/>
        </w:r>
        <w:r w:rsidR="00805BF6">
          <w:rPr>
            <w:noProof/>
          </w:rPr>
          <w:t>1</w:t>
        </w:r>
        <w:r>
          <w:rPr>
            <w:noProof/>
          </w:rPr>
          <w:fldChar w:fldCharType="end"/>
        </w:r>
      </w:p>
    </w:sdtContent>
  </w:sdt>
  <w:p w14:paraId="1C26D5D3" w14:textId="0B9ECEFF" w:rsidR="00110EE4" w:rsidRDefault="00110EE4" w:rsidP="005827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D50D" w14:textId="77777777" w:rsidR="003D534C" w:rsidRDefault="003D534C">
      <w:r>
        <w:separator/>
      </w:r>
    </w:p>
  </w:footnote>
  <w:footnote w:type="continuationSeparator" w:id="0">
    <w:p w14:paraId="1D66AF69" w14:textId="77777777" w:rsidR="003D534C" w:rsidRDefault="003D534C">
      <w:r>
        <w:continuationSeparator/>
      </w:r>
    </w:p>
  </w:footnote>
  <w:footnote w:id="1">
    <w:p w14:paraId="7AEED768" w14:textId="73B37CC4" w:rsidR="00110EE4" w:rsidRPr="00151956" w:rsidRDefault="00110EE4" w:rsidP="008E3F5E">
      <w:pPr>
        <w:pStyle w:val="FootnoteText"/>
        <w:spacing w:after="0"/>
        <w:rPr>
          <w:lang w:val="es-ES"/>
        </w:rPr>
      </w:pPr>
      <w:r w:rsidRPr="00256FD0">
        <w:rPr>
          <w:rStyle w:val="FootnoteReference"/>
          <w:sz w:val="20"/>
          <w:szCs w:val="20"/>
        </w:rPr>
        <w:footnoteRef/>
      </w:r>
      <w:r w:rsidRPr="00151956">
        <w:rPr>
          <w:lang w:val="es-ES"/>
        </w:rPr>
        <w:t xml:space="preserve"> Debido al coronavirus (COVID-19)</w:t>
      </w:r>
    </w:p>
  </w:footnote>
  <w:footnote w:id="2">
    <w:p w14:paraId="4D66601A" w14:textId="00B012A9" w:rsidR="00110EE4" w:rsidRPr="00CD204C" w:rsidRDefault="00110EE4" w:rsidP="00C3420C">
      <w:pPr>
        <w:pStyle w:val="FootnoteText"/>
        <w:spacing w:after="0"/>
        <w:ind w:left="0" w:firstLine="0"/>
        <w:jc w:val="both"/>
        <w:rPr>
          <w:lang w:val="es-ES_tradnl"/>
        </w:rPr>
      </w:pPr>
      <w:r w:rsidRPr="00256FD0">
        <w:rPr>
          <w:rStyle w:val="FootnoteReference"/>
          <w:sz w:val="20"/>
          <w:szCs w:val="20"/>
          <w:lang w:val="en-CA"/>
        </w:rPr>
        <w:footnoteRef/>
      </w:r>
      <w:r w:rsidRPr="00CD204C">
        <w:rPr>
          <w:lang w:val="es-ES"/>
        </w:rPr>
        <w:t xml:space="preserve"> Al presente documento se le adjunta el informe sobre la marcha de las actividades. Los datos correspondientes han sido in</w:t>
      </w:r>
      <w:r>
        <w:rPr>
          <w:lang w:val="es-ES"/>
        </w:rPr>
        <w:t>c</w:t>
      </w:r>
      <w:r w:rsidRPr="00CD204C">
        <w:rPr>
          <w:lang w:val="es-ES"/>
        </w:rPr>
        <w:t>luidos en la base de datos de Informes refundidos sobre la marcha de las actividades, que pueden obtenerse por petición.</w:t>
      </w:r>
    </w:p>
  </w:footnote>
  <w:footnote w:id="3">
    <w:p w14:paraId="4FC916DD" w14:textId="00C72D01" w:rsidR="00110EE4" w:rsidRDefault="00110EE4" w:rsidP="00410A07">
      <w:pPr>
        <w:pStyle w:val="FootnoteText"/>
        <w:spacing w:after="0"/>
        <w:ind w:left="0" w:firstLine="0"/>
        <w:jc w:val="both"/>
        <w:rPr>
          <w:lang w:val="es-ES_tradnl"/>
        </w:rPr>
      </w:pPr>
      <w:r w:rsidRPr="00256FD0">
        <w:rPr>
          <w:rStyle w:val="FootnoteReference"/>
          <w:sz w:val="20"/>
          <w:szCs w:val="20"/>
        </w:rPr>
        <w:footnoteRef/>
      </w:r>
      <w:r w:rsidRPr="005A10D3">
        <w:rPr>
          <w:lang w:val="es-ES_tradnl"/>
        </w:rPr>
        <w:t xml:space="preserve"> De conformidad con la decisión 84/12 a) iv), la medida de los HFC en toneladas métricas </w:t>
      </w:r>
      <w:r>
        <w:rPr>
          <w:lang w:val="es-ES_tradnl"/>
        </w:rPr>
        <w:t>de</w:t>
      </w:r>
      <w:r w:rsidRPr="005A10D3">
        <w:rPr>
          <w:lang w:val="es-ES_tradnl"/>
        </w:rPr>
        <w:t xml:space="preserve"> CO</w:t>
      </w:r>
      <w:r w:rsidRPr="005A10D3">
        <w:rPr>
          <w:vertAlign w:val="subscript"/>
          <w:lang w:val="es-ES_tradnl"/>
        </w:rPr>
        <w:t xml:space="preserve">2 </w:t>
      </w:r>
      <w:r w:rsidRPr="005A10D3">
        <w:rPr>
          <w:lang w:val="es-ES_tradnl"/>
        </w:rPr>
        <w:t>eq</w:t>
      </w:r>
      <w:r>
        <w:rPr>
          <w:lang w:val="es-ES_tradnl"/>
        </w:rPr>
        <w:t>uivalente se incluiría en el informe sobre la marcha de las actividades presentados en la 88ª reunión</w:t>
      </w:r>
      <w:r w:rsidRPr="005A10D3">
        <w:rPr>
          <w:lang w:val="es-ES_tradnl"/>
        </w:rPr>
        <w:t>. Este tema se trata en el informe</w:t>
      </w:r>
      <w:r>
        <w:rPr>
          <w:lang w:val="es-ES_tradnl"/>
        </w:rPr>
        <w:t xml:space="preserve"> refundido sobre la marcha </w:t>
      </w:r>
      <w:r>
        <w:rPr>
          <w:lang w:val="es-ES_tradnl"/>
        </w:rPr>
        <w:t xml:space="preserve">de las actividades </w:t>
      </w:r>
      <w:r w:rsidRPr="005A10D3">
        <w:rPr>
          <w:lang w:val="es-ES_tradnl"/>
        </w:rPr>
        <w:t>(UNEP/OzL.Pro/ExCom/86/15).</w:t>
      </w:r>
    </w:p>
    <w:p w14:paraId="74161D68" w14:textId="77777777" w:rsidR="00DB56CB" w:rsidRDefault="00DB56CB" w:rsidP="00410A07">
      <w:pPr>
        <w:pStyle w:val="FootnoteText"/>
        <w:spacing w:after="0"/>
        <w:ind w:left="0" w:firstLine="0"/>
        <w:jc w:val="both"/>
        <w:rPr>
          <w:sz w:val="18"/>
          <w:szCs w:val="18"/>
          <w:lang w:val="es-ES"/>
        </w:rPr>
      </w:pPr>
    </w:p>
    <w:p w14:paraId="4D2EAFDC" w14:textId="77777777" w:rsidR="00110EE4" w:rsidRPr="00410A07" w:rsidRDefault="00110EE4" w:rsidP="00410A07">
      <w:pPr>
        <w:pStyle w:val="FootnoteText"/>
        <w:spacing w:after="0"/>
        <w:ind w:left="0" w:firstLine="720"/>
        <w:jc w:val="both"/>
        <w:rPr>
          <w:lang w:val="es-ES"/>
        </w:rPr>
      </w:pPr>
    </w:p>
  </w:footnote>
  <w:footnote w:id="4">
    <w:p w14:paraId="69C802A9" w14:textId="11FB17F0" w:rsidR="00110EE4" w:rsidRPr="00624BFB" w:rsidRDefault="00110EE4" w:rsidP="00CC3B4D">
      <w:pPr>
        <w:pStyle w:val="FootnoteText"/>
        <w:spacing w:after="0"/>
        <w:ind w:left="0" w:firstLine="0"/>
        <w:contextualSpacing/>
        <w:jc w:val="both"/>
        <w:rPr>
          <w:lang w:val="es-ES"/>
        </w:rPr>
      </w:pPr>
      <w:r w:rsidRPr="00256FD0">
        <w:rPr>
          <w:rStyle w:val="FootnoteReference"/>
          <w:sz w:val="20"/>
          <w:szCs w:val="20"/>
          <w:lang w:val="en-GB"/>
        </w:rPr>
        <w:footnoteRef/>
      </w:r>
      <w:r w:rsidRPr="00624BFB">
        <w:rPr>
          <w:lang w:val="es-ES"/>
        </w:rPr>
        <w:t xml:space="preserve"> </w:t>
      </w:r>
      <w:r w:rsidRPr="00624BFB">
        <w:rPr>
          <w:lang w:val="es-ES"/>
        </w:rPr>
        <w:t>Se entiende por proyectos en curso todos aquellos que se encuentran en curso de ejecución al 31 de diciembre de</w:t>
      </w:r>
      <w:r>
        <w:rPr>
          <w:lang w:val="es-ES"/>
        </w:rPr>
        <w:t xml:space="preserve"> </w:t>
      </w:r>
      <w:r w:rsidRPr="00624BFB">
        <w:rPr>
          <w:lang w:val="es-ES"/>
        </w:rPr>
        <w:t>201</w:t>
      </w:r>
      <w:r>
        <w:rPr>
          <w:lang w:val="es-ES"/>
        </w:rPr>
        <w:t>9</w:t>
      </w:r>
      <w:r w:rsidRPr="00624BFB">
        <w:rPr>
          <w:lang w:val="es-ES"/>
        </w:rPr>
        <w:t>. Los indicadores clave de la marcha de las actividades incluyen: el porcentaje de fondos desembolsados y el</w:t>
      </w:r>
      <w:r>
        <w:rPr>
          <w:lang w:val="es-ES"/>
        </w:rPr>
        <w:t xml:space="preserve"> </w:t>
      </w:r>
      <w:r w:rsidRPr="00624BFB">
        <w:rPr>
          <w:lang w:val="es-ES"/>
        </w:rPr>
        <w:t>de proyectos que han comenzado a desembolsar de los fondos; la financiación que se prevé desembolsar para finales del año como porcentaje de la financiación aprobada; la duración media de la demora en la ejecución de los proyectos; y la información provista en la columna de observación de la base de datos de informes sobre la marcha de las actividades.</w:t>
      </w:r>
    </w:p>
  </w:footnote>
  <w:footnote w:id="5">
    <w:p w14:paraId="391AF313" w14:textId="7E362711" w:rsidR="00110EE4" w:rsidRPr="000E1A61" w:rsidRDefault="00110EE4" w:rsidP="00C3420C">
      <w:pPr>
        <w:pStyle w:val="FootnoteText"/>
        <w:spacing w:after="0"/>
        <w:ind w:left="0" w:firstLine="0"/>
        <w:jc w:val="both"/>
        <w:rPr>
          <w:lang w:val="es-ES"/>
        </w:rPr>
      </w:pPr>
      <w:r w:rsidRPr="00256FD0">
        <w:rPr>
          <w:rStyle w:val="FootnoteReference"/>
          <w:sz w:val="20"/>
          <w:szCs w:val="20"/>
        </w:rPr>
        <w:footnoteRef/>
      </w:r>
      <w:r>
        <w:rPr>
          <w:lang w:val="es-ES"/>
        </w:rPr>
        <w:t xml:space="preserve"> </w:t>
      </w:r>
      <w:r w:rsidRPr="000E1A61">
        <w:rPr>
          <w:lang w:val="es-ES"/>
        </w:rPr>
        <w:t>De conformidad con la decisión 84/12 b), en el informe refundido sobre la marcha de las actividades (UNEP/OzL.Pro/ExCom/86/15)</w:t>
      </w:r>
      <w:r>
        <w:rPr>
          <w:lang w:val="es-ES"/>
        </w:rPr>
        <w:t xml:space="preserve"> </w:t>
      </w:r>
      <w:r w:rsidRPr="000E1A61">
        <w:rPr>
          <w:lang w:val="es-ES"/>
        </w:rPr>
        <w:t xml:space="preserve">figura un informe detallado </w:t>
      </w:r>
      <w:r>
        <w:rPr>
          <w:lang w:val="es-ES"/>
        </w:rPr>
        <w:t xml:space="preserve">sobre la marcha de las actividades </w:t>
      </w:r>
      <w:r w:rsidRPr="000E1A61">
        <w:rPr>
          <w:lang w:val="es-ES"/>
        </w:rPr>
        <w:t>que ofrece un</w:t>
      </w:r>
      <w:r>
        <w:rPr>
          <w:lang w:val="es-ES"/>
        </w:rPr>
        <w:t xml:space="preserve"> </w:t>
      </w:r>
      <w:r w:rsidRPr="000E1A61">
        <w:rPr>
          <w:lang w:val="es-ES"/>
        </w:rPr>
        <w:t>panorama general de los objetivos, el estado de ejecución, principales resultados y enseñanzas, l</w:t>
      </w:r>
      <w:r>
        <w:rPr>
          <w:lang w:val="es-ES"/>
        </w:rPr>
        <w:t>as cantidades de HFC eliminados, cuando proceda</w:t>
      </w:r>
      <w:r w:rsidRPr="000E1A61">
        <w:rPr>
          <w:lang w:val="es-ES"/>
        </w:rPr>
        <w:t xml:space="preserve">, </w:t>
      </w:r>
      <w:r>
        <w:rPr>
          <w:lang w:val="es-ES"/>
        </w:rPr>
        <w:t>el nivel de fondos aprobados y desembolsados y las posibles dificultades para llevar a cabo proyectos y actividades.</w:t>
      </w:r>
    </w:p>
  </w:footnote>
  <w:footnote w:id="6">
    <w:p w14:paraId="60AC3B23" w14:textId="5CAE96BD" w:rsidR="00110EE4" w:rsidRPr="00B45BCC" w:rsidRDefault="00110EE4" w:rsidP="00B45BCC">
      <w:pPr>
        <w:pStyle w:val="FootnoteText"/>
        <w:spacing w:after="0"/>
        <w:ind w:left="0" w:firstLine="0"/>
        <w:jc w:val="both"/>
        <w:rPr>
          <w:lang w:val="es-ES"/>
        </w:rPr>
      </w:pPr>
      <w:r w:rsidRPr="00256FD0">
        <w:rPr>
          <w:rStyle w:val="FootnoteReference"/>
          <w:sz w:val="20"/>
          <w:szCs w:val="20"/>
        </w:rPr>
        <w:footnoteRef/>
      </w:r>
      <w:r w:rsidRPr="00B45BCC">
        <w:rPr>
          <w:lang w:val="es-ES"/>
        </w:rPr>
        <w:t xml:space="preserve"> La eliminación incluye aprobaciones para proyectos de inversión relacionados con los HFC de 142,8 tm</w:t>
      </w:r>
      <w:r>
        <w:rPr>
          <w:lang w:val="es-ES"/>
        </w:rPr>
        <w:t xml:space="preserve"> </w:t>
      </w:r>
      <w:r w:rsidRPr="00B45BCC">
        <w:rPr>
          <w:lang w:val="es-ES"/>
        </w:rPr>
        <w:t>(204</w:t>
      </w:r>
      <w:r>
        <w:rPr>
          <w:lang w:val="es-ES"/>
        </w:rPr>
        <w:t> </w:t>
      </w:r>
      <w:r w:rsidRPr="00B45BCC">
        <w:rPr>
          <w:lang w:val="es-ES"/>
        </w:rPr>
        <w:t>332</w:t>
      </w:r>
      <w:r>
        <w:rPr>
          <w:lang w:val="es-ES"/>
        </w:rPr>
        <w:t xml:space="preserve"> tm de </w:t>
      </w:r>
      <w:r w:rsidRPr="00B45BCC">
        <w:rPr>
          <w:lang w:val="es-ES"/>
        </w:rPr>
        <w:t>CO</w:t>
      </w:r>
      <w:r w:rsidRPr="00B45BCC">
        <w:rPr>
          <w:vertAlign w:val="subscript"/>
          <w:lang w:val="es-ES"/>
        </w:rPr>
        <w:t>2</w:t>
      </w:r>
      <w:r>
        <w:rPr>
          <w:vertAlign w:val="subscript"/>
          <w:lang w:val="es-ES"/>
        </w:rPr>
        <w:t xml:space="preserve"> </w:t>
      </w:r>
      <w:r w:rsidRPr="00B45BCC">
        <w:rPr>
          <w:lang w:val="es-ES"/>
        </w:rPr>
        <w:t>eq</w:t>
      </w:r>
      <w:r>
        <w:rPr>
          <w:lang w:val="es-ES"/>
        </w:rPr>
        <w:t>uivalente)</w:t>
      </w:r>
      <w:r w:rsidRPr="00B45BCC">
        <w:rPr>
          <w:lang w:val="es-ES"/>
        </w:rPr>
        <w:t>.</w:t>
      </w:r>
    </w:p>
  </w:footnote>
  <w:footnote w:id="7">
    <w:p w14:paraId="233819A1" w14:textId="13460B45" w:rsidR="00110EE4" w:rsidRPr="007F4081" w:rsidRDefault="00110EE4" w:rsidP="007F4081">
      <w:pPr>
        <w:pStyle w:val="FootnoteText"/>
        <w:spacing w:after="0"/>
        <w:ind w:left="0" w:firstLine="0"/>
        <w:jc w:val="both"/>
        <w:rPr>
          <w:lang w:val="es-ES"/>
        </w:rPr>
      </w:pPr>
      <w:r w:rsidRPr="00256FD0">
        <w:rPr>
          <w:rStyle w:val="FootnoteReference"/>
          <w:sz w:val="20"/>
          <w:szCs w:val="20"/>
        </w:rPr>
        <w:footnoteRef/>
      </w:r>
      <w:r w:rsidRPr="007F4081">
        <w:rPr>
          <w:lang w:val="es-ES"/>
        </w:rPr>
        <w:t xml:space="preserve"> Incluye las 142,8 tm de los proyectos de inversión en HFC.</w:t>
      </w:r>
    </w:p>
  </w:footnote>
  <w:footnote w:id="8">
    <w:p w14:paraId="67E81FCF" w14:textId="3C871397" w:rsidR="00110EE4" w:rsidRPr="008F72DE" w:rsidRDefault="00110EE4" w:rsidP="00C3420C">
      <w:pPr>
        <w:pStyle w:val="FootnoteText"/>
        <w:spacing w:after="0"/>
        <w:ind w:left="0" w:firstLine="0"/>
        <w:jc w:val="both"/>
        <w:rPr>
          <w:lang w:val="es-ES"/>
        </w:rPr>
      </w:pPr>
      <w:r w:rsidRPr="00256FD0">
        <w:rPr>
          <w:rStyle w:val="FootnoteReference"/>
          <w:sz w:val="20"/>
          <w:szCs w:val="20"/>
          <w:lang w:val="en-CA"/>
        </w:rPr>
        <w:footnoteRef/>
      </w:r>
      <w:r w:rsidRPr="008F72DE">
        <w:rPr>
          <w:lang w:val="es-ES"/>
        </w:rPr>
        <w:t xml:space="preserve"> </w:t>
      </w:r>
      <w:bookmarkStart w:id="0" w:name="_Hlk55573899"/>
      <w:r w:rsidRPr="008F72DE">
        <w:rPr>
          <w:lang w:val="es-ES"/>
        </w:rPr>
        <w:t>Ese valor más alto de la eficacia en función de los costos en el caso de los proyectos en curso obedece en gran medida a los valores PAO más bajos de los HCFC y también debido a la manera en que los organismos asignan la eliminación.</w:t>
      </w:r>
    </w:p>
    <w:bookmarkEnd w:id="0"/>
  </w:footnote>
  <w:footnote w:id="9">
    <w:p w14:paraId="32F4CBAE" w14:textId="24558895" w:rsidR="00110EE4" w:rsidRPr="00394A6B" w:rsidRDefault="00110EE4" w:rsidP="007F4081">
      <w:pPr>
        <w:pStyle w:val="FootnoteText"/>
        <w:spacing w:after="0"/>
        <w:ind w:left="0" w:firstLine="0"/>
        <w:jc w:val="both"/>
        <w:rPr>
          <w:lang w:val="es-ES"/>
        </w:rPr>
      </w:pPr>
      <w:r w:rsidRPr="00256FD0">
        <w:rPr>
          <w:rStyle w:val="FootnoteReference"/>
          <w:sz w:val="20"/>
          <w:szCs w:val="20"/>
          <w:lang w:val="en-CA"/>
        </w:rPr>
        <w:footnoteRef/>
      </w:r>
      <w:r w:rsidRPr="00394A6B">
        <w:rPr>
          <w:lang w:val="es-ES"/>
        </w:rPr>
        <w:t xml:space="preserve"> Los p</w:t>
      </w:r>
      <w:r>
        <w:rPr>
          <w:lang w:val="es-ES"/>
        </w:rPr>
        <w:t xml:space="preserve">royectos </w:t>
      </w:r>
      <w:r w:rsidRPr="00394A6B">
        <w:rPr>
          <w:lang w:val="es-ES"/>
        </w:rPr>
        <w:t>con una data de aprobación superior a 18 m</w:t>
      </w:r>
      <w:r w:rsidR="005172EB">
        <w:rPr>
          <w:lang w:val="es-ES"/>
        </w:rPr>
        <w:t>eses y un desembolso menor al 1 por ciento</w:t>
      </w:r>
      <w:r w:rsidRPr="00394A6B">
        <w:rPr>
          <w:lang w:val="es-ES"/>
        </w:rPr>
        <w:t>, así como aquellos con un retraso de 12 meses respecto del plazo de cierre contemplado en el último informe sobre la marcha de las actividades (decisión 22/61) (</w:t>
      </w:r>
      <w:r>
        <w:rPr>
          <w:lang w:val="es-ES"/>
        </w:rPr>
        <w:t>dado que los proyectos de demostración, la preparación de proyectos y el fortalecimiento institucional no son objeto de dichos procedimientos</w:t>
      </w:r>
      <w:r w:rsidRPr="00394A6B">
        <w:rPr>
          <w:lang w:val="es-ES"/>
        </w:rPr>
        <w:t xml:space="preserve">). </w:t>
      </w:r>
    </w:p>
  </w:footnote>
  <w:footnote w:id="10">
    <w:p w14:paraId="12F962C6"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UNEP/OzL.Pro/ExCom/86/38</w:t>
      </w:r>
    </w:p>
  </w:footnote>
  <w:footnote w:id="11">
    <w:p w14:paraId="044EF583"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UNEP/OzL.Pro/ExCom/86/41</w:t>
      </w:r>
    </w:p>
  </w:footnote>
  <w:footnote w:id="12">
    <w:p w14:paraId="642D632D"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UNEP/OzL.Pro/ExCom/86/42</w:t>
      </w:r>
    </w:p>
  </w:footnote>
  <w:footnote w:id="13">
    <w:p w14:paraId="3C42A537"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UNEP/OzL.Pro/ExCom/86/45</w:t>
      </w:r>
    </w:p>
  </w:footnote>
  <w:footnote w:id="14">
    <w:p w14:paraId="63C91016"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UNEP/OzL.Pro/ExCom/86/46</w:t>
      </w:r>
    </w:p>
  </w:footnote>
  <w:footnote w:id="15">
    <w:p w14:paraId="337B056B"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UNEP/OzL.Pro/ExCom/86/48</w:t>
      </w:r>
    </w:p>
  </w:footnote>
  <w:footnote w:id="16">
    <w:p w14:paraId="118BA327"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w:t>
      </w:r>
      <w:r w:rsidRPr="00216D62">
        <w:rPr>
          <w:lang w:val="es-ES"/>
        </w:rPr>
        <w:t>UNEP/OzL.Pro/ExCom/86/49</w:t>
      </w:r>
    </w:p>
  </w:footnote>
  <w:footnote w:id="17">
    <w:p w14:paraId="34FEDB5F"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UNEP/OzL.Pro/ExCom/86/50</w:t>
      </w:r>
    </w:p>
  </w:footnote>
  <w:footnote w:id="18">
    <w:p w14:paraId="30329AF0"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UNEP/OzL.Pro/ExCom/86/54</w:t>
      </w:r>
    </w:p>
  </w:footnote>
  <w:footnote w:id="19">
    <w:p w14:paraId="206EB158"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UNEP/OzL.Pro/ExCom/86/55</w:t>
      </w:r>
    </w:p>
  </w:footnote>
  <w:footnote w:id="20">
    <w:p w14:paraId="519653BC"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UNEP/OzL.Pro/ExCom/86/56</w:t>
      </w:r>
    </w:p>
  </w:footnote>
  <w:footnote w:id="21">
    <w:p w14:paraId="0F173A2D"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UNEP/OzL.Pro/ExCom/86/59</w:t>
      </w:r>
    </w:p>
  </w:footnote>
  <w:footnote w:id="22">
    <w:p w14:paraId="091F92E3"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UNEP/OzL.Pro/ExCom/86/63</w:t>
      </w:r>
    </w:p>
  </w:footnote>
  <w:footnote w:id="23">
    <w:p w14:paraId="1B52CD55"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w:t>
      </w:r>
      <w:r w:rsidRPr="00216D62">
        <w:rPr>
          <w:lang w:val="es-ES"/>
        </w:rPr>
        <w:t>UNEP/OzL.Pro/ExCom/86/68</w:t>
      </w:r>
    </w:p>
  </w:footnote>
  <w:footnote w:id="24">
    <w:p w14:paraId="529BF890"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UNEP/OzL.Pro/ExCom/86/69</w:t>
      </w:r>
    </w:p>
  </w:footnote>
  <w:footnote w:id="25">
    <w:p w14:paraId="449B9F7A"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UNEP/OzL.Pro/ExCom/86/71</w:t>
      </w:r>
    </w:p>
  </w:footnote>
  <w:footnote w:id="26">
    <w:p w14:paraId="2141EC21" w14:textId="77777777" w:rsidR="00110EE4" w:rsidRPr="00216D62" w:rsidRDefault="00110EE4" w:rsidP="00C3420C">
      <w:pPr>
        <w:pStyle w:val="FootnoteText"/>
        <w:spacing w:after="0"/>
        <w:ind w:left="431" w:hanging="431"/>
        <w:rPr>
          <w:lang w:val="es-ES"/>
        </w:rPr>
      </w:pPr>
      <w:r w:rsidRPr="00256FD0">
        <w:rPr>
          <w:rStyle w:val="FootnoteReference"/>
          <w:sz w:val="20"/>
          <w:szCs w:val="20"/>
        </w:rPr>
        <w:footnoteRef/>
      </w:r>
      <w:r w:rsidRPr="00216D62">
        <w:rPr>
          <w:lang w:val="es-ES"/>
        </w:rPr>
        <w:t xml:space="preserve"> UNEP/OzL.Pro/ExCom/86/74</w:t>
      </w:r>
    </w:p>
  </w:footnote>
  <w:footnote w:id="27">
    <w:p w14:paraId="790C7B89"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UNEP/OzL.Pro/ExCom/86/77</w:t>
      </w:r>
    </w:p>
  </w:footnote>
  <w:footnote w:id="28">
    <w:p w14:paraId="6EEC36E5"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UNEP/OzL.Pro/ExCom/86/80</w:t>
      </w:r>
    </w:p>
  </w:footnote>
  <w:footnote w:id="29">
    <w:p w14:paraId="7702E068" w14:textId="77777777" w:rsidR="00110EE4" w:rsidRPr="00216D62" w:rsidRDefault="00110EE4" w:rsidP="00C3420C">
      <w:pPr>
        <w:pStyle w:val="FootnoteText"/>
        <w:spacing w:after="0"/>
        <w:rPr>
          <w:lang w:val="es-ES"/>
        </w:rPr>
      </w:pPr>
      <w:r w:rsidRPr="00256FD0">
        <w:rPr>
          <w:rStyle w:val="FootnoteReference"/>
          <w:sz w:val="20"/>
          <w:szCs w:val="20"/>
        </w:rPr>
        <w:footnoteRef/>
      </w:r>
      <w:r w:rsidRPr="00216D62">
        <w:rPr>
          <w:lang w:val="es-ES"/>
        </w:rPr>
        <w:t xml:space="preserve"> </w:t>
      </w:r>
      <w:r w:rsidRPr="00216D62">
        <w:rPr>
          <w:lang w:val="es-ES"/>
        </w:rPr>
        <w:t>UNEP/OzL.Pro/ExCom/86/21</w:t>
      </w:r>
    </w:p>
  </w:footnote>
  <w:footnote w:id="30">
    <w:p w14:paraId="4467E14E" w14:textId="77777777" w:rsidR="00110EE4" w:rsidRPr="00256FD0" w:rsidRDefault="00110EE4" w:rsidP="00C3420C">
      <w:pPr>
        <w:pStyle w:val="FootnoteText"/>
        <w:spacing w:after="0"/>
        <w:rPr>
          <w:lang w:val="en-CA"/>
        </w:rPr>
      </w:pPr>
      <w:r w:rsidRPr="00256FD0">
        <w:rPr>
          <w:rStyle w:val="FootnoteReference"/>
          <w:sz w:val="20"/>
          <w:szCs w:val="20"/>
        </w:rPr>
        <w:footnoteRef/>
      </w:r>
      <w:r w:rsidRPr="00256FD0">
        <w:t xml:space="preserve"> </w:t>
      </w:r>
      <w:r w:rsidRPr="00256FD0">
        <w:rPr>
          <w:lang w:val="en-CA"/>
        </w:rPr>
        <w:t>UNEP/</w:t>
      </w:r>
      <w:proofErr w:type="spellStart"/>
      <w:r w:rsidRPr="00256FD0">
        <w:rPr>
          <w:lang w:val="en-CA"/>
        </w:rPr>
        <w:t>OzL.Pro</w:t>
      </w:r>
      <w:proofErr w:type="spellEnd"/>
      <w:r w:rsidRPr="00256FD0">
        <w:rPr>
          <w:lang w:val="en-CA"/>
        </w:rPr>
        <w:t>/ExCom/86/21/Add.1</w:t>
      </w:r>
    </w:p>
  </w:footnote>
  <w:footnote w:id="31">
    <w:p w14:paraId="603B39FC" w14:textId="77777777" w:rsidR="00110EE4" w:rsidRPr="00110EE4" w:rsidRDefault="00110EE4" w:rsidP="00C3420C">
      <w:pPr>
        <w:pStyle w:val="FootnoteText"/>
        <w:spacing w:after="0"/>
        <w:rPr>
          <w:lang w:val="es-ES"/>
        </w:rPr>
      </w:pPr>
      <w:r w:rsidRPr="00256FD0">
        <w:rPr>
          <w:rStyle w:val="FootnoteReference"/>
          <w:sz w:val="20"/>
          <w:szCs w:val="20"/>
        </w:rPr>
        <w:footnoteRef/>
      </w:r>
      <w:r w:rsidRPr="00110EE4">
        <w:rPr>
          <w:lang w:val="es-ES"/>
        </w:rPr>
        <w:t xml:space="preserve"> UNEP/OzL.Pro/ExCom/86/24</w:t>
      </w:r>
    </w:p>
  </w:footnote>
  <w:footnote w:id="32">
    <w:p w14:paraId="5B2C71C8" w14:textId="17FC9B69" w:rsidR="00110EE4" w:rsidRPr="003C5179" w:rsidRDefault="00110EE4" w:rsidP="00C3420C">
      <w:pPr>
        <w:pStyle w:val="FootnoteText"/>
        <w:spacing w:after="0"/>
        <w:ind w:left="0" w:firstLine="0"/>
        <w:jc w:val="both"/>
        <w:rPr>
          <w:lang w:val="es-ES"/>
        </w:rPr>
      </w:pPr>
      <w:r w:rsidRPr="00256FD0">
        <w:rPr>
          <w:rStyle w:val="FootnoteReference"/>
          <w:sz w:val="20"/>
          <w:szCs w:val="20"/>
          <w:lang w:val="en-CA"/>
        </w:rPr>
        <w:footnoteRef/>
      </w:r>
      <w:r w:rsidRPr="003C5179">
        <w:rPr>
          <w:lang w:val="es-ES"/>
        </w:rPr>
        <w:t xml:space="preserve"> Los datos se presentan según el año en que el Comité Ejecutivo aprobó el proyecto. Todos los aprobados (proyectos de inversión y no relacionados con inversiones) se tratan de la misma manera (es decir, un proyecto de inversión o un tramo de financiación de un acuerdo plurianual de 1 millón de $EUA se considera un proyecto, igual que la preparación de un programa de país de 30.000 $EUA). Los principales indicadores del resumen anual son: el porcentaje de proyectos terminados, las SAO eliminadas y el porcentaje de fondos desembolsado. Hay tres tipos de desembolso: durante la ejecución, después de la ejecución y proyectos financiados con carácter retroactivo.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DB73" w14:textId="5B9BAF84" w:rsidR="00110EE4" w:rsidRPr="0033525D" w:rsidRDefault="005172EB" w:rsidP="008E3F5E">
    <w:r>
      <w:fldChar w:fldCharType="begin"/>
    </w:r>
    <w:r>
      <w:instrText xml:space="preserve"> DOCPROPERTY "Document number"  \* MERGEFORMAT </w:instrText>
    </w:r>
    <w:r>
      <w:fldChar w:fldCharType="separate"/>
    </w:r>
    <w:r>
      <w:t>UNEP/</w:t>
    </w:r>
    <w:proofErr w:type="spellStart"/>
    <w:r>
      <w:t>OzL.Pro</w:t>
    </w:r>
    <w:proofErr w:type="spellEnd"/>
    <w:r>
      <w:t>/ExCom/86/17</w:t>
    </w:r>
    <w:r>
      <w:fldChar w:fldCharType="end"/>
    </w:r>
  </w:p>
  <w:p w14:paraId="0890A3CC" w14:textId="77777777" w:rsidR="00110EE4" w:rsidRPr="0033525D" w:rsidRDefault="00110EE4"/>
  <w:p w14:paraId="2FE8747F" w14:textId="77777777" w:rsidR="00110EE4" w:rsidRPr="0033525D" w:rsidRDefault="00110E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7074" w14:textId="4D68025E" w:rsidR="00110EE4" w:rsidRPr="0033525D" w:rsidRDefault="005172EB" w:rsidP="008E3F5E">
    <w:pPr>
      <w:jc w:val="right"/>
    </w:pPr>
    <w:r>
      <w:fldChar w:fldCharType="begin"/>
    </w:r>
    <w:r>
      <w:instrText xml:space="preserve"> DOCPROPERTY "Document number"  \* MERGEFORMAT </w:instrText>
    </w:r>
    <w:r>
      <w:fldChar w:fldCharType="separate"/>
    </w:r>
    <w:r>
      <w:t>UNEP/</w:t>
    </w:r>
    <w:proofErr w:type="spellStart"/>
    <w:r>
      <w:t>OzL.Pro</w:t>
    </w:r>
    <w:proofErr w:type="spellEnd"/>
    <w:r>
      <w:t>/ExCom/86/17</w:t>
    </w:r>
    <w:r>
      <w:fldChar w:fldCharType="end"/>
    </w:r>
  </w:p>
  <w:p w14:paraId="3A7D04A2" w14:textId="77777777" w:rsidR="00110EE4" w:rsidRPr="0033525D" w:rsidRDefault="00110EE4"/>
  <w:p w14:paraId="6927834E" w14:textId="77777777" w:rsidR="00110EE4" w:rsidRPr="0033525D" w:rsidRDefault="00110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3823" w14:textId="66CDCF54" w:rsidR="00345118" w:rsidRDefault="00611C34" w:rsidP="00B74A66">
    <w:pPr>
      <w:jc w:val="left"/>
    </w:pPr>
    <w:r>
      <w:fldChar w:fldCharType="begin"/>
    </w:r>
    <w:r>
      <w:instrText xml:space="preserve"> DOCPROPERTY "Document number"  \* MERGEFORMAT </w:instrText>
    </w:r>
    <w:r>
      <w:fldChar w:fldCharType="separate"/>
    </w:r>
    <w:r w:rsidR="00215AD9">
      <w:t>UNEP/</w:t>
    </w:r>
    <w:proofErr w:type="spellStart"/>
    <w:r w:rsidR="00215AD9">
      <w:t>OzL.Pro</w:t>
    </w:r>
    <w:proofErr w:type="spellEnd"/>
    <w:r w:rsidR="00215AD9">
      <w:t>/ExCom/86/1</w:t>
    </w:r>
    <w:r>
      <w:fldChar w:fldCharType="end"/>
    </w:r>
    <w:r w:rsidR="00215AD9">
      <w:t>7</w:t>
    </w:r>
  </w:p>
  <w:p w14:paraId="0EEA8A2F" w14:textId="663DA713" w:rsidR="00345118" w:rsidRPr="0033525D" w:rsidRDefault="00345118" w:rsidP="00B74A66">
    <w:pPr>
      <w:jc w:val="left"/>
    </w:pPr>
    <w:r>
      <w:t>Anexo II</w:t>
    </w:r>
  </w:p>
  <w:p w14:paraId="330618D8" w14:textId="6C13041D" w:rsidR="00345118" w:rsidRPr="0033525D" w:rsidRDefault="003451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5D07" w14:textId="3E6B84CE" w:rsidR="00345118" w:rsidRDefault="00611C34" w:rsidP="00B74A66">
    <w:pPr>
      <w:jc w:val="right"/>
    </w:pPr>
    <w:r>
      <w:fldChar w:fldCharType="begin"/>
    </w:r>
    <w:r>
      <w:instrText xml:space="preserve"> DOCPROPERTY "Document number"  \* MERGEFORMAT </w:instrText>
    </w:r>
    <w:r>
      <w:fldChar w:fldCharType="separate"/>
    </w:r>
    <w:r w:rsidR="00215AD9">
      <w:t>UNEP/</w:t>
    </w:r>
    <w:proofErr w:type="spellStart"/>
    <w:r w:rsidR="00215AD9">
      <w:t>OzL.Pro</w:t>
    </w:r>
    <w:proofErr w:type="spellEnd"/>
    <w:r w:rsidR="00215AD9">
      <w:t>/ExCom/86/1</w:t>
    </w:r>
    <w:r>
      <w:fldChar w:fldCharType="end"/>
    </w:r>
    <w:r w:rsidR="00BF3B35">
      <w:t>7</w:t>
    </w:r>
  </w:p>
  <w:p w14:paraId="24D0A9D7" w14:textId="695B14E6" w:rsidR="00345118" w:rsidRPr="0033525D" w:rsidRDefault="00345118" w:rsidP="00B74A66">
    <w:pPr>
      <w:jc w:val="right"/>
    </w:pPr>
    <w:r>
      <w:t>Anexo II</w:t>
    </w:r>
  </w:p>
  <w:p w14:paraId="74105DD7" w14:textId="77777777" w:rsidR="00345118" w:rsidRDefault="00345118">
    <w:pPr>
      <w:pStyle w:val="Header"/>
    </w:pPr>
  </w:p>
  <w:p w14:paraId="32ECFEE9" w14:textId="77777777" w:rsidR="00345118" w:rsidRPr="0033525D" w:rsidRDefault="003451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9700" w14:textId="3DBFEDDD" w:rsidR="00345118" w:rsidRPr="0033525D" w:rsidRDefault="00611C34" w:rsidP="008E3F5E">
    <w:pPr>
      <w:jc w:val="right"/>
    </w:pPr>
    <w:r>
      <w:fldChar w:fldCharType="begin"/>
    </w:r>
    <w:r>
      <w:instrText xml:space="preserve"> DOCPROPERTY "Document number"  \* MERGEFORMAT </w:instrText>
    </w:r>
    <w:r>
      <w:fldChar w:fldCharType="separate"/>
    </w:r>
    <w:r w:rsidR="005172EB">
      <w:t>UNEP/</w:t>
    </w:r>
    <w:proofErr w:type="spellStart"/>
    <w:r w:rsidR="005172EB">
      <w:t>OzL.Pro</w:t>
    </w:r>
    <w:proofErr w:type="spellEnd"/>
    <w:r w:rsidR="005172EB">
      <w:t>/ExCom/86/17</w:t>
    </w:r>
    <w:r>
      <w:fldChar w:fldCharType="end"/>
    </w:r>
  </w:p>
  <w:p w14:paraId="126AAC73" w14:textId="387CAA7D" w:rsidR="00345118" w:rsidRDefault="00345118" w:rsidP="008E3F5E">
    <w:pPr>
      <w:pStyle w:val="Header"/>
      <w:jc w:val="right"/>
    </w:pPr>
    <w:r>
      <w:t>Anexo I</w:t>
    </w:r>
  </w:p>
  <w:p w14:paraId="5F7526F6" w14:textId="6B46E426" w:rsidR="00345118" w:rsidRDefault="003451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8521" w14:textId="00B85074" w:rsidR="005172EB" w:rsidRDefault="005172EB" w:rsidP="00B74A66">
    <w:pPr>
      <w:jc w:val="left"/>
    </w:pPr>
    <w:r>
      <w:fldChar w:fldCharType="begin"/>
    </w:r>
    <w:r>
      <w:instrText xml:space="preserve"> DOCPROPERTY "Document number"  \* MERGEFORMAT </w:instrText>
    </w:r>
    <w:r>
      <w:fldChar w:fldCharType="separate"/>
    </w:r>
    <w:r>
      <w:t>UNEP/</w:t>
    </w:r>
    <w:proofErr w:type="spellStart"/>
    <w:r>
      <w:t>OzL.Pro</w:t>
    </w:r>
    <w:proofErr w:type="spellEnd"/>
    <w:r>
      <w:t>/ExCom/86/17</w:t>
    </w:r>
    <w:r>
      <w:fldChar w:fldCharType="end"/>
    </w:r>
  </w:p>
  <w:p w14:paraId="57031E06" w14:textId="77777777" w:rsidR="005172EB" w:rsidRPr="0033525D" w:rsidRDefault="005172EB" w:rsidP="00B74A66">
    <w:pPr>
      <w:jc w:val="left"/>
    </w:pPr>
    <w:r>
      <w:t>Anexo II</w:t>
    </w:r>
  </w:p>
  <w:p w14:paraId="2DA3C09F" w14:textId="77777777" w:rsidR="005172EB" w:rsidRPr="0033525D" w:rsidRDefault="005172E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CA2F" w14:textId="6DE69382" w:rsidR="005172EB" w:rsidRDefault="005172EB" w:rsidP="00B74A66">
    <w:pPr>
      <w:jc w:val="right"/>
    </w:pPr>
    <w:r>
      <w:fldChar w:fldCharType="begin"/>
    </w:r>
    <w:r>
      <w:instrText xml:space="preserve"> DOCPROPERTY "Document number"  \* MERGEFORMAT </w:instrText>
    </w:r>
    <w:r>
      <w:fldChar w:fldCharType="separate"/>
    </w:r>
    <w:r>
      <w:t>UNEP/</w:t>
    </w:r>
    <w:proofErr w:type="spellStart"/>
    <w:r>
      <w:t>OzL.Pro</w:t>
    </w:r>
    <w:proofErr w:type="spellEnd"/>
    <w:r>
      <w:t>/ExCom/86/17</w:t>
    </w:r>
    <w:r>
      <w:fldChar w:fldCharType="end"/>
    </w:r>
  </w:p>
  <w:p w14:paraId="25267908" w14:textId="6A62A191" w:rsidR="005172EB" w:rsidRDefault="005172EB" w:rsidP="005172EB">
    <w:pPr>
      <w:jc w:val="right"/>
    </w:pPr>
    <w:r>
      <w:t>Anexo II</w:t>
    </w:r>
  </w:p>
  <w:p w14:paraId="4FFDEEB6" w14:textId="77777777" w:rsidR="005172EB" w:rsidRPr="0033525D" w:rsidRDefault="005172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EE33" w14:textId="217086CF" w:rsidR="00110EE4" w:rsidRDefault="005172EB">
    <w:pPr>
      <w:jc w:val="right"/>
    </w:pPr>
    <w:r>
      <w:fldChar w:fldCharType="begin"/>
    </w:r>
    <w:r>
      <w:instrText xml:space="preserve"> DOCPROPERTY "Document number"  \* MERGEFORMAT </w:instrText>
    </w:r>
    <w:r>
      <w:fldChar w:fldCharType="separate"/>
    </w:r>
    <w:r>
      <w:t>UNEP/</w:t>
    </w:r>
    <w:proofErr w:type="spellStart"/>
    <w:r>
      <w:t>OzL.Pro</w:t>
    </w:r>
    <w:proofErr w:type="spellEnd"/>
    <w:r>
      <w:t>/ExCom/86/17</w:t>
    </w:r>
    <w:r>
      <w:fldChar w:fldCharType="end"/>
    </w:r>
  </w:p>
  <w:p w14:paraId="3037E4A2" w14:textId="47B44454" w:rsidR="00110EE4" w:rsidRDefault="00110EE4" w:rsidP="005172EB">
    <w:pPr>
      <w:jc w:val="right"/>
    </w:pPr>
    <w:r>
      <w:t>Anexo II</w:t>
    </w:r>
  </w:p>
  <w:p w14:paraId="6B4AE6FA" w14:textId="77777777" w:rsidR="00110EE4" w:rsidRDefault="00110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0C"/>
    <w:rsid w:val="000458F8"/>
    <w:rsid w:val="00063C6A"/>
    <w:rsid w:val="000945AA"/>
    <w:rsid w:val="000E1A61"/>
    <w:rsid w:val="00106F6E"/>
    <w:rsid w:val="0011046B"/>
    <w:rsid w:val="00110EE4"/>
    <w:rsid w:val="00114CAA"/>
    <w:rsid w:val="00126CA0"/>
    <w:rsid w:val="00151956"/>
    <w:rsid w:val="001862A4"/>
    <w:rsid w:val="001907BB"/>
    <w:rsid w:val="0019636B"/>
    <w:rsid w:val="001C2D22"/>
    <w:rsid w:val="001F4047"/>
    <w:rsid w:val="002143AB"/>
    <w:rsid w:val="00215AD9"/>
    <w:rsid w:val="00216D62"/>
    <w:rsid w:val="00227C15"/>
    <w:rsid w:val="00235D4C"/>
    <w:rsid w:val="0024162E"/>
    <w:rsid w:val="0024384C"/>
    <w:rsid w:val="002804F3"/>
    <w:rsid w:val="002A5506"/>
    <w:rsid w:val="002B12A8"/>
    <w:rsid w:val="002F17F8"/>
    <w:rsid w:val="00337BDA"/>
    <w:rsid w:val="00345118"/>
    <w:rsid w:val="0037651D"/>
    <w:rsid w:val="003863A4"/>
    <w:rsid w:val="00394A6B"/>
    <w:rsid w:val="003B7115"/>
    <w:rsid w:val="003C5179"/>
    <w:rsid w:val="003D534C"/>
    <w:rsid w:val="00405367"/>
    <w:rsid w:val="00410A07"/>
    <w:rsid w:val="00455352"/>
    <w:rsid w:val="00476E28"/>
    <w:rsid w:val="004815F4"/>
    <w:rsid w:val="00493A59"/>
    <w:rsid w:val="004B60A4"/>
    <w:rsid w:val="0051196F"/>
    <w:rsid w:val="005172EB"/>
    <w:rsid w:val="0053460C"/>
    <w:rsid w:val="00536BD6"/>
    <w:rsid w:val="005461FC"/>
    <w:rsid w:val="0055609A"/>
    <w:rsid w:val="00582719"/>
    <w:rsid w:val="005963AD"/>
    <w:rsid w:val="005A10D3"/>
    <w:rsid w:val="005A6CB8"/>
    <w:rsid w:val="005B3D00"/>
    <w:rsid w:val="00611C34"/>
    <w:rsid w:val="00624BFB"/>
    <w:rsid w:val="006443CF"/>
    <w:rsid w:val="00677488"/>
    <w:rsid w:val="006915A5"/>
    <w:rsid w:val="006E7DCA"/>
    <w:rsid w:val="00700B97"/>
    <w:rsid w:val="00734566"/>
    <w:rsid w:val="0073739E"/>
    <w:rsid w:val="00743F6F"/>
    <w:rsid w:val="0077761A"/>
    <w:rsid w:val="00792D85"/>
    <w:rsid w:val="007A6B24"/>
    <w:rsid w:val="007D491F"/>
    <w:rsid w:val="007D7C50"/>
    <w:rsid w:val="007F4081"/>
    <w:rsid w:val="00805BF6"/>
    <w:rsid w:val="00816855"/>
    <w:rsid w:val="00831BC5"/>
    <w:rsid w:val="00835A11"/>
    <w:rsid w:val="00841DF0"/>
    <w:rsid w:val="008428F7"/>
    <w:rsid w:val="0084476A"/>
    <w:rsid w:val="00850824"/>
    <w:rsid w:val="008721C0"/>
    <w:rsid w:val="0087455A"/>
    <w:rsid w:val="00887B9D"/>
    <w:rsid w:val="008E3F5E"/>
    <w:rsid w:val="008F72DE"/>
    <w:rsid w:val="0092685B"/>
    <w:rsid w:val="00952255"/>
    <w:rsid w:val="009C7631"/>
    <w:rsid w:val="00A705B7"/>
    <w:rsid w:val="00AA1BB7"/>
    <w:rsid w:val="00AB1E8D"/>
    <w:rsid w:val="00AB56E5"/>
    <w:rsid w:val="00AC4195"/>
    <w:rsid w:val="00AF4679"/>
    <w:rsid w:val="00B414B5"/>
    <w:rsid w:val="00B45BCC"/>
    <w:rsid w:val="00B74849"/>
    <w:rsid w:val="00B74A66"/>
    <w:rsid w:val="00B83FFA"/>
    <w:rsid w:val="00BA3A5E"/>
    <w:rsid w:val="00BE224E"/>
    <w:rsid w:val="00BF3B35"/>
    <w:rsid w:val="00C14E67"/>
    <w:rsid w:val="00C24C2E"/>
    <w:rsid w:val="00C3420C"/>
    <w:rsid w:val="00C40B35"/>
    <w:rsid w:val="00C40E04"/>
    <w:rsid w:val="00C9059C"/>
    <w:rsid w:val="00CA5EF1"/>
    <w:rsid w:val="00CC3B4D"/>
    <w:rsid w:val="00CD204C"/>
    <w:rsid w:val="00CF3D14"/>
    <w:rsid w:val="00D827B1"/>
    <w:rsid w:val="00DB56CB"/>
    <w:rsid w:val="00DB795B"/>
    <w:rsid w:val="00DC196F"/>
    <w:rsid w:val="00DD7699"/>
    <w:rsid w:val="00DE54E4"/>
    <w:rsid w:val="00DE73C8"/>
    <w:rsid w:val="00E0384C"/>
    <w:rsid w:val="00E17F97"/>
    <w:rsid w:val="00E57C25"/>
    <w:rsid w:val="00EC14BC"/>
    <w:rsid w:val="00ED1901"/>
    <w:rsid w:val="00F10CD9"/>
    <w:rsid w:val="00F22A46"/>
    <w:rsid w:val="00F25F7C"/>
    <w:rsid w:val="00F51333"/>
    <w:rsid w:val="00F52258"/>
    <w:rsid w:val="00F60E79"/>
    <w:rsid w:val="00F62FAE"/>
    <w:rsid w:val="00F72A58"/>
    <w:rsid w:val="00FC09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4A84E8"/>
  <w15:docId w15:val="{9EFCB07C-16A0-44FC-A766-E8A0BA0C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uiPriority w:val="99"/>
    <w:pPr>
      <w:jc w:val="center"/>
      <w:outlineLvl w:val="0"/>
    </w:pPr>
    <w:rPr>
      <w:b/>
      <w:caps/>
      <w:sz w:val="22"/>
      <w:szCs w:val="22"/>
      <w:lang w:val="en-GB"/>
    </w:rPr>
  </w:style>
  <w:style w:type="paragraph" w:customStyle="1" w:styleId="Decision">
    <w:name w:val="Decision"/>
    <w:basedOn w:val="Normal"/>
    <w:uiPriority w:val="99"/>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uiPriority w:val="99"/>
    <w:semiHidden/>
    <w:pPr>
      <w:numPr>
        <w:numId w:val="3"/>
      </w:numPr>
    </w:pPr>
  </w:style>
  <w:style w:type="numbering" w:styleId="ArticleSection">
    <w:name w:val="Outline List 3"/>
    <w:basedOn w:val="NoList"/>
    <w:uiPriority w:val="99"/>
    <w:semiHidden/>
    <w:pPr>
      <w:numPr>
        <w:numId w:val="4"/>
      </w:numPr>
    </w:p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uiPriority w:val="99"/>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PageNumber">
    <w:name w:val="page number"/>
    <w:basedOn w:val="DefaultParagraphFont"/>
    <w:uiPriority w:val="99"/>
    <w:rsid w:val="00C3420C"/>
    <w:rPr>
      <w:sz w:val="22"/>
      <w:szCs w:val="22"/>
    </w:rPr>
  </w:style>
  <w:style w:type="paragraph" w:styleId="BodyText">
    <w:name w:val="Body Text"/>
    <w:basedOn w:val="Normal"/>
    <w:link w:val="BodyTextChar"/>
    <w:uiPriority w:val="99"/>
    <w:semiHidden/>
    <w:rsid w:val="00C3420C"/>
    <w:pPr>
      <w:spacing w:after="120"/>
    </w:pPr>
  </w:style>
  <w:style w:type="character" w:customStyle="1" w:styleId="BodyTextChar">
    <w:name w:val="Body Text Char"/>
    <w:basedOn w:val="DefaultParagraphFont"/>
    <w:link w:val="BodyText"/>
    <w:uiPriority w:val="99"/>
    <w:semiHidden/>
    <w:rsid w:val="00C3420C"/>
    <w:rPr>
      <w:sz w:val="22"/>
      <w:szCs w:val="22"/>
      <w:lang w:val="en-GB"/>
    </w:rPr>
  </w:style>
  <w:style w:type="paragraph" w:styleId="BodyText2">
    <w:name w:val="Body Text 2"/>
    <w:basedOn w:val="Normal"/>
    <w:link w:val="BodyText2Char"/>
    <w:uiPriority w:val="99"/>
    <w:semiHidden/>
    <w:rsid w:val="00C3420C"/>
    <w:pPr>
      <w:spacing w:after="120" w:line="480" w:lineRule="auto"/>
    </w:pPr>
  </w:style>
  <w:style w:type="character" w:customStyle="1" w:styleId="BodyText2Char">
    <w:name w:val="Body Text 2 Char"/>
    <w:basedOn w:val="DefaultParagraphFont"/>
    <w:link w:val="BodyText2"/>
    <w:uiPriority w:val="99"/>
    <w:semiHidden/>
    <w:rsid w:val="00C3420C"/>
    <w:rPr>
      <w:sz w:val="22"/>
      <w:szCs w:val="22"/>
      <w:lang w:val="en-GB"/>
    </w:rPr>
  </w:style>
  <w:style w:type="paragraph" w:styleId="BodyTextFirstIndent">
    <w:name w:val="Body Text First Indent"/>
    <w:basedOn w:val="BodyText"/>
    <w:link w:val="BodyTextFirstIndentChar"/>
    <w:uiPriority w:val="99"/>
    <w:semiHidden/>
    <w:rsid w:val="00C3420C"/>
    <w:pPr>
      <w:ind w:firstLine="210"/>
    </w:pPr>
  </w:style>
  <w:style w:type="character" w:customStyle="1" w:styleId="BodyTextFirstIndentChar">
    <w:name w:val="Body Text First Indent Char"/>
    <w:basedOn w:val="BodyTextChar"/>
    <w:link w:val="BodyTextFirstIndent"/>
    <w:uiPriority w:val="99"/>
    <w:semiHidden/>
    <w:rsid w:val="00C3420C"/>
    <w:rPr>
      <w:sz w:val="22"/>
      <w:szCs w:val="22"/>
      <w:lang w:val="en-GB"/>
    </w:rPr>
  </w:style>
  <w:style w:type="paragraph" w:styleId="BodyTextIndent">
    <w:name w:val="Body Text Indent"/>
    <w:basedOn w:val="Normal"/>
    <w:link w:val="BodyTextIndentChar"/>
    <w:uiPriority w:val="99"/>
    <w:semiHidden/>
    <w:rsid w:val="00C3420C"/>
    <w:pPr>
      <w:spacing w:after="120"/>
      <w:ind w:left="360"/>
    </w:pPr>
  </w:style>
  <w:style w:type="character" w:customStyle="1" w:styleId="BodyTextIndentChar">
    <w:name w:val="Body Text Indent Char"/>
    <w:basedOn w:val="DefaultParagraphFont"/>
    <w:link w:val="BodyTextIndent"/>
    <w:uiPriority w:val="99"/>
    <w:semiHidden/>
    <w:rsid w:val="00C3420C"/>
    <w:rPr>
      <w:sz w:val="22"/>
      <w:szCs w:val="22"/>
      <w:lang w:val="en-GB"/>
    </w:rPr>
  </w:style>
  <w:style w:type="paragraph" w:styleId="BodyTextFirstIndent2">
    <w:name w:val="Body Text First Indent 2"/>
    <w:basedOn w:val="BodyTextIndent"/>
    <w:link w:val="BodyTextFirstIndent2Char"/>
    <w:uiPriority w:val="99"/>
    <w:semiHidden/>
    <w:rsid w:val="00C3420C"/>
    <w:pPr>
      <w:ind w:firstLine="210"/>
    </w:pPr>
  </w:style>
  <w:style w:type="character" w:customStyle="1" w:styleId="BodyTextFirstIndent2Char">
    <w:name w:val="Body Text First Indent 2 Char"/>
    <w:basedOn w:val="BodyTextIndentChar"/>
    <w:link w:val="BodyTextFirstIndent2"/>
    <w:uiPriority w:val="99"/>
    <w:semiHidden/>
    <w:rsid w:val="00C3420C"/>
    <w:rPr>
      <w:sz w:val="22"/>
      <w:szCs w:val="22"/>
      <w:lang w:val="en-GB"/>
    </w:rPr>
  </w:style>
  <w:style w:type="paragraph" w:styleId="BodyTextIndent2">
    <w:name w:val="Body Text Indent 2"/>
    <w:basedOn w:val="Normal"/>
    <w:link w:val="BodyTextIndent2Char"/>
    <w:uiPriority w:val="99"/>
    <w:semiHidden/>
    <w:rsid w:val="00C3420C"/>
    <w:pPr>
      <w:spacing w:after="120" w:line="480" w:lineRule="auto"/>
      <w:ind w:left="360"/>
    </w:pPr>
  </w:style>
  <w:style w:type="character" w:customStyle="1" w:styleId="BodyTextIndent2Char">
    <w:name w:val="Body Text Indent 2 Char"/>
    <w:basedOn w:val="DefaultParagraphFont"/>
    <w:link w:val="BodyTextIndent2"/>
    <w:uiPriority w:val="99"/>
    <w:semiHidden/>
    <w:rsid w:val="00C3420C"/>
    <w:rPr>
      <w:sz w:val="22"/>
      <w:szCs w:val="22"/>
      <w:lang w:val="en-GB"/>
    </w:rPr>
  </w:style>
  <w:style w:type="paragraph" w:styleId="Closing">
    <w:name w:val="Closing"/>
    <w:basedOn w:val="Normal"/>
    <w:link w:val="ClosingChar"/>
    <w:uiPriority w:val="99"/>
    <w:semiHidden/>
    <w:rsid w:val="00C3420C"/>
    <w:pPr>
      <w:ind w:left="4320"/>
    </w:pPr>
  </w:style>
  <w:style w:type="character" w:customStyle="1" w:styleId="ClosingChar">
    <w:name w:val="Closing Char"/>
    <w:basedOn w:val="DefaultParagraphFont"/>
    <w:link w:val="Closing"/>
    <w:uiPriority w:val="99"/>
    <w:semiHidden/>
    <w:rsid w:val="00C3420C"/>
    <w:rPr>
      <w:sz w:val="22"/>
      <w:szCs w:val="22"/>
      <w:lang w:val="en-GB"/>
    </w:rPr>
  </w:style>
  <w:style w:type="paragraph" w:styleId="E-mailSignature">
    <w:name w:val="E-mail Signature"/>
    <w:basedOn w:val="Normal"/>
    <w:link w:val="E-mailSignatureChar"/>
    <w:uiPriority w:val="99"/>
    <w:semiHidden/>
    <w:rsid w:val="00C3420C"/>
  </w:style>
  <w:style w:type="character" w:customStyle="1" w:styleId="E-mailSignatureChar">
    <w:name w:val="E-mail Signature Char"/>
    <w:basedOn w:val="DefaultParagraphFont"/>
    <w:link w:val="E-mailSignature"/>
    <w:uiPriority w:val="99"/>
    <w:semiHidden/>
    <w:rsid w:val="00C3420C"/>
    <w:rPr>
      <w:sz w:val="22"/>
      <w:szCs w:val="22"/>
      <w:lang w:val="en-GB"/>
    </w:rPr>
  </w:style>
  <w:style w:type="character" w:styleId="Emphasis">
    <w:name w:val="Emphasis"/>
    <w:basedOn w:val="DefaultParagraphFont"/>
    <w:uiPriority w:val="99"/>
    <w:qFormat/>
    <w:rsid w:val="00C3420C"/>
    <w:rPr>
      <w:i/>
      <w:iCs/>
    </w:rPr>
  </w:style>
  <w:style w:type="paragraph" w:styleId="EnvelopeAddress">
    <w:name w:val="envelope address"/>
    <w:basedOn w:val="Normal"/>
    <w:uiPriority w:val="99"/>
    <w:semiHidden/>
    <w:rsid w:val="00C3420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C3420C"/>
    <w:rPr>
      <w:rFonts w:ascii="Arial" w:hAnsi="Arial" w:cs="Arial"/>
      <w:sz w:val="20"/>
    </w:rPr>
  </w:style>
  <w:style w:type="character" w:styleId="FollowedHyperlink">
    <w:name w:val="FollowedHyperlink"/>
    <w:basedOn w:val="DefaultParagraphFont"/>
    <w:uiPriority w:val="99"/>
    <w:semiHidden/>
    <w:rsid w:val="00C3420C"/>
    <w:rPr>
      <w:color w:val="800080"/>
      <w:u w:val="single"/>
    </w:rPr>
  </w:style>
  <w:style w:type="character" w:styleId="HTMLAcronym">
    <w:name w:val="HTML Acronym"/>
    <w:basedOn w:val="DefaultParagraphFont"/>
    <w:uiPriority w:val="99"/>
    <w:semiHidden/>
    <w:rsid w:val="00C3420C"/>
  </w:style>
  <w:style w:type="paragraph" w:styleId="HTMLAddress">
    <w:name w:val="HTML Address"/>
    <w:basedOn w:val="Normal"/>
    <w:link w:val="HTMLAddressChar"/>
    <w:uiPriority w:val="99"/>
    <w:semiHidden/>
    <w:rsid w:val="00C3420C"/>
    <w:rPr>
      <w:i/>
      <w:iCs/>
    </w:rPr>
  </w:style>
  <w:style w:type="character" w:customStyle="1" w:styleId="HTMLAddressChar">
    <w:name w:val="HTML Address Char"/>
    <w:basedOn w:val="DefaultParagraphFont"/>
    <w:link w:val="HTMLAddress"/>
    <w:uiPriority w:val="99"/>
    <w:semiHidden/>
    <w:rsid w:val="00C3420C"/>
    <w:rPr>
      <w:i/>
      <w:iCs/>
      <w:sz w:val="22"/>
      <w:szCs w:val="22"/>
      <w:lang w:val="en-GB"/>
    </w:rPr>
  </w:style>
  <w:style w:type="character" w:styleId="HTMLCite">
    <w:name w:val="HTML Cite"/>
    <w:basedOn w:val="DefaultParagraphFont"/>
    <w:uiPriority w:val="99"/>
    <w:semiHidden/>
    <w:rsid w:val="00C3420C"/>
    <w:rPr>
      <w:i/>
      <w:iCs/>
    </w:rPr>
  </w:style>
  <w:style w:type="character" w:styleId="HTMLCode">
    <w:name w:val="HTML Code"/>
    <w:basedOn w:val="DefaultParagraphFont"/>
    <w:uiPriority w:val="99"/>
    <w:semiHidden/>
    <w:rsid w:val="00C3420C"/>
    <w:rPr>
      <w:rFonts w:ascii="Courier New" w:hAnsi="Courier New" w:cs="Courier New"/>
      <w:sz w:val="20"/>
      <w:szCs w:val="20"/>
    </w:rPr>
  </w:style>
  <w:style w:type="character" w:styleId="HTMLDefinition">
    <w:name w:val="HTML Definition"/>
    <w:basedOn w:val="DefaultParagraphFont"/>
    <w:uiPriority w:val="99"/>
    <w:semiHidden/>
    <w:rsid w:val="00C3420C"/>
    <w:rPr>
      <w:i/>
      <w:iCs/>
    </w:rPr>
  </w:style>
  <w:style w:type="character" w:styleId="HTMLKeyboard">
    <w:name w:val="HTML Keyboard"/>
    <w:basedOn w:val="DefaultParagraphFont"/>
    <w:uiPriority w:val="99"/>
    <w:semiHidden/>
    <w:rsid w:val="00C3420C"/>
    <w:rPr>
      <w:rFonts w:ascii="Courier New" w:hAnsi="Courier New" w:cs="Courier New"/>
      <w:sz w:val="20"/>
      <w:szCs w:val="20"/>
    </w:rPr>
  </w:style>
  <w:style w:type="paragraph" w:styleId="HTMLPreformatted">
    <w:name w:val="HTML Preformatted"/>
    <w:basedOn w:val="Normal"/>
    <w:link w:val="HTMLPreformattedChar"/>
    <w:uiPriority w:val="99"/>
    <w:semiHidden/>
    <w:rsid w:val="00C3420C"/>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3420C"/>
    <w:rPr>
      <w:rFonts w:ascii="Courier New" w:hAnsi="Courier New" w:cs="Courier New"/>
      <w:szCs w:val="22"/>
      <w:lang w:val="en-GB"/>
    </w:rPr>
  </w:style>
  <w:style w:type="character" w:styleId="HTMLSample">
    <w:name w:val="HTML Sample"/>
    <w:basedOn w:val="DefaultParagraphFont"/>
    <w:uiPriority w:val="99"/>
    <w:semiHidden/>
    <w:rsid w:val="00C3420C"/>
    <w:rPr>
      <w:rFonts w:ascii="Courier New" w:hAnsi="Courier New" w:cs="Courier New"/>
    </w:rPr>
  </w:style>
  <w:style w:type="character" w:styleId="HTMLTypewriter">
    <w:name w:val="HTML Typewriter"/>
    <w:basedOn w:val="DefaultParagraphFont"/>
    <w:uiPriority w:val="99"/>
    <w:semiHidden/>
    <w:rsid w:val="00C3420C"/>
    <w:rPr>
      <w:rFonts w:ascii="Courier New" w:hAnsi="Courier New" w:cs="Courier New"/>
      <w:sz w:val="20"/>
      <w:szCs w:val="20"/>
    </w:rPr>
  </w:style>
  <w:style w:type="character" w:styleId="HTMLVariable">
    <w:name w:val="HTML Variable"/>
    <w:basedOn w:val="DefaultParagraphFont"/>
    <w:uiPriority w:val="99"/>
    <w:semiHidden/>
    <w:rsid w:val="00C3420C"/>
    <w:rPr>
      <w:i/>
      <w:iCs/>
    </w:rPr>
  </w:style>
  <w:style w:type="character" w:styleId="Hyperlink">
    <w:name w:val="Hyperlink"/>
    <w:basedOn w:val="DefaultParagraphFont"/>
    <w:uiPriority w:val="99"/>
    <w:semiHidden/>
    <w:rsid w:val="00C3420C"/>
    <w:rPr>
      <w:color w:val="0000FF"/>
      <w:u w:val="single"/>
    </w:rPr>
  </w:style>
  <w:style w:type="character" w:styleId="LineNumber">
    <w:name w:val="line number"/>
    <w:basedOn w:val="DefaultParagraphFont"/>
    <w:uiPriority w:val="99"/>
    <w:semiHidden/>
    <w:rsid w:val="00C3420C"/>
  </w:style>
  <w:style w:type="paragraph" w:styleId="List">
    <w:name w:val="List"/>
    <w:basedOn w:val="Normal"/>
    <w:uiPriority w:val="99"/>
    <w:semiHidden/>
    <w:rsid w:val="00C3420C"/>
    <w:pPr>
      <w:ind w:left="360" w:hanging="360"/>
    </w:pPr>
  </w:style>
  <w:style w:type="paragraph" w:styleId="List2">
    <w:name w:val="List 2"/>
    <w:basedOn w:val="Normal"/>
    <w:uiPriority w:val="99"/>
    <w:semiHidden/>
    <w:rsid w:val="00C3420C"/>
    <w:pPr>
      <w:ind w:left="720" w:hanging="360"/>
    </w:pPr>
  </w:style>
  <w:style w:type="paragraph" w:styleId="List3">
    <w:name w:val="List 3"/>
    <w:basedOn w:val="Normal"/>
    <w:uiPriority w:val="99"/>
    <w:semiHidden/>
    <w:rsid w:val="00C3420C"/>
    <w:pPr>
      <w:ind w:left="1080" w:hanging="360"/>
    </w:pPr>
  </w:style>
  <w:style w:type="paragraph" w:styleId="List4">
    <w:name w:val="List 4"/>
    <w:basedOn w:val="Normal"/>
    <w:uiPriority w:val="99"/>
    <w:semiHidden/>
    <w:rsid w:val="00C3420C"/>
    <w:pPr>
      <w:ind w:left="1440" w:hanging="360"/>
    </w:pPr>
  </w:style>
  <w:style w:type="paragraph" w:styleId="List5">
    <w:name w:val="List 5"/>
    <w:basedOn w:val="Normal"/>
    <w:uiPriority w:val="99"/>
    <w:semiHidden/>
    <w:rsid w:val="00C3420C"/>
    <w:pPr>
      <w:ind w:left="1800" w:hanging="360"/>
    </w:pPr>
  </w:style>
  <w:style w:type="paragraph" w:styleId="ListBullet">
    <w:name w:val="List Bullet"/>
    <w:basedOn w:val="Normal"/>
    <w:autoRedefine/>
    <w:uiPriority w:val="99"/>
    <w:semiHidden/>
    <w:rsid w:val="00C3420C"/>
    <w:pPr>
      <w:tabs>
        <w:tab w:val="num" w:pos="360"/>
      </w:tabs>
      <w:ind w:left="360" w:hanging="360"/>
    </w:pPr>
  </w:style>
  <w:style w:type="paragraph" w:styleId="ListBullet2">
    <w:name w:val="List Bullet 2"/>
    <w:basedOn w:val="Normal"/>
    <w:autoRedefine/>
    <w:uiPriority w:val="99"/>
    <w:semiHidden/>
    <w:rsid w:val="00C3420C"/>
    <w:pPr>
      <w:tabs>
        <w:tab w:val="num" w:pos="720"/>
      </w:tabs>
      <w:ind w:left="720" w:hanging="360"/>
    </w:pPr>
  </w:style>
  <w:style w:type="paragraph" w:styleId="ListBullet3">
    <w:name w:val="List Bullet 3"/>
    <w:basedOn w:val="Normal"/>
    <w:autoRedefine/>
    <w:uiPriority w:val="99"/>
    <w:semiHidden/>
    <w:rsid w:val="00C3420C"/>
    <w:pPr>
      <w:tabs>
        <w:tab w:val="num" w:pos="1080"/>
      </w:tabs>
      <w:ind w:left="1080" w:hanging="360"/>
    </w:pPr>
  </w:style>
  <w:style w:type="paragraph" w:styleId="ListBullet4">
    <w:name w:val="List Bullet 4"/>
    <w:basedOn w:val="Normal"/>
    <w:autoRedefine/>
    <w:uiPriority w:val="99"/>
    <w:semiHidden/>
    <w:rsid w:val="00C3420C"/>
    <w:pPr>
      <w:tabs>
        <w:tab w:val="num" w:pos="1440"/>
      </w:tabs>
      <w:ind w:left="1440" w:hanging="360"/>
    </w:pPr>
  </w:style>
  <w:style w:type="paragraph" w:styleId="ListBullet5">
    <w:name w:val="List Bullet 5"/>
    <w:basedOn w:val="Normal"/>
    <w:autoRedefine/>
    <w:uiPriority w:val="99"/>
    <w:semiHidden/>
    <w:rsid w:val="00C3420C"/>
    <w:pPr>
      <w:tabs>
        <w:tab w:val="num" w:pos="1800"/>
      </w:tabs>
      <w:ind w:left="1800" w:hanging="360"/>
    </w:pPr>
  </w:style>
  <w:style w:type="paragraph" w:styleId="ListContinue">
    <w:name w:val="List Continue"/>
    <w:basedOn w:val="Normal"/>
    <w:uiPriority w:val="99"/>
    <w:semiHidden/>
    <w:rsid w:val="00C3420C"/>
    <w:pPr>
      <w:spacing w:after="120"/>
      <w:ind w:left="360"/>
    </w:pPr>
  </w:style>
  <w:style w:type="paragraph" w:styleId="ListContinue2">
    <w:name w:val="List Continue 2"/>
    <w:basedOn w:val="Normal"/>
    <w:uiPriority w:val="99"/>
    <w:semiHidden/>
    <w:rsid w:val="00C3420C"/>
    <w:pPr>
      <w:spacing w:after="120"/>
      <w:ind w:left="720"/>
    </w:pPr>
  </w:style>
  <w:style w:type="paragraph" w:styleId="ListContinue3">
    <w:name w:val="List Continue 3"/>
    <w:basedOn w:val="Normal"/>
    <w:uiPriority w:val="99"/>
    <w:semiHidden/>
    <w:rsid w:val="00C3420C"/>
    <w:pPr>
      <w:spacing w:after="120"/>
      <w:ind w:left="1080"/>
    </w:pPr>
  </w:style>
  <w:style w:type="paragraph" w:styleId="ListContinue4">
    <w:name w:val="List Continue 4"/>
    <w:basedOn w:val="Normal"/>
    <w:uiPriority w:val="99"/>
    <w:semiHidden/>
    <w:rsid w:val="00C3420C"/>
    <w:pPr>
      <w:spacing w:after="120"/>
      <w:ind w:left="1440"/>
    </w:pPr>
  </w:style>
  <w:style w:type="paragraph" w:styleId="ListContinue5">
    <w:name w:val="List Continue 5"/>
    <w:basedOn w:val="Normal"/>
    <w:uiPriority w:val="99"/>
    <w:semiHidden/>
    <w:rsid w:val="00C3420C"/>
    <w:pPr>
      <w:spacing w:after="120"/>
      <w:ind w:left="1800"/>
    </w:pPr>
  </w:style>
  <w:style w:type="paragraph" w:styleId="ListNumber">
    <w:name w:val="List Number"/>
    <w:basedOn w:val="Normal"/>
    <w:uiPriority w:val="99"/>
    <w:semiHidden/>
    <w:rsid w:val="00C3420C"/>
    <w:pPr>
      <w:tabs>
        <w:tab w:val="num" w:pos="360"/>
      </w:tabs>
      <w:ind w:left="360" w:hanging="360"/>
    </w:pPr>
  </w:style>
  <w:style w:type="paragraph" w:styleId="ListNumber2">
    <w:name w:val="List Number 2"/>
    <w:basedOn w:val="Normal"/>
    <w:uiPriority w:val="99"/>
    <w:semiHidden/>
    <w:rsid w:val="00C3420C"/>
    <w:pPr>
      <w:tabs>
        <w:tab w:val="num" w:pos="720"/>
      </w:tabs>
      <w:ind w:left="720" w:hanging="360"/>
    </w:pPr>
  </w:style>
  <w:style w:type="paragraph" w:styleId="ListNumber3">
    <w:name w:val="List Number 3"/>
    <w:basedOn w:val="Normal"/>
    <w:uiPriority w:val="99"/>
    <w:semiHidden/>
    <w:rsid w:val="00C3420C"/>
    <w:pPr>
      <w:tabs>
        <w:tab w:val="num" w:pos="1080"/>
      </w:tabs>
      <w:ind w:left="1080" w:hanging="360"/>
    </w:pPr>
  </w:style>
  <w:style w:type="paragraph" w:styleId="ListNumber4">
    <w:name w:val="List Number 4"/>
    <w:basedOn w:val="Normal"/>
    <w:uiPriority w:val="99"/>
    <w:semiHidden/>
    <w:rsid w:val="00C3420C"/>
    <w:pPr>
      <w:tabs>
        <w:tab w:val="num" w:pos="1440"/>
      </w:tabs>
      <w:ind w:left="1440" w:hanging="360"/>
    </w:pPr>
  </w:style>
  <w:style w:type="paragraph" w:styleId="ListNumber5">
    <w:name w:val="List Number 5"/>
    <w:basedOn w:val="Normal"/>
    <w:uiPriority w:val="99"/>
    <w:semiHidden/>
    <w:rsid w:val="00C3420C"/>
    <w:pPr>
      <w:tabs>
        <w:tab w:val="num" w:pos="1800"/>
      </w:tabs>
      <w:ind w:left="1800" w:hanging="360"/>
    </w:pPr>
  </w:style>
  <w:style w:type="paragraph" w:styleId="MessageHeader">
    <w:name w:val="Message Header"/>
    <w:basedOn w:val="Normal"/>
    <w:link w:val="MessageHeaderChar"/>
    <w:uiPriority w:val="99"/>
    <w:semiHidden/>
    <w:rsid w:val="00C342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C3420C"/>
    <w:rPr>
      <w:rFonts w:ascii="Arial" w:hAnsi="Arial" w:cs="Arial"/>
      <w:sz w:val="22"/>
      <w:szCs w:val="24"/>
      <w:shd w:val="pct20" w:color="auto" w:fill="auto"/>
      <w:lang w:val="en-GB"/>
    </w:rPr>
  </w:style>
  <w:style w:type="paragraph" w:styleId="NormalWeb">
    <w:name w:val="Normal (Web)"/>
    <w:basedOn w:val="Normal"/>
    <w:uiPriority w:val="99"/>
    <w:semiHidden/>
    <w:rsid w:val="00C3420C"/>
    <w:rPr>
      <w:szCs w:val="24"/>
    </w:rPr>
  </w:style>
  <w:style w:type="paragraph" w:styleId="NormalIndent">
    <w:name w:val="Normal Indent"/>
    <w:basedOn w:val="Normal"/>
    <w:uiPriority w:val="99"/>
    <w:semiHidden/>
    <w:rsid w:val="00C3420C"/>
    <w:pPr>
      <w:ind w:left="720"/>
    </w:pPr>
  </w:style>
  <w:style w:type="paragraph" w:styleId="NoteHeading">
    <w:name w:val="Note Heading"/>
    <w:basedOn w:val="Normal"/>
    <w:next w:val="Normal"/>
    <w:link w:val="NoteHeadingChar"/>
    <w:uiPriority w:val="99"/>
    <w:semiHidden/>
    <w:rsid w:val="00C3420C"/>
  </w:style>
  <w:style w:type="character" w:customStyle="1" w:styleId="NoteHeadingChar">
    <w:name w:val="Note Heading Char"/>
    <w:basedOn w:val="DefaultParagraphFont"/>
    <w:link w:val="NoteHeading"/>
    <w:uiPriority w:val="99"/>
    <w:semiHidden/>
    <w:rsid w:val="00C3420C"/>
    <w:rPr>
      <w:sz w:val="22"/>
      <w:szCs w:val="22"/>
      <w:lang w:val="en-GB"/>
    </w:rPr>
  </w:style>
  <w:style w:type="paragraph" w:styleId="Salutation">
    <w:name w:val="Salutation"/>
    <w:basedOn w:val="Normal"/>
    <w:next w:val="Normal"/>
    <w:link w:val="SalutationChar"/>
    <w:uiPriority w:val="99"/>
    <w:semiHidden/>
    <w:rsid w:val="00C3420C"/>
  </w:style>
  <w:style w:type="character" w:customStyle="1" w:styleId="SalutationChar">
    <w:name w:val="Salutation Char"/>
    <w:basedOn w:val="DefaultParagraphFont"/>
    <w:link w:val="Salutation"/>
    <w:uiPriority w:val="99"/>
    <w:semiHidden/>
    <w:rsid w:val="00C3420C"/>
    <w:rPr>
      <w:sz w:val="22"/>
      <w:szCs w:val="22"/>
      <w:lang w:val="en-GB"/>
    </w:rPr>
  </w:style>
  <w:style w:type="paragraph" w:styleId="Signature">
    <w:name w:val="Signature"/>
    <w:basedOn w:val="Normal"/>
    <w:link w:val="SignatureChar"/>
    <w:uiPriority w:val="99"/>
    <w:semiHidden/>
    <w:rsid w:val="00C3420C"/>
    <w:pPr>
      <w:ind w:left="4320"/>
    </w:pPr>
  </w:style>
  <w:style w:type="character" w:customStyle="1" w:styleId="SignatureChar">
    <w:name w:val="Signature Char"/>
    <w:basedOn w:val="DefaultParagraphFont"/>
    <w:link w:val="Signature"/>
    <w:uiPriority w:val="99"/>
    <w:semiHidden/>
    <w:rsid w:val="00C3420C"/>
    <w:rPr>
      <w:sz w:val="22"/>
      <w:szCs w:val="22"/>
      <w:lang w:val="en-GB"/>
    </w:rPr>
  </w:style>
  <w:style w:type="character" w:styleId="Strong">
    <w:name w:val="Strong"/>
    <w:basedOn w:val="DefaultParagraphFont"/>
    <w:uiPriority w:val="99"/>
    <w:qFormat/>
    <w:rsid w:val="00C3420C"/>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3420C"/>
    <w:rPr>
      <w:sz w:val="22"/>
      <w:szCs w:val="22"/>
      <w:lang w:val="en-GB"/>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C3420C"/>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C3420C"/>
    <w:rPr>
      <w:sz w:val="22"/>
      <w:szCs w:val="22"/>
      <w:lang w:val="en-GB"/>
    </w:rPr>
  </w:style>
  <w:style w:type="character" w:customStyle="1" w:styleId="Heading5Char">
    <w:name w:val="Heading 5 Char"/>
    <w:basedOn w:val="DefaultParagraphFont"/>
    <w:link w:val="Heading5"/>
    <w:rsid w:val="00C3420C"/>
    <w:rPr>
      <w:sz w:val="22"/>
      <w:szCs w:val="22"/>
      <w:lang w:val="en-GB"/>
    </w:rPr>
  </w:style>
  <w:style w:type="character" w:customStyle="1" w:styleId="Heading6Char">
    <w:name w:val="Heading 6 Char"/>
    <w:basedOn w:val="DefaultParagraphFont"/>
    <w:link w:val="Heading6"/>
    <w:rsid w:val="00C3420C"/>
    <w:rPr>
      <w:rFonts w:ascii="Arial" w:hAnsi="Arial"/>
      <w:i/>
      <w:sz w:val="22"/>
      <w:szCs w:val="22"/>
      <w:lang w:val="en-GB"/>
    </w:rPr>
  </w:style>
  <w:style w:type="character" w:customStyle="1" w:styleId="Heading7Char">
    <w:name w:val="Heading 7 Char"/>
    <w:basedOn w:val="DefaultParagraphFont"/>
    <w:link w:val="Heading7"/>
    <w:rsid w:val="00C3420C"/>
    <w:rPr>
      <w:rFonts w:ascii="Arial" w:hAnsi="Arial"/>
      <w:sz w:val="22"/>
      <w:szCs w:val="22"/>
      <w:lang w:val="en-GB"/>
    </w:rPr>
  </w:style>
  <w:style w:type="character" w:customStyle="1" w:styleId="Heading8Char">
    <w:name w:val="Heading 8 Char"/>
    <w:basedOn w:val="DefaultParagraphFont"/>
    <w:link w:val="Heading8"/>
    <w:uiPriority w:val="99"/>
    <w:rsid w:val="00C3420C"/>
    <w:rPr>
      <w:b/>
      <w:sz w:val="22"/>
      <w:szCs w:val="22"/>
      <w:lang w:val="en-GB"/>
    </w:rPr>
  </w:style>
  <w:style w:type="character" w:customStyle="1" w:styleId="Heading9Char">
    <w:name w:val="Heading 9 Char"/>
    <w:basedOn w:val="DefaultParagraphFont"/>
    <w:link w:val="Heading9"/>
    <w:rsid w:val="00C3420C"/>
    <w:rPr>
      <w:rFonts w:ascii="Arial" w:hAnsi="Arial"/>
      <w:i/>
      <w:sz w:val="18"/>
      <w:szCs w:val="22"/>
      <w:lang w:val="en-GB"/>
    </w:rPr>
  </w:style>
  <w:style w:type="character" w:customStyle="1" w:styleId="HeaderChar">
    <w:name w:val="Header Char"/>
    <w:basedOn w:val="DefaultParagraphFont"/>
    <w:link w:val="Header"/>
    <w:rsid w:val="00C3420C"/>
    <w:rPr>
      <w:sz w:val="22"/>
      <w:szCs w:val="22"/>
      <w:lang w:val="en-GB"/>
    </w:rPr>
  </w:style>
  <w:style w:type="character" w:customStyle="1" w:styleId="BodyText3Char">
    <w:name w:val="Body Text 3 Char"/>
    <w:basedOn w:val="DefaultParagraphFont"/>
    <w:link w:val="BodyText3"/>
    <w:uiPriority w:val="99"/>
    <w:semiHidden/>
    <w:rsid w:val="00C3420C"/>
    <w:rPr>
      <w:sz w:val="16"/>
      <w:szCs w:val="16"/>
      <w:lang w:val="en-GB"/>
    </w:rPr>
  </w:style>
  <w:style w:type="character" w:customStyle="1" w:styleId="BodyText2Char1">
    <w:name w:val="Body Text 2 Char1"/>
    <w:basedOn w:val="DefaultParagraphFont"/>
    <w:uiPriority w:val="99"/>
    <w:semiHidden/>
    <w:rsid w:val="00C3420C"/>
    <w:rPr>
      <w:lang w:val="en-GB"/>
    </w:rPr>
  </w:style>
  <w:style w:type="character" w:customStyle="1" w:styleId="BodyText2Char2">
    <w:name w:val="Body Text 2 Char2"/>
    <w:basedOn w:val="DefaultParagraphFont"/>
    <w:uiPriority w:val="99"/>
    <w:semiHidden/>
    <w:rsid w:val="00C3420C"/>
    <w:rPr>
      <w:lang w:val="en-GB"/>
    </w:rPr>
  </w:style>
  <w:style w:type="character" w:customStyle="1" w:styleId="BodyTextIndent3Char">
    <w:name w:val="Body Text Indent 3 Char"/>
    <w:basedOn w:val="DefaultParagraphFont"/>
    <w:link w:val="BodyTextIndent3"/>
    <w:uiPriority w:val="99"/>
    <w:semiHidden/>
    <w:rsid w:val="00C3420C"/>
    <w:rPr>
      <w:sz w:val="16"/>
      <w:szCs w:val="16"/>
      <w:lang w:val="en-GB"/>
    </w:rPr>
  </w:style>
  <w:style w:type="character" w:customStyle="1" w:styleId="PlainTextChar">
    <w:name w:val="Plain Text Char"/>
    <w:basedOn w:val="DefaultParagraphFont"/>
    <w:link w:val="PlainText"/>
    <w:uiPriority w:val="99"/>
    <w:semiHidden/>
    <w:rsid w:val="00C3420C"/>
    <w:rPr>
      <w:rFonts w:ascii="Courier New" w:hAnsi="Courier New" w:cs="Courier New"/>
      <w:szCs w:val="22"/>
      <w:lang w:val="en-GB"/>
    </w:rPr>
  </w:style>
  <w:style w:type="character" w:customStyle="1" w:styleId="SubtitleChar">
    <w:name w:val="Subtitle Char"/>
    <w:basedOn w:val="DefaultParagraphFont"/>
    <w:link w:val="Subtitle"/>
    <w:uiPriority w:val="99"/>
    <w:rsid w:val="00C3420C"/>
    <w:rPr>
      <w:rFonts w:ascii="Arial" w:hAnsi="Arial" w:cs="Arial"/>
      <w:sz w:val="22"/>
      <w:szCs w:val="22"/>
      <w:lang w:val="en-GB"/>
    </w:rPr>
  </w:style>
  <w:style w:type="character" w:customStyle="1" w:styleId="TitleChar">
    <w:name w:val="Title Char"/>
    <w:basedOn w:val="DefaultParagraphFont"/>
    <w:link w:val="Title"/>
    <w:uiPriority w:val="99"/>
    <w:rsid w:val="00C3420C"/>
    <w:rPr>
      <w:rFonts w:ascii="Arial" w:hAnsi="Arial" w:cs="Arial"/>
      <w:b/>
      <w:bCs/>
      <w:kern w:val="28"/>
      <w:sz w:val="22"/>
      <w:szCs w:val="22"/>
      <w:lang w:val="en-GB"/>
    </w:rPr>
  </w:style>
  <w:style w:type="character" w:customStyle="1" w:styleId="DateChar">
    <w:name w:val="Date Char"/>
    <w:basedOn w:val="DefaultParagraphFont"/>
    <w:link w:val="Date"/>
    <w:uiPriority w:val="99"/>
    <w:rsid w:val="00C3420C"/>
    <w:rPr>
      <w:sz w:val="22"/>
      <w:szCs w:val="22"/>
      <w:lang w:val="en-GB"/>
    </w:rPr>
  </w:style>
  <w:style w:type="paragraph" w:customStyle="1" w:styleId="Heading">
    <w:name w:val="Heading"/>
    <w:basedOn w:val="Header"/>
    <w:next w:val="Header"/>
    <w:rsid w:val="00C3420C"/>
    <w:pPr>
      <w:tabs>
        <w:tab w:val="clear" w:pos="4320"/>
        <w:tab w:val="clear" w:pos="8640"/>
      </w:tabs>
    </w:pPr>
    <w:rPr>
      <w:b/>
      <w:bCs/>
      <w:sz w:val="24"/>
      <w:szCs w:val="24"/>
      <w:u w:val="single"/>
    </w:rPr>
  </w:style>
  <w:style w:type="paragraph" w:customStyle="1" w:styleId="Bullet2">
    <w:name w:val="Bullet 2"/>
    <w:basedOn w:val="Normal"/>
    <w:uiPriority w:val="99"/>
    <w:rsid w:val="00C3420C"/>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1"/>
    <w:qFormat/>
    <w:rsid w:val="00C3420C"/>
    <w:pPr>
      <w:ind w:left="720"/>
      <w:contextualSpacing/>
      <w:jc w:val="left"/>
    </w:pPr>
    <w:rPr>
      <w:sz w:val="24"/>
      <w:szCs w:val="24"/>
      <w:lang w:val="en-US"/>
    </w:rPr>
  </w:style>
  <w:style w:type="paragraph" w:customStyle="1" w:styleId="xl73">
    <w:name w:val="xl73"/>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C3420C"/>
    <w:pPr>
      <w:spacing w:before="100" w:beforeAutospacing="1" w:after="100" w:afterAutospacing="1"/>
      <w:jc w:val="left"/>
    </w:pPr>
    <w:rPr>
      <w:sz w:val="16"/>
      <w:szCs w:val="16"/>
      <w:lang w:val="en-US"/>
    </w:rPr>
  </w:style>
  <w:style w:type="paragraph" w:customStyle="1" w:styleId="xl86">
    <w:name w:val="xl86"/>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C3420C"/>
    <w:pPr>
      <w:spacing w:before="100" w:beforeAutospacing="1" w:after="100" w:afterAutospacing="1"/>
      <w:jc w:val="left"/>
    </w:pPr>
    <w:rPr>
      <w:sz w:val="16"/>
      <w:szCs w:val="16"/>
      <w:lang w:val="en-US"/>
    </w:rPr>
  </w:style>
  <w:style w:type="paragraph" w:customStyle="1" w:styleId="xl90">
    <w:name w:val="xl90"/>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C3420C"/>
    <w:pPr>
      <w:spacing w:before="100" w:beforeAutospacing="1" w:after="100" w:afterAutospacing="1"/>
      <w:jc w:val="left"/>
    </w:pPr>
    <w:rPr>
      <w:sz w:val="16"/>
      <w:szCs w:val="16"/>
      <w:lang w:val="en-US"/>
    </w:rPr>
  </w:style>
  <w:style w:type="paragraph" w:customStyle="1" w:styleId="xl92">
    <w:name w:val="xl92"/>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0">
    <w:name w:val="xl70"/>
    <w:basedOn w:val="Normal"/>
    <w:rsid w:val="00C3420C"/>
    <w:pPr>
      <w:spacing w:before="100" w:beforeAutospacing="1" w:after="100" w:afterAutospacing="1"/>
      <w:jc w:val="center"/>
      <w:textAlignment w:val="top"/>
    </w:pPr>
    <w:rPr>
      <w:b/>
      <w:bCs/>
      <w:sz w:val="16"/>
      <w:szCs w:val="16"/>
      <w:lang w:val="en-CA" w:eastAsia="en-CA"/>
    </w:rPr>
  </w:style>
  <w:style w:type="paragraph" w:customStyle="1" w:styleId="xl71">
    <w:name w:val="xl71"/>
    <w:basedOn w:val="Normal"/>
    <w:rsid w:val="00C3420C"/>
    <w:pPr>
      <w:spacing w:before="100" w:beforeAutospacing="1" w:after="100" w:afterAutospacing="1"/>
      <w:jc w:val="left"/>
    </w:pPr>
    <w:rPr>
      <w:sz w:val="16"/>
      <w:szCs w:val="16"/>
      <w:lang w:val="en-CA" w:eastAsia="en-CA"/>
    </w:rPr>
  </w:style>
  <w:style w:type="paragraph" w:customStyle="1" w:styleId="xl93">
    <w:name w:val="xl93"/>
    <w:basedOn w:val="Normal"/>
    <w:rsid w:val="00C3420C"/>
    <w:pPr>
      <w:spacing w:before="100" w:beforeAutospacing="1" w:after="100" w:afterAutospacing="1"/>
      <w:jc w:val="left"/>
    </w:pPr>
    <w:rPr>
      <w:b/>
      <w:bCs/>
      <w:sz w:val="24"/>
      <w:szCs w:val="24"/>
      <w:lang w:val="en-CA" w:eastAsia="en-CA"/>
    </w:rPr>
  </w:style>
  <w:style w:type="character" w:styleId="FootnoteReference">
    <w:name w:val="footnote reference"/>
    <w:aliases w:val="Footnote text,16 Point,Superscript 6 Point,Footnote Text1,Footnote Text2"/>
    <w:rsid w:val="00C3420C"/>
    <w:rPr>
      <w:rFonts w:ascii="Times New Roman" w:hAnsi="Times New Roman" w:cs="Times New Roman"/>
      <w:position w:val="0"/>
      <w:sz w:val="24"/>
      <w:szCs w:val="24"/>
      <w:vertAlign w:val="superscript"/>
    </w:rPr>
  </w:style>
  <w:style w:type="paragraph" w:styleId="FootnoteText">
    <w:name w:val="footnote text"/>
    <w:aliases w:val="Fußnotentextf, Char1, Char1 Char Char,Char1,Char1 Char Char"/>
    <w:basedOn w:val="Normal"/>
    <w:link w:val="FootnoteTextChar"/>
    <w:qFormat/>
    <w:rsid w:val="00C3420C"/>
    <w:pPr>
      <w:spacing w:after="120"/>
      <w:ind w:left="432" w:hanging="432"/>
      <w:jc w:val="left"/>
    </w:pPr>
    <w:rPr>
      <w:sz w:val="20"/>
      <w:szCs w:val="20"/>
      <w:lang w:val="en-US" w:eastAsia="fr-FR"/>
    </w:rPr>
  </w:style>
  <w:style w:type="character" w:customStyle="1" w:styleId="FootnoteTextChar">
    <w:name w:val="Footnote Text Char"/>
    <w:aliases w:val="Fußnotentextf Char, Char1 Char, Char1 Char Char Char,Char1 Char,Char1 Char Char Char"/>
    <w:basedOn w:val="DefaultParagraphFont"/>
    <w:link w:val="FootnoteText"/>
    <w:rsid w:val="00C3420C"/>
    <w:rPr>
      <w:lang w:eastAsia="fr-FR"/>
    </w:rPr>
  </w:style>
  <w:style w:type="paragraph" w:customStyle="1" w:styleId="a--">
    <w:name w:val="a-(-)"/>
    <w:basedOn w:val="Normal"/>
    <w:rsid w:val="00C3420C"/>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numbering" w:customStyle="1" w:styleId="NoList1">
    <w:name w:val="No List1"/>
    <w:next w:val="NoList"/>
    <w:uiPriority w:val="99"/>
    <w:semiHidden/>
    <w:unhideWhenUsed/>
    <w:rsid w:val="00C3420C"/>
  </w:style>
  <w:style w:type="paragraph" w:customStyle="1" w:styleId="xl94">
    <w:name w:val="xl94"/>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C3420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C3420C"/>
    <w:pPr>
      <w:spacing w:before="100" w:beforeAutospacing="1" w:after="100" w:afterAutospacing="1"/>
      <w:jc w:val="left"/>
      <w:textAlignment w:val="top"/>
    </w:pPr>
    <w:rPr>
      <w:sz w:val="24"/>
      <w:szCs w:val="24"/>
      <w:lang w:val="en-US"/>
    </w:rPr>
  </w:style>
  <w:style w:type="paragraph" w:styleId="Revision">
    <w:name w:val="Revision"/>
    <w:hidden/>
    <w:uiPriority w:val="99"/>
    <w:semiHidden/>
    <w:rsid w:val="00C3420C"/>
    <w:rPr>
      <w:sz w:val="22"/>
      <w:szCs w:val="22"/>
      <w:lang w:val="en-GB"/>
    </w:rPr>
  </w:style>
  <w:style w:type="paragraph" w:customStyle="1" w:styleId="TableParagraph">
    <w:name w:val="Table Paragraph"/>
    <w:basedOn w:val="Normal"/>
    <w:uiPriority w:val="1"/>
    <w:qFormat/>
    <w:rsid w:val="0073739E"/>
    <w:pPr>
      <w:widowControl w:val="0"/>
      <w:autoSpaceDE w:val="0"/>
      <w:autoSpaceDN w:val="0"/>
      <w:spacing w:line="227" w:lineRule="exact"/>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6-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UNEP/OzL.Pro/ExCom/86/17</Document_x0020_Number>
    <Posted_x0020_after_x0020_IAP xmlns="4aeb65a0-cd8f-45aa-a04d-ad1384b86dfc">true</Posted_x0020_after_x0020_IAP>
  </documentManagement>
</p:properties>
</file>

<file path=customXml/itemProps1.xml><?xml version="1.0" encoding="utf-8"?>
<ds:datastoreItem xmlns:ds="http://schemas.openxmlformats.org/officeDocument/2006/customXml" ds:itemID="{10A277D6-7CE1-4E75-A7E1-D47993EC4CAB}"/>
</file>

<file path=customXml/itemProps2.xml><?xml version="1.0" encoding="utf-8"?>
<ds:datastoreItem xmlns:ds="http://schemas.openxmlformats.org/officeDocument/2006/customXml" ds:itemID="{76C45363-13EB-45A0-AF15-75DE3F397985}"/>
</file>

<file path=customXml/itemProps3.xml><?xml version="1.0" encoding="utf-8"?>
<ds:datastoreItem xmlns:ds="http://schemas.openxmlformats.org/officeDocument/2006/customXml" ds:itemID="{91C081C3-0139-48B0-BEA1-69B4A27B64F7}"/>
</file>

<file path=customXml/itemProps4.xml><?xml version="1.0" encoding="utf-8"?>
<ds:datastoreItem xmlns:ds="http://schemas.openxmlformats.org/officeDocument/2006/customXml" ds:itemID="{BEDB7239-8E6F-468D-B745-334593F7E5BB}"/>
</file>

<file path=docProps/app.xml><?xml version="1.0" encoding="utf-8"?>
<Properties xmlns="http://schemas.openxmlformats.org/officeDocument/2006/extended-properties" xmlns:vt="http://schemas.openxmlformats.org/officeDocument/2006/docPropsVTypes">
  <Template>S86-template (2)</Template>
  <TotalTime>825</TotalTime>
  <Pages>13</Pages>
  <Words>4286</Words>
  <Characters>19828</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Informe sobre la marcha de las actividades del PNUD al 31 de diciembre de 2019</vt:lpstr>
    </vt:vector>
  </TitlesOfParts>
  <Company>UNMFS</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las actividades del PNUD al 31 de diciembre de 2019</dc:title>
  <dc:creator/>
  <cp:lastModifiedBy>Kata Koppel</cp:lastModifiedBy>
  <cp:revision>58</cp:revision>
  <cp:lastPrinted>2020-11-06T17:49:00Z</cp:lastPrinted>
  <dcterms:created xsi:type="dcterms:W3CDTF">2020-11-05T10:45:00Z</dcterms:created>
  <dcterms:modified xsi:type="dcterms:W3CDTF">2020-11-23T04:26:00Z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UNEP/OzL.Pro/ExCom/86/17</vt:lpwstr>
  </property>
  <property fmtid="{D5CDD505-2E9C-101B-9397-08002B2CF9AE}" pid="3" name="Revision date">
    <vt:lpwstr>10/23/2020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