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711F19">
        <w:trPr>
          <w:trHeight w:val="720"/>
        </w:trPr>
        <w:tc>
          <w:tcPr>
            <w:tcW w:w="6494" w:type="dxa"/>
            <w:gridSpan w:val="2"/>
            <w:tcBorders>
              <w:bottom w:val="single" w:sz="18" w:space="0" w:color="auto"/>
            </w:tcBorders>
          </w:tcPr>
          <w:p w:rsidR="0087455A" w:rsidRPr="00711F19" w:rsidRDefault="0024162E">
            <w:pPr>
              <w:rPr>
                <w:rFonts w:ascii="Univers" w:hAnsi="Univers"/>
                <w:b/>
                <w:sz w:val="28"/>
                <w:szCs w:val="28"/>
                <w:lang w:val="es-MX"/>
              </w:rPr>
            </w:pPr>
            <w:r w:rsidRPr="00711F19">
              <w:rPr>
                <w:rFonts w:ascii="Univers" w:hAnsi="Univers"/>
                <w:b/>
                <w:sz w:val="28"/>
                <w:szCs w:val="28"/>
                <w:lang w:val="es-MX"/>
              </w:rPr>
              <w:t>NACIONES</w:t>
            </w:r>
          </w:p>
          <w:p w:rsidR="0087455A" w:rsidRPr="00711F19" w:rsidRDefault="0024162E">
            <w:pPr>
              <w:rPr>
                <w:rFonts w:ascii="Univers" w:hAnsi="Univers"/>
                <w:b/>
                <w:sz w:val="28"/>
                <w:szCs w:val="28"/>
                <w:lang w:val="es-MX"/>
              </w:rPr>
            </w:pPr>
            <w:r w:rsidRPr="00711F19">
              <w:rPr>
                <w:rFonts w:ascii="Univers" w:hAnsi="Univers"/>
                <w:b/>
                <w:sz w:val="28"/>
                <w:szCs w:val="28"/>
                <w:lang w:val="es-MX"/>
              </w:rPr>
              <w:t>UNIDAS</w:t>
            </w:r>
          </w:p>
        </w:tc>
        <w:tc>
          <w:tcPr>
            <w:tcW w:w="4590" w:type="dxa"/>
            <w:tcBorders>
              <w:bottom w:val="single" w:sz="18" w:space="0" w:color="auto"/>
            </w:tcBorders>
          </w:tcPr>
          <w:p w:rsidR="0087455A" w:rsidRPr="00711F19" w:rsidRDefault="0024162E">
            <w:pPr>
              <w:jc w:val="right"/>
              <w:rPr>
                <w:rFonts w:asciiTheme="minorBidi" w:hAnsiTheme="minorBidi" w:cstheme="minorBidi"/>
                <w:sz w:val="52"/>
                <w:szCs w:val="52"/>
                <w:lang w:val="es-MX"/>
              </w:rPr>
            </w:pPr>
            <w:r w:rsidRPr="00711F19">
              <w:rPr>
                <w:rFonts w:asciiTheme="minorBidi" w:hAnsiTheme="minorBidi" w:cstheme="minorBidi"/>
                <w:b/>
                <w:sz w:val="72"/>
                <w:lang w:val="es-MX"/>
              </w:rPr>
              <w:t>EP</w:t>
            </w:r>
          </w:p>
        </w:tc>
      </w:tr>
      <w:tr w:rsidR="0087455A" w:rsidRPr="0071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Pr="00711F19" w:rsidRDefault="0024162E">
            <w:pPr>
              <w:spacing w:before="120"/>
              <w:rPr>
                <w:lang w:val="es-MX"/>
              </w:rPr>
            </w:pPr>
            <w:r w:rsidRPr="00711F19">
              <w:rPr>
                <w:noProof/>
                <w:lang w:val="en-US"/>
              </w:rPr>
              <w:drawing>
                <wp:anchor distT="0" distB="0" distL="114300" distR="114300" simplePos="0" relativeHeight="251660288" behindDoc="0" locked="0" layoutInCell="1" allowOverlap="1" wp14:anchorId="0076CFBC" wp14:editId="690C1997">
                  <wp:simplePos x="0" y="0"/>
                  <wp:positionH relativeFrom="column">
                    <wp:posOffset>24765</wp:posOffset>
                  </wp:positionH>
                  <wp:positionV relativeFrom="paragraph">
                    <wp:posOffset>970280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711F19">
              <w:rPr>
                <w:noProof/>
                <w:lang w:val="en-US"/>
              </w:rPr>
              <w:drawing>
                <wp:anchor distT="0" distB="0" distL="114300" distR="114300" simplePos="0" relativeHeight="251661312" behindDoc="1" locked="0" layoutInCell="0" allowOverlap="1" wp14:anchorId="103E9BD6" wp14:editId="4CED27D9">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Pr="00711F19"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rsidR="0087455A" w:rsidRPr="00711F19"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711F19">
              <w:rPr>
                <w:rFonts w:ascii="Univers" w:hAnsi="Univers"/>
                <w:b/>
                <w:sz w:val="32"/>
                <w:lang w:val="es-MX"/>
              </w:rPr>
              <w:t>Programa de las</w:t>
            </w:r>
          </w:p>
          <w:p w:rsidR="0087455A" w:rsidRPr="00711F19"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711F19">
              <w:rPr>
                <w:rFonts w:ascii="Univers" w:hAnsi="Univers"/>
                <w:b/>
                <w:sz w:val="32"/>
                <w:lang w:val="es-MX"/>
              </w:rPr>
              <w:t>Naciones Unidas</w:t>
            </w:r>
          </w:p>
          <w:p w:rsidR="0087455A" w:rsidRPr="00711F19"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711F19">
              <w:rPr>
                <w:rFonts w:ascii="Univers" w:hAnsi="Univers"/>
                <w:b/>
                <w:sz w:val="32"/>
                <w:lang w:val="es-MX"/>
              </w:rPr>
              <w:t>para el Medio Ambiente</w:t>
            </w:r>
          </w:p>
          <w:p w:rsidR="0087455A" w:rsidRPr="00711F19"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rsidR="0087455A" w:rsidRPr="00711F19" w:rsidRDefault="0087455A">
            <w:pPr>
              <w:spacing w:before="720"/>
              <w:ind w:left="158"/>
              <w:rPr>
                <w:lang w:val="es-MX"/>
              </w:rPr>
            </w:pPr>
          </w:p>
        </w:tc>
        <w:tc>
          <w:tcPr>
            <w:tcW w:w="4590" w:type="dxa"/>
            <w:tcBorders>
              <w:top w:val="nil"/>
              <w:left w:val="nil"/>
              <w:bottom w:val="single" w:sz="36" w:space="0" w:color="auto"/>
              <w:right w:val="nil"/>
            </w:tcBorders>
          </w:tcPr>
          <w:p w:rsidR="0087455A" w:rsidRPr="00711F19" w:rsidRDefault="0087455A">
            <w:pPr>
              <w:rPr>
                <w:lang w:val="es-MX"/>
              </w:rPr>
            </w:pPr>
          </w:p>
          <w:p w:rsidR="0087455A" w:rsidRPr="00711F19" w:rsidRDefault="0024162E">
            <w:pPr>
              <w:rPr>
                <w:lang w:val="es-MX"/>
              </w:rPr>
            </w:pPr>
            <w:proofErr w:type="spellStart"/>
            <w:r w:rsidRPr="00711F19">
              <w:rPr>
                <w:lang w:val="es-MX"/>
              </w:rPr>
              <w:t>Distr</w:t>
            </w:r>
            <w:proofErr w:type="spellEnd"/>
            <w:r w:rsidRPr="00711F19">
              <w:rPr>
                <w:lang w:val="es-MX"/>
              </w:rPr>
              <w:t>.</w:t>
            </w:r>
          </w:p>
          <w:p w:rsidR="0087455A" w:rsidRPr="00711F19" w:rsidRDefault="0024162E">
            <w:pPr>
              <w:rPr>
                <w:lang w:val="es-MX"/>
              </w:rPr>
            </w:pPr>
            <w:r w:rsidRPr="00711F19">
              <w:rPr>
                <w:lang w:val="es-MX"/>
              </w:rPr>
              <w:t>GENERAL</w:t>
            </w:r>
          </w:p>
          <w:p w:rsidR="0087455A" w:rsidRPr="00711F19" w:rsidRDefault="0087455A">
            <w:pPr>
              <w:rPr>
                <w:lang w:val="es-MX"/>
              </w:rPr>
            </w:pPr>
          </w:p>
          <w:p w:rsidR="0087455A" w:rsidRPr="00711F19" w:rsidRDefault="0024162E">
            <w:pPr>
              <w:rPr>
                <w:lang w:val="es-MX"/>
              </w:rPr>
            </w:pPr>
            <w:r w:rsidRPr="00711F19">
              <w:rPr>
                <w:lang w:val="es-MX"/>
              </w:rPr>
              <w:fldChar w:fldCharType="begin"/>
            </w:r>
            <w:r w:rsidRPr="00711F19">
              <w:rPr>
                <w:lang w:val="es-MX"/>
              </w:rPr>
              <w:instrText xml:space="preserve"> DOCPROPERTY "Document number"  \* MERGEFORMAT </w:instrText>
            </w:r>
            <w:r w:rsidRPr="00711F19">
              <w:rPr>
                <w:lang w:val="es-MX"/>
              </w:rPr>
              <w:fldChar w:fldCharType="separate"/>
            </w:r>
            <w:r w:rsidR="000F2FFB" w:rsidRPr="00711F19">
              <w:rPr>
                <w:lang w:val="es-MX"/>
              </w:rPr>
              <w:t>UNEP/</w:t>
            </w:r>
            <w:proofErr w:type="spellStart"/>
            <w:r w:rsidR="000F2FFB" w:rsidRPr="00711F19">
              <w:rPr>
                <w:lang w:val="es-MX"/>
              </w:rPr>
              <w:t>OzL.Pro</w:t>
            </w:r>
            <w:proofErr w:type="spellEnd"/>
            <w:r w:rsidR="000F2FFB" w:rsidRPr="00711F19">
              <w:rPr>
                <w:lang w:val="es-MX"/>
              </w:rPr>
              <w:t>/</w:t>
            </w:r>
            <w:proofErr w:type="spellStart"/>
            <w:r w:rsidR="000F2FFB" w:rsidRPr="00711F19">
              <w:rPr>
                <w:lang w:val="es-MX"/>
              </w:rPr>
              <w:t>ExCom</w:t>
            </w:r>
            <w:proofErr w:type="spellEnd"/>
            <w:r w:rsidR="000F2FFB" w:rsidRPr="00711F19">
              <w:rPr>
                <w:lang w:val="es-MX"/>
              </w:rPr>
              <w:t>/86/1</w:t>
            </w:r>
            <w:r w:rsidRPr="00711F19">
              <w:rPr>
                <w:lang w:val="es-MX"/>
              </w:rPr>
              <w:fldChar w:fldCharType="end"/>
            </w:r>
            <w:r w:rsidR="000F2FFB" w:rsidRPr="00711F19">
              <w:rPr>
                <w:lang w:val="es-MX"/>
              </w:rPr>
              <w:t>9</w:t>
            </w:r>
          </w:p>
          <w:p w:rsidR="0087455A" w:rsidRPr="00711F19" w:rsidRDefault="001C2D22" w:rsidP="00F10CD9">
            <w:pPr>
              <w:rPr>
                <w:caps/>
                <w:lang w:val="es-MX"/>
              </w:rPr>
            </w:pPr>
            <w:r w:rsidRPr="00711F19">
              <w:rPr>
                <w:caps/>
                <w:lang w:val="es-MX"/>
              </w:rPr>
              <w:t>2</w:t>
            </w:r>
            <w:r w:rsidR="00C40E04" w:rsidRPr="00711F19">
              <w:rPr>
                <w:caps/>
                <w:lang w:val="es-MX"/>
              </w:rPr>
              <w:t>3</w:t>
            </w:r>
            <w:r w:rsidR="00114CAA" w:rsidRPr="00711F19">
              <w:rPr>
                <w:caps/>
                <w:lang w:val="es-MX"/>
              </w:rPr>
              <w:t xml:space="preserve"> </w:t>
            </w:r>
            <w:r w:rsidR="00114CAA" w:rsidRPr="00711F19">
              <w:rPr>
                <w:lang w:val="es-MX"/>
              </w:rPr>
              <w:t xml:space="preserve">de </w:t>
            </w:r>
            <w:r w:rsidR="00B83FFA" w:rsidRPr="00711F19">
              <w:rPr>
                <w:lang w:val="es-MX"/>
              </w:rPr>
              <w:t>octubre</w:t>
            </w:r>
            <w:r w:rsidR="00114CAA" w:rsidRPr="00711F19">
              <w:rPr>
                <w:lang w:val="es-MX"/>
              </w:rPr>
              <w:t xml:space="preserve"> de </w:t>
            </w:r>
            <w:r w:rsidRPr="00711F19">
              <w:rPr>
                <w:caps/>
                <w:lang w:val="es-MX"/>
              </w:rPr>
              <w:t>20</w:t>
            </w:r>
            <w:r w:rsidR="00C40E04" w:rsidRPr="00711F19">
              <w:rPr>
                <w:caps/>
                <w:lang w:val="es-MX"/>
              </w:rPr>
              <w:t>20</w:t>
            </w:r>
          </w:p>
          <w:p w:rsidR="00114CAA" w:rsidRPr="00711F19" w:rsidRDefault="00114CAA">
            <w:pPr>
              <w:rPr>
                <w:caps/>
                <w:lang w:val="es-MX"/>
              </w:rPr>
            </w:pPr>
          </w:p>
          <w:p w:rsidR="0087455A" w:rsidRPr="00711F19" w:rsidRDefault="0024162E">
            <w:pPr>
              <w:rPr>
                <w:lang w:val="es-MX"/>
              </w:rPr>
            </w:pPr>
            <w:r w:rsidRPr="00711F19">
              <w:rPr>
                <w:lang w:val="es-MX"/>
              </w:rPr>
              <w:t xml:space="preserve">ESPAÑOL </w:t>
            </w:r>
          </w:p>
          <w:p w:rsidR="0087455A" w:rsidRPr="00711F19" w:rsidRDefault="0024162E">
            <w:pPr>
              <w:rPr>
                <w:lang w:val="es-MX"/>
              </w:rPr>
            </w:pPr>
            <w:r w:rsidRPr="00711F19">
              <w:rPr>
                <w:lang w:val="es-MX"/>
              </w:rPr>
              <w:t>ORIGINAL: INGLÉS</w:t>
            </w:r>
          </w:p>
        </w:tc>
      </w:tr>
    </w:tbl>
    <w:p w:rsidR="0087455A" w:rsidRPr="00711F19" w:rsidRDefault="0087455A">
      <w:pPr>
        <w:jc w:val="left"/>
        <w:rPr>
          <w:lang w:val="es-MX"/>
        </w:rPr>
      </w:pPr>
    </w:p>
    <w:p w:rsidR="0087455A" w:rsidRPr="00711F19" w:rsidRDefault="0024162E">
      <w:pPr>
        <w:jc w:val="left"/>
        <w:rPr>
          <w:lang w:val="es-MX"/>
        </w:rPr>
      </w:pPr>
      <w:r w:rsidRPr="00711F19">
        <w:rPr>
          <w:lang w:val="es-MX"/>
        </w:rPr>
        <w:t>COMITÉ EJECUTIVO DEL FONDO MULTILATERAL</w:t>
      </w:r>
      <w:r w:rsidRPr="00711F19">
        <w:rPr>
          <w:lang w:val="es-MX"/>
        </w:rPr>
        <w:br/>
        <w:t xml:space="preserve">  PARA LA APLICACIÓN DEL</w:t>
      </w:r>
      <w:r w:rsidRPr="00711F19">
        <w:rPr>
          <w:lang w:val="es-MX"/>
        </w:rPr>
        <w:br/>
        <w:t xml:space="preserve">  PROTOCOLO DE MONTREAL</w:t>
      </w:r>
    </w:p>
    <w:p w:rsidR="00106F6E" w:rsidRPr="00711F19" w:rsidRDefault="00106F6E" w:rsidP="001F4047">
      <w:pPr>
        <w:jc w:val="left"/>
        <w:rPr>
          <w:lang w:val="es-MX"/>
        </w:rPr>
      </w:pPr>
      <w:r w:rsidRPr="00711F19">
        <w:rPr>
          <w:lang w:val="es-MX"/>
        </w:rPr>
        <w:t xml:space="preserve">Octogésima </w:t>
      </w:r>
      <w:r w:rsidR="006915A5" w:rsidRPr="00711F19">
        <w:rPr>
          <w:lang w:val="es-MX"/>
        </w:rPr>
        <w:t>sexta</w:t>
      </w:r>
      <w:r w:rsidR="003863A4" w:rsidRPr="00711F19">
        <w:rPr>
          <w:lang w:val="es-MX"/>
        </w:rPr>
        <w:t xml:space="preserve"> Reunión</w:t>
      </w:r>
      <w:r w:rsidR="003863A4" w:rsidRPr="00711F19">
        <w:rPr>
          <w:lang w:val="es-MX"/>
        </w:rPr>
        <w:br/>
        <w:t xml:space="preserve">Montreal, </w:t>
      </w:r>
      <w:r w:rsidR="0092685B" w:rsidRPr="00711F19">
        <w:rPr>
          <w:lang w:val="es-MX"/>
        </w:rPr>
        <w:t>2</w:t>
      </w:r>
      <w:r w:rsidR="003863A4" w:rsidRPr="00711F19">
        <w:rPr>
          <w:lang w:val="es-MX"/>
        </w:rPr>
        <w:t xml:space="preserve"> </w:t>
      </w:r>
      <w:r w:rsidRPr="00711F19">
        <w:rPr>
          <w:lang w:val="es-MX"/>
        </w:rPr>
        <w:t xml:space="preserve">– </w:t>
      </w:r>
      <w:r w:rsidR="00B83FFA" w:rsidRPr="00711F19">
        <w:rPr>
          <w:lang w:val="es-MX"/>
        </w:rPr>
        <w:t>6</w:t>
      </w:r>
      <w:r w:rsidRPr="00711F19">
        <w:rPr>
          <w:lang w:val="es-MX"/>
        </w:rPr>
        <w:t xml:space="preserve"> de </w:t>
      </w:r>
      <w:r w:rsidR="00B83FFA" w:rsidRPr="00711F19">
        <w:rPr>
          <w:lang w:val="es-MX"/>
        </w:rPr>
        <w:t>noviembre</w:t>
      </w:r>
      <w:r w:rsidR="001C2D22" w:rsidRPr="00711F19">
        <w:rPr>
          <w:lang w:val="es-MX"/>
        </w:rPr>
        <w:t xml:space="preserve"> de 20</w:t>
      </w:r>
      <w:r w:rsidR="0092685B" w:rsidRPr="00711F19">
        <w:rPr>
          <w:lang w:val="es-MX"/>
        </w:rPr>
        <w:t>20</w:t>
      </w:r>
    </w:p>
    <w:p w:rsidR="0092685B" w:rsidRPr="00711F19" w:rsidRDefault="00C40E04" w:rsidP="001F4047">
      <w:pPr>
        <w:jc w:val="left"/>
        <w:rPr>
          <w:lang w:val="es-MX"/>
        </w:rPr>
      </w:pPr>
      <w:r w:rsidRPr="00711F19">
        <w:rPr>
          <w:lang w:val="es-MX"/>
        </w:rPr>
        <w:t xml:space="preserve">Pospuesta: </w:t>
      </w:r>
      <w:r w:rsidR="00B83FFA" w:rsidRPr="00711F19">
        <w:rPr>
          <w:lang w:val="es-MX"/>
        </w:rPr>
        <w:t>8</w:t>
      </w:r>
      <w:r w:rsidRPr="00711F19">
        <w:rPr>
          <w:lang w:val="es-MX"/>
        </w:rPr>
        <w:t xml:space="preserve"> – </w:t>
      </w:r>
      <w:r w:rsidR="00B83FFA" w:rsidRPr="00711F19">
        <w:rPr>
          <w:lang w:val="es-MX"/>
        </w:rPr>
        <w:t>1</w:t>
      </w:r>
      <w:r w:rsidRPr="00711F19">
        <w:rPr>
          <w:lang w:val="es-MX"/>
        </w:rPr>
        <w:t xml:space="preserve">2 de </w:t>
      </w:r>
      <w:r w:rsidR="00B83FFA" w:rsidRPr="00711F19">
        <w:rPr>
          <w:lang w:val="es-MX"/>
        </w:rPr>
        <w:t>marzo</w:t>
      </w:r>
      <w:r w:rsidRPr="00711F19">
        <w:rPr>
          <w:lang w:val="es-MX"/>
        </w:rPr>
        <w:t xml:space="preserve"> de 202</w:t>
      </w:r>
      <w:r w:rsidR="00B83FFA" w:rsidRPr="00711F19">
        <w:rPr>
          <w:lang w:val="es-MX"/>
        </w:rPr>
        <w:t>1</w:t>
      </w:r>
      <w:r w:rsidR="00D25F3D" w:rsidRPr="00711F19">
        <w:rPr>
          <w:rStyle w:val="FootnoteReference"/>
          <w:lang w:val="es-MX"/>
        </w:rPr>
        <w:footnoteReference w:id="1"/>
      </w:r>
    </w:p>
    <w:p w:rsidR="00106F6E" w:rsidRPr="00711F19" w:rsidRDefault="00106F6E" w:rsidP="00106F6E">
      <w:pPr>
        <w:jc w:val="left"/>
        <w:rPr>
          <w:lang w:val="es-MX"/>
        </w:rPr>
      </w:pPr>
    </w:p>
    <w:p w:rsidR="0087455A" w:rsidRPr="00711F19" w:rsidRDefault="0087455A">
      <w:pPr>
        <w:pStyle w:val="Heading3"/>
        <w:numPr>
          <w:ilvl w:val="0"/>
          <w:numId w:val="0"/>
        </w:numPr>
        <w:spacing w:after="0"/>
        <w:rPr>
          <w:lang w:val="es-MX"/>
        </w:rPr>
      </w:pPr>
    </w:p>
    <w:p w:rsidR="0087455A" w:rsidRPr="00711F19" w:rsidRDefault="0087455A" w:rsidP="0010622B">
      <w:pPr>
        <w:pStyle w:val="Title1"/>
        <w:keepNext/>
        <w:keepLines/>
        <w:rPr>
          <w:lang w:val="es-MX"/>
        </w:rPr>
      </w:pPr>
    </w:p>
    <w:p w:rsidR="0010622B" w:rsidRDefault="000F2FFB" w:rsidP="0010622B">
      <w:pPr>
        <w:pStyle w:val="0Heading0"/>
        <w:keepNext/>
        <w:keepLines/>
        <w:jc w:val="center"/>
        <w:rPr>
          <w:b/>
          <w:bCs/>
          <w:caps/>
          <w:lang w:val="es-MX"/>
        </w:rPr>
      </w:pPr>
      <w:r w:rsidRPr="00711F19">
        <w:rPr>
          <w:b/>
          <w:bCs/>
          <w:caps/>
          <w:lang w:val="es-MX"/>
        </w:rPr>
        <w:t xml:space="preserve">INFORME SOBRE LA MARCHA DE LAS ACTIVIDADES DE LA ONUDI </w:t>
      </w:r>
    </w:p>
    <w:p w:rsidR="000F2FFB" w:rsidRDefault="000F2FFB" w:rsidP="0010622B">
      <w:pPr>
        <w:pStyle w:val="0Heading0"/>
        <w:keepNext/>
        <w:keepLines/>
        <w:jc w:val="center"/>
        <w:rPr>
          <w:b/>
          <w:bCs/>
          <w:caps/>
          <w:lang w:val="es-MX"/>
        </w:rPr>
      </w:pPr>
      <w:r w:rsidRPr="00711F19">
        <w:rPr>
          <w:b/>
          <w:bCs/>
          <w:caps/>
          <w:lang w:val="es-MX"/>
        </w:rPr>
        <w:t>al 31 de diciembre de 2019</w:t>
      </w:r>
    </w:p>
    <w:p w:rsidR="0010622B" w:rsidRPr="00711F19" w:rsidRDefault="0010622B" w:rsidP="000F2FFB">
      <w:pPr>
        <w:pStyle w:val="0Heading0"/>
        <w:spacing w:after="240"/>
        <w:jc w:val="center"/>
        <w:rPr>
          <w:b/>
          <w:bCs/>
          <w:caps/>
          <w:lang w:val="es-MX"/>
        </w:rPr>
      </w:pPr>
    </w:p>
    <w:p w:rsidR="000F2FFB" w:rsidRPr="00711F19" w:rsidRDefault="000F2FFB" w:rsidP="000F2FFB">
      <w:pPr>
        <w:pStyle w:val="Heading1"/>
        <w:rPr>
          <w:lang w:val="es-MX"/>
        </w:rPr>
      </w:pPr>
      <w:r w:rsidRPr="00711F19">
        <w:rPr>
          <w:lang w:val="es-MX"/>
        </w:rPr>
        <w:t>Este documento presenta el informe sobre la marcha de las actividades de la ONUDI al 31 de diciembre de 2019.</w:t>
      </w:r>
      <w:r w:rsidRPr="00711F19">
        <w:rPr>
          <w:rStyle w:val="FootnoteReference"/>
          <w:lang w:val="es-MX"/>
        </w:rPr>
        <w:footnoteReference w:id="2"/>
      </w:r>
    </w:p>
    <w:p w:rsidR="000F2FFB" w:rsidRPr="00711F19" w:rsidRDefault="000F2FFB" w:rsidP="000F2FFB">
      <w:pPr>
        <w:rPr>
          <w:b/>
          <w:lang w:val="es-MX"/>
        </w:rPr>
      </w:pPr>
      <w:r w:rsidRPr="00711F19">
        <w:rPr>
          <w:b/>
          <w:lang w:val="es-MX"/>
        </w:rPr>
        <w:t>Introducción</w:t>
      </w:r>
    </w:p>
    <w:p w:rsidR="000F2FFB" w:rsidRPr="00711F19" w:rsidRDefault="000F2FFB" w:rsidP="000F2FFB">
      <w:pPr>
        <w:rPr>
          <w:lang w:val="es-MX"/>
        </w:rPr>
      </w:pPr>
    </w:p>
    <w:p w:rsidR="000F2FFB" w:rsidRPr="00711F19" w:rsidRDefault="000F2FFB" w:rsidP="000F2FFB">
      <w:pPr>
        <w:pStyle w:val="Heading1"/>
        <w:rPr>
          <w:lang w:val="es-MX"/>
        </w:rPr>
      </w:pPr>
      <w:r w:rsidRPr="00711F19">
        <w:rPr>
          <w:lang w:val="es-MX"/>
        </w:rPr>
        <w:t xml:space="preserve">El informe sobre la marcha de las actividades de la ONUDI incluye el estado de ejecución de los proyectos, incluidos 35 proyectos relacionados con los HFC que se han </w:t>
      </w:r>
      <w:r w:rsidR="006B54F5">
        <w:rPr>
          <w:lang w:val="es-MX"/>
        </w:rPr>
        <w:t>financiado con contribuciones vo</w:t>
      </w:r>
      <w:r w:rsidRPr="00711F19">
        <w:rPr>
          <w:lang w:val="es-MX"/>
        </w:rPr>
        <w:t>luntarias adicionales de 17 Partes que no operan al amparo del Artículo 5 para proporcionar ayuda a corto plazo para la aplicación de la Enmienda de Kigali.</w:t>
      </w:r>
    </w:p>
    <w:p w:rsidR="000F2FFB" w:rsidRPr="00711F19" w:rsidRDefault="000F2FFB" w:rsidP="000F2FFB">
      <w:pPr>
        <w:pStyle w:val="Heading1"/>
        <w:rPr>
          <w:lang w:val="es-MX"/>
        </w:rPr>
      </w:pPr>
      <w:r w:rsidRPr="00711F19">
        <w:rPr>
          <w:lang w:val="es-MX"/>
        </w:rPr>
        <w:t xml:space="preserve">La Secretaría examinó la situación de la ejecución de cada proyecto país por país, tomando en consideración las demoras en la ejecución que se han producido con respecto a las fechas de finalización previstas que se comunicaron en 2019, las posibles repercusiones de dichas demoras sobre la eliminación de las sustancias controladas y la tasa de los desembolsos previstos. El análisis contenido en el presente documento se basa en toneladas PAO para todas las sustancias controladas (incluidos los HFC que se deben medir en </w:t>
      </w:r>
      <w:proofErr w:type="spellStart"/>
      <w:r w:rsidRPr="00711F19">
        <w:rPr>
          <w:lang w:val="es-MX"/>
        </w:rPr>
        <w:t>tm</w:t>
      </w:r>
      <w:proofErr w:type="spellEnd"/>
      <w:r w:rsidRPr="00711F19">
        <w:rPr>
          <w:lang w:val="es-MX"/>
        </w:rPr>
        <w:t xml:space="preserve"> de </w:t>
      </w:r>
      <w:proofErr w:type="spellStart"/>
      <w:r w:rsidRPr="00711F19">
        <w:rPr>
          <w:lang w:val="es-MX"/>
        </w:rPr>
        <w:t>eq</w:t>
      </w:r>
      <w:proofErr w:type="spellEnd"/>
      <w:r w:rsidRPr="00711F19">
        <w:rPr>
          <w:lang w:val="es-MX"/>
        </w:rPr>
        <w:t>. de CO</w:t>
      </w:r>
      <w:r w:rsidRPr="00711F19">
        <w:rPr>
          <w:sz w:val="14"/>
          <w:szCs w:val="14"/>
          <w:lang w:val="es-MX"/>
        </w:rPr>
        <w:t>2</w:t>
      </w:r>
      <w:r w:rsidRPr="00711F19">
        <w:rPr>
          <w:lang w:val="es-MX"/>
        </w:rPr>
        <w:t>).</w:t>
      </w:r>
      <w:r w:rsidRPr="00711F19">
        <w:rPr>
          <w:rStyle w:val="FootnoteReference"/>
          <w:lang w:val="es-MX"/>
        </w:rPr>
        <w:footnoteReference w:id="3"/>
      </w:r>
    </w:p>
    <w:p w:rsidR="000F2FFB" w:rsidRPr="00711F19" w:rsidRDefault="000F2FFB" w:rsidP="000F2FFB">
      <w:pPr>
        <w:keepNext/>
        <w:rPr>
          <w:u w:val="single"/>
          <w:lang w:val="es-MX"/>
        </w:rPr>
      </w:pPr>
      <w:r w:rsidRPr="00711F19">
        <w:rPr>
          <w:u w:val="single"/>
          <w:lang w:val="es-MX"/>
        </w:rPr>
        <w:lastRenderedPageBreak/>
        <w:t>Alcance del documento</w:t>
      </w:r>
    </w:p>
    <w:p w:rsidR="000F2FFB" w:rsidRPr="00711F19" w:rsidRDefault="000F2FFB" w:rsidP="000F2FFB">
      <w:pPr>
        <w:keepNext/>
        <w:rPr>
          <w:lang w:val="es-MX"/>
        </w:rPr>
      </w:pPr>
    </w:p>
    <w:p w:rsidR="000F2FFB" w:rsidRPr="00711F19" w:rsidRDefault="000F2FFB" w:rsidP="000F2FFB">
      <w:pPr>
        <w:pStyle w:val="Heading1"/>
        <w:rPr>
          <w:lang w:val="es-MX"/>
        </w:rPr>
      </w:pPr>
      <w:r w:rsidRPr="00711F19">
        <w:rPr>
          <w:lang w:val="es-MX"/>
        </w:rPr>
        <w:t>El presente documento consta de las siguientes partes:</w:t>
      </w:r>
    </w:p>
    <w:p w:rsidR="000F2FFB" w:rsidRPr="00711F19" w:rsidRDefault="000F2FFB" w:rsidP="000F2FFB">
      <w:pPr>
        <w:pStyle w:val="Heading2"/>
        <w:keepNext/>
        <w:widowControl/>
        <w:numPr>
          <w:ilvl w:val="0"/>
          <w:numId w:val="0"/>
        </w:numPr>
        <w:adjustRightInd w:val="0"/>
        <w:ind w:left="2160" w:hanging="1440"/>
        <w:textAlignment w:val="baseline"/>
        <w:rPr>
          <w:szCs w:val="28"/>
          <w:lang w:val="es-MX"/>
        </w:rPr>
      </w:pPr>
      <w:r w:rsidRPr="00711F19">
        <w:rPr>
          <w:lang w:val="es-MX"/>
        </w:rPr>
        <w:t>Parte I:</w:t>
      </w:r>
      <w:r w:rsidRPr="00711F19">
        <w:rPr>
          <w:lang w:val="es-MX"/>
        </w:rPr>
        <w:tab/>
        <w:t>Proyectos aprobados en el marco de las contribuciones ordinarias al Fondo Multilateral. Se presenta un resumen de los avances en la ejecución de los proyectos para 2019 y de manera acumulativa desde 1991, que aborda todas las sustancias controladas en virtud del Protocolo de Montreal, incluyendo las sustancias del Anexo F (HFC); incluye un examen de la situación de la ejecución de cada proyecto en curso</w:t>
      </w:r>
      <w:r w:rsidRPr="00711F19">
        <w:rPr>
          <w:rStyle w:val="FootnoteReference"/>
          <w:lang w:val="es-MX"/>
        </w:rPr>
        <w:footnoteReference w:id="4"/>
      </w:r>
      <w:r w:rsidRPr="00711F19">
        <w:rPr>
          <w:lang w:val="es-MX"/>
        </w:rPr>
        <w:t xml:space="preserve"> por país; y se señalan los proyectos con demoras en la ejecución y las posibles consecuencias para la eliminación de sustancias controladas, así como proyectos con cuestiones pendientes que ha de examinar el Comité Ejecutivo.</w:t>
      </w:r>
    </w:p>
    <w:p w:rsidR="000F2FFB" w:rsidRPr="00711F19" w:rsidRDefault="000F2FFB" w:rsidP="000F2FFB">
      <w:pPr>
        <w:pStyle w:val="Heading2"/>
        <w:widowControl/>
        <w:numPr>
          <w:ilvl w:val="0"/>
          <w:numId w:val="0"/>
        </w:numPr>
        <w:adjustRightInd w:val="0"/>
        <w:ind w:left="2160" w:hanging="1440"/>
        <w:textAlignment w:val="baseline"/>
        <w:rPr>
          <w:szCs w:val="28"/>
          <w:lang w:val="es-MX"/>
        </w:rPr>
      </w:pPr>
      <w:r w:rsidRPr="00711F19">
        <w:rPr>
          <w:lang w:val="es-MX"/>
        </w:rPr>
        <w:t>Parte II:</w:t>
      </w:r>
      <w:r w:rsidRPr="00711F19">
        <w:rPr>
          <w:lang w:val="es-MX"/>
        </w:rPr>
        <w:tab/>
        <w:t>Proyectos aprobados en el marco de las contribuciones voluntarias adicionales destinadas a la ayuda a corto plazo para la reducción de los HFC. Proporciona un resumen sobre el estado de ejecución de los proyectos de reducción de los HFC financiados con las contribuciones voluntarias.</w:t>
      </w:r>
      <w:r w:rsidRPr="00711F19">
        <w:rPr>
          <w:rStyle w:val="FootnoteReference"/>
          <w:lang w:val="es-MX"/>
        </w:rPr>
        <w:footnoteReference w:id="5"/>
      </w:r>
    </w:p>
    <w:p w:rsidR="000F2FFB" w:rsidRPr="00711F19" w:rsidRDefault="000F2FFB" w:rsidP="000F2FFB">
      <w:pPr>
        <w:pStyle w:val="Heading2"/>
        <w:widowControl/>
        <w:numPr>
          <w:ilvl w:val="0"/>
          <w:numId w:val="0"/>
        </w:numPr>
        <w:adjustRightInd w:val="0"/>
        <w:ind w:left="2160" w:hanging="1440"/>
        <w:textAlignment w:val="baseline"/>
        <w:rPr>
          <w:lang w:val="es-MX"/>
        </w:rPr>
      </w:pPr>
      <w:r w:rsidRPr="00711F19">
        <w:rPr>
          <w:lang w:val="es-MX"/>
        </w:rPr>
        <w:t>Recomendación.</w:t>
      </w:r>
    </w:p>
    <w:p w:rsidR="000F2FFB" w:rsidRPr="00711F19" w:rsidRDefault="000F2FFB" w:rsidP="000F2FFB">
      <w:pPr>
        <w:pStyle w:val="Heading1"/>
        <w:rPr>
          <w:lang w:val="es-MX"/>
        </w:rPr>
      </w:pPr>
      <w:r w:rsidRPr="00711F19">
        <w:rPr>
          <w:lang w:val="es-MX"/>
        </w:rPr>
        <w:t>El documento también incluye los anexos siguientes:</w:t>
      </w:r>
    </w:p>
    <w:p w:rsidR="000F2FFB" w:rsidRPr="00711F19" w:rsidRDefault="000F2FFB" w:rsidP="000F2FFB">
      <w:pPr>
        <w:widowControl w:val="0"/>
        <w:ind w:left="2131" w:hanging="1411"/>
        <w:rPr>
          <w:lang w:val="es-MX"/>
        </w:rPr>
      </w:pPr>
      <w:r w:rsidRPr="00711F19">
        <w:rPr>
          <w:lang w:val="es-MX"/>
        </w:rPr>
        <w:t xml:space="preserve">Anexo I: </w:t>
      </w:r>
      <w:r w:rsidRPr="00711F19">
        <w:rPr>
          <w:lang w:val="es-MX"/>
        </w:rPr>
        <w:tab/>
        <w:t>Un resumen de la situación de la ejecución y una recomendación para cada proyecto en curso con cuestiones pendientes para su examen por el Comité Ejecutivo.</w:t>
      </w:r>
    </w:p>
    <w:p w:rsidR="000F2FFB" w:rsidRPr="00711F19" w:rsidRDefault="000F2FFB" w:rsidP="000F2FFB">
      <w:pPr>
        <w:ind w:left="2127" w:hanging="1407"/>
        <w:rPr>
          <w:lang w:val="es-MX"/>
        </w:rPr>
      </w:pPr>
    </w:p>
    <w:p w:rsidR="000F2FFB" w:rsidRPr="00711F19" w:rsidRDefault="000F2FFB" w:rsidP="000F2FFB">
      <w:pPr>
        <w:ind w:left="2127" w:hanging="1407"/>
        <w:rPr>
          <w:lang w:val="es-MX"/>
        </w:rPr>
      </w:pPr>
      <w:r w:rsidRPr="00711F19">
        <w:rPr>
          <w:lang w:val="es-MX"/>
        </w:rPr>
        <w:t xml:space="preserve">Anexo II: </w:t>
      </w:r>
      <w:r w:rsidRPr="00711F19">
        <w:rPr>
          <w:lang w:val="es-MX"/>
        </w:rPr>
        <w:tab/>
        <w:t>Un análisis del informe sobre la marcha de las actividades.</w:t>
      </w:r>
    </w:p>
    <w:p w:rsidR="000F2FFB" w:rsidRPr="00711F19" w:rsidRDefault="000F2FFB" w:rsidP="000F2FFB">
      <w:pPr>
        <w:ind w:left="2127" w:hanging="1407"/>
        <w:rPr>
          <w:lang w:val="es-MX"/>
        </w:rPr>
      </w:pPr>
    </w:p>
    <w:p w:rsidR="005E48C4" w:rsidRDefault="005E48C4">
      <w:pPr>
        <w:jc w:val="left"/>
        <w:rPr>
          <w:rFonts w:ascii="Times New Roman Bold" w:hAnsi="Times New Roman Bold"/>
          <w:b/>
          <w:caps/>
          <w:noProof/>
          <w:szCs w:val="28"/>
          <w:lang w:val="es-MX"/>
        </w:rPr>
      </w:pPr>
      <w:r>
        <w:rPr>
          <w:rFonts w:ascii="Times New Roman Bold" w:hAnsi="Times New Roman Bold"/>
          <w:caps/>
          <w:szCs w:val="28"/>
          <w:lang w:val="es-MX"/>
        </w:rPr>
        <w:br w:type="page"/>
      </w:r>
    </w:p>
    <w:p w:rsidR="000F2FFB" w:rsidRPr="00711F19" w:rsidRDefault="005E48C4" w:rsidP="000F2FFB">
      <w:pPr>
        <w:pStyle w:val="sub-title"/>
        <w:ind w:left="1418" w:hanging="1418"/>
        <w:rPr>
          <w:rFonts w:ascii="Times New Roman Bold" w:hAnsi="Times New Roman Bold"/>
          <w:caps/>
          <w:noProof w:val="0"/>
          <w:szCs w:val="28"/>
          <w:lang w:val="es-MX"/>
        </w:rPr>
      </w:pPr>
      <w:r>
        <w:rPr>
          <w:rFonts w:ascii="Times New Roman Bold" w:hAnsi="Times New Roman Bold"/>
          <w:caps/>
          <w:szCs w:val="28"/>
          <w:lang w:val="es-MX"/>
        </w:rPr>
        <w:lastRenderedPageBreak/>
        <w:t>P</w:t>
      </w:r>
      <w:r w:rsidR="000F2FFB" w:rsidRPr="00711F19">
        <w:rPr>
          <w:rFonts w:ascii="Times New Roman Bold" w:hAnsi="Times New Roman Bold"/>
          <w:caps/>
          <w:szCs w:val="28"/>
          <w:lang w:val="es-MX"/>
        </w:rPr>
        <w:t xml:space="preserve">arte I: </w:t>
      </w:r>
      <w:r w:rsidR="000F2FFB" w:rsidRPr="00711F19">
        <w:rPr>
          <w:rFonts w:ascii="Times New Roman Bold" w:hAnsi="Times New Roman Bold"/>
          <w:caps/>
          <w:szCs w:val="28"/>
          <w:lang w:val="es-MX"/>
        </w:rPr>
        <w:tab/>
        <w:t>Proyectos aprobados en el marco de las contribuciones ordinarias al Fondo Multilateral</w:t>
      </w:r>
    </w:p>
    <w:p w:rsidR="000F2FFB" w:rsidRPr="00711F19" w:rsidRDefault="000F2FFB" w:rsidP="000F2FFB">
      <w:pPr>
        <w:rPr>
          <w:b/>
          <w:lang w:val="es-MX"/>
        </w:rPr>
      </w:pPr>
    </w:p>
    <w:p w:rsidR="000F2FFB" w:rsidRPr="00711F19" w:rsidRDefault="000F2FFB" w:rsidP="000F2FFB">
      <w:pPr>
        <w:rPr>
          <w:b/>
          <w:lang w:val="es-MX"/>
        </w:rPr>
      </w:pPr>
      <w:r w:rsidRPr="00711F19">
        <w:rPr>
          <w:b/>
          <w:lang w:val="es-MX"/>
        </w:rPr>
        <w:t>Resumen de los avances en la ejecución de proyectos para 2019 y total acumulado</w:t>
      </w:r>
    </w:p>
    <w:p w:rsidR="000F2FFB" w:rsidRPr="00711F19" w:rsidRDefault="000F2FFB" w:rsidP="000F2FFB">
      <w:pPr>
        <w:rPr>
          <w:lang w:val="es-MX"/>
        </w:rPr>
      </w:pPr>
    </w:p>
    <w:p w:rsidR="000F2FFB" w:rsidRPr="00711F19" w:rsidRDefault="000F2FFB" w:rsidP="000F2FFB">
      <w:pPr>
        <w:pStyle w:val="Heading1"/>
        <w:rPr>
          <w:lang w:val="es-MX"/>
        </w:rPr>
      </w:pPr>
      <w:r w:rsidRPr="00711F19">
        <w:rPr>
          <w:lang w:val="es-MX"/>
        </w:rPr>
        <w:t>La ejecución de proyectos y actividades realizadas por la ONUDI para 2019 y los datos acumulativos desde 1993</w:t>
      </w:r>
      <w:r w:rsidRPr="00711F19">
        <w:rPr>
          <w:rStyle w:val="FootnoteReference"/>
          <w:lang w:val="es-MX"/>
        </w:rPr>
        <w:footnoteReference w:id="6"/>
      </w:r>
      <w:r w:rsidRPr="00711F19">
        <w:rPr>
          <w:lang w:val="es-MX"/>
        </w:rPr>
        <w:t xml:space="preserve"> hasta el 31 de diciembre de 2019 se resumen así:</w:t>
      </w:r>
    </w:p>
    <w:p w:rsidR="000F2FFB" w:rsidRPr="00711F19" w:rsidRDefault="000F2FFB" w:rsidP="000F2FFB">
      <w:pPr>
        <w:pStyle w:val="Heading2"/>
        <w:rPr>
          <w:lang w:val="es-MX"/>
        </w:rPr>
      </w:pPr>
      <w:r w:rsidRPr="00711F19">
        <w:rPr>
          <w:b/>
          <w:bCs/>
          <w:lang w:val="es-MX"/>
        </w:rPr>
        <w:t>Eliminación:</w:t>
      </w:r>
      <w:r w:rsidRPr="00711F19">
        <w:rPr>
          <w:rStyle w:val="FootnoteReference"/>
          <w:bCs/>
          <w:lang w:val="es-MX"/>
        </w:rPr>
        <w:footnoteReference w:id="7"/>
      </w:r>
      <w:r w:rsidRPr="00711F19">
        <w:rPr>
          <w:lang w:val="es-MX"/>
        </w:rPr>
        <w:t xml:space="preserve"> En 2019 se eliminaron 219 toneladas PAO de consumo de sustancias controladas y fueron aprobadas para eliminación otras 148,7 toneladas PAO de consumo de sustancias controladas. Desde 1993 se eliminaron 63.048 toneladas PAO de consumo de sustancias controladas y 17.381 toneladas PAO de producción de sustancias controladas de un total previsto de 81.941 toneladas PAO de proyectos aprobados (se excluyen los proyectos cancelados y transferidos); </w:t>
      </w:r>
    </w:p>
    <w:p w:rsidR="000F2FFB" w:rsidRPr="00711F19" w:rsidRDefault="000F2FFB" w:rsidP="000F2FFB">
      <w:pPr>
        <w:pStyle w:val="Heading2"/>
        <w:rPr>
          <w:lang w:val="es-MX"/>
        </w:rPr>
      </w:pPr>
      <w:r w:rsidRPr="00711F19">
        <w:rPr>
          <w:b/>
          <w:bCs/>
          <w:lang w:val="es-MX"/>
        </w:rPr>
        <w:t>Desembolsos y aprobaciones:</w:t>
      </w:r>
      <w:r w:rsidRPr="00711F19">
        <w:rPr>
          <w:lang w:val="es-MX"/>
        </w:rPr>
        <w:t xml:space="preserve"> En 2019 se desembolsaron 18,56 millones de $EUA y se planificó un desembolso de 23,58 millones de $EUA en base al informe sobre la marcha de las actividades de 2018, lo que representa una tasa de desembolso del 79 por ciento de lo previsto. Del total de 839,66 millones de $EUA aprobado para su desembolso (con exclusión de los gastos de apoyo del organismo), se había desembolsado un monto acumulado de 740,69 millones de $EUA, lo que representa una tasa de desembolso del 88 por ciento. En 2019 se aprobaron 19,51 millones de $EUA para ejecución;</w:t>
      </w:r>
    </w:p>
    <w:p w:rsidR="000F2FFB" w:rsidRPr="00711F19" w:rsidRDefault="000F2FFB" w:rsidP="000F2FFB">
      <w:pPr>
        <w:pStyle w:val="Heading2"/>
        <w:rPr>
          <w:lang w:val="es-MX"/>
        </w:rPr>
      </w:pPr>
      <w:r w:rsidRPr="00711F19">
        <w:rPr>
          <w:b/>
          <w:lang w:val="es-MX"/>
        </w:rPr>
        <w:t>Relación de costo a eficacia (en PAO):</w:t>
      </w:r>
      <w:r w:rsidRPr="00711F19">
        <w:rPr>
          <w:rStyle w:val="FootnoteReference"/>
          <w:bCs/>
          <w:lang w:val="es-MX"/>
        </w:rPr>
        <w:footnoteReference w:id="8"/>
      </w:r>
      <w:r w:rsidRPr="00711F19">
        <w:rPr>
          <w:b/>
          <w:lang w:val="es-MX"/>
        </w:rPr>
        <w:t xml:space="preserve"> </w:t>
      </w:r>
      <w:r w:rsidRPr="00711F19">
        <w:rPr>
          <w:lang w:val="es-MX"/>
        </w:rPr>
        <w:t xml:space="preserve">Desde 1993, la relación de costo a eficacia promedio de los proyectos de inversión aprobados que llevaron a una reducción permanente del consumo fue de 11,12 $EUA/kg, y para todas las actividades del sector de producción (CFC y </w:t>
      </w:r>
      <w:proofErr w:type="spellStart"/>
      <w:r w:rsidRPr="00711F19">
        <w:rPr>
          <w:lang w:val="es-MX"/>
        </w:rPr>
        <w:t>metilbromuro</w:t>
      </w:r>
      <w:proofErr w:type="spellEnd"/>
      <w:r w:rsidRPr="00711F19">
        <w:rPr>
          <w:lang w:val="es-MX"/>
        </w:rPr>
        <w:t>) fue de 2,90 $EUA/kg. La relación costo a eficacia promedio de los proyectos de inversión por tonelada PAO fue de 7,06 $EUA/kg para proyectos aprobados y de 48,02 $EUA/kg para proyectos en curso;</w:t>
      </w:r>
      <w:r w:rsidRPr="00711F19">
        <w:rPr>
          <w:rStyle w:val="FootnoteReference"/>
          <w:lang w:val="es-MX"/>
        </w:rPr>
        <w:footnoteReference w:id="9"/>
      </w:r>
    </w:p>
    <w:p w:rsidR="000F2FFB" w:rsidRPr="00711F19" w:rsidRDefault="000F2FFB" w:rsidP="000F2FFB">
      <w:pPr>
        <w:pStyle w:val="Heading2"/>
        <w:rPr>
          <w:lang w:val="es-MX"/>
        </w:rPr>
      </w:pPr>
      <w:r w:rsidRPr="00711F19">
        <w:rPr>
          <w:b/>
          <w:bCs/>
          <w:lang w:val="es-MX"/>
        </w:rPr>
        <w:t>Número de proyectos finalizados:</w:t>
      </w:r>
      <w:r w:rsidRPr="00711F19">
        <w:rPr>
          <w:lang w:val="es-MX"/>
        </w:rPr>
        <w:t xml:space="preserve"> En 2019, se finalizaron 33 proyectos. Desde 1993, se terminaron 1.556 proyectos de los 1.793 proyectos aprobados (exceptuando aquellos cerrados o transferidos), lo que representa una tasa de terminación del 87 por ciento; </w:t>
      </w:r>
    </w:p>
    <w:p w:rsidR="000F2FFB" w:rsidRPr="00711F19" w:rsidRDefault="000F2FFB" w:rsidP="000F2FFB">
      <w:pPr>
        <w:pStyle w:val="Heading2"/>
        <w:rPr>
          <w:lang w:val="es-MX"/>
        </w:rPr>
      </w:pPr>
      <w:r w:rsidRPr="00711F19">
        <w:rPr>
          <w:b/>
          <w:lang w:val="es-MX"/>
        </w:rPr>
        <w:t xml:space="preserve">Velocidad de ejecución - proyectos de inversión: </w:t>
      </w:r>
      <w:r w:rsidRPr="00711F19">
        <w:rPr>
          <w:lang w:val="es-MX"/>
        </w:rPr>
        <w:t>Los proyectos terminados en 2019 finalizaron en un promedio de 53 meses desde su aprobación. Desde 1993, el tiempo promedio transcurrido hasta la terminación de los proyectos de inversión ha sido de 38 meses desde de su aprobación. Los primeros desembolsos de estos proyectos se produjeron, en promedio, nueve meses después de su aprobación;</w:t>
      </w:r>
    </w:p>
    <w:p w:rsidR="000F2FFB" w:rsidRPr="00711F19" w:rsidRDefault="000F2FFB" w:rsidP="000F2FFB">
      <w:pPr>
        <w:pStyle w:val="Heading2"/>
        <w:rPr>
          <w:lang w:val="es-MX"/>
        </w:rPr>
      </w:pPr>
      <w:r w:rsidRPr="00711F19">
        <w:rPr>
          <w:b/>
          <w:lang w:val="es-MX"/>
        </w:rPr>
        <w:t>Velocidad de ejecución - proyectos ajenos a la inversión:</w:t>
      </w:r>
      <w:r w:rsidRPr="00711F19">
        <w:rPr>
          <w:lang w:val="es-MX"/>
        </w:rPr>
        <w:t xml:space="preserve"> Los proyectos terminados en 2019 finalizaron en un promedio de 37 meses desde su aprobación. Desde 1993, el tiempo promedio para la terminación de proyectos ajenos a la inversión ha sido de 35 meses después de su aprobación. Los primeros desembolsos de estos proyectos se produjeron, en promedio, diez meses después de su aprobación; </w:t>
      </w:r>
    </w:p>
    <w:p w:rsidR="000F2FFB" w:rsidRPr="00711F19" w:rsidRDefault="000F2FFB" w:rsidP="000F2FFB">
      <w:pPr>
        <w:pStyle w:val="Heading2"/>
        <w:rPr>
          <w:lang w:val="es-MX"/>
        </w:rPr>
      </w:pPr>
      <w:r w:rsidRPr="00711F19">
        <w:rPr>
          <w:b/>
          <w:bCs/>
          <w:lang w:val="es-MX"/>
        </w:rPr>
        <w:t xml:space="preserve">Preparación de proyectos: </w:t>
      </w:r>
      <w:r w:rsidRPr="00711F19">
        <w:rPr>
          <w:lang w:val="es-MX"/>
        </w:rPr>
        <w:t xml:space="preserve">De las 531 actividades de reparación de proyectos aprobadas </w:t>
      </w:r>
      <w:r w:rsidRPr="00711F19">
        <w:rPr>
          <w:lang w:val="es-MX"/>
        </w:rPr>
        <w:lastRenderedPageBreak/>
        <w:t>a fines de 2019, se han terminado 475, y quedan 56 actividades en marcha. En 2019 se terminaron tres actividades de preparación;</w:t>
      </w:r>
    </w:p>
    <w:p w:rsidR="000F2FFB" w:rsidRPr="00711F19" w:rsidRDefault="000F2FFB" w:rsidP="000F2FFB">
      <w:pPr>
        <w:pStyle w:val="Heading2"/>
        <w:rPr>
          <w:lang w:val="es-MX"/>
        </w:rPr>
      </w:pPr>
      <w:r w:rsidRPr="00711F19">
        <w:rPr>
          <w:b/>
          <w:bCs/>
          <w:lang w:val="es-MX"/>
        </w:rPr>
        <w:t>Demoras de ejecución:</w:t>
      </w:r>
      <w:r w:rsidRPr="00711F19">
        <w:rPr>
          <w:lang w:val="es-MX"/>
        </w:rPr>
        <w:t xml:space="preserve"> Un total de 237 proyectos estaban en ejecución a fines de 2019, con una demora promedio de 26 meses. Cuarenta y siete de dichos proyectos se clasifican como "proyectos con demoras en la ejecución"</w:t>
      </w:r>
      <w:r w:rsidRPr="00711F19">
        <w:rPr>
          <w:rStyle w:val="FootnoteReference"/>
          <w:lang w:val="es-MX"/>
        </w:rPr>
        <w:footnoteReference w:id="10"/>
      </w:r>
      <w:r w:rsidRPr="00711F19">
        <w:rPr>
          <w:lang w:val="es-MX"/>
        </w:rPr>
        <w:t xml:space="preserve"> que están sujetos a los procedimientos de cancelación de proyectos (los proyectos de demostración, la preparación de proyectos y el fortalecimiento institucional no están sujetos a dichos procedimientos); y</w:t>
      </w:r>
    </w:p>
    <w:p w:rsidR="000F2FFB" w:rsidRPr="00711F19" w:rsidRDefault="000F2FFB" w:rsidP="005E48C4">
      <w:pPr>
        <w:pStyle w:val="Heading2"/>
        <w:keepNext/>
        <w:keepLines/>
        <w:rPr>
          <w:lang w:val="es-MX"/>
        </w:rPr>
      </w:pPr>
      <w:r w:rsidRPr="00711F19">
        <w:rPr>
          <w:b/>
          <w:lang w:val="es-MX"/>
        </w:rPr>
        <w:t>Acuerdos plurianuales</w:t>
      </w:r>
      <w:r w:rsidRPr="00711F19">
        <w:rPr>
          <w:lang w:val="es-MX"/>
        </w:rPr>
        <w:t xml:space="preserve">: En 2019 había en curso un acuerdo plurianual para la eliminación de SAO, otro para la producción de </w:t>
      </w:r>
      <w:proofErr w:type="spellStart"/>
      <w:r w:rsidRPr="00711F19">
        <w:rPr>
          <w:lang w:val="es-MX"/>
        </w:rPr>
        <w:t>metilbromuro</w:t>
      </w:r>
      <w:proofErr w:type="spellEnd"/>
      <w:r w:rsidRPr="00711F19">
        <w:rPr>
          <w:lang w:val="es-MX"/>
        </w:rPr>
        <w:t xml:space="preserve"> y 70 relativos a planes de gestión de eliminación de los HCFC (PGEH). Desde 1993, se han aprobado 157 acuerdos plurianuales y se han terminado 85 de tales acuerdos, lo que supone una tasa de terminación del 54 por ciento. </w:t>
      </w:r>
    </w:p>
    <w:p w:rsidR="000F2FFB" w:rsidRPr="00711F19" w:rsidRDefault="000F2FFB" w:rsidP="000F2FFB">
      <w:pPr>
        <w:pStyle w:val="a--"/>
        <w:keepNext/>
        <w:suppressAutoHyphens w:val="0"/>
        <w:spacing w:after="240"/>
        <w:rPr>
          <w:sz w:val="22"/>
          <w:szCs w:val="22"/>
          <w:lang w:val="es-MX"/>
        </w:rPr>
      </w:pPr>
      <w:r w:rsidRPr="00711F19">
        <w:rPr>
          <w:sz w:val="22"/>
          <w:szCs w:val="22"/>
          <w:lang w:val="es-MX"/>
        </w:rPr>
        <w:t>Avance en la ejecución de proyectos en 2019</w:t>
      </w:r>
    </w:p>
    <w:p w:rsidR="000F2FFB" w:rsidRPr="00711F19" w:rsidRDefault="000F2FFB" w:rsidP="000F2FFB">
      <w:pPr>
        <w:pStyle w:val="Heading1"/>
        <w:rPr>
          <w:lang w:val="es-MX"/>
        </w:rPr>
      </w:pPr>
      <w:r w:rsidRPr="00711F19">
        <w:rPr>
          <w:lang w:val="es-MX"/>
        </w:rPr>
        <w:t xml:space="preserve">En relación con el proceso de examen, se resolvieron satisfactoriamente diversas cuestiones, excepto 47 proyectos clasificados como proyectos con demoras de ejecución (incluidos 45 proyectos relativos a componentes de acuerdos plurianuales que están sujetos a procedimientos de cancelación de proyectos, conforme a la decisión 84/45(c); un proyecto para la eliminación de </w:t>
      </w:r>
      <w:proofErr w:type="spellStart"/>
      <w:r w:rsidRPr="00711F19">
        <w:rPr>
          <w:lang w:val="es-MX"/>
        </w:rPr>
        <w:t>metilbromuro</w:t>
      </w:r>
      <w:proofErr w:type="spellEnd"/>
      <w:r w:rsidRPr="00711F19">
        <w:rPr>
          <w:lang w:val="es-MX"/>
        </w:rPr>
        <w:t xml:space="preserve"> y un plan de eliminación nacional). En el Anexo I del presente documento se presentan los proyectos clasificados como con demoras en la ejecución, y la recomendación de la Secretaría solicitando la presentación de un informe a la 87ª reunión.</w:t>
      </w:r>
    </w:p>
    <w:p w:rsidR="000F2FFB" w:rsidRPr="00711F19" w:rsidRDefault="000F2FFB" w:rsidP="000F2FFB">
      <w:pPr>
        <w:pStyle w:val="Heading1"/>
        <w:rPr>
          <w:lang w:val="es-MX"/>
        </w:rPr>
      </w:pPr>
      <w:r w:rsidRPr="00711F19">
        <w:rPr>
          <w:lang w:val="es-MX"/>
        </w:rPr>
        <w:t xml:space="preserve">Además, se identificaron varias cuestiones relativas a proyectos o tramos de acuerdos plurianuales para la eliminación de los HCFC; un proyecto de enfriadores; y proyectos de renovación de fortalecimiento institucional. Estas cuestiones se presentan también en el Anexo I del presente documento. Para cada uno de dichos proyectos se presenta una breve descripción de la situación de la ejecución y las cuestiones pendientes, y se propone una recomendación para someterla a la consideración del Comité Ejecutivo. </w:t>
      </w:r>
    </w:p>
    <w:p w:rsidR="000F2FFB" w:rsidRPr="00711F19" w:rsidRDefault="000F2FFB" w:rsidP="000F2FFB">
      <w:pPr>
        <w:pStyle w:val="Heading1"/>
        <w:rPr>
          <w:lang w:val="es-MX"/>
        </w:rPr>
      </w:pPr>
      <w:r w:rsidRPr="00711F19">
        <w:rPr>
          <w:lang w:val="es-MX"/>
        </w:rPr>
        <w:t>Los pormenores de los progresos logrados en la ejecución de los proyectos relacionados con los PGEH para Bolivia (Estado Plurinacional de),</w:t>
      </w:r>
      <w:r w:rsidRPr="00711F19">
        <w:rPr>
          <w:rStyle w:val="FootnoteReference"/>
          <w:sz w:val="22"/>
          <w:szCs w:val="22"/>
          <w:lang w:val="es-MX"/>
        </w:rPr>
        <w:footnoteReference w:id="11"/>
      </w:r>
      <w:r w:rsidRPr="00711F19">
        <w:rPr>
          <w:lang w:val="es-MX"/>
        </w:rPr>
        <w:t xml:space="preserve"> Brasil,</w:t>
      </w:r>
      <w:r w:rsidRPr="00711F19">
        <w:rPr>
          <w:rStyle w:val="FootnoteReference"/>
          <w:sz w:val="22"/>
          <w:szCs w:val="22"/>
          <w:lang w:val="es-MX"/>
        </w:rPr>
        <w:footnoteReference w:id="12"/>
      </w:r>
      <w:r w:rsidRPr="00711F19">
        <w:rPr>
          <w:lang w:val="es-MX"/>
        </w:rPr>
        <w:t xml:space="preserve"> Ecuador,</w:t>
      </w:r>
      <w:r w:rsidRPr="00711F19">
        <w:rPr>
          <w:rStyle w:val="FootnoteReference"/>
          <w:sz w:val="22"/>
          <w:szCs w:val="22"/>
          <w:lang w:val="es-MX"/>
        </w:rPr>
        <w:footnoteReference w:id="13"/>
      </w:r>
      <w:r w:rsidRPr="00711F19">
        <w:rPr>
          <w:lang w:val="es-MX"/>
        </w:rPr>
        <w:t xml:space="preserve"> Gambia,</w:t>
      </w:r>
      <w:r w:rsidRPr="00711F19">
        <w:rPr>
          <w:rStyle w:val="FootnoteReference"/>
          <w:sz w:val="22"/>
          <w:szCs w:val="22"/>
          <w:lang w:val="es-MX"/>
        </w:rPr>
        <w:footnoteReference w:id="14"/>
      </w:r>
      <w:r w:rsidRPr="00711F19">
        <w:rPr>
          <w:lang w:val="es-MX"/>
        </w:rPr>
        <w:t xml:space="preserve"> Guatemala,</w:t>
      </w:r>
      <w:r w:rsidRPr="00711F19">
        <w:rPr>
          <w:rStyle w:val="FootnoteReference"/>
          <w:sz w:val="22"/>
          <w:szCs w:val="22"/>
          <w:lang w:val="es-MX"/>
        </w:rPr>
        <w:footnoteReference w:id="15"/>
      </w:r>
      <w:r w:rsidRPr="00711F19">
        <w:rPr>
          <w:lang w:val="es-MX"/>
        </w:rPr>
        <w:t xml:space="preserve"> Honduras,</w:t>
      </w:r>
      <w:r w:rsidRPr="00711F19">
        <w:rPr>
          <w:rStyle w:val="FootnoteReference"/>
          <w:sz w:val="22"/>
          <w:szCs w:val="22"/>
          <w:lang w:val="es-MX"/>
        </w:rPr>
        <w:footnoteReference w:id="16"/>
      </w:r>
      <w:r w:rsidRPr="00711F19">
        <w:rPr>
          <w:lang w:val="es-MX"/>
        </w:rPr>
        <w:t xml:space="preserve"> la República Islámica </w:t>
      </w:r>
      <w:proofErr w:type="spellStart"/>
      <w:r w:rsidRPr="00711F19">
        <w:rPr>
          <w:lang w:val="es-MX"/>
        </w:rPr>
        <w:t>del</w:t>
      </w:r>
      <w:proofErr w:type="spellEnd"/>
      <w:r w:rsidRPr="00711F19">
        <w:rPr>
          <w:lang w:val="es-MX"/>
        </w:rPr>
        <w:t xml:space="preserve"> Irán,</w:t>
      </w:r>
      <w:r w:rsidRPr="00711F19">
        <w:rPr>
          <w:rStyle w:val="FootnoteReference"/>
          <w:sz w:val="22"/>
          <w:szCs w:val="22"/>
          <w:lang w:val="es-MX"/>
        </w:rPr>
        <w:footnoteReference w:id="17"/>
      </w:r>
      <w:r w:rsidRPr="00711F19">
        <w:rPr>
          <w:lang w:val="es-MX"/>
        </w:rPr>
        <w:t xml:space="preserve"> Myanmar,</w:t>
      </w:r>
      <w:r w:rsidRPr="00711F19">
        <w:rPr>
          <w:rStyle w:val="FootnoteReference"/>
          <w:sz w:val="22"/>
          <w:szCs w:val="22"/>
          <w:lang w:val="es-MX"/>
        </w:rPr>
        <w:footnoteReference w:id="18"/>
      </w:r>
      <w:r w:rsidRPr="00711F19">
        <w:rPr>
          <w:lang w:val="es-MX"/>
        </w:rPr>
        <w:t xml:space="preserve"> Nicaragua,</w:t>
      </w:r>
      <w:r w:rsidRPr="00711F19">
        <w:rPr>
          <w:rStyle w:val="FootnoteReference"/>
          <w:sz w:val="22"/>
          <w:szCs w:val="22"/>
          <w:lang w:val="es-MX"/>
        </w:rPr>
        <w:footnoteReference w:id="19"/>
      </w:r>
      <w:r w:rsidRPr="00711F19">
        <w:rPr>
          <w:lang w:val="es-MX"/>
        </w:rPr>
        <w:t xml:space="preserve"> Macedonia del Norte,</w:t>
      </w:r>
      <w:r w:rsidRPr="00711F19">
        <w:rPr>
          <w:rStyle w:val="FootnoteReference"/>
          <w:sz w:val="22"/>
          <w:szCs w:val="22"/>
          <w:lang w:val="es-MX"/>
        </w:rPr>
        <w:footnoteReference w:id="20"/>
      </w:r>
      <w:r w:rsidRPr="00711F19">
        <w:rPr>
          <w:lang w:val="es-MX"/>
        </w:rPr>
        <w:t xml:space="preserve"> Omán,</w:t>
      </w:r>
      <w:r w:rsidRPr="00711F19">
        <w:rPr>
          <w:rStyle w:val="FootnoteReference"/>
          <w:sz w:val="22"/>
          <w:szCs w:val="22"/>
          <w:lang w:val="es-MX"/>
        </w:rPr>
        <w:footnoteReference w:id="21"/>
      </w:r>
      <w:r w:rsidRPr="00711F19">
        <w:rPr>
          <w:lang w:val="es-MX"/>
        </w:rPr>
        <w:t xml:space="preserve"> Qatar,</w:t>
      </w:r>
      <w:r w:rsidRPr="00711F19">
        <w:rPr>
          <w:rStyle w:val="FootnoteReference"/>
          <w:sz w:val="22"/>
          <w:szCs w:val="22"/>
          <w:lang w:val="es-MX"/>
        </w:rPr>
        <w:footnoteReference w:id="22"/>
      </w:r>
      <w:r w:rsidRPr="00711F19">
        <w:rPr>
          <w:lang w:val="es-MX"/>
        </w:rPr>
        <w:t xml:space="preserve"> </w:t>
      </w:r>
      <w:proofErr w:type="spellStart"/>
      <w:r w:rsidRPr="00711F19">
        <w:rPr>
          <w:lang w:val="es-MX"/>
        </w:rPr>
        <w:t>Rwanda</w:t>
      </w:r>
      <w:proofErr w:type="spellEnd"/>
      <w:r w:rsidRPr="00711F19">
        <w:rPr>
          <w:lang w:val="es-MX"/>
        </w:rPr>
        <w:t>,</w:t>
      </w:r>
      <w:r w:rsidRPr="00711F19">
        <w:rPr>
          <w:rStyle w:val="FootnoteReference"/>
          <w:sz w:val="22"/>
          <w:szCs w:val="22"/>
          <w:lang w:val="es-MX"/>
        </w:rPr>
        <w:footnoteReference w:id="23"/>
      </w:r>
      <w:r w:rsidRPr="00711F19">
        <w:rPr>
          <w:lang w:val="es-MX"/>
        </w:rPr>
        <w:t xml:space="preserve"> </w:t>
      </w:r>
      <w:r w:rsidRPr="00711F19">
        <w:rPr>
          <w:lang w:val="es-MX"/>
        </w:rPr>
        <w:lastRenderedPageBreak/>
        <w:t>Sudán,</w:t>
      </w:r>
      <w:r w:rsidRPr="00711F19">
        <w:rPr>
          <w:rStyle w:val="FootnoteReference"/>
          <w:sz w:val="22"/>
          <w:szCs w:val="22"/>
          <w:lang w:val="es-MX"/>
        </w:rPr>
        <w:footnoteReference w:id="24"/>
      </w:r>
      <w:r w:rsidRPr="00711F19">
        <w:rPr>
          <w:lang w:val="es-MX"/>
        </w:rPr>
        <w:t xml:space="preserve"> Turkmenistán,</w:t>
      </w:r>
      <w:r w:rsidRPr="00711F19">
        <w:rPr>
          <w:rStyle w:val="FootnoteReference"/>
          <w:sz w:val="22"/>
          <w:szCs w:val="22"/>
          <w:lang w:val="es-MX"/>
        </w:rPr>
        <w:footnoteReference w:id="25"/>
      </w:r>
      <w:r w:rsidRPr="00711F19">
        <w:rPr>
          <w:lang w:val="es-MX"/>
        </w:rPr>
        <w:t xml:space="preserve"> Uganda</w:t>
      </w:r>
      <w:r w:rsidRPr="00711F19">
        <w:rPr>
          <w:rStyle w:val="FootnoteReference"/>
          <w:sz w:val="22"/>
          <w:szCs w:val="22"/>
          <w:lang w:val="es-MX"/>
        </w:rPr>
        <w:footnoteReference w:id="26"/>
      </w:r>
      <w:r w:rsidRPr="00711F19">
        <w:rPr>
          <w:lang w:val="es-MX"/>
        </w:rPr>
        <w:t xml:space="preserve"> y Zambia</w:t>
      </w:r>
      <w:r w:rsidRPr="00711F19">
        <w:rPr>
          <w:rStyle w:val="FootnoteReference"/>
          <w:sz w:val="22"/>
          <w:szCs w:val="22"/>
          <w:lang w:val="es-MX"/>
        </w:rPr>
        <w:footnoteReference w:id="27"/>
      </w:r>
      <w:r w:rsidRPr="00711F19">
        <w:rPr>
          <w:lang w:val="es-MX"/>
        </w:rPr>
        <w:t>, y los informes sobre proyectos con requisitos específicos de presentación de informes</w:t>
      </w:r>
      <w:r w:rsidRPr="00711F19">
        <w:rPr>
          <w:rStyle w:val="FootnoteReference"/>
          <w:sz w:val="22"/>
          <w:szCs w:val="22"/>
          <w:lang w:val="es-MX"/>
        </w:rPr>
        <w:footnoteReference w:id="28"/>
      </w:r>
      <w:r w:rsidRPr="00711F19">
        <w:rPr>
          <w:lang w:val="es-MX"/>
        </w:rPr>
        <w:t xml:space="preserve"> relacionados con la Argentina (PGEH), la República Popular Democrática de Corea (PGEH), Egipto (PGEH), el Líbano (eliminación de desechos de SAO), Libia (PGEH), México (PGEH), y Túnez (PGEH) y China (PGEH, plan de eliminación de producción de </w:t>
      </w:r>
      <w:proofErr w:type="spellStart"/>
      <w:r w:rsidRPr="00711F19">
        <w:rPr>
          <w:lang w:val="es-MX"/>
        </w:rPr>
        <w:t>metilbromuro</w:t>
      </w:r>
      <w:proofErr w:type="spellEnd"/>
      <w:r w:rsidRPr="00711F19">
        <w:rPr>
          <w:lang w:val="es-MX"/>
        </w:rPr>
        <w:t>)</w:t>
      </w:r>
      <w:r w:rsidRPr="00711F19">
        <w:rPr>
          <w:rStyle w:val="FootnoteReference"/>
          <w:sz w:val="22"/>
          <w:szCs w:val="22"/>
          <w:lang w:val="es-MX"/>
        </w:rPr>
        <w:footnoteReference w:id="29"/>
      </w:r>
      <w:r w:rsidRPr="00711F19">
        <w:rPr>
          <w:lang w:val="es-MX"/>
        </w:rPr>
        <w:t xml:space="preserve"> se han presentado a la reunión 86ª. Las recomendaciones para las cuestiones pendientes de estos proyectos, incluida la aprobación de las solicitudes de prórroga, si las hubiere, se abordan en las secciones correspondientes de esos documentos. Las cuestiones relativas a los PGEH para Bangladesh, Malí, Mauritania, Nigeria y Sudán del Sur se abordan en el documento sobre las demoras en la presentación de tramos.</w:t>
      </w:r>
      <w:r w:rsidRPr="00711F19">
        <w:rPr>
          <w:rStyle w:val="FootnoteReference"/>
          <w:sz w:val="22"/>
          <w:szCs w:val="22"/>
          <w:lang w:val="es-MX"/>
        </w:rPr>
        <w:footnoteReference w:id="30"/>
      </w:r>
      <w:r w:rsidRPr="00711F19">
        <w:rPr>
          <w:lang w:val="es-MX"/>
        </w:rPr>
        <w:t xml:space="preserve"> Las cuestiones pendientes para el resto de los proyectos en curso no incluidas en el Anexo I del presente documento, y las solicitudes de prórroga de la fecha de terminación, se tratan a continuación. </w:t>
      </w:r>
    </w:p>
    <w:p w:rsidR="000F2FFB" w:rsidRPr="00711F19" w:rsidRDefault="000F2FFB" w:rsidP="000F2FFB">
      <w:pPr>
        <w:pStyle w:val="Heading1"/>
        <w:rPr>
          <w:lang w:val="es-MX"/>
        </w:rPr>
      </w:pPr>
      <w:r w:rsidRPr="00711F19">
        <w:rPr>
          <w:lang w:val="es-MX"/>
        </w:rPr>
        <w:t xml:space="preserve">De los 166 proyectos en marcha, desde el informe sobre la marcha de las actividades correspondiente a 2018, se ha revisado la fecha prevista de terminación de 76 proyectos, con exclusión de los de fortalecimiento institucional y preparación de proyectos. </w:t>
      </w:r>
    </w:p>
    <w:p w:rsidR="000F2FFB" w:rsidRPr="00711F19" w:rsidRDefault="000F2FFB" w:rsidP="000F2FFB">
      <w:pPr>
        <w:pStyle w:val="Heading1"/>
        <w:rPr>
          <w:rFonts w:eastAsiaTheme="minorHAnsi"/>
          <w:b/>
          <w:caps/>
          <w:lang w:val="es-MX"/>
        </w:rPr>
      </w:pPr>
      <w:r w:rsidRPr="00711F19">
        <w:rPr>
          <w:lang w:val="es-MX"/>
        </w:rPr>
        <w:t>De conformidad con la decisión 82/11(c)(ii), la Secretaría señaló que la renovación del proyecto de fortalecimiento institucional de la República Árabe Siria no se había presentado en los dos últimos años.</w:t>
      </w:r>
      <w:r w:rsidRPr="00711F19">
        <w:rPr>
          <w:caps/>
          <w:lang w:val="es-MX"/>
        </w:rPr>
        <w:t xml:space="preserve"> </w:t>
      </w:r>
      <w:r w:rsidRPr="00711F19">
        <w:rPr>
          <w:lang w:val="es-MX"/>
        </w:rPr>
        <w:t>La ONUDI explicó que la razón principal de la demora es el elevado saldo aún disponible, principalmente por el lento progreso en la ejecución; no obstante, se prevé presentar la solicitud de renovación en 2021.</w:t>
      </w:r>
    </w:p>
    <w:p w:rsidR="000F2FFB" w:rsidRPr="00711F19" w:rsidRDefault="000F2FFB" w:rsidP="000F2FFB">
      <w:pPr>
        <w:pStyle w:val="Heading1"/>
        <w:rPr>
          <w:rFonts w:eastAsiaTheme="minorHAnsi"/>
          <w:b/>
          <w:caps/>
          <w:lang w:val="es-MX"/>
        </w:rPr>
      </w:pPr>
      <w:r w:rsidRPr="00711F19">
        <w:rPr>
          <w:lang w:val="es-MX"/>
        </w:rPr>
        <w:t>De conformidad con la decisión 82/11(b),</w:t>
      </w:r>
      <w:r w:rsidRPr="00711F19">
        <w:rPr>
          <w:rStyle w:val="FootnoteReference"/>
          <w:rFonts w:eastAsiaTheme="minorHAnsi"/>
          <w:lang w:val="es-MX"/>
        </w:rPr>
        <w:footnoteReference w:id="31"/>
      </w:r>
      <w:r w:rsidRPr="00711F19">
        <w:rPr>
          <w:lang w:val="es-MX"/>
        </w:rPr>
        <w:t xml:space="preserve"> la ONUDI ha solicitado la prórroga de la duración de tres proyectos relativos a los PGEH de dos países, cuya ejecución va más allá de la fecha de terminación establecida en sus respectivos Acuerdos con el Comité Ejecutivo; un proyecto relativo a la eliminación de HCFC; un proyecto de inhaladores de dosis medidas; un proyecto de enfriadores; y dos proyectos relativos a la eliminación de SAO. Las razones de las solicitudes de prórroga de las fechas de terminación de estos proyectos se muestran en el Cuadro 1.</w:t>
      </w:r>
    </w:p>
    <w:p w:rsidR="000F2FFB" w:rsidRPr="00711F19" w:rsidRDefault="000F2FFB" w:rsidP="000F2FFB">
      <w:pPr>
        <w:keepNext/>
        <w:rPr>
          <w:b/>
          <w:lang w:val="es-MX"/>
        </w:rPr>
      </w:pPr>
      <w:r w:rsidRPr="00711F19">
        <w:rPr>
          <w:b/>
          <w:lang w:val="es-MX"/>
        </w:rPr>
        <w:t>Cuadro 1. Proyectos para los que se ha solicitado prórroga de las fechas de terminación</w:t>
      </w:r>
    </w:p>
    <w:tbl>
      <w:tblPr>
        <w:tblStyle w:val="TableGrid"/>
        <w:tblW w:w="5118" w:type="pct"/>
        <w:tblLayout w:type="fixed"/>
        <w:tblLook w:val="04A0" w:firstRow="1" w:lastRow="0" w:firstColumn="1" w:lastColumn="0" w:noHBand="0" w:noVBand="1"/>
      </w:tblPr>
      <w:tblGrid>
        <w:gridCol w:w="2012"/>
        <w:gridCol w:w="2473"/>
        <w:gridCol w:w="735"/>
        <w:gridCol w:w="2140"/>
        <w:gridCol w:w="1101"/>
        <w:gridCol w:w="1110"/>
      </w:tblGrid>
      <w:tr w:rsidR="000F2FFB" w:rsidRPr="00711F19" w:rsidTr="00D25F3D">
        <w:trPr>
          <w:trHeight w:val="658"/>
          <w:tblHeader/>
        </w:trPr>
        <w:tc>
          <w:tcPr>
            <w:tcW w:w="1051" w:type="pct"/>
            <w:shd w:val="clear" w:color="auto" w:fill="auto"/>
            <w:tcMar>
              <w:left w:w="0" w:type="dxa"/>
              <w:right w:w="0" w:type="dxa"/>
            </w:tcMar>
            <w:vAlign w:val="center"/>
          </w:tcPr>
          <w:p w:rsidR="000F2FFB" w:rsidRPr="00711F19" w:rsidRDefault="000F2FFB" w:rsidP="00D25F3D">
            <w:pPr>
              <w:jc w:val="center"/>
              <w:rPr>
                <w:rFonts w:eastAsiaTheme="minorHAnsi"/>
                <w:b/>
                <w:sz w:val="19"/>
                <w:szCs w:val="19"/>
                <w:lang w:val="es-MX"/>
              </w:rPr>
            </w:pPr>
            <w:r w:rsidRPr="00711F19">
              <w:rPr>
                <w:b/>
                <w:sz w:val="19"/>
                <w:szCs w:val="19"/>
                <w:lang w:val="es-MX"/>
              </w:rPr>
              <w:t>País/Código de proyecto</w:t>
            </w:r>
          </w:p>
        </w:tc>
        <w:tc>
          <w:tcPr>
            <w:tcW w:w="1292" w:type="pct"/>
            <w:shd w:val="clear" w:color="auto" w:fill="auto"/>
            <w:tcMar>
              <w:left w:w="0" w:type="dxa"/>
              <w:right w:w="0" w:type="dxa"/>
            </w:tcMar>
            <w:vAlign w:val="center"/>
          </w:tcPr>
          <w:p w:rsidR="000F2FFB" w:rsidRPr="00711F19" w:rsidRDefault="000F2FFB" w:rsidP="00D25F3D">
            <w:pPr>
              <w:jc w:val="center"/>
              <w:rPr>
                <w:rFonts w:eastAsiaTheme="minorHAnsi"/>
                <w:b/>
                <w:sz w:val="19"/>
                <w:szCs w:val="19"/>
                <w:lang w:val="es-MX"/>
              </w:rPr>
            </w:pPr>
            <w:r w:rsidRPr="00711F19">
              <w:rPr>
                <w:b/>
                <w:sz w:val="19"/>
                <w:szCs w:val="19"/>
                <w:lang w:val="es-MX"/>
              </w:rPr>
              <w:t>Título del proyecto</w:t>
            </w:r>
          </w:p>
        </w:tc>
        <w:tc>
          <w:tcPr>
            <w:tcW w:w="384" w:type="pct"/>
            <w:shd w:val="clear" w:color="auto" w:fill="auto"/>
            <w:tcMar>
              <w:left w:w="0" w:type="dxa"/>
              <w:right w:w="0" w:type="dxa"/>
            </w:tcMar>
            <w:vAlign w:val="center"/>
          </w:tcPr>
          <w:p w:rsidR="000F2FFB" w:rsidRPr="00711F19" w:rsidRDefault="000F2FFB" w:rsidP="00D25F3D">
            <w:pPr>
              <w:jc w:val="center"/>
              <w:rPr>
                <w:rFonts w:eastAsiaTheme="minorHAnsi"/>
                <w:b/>
                <w:sz w:val="19"/>
                <w:szCs w:val="19"/>
                <w:lang w:val="es-MX"/>
              </w:rPr>
            </w:pPr>
            <w:r w:rsidRPr="00711F19">
              <w:rPr>
                <w:b/>
                <w:sz w:val="19"/>
                <w:szCs w:val="19"/>
                <w:lang w:val="es-MX"/>
              </w:rPr>
              <w:t>Desembolso</w:t>
            </w:r>
          </w:p>
          <w:p w:rsidR="000F2FFB" w:rsidRPr="00711F19" w:rsidRDefault="000F2FFB" w:rsidP="00D25F3D">
            <w:pPr>
              <w:jc w:val="center"/>
              <w:rPr>
                <w:rFonts w:eastAsiaTheme="minorHAnsi"/>
                <w:b/>
                <w:sz w:val="19"/>
                <w:szCs w:val="19"/>
                <w:lang w:val="es-MX"/>
              </w:rPr>
            </w:pPr>
            <w:r w:rsidRPr="00711F19">
              <w:rPr>
                <w:b/>
                <w:sz w:val="19"/>
                <w:szCs w:val="19"/>
                <w:lang w:val="es-MX"/>
              </w:rPr>
              <w:t>(%)</w:t>
            </w:r>
          </w:p>
        </w:tc>
        <w:tc>
          <w:tcPr>
            <w:tcW w:w="1118" w:type="pct"/>
            <w:shd w:val="clear" w:color="auto" w:fill="auto"/>
            <w:tcMar>
              <w:left w:w="0" w:type="dxa"/>
              <w:right w:w="0" w:type="dxa"/>
            </w:tcMar>
            <w:vAlign w:val="center"/>
          </w:tcPr>
          <w:p w:rsidR="000F2FFB" w:rsidRPr="00711F19" w:rsidRDefault="000F2FFB" w:rsidP="00D25F3D">
            <w:pPr>
              <w:jc w:val="center"/>
              <w:rPr>
                <w:rFonts w:eastAsiaTheme="minorHAnsi"/>
                <w:b/>
                <w:sz w:val="19"/>
                <w:szCs w:val="19"/>
                <w:lang w:val="es-MX"/>
              </w:rPr>
            </w:pPr>
            <w:r w:rsidRPr="00711F19">
              <w:rPr>
                <w:b/>
                <w:sz w:val="19"/>
                <w:szCs w:val="19"/>
                <w:lang w:val="es-MX"/>
              </w:rPr>
              <w:t>Situación/cuestiones</w:t>
            </w:r>
          </w:p>
        </w:tc>
        <w:tc>
          <w:tcPr>
            <w:tcW w:w="575" w:type="pct"/>
            <w:shd w:val="clear" w:color="auto" w:fill="auto"/>
            <w:tcMar>
              <w:left w:w="0" w:type="dxa"/>
              <w:right w:w="0" w:type="dxa"/>
            </w:tcMar>
            <w:vAlign w:val="center"/>
          </w:tcPr>
          <w:p w:rsidR="000F2FFB" w:rsidRPr="00711F19" w:rsidRDefault="000F2FFB" w:rsidP="00D25F3D">
            <w:pPr>
              <w:jc w:val="center"/>
              <w:rPr>
                <w:rFonts w:eastAsiaTheme="minorHAnsi"/>
                <w:b/>
                <w:sz w:val="19"/>
                <w:szCs w:val="19"/>
                <w:lang w:val="es-MX"/>
              </w:rPr>
            </w:pPr>
            <w:r w:rsidRPr="00711F19">
              <w:rPr>
                <w:b/>
                <w:sz w:val="19"/>
                <w:szCs w:val="19"/>
                <w:lang w:val="es-MX"/>
              </w:rPr>
              <w:t>Fecha de terminación original</w:t>
            </w:r>
          </w:p>
        </w:tc>
        <w:tc>
          <w:tcPr>
            <w:tcW w:w="580" w:type="pct"/>
            <w:shd w:val="clear" w:color="auto" w:fill="auto"/>
            <w:tcMar>
              <w:left w:w="0" w:type="dxa"/>
              <w:right w:w="0" w:type="dxa"/>
            </w:tcMar>
            <w:vAlign w:val="center"/>
          </w:tcPr>
          <w:p w:rsidR="000F2FFB" w:rsidRPr="00711F19" w:rsidRDefault="000F2FFB" w:rsidP="00D25F3D">
            <w:pPr>
              <w:jc w:val="center"/>
              <w:rPr>
                <w:rFonts w:eastAsiaTheme="minorHAnsi"/>
                <w:b/>
                <w:sz w:val="19"/>
                <w:szCs w:val="19"/>
                <w:lang w:val="es-MX"/>
              </w:rPr>
            </w:pPr>
            <w:r w:rsidRPr="00711F19">
              <w:rPr>
                <w:b/>
                <w:sz w:val="19"/>
                <w:szCs w:val="19"/>
                <w:lang w:val="es-MX"/>
              </w:rPr>
              <w:t>Fecha de terminación solicitada</w:t>
            </w:r>
          </w:p>
        </w:tc>
      </w:tr>
      <w:tr w:rsidR="000F2FFB" w:rsidRPr="00711F19" w:rsidTr="00D25F3D">
        <w:trPr>
          <w:trHeight w:val="658"/>
        </w:trPr>
        <w:tc>
          <w:tcPr>
            <w:tcW w:w="1051" w:type="pct"/>
            <w:shd w:val="clear" w:color="auto" w:fill="auto"/>
            <w:tcMar>
              <w:left w:w="58" w:type="dxa"/>
              <w:right w:w="0" w:type="dxa"/>
            </w:tcMar>
          </w:tcPr>
          <w:p w:rsidR="000F2FFB" w:rsidRPr="00711F19" w:rsidRDefault="000F2FFB" w:rsidP="00D25F3D">
            <w:pPr>
              <w:rPr>
                <w:rFonts w:eastAsiaTheme="minorHAnsi"/>
                <w:sz w:val="19"/>
                <w:szCs w:val="19"/>
                <w:lang w:val="es-MX"/>
              </w:rPr>
            </w:pPr>
            <w:r w:rsidRPr="00711F19">
              <w:rPr>
                <w:sz w:val="19"/>
                <w:szCs w:val="19"/>
                <w:lang w:val="es-MX"/>
              </w:rPr>
              <w:t>Egipto</w:t>
            </w:r>
          </w:p>
          <w:p w:rsidR="000F2FFB" w:rsidRPr="00711F19" w:rsidRDefault="000F2FFB" w:rsidP="00D25F3D">
            <w:pPr>
              <w:rPr>
                <w:rFonts w:eastAsiaTheme="minorHAnsi"/>
                <w:sz w:val="19"/>
                <w:szCs w:val="19"/>
                <w:lang w:val="es-MX"/>
              </w:rPr>
            </w:pPr>
            <w:r w:rsidRPr="00711F19">
              <w:rPr>
                <w:sz w:val="19"/>
                <w:szCs w:val="19"/>
                <w:lang w:val="es-MX"/>
              </w:rPr>
              <w:t>EGY/ARS/50/INV/92</w:t>
            </w:r>
          </w:p>
        </w:tc>
        <w:tc>
          <w:tcPr>
            <w:tcW w:w="1292" w:type="pct"/>
            <w:shd w:val="clear" w:color="auto" w:fill="auto"/>
            <w:tcMar>
              <w:left w:w="58" w:type="dxa"/>
              <w:right w:w="0" w:type="dxa"/>
            </w:tcMar>
          </w:tcPr>
          <w:p w:rsidR="000F2FFB" w:rsidRPr="00711F19" w:rsidRDefault="000F2FFB" w:rsidP="00D25F3D">
            <w:pPr>
              <w:jc w:val="left"/>
              <w:rPr>
                <w:rFonts w:eastAsiaTheme="minorHAnsi"/>
                <w:sz w:val="19"/>
                <w:szCs w:val="19"/>
                <w:lang w:val="es-MX"/>
              </w:rPr>
            </w:pPr>
            <w:r w:rsidRPr="00711F19">
              <w:rPr>
                <w:sz w:val="19"/>
                <w:szCs w:val="19"/>
                <w:lang w:val="es-MX"/>
              </w:rPr>
              <w:t>Eliminación del consumo de CFC en la fabricación de inhaladores de dosis medidas en aerosol</w:t>
            </w:r>
          </w:p>
        </w:tc>
        <w:tc>
          <w:tcPr>
            <w:tcW w:w="384" w:type="pct"/>
            <w:shd w:val="clear" w:color="auto" w:fill="auto"/>
            <w:tcMar>
              <w:left w:w="58" w:type="dxa"/>
              <w:right w:w="0" w:type="dxa"/>
            </w:tcMar>
          </w:tcPr>
          <w:p w:rsidR="000F2FFB" w:rsidRPr="00711F19" w:rsidRDefault="000F2FFB" w:rsidP="00D25F3D">
            <w:pPr>
              <w:jc w:val="center"/>
              <w:rPr>
                <w:rFonts w:eastAsiaTheme="minorHAnsi"/>
                <w:sz w:val="19"/>
                <w:szCs w:val="19"/>
                <w:lang w:val="es-MX"/>
              </w:rPr>
            </w:pPr>
            <w:r w:rsidRPr="00711F19">
              <w:rPr>
                <w:sz w:val="19"/>
                <w:szCs w:val="19"/>
                <w:lang w:val="es-MX"/>
              </w:rPr>
              <w:t>98</w:t>
            </w:r>
          </w:p>
        </w:tc>
        <w:tc>
          <w:tcPr>
            <w:tcW w:w="1118" w:type="pct"/>
            <w:shd w:val="clear" w:color="auto" w:fill="auto"/>
            <w:tcMar>
              <w:left w:w="58" w:type="dxa"/>
              <w:right w:w="0" w:type="dxa"/>
            </w:tcMar>
          </w:tcPr>
          <w:p w:rsidR="000F2FFB" w:rsidRPr="00711F19" w:rsidRDefault="000F2FFB" w:rsidP="00D25F3D">
            <w:pPr>
              <w:jc w:val="left"/>
              <w:rPr>
                <w:rFonts w:eastAsiaTheme="minorHAnsi"/>
                <w:sz w:val="19"/>
                <w:szCs w:val="19"/>
                <w:lang w:val="es-MX"/>
              </w:rPr>
            </w:pPr>
            <w:r w:rsidRPr="00711F19">
              <w:rPr>
                <w:sz w:val="19"/>
                <w:szCs w:val="19"/>
                <w:lang w:val="es-MX"/>
              </w:rPr>
              <w:t>Demoras en la finalización de las actividades pendientes, incluyendo la evaluación de los datos de prueba y la finalización del proceso de registro debido a demoras en los pasos de aprobación final</w:t>
            </w:r>
          </w:p>
        </w:tc>
        <w:tc>
          <w:tcPr>
            <w:tcW w:w="575" w:type="pct"/>
            <w:shd w:val="clear" w:color="auto" w:fill="auto"/>
            <w:tcMar>
              <w:left w:w="58" w:type="dxa"/>
              <w:right w:w="0" w:type="dxa"/>
            </w:tcMar>
          </w:tcPr>
          <w:p w:rsidR="000F2FFB" w:rsidRPr="00711F19" w:rsidRDefault="000F2FFB" w:rsidP="00D25F3D">
            <w:pPr>
              <w:jc w:val="center"/>
              <w:rPr>
                <w:rFonts w:eastAsiaTheme="minorHAnsi"/>
                <w:b/>
                <w:sz w:val="19"/>
                <w:szCs w:val="19"/>
                <w:lang w:val="es-MX"/>
              </w:rPr>
            </w:pPr>
            <w:r w:rsidRPr="00711F19">
              <w:rPr>
                <w:sz w:val="19"/>
                <w:szCs w:val="19"/>
                <w:lang w:val="es-MX"/>
              </w:rPr>
              <w:t>30 Jun 2020</w:t>
            </w:r>
          </w:p>
        </w:tc>
        <w:tc>
          <w:tcPr>
            <w:tcW w:w="580" w:type="pct"/>
            <w:shd w:val="clear" w:color="auto" w:fill="auto"/>
            <w:tcMar>
              <w:left w:w="58" w:type="dxa"/>
              <w:right w:w="0" w:type="dxa"/>
            </w:tcMar>
          </w:tcPr>
          <w:p w:rsidR="000F2FFB" w:rsidRPr="00711F19" w:rsidRDefault="000F2FFB" w:rsidP="00D25F3D">
            <w:pPr>
              <w:jc w:val="center"/>
              <w:rPr>
                <w:rFonts w:eastAsiaTheme="minorHAnsi"/>
                <w:b/>
                <w:sz w:val="19"/>
                <w:szCs w:val="19"/>
                <w:lang w:val="es-MX"/>
              </w:rPr>
            </w:pPr>
            <w:r w:rsidRPr="00711F19">
              <w:rPr>
                <w:sz w:val="19"/>
                <w:szCs w:val="19"/>
                <w:lang w:val="es-MX"/>
              </w:rPr>
              <w:t>31 Dic 2020</w:t>
            </w:r>
          </w:p>
        </w:tc>
      </w:tr>
      <w:tr w:rsidR="000F2FFB" w:rsidRPr="00711F19" w:rsidTr="00D25F3D">
        <w:trPr>
          <w:trHeight w:val="665"/>
        </w:trPr>
        <w:tc>
          <w:tcPr>
            <w:tcW w:w="1051" w:type="pct"/>
            <w:tcMar>
              <w:left w:w="58" w:type="dxa"/>
              <w:right w:w="58" w:type="dxa"/>
            </w:tcMar>
          </w:tcPr>
          <w:p w:rsidR="000F2FFB" w:rsidRPr="00711F19" w:rsidRDefault="000F2FFB" w:rsidP="00D25F3D">
            <w:pPr>
              <w:rPr>
                <w:rFonts w:eastAsiaTheme="minorHAnsi"/>
                <w:sz w:val="19"/>
                <w:szCs w:val="19"/>
                <w:lang w:val="es-MX"/>
              </w:rPr>
            </w:pPr>
            <w:r w:rsidRPr="00711F19">
              <w:rPr>
                <w:sz w:val="19"/>
                <w:szCs w:val="19"/>
                <w:lang w:val="es-MX"/>
              </w:rPr>
              <w:t>Iraq</w:t>
            </w:r>
          </w:p>
          <w:p w:rsidR="000F2FFB" w:rsidRPr="00711F19" w:rsidRDefault="000F2FFB" w:rsidP="00D25F3D">
            <w:pPr>
              <w:rPr>
                <w:rFonts w:eastAsiaTheme="minorHAnsi"/>
                <w:sz w:val="19"/>
                <w:szCs w:val="19"/>
                <w:lang w:val="es-MX"/>
              </w:rPr>
            </w:pPr>
            <w:r w:rsidRPr="00711F19">
              <w:rPr>
                <w:sz w:val="19"/>
                <w:szCs w:val="19"/>
                <w:lang w:val="es-MX"/>
              </w:rPr>
              <w:t>IRQ/PHA/58/INV/09</w:t>
            </w:r>
          </w:p>
          <w:p w:rsidR="000F2FFB" w:rsidRPr="00711F19" w:rsidRDefault="000F2FFB" w:rsidP="00D25F3D">
            <w:pPr>
              <w:rPr>
                <w:rFonts w:eastAsiaTheme="minorHAnsi"/>
                <w:sz w:val="19"/>
                <w:szCs w:val="19"/>
                <w:lang w:val="es-MX"/>
              </w:rPr>
            </w:pPr>
          </w:p>
        </w:tc>
        <w:tc>
          <w:tcPr>
            <w:tcW w:w="1292" w:type="pct"/>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Plan de eliminación nacional (primer tramo)</w:t>
            </w:r>
          </w:p>
        </w:tc>
        <w:tc>
          <w:tcPr>
            <w:tcW w:w="384" w:type="pct"/>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89</w:t>
            </w:r>
          </w:p>
        </w:tc>
        <w:tc>
          <w:tcPr>
            <w:tcW w:w="1118" w:type="pct"/>
            <w:vMerge w:val="restart"/>
            <w:tcMar>
              <w:left w:w="58" w:type="dxa"/>
              <w:right w:w="58" w:type="dxa"/>
            </w:tcMar>
            <w:vAlign w:val="center"/>
          </w:tcPr>
          <w:p w:rsidR="000F2FFB" w:rsidRPr="00711F19" w:rsidRDefault="000F2FFB" w:rsidP="00D25F3D">
            <w:pPr>
              <w:jc w:val="left"/>
              <w:rPr>
                <w:rFonts w:eastAsiaTheme="minorHAnsi"/>
                <w:sz w:val="19"/>
                <w:szCs w:val="19"/>
                <w:lang w:val="es-MX"/>
              </w:rPr>
            </w:pPr>
            <w:r w:rsidRPr="00711F19">
              <w:rPr>
                <w:sz w:val="19"/>
                <w:szCs w:val="19"/>
                <w:lang w:val="es-MX"/>
              </w:rPr>
              <w:t xml:space="preserve">Demoras debidas a cuestiones logísticas relativas a la obtención de visados </w:t>
            </w:r>
            <w:r w:rsidRPr="00711F19">
              <w:rPr>
                <w:sz w:val="19"/>
                <w:szCs w:val="19"/>
                <w:lang w:val="es-MX"/>
              </w:rPr>
              <w:lastRenderedPageBreak/>
              <w:t>para consultores internacionales, como consecuencia de las restricciones de viajes por el COVID-19. Se requiere tiempo adicional para que los consultores o contratistas viajen para completar las instalaciones, las ejecuciones de prueba y las puestas en servicio</w:t>
            </w:r>
          </w:p>
        </w:tc>
        <w:tc>
          <w:tcPr>
            <w:tcW w:w="575" w:type="pct"/>
            <w:vMerge w:val="restart"/>
            <w:tcMar>
              <w:left w:w="58" w:type="dxa"/>
              <w:right w:w="58" w:type="dxa"/>
            </w:tcMar>
            <w:vAlign w:val="center"/>
          </w:tcPr>
          <w:p w:rsidR="000F2FFB" w:rsidRPr="00711F19" w:rsidRDefault="000F2FFB" w:rsidP="00D25F3D">
            <w:pPr>
              <w:spacing w:after="160"/>
              <w:jc w:val="center"/>
              <w:rPr>
                <w:rFonts w:eastAsiaTheme="minorHAnsi"/>
                <w:sz w:val="19"/>
                <w:szCs w:val="19"/>
                <w:lang w:val="es-MX"/>
              </w:rPr>
            </w:pPr>
            <w:r w:rsidRPr="00711F19">
              <w:rPr>
                <w:sz w:val="19"/>
                <w:szCs w:val="19"/>
                <w:lang w:val="es-MX"/>
              </w:rPr>
              <w:lastRenderedPageBreak/>
              <w:t>31 Dic 2019</w:t>
            </w:r>
          </w:p>
        </w:tc>
        <w:tc>
          <w:tcPr>
            <w:tcW w:w="580" w:type="pct"/>
            <w:vMerge w:val="restart"/>
            <w:tcMar>
              <w:left w:w="58" w:type="dxa"/>
              <w:right w:w="58" w:type="dxa"/>
            </w:tcMar>
            <w:vAlign w:val="center"/>
          </w:tcPr>
          <w:p w:rsidR="000F2FFB" w:rsidRPr="00711F19" w:rsidRDefault="000F2FFB" w:rsidP="00D25F3D">
            <w:pPr>
              <w:spacing w:after="160"/>
              <w:jc w:val="center"/>
              <w:rPr>
                <w:rFonts w:eastAsiaTheme="minorHAnsi"/>
                <w:sz w:val="19"/>
                <w:szCs w:val="19"/>
                <w:lang w:val="es-MX"/>
              </w:rPr>
            </w:pPr>
            <w:r w:rsidRPr="00711F19">
              <w:rPr>
                <w:sz w:val="19"/>
                <w:szCs w:val="19"/>
                <w:lang w:val="es-MX"/>
              </w:rPr>
              <w:t>30 Jun 2021</w:t>
            </w:r>
          </w:p>
        </w:tc>
      </w:tr>
      <w:tr w:rsidR="000F2FFB" w:rsidRPr="00711F19" w:rsidTr="00D25F3D">
        <w:trPr>
          <w:trHeight w:val="1756"/>
        </w:trPr>
        <w:tc>
          <w:tcPr>
            <w:tcW w:w="1051" w:type="pct"/>
            <w:tcMar>
              <w:left w:w="58" w:type="dxa"/>
              <w:right w:w="58" w:type="dxa"/>
            </w:tcMar>
          </w:tcPr>
          <w:p w:rsidR="000F2FFB" w:rsidRPr="00711F19" w:rsidRDefault="000F2FFB" w:rsidP="00D25F3D">
            <w:pPr>
              <w:rPr>
                <w:rFonts w:eastAsiaTheme="minorHAnsi"/>
                <w:sz w:val="19"/>
                <w:szCs w:val="19"/>
                <w:lang w:val="es-MX"/>
              </w:rPr>
            </w:pPr>
            <w:r w:rsidRPr="00711F19">
              <w:rPr>
                <w:sz w:val="19"/>
                <w:szCs w:val="19"/>
                <w:lang w:val="es-MX"/>
              </w:rPr>
              <w:lastRenderedPageBreak/>
              <w:t>Iraq</w:t>
            </w:r>
          </w:p>
          <w:p w:rsidR="000F2FFB" w:rsidRPr="00711F19" w:rsidRDefault="000F2FFB" w:rsidP="00D25F3D">
            <w:pPr>
              <w:rPr>
                <w:rFonts w:eastAsiaTheme="minorHAnsi"/>
                <w:sz w:val="19"/>
                <w:szCs w:val="19"/>
                <w:lang w:val="es-MX"/>
              </w:rPr>
            </w:pPr>
            <w:r w:rsidRPr="00711F19">
              <w:rPr>
                <w:sz w:val="19"/>
                <w:szCs w:val="19"/>
                <w:lang w:val="es-MX"/>
              </w:rPr>
              <w:t>IRQ/REF/57/INV/07</w:t>
            </w:r>
          </w:p>
        </w:tc>
        <w:tc>
          <w:tcPr>
            <w:tcW w:w="1292" w:type="pct"/>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 xml:space="preserve">Sustitución del refrigerante CFC-12 por </w:t>
            </w:r>
            <w:proofErr w:type="spellStart"/>
            <w:r w:rsidRPr="00711F19">
              <w:rPr>
                <w:sz w:val="19"/>
                <w:szCs w:val="19"/>
                <w:lang w:val="es-MX"/>
              </w:rPr>
              <w:t>isobutano</w:t>
            </w:r>
            <w:proofErr w:type="spellEnd"/>
            <w:r w:rsidRPr="00711F19">
              <w:rPr>
                <w:sz w:val="19"/>
                <w:szCs w:val="19"/>
                <w:lang w:val="es-MX"/>
              </w:rPr>
              <w:t xml:space="preserve"> y del agente espumante CFC-11 por </w:t>
            </w:r>
            <w:proofErr w:type="spellStart"/>
            <w:r w:rsidRPr="00711F19">
              <w:rPr>
                <w:sz w:val="19"/>
                <w:szCs w:val="19"/>
                <w:lang w:val="es-MX"/>
              </w:rPr>
              <w:t>ciclopentano</w:t>
            </w:r>
            <w:proofErr w:type="spellEnd"/>
            <w:r w:rsidRPr="00711F19">
              <w:rPr>
                <w:sz w:val="19"/>
                <w:szCs w:val="19"/>
                <w:lang w:val="es-MX"/>
              </w:rPr>
              <w:t xml:space="preserve"> en la fabricación de refrigeradores y congeladores domésticos en Light Industries Company</w:t>
            </w:r>
          </w:p>
        </w:tc>
        <w:tc>
          <w:tcPr>
            <w:tcW w:w="384" w:type="pct"/>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89</w:t>
            </w:r>
          </w:p>
        </w:tc>
        <w:tc>
          <w:tcPr>
            <w:tcW w:w="1118" w:type="pct"/>
            <w:vMerge/>
            <w:tcMar>
              <w:left w:w="58" w:type="dxa"/>
              <w:right w:w="58" w:type="dxa"/>
            </w:tcMar>
          </w:tcPr>
          <w:p w:rsidR="000F2FFB" w:rsidRPr="00711F19" w:rsidRDefault="000F2FFB" w:rsidP="00D25F3D">
            <w:pPr>
              <w:jc w:val="left"/>
              <w:rPr>
                <w:rFonts w:eastAsiaTheme="minorHAnsi"/>
                <w:sz w:val="19"/>
                <w:szCs w:val="19"/>
                <w:lang w:val="es-MX"/>
              </w:rPr>
            </w:pPr>
          </w:p>
        </w:tc>
        <w:tc>
          <w:tcPr>
            <w:tcW w:w="575" w:type="pct"/>
            <w:vMerge/>
            <w:tcMar>
              <w:left w:w="58" w:type="dxa"/>
              <w:right w:w="58" w:type="dxa"/>
            </w:tcMar>
          </w:tcPr>
          <w:p w:rsidR="000F2FFB" w:rsidRPr="00711F19" w:rsidRDefault="000F2FFB" w:rsidP="00D25F3D">
            <w:pPr>
              <w:spacing w:after="160"/>
              <w:jc w:val="center"/>
              <w:rPr>
                <w:rFonts w:eastAsiaTheme="minorHAnsi"/>
                <w:sz w:val="19"/>
                <w:szCs w:val="19"/>
                <w:lang w:val="es-MX"/>
              </w:rPr>
            </w:pPr>
          </w:p>
        </w:tc>
        <w:tc>
          <w:tcPr>
            <w:tcW w:w="580" w:type="pct"/>
            <w:vMerge/>
            <w:tcMar>
              <w:left w:w="58" w:type="dxa"/>
              <w:right w:w="58" w:type="dxa"/>
            </w:tcMar>
          </w:tcPr>
          <w:p w:rsidR="000F2FFB" w:rsidRPr="00711F19" w:rsidRDefault="000F2FFB" w:rsidP="00D25F3D">
            <w:pPr>
              <w:spacing w:after="160"/>
              <w:jc w:val="center"/>
              <w:rPr>
                <w:rFonts w:eastAsiaTheme="minorHAnsi"/>
                <w:sz w:val="19"/>
                <w:szCs w:val="19"/>
                <w:lang w:val="es-MX"/>
              </w:rPr>
            </w:pPr>
          </w:p>
        </w:tc>
      </w:tr>
      <w:tr w:rsidR="000F2FFB" w:rsidRPr="00711F19" w:rsidTr="00D25F3D">
        <w:trPr>
          <w:trHeight w:val="1539"/>
        </w:trPr>
        <w:tc>
          <w:tcPr>
            <w:tcW w:w="1051" w:type="pct"/>
            <w:tcMar>
              <w:left w:w="58" w:type="dxa"/>
              <w:right w:w="58" w:type="dxa"/>
            </w:tcMar>
          </w:tcPr>
          <w:p w:rsidR="000F2FFB" w:rsidRPr="00711F19" w:rsidRDefault="000F2FFB" w:rsidP="00D25F3D">
            <w:pPr>
              <w:rPr>
                <w:rFonts w:eastAsiaTheme="minorHAnsi"/>
                <w:sz w:val="19"/>
                <w:szCs w:val="19"/>
                <w:lang w:val="es-MX"/>
              </w:rPr>
            </w:pPr>
            <w:r w:rsidRPr="00711F19">
              <w:rPr>
                <w:sz w:val="19"/>
                <w:szCs w:val="19"/>
                <w:lang w:val="es-MX"/>
              </w:rPr>
              <w:lastRenderedPageBreak/>
              <w:t>Iraq</w:t>
            </w:r>
          </w:p>
          <w:p w:rsidR="000F2FFB" w:rsidRPr="00711F19" w:rsidRDefault="000F2FFB" w:rsidP="00D25F3D">
            <w:pPr>
              <w:rPr>
                <w:rFonts w:eastAsiaTheme="minorHAnsi"/>
                <w:sz w:val="19"/>
                <w:szCs w:val="19"/>
                <w:lang w:val="es-MX"/>
              </w:rPr>
            </w:pPr>
            <w:r w:rsidRPr="00711F19">
              <w:rPr>
                <w:sz w:val="19"/>
                <w:szCs w:val="19"/>
                <w:lang w:val="es-MX"/>
              </w:rPr>
              <w:t>IRQ/PHA/74/INV/23</w:t>
            </w:r>
          </w:p>
        </w:tc>
        <w:tc>
          <w:tcPr>
            <w:tcW w:w="1292" w:type="pct"/>
            <w:shd w:val="clear" w:color="auto" w:fill="auto"/>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Plan de gestión de eliminación de los HCFC (etapa I, segundo tramo) (sector de servicio y mantenimiento de refrigeración)</w:t>
            </w:r>
          </w:p>
        </w:tc>
        <w:tc>
          <w:tcPr>
            <w:tcW w:w="384" w:type="pct"/>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19</w:t>
            </w:r>
          </w:p>
        </w:tc>
        <w:tc>
          <w:tcPr>
            <w:tcW w:w="1118" w:type="pct"/>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Los laboratorios asociados a los centros de regeneración no están plenamente operativos debido a demoras en la terminación de la adquisición y entrega de equipos</w:t>
            </w:r>
          </w:p>
        </w:tc>
        <w:tc>
          <w:tcPr>
            <w:tcW w:w="575" w:type="pct"/>
            <w:tcMar>
              <w:left w:w="58" w:type="dxa"/>
              <w:right w:w="58" w:type="dxa"/>
            </w:tcMar>
          </w:tcPr>
          <w:p w:rsidR="000F2FFB" w:rsidRPr="00711F19" w:rsidRDefault="000F2FFB" w:rsidP="00D25F3D">
            <w:pPr>
              <w:spacing w:after="160"/>
              <w:jc w:val="center"/>
              <w:rPr>
                <w:rFonts w:eastAsiaTheme="minorHAnsi"/>
                <w:sz w:val="19"/>
                <w:szCs w:val="19"/>
                <w:lang w:val="es-MX"/>
              </w:rPr>
            </w:pPr>
            <w:r w:rsidRPr="00711F19">
              <w:rPr>
                <w:sz w:val="19"/>
                <w:szCs w:val="19"/>
                <w:lang w:val="es-MX"/>
              </w:rPr>
              <w:t>31 Dic 2020</w:t>
            </w:r>
          </w:p>
        </w:tc>
        <w:tc>
          <w:tcPr>
            <w:tcW w:w="580" w:type="pct"/>
            <w:tcMar>
              <w:left w:w="58" w:type="dxa"/>
              <w:right w:w="58" w:type="dxa"/>
            </w:tcMar>
          </w:tcPr>
          <w:p w:rsidR="000F2FFB" w:rsidRPr="00711F19" w:rsidRDefault="000F2FFB" w:rsidP="00D25F3D">
            <w:pPr>
              <w:spacing w:after="160"/>
              <w:jc w:val="center"/>
              <w:rPr>
                <w:rFonts w:eastAsiaTheme="minorHAnsi"/>
                <w:sz w:val="19"/>
                <w:szCs w:val="19"/>
                <w:lang w:val="es-MX"/>
              </w:rPr>
            </w:pPr>
            <w:r w:rsidRPr="00711F19">
              <w:rPr>
                <w:sz w:val="19"/>
                <w:szCs w:val="19"/>
                <w:lang w:val="es-MX"/>
              </w:rPr>
              <w:t>31 Dic 2021</w:t>
            </w:r>
          </w:p>
        </w:tc>
      </w:tr>
      <w:tr w:rsidR="000F2FFB" w:rsidRPr="00711F19" w:rsidTr="00D25F3D">
        <w:trPr>
          <w:trHeight w:val="1756"/>
        </w:trPr>
        <w:tc>
          <w:tcPr>
            <w:tcW w:w="1051" w:type="pct"/>
            <w:tcMar>
              <w:left w:w="58" w:type="dxa"/>
              <w:right w:w="58" w:type="dxa"/>
            </w:tcMar>
          </w:tcPr>
          <w:p w:rsidR="000F2FFB" w:rsidRPr="00711F19" w:rsidRDefault="000F2FFB" w:rsidP="00D25F3D">
            <w:pPr>
              <w:rPr>
                <w:rFonts w:eastAsiaTheme="minorHAnsi"/>
                <w:sz w:val="19"/>
                <w:szCs w:val="19"/>
                <w:lang w:val="es-MX"/>
              </w:rPr>
            </w:pPr>
            <w:r w:rsidRPr="00711F19">
              <w:rPr>
                <w:sz w:val="19"/>
                <w:szCs w:val="19"/>
                <w:lang w:val="es-MX"/>
              </w:rPr>
              <w:t>Iraq</w:t>
            </w:r>
          </w:p>
          <w:p w:rsidR="000F2FFB" w:rsidRPr="00711F19" w:rsidRDefault="000F2FFB" w:rsidP="00D25F3D">
            <w:pPr>
              <w:rPr>
                <w:rFonts w:eastAsiaTheme="minorHAnsi"/>
                <w:sz w:val="19"/>
                <w:szCs w:val="19"/>
                <w:lang w:val="es-MX"/>
              </w:rPr>
            </w:pPr>
            <w:r w:rsidRPr="00711F19">
              <w:rPr>
                <w:sz w:val="19"/>
                <w:szCs w:val="19"/>
                <w:lang w:val="es-MX"/>
              </w:rPr>
              <w:t>IRQ/PHA/84/INV/29</w:t>
            </w:r>
          </w:p>
        </w:tc>
        <w:tc>
          <w:tcPr>
            <w:tcW w:w="1292" w:type="pct"/>
            <w:shd w:val="clear" w:color="auto" w:fill="auto"/>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Plan de gestión de eliminación de los HCFC (etapa I, tercer tramo) (sector de servicio y mantenimiento de refrigeración)</w:t>
            </w:r>
          </w:p>
        </w:tc>
        <w:tc>
          <w:tcPr>
            <w:tcW w:w="384" w:type="pct"/>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0</w:t>
            </w:r>
          </w:p>
        </w:tc>
        <w:tc>
          <w:tcPr>
            <w:tcW w:w="1118" w:type="pct"/>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Se prevé que la adquisición de equipos para la capacitación de servicio y mantenimiento esté terminada a fines de 2020; por lo tanto, se espera que todas las actividades restantes se completen para diciembre de 2021</w:t>
            </w:r>
          </w:p>
        </w:tc>
        <w:tc>
          <w:tcPr>
            <w:tcW w:w="575" w:type="pct"/>
            <w:tcMar>
              <w:left w:w="58" w:type="dxa"/>
              <w:right w:w="58" w:type="dxa"/>
            </w:tcMar>
          </w:tcPr>
          <w:p w:rsidR="000F2FFB" w:rsidRPr="00711F19" w:rsidRDefault="000F2FFB" w:rsidP="00D25F3D">
            <w:pPr>
              <w:spacing w:after="160"/>
              <w:jc w:val="center"/>
              <w:rPr>
                <w:rFonts w:eastAsiaTheme="minorHAnsi"/>
                <w:sz w:val="19"/>
                <w:szCs w:val="19"/>
                <w:lang w:val="es-MX"/>
              </w:rPr>
            </w:pPr>
            <w:r w:rsidRPr="00711F19">
              <w:rPr>
                <w:sz w:val="19"/>
                <w:szCs w:val="19"/>
                <w:lang w:val="es-MX"/>
              </w:rPr>
              <w:t>31 Dic 2020</w:t>
            </w:r>
          </w:p>
        </w:tc>
        <w:tc>
          <w:tcPr>
            <w:tcW w:w="580" w:type="pct"/>
            <w:tcMar>
              <w:left w:w="58" w:type="dxa"/>
              <w:right w:w="58" w:type="dxa"/>
            </w:tcMar>
          </w:tcPr>
          <w:p w:rsidR="000F2FFB" w:rsidRPr="00711F19" w:rsidRDefault="000F2FFB" w:rsidP="00D25F3D">
            <w:pPr>
              <w:spacing w:after="160"/>
              <w:jc w:val="center"/>
              <w:rPr>
                <w:rFonts w:eastAsiaTheme="minorHAnsi"/>
                <w:sz w:val="19"/>
                <w:szCs w:val="19"/>
                <w:lang w:val="es-MX"/>
              </w:rPr>
            </w:pPr>
            <w:r w:rsidRPr="00711F19">
              <w:rPr>
                <w:sz w:val="19"/>
                <w:szCs w:val="19"/>
                <w:lang w:val="es-MX"/>
              </w:rPr>
              <w:t>31 Dic 2021</w:t>
            </w:r>
          </w:p>
        </w:tc>
      </w:tr>
      <w:tr w:rsidR="000F2FFB" w:rsidRPr="00711F19" w:rsidTr="00D25F3D">
        <w:trPr>
          <w:trHeight w:val="1079"/>
        </w:trPr>
        <w:tc>
          <w:tcPr>
            <w:tcW w:w="1051" w:type="pct"/>
            <w:shd w:val="clear" w:color="auto" w:fill="auto"/>
            <w:tcMar>
              <w:left w:w="58" w:type="dxa"/>
              <w:right w:w="58" w:type="dxa"/>
            </w:tcMar>
          </w:tcPr>
          <w:p w:rsidR="000F2FFB" w:rsidRPr="00711F19" w:rsidRDefault="000F2FFB" w:rsidP="00D25F3D">
            <w:pPr>
              <w:rPr>
                <w:rFonts w:eastAsiaTheme="minorHAnsi"/>
                <w:sz w:val="19"/>
                <w:szCs w:val="19"/>
                <w:lang w:val="es-MX"/>
              </w:rPr>
            </w:pPr>
            <w:r w:rsidRPr="00711F19">
              <w:rPr>
                <w:sz w:val="19"/>
                <w:szCs w:val="19"/>
                <w:lang w:val="es-MX"/>
              </w:rPr>
              <w:t>Serbia</w:t>
            </w:r>
          </w:p>
          <w:p w:rsidR="000F2FFB" w:rsidRPr="00711F19" w:rsidRDefault="000F2FFB" w:rsidP="00D25F3D">
            <w:pPr>
              <w:rPr>
                <w:rFonts w:eastAsiaTheme="minorHAnsi"/>
                <w:sz w:val="19"/>
                <w:szCs w:val="19"/>
                <w:lang w:val="es-MX"/>
              </w:rPr>
            </w:pPr>
            <w:r w:rsidRPr="00711F19">
              <w:rPr>
                <w:sz w:val="19"/>
                <w:szCs w:val="19"/>
                <w:lang w:val="es-MX"/>
              </w:rPr>
              <w:t>YUG/PHA/84/INV/51</w:t>
            </w:r>
          </w:p>
        </w:tc>
        <w:tc>
          <w:tcPr>
            <w:tcW w:w="1292" w:type="pct"/>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Plan de gestión de eliminación de los HCFC (etapa I, cuarto tramo)</w:t>
            </w:r>
          </w:p>
        </w:tc>
        <w:tc>
          <w:tcPr>
            <w:tcW w:w="384" w:type="pct"/>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0</w:t>
            </w:r>
          </w:p>
        </w:tc>
        <w:tc>
          <w:tcPr>
            <w:tcW w:w="1118" w:type="pct"/>
            <w:shd w:val="clear" w:color="auto" w:fill="auto"/>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El último tramo de la etapa I se aprobó en la reunión 84ª; se están retrasando las actividades debido a las restricciones del COVID-19</w:t>
            </w:r>
          </w:p>
        </w:tc>
        <w:tc>
          <w:tcPr>
            <w:tcW w:w="575" w:type="pct"/>
            <w:shd w:val="clear" w:color="auto" w:fill="auto"/>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31 Dic 2020</w:t>
            </w:r>
          </w:p>
        </w:tc>
        <w:tc>
          <w:tcPr>
            <w:tcW w:w="580" w:type="pct"/>
            <w:shd w:val="clear" w:color="auto" w:fill="auto"/>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30 Jun 2021</w:t>
            </w:r>
          </w:p>
        </w:tc>
      </w:tr>
      <w:tr w:rsidR="000F2FFB" w:rsidRPr="00711F19" w:rsidTr="00D25F3D">
        <w:trPr>
          <w:trHeight w:val="2197"/>
        </w:trPr>
        <w:tc>
          <w:tcPr>
            <w:tcW w:w="1051" w:type="pct"/>
            <w:shd w:val="clear" w:color="auto" w:fill="auto"/>
            <w:tcMar>
              <w:left w:w="58" w:type="dxa"/>
              <w:right w:w="58" w:type="dxa"/>
            </w:tcMar>
          </w:tcPr>
          <w:p w:rsidR="000F2FFB" w:rsidRPr="00711F19" w:rsidRDefault="000F2FFB" w:rsidP="00D25F3D">
            <w:pPr>
              <w:rPr>
                <w:rFonts w:eastAsiaTheme="minorHAnsi"/>
                <w:sz w:val="19"/>
                <w:szCs w:val="19"/>
                <w:lang w:val="es-MX"/>
              </w:rPr>
            </w:pPr>
            <w:r w:rsidRPr="00711F19">
              <w:rPr>
                <w:sz w:val="19"/>
                <w:szCs w:val="19"/>
                <w:lang w:val="es-MX"/>
              </w:rPr>
              <w:t>República Árabe Siria</w:t>
            </w:r>
          </w:p>
          <w:p w:rsidR="000F2FFB" w:rsidRPr="00711F19" w:rsidRDefault="000F2FFB" w:rsidP="00D25F3D">
            <w:pPr>
              <w:rPr>
                <w:rFonts w:eastAsiaTheme="minorHAnsi"/>
                <w:sz w:val="19"/>
                <w:szCs w:val="19"/>
                <w:lang w:val="es-MX"/>
              </w:rPr>
            </w:pPr>
            <w:r w:rsidRPr="00711F19">
              <w:rPr>
                <w:sz w:val="19"/>
                <w:szCs w:val="19"/>
                <w:lang w:val="es-MX"/>
              </w:rPr>
              <w:t>SYR/REF/62/INV/103</w:t>
            </w:r>
          </w:p>
        </w:tc>
        <w:tc>
          <w:tcPr>
            <w:tcW w:w="1292" w:type="pct"/>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 xml:space="preserve">Eliminación de HCFC-22 y HCFC-141b en la fabricación de equipos unitarios de aire acondicionado y paneles aislantes de poliuretano rígido en Al </w:t>
            </w:r>
            <w:proofErr w:type="spellStart"/>
            <w:r w:rsidRPr="00711F19">
              <w:rPr>
                <w:sz w:val="19"/>
                <w:szCs w:val="19"/>
                <w:lang w:val="es-MX"/>
              </w:rPr>
              <w:t>Hafez</w:t>
            </w:r>
            <w:proofErr w:type="spellEnd"/>
            <w:r w:rsidRPr="00711F19">
              <w:rPr>
                <w:sz w:val="19"/>
                <w:szCs w:val="19"/>
                <w:lang w:val="es-MX"/>
              </w:rPr>
              <w:t xml:space="preserve"> </w:t>
            </w:r>
            <w:proofErr w:type="spellStart"/>
            <w:r w:rsidRPr="00711F19">
              <w:rPr>
                <w:sz w:val="19"/>
                <w:szCs w:val="19"/>
                <w:lang w:val="es-MX"/>
              </w:rPr>
              <w:t>Group</w:t>
            </w:r>
            <w:proofErr w:type="spellEnd"/>
          </w:p>
        </w:tc>
        <w:tc>
          <w:tcPr>
            <w:tcW w:w="384" w:type="pct"/>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28</w:t>
            </w:r>
          </w:p>
        </w:tc>
        <w:tc>
          <w:tcPr>
            <w:tcW w:w="1118" w:type="pct"/>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Demoras debidas a la situación del país y las restricciones del COVID-19; necesaria prórroga hasta el 31 de diciembre de 2021 para completar las actividades restantes relativas a la compra, instalación y puesta en servicio de equipos</w:t>
            </w:r>
          </w:p>
        </w:tc>
        <w:tc>
          <w:tcPr>
            <w:tcW w:w="575" w:type="pct"/>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31 Dic 2020</w:t>
            </w:r>
          </w:p>
        </w:tc>
        <w:tc>
          <w:tcPr>
            <w:tcW w:w="580" w:type="pct"/>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31 Dic 2021</w:t>
            </w:r>
          </w:p>
        </w:tc>
      </w:tr>
      <w:tr w:rsidR="000F2FFB" w:rsidRPr="00711F19" w:rsidTr="00D25F3D">
        <w:trPr>
          <w:trHeight w:val="1539"/>
        </w:trPr>
        <w:tc>
          <w:tcPr>
            <w:tcW w:w="1051" w:type="pct"/>
            <w:tcMar>
              <w:left w:w="58" w:type="dxa"/>
              <w:right w:w="58" w:type="dxa"/>
            </w:tcMar>
          </w:tcPr>
          <w:p w:rsidR="000F2FFB" w:rsidRPr="00711F19" w:rsidRDefault="000F2FFB" w:rsidP="00D25F3D">
            <w:pPr>
              <w:rPr>
                <w:rFonts w:eastAsiaTheme="minorHAnsi"/>
                <w:sz w:val="19"/>
                <w:szCs w:val="19"/>
                <w:lang w:val="es-MX"/>
              </w:rPr>
            </w:pPr>
            <w:r w:rsidRPr="00711F19">
              <w:rPr>
                <w:sz w:val="19"/>
                <w:szCs w:val="19"/>
                <w:lang w:val="es-MX"/>
              </w:rPr>
              <w:t>Mundial</w:t>
            </w:r>
          </w:p>
          <w:p w:rsidR="000F2FFB" w:rsidRPr="00711F19" w:rsidRDefault="000F2FFB" w:rsidP="00D25F3D">
            <w:pPr>
              <w:rPr>
                <w:rFonts w:eastAsiaTheme="minorHAnsi"/>
                <w:sz w:val="19"/>
                <w:szCs w:val="19"/>
                <w:lang w:val="es-MX"/>
              </w:rPr>
            </w:pPr>
            <w:r w:rsidRPr="00711F19">
              <w:rPr>
                <w:sz w:val="19"/>
                <w:szCs w:val="19"/>
                <w:lang w:val="es-MX"/>
              </w:rPr>
              <w:t>GLO/REF/80/DEM/344</w:t>
            </w:r>
          </w:p>
        </w:tc>
        <w:tc>
          <w:tcPr>
            <w:tcW w:w="1292" w:type="pct"/>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Proyecto mundial de sustitución de enfriadores (Argentina)</w:t>
            </w:r>
          </w:p>
        </w:tc>
        <w:tc>
          <w:tcPr>
            <w:tcW w:w="384" w:type="pct"/>
            <w:tcMar>
              <w:left w:w="58" w:type="dxa"/>
              <w:right w:w="58" w:type="dxa"/>
            </w:tcMar>
          </w:tcPr>
          <w:p w:rsidR="000F2FFB" w:rsidRPr="00711F19" w:rsidRDefault="000F2FFB" w:rsidP="00D25F3D">
            <w:pPr>
              <w:jc w:val="center"/>
              <w:rPr>
                <w:rFonts w:eastAsiaTheme="minorHAnsi"/>
                <w:sz w:val="19"/>
                <w:szCs w:val="19"/>
                <w:lang w:val="es-MX"/>
              </w:rPr>
            </w:pPr>
            <w:r w:rsidRPr="00711F19">
              <w:rPr>
                <w:sz w:val="19"/>
                <w:szCs w:val="19"/>
                <w:lang w:val="es-MX"/>
              </w:rPr>
              <w:t>9</w:t>
            </w:r>
          </w:p>
        </w:tc>
        <w:tc>
          <w:tcPr>
            <w:tcW w:w="1118" w:type="pct"/>
            <w:tcMar>
              <w:left w:w="58" w:type="dxa"/>
              <w:right w:w="58" w:type="dxa"/>
            </w:tcMar>
          </w:tcPr>
          <w:p w:rsidR="000F2FFB" w:rsidRPr="00711F19" w:rsidRDefault="000F2FFB" w:rsidP="00D25F3D">
            <w:pPr>
              <w:jc w:val="left"/>
              <w:rPr>
                <w:rFonts w:eastAsiaTheme="minorHAnsi"/>
                <w:sz w:val="19"/>
                <w:szCs w:val="19"/>
                <w:lang w:val="es-MX"/>
              </w:rPr>
            </w:pPr>
            <w:r w:rsidRPr="00711F19">
              <w:rPr>
                <w:sz w:val="19"/>
                <w:szCs w:val="19"/>
                <w:lang w:val="es-MX"/>
              </w:rPr>
              <w:t xml:space="preserve">La situación financiera en el país ha demorado la finalización de las condiciones financieras con los beneficiarios debido a cambios en las tasas de préstamo </w:t>
            </w:r>
          </w:p>
        </w:tc>
        <w:tc>
          <w:tcPr>
            <w:tcW w:w="575" w:type="pct"/>
            <w:tcMar>
              <w:left w:w="58" w:type="dxa"/>
              <w:right w:w="58" w:type="dxa"/>
            </w:tcMar>
          </w:tcPr>
          <w:p w:rsidR="000F2FFB" w:rsidRPr="00711F19" w:rsidRDefault="000F2FFB" w:rsidP="00D25F3D">
            <w:pPr>
              <w:spacing w:after="160"/>
              <w:jc w:val="center"/>
              <w:rPr>
                <w:rFonts w:eastAsiaTheme="minorHAnsi"/>
                <w:sz w:val="19"/>
                <w:szCs w:val="19"/>
                <w:lang w:val="es-MX"/>
              </w:rPr>
            </w:pPr>
            <w:r w:rsidRPr="00711F19">
              <w:rPr>
                <w:sz w:val="19"/>
                <w:szCs w:val="19"/>
                <w:lang w:val="es-MX"/>
              </w:rPr>
              <w:t>31 Dic 2020</w:t>
            </w:r>
          </w:p>
        </w:tc>
        <w:tc>
          <w:tcPr>
            <w:tcW w:w="580" w:type="pct"/>
            <w:tcMar>
              <w:left w:w="58" w:type="dxa"/>
              <w:right w:w="58" w:type="dxa"/>
            </w:tcMar>
          </w:tcPr>
          <w:p w:rsidR="000F2FFB" w:rsidRPr="00711F19" w:rsidRDefault="000F2FFB" w:rsidP="00D25F3D">
            <w:pPr>
              <w:spacing w:after="160"/>
              <w:jc w:val="center"/>
              <w:rPr>
                <w:rFonts w:eastAsiaTheme="minorHAnsi"/>
                <w:sz w:val="19"/>
                <w:szCs w:val="19"/>
                <w:lang w:val="es-MX"/>
              </w:rPr>
            </w:pPr>
            <w:r w:rsidRPr="00711F19">
              <w:rPr>
                <w:sz w:val="19"/>
                <w:szCs w:val="19"/>
                <w:lang w:val="es-MX"/>
              </w:rPr>
              <w:t>31 Dic 2021</w:t>
            </w:r>
          </w:p>
        </w:tc>
      </w:tr>
    </w:tbl>
    <w:p w:rsidR="000F2FFB" w:rsidRPr="00711F19" w:rsidRDefault="000F2FFB" w:rsidP="000F2FFB">
      <w:pPr>
        <w:rPr>
          <w:lang w:val="es-MX"/>
        </w:rPr>
      </w:pPr>
    </w:p>
    <w:p w:rsidR="000F2FFB" w:rsidRPr="00711F19" w:rsidRDefault="000F2FFB" w:rsidP="000F2FFB">
      <w:pPr>
        <w:pStyle w:val="Heading1"/>
        <w:rPr>
          <w:lang w:val="es-MX"/>
        </w:rPr>
      </w:pPr>
      <w:r w:rsidRPr="00711F19">
        <w:rPr>
          <w:lang w:val="es-MX"/>
        </w:rPr>
        <w:t>El Comité Ejecutivo podrá estimar oportuno aprobar la prórroga de los proyectos contenidos en el Cuadro 1 anterior, hasta la fecha indicada en la última columna.</w:t>
      </w:r>
    </w:p>
    <w:p w:rsidR="000F2FFB" w:rsidRPr="00711F19" w:rsidRDefault="000F2FFB" w:rsidP="000F2FFB">
      <w:pPr>
        <w:pStyle w:val="Heading1"/>
        <w:numPr>
          <w:ilvl w:val="0"/>
          <w:numId w:val="0"/>
        </w:numPr>
        <w:rPr>
          <w:u w:val="single"/>
          <w:lang w:val="es-MX"/>
        </w:rPr>
      </w:pPr>
      <w:r w:rsidRPr="00711F19">
        <w:rPr>
          <w:u w:val="single"/>
          <w:lang w:val="es-MX"/>
        </w:rPr>
        <w:t>Etapa I del PGEH para Arabia Saudita</w:t>
      </w:r>
    </w:p>
    <w:p w:rsidR="000F2FFB" w:rsidRPr="00711F19" w:rsidRDefault="000F2FFB" w:rsidP="000F2FFB">
      <w:pPr>
        <w:pStyle w:val="Heading1"/>
        <w:rPr>
          <w:lang w:val="es-MX"/>
        </w:rPr>
      </w:pPr>
      <w:r w:rsidRPr="00711F19">
        <w:rPr>
          <w:lang w:val="es-MX"/>
        </w:rPr>
        <w:lastRenderedPageBreak/>
        <w:t>La etapa I del PGEH para Arabia Saudita, aprobada en la 68ª reunión</w:t>
      </w:r>
      <w:r w:rsidRPr="00711F19">
        <w:rPr>
          <w:rStyle w:val="FootnoteReference"/>
          <w:lang w:val="es-MX"/>
        </w:rPr>
        <w:footnoteReference w:id="32"/>
      </w:r>
      <w:r w:rsidRPr="00711F19">
        <w:rPr>
          <w:lang w:val="es-MX"/>
        </w:rPr>
        <w:t xml:space="preserve"> y en ejecución por la ONUDI (organismo principal) y el PNUMA (organismo cooperante), había experimentado importantes demoras en la ejecución. En su 84ª reunión, el Comité Ejecutivo examinó el documento UNEP/</w:t>
      </w:r>
      <w:proofErr w:type="spellStart"/>
      <w:r w:rsidRPr="00711F19">
        <w:rPr>
          <w:lang w:val="es-MX"/>
        </w:rPr>
        <w:t>OzL.Pro</w:t>
      </w:r>
      <w:proofErr w:type="spellEnd"/>
      <w:r w:rsidRPr="00711F19">
        <w:rPr>
          <w:lang w:val="es-MX"/>
        </w:rPr>
        <w:t>/</w:t>
      </w:r>
      <w:proofErr w:type="spellStart"/>
      <w:r w:rsidRPr="00711F19">
        <w:rPr>
          <w:lang w:val="es-MX"/>
        </w:rPr>
        <w:t>ExCom</w:t>
      </w:r>
      <w:proofErr w:type="spellEnd"/>
      <w:r w:rsidRPr="00711F19">
        <w:rPr>
          <w:lang w:val="es-MX"/>
        </w:rPr>
        <w:t>/84/25 sobre las demoras en la presentación de tramos e instó al Gobierno de Arabia Saudita a que, a través de la ONUDI, presentase a la 85ª reunión (i) un informe exhaustivo que demostrara que se habían cumplido las condiciones especificadas en el Apéndice 8-A de su Acuerdo;</w:t>
      </w:r>
      <w:r w:rsidRPr="00711F19">
        <w:rPr>
          <w:rStyle w:val="FootnoteReference"/>
          <w:lang w:val="es-MX"/>
        </w:rPr>
        <w:footnoteReference w:id="33"/>
      </w:r>
      <w:r w:rsidRPr="00711F19">
        <w:rPr>
          <w:lang w:val="es-MX"/>
        </w:rPr>
        <w:t xml:space="preserve"> (ii) la solicitud para el quinto tramo (2016), con un plan de acción revisado, para tener en cuenta la reincorporación de los fondos que se habían devuelto a la 81ª reunión en consonancia con las decisiones 77/54(f) y 81/2(a)(xii) y la reasignación de los tramos de 2016 y siguientes; y (iii) la verificación del consumo de 2016, 2017, 2018 y 2019. El Comité decidió también que si no se recibiese esta información en la 85ª reunión, se cancelaría la etapa I del PGEH y el país podría presentar una solicitud para la preparación de proyectos para la etapa II (decisión 84/45(b)).</w:t>
      </w:r>
      <w:r w:rsidRPr="00711F19">
        <w:rPr>
          <w:rStyle w:val="FootnoteReference"/>
          <w:lang w:val="es-MX"/>
        </w:rPr>
        <w:footnoteReference w:id="34"/>
      </w:r>
      <w:r w:rsidRPr="00711F19">
        <w:rPr>
          <w:lang w:val="es-MX"/>
        </w:rPr>
        <w:t xml:space="preserve"> El 3 de febrero de 2020, la Secretaría envió una carta al Gobierno de Arabia Saudita en la que informa al país sobre la decisión adoptada por el Comité.</w:t>
      </w:r>
    </w:p>
    <w:p w:rsidR="000F2FFB" w:rsidRPr="00711F19" w:rsidRDefault="000F2FFB" w:rsidP="000F2FFB">
      <w:pPr>
        <w:pStyle w:val="Heading1"/>
        <w:rPr>
          <w:lang w:val="es-MX"/>
        </w:rPr>
      </w:pPr>
      <w:r w:rsidRPr="00711F19">
        <w:rPr>
          <w:lang w:val="es-MX"/>
        </w:rPr>
        <w:t>En la 85ª reunión, la ONUDI no presentó la información requerida y, por lo tanto, el proyecto debería cancelarse. Durante el proceso de examen de los informes sobre la marcha de las actividades de 2019, la Secretaría mantuvo extensas conversaciones con la ONUDI y el PNUMA sobre la cancelación de los componentes del PGEH (ocho de la ONUDI y tres del PNUMA).</w:t>
      </w:r>
      <w:r w:rsidRPr="00711F19">
        <w:rPr>
          <w:rStyle w:val="FootnoteReference"/>
          <w:lang w:val="es-MX"/>
        </w:rPr>
        <w:footnoteReference w:id="35"/>
      </w:r>
      <w:r w:rsidRPr="00711F19">
        <w:rPr>
          <w:lang w:val="es-MX"/>
        </w:rPr>
        <w:t xml:space="preserve"> Durante las deliberaciones, se informó a la Secretaría de que, en el caso de los componentes de la ONUDI, no se iniciaría ninguna actividad nueva y se terminarían los proyectos y los saldos se devolverían lo antes posible.</w:t>
      </w:r>
    </w:p>
    <w:p w:rsidR="000F2FFB" w:rsidRPr="00711F19" w:rsidRDefault="000F2FFB" w:rsidP="000F2FFB">
      <w:pPr>
        <w:pStyle w:val="Heading1"/>
        <w:rPr>
          <w:lang w:val="es-MX"/>
        </w:rPr>
      </w:pPr>
      <w:r w:rsidRPr="00711F19">
        <w:rPr>
          <w:lang w:val="es-MX"/>
        </w:rPr>
        <w:t>Los ocho componentes de proyecto ejecutados por la ONUDI incluyen tres actividades en el sector de servicio y mantenimiento de equipos de refrigeración y cinco actividades relacionadas con el proyecto de conversión y la asistencia técnica en el sector de espumas, como se indica en el Cuadro 2. La Secretaría observó que:</w:t>
      </w:r>
    </w:p>
    <w:p w:rsidR="000F2FFB" w:rsidRPr="00711F19" w:rsidRDefault="000F2FFB" w:rsidP="000F2FFB">
      <w:pPr>
        <w:pStyle w:val="Heading2"/>
        <w:rPr>
          <w:lang w:val="es-MX"/>
        </w:rPr>
      </w:pPr>
      <w:r w:rsidRPr="00711F19">
        <w:rPr>
          <w:lang w:val="es-MX"/>
        </w:rPr>
        <w:t xml:space="preserve">La ONUDI acordó devolver los saldos remanentes relativos a los tres proyectos del sector de servicio y mantenimiento (SAU/PHA/68/INV/17, SAU/PHA/72/INV/20 y SAU/PHA/75/INV/25) a la 86ª reunión; </w:t>
      </w:r>
    </w:p>
    <w:p w:rsidR="000F2FFB" w:rsidRPr="00711F19" w:rsidRDefault="000F2FFB" w:rsidP="000F2FFB">
      <w:pPr>
        <w:pStyle w:val="Heading2"/>
        <w:rPr>
          <w:lang w:val="es-MX"/>
        </w:rPr>
      </w:pPr>
      <w:r w:rsidRPr="00711F19">
        <w:rPr>
          <w:lang w:val="es-MX"/>
        </w:rPr>
        <w:t>En el caso de los cinco proyectos relacionados con el sector de espumas, se acordó que la ONUDI podría: identificar a un comprador para los equipos adquiridos para Al-</w:t>
      </w:r>
      <w:proofErr w:type="spellStart"/>
      <w:r w:rsidRPr="00711F19">
        <w:rPr>
          <w:lang w:val="es-MX"/>
        </w:rPr>
        <w:t>Watania</w:t>
      </w:r>
      <w:proofErr w:type="spellEnd"/>
      <w:r w:rsidRPr="00711F19">
        <w:rPr>
          <w:lang w:val="es-MX"/>
        </w:rPr>
        <w:t xml:space="preserve"> </w:t>
      </w:r>
      <w:proofErr w:type="spellStart"/>
      <w:r w:rsidRPr="00711F19">
        <w:rPr>
          <w:lang w:val="es-MX"/>
        </w:rPr>
        <w:t>Plastics</w:t>
      </w:r>
      <w:proofErr w:type="spellEnd"/>
      <w:r w:rsidRPr="00711F19">
        <w:rPr>
          <w:lang w:val="es-MX"/>
        </w:rPr>
        <w:t xml:space="preserve"> (SAU/FOA/62/INV/13); identificar otra empresa admisible que desee utilizar los equipos adquiridos para </w:t>
      </w:r>
      <w:proofErr w:type="spellStart"/>
      <w:r w:rsidRPr="00711F19">
        <w:rPr>
          <w:lang w:val="es-MX"/>
        </w:rPr>
        <w:t>Hesco</w:t>
      </w:r>
      <w:proofErr w:type="spellEnd"/>
      <w:r w:rsidRPr="00711F19">
        <w:rPr>
          <w:lang w:val="es-MX"/>
        </w:rPr>
        <w:t xml:space="preserve">, quienes decidieron no participar en el proyecto debido a un incendio en sus instalaciones, o subastar el equipo si no se encontraba ninguna empresa admisible (SAU/PHA/68/INV/19); instalar los equipos que ya se han adquirido en </w:t>
      </w:r>
      <w:proofErr w:type="spellStart"/>
      <w:r w:rsidRPr="00711F19">
        <w:rPr>
          <w:lang w:val="es-MX"/>
        </w:rPr>
        <w:t>Jundi</w:t>
      </w:r>
      <w:proofErr w:type="spellEnd"/>
      <w:r w:rsidRPr="00711F19">
        <w:rPr>
          <w:lang w:val="es-MX"/>
        </w:rPr>
        <w:t xml:space="preserve"> </w:t>
      </w:r>
      <w:proofErr w:type="spellStart"/>
      <w:r w:rsidRPr="00711F19">
        <w:rPr>
          <w:lang w:val="es-MX"/>
        </w:rPr>
        <w:lastRenderedPageBreak/>
        <w:t>Systems</w:t>
      </w:r>
      <w:proofErr w:type="spellEnd"/>
      <w:r w:rsidRPr="00711F19">
        <w:rPr>
          <w:lang w:val="es-MX"/>
        </w:rPr>
        <w:t xml:space="preserve"> </w:t>
      </w:r>
      <w:proofErr w:type="spellStart"/>
      <w:r w:rsidRPr="00711F19">
        <w:rPr>
          <w:lang w:val="es-MX"/>
        </w:rPr>
        <w:t>House</w:t>
      </w:r>
      <w:proofErr w:type="spellEnd"/>
      <w:r w:rsidRPr="00711F19">
        <w:rPr>
          <w:lang w:val="es-MX"/>
        </w:rPr>
        <w:t xml:space="preserve"> en sus nuevas instalaciones (SAU/PHA/72/INV/21); instalar los equipos adquiridos en Al </w:t>
      </w:r>
      <w:proofErr w:type="spellStart"/>
      <w:r w:rsidRPr="00711F19">
        <w:rPr>
          <w:lang w:val="es-MX"/>
        </w:rPr>
        <w:t>Mutlak</w:t>
      </w:r>
      <w:proofErr w:type="spellEnd"/>
      <w:r w:rsidRPr="00711F19">
        <w:rPr>
          <w:lang w:val="es-MX"/>
        </w:rPr>
        <w:t xml:space="preserve"> y </w:t>
      </w:r>
      <w:proofErr w:type="spellStart"/>
      <w:r w:rsidRPr="00711F19">
        <w:rPr>
          <w:lang w:val="es-MX"/>
        </w:rPr>
        <w:t>Sahari</w:t>
      </w:r>
      <w:proofErr w:type="spellEnd"/>
      <w:r w:rsidRPr="00711F19">
        <w:rPr>
          <w:lang w:val="es-MX"/>
        </w:rPr>
        <w:t xml:space="preserve"> (SAU/PHA/75/INV/24); y capacitación completa para empresas de espumas para pulverización (SAU/PHA/77/INV/31). Se acordó además que la ONUDI presentaría un informe anual sobre la marcha de las actividades relativo a la ejecución de las actividades restantes en el marco de la etapa I a la última reunión del Comité Ejecutivo de cada año, hasta su terminación, y que la etapa II se consideraría solo después de la terminación financiera de la etapa I.</w:t>
      </w:r>
    </w:p>
    <w:p w:rsidR="000F2FFB" w:rsidRPr="00711F19" w:rsidRDefault="000F2FFB" w:rsidP="000F2FFB">
      <w:pPr>
        <w:pStyle w:val="Heading1"/>
        <w:numPr>
          <w:ilvl w:val="0"/>
          <w:numId w:val="0"/>
        </w:numPr>
        <w:spacing w:after="0"/>
        <w:rPr>
          <w:b/>
          <w:lang w:val="es-MX"/>
        </w:rPr>
      </w:pPr>
      <w:r w:rsidRPr="00711F19">
        <w:rPr>
          <w:b/>
          <w:lang w:val="es-MX"/>
        </w:rPr>
        <w:t>Cuadro 2. Tramos en curso de la etapa I del PGEH para Arabia Saudita en ejecución por la ONUDI</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96"/>
        <w:gridCol w:w="2480"/>
        <w:gridCol w:w="1195"/>
        <w:gridCol w:w="3817"/>
      </w:tblGrid>
      <w:tr w:rsidR="000F2FFB" w:rsidRPr="00711F19" w:rsidTr="00D25F3D">
        <w:trPr>
          <w:trHeight w:val="395"/>
          <w:tblHeader/>
        </w:trPr>
        <w:tc>
          <w:tcPr>
            <w:tcW w:w="1133" w:type="pct"/>
            <w:tcMar>
              <w:top w:w="0" w:type="dxa"/>
              <w:left w:w="72" w:type="dxa"/>
              <w:bottom w:w="0" w:type="dxa"/>
              <w:right w:w="58"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Código del proyecto</w:t>
            </w:r>
          </w:p>
        </w:tc>
        <w:tc>
          <w:tcPr>
            <w:tcW w:w="1280" w:type="pct"/>
            <w:tcMar>
              <w:top w:w="0" w:type="dxa"/>
              <w:left w:w="72" w:type="dxa"/>
              <w:bottom w:w="0" w:type="dxa"/>
              <w:right w:w="58"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Título del proyecto</w:t>
            </w:r>
          </w:p>
        </w:tc>
        <w:tc>
          <w:tcPr>
            <w:tcW w:w="617" w:type="pct"/>
            <w:tcMar>
              <w:top w:w="0" w:type="dxa"/>
              <w:left w:w="72" w:type="dxa"/>
              <w:bottom w:w="0" w:type="dxa"/>
              <w:right w:w="58"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Desembolso (%)</w:t>
            </w:r>
          </w:p>
        </w:tc>
        <w:tc>
          <w:tcPr>
            <w:tcW w:w="1970" w:type="pct"/>
            <w:tcMar>
              <w:top w:w="0" w:type="dxa"/>
              <w:left w:w="72" w:type="dxa"/>
              <w:bottom w:w="0" w:type="dxa"/>
              <w:right w:w="58"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Situación</w:t>
            </w:r>
          </w:p>
        </w:tc>
      </w:tr>
      <w:tr w:rsidR="000F2FFB" w:rsidRPr="0010622B" w:rsidTr="00D25F3D">
        <w:trPr>
          <w:trHeight w:val="395"/>
        </w:trPr>
        <w:tc>
          <w:tcPr>
            <w:tcW w:w="1133"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SAU/FOA/62/INV/13</w:t>
            </w:r>
          </w:p>
        </w:tc>
        <w:tc>
          <w:tcPr>
            <w:tcW w:w="128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Eliminación de HCFC-22 y HCFC-142b de la fabricación de paneles de </w:t>
            </w:r>
            <w:proofErr w:type="spellStart"/>
            <w:r w:rsidRPr="00711F19">
              <w:rPr>
                <w:sz w:val="20"/>
                <w:szCs w:val="20"/>
                <w:lang w:val="es-MX"/>
              </w:rPr>
              <w:t>poliestireno</w:t>
            </w:r>
            <w:proofErr w:type="spellEnd"/>
            <w:r w:rsidRPr="00711F19">
              <w:rPr>
                <w:sz w:val="20"/>
                <w:szCs w:val="20"/>
                <w:lang w:val="es-MX"/>
              </w:rPr>
              <w:t xml:space="preserve"> extruido en Al-</w:t>
            </w:r>
            <w:proofErr w:type="spellStart"/>
            <w:r w:rsidRPr="00711F19">
              <w:rPr>
                <w:sz w:val="20"/>
                <w:szCs w:val="20"/>
                <w:lang w:val="es-MX"/>
              </w:rPr>
              <w:t>Watania</w:t>
            </w:r>
            <w:proofErr w:type="spellEnd"/>
            <w:r w:rsidRPr="00711F19">
              <w:rPr>
                <w:sz w:val="20"/>
                <w:szCs w:val="20"/>
                <w:lang w:val="es-MX"/>
              </w:rPr>
              <w:t xml:space="preserve"> </w:t>
            </w:r>
            <w:proofErr w:type="spellStart"/>
            <w:r w:rsidRPr="00711F19">
              <w:rPr>
                <w:sz w:val="20"/>
                <w:szCs w:val="20"/>
                <w:lang w:val="es-MX"/>
              </w:rPr>
              <w:t>Plastics</w:t>
            </w:r>
            <w:proofErr w:type="spellEnd"/>
          </w:p>
        </w:tc>
        <w:tc>
          <w:tcPr>
            <w:tcW w:w="617" w:type="pct"/>
            <w:tcMar>
              <w:top w:w="0" w:type="dxa"/>
              <w:left w:w="72" w:type="dxa"/>
              <w:bottom w:w="0" w:type="dxa"/>
              <w:right w:w="58" w:type="dxa"/>
            </w:tcMar>
            <w:hideMark/>
          </w:tcPr>
          <w:p w:rsidR="000F2FFB" w:rsidRPr="00711F19" w:rsidRDefault="000F2FFB" w:rsidP="00D25F3D">
            <w:pPr>
              <w:jc w:val="center"/>
              <w:rPr>
                <w:sz w:val="20"/>
                <w:szCs w:val="20"/>
                <w:lang w:val="es-MX"/>
              </w:rPr>
            </w:pPr>
            <w:r w:rsidRPr="00711F19">
              <w:rPr>
                <w:sz w:val="20"/>
                <w:szCs w:val="20"/>
                <w:lang w:val="es-MX"/>
              </w:rPr>
              <w:t>53</w:t>
            </w:r>
          </w:p>
        </w:tc>
        <w:tc>
          <w:tcPr>
            <w:tcW w:w="197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 demora en la identificación del comprador de equipos adquiridos para el proyecto; la empresa decidió no participar en el proyecto después de la adquisición de equipos</w:t>
            </w:r>
          </w:p>
        </w:tc>
      </w:tr>
      <w:tr w:rsidR="000F2FFB" w:rsidRPr="0010622B" w:rsidTr="00D25F3D">
        <w:trPr>
          <w:trHeight w:val="458"/>
        </w:trPr>
        <w:tc>
          <w:tcPr>
            <w:tcW w:w="1133"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SAU/PHA/68/INV/17</w:t>
            </w:r>
          </w:p>
        </w:tc>
        <w:tc>
          <w:tcPr>
            <w:tcW w:w="128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primer tramo) (servicio y mantenimiento de equipos de refrigeración, y supervisión)</w:t>
            </w:r>
          </w:p>
        </w:tc>
        <w:tc>
          <w:tcPr>
            <w:tcW w:w="617" w:type="pct"/>
            <w:tcMar>
              <w:top w:w="0" w:type="dxa"/>
              <w:left w:w="72" w:type="dxa"/>
              <w:bottom w:w="0" w:type="dxa"/>
              <w:right w:w="58" w:type="dxa"/>
            </w:tcMar>
            <w:hideMark/>
          </w:tcPr>
          <w:p w:rsidR="000F2FFB" w:rsidRPr="00711F19" w:rsidRDefault="000F2FFB" w:rsidP="00D25F3D">
            <w:pPr>
              <w:jc w:val="center"/>
              <w:rPr>
                <w:sz w:val="20"/>
                <w:szCs w:val="20"/>
                <w:lang w:val="es-MX"/>
              </w:rPr>
            </w:pPr>
            <w:r w:rsidRPr="00711F19">
              <w:rPr>
                <w:sz w:val="20"/>
                <w:szCs w:val="20"/>
                <w:lang w:val="es-MX"/>
              </w:rPr>
              <w:t>88</w:t>
            </w:r>
          </w:p>
        </w:tc>
        <w:tc>
          <w:tcPr>
            <w:tcW w:w="197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 no se han iniciado nuevas actividades en el marco de este proyecto, dado que se canceló (decisión 84/45(b) y (c))</w:t>
            </w:r>
          </w:p>
        </w:tc>
      </w:tr>
      <w:tr w:rsidR="000F2FFB" w:rsidRPr="0010622B" w:rsidTr="00D25F3D">
        <w:trPr>
          <w:trHeight w:val="469"/>
        </w:trPr>
        <w:tc>
          <w:tcPr>
            <w:tcW w:w="1133"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SAU/PHA/68/INV/19</w:t>
            </w:r>
          </w:p>
        </w:tc>
        <w:tc>
          <w:tcPr>
            <w:tcW w:w="128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primer tramo) (plan sectorial de espumas de poliuretano)</w:t>
            </w:r>
          </w:p>
        </w:tc>
        <w:tc>
          <w:tcPr>
            <w:tcW w:w="617" w:type="pct"/>
            <w:tcMar>
              <w:top w:w="0" w:type="dxa"/>
              <w:left w:w="72" w:type="dxa"/>
              <w:bottom w:w="0" w:type="dxa"/>
              <w:right w:w="58" w:type="dxa"/>
            </w:tcMar>
            <w:hideMark/>
          </w:tcPr>
          <w:p w:rsidR="000F2FFB" w:rsidRPr="00711F19" w:rsidRDefault="000F2FFB" w:rsidP="00D25F3D">
            <w:pPr>
              <w:jc w:val="center"/>
              <w:rPr>
                <w:sz w:val="20"/>
                <w:szCs w:val="20"/>
                <w:lang w:val="es-MX"/>
              </w:rPr>
            </w:pPr>
            <w:r w:rsidRPr="00711F19">
              <w:rPr>
                <w:sz w:val="20"/>
                <w:szCs w:val="20"/>
                <w:lang w:val="es-MX"/>
              </w:rPr>
              <w:t>100</w:t>
            </w:r>
          </w:p>
        </w:tc>
        <w:tc>
          <w:tcPr>
            <w:tcW w:w="197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 los equipos adquiridos para una de las tres empresas (</w:t>
            </w:r>
            <w:proofErr w:type="spellStart"/>
            <w:r w:rsidRPr="00711F19">
              <w:rPr>
                <w:sz w:val="20"/>
                <w:szCs w:val="20"/>
                <w:lang w:val="es-MX"/>
              </w:rPr>
              <w:t>Hesco</w:t>
            </w:r>
            <w:proofErr w:type="spellEnd"/>
            <w:r w:rsidRPr="00711F19">
              <w:rPr>
                <w:sz w:val="20"/>
                <w:szCs w:val="20"/>
                <w:lang w:val="es-MX"/>
              </w:rPr>
              <w:t>) que sufrió un incendio podrían utilizarse en otra empresa admisible o subastarse en caso de que no se encontrara ninguna empresa admisible</w:t>
            </w:r>
          </w:p>
        </w:tc>
      </w:tr>
      <w:tr w:rsidR="000F2FFB" w:rsidRPr="0010622B" w:rsidTr="00D25F3D">
        <w:trPr>
          <w:trHeight w:val="621"/>
        </w:trPr>
        <w:tc>
          <w:tcPr>
            <w:tcW w:w="1133"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SAU/PHA/72/INV/20</w:t>
            </w:r>
          </w:p>
        </w:tc>
        <w:tc>
          <w:tcPr>
            <w:tcW w:w="128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segundo tramo) (servicio y mantenimiento de equipos de refrigeración, y supervisión)</w:t>
            </w:r>
          </w:p>
        </w:tc>
        <w:tc>
          <w:tcPr>
            <w:tcW w:w="617" w:type="pct"/>
            <w:tcMar>
              <w:top w:w="0" w:type="dxa"/>
              <w:left w:w="72" w:type="dxa"/>
              <w:bottom w:w="0" w:type="dxa"/>
              <w:right w:w="58" w:type="dxa"/>
            </w:tcMar>
            <w:hideMark/>
          </w:tcPr>
          <w:p w:rsidR="000F2FFB" w:rsidRPr="00711F19" w:rsidRDefault="000F2FFB" w:rsidP="00D25F3D">
            <w:pPr>
              <w:jc w:val="center"/>
              <w:rPr>
                <w:sz w:val="20"/>
                <w:szCs w:val="20"/>
                <w:lang w:val="es-MX"/>
              </w:rPr>
            </w:pPr>
            <w:r w:rsidRPr="00711F19">
              <w:rPr>
                <w:sz w:val="20"/>
                <w:szCs w:val="20"/>
                <w:lang w:val="es-MX"/>
              </w:rPr>
              <w:t>45</w:t>
            </w:r>
          </w:p>
        </w:tc>
        <w:tc>
          <w:tcPr>
            <w:tcW w:w="197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 no se han iniciado nuevas actividades en el marco de este proyecto, dado que se canceló (decisión 84/45(b) y (c))</w:t>
            </w:r>
          </w:p>
        </w:tc>
      </w:tr>
      <w:tr w:rsidR="000F2FFB" w:rsidRPr="0010622B" w:rsidTr="00D25F3D">
        <w:trPr>
          <w:trHeight w:val="630"/>
        </w:trPr>
        <w:tc>
          <w:tcPr>
            <w:tcW w:w="1133"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SAU/PHA/72/INV/21</w:t>
            </w:r>
          </w:p>
        </w:tc>
        <w:tc>
          <w:tcPr>
            <w:tcW w:w="128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segundo tramo) (plan sectorial de espumas de poliuretano)</w:t>
            </w:r>
          </w:p>
        </w:tc>
        <w:tc>
          <w:tcPr>
            <w:tcW w:w="617" w:type="pct"/>
            <w:tcMar>
              <w:top w:w="0" w:type="dxa"/>
              <w:left w:w="72" w:type="dxa"/>
              <w:bottom w:w="0" w:type="dxa"/>
              <w:right w:w="58" w:type="dxa"/>
            </w:tcMar>
            <w:hideMark/>
          </w:tcPr>
          <w:p w:rsidR="000F2FFB" w:rsidRPr="00711F19" w:rsidRDefault="000F2FFB" w:rsidP="00D25F3D">
            <w:pPr>
              <w:jc w:val="center"/>
              <w:rPr>
                <w:sz w:val="20"/>
                <w:szCs w:val="20"/>
                <w:lang w:val="es-MX"/>
              </w:rPr>
            </w:pPr>
            <w:r w:rsidRPr="00711F19">
              <w:rPr>
                <w:sz w:val="20"/>
                <w:szCs w:val="20"/>
                <w:lang w:val="es-MX"/>
              </w:rPr>
              <w:t>71</w:t>
            </w:r>
          </w:p>
        </w:tc>
        <w:tc>
          <w:tcPr>
            <w:tcW w:w="197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12 meses de demoras; hubo un incendio en </w:t>
            </w:r>
            <w:proofErr w:type="spellStart"/>
            <w:r w:rsidRPr="00711F19">
              <w:rPr>
                <w:sz w:val="20"/>
                <w:szCs w:val="20"/>
                <w:lang w:val="es-MX"/>
              </w:rPr>
              <w:t>Jundi</w:t>
            </w:r>
            <w:proofErr w:type="spellEnd"/>
            <w:r w:rsidRPr="00711F19">
              <w:rPr>
                <w:sz w:val="20"/>
                <w:szCs w:val="20"/>
                <w:lang w:val="es-MX"/>
              </w:rPr>
              <w:t xml:space="preserve"> </w:t>
            </w:r>
            <w:proofErr w:type="spellStart"/>
            <w:r w:rsidRPr="00711F19">
              <w:rPr>
                <w:sz w:val="20"/>
                <w:szCs w:val="20"/>
                <w:lang w:val="es-MX"/>
              </w:rPr>
              <w:t>Systems</w:t>
            </w:r>
            <w:proofErr w:type="spellEnd"/>
            <w:r w:rsidRPr="00711F19">
              <w:rPr>
                <w:sz w:val="20"/>
                <w:szCs w:val="20"/>
                <w:lang w:val="es-MX"/>
              </w:rPr>
              <w:t xml:space="preserve"> </w:t>
            </w:r>
            <w:proofErr w:type="spellStart"/>
            <w:r w:rsidRPr="00711F19">
              <w:rPr>
                <w:sz w:val="20"/>
                <w:szCs w:val="20"/>
                <w:lang w:val="es-MX"/>
              </w:rPr>
              <w:t>House</w:t>
            </w:r>
            <w:proofErr w:type="spellEnd"/>
            <w:r w:rsidRPr="00711F19">
              <w:rPr>
                <w:sz w:val="20"/>
                <w:szCs w:val="20"/>
                <w:lang w:val="es-MX"/>
              </w:rPr>
              <w:t>, que es una de las empresas cubiertas por el proyecto. La empresa ha iniciado la construcción de las nuevas instalaciones. Los equipos para este proveedor de sistemas se adquirieron y se instalarán en el nuevo edificio en los próximos 12 meses   </w:t>
            </w:r>
          </w:p>
        </w:tc>
      </w:tr>
      <w:tr w:rsidR="000F2FFB" w:rsidRPr="0010622B" w:rsidTr="00D25F3D">
        <w:trPr>
          <w:trHeight w:val="484"/>
        </w:trPr>
        <w:tc>
          <w:tcPr>
            <w:tcW w:w="1133"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SAU/PHA/75/INV/24</w:t>
            </w:r>
          </w:p>
        </w:tc>
        <w:tc>
          <w:tcPr>
            <w:tcW w:w="128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 (plan sectorial de espumas de poliuretano)</w:t>
            </w:r>
          </w:p>
        </w:tc>
        <w:tc>
          <w:tcPr>
            <w:tcW w:w="617" w:type="pct"/>
            <w:tcMar>
              <w:top w:w="0" w:type="dxa"/>
              <w:left w:w="72" w:type="dxa"/>
              <w:bottom w:w="0" w:type="dxa"/>
              <w:right w:w="58" w:type="dxa"/>
            </w:tcMar>
            <w:hideMark/>
          </w:tcPr>
          <w:p w:rsidR="000F2FFB" w:rsidRPr="00711F19" w:rsidRDefault="000F2FFB" w:rsidP="00D25F3D">
            <w:pPr>
              <w:jc w:val="center"/>
              <w:rPr>
                <w:sz w:val="20"/>
                <w:szCs w:val="20"/>
                <w:lang w:val="es-MX"/>
              </w:rPr>
            </w:pPr>
            <w:r w:rsidRPr="00711F19">
              <w:rPr>
                <w:sz w:val="20"/>
                <w:szCs w:val="20"/>
                <w:lang w:val="es-MX"/>
              </w:rPr>
              <w:t>59</w:t>
            </w:r>
          </w:p>
        </w:tc>
        <w:tc>
          <w:tcPr>
            <w:tcW w:w="197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12 meses de demoras; tan solo debe terminarse la instalación de los equipos adquiridos en dos empresas (Al </w:t>
            </w:r>
            <w:proofErr w:type="spellStart"/>
            <w:r w:rsidRPr="00711F19">
              <w:rPr>
                <w:sz w:val="20"/>
                <w:szCs w:val="20"/>
                <w:lang w:val="es-MX"/>
              </w:rPr>
              <w:t>Mutlak</w:t>
            </w:r>
            <w:proofErr w:type="spellEnd"/>
            <w:r w:rsidRPr="00711F19">
              <w:rPr>
                <w:sz w:val="20"/>
                <w:szCs w:val="20"/>
                <w:lang w:val="es-MX"/>
              </w:rPr>
              <w:t xml:space="preserve"> y </w:t>
            </w:r>
            <w:proofErr w:type="spellStart"/>
            <w:r w:rsidRPr="00711F19">
              <w:rPr>
                <w:sz w:val="20"/>
                <w:szCs w:val="20"/>
                <w:lang w:val="es-MX"/>
              </w:rPr>
              <w:t>Sahari</w:t>
            </w:r>
            <w:proofErr w:type="spellEnd"/>
            <w:r w:rsidRPr="00711F19">
              <w:rPr>
                <w:sz w:val="20"/>
                <w:szCs w:val="20"/>
                <w:lang w:val="es-MX"/>
              </w:rPr>
              <w:t>);</w:t>
            </w:r>
            <w:r w:rsidRPr="00711F19">
              <w:rPr>
                <w:lang w:val="es-MX"/>
              </w:rPr>
              <w:t xml:space="preserve"> </w:t>
            </w:r>
            <w:r w:rsidRPr="00711F19">
              <w:rPr>
                <w:sz w:val="20"/>
                <w:szCs w:val="20"/>
                <w:lang w:val="es-MX"/>
              </w:rPr>
              <w:t>no se iniciarán nuevas actividades en el marco de este proyecto, dado que se canceló (decisión 84/45(b) y (c))</w:t>
            </w:r>
          </w:p>
        </w:tc>
      </w:tr>
      <w:tr w:rsidR="000F2FFB" w:rsidRPr="0010622B" w:rsidTr="00D25F3D">
        <w:trPr>
          <w:trHeight w:val="495"/>
        </w:trPr>
        <w:tc>
          <w:tcPr>
            <w:tcW w:w="1133"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SAU/PHA/75/INV/25</w:t>
            </w:r>
          </w:p>
        </w:tc>
        <w:tc>
          <w:tcPr>
            <w:tcW w:w="128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 (servicio y mantenimiento de equipos de refrigeración, y supervisión)</w:t>
            </w:r>
          </w:p>
        </w:tc>
        <w:tc>
          <w:tcPr>
            <w:tcW w:w="617" w:type="pct"/>
            <w:tcMar>
              <w:top w:w="0" w:type="dxa"/>
              <w:left w:w="72" w:type="dxa"/>
              <w:bottom w:w="0" w:type="dxa"/>
              <w:right w:w="58" w:type="dxa"/>
            </w:tcMar>
            <w:hideMark/>
          </w:tcPr>
          <w:p w:rsidR="000F2FFB" w:rsidRPr="00711F19" w:rsidRDefault="000F2FFB" w:rsidP="00D25F3D">
            <w:pPr>
              <w:jc w:val="center"/>
              <w:rPr>
                <w:sz w:val="20"/>
                <w:szCs w:val="20"/>
                <w:lang w:val="es-MX"/>
              </w:rPr>
            </w:pPr>
            <w:r w:rsidRPr="00711F19">
              <w:rPr>
                <w:sz w:val="20"/>
                <w:szCs w:val="20"/>
                <w:lang w:val="es-MX"/>
              </w:rPr>
              <w:t>70</w:t>
            </w:r>
          </w:p>
        </w:tc>
        <w:tc>
          <w:tcPr>
            <w:tcW w:w="197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 no se han iniciado nuevas actividades en el marco de este proyecto, dado que se canceló (decisión 84/45(b) y (c))</w:t>
            </w:r>
          </w:p>
        </w:tc>
      </w:tr>
      <w:tr w:rsidR="000F2FFB" w:rsidRPr="0010622B" w:rsidTr="00D25F3D">
        <w:trPr>
          <w:trHeight w:val="528"/>
        </w:trPr>
        <w:tc>
          <w:tcPr>
            <w:tcW w:w="1133"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SAU/PHA/77/INV/31</w:t>
            </w:r>
          </w:p>
        </w:tc>
        <w:tc>
          <w:tcPr>
            <w:tcW w:w="128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cuarto tramo) (plan sectorial de espumas de poliuretano)</w:t>
            </w:r>
          </w:p>
        </w:tc>
        <w:tc>
          <w:tcPr>
            <w:tcW w:w="617" w:type="pct"/>
            <w:tcMar>
              <w:top w:w="0" w:type="dxa"/>
              <w:left w:w="72" w:type="dxa"/>
              <w:bottom w:w="0" w:type="dxa"/>
              <w:right w:w="58" w:type="dxa"/>
            </w:tcMar>
            <w:hideMark/>
          </w:tcPr>
          <w:p w:rsidR="000F2FFB" w:rsidRPr="00711F19" w:rsidRDefault="000F2FFB" w:rsidP="00D25F3D">
            <w:pPr>
              <w:jc w:val="center"/>
              <w:rPr>
                <w:sz w:val="20"/>
                <w:szCs w:val="20"/>
                <w:lang w:val="es-MX"/>
              </w:rPr>
            </w:pPr>
            <w:r w:rsidRPr="00711F19">
              <w:rPr>
                <w:sz w:val="20"/>
                <w:szCs w:val="20"/>
                <w:lang w:val="es-MX"/>
              </w:rPr>
              <w:t>21 </w:t>
            </w:r>
          </w:p>
        </w:tc>
        <w:tc>
          <w:tcPr>
            <w:tcW w:w="1970" w:type="pct"/>
            <w:tcMar>
              <w:top w:w="0" w:type="dxa"/>
              <w:left w:w="72" w:type="dxa"/>
              <w:bottom w:w="0" w:type="dxa"/>
              <w:right w:w="58" w:type="dxa"/>
            </w:tcMar>
            <w:hideMark/>
          </w:tcPr>
          <w:p w:rsidR="000F2FFB" w:rsidRPr="00711F19" w:rsidRDefault="000F2FFB" w:rsidP="00D25F3D">
            <w:pPr>
              <w:jc w:val="left"/>
              <w:rPr>
                <w:sz w:val="20"/>
                <w:szCs w:val="20"/>
                <w:lang w:val="es-MX"/>
              </w:rPr>
            </w:pPr>
            <w:r w:rsidRPr="00711F19">
              <w:rPr>
                <w:sz w:val="20"/>
                <w:szCs w:val="20"/>
                <w:lang w:val="es-MX"/>
              </w:rPr>
              <w:t>Se debe terminar el programa de capacitación para las empresas de espumas para pulverización, que se retrasó debido al COVID-19</w:t>
            </w:r>
          </w:p>
        </w:tc>
      </w:tr>
    </w:tbl>
    <w:p w:rsidR="000F2FFB" w:rsidRPr="00711F19" w:rsidRDefault="000F2FFB" w:rsidP="000F2FFB">
      <w:pPr>
        <w:pStyle w:val="Heading1"/>
        <w:numPr>
          <w:ilvl w:val="0"/>
          <w:numId w:val="0"/>
        </w:numPr>
        <w:spacing w:after="0"/>
        <w:rPr>
          <w:lang w:val="es-MX"/>
        </w:rPr>
      </w:pPr>
    </w:p>
    <w:p w:rsidR="000F2FFB" w:rsidRPr="00711F19" w:rsidRDefault="000F2FFB" w:rsidP="000F2FFB">
      <w:pPr>
        <w:pStyle w:val="sub-title"/>
        <w:keepNext/>
        <w:keepLines/>
        <w:ind w:left="1418" w:hanging="1418"/>
        <w:rPr>
          <w:rFonts w:ascii="Times New Roman Bold" w:hAnsi="Times New Roman Bold"/>
          <w:caps/>
          <w:szCs w:val="28"/>
          <w:lang w:val="es-MX"/>
        </w:rPr>
      </w:pPr>
      <w:r w:rsidRPr="00711F19">
        <w:rPr>
          <w:rFonts w:ascii="Times New Roman Bold" w:hAnsi="Times New Roman Bold"/>
          <w:b w:val="0"/>
          <w:caps/>
          <w:szCs w:val="28"/>
          <w:lang w:val="es-MX"/>
        </w:rPr>
        <w:lastRenderedPageBreak/>
        <w:t>Parte II:</w:t>
      </w:r>
      <w:r w:rsidRPr="00711F19">
        <w:rPr>
          <w:rFonts w:ascii="Times New Roman Bold" w:hAnsi="Times New Roman Bold"/>
          <w:b w:val="0"/>
          <w:caps/>
          <w:szCs w:val="28"/>
          <w:lang w:val="es-MX"/>
        </w:rPr>
        <w:tab/>
      </w:r>
      <w:r w:rsidRPr="00711F19">
        <w:rPr>
          <w:rFonts w:ascii="Times New Roman Bold" w:hAnsi="Times New Roman Bold"/>
          <w:caps/>
          <w:szCs w:val="28"/>
          <w:lang w:val="es-MX"/>
        </w:rPr>
        <w:t>Proyectos aprobados en el marco de las contribuciones voluntarias adicionales destinadas para proporcionar ayuda a corto plazo para la reducción de los HFC</w:t>
      </w:r>
    </w:p>
    <w:p w:rsidR="000F2FFB" w:rsidRPr="00711F19" w:rsidRDefault="000F2FFB" w:rsidP="000F2FFB">
      <w:pPr>
        <w:pStyle w:val="sub-title"/>
        <w:keepNext/>
        <w:keepLines/>
        <w:ind w:left="1418" w:hanging="1418"/>
        <w:rPr>
          <w:rFonts w:ascii="Times New Roman Bold" w:hAnsi="Times New Roman Bold"/>
          <w:b w:val="0"/>
          <w:caps/>
          <w:szCs w:val="28"/>
          <w:lang w:val="es-MX"/>
        </w:rPr>
      </w:pPr>
    </w:p>
    <w:p w:rsidR="000F2FFB" w:rsidRPr="00711F19" w:rsidRDefault="000F2FFB" w:rsidP="000F2FFB">
      <w:pPr>
        <w:pStyle w:val="Heading1"/>
        <w:rPr>
          <w:lang w:val="es-MX"/>
        </w:rPr>
      </w:pPr>
      <w:r w:rsidRPr="00711F19">
        <w:rPr>
          <w:lang w:val="es-MX"/>
        </w:rPr>
        <w:t xml:space="preserve">Al 31 de diciembre de 2019, el Comité Ejecutivo había aprobado 35 proyectos relacionados con los HFC en el marco de las contribuciones voluntarias adicionales por la suma de 8.089.434 $EUA (con exclusión de los gastos de apoyo del organismo). El estado de situación de estos proyectos se resume en el Cuadro 3. </w:t>
      </w:r>
    </w:p>
    <w:p w:rsidR="000F2FFB" w:rsidRPr="00711F19" w:rsidRDefault="000F2FFB" w:rsidP="000F2FFB">
      <w:pPr>
        <w:pStyle w:val="Heading1"/>
        <w:keepNext/>
        <w:numPr>
          <w:ilvl w:val="0"/>
          <w:numId w:val="0"/>
        </w:numPr>
        <w:spacing w:after="0"/>
        <w:rPr>
          <w:b/>
          <w:lang w:val="es-MX"/>
        </w:rPr>
      </w:pPr>
      <w:r w:rsidRPr="00711F19">
        <w:rPr>
          <w:b/>
          <w:lang w:val="es-MX"/>
        </w:rPr>
        <w:t>Cuadro 3. Estado de los proyectos aprobados relacionados con los HFC a finales de 2019</w:t>
      </w:r>
    </w:p>
    <w:tbl>
      <w:tblPr>
        <w:tblW w:w="9358" w:type="dxa"/>
        <w:tblLayout w:type="fixed"/>
        <w:tblCellMar>
          <w:left w:w="58" w:type="dxa"/>
          <w:right w:w="58" w:type="dxa"/>
        </w:tblCellMar>
        <w:tblLook w:val="04A0" w:firstRow="1" w:lastRow="0" w:firstColumn="1" w:lastColumn="0" w:noHBand="0" w:noVBand="1"/>
      </w:tblPr>
      <w:tblGrid>
        <w:gridCol w:w="1866"/>
        <w:gridCol w:w="1068"/>
        <w:gridCol w:w="1069"/>
        <w:gridCol w:w="1069"/>
        <w:gridCol w:w="1127"/>
        <w:gridCol w:w="1128"/>
        <w:gridCol w:w="1128"/>
        <w:gridCol w:w="903"/>
      </w:tblGrid>
      <w:tr w:rsidR="000F2FFB" w:rsidRPr="00711F19" w:rsidTr="00A30886">
        <w:trPr>
          <w:tblHeader/>
        </w:trPr>
        <w:tc>
          <w:tcPr>
            <w:tcW w:w="1866"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F2FFB" w:rsidRPr="00711F19" w:rsidRDefault="000F2FFB" w:rsidP="00D25F3D">
            <w:pPr>
              <w:keepNext/>
              <w:jc w:val="left"/>
              <w:rPr>
                <w:b/>
                <w:bCs/>
                <w:sz w:val="20"/>
                <w:szCs w:val="20"/>
                <w:lang w:val="es-MX"/>
              </w:rPr>
            </w:pPr>
            <w:r w:rsidRPr="00711F19">
              <w:rPr>
                <w:b/>
                <w:bCs/>
                <w:sz w:val="20"/>
                <w:szCs w:val="20"/>
                <w:lang w:val="es-MX"/>
              </w:rPr>
              <w:t>Tipo</w:t>
            </w:r>
          </w:p>
        </w:tc>
        <w:tc>
          <w:tcPr>
            <w:tcW w:w="3206" w:type="dxa"/>
            <w:gridSpan w:val="3"/>
            <w:tcBorders>
              <w:top w:val="single" w:sz="4" w:space="0" w:color="auto"/>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keepNext/>
              <w:jc w:val="center"/>
              <w:rPr>
                <w:b/>
                <w:bCs/>
                <w:sz w:val="20"/>
                <w:szCs w:val="20"/>
                <w:lang w:val="es-MX"/>
              </w:rPr>
            </w:pPr>
            <w:r w:rsidRPr="00711F19">
              <w:rPr>
                <w:b/>
                <w:bCs/>
                <w:sz w:val="20"/>
                <w:szCs w:val="20"/>
                <w:lang w:val="es-MX"/>
              </w:rPr>
              <w:t>Número de proyectos</w:t>
            </w:r>
          </w:p>
        </w:tc>
        <w:tc>
          <w:tcPr>
            <w:tcW w:w="4286" w:type="dxa"/>
            <w:gridSpan w:val="4"/>
            <w:tcBorders>
              <w:top w:val="single" w:sz="4" w:space="0" w:color="auto"/>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keepNext/>
              <w:jc w:val="center"/>
              <w:rPr>
                <w:b/>
                <w:bCs/>
                <w:sz w:val="20"/>
                <w:szCs w:val="20"/>
                <w:lang w:val="es-MX"/>
              </w:rPr>
            </w:pPr>
            <w:r w:rsidRPr="00711F19">
              <w:rPr>
                <w:b/>
                <w:bCs/>
                <w:sz w:val="20"/>
                <w:szCs w:val="20"/>
                <w:lang w:val="es-MX"/>
              </w:rPr>
              <w:t>Financiación ($EUA)*</w:t>
            </w:r>
          </w:p>
        </w:tc>
      </w:tr>
      <w:tr w:rsidR="000F2FFB" w:rsidRPr="00711F19" w:rsidTr="00A30886">
        <w:trPr>
          <w:tblHeader/>
        </w:trPr>
        <w:tc>
          <w:tcPr>
            <w:tcW w:w="1866"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rsidR="000F2FFB" w:rsidRPr="00711F19" w:rsidRDefault="000F2FFB" w:rsidP="00D25F3D">
            <w:pPr>
              <w:keepNext/>
              <w:jc w:val="left"/>
              <w:rPr>
                <w:b/>
                <w:bCs/>
                <w:sz w:val="20"/>
                <w:szCs w:val="20"/>
                <w:lang w:val="es-MX" w:eastAsia="en-CA"/>
              </w:rPr>
            </w:pPr>
          </w:p>
        </w:tc>
        <w:tc>
          <w:tcPr>
            <w:tcW w:w="10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keepNext/>
              <w:jc w:val="center"/>
              <w:rPr>
                <w:b/>
                <w:bCs/>
                <w:sz w:val="20"/>
                <w:szCs w:val="20"/>
                <w:lang w:val="es-MX"/>
              </w:rPr>
            </w:pPr>
            <w:r w:rsidRPr="00711F19">
              <w:rPr>
                <w:b/>
                <w:bCs/>
                <w:sz w:val="20"/>
                <w:szCs w:val="20"/>
                <w:lang w:val="es-MX"/>
              </w:rPr>
              <w:t>Aprobados</w:t>
            </w:r>
          </w:p>
        </w:tc>
        <w:tc>
          <w:tcPr>
            <w:tcW w:w="10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keepNext/>
              <w:jc w:val="center"/>
              <w:rPr>
                <w:b/>
                <w:bCs/>
                <w:sz w:val="20"/>
                <w:szCs w:val="20"/>
                <w:lang w:val="es-MX"/>
              </w:rPr>
            </w:pPr>
            <w:r w:rsidRPr="00711F19">
              <w:rPr>
                <w:b/>
                <w:bCs/>
                <w:sz w:val="20"/>
                <w:szCs w:val="20"/>
                <w:lang w:val="es-MX"/>
              </w:rPr>
              <w:t>Terminados</w:t>
            </w:r>
          </w:p>
        </w:tc>
        <w:tc>
          <w:tcPr>
            <w:tcW w:w="10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keepNext/>
              <w:jc w:val="center"/>
              <w:rPr>
                <w:b/>
                <w:bCs/>
                <w:sz w:val="20"/>
                <w:szCs w:val="20"/>
                <w:lang w:val="es-MX"/>
              </w:rPr>
            </w:pPr>
            <w:r w:rsidRPr="00711F19">
              <w:rPr>
                <w:b/>
                <w:bCs/>
                <w:sz w:val="20"/>
                <w:szCs w:val="20"/>
                <w:lang w:val="es-MX"/>
              </w:rPr>
              <w:t>% terminados</w:t>
            </w:r>
          </w:p>
        </w:tc>
        <w:tc>
          <w:tcPr>
            <w:tcW w:w="11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keepNext/>
              <w:jc w:val="center"/>
              <w:rPr>
                <w:b/>
                <w:bCs/>
                <w:sz w:val="20"/>
                <w:szCs w:val="20"/>
                <w:lang w:val="es-MX"/>
              </w:rPr>
            </w:pPr>
            <w:r w:rsidRPr="00711F19">
              <w:rPr>
                <w:b/>
                <w:bCs/>
                <w:sz w:val="20"/>
                <w:szCs w:val="20"/>
                <w:lang w:val="es-MX"/>
              </w:rPr>
              <w:t>Aprobada</w:t>
            </w:r>
          </w:p>
        </w:tc>
        <w:tc>
          <w:tcPr>
            <w:tcW w:w="112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keepNext/>
              <w:jc w:val="center"/>
              <w:rPr>
                <w:b/>
                <w:bCs/>
                <w:sz w:val="20"/>
                <w:szCs w:val="20"/>
                <w:lang w:val="es-MX"/>
              </w:rPr>
            </w:pPr>
            <w:r w:rsidRPr="00711F19">
              <w:rPr>
                <w:b/>
                <w:bCs/>
                <w:sz w:val="20"/>
                <w:szCs w:val="20"/>
                <w:lang w:val="es-MX"/>
              </w:rPr>
              <w:t>Desembolsada</w:t>
            </w:r>
          </w:p>
        </w:tc>
        <w:tc>
          <w:tcPr>
            <w:tcW w:w="112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keepNext/>
              <w:jc w:val="center"/>
              <w:rPr>
                <w:b/>
                <w:bCs/>
                <w:sz w:val="20"/>
                <w:szCs w:val="20"/>
                <w:lang w:val="es-MX"/>
              </w:rPr>
            </w:pPr>
            <w:r w:rsidRPr="00711F19">
              <w:rPr>
                <w:b/>
                <w:bCs/>
                <w:sz w:val="20"/>
                <w:szCs w:val="20"/>
                <w:lang w:val="es-MX"/>
              </w:rPr>
              <w:t>Saldo</w:t>
            </w:r>
          </w:p>
        </w:tc>
        <w:tc>
          <w:tcPr>
            <w:tcW w:w="90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keepNext/>
              <w:jc w:val="center"/>
              <w:rPr>
                <w:b/>
                <w:bCs/>
                <w:sz w:val="20"/>
                <w:szCs w:val="20"/>
                <w:lang w:val="es-MX"/>
              </w:rPr>
            </w:pPr>
            <w:r w:rsidRPr="00711F19">
              <w:rPr>
                <w:b/>
                <w:bCs/>
                <w:sz w:val="20"/>
                <w:szCs w:val="20"/>
                <w:lang w:val="es-MX"/>
              </w:rPr>
              <w:t>% desembolsado</w:t>
            </w:r>
          </w:p>
        </w:tc>
      </w:tr>
      <w:tr w:rsidR="000F2FFB" w:rsidRPr="00711F19" w:rsidTr="00D25F3D">
        <w:tc>
          <w:tcPr>
            <w:tcW w:w="1866"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keepNext/>
              <w:jc w:val="left"/>
              <w:rPr>
                <w:sz w:val="20"/>
                <w:szCs w:val="20"/>
                <w:lang w:val="es-MX"/>
              </w:rPr>
            </w:pPr>
            <w:r w:rsidRPr="00711F19">
              <w:rPr>
                <w:sz w:val="20"/>
                <w:szCs w:val="20"/>
                <w:lang w:val="es-MX"/>
              </w:rPr>
              <w:t>Inversión**</w:t>
            </w:r>
          </w:p>
        </w:tc>
        <w:tc>
          <w:tcPr>
            <w:tcW w:w="106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keepNext/>
              <w:jc w:val="right"/>
              <w:rPr>
                <w:sz w:val="20"/>
                <w:szCs w:val="20"/>
                <w:lang w:val="es-MX"/>
              </w:rPr>
            </w:pPr>
            <w:r w:rsidRPr="00711F19">
              <w:rPr>
                <w:sz w:val="20"/>
                <w:szCs w:val="20"/>
                <w:lang w:val="es-MX"/>
              </w:rPr>
              <w:t>3</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keepNext/>
              <w:jc w:val="right"/>
              <w:rPr>
                <w:sz w:val="20"/>
                <w:szCs w:val="20"/>
                <w:lang w:val="es-MX"/>
              </w:rPr>
            </w:pPr>
            <w:r w:rsidRPr="00711F19">
              <w:rPr>
                <w:sz w:val="20"/>
                <w:szCs w:val="20"/>
                <w:lang w:val="es-MX"/>
              </w:rPr>
              <w:t>0</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keepNext/>
              <w:jc w:val="right"/>
              <w:rPr>
                <w:sz w:val="20"/>
                <w:szCs w:val="20"/>
                <w:lang w:val="es-MX"/>
              </w:rPr>
            </w:pPr>
            <w:r w:rsidRPr="00711F19">
              <w:rPr>
                <w:sz w:val="20"/>
                <w:szCs w:val="20"/>
                <w:lang w:val="es-MX"/>
              </w:rPr>
              <w:t>0</w:t>
            </w:r>
          </w:p>
        </w:tc>
        <w:tc>
          <w:tcPr>
            <w:tcW w:w="1127"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keepNext/>
              <w:jc w:val="right"/>
              <w:rPr>
                <w:sz w:val="20"/>
                <w:szCs w:val="20"/>
                <w:lang w:val="es-MX"/>
              </w:rPr>
            </w:pPr>
            <w:r w:rsidRPr="00711F19">
              <w:rPr>
                <w:sz w:val="20"/>
                <w:szCs w:val="20"/>
                <w:lang w:val="es-MX"/>
              </w:rPr>
              <w:t>3.912.736</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keepNext/>
              <w:jc w:val="right"/>
              <w:rPr>
                <w:sz w:val="20"/>
                <w:szCs w:val="20"/>
                <w:lang w:val="es-MX"/>
              </w:rPr>
            </w:pPr>
            <w:r w:rsidRPr="00711F19">
              <w:rPr>
                <w:sz w:val="20"/>
                <w:szCs w:val="20"/>
                <w:lang w:val="es-MX"/>
              </w:rPr>
              <w:t>1.522.952</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keepNext/>
              <w:jc w:val="right"/>
              <w:rPr>
                <w:sz w:val="20"/>
                <w:szCs w:val="20"/>
                <w:lang w:val="es-MX"/>
              </w:rPr>
            </w:pPr>
            <w:r w:rsidRPr="00711F19">
              <w:rPr>
                <w:sz w:val="20"/>
                <w:szCs w:val="20"/>
                <w:lang w:val="es-MX"/>
              </w:rPr>
              <w:t>2.389.784</w:t>
            </w:r>
          </w:p>
        </w:tc>
        <w:tc>
          <w:tcPr>
            <w:tcW w:w="903"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keepNext/>
              <w:jc w:val="right"/>
              <w:rPr>
                <w:sz w:val="20"/>
                <w:szCs w:val="20"/>
                <w:lang w:val="es-MX"/>
              </w:rPr>
            </w:pPr>
            <w:r w:rsidRPr="00711F19">
              <w:rPr>
                <w:sz w:val="20"/>
                <w:szCs w:val="20"/>
                <w:lang w:val="es-MX"/>
              </w:rPr>
              <w:t>39</w:t>
            </w:r>
          </w:p>
        </w:tc>
      </w:tr>
      <w:tr w:rsidR="000F2FFB" w:rsidRPr="00711F19" w:rsidTr="00D25F3D">
        <w:tc>
          <w:tcPr>
            <w:tcW w:w="1866"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left"/>
              <w:rPr>
                <w:sz w:val="20"/>
                <w:szCs w:val="20"/>
                <w:lang w:val="es-MX"/>
              </w:rPr>
            </w:pPr>
            <w:r w:rsidRPr="00711F19">
              <w:rPr>
                <w:sz w:val="20"/>
                <w:szCs w:val="20"/>
                <w:lang w:val="es-MX"/>
              </w:rPr>
              <w:t>Preparación de proyectos</w:t>
            </w:r>
          </w:p>
        </w:tc>
        <w:tc>
          <w:tcPr>
            <w:tcW w:w="106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4</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3</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75</w:t>
            </w:r>
          </w:p>
        </w:tc>
        <w:tc>
          <w:tcPr>
            <w:tcW w:w="1127"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119.755</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95.807</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23.948</w:t>
            </w:r>
          </w:p>
        </w:tc>
        <w:tc>
          <w:tcPr>
            <w:tcW w:w="903"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80</w:t>
            </w:r>
          </w:p>
        </w:tc>
      </w:tr>
      <w:tr w:rsidR="000F2FFB" w:rsidRPr="00711F19" w:rsidTr="00D25F3D">
        <w:tc>
          <w:tcPr>
            <w:tcW w:w="1866"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left"/>
              <w:rPr>
                <w:sz w:val="20"/>
                <w:szCs w:val="20"/>
                <w:lang w:val="es-MX"/>
              </w:rPr>
            </w:pPr>
            <w:r w:rsidRPr="00711F19">
              <w:rPr>
                <w:sz w:val="20"/>
                <w:szCs w:val="20"/>
                <w:lang w:val="es-MX"/>
              </w:rPr>
              <w:t>Asistencia técnica - Actividades de apoyo</w:t>
            </w:r>
          </w:p>
        </w:tc>
        <w:tc>
          <w:tcPr>
            <w:tcW w:w="106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28</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4</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14</w:t>
            </w:r>
          </w:p>
        </w:tc>
        <w:tc>
          <w:tcPr>
            <w:tcW w:w="1127"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4.056.943</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2.072.872</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1.984.071</w:t>
            </w:r>
          </w:p>
        </w:tc>
        <w:tc>
          <w:tcPr>
            <w:tcW w:w="903"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sz w:val="20"/>
                <w:szCs w:val="20"/>
                <w:lang w:val="es-MX"/>
              </w:rPr>
            </w:pPr>
            <w:r w:rsidRPr="00711F19">
              <w:rPr>
                <w:sz w:val="20"/>
                <w:szCs w:val="20"/>
                <w:lang w:val="es-MX"/>
              </w:rPr>
              <w:t>51</w:t>
            </w:r>
          </w:p>
        </w:tc>
      </w:tr>
      <w:tr w:rsidR="000F2FFB" w:rsidRPr="00711F19" w:rsidTr="00D25F3D">
        <w:tc>
          <w:tcPr>
            <w:tcW w:w="1866"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left"/>
              <w:rPr>
                <w:b/>
                <w:bCs/>
                <w:sz w:val="20"/>
                <w:szCs w:val="20"/>
                <w:lang w:val="es-MX"/>
              </w:rPr>
            </w:pPr>
            <w:r w:rsidRPr="00711F19">
              <w:rPr>
                <w:b/>
                <w:bCs/>
                <w:sz w:val="20"/>
                <w:szCs w:val="20"/>
                <w:lang w:val="es-MX"/>
              </w:rPr>
              <w:t>Total</w:t>
            </w:r>
          </w:p>
        </w:tc>
        <w:tc>
          <w:tcPr>
            <w:tcW w:w="106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b/>
                <w:bCs/>
                <w:sz w:val="20"/>
                <w:szCs w:val="20"/>
                <w:lang w:val="es-MX"/>
              </w:rPr>
            </w:pPr>
            <w:r w:rsidRPr="00711F19">
              <w:rPr>
                <w:b/>
                <w:bCs/>
                <w:sz w:val="20"/>
                <w:szCs w:val="20"/>
                <w:lang w:val="es-MX"/>
              </w:rPr>
              <w:t>35</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b/>
                <w:bCs/>
                <w:sz w:val="20"/>
                <w:szCs w:val="20"/>
                <w:lang w:val="es-MX"/>
              </w:rPr>
            </w:pPr>
            <w:r w:rsidRPr="00711F19">
              <w:rPr>
                <w:b/>
                <w:bCs/>
                <w:sz w:val="20"/>
                <w:szCs w:val="20"/>
                <w:lang w:val="es-MX"/>
              </w:rPr>
              <w:t>7</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b/>
                <w:sz w:val="20"/>
                <w:szCs w:val="20"/>
                <w:lang w:val="es-MX"/>
              </w:rPr>
            </w:pPr>
            <w:r w:rsidRPr="00711F19">
              <w:rPr>
                <w:b/>
                <w:sz w:val="20"/>
                <w:szCs w:val="20"/>
                <w:lang w:val="es-MX"/>
              </w:rPr>
              <w:t>20</w:t>
            </w:r>
          </w:p>
        </w:tc>
        <w:tc>
          <w:tcPr>
            <w:tcW w:w="1127"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b/>
                <w:bCs/>
                <w:sz w:val="20"/>
                <w:szCs w:val="20"/>
                <w:lang w:val="es-MX"/>
              </w:rPr>
            </w:pPr>
            <w:r w:rsidRPr="00711F19">
              <w:rPr>
                <w:b/>
                <w:bCs/>
                <w:sz w:val="20"/>
                <w:szCs w:val="20"/>
                <w:lang w:val="es-MX"/>
              </w:rPr>
              <w:t>8.089.434</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b/>
                <w:bCs/>
                <w:sz w:val="20"/>
                <w:szCs w:val="20"/>
                <w:lang w:val="es-MX"/>
              </w:rPr>
            </w:pPr>
            <w:r w:rsidRPr="00711F19">
              <w:rPr>
                <w:b/>
                <w:bCs/>
                <w:sz w:val="20"/>
                <w:szCs w:val="20"/>
                <w:lang w:val="es-MX"/>
              </w:rPr>
              <w:t>3.691.631</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b/>
                <w:bCs/>
                <w:sz w:val="20"/>
                <w:szCs w:val="20"/>
                <w:lang w:val="es-MX"/>
              </w:rPr>
            </w:pPr>
            <w:r w:rsidRPr="00711F19">
              <w:rPr>
                <w:b/>
                <w:bCs/>
                <w:sz w:val="20"/>
                <w:szCs w:val="20"/>
                <w:lang w:val="es-MX"/>
              </w:rPr>
              <w:t>4.397.803</w:t>
            </w:r>
          </w:p>
        </w:tc>
        <w:tc>
          <w:tcPr>
            <w:tcW w:w="903" w:type="dxa"/>
            <w:tcBorders>
              <w:top w:val="nil"/>
              <w:left w:val="nil"/>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right"/>
              <w:rPr>
                <w:b/>
                <w:bCs/>
                <w:sz w:val="20"/>
                <w:szCs w:val="20"/>
                <w:lang w:val="es-MX"/>
              </w:rPr>
            </w:pPr>
            <w:r w:rsidRPr="00711F19">
              <w:rPr>
                <w:b/>
                <w:bCs/>
                <w:sz w:val="20"/>
                <w:szCs w:val="20"/>
                <w:lang w:val="es-MX"/>
              </w:rPr>
              <w:t>46</w:t>
            </w:r>
          </w:p>
        </w:tc>
      </w:tr>
    </w:tbl>
    <w:p w:rsidR="000F2FFB" w:rsidRPr="00711F19" w:rsidRDefault="000F2FFB" w:rsidP="000F2FFB">
      <w:pPr>
        <w:rPr>
          <w:sz w:val="19"/>
          <w:szCs w:val="19"/>
          <w:lang w:val="es-MX"/>
        </w:rPr>
      </w:pPr>
      <w:r w:rsidRPr="00711F19">
        <w:rPr>
          <w:sz w:val="19"/>
          <w:szCs w:val="19"/>
          <w:lang w:val="es-MX"/>
        </w:rPr>
        <w:t>* Excluidos los gastos de apoyo del organismo.</w:t>
      </w:r>
    </w:p>
    <w:p w:rsidR="000F2FFB" w:rsidRPr="00711F19" w:rsidRDefault="000F2FFB" w:rsidP="000F2FFB">
      <w:pPr>
        <w:rPr>
          <w:sz w:val="20"/>
          <w:szCs w:val="20"/>
          <w:lang w:val="es-MX"/>
        </w:rPr>
      </w:pPr>
      <w:r w:rsidRPr="00711F19">
        <w:rPr>
          <w:sz w:val="19"/>
          <w:szCs w:val="19"/>
          <w:lang w:val="es-MX"/>
        </w:rPr>
        <w:t xml:space="preserve">** Eliminación de 265,1 </w:t>
      </w:r>
      <w:proofErr w:type="spellStart"/>
      <w:r w:rsidRPr="00711F19">
        <w:rPr>
          <w:sz w:val="19"/>
          <w:szCs w:val="19"/>
          <w:lang w:val="es-MX"/>
        </w:rPr>
        <w:t>tm</w:t>
      </w:r>
      <w:proofErr w:type="spellEnd"/>
      <w:r w:rsidRPr="00711F19">
        <w:rPr>
          <w:sz w:val="19"/>
          <w:szCs w:val="19"/>
          <w:lang w:val="es-MX"/>
        </w:rPr>
        <w:t xml:space="preserve"> (508.586 </w:t>
      </w:r>
      <w:proofErr w:type="spellStart"/>
      <w:r w:rsidRPr="00711F19">
        <w:rPr>
          <w:sz w:val="19"/>
          <w:szCs w:val="19"/>
          <w:lang w:val="es-MX"/>
        </w:rPr>
        <w:t>tm</w:t>
      </w:r>
      <w:proofErr w:type="spellEnd"/>
      <w:r w:rsidRPr="00711F19">
        <w:rPr>
          <w:sz w:val="19"/>
          <w:szCs w:val="19"/>
          <w:lang w:val="es-MX"/>
        </w:rPr>
        <w:t xml:space="preserve"> de </w:t>
      </w:r>
      <w:proofErr w:type="spellStart"/>
      <w:r w:rsidRPr="00711F19">
        <w:rPr>
          <w:sz w:val="19"/>
          <w:szCs w:val="19"/>
          <w:lang w:val="es-MX"/>
        </w:rPr>
        <w:t>eq</w:t>
      </w:r>
      <w:proofErr w:type="spellEnd"/>
      <w:r w:rsidRPr="00711F19">
        <w:rPr>
          <w:sz w:val="19"/>
          <w:szCs w:val="19"/>
          <w:lang w:val="es-MX"/>
        </w:rPr>
        <w:t>. de CO</w:t>
      </w:r>
      <w:r w:rsidRPr="00711F19">
        <w:rPr>
          <w:sz w:val="19"/>
          <w:szCs w:val="19"/>
          <w:vertAlign w:val="subscript"/>
          <w:lang w:val="es-MX"/>
        </w:rPr>
        <w:t>2</w:t>
      </w:r>
      <w:r w:rsidRPr="00711F19">
        <w:rPr>
          <w:sz w:val="19"/>
          <w:szCs w:val="19"/>
          <w:lang w:val="es-MX"/>
        </w:rPr>
        <w:t>) de HFC.</w:t>
      </w:r>
    </w:p>
    <w:p w:rsidR="000F2FFB" w:rsidRPr="00711F19" w:rsidRDefault="000F2FFB" w:rsidP="000F2FFB">
      <w:pPr>
        <w:rPr>
          <w:sz w:val="18"/>
          <w:szCs w:val="18"/>
          <w:lang w:val="es-MX"/>
        </w:rPr>
      </w:pPr>
    </w:p>
    <w:p w:rsidR="000F2FFB" w:rsidRPr="00711F19" w:rsidRDefault="000F2FFB" w:rsidP="000F2FFB">
      <w:pPr>
        <w:pStyle w:val="Heading1"/>
        <w:rPr>
          <w:lang w:val="es-MX"/>
        </w:rPr>
      </w:pPr>
      <w:r w:rsidRPr="00711F19">
        <w:rPr>
          <w:lang w:val="es-MX"/>
        </w:rPr>
        <w:t>A finales de 2019 de los 35 proyectos aprobados, se habían terminado tres actividades de preparación y cuatro actividades de apoyo, con lo que quedan 28 en curso. La prórroga de las fechas de terminación de 22 de las 24 actividades de apoyo en curso se aprobó en la reunión 83ª (quince proyectos) y en la reunión 84ª (siete proyectos); estas actividades se encuentran en diversas fases de ejecución.</w:t>
      </w:r>
    </w:p>
    <w:p w:rsidR="000F2FFB" w:rsidRPr="00711F19" w:rsidRDefault="000F2FFB" w:rsidP="000F2FFB">
      <w:pPr>
        <w:pStyle w:val="Heading1"/>
        <w:rPr>
          <w:lang w:val="es-MX"/>
        </w:rPr>
      </w:pPr>
      <w:r w:rsidRPr="00711F19">
        <w:rPr>
          <w:lang w:val="es-MX"/>
        </w:rPr>
        <w:t xml:space="preserve">Los proyectos de inversión en curso incluyen tres proyectos de refrigeración en Argentina, el Líbano y México, aprobados en la reunión 81ª con desembolsos de fondos en dos proyectos; estos proyectos se terminarán en 2020 y 2021. </w:t>
      </w:r>
    </w:p>
    <w:p w:rsidR="000F2FFB" w:rsidRPr="00711F19" w:rsidRDefault="000F2FFB" w:rsidP="000F2FFB">
      <w:pPr>
        <w:pStyle w:val="Heading1"/>
        <w:rPr>
          <w:lang w:val="es-MX"/>
        </w:rPr>
      </w:pPr>
      <w:r w:rsidRPr="00711F19">
        <w:rPr>
          <w:lang w:val="es-MX"/>
        </w:rPr>
        <w:t>De la financiación acumulada total aprobada de 8.089.434 $EUA, se habían desembolsado 3.691.631 $EUA que representan una tasa de desembolso del 46 por ciento.</w:t>
      </w:r>
    </w:p>
    <w:p w:rsidR="000F2FFB" w:rsidRPr="00711F19" w:rsidRDefault="000F2FFB" w:rsidP="000F2FFB">
      <w:pPr>
        <w:pStyle w:val="Heading1"/>
        <w:numPr>
          <w:ilvl w:val="0"/>
          <w:numId w:val="0"/>
        </w:numPr>
        <w:rPr>
          <w:b/>
          <w:lang w:val="es-MX"/>
        </w:rPr>
      </w:pPr>
      <w:r w:rsidRPr="00711F19">
        <w:rPr>
          <w:b/>
          <w:lang w:val="es-MX"/>
        </w:rPr>
        <w:t>Recomendación</w:t>
      </w:r>
    </w:p>
    <w:p w:rsidR="000F2FFB" w:rsidRPr="00711F19" w:rsidRDefault="000F2FFB" w:rsidP="000F2FFB">
      <w:pPr>
        <w:pStyle w:val="Heading1"/>
        <w:rPr>
          <w:lang w:val="es-MX"/>
        </w:rPr>
      </w:pPr>
      <w:r w:rsidRPr="00711F19">
        <w:rPr>
          <w:lang w:val="es-MX"/>
        </w:rPr>
        <w:t>El Comité Ejecutivo puede estimar oportuno:</w:t>
      </w:r>
    </w:p>
    <w:p w:rsidR="000F2FFB" w:rsidRPr="00711F19" w:rsidRDefault="000F2FFB" w:rsidP="000F2FFB">
      <w:pPr>
        <w:pStyle w:val="Heading2"/>
        <w:rPr>
          <w:lang w:val="es-MX"/>
        </w:rPr>
      </w:pPr>
      <w:r w:rsidRPr="00711F19">
        <w:rPr>
          <w:lang w:val="es-MX"/>
        </w:rPr>
        <w:t>Tomar nota del informe sobre la marcha de las actividades de la ONUDI al 31 de diciembre de 2019, que figura en el documento UNEP/</w:t>
      </w:r>
      <w:proofErr w:type="spellStart"/>
      <w:r w:rsidRPr="00711F19">
        <w:rPr>
          <w:lang w:val="es-MX"/>
        </w:rPr>
        <w:t>OzL.Pro</w:t>
      </w:r>
      <w:proofErr w:type="spellEnd"/>
      <w:r w:rsidRPr="00711F19">
        <w:rPr>
          <w:lang w:val="es-MX"/>
        </w:rPr>
        <w:t>/</w:t>
      </w:r>
      <w:proofErr w:type="spellStart"/>
      <w:r w:rsidRPr="00711F19">
        <w:rPr>
          <w:lang w:val="es-MX"/>
        </w:rPr>
        <w:t>ExCom</w:t>
      </w:r>
      <w:proofErr w:type="spellEnd"/>
      <w:r w:rsidRPr="00711F19">
        <w:rPr>
          <w:lang w:val="es-MX"/>
        </w:rPr>
        <w:t xml:space="preserve">/86/19; </w:t>
      </w:r>
    </w:p>
    <w:p w:rsidR="000F2FFB" w:rsidRPr="00711F19" w:rsidRDefault="000F2FFB" w:rsidP="000F2FFB">
      <w:pPr>
        <w:pStyle w:val="Heading2"/>
        <w:rPr>
          <w:lang w:val="es-MX"/>
        </w:rPr>
      </w:pPr>
      <w:r w:rsidRPr="00711F19">
        <w:rPr>
          <w:lang w:val="es-MX"/>
        </w:rPr>
        <w:t>Aprobar las recomendaciones relacionadas con proyectos en curso que incluyan cuestiones específicas que figuran en el anexo I del presente documento;</w:t>
      </w:r>
    </w:p>
    <w:p w:rsidR="000F2FFB" w:rsidRPr="00711F19" w:rsidRDefault="000F2FFB" w:rsidP="000F2FFB">
      <w:pPr>
        <w:pStyle w:val="Heading2"/>
        <w:rPr>
          <w:lang w:val="es-MX"/>
        </w:rPr>
      </w:pPr>
      <w:r w:rsidRPr="00711F19">
        <w:rPr>
          <w:lang w:val="es-MX"/>
        </w:rPr>
        <w:t>Aprobar, de forma excepcional, la prórroga, hasta el 31 de diciembre de 2020, de la eliminación del consumo de CFC en la fabricación de inhaladores de dosis medidas en aerosoles para Egipto (EGY/ARS/50/INV/92), para completar las actividades finales relativas al registro, observando que no habría más prórrogas y solicitar a la ONUDI que presente el informe de terminación de proyecto a la 87ª reunión</w:t>
      </w:r>
    </w:p>
    <w:p w:rsidR="000F2FFB" w:rsidRPr="00711F19" w:rsidRDefault="000F2FFB" w:rsidP="000F2FFB">
      <w:pPr>
        <w:pStyle w:val="Heading2"/>
        <w:rPr>
          <w:lang w:val="es-MX"/>
        </w:rPr>
      </w:pPr>
      <w:r w:rsidRPr="00711F19">
        <w:rPr>
          <w:lang w:val="es-MX"/>
        </w:rPr>
        <w:t>Aprobar la prórroga, de forma excepcional, hasta el 30 de junio de 2021, del plan nacional de eliminación para Iraq (primer tramo) (IRQ/PHA/58/INV/09) y la sustitución del refri</w:t>
      </w:r>
      <w:r w:rsidRPr="00711F19">
        <w:rPr>
          <w:lang w:val="es-MX"/>
        </w:rPr>
        <w:lastRenderedPageBreak/>
        <w:t xml:space="preserve">gerante CFC-12 por </w:t>
      </w:r>
      <w:proofErr w:type="spellStart"/>
      <w:r w:rsidRPr="00711F19">
        <w:rPr>
          <w:lang w:val="es-MX"/>
        </w:rPr>
        <w:t>isobutano</w:t>
      </w:r>
      <w:proofErr w:type="spellEnd"/>
      <w:r w:rsidRPr="00711F19">
        <w:rPr>
          <w:lang w:val="es-MX"/>
        </w:rPr>
        <w:t xml:space="preserve"> y el agente espumante CFC-11 por </w:t>
      </w:r>
      <w:proofErr w:type="spellStart"/>
      <w:r w:rsidRPr="00711F19">
        <w:rPr>
          <w:lang w:val="es-MX"/>
        </w:rPr>
        <w:t>ciclopentano</w:t>
      </w:r>
      <w:proofErr w:type="spellEnd"/>
      <w:r w:rsidRPr="00711F19">
        <w:rPr>
          <w:lang w:val="es-MX"/>
        </w:rPr>
        <w:t xml:space="preserve"> en la fabricación de refrigeradores y congeladores domésticos en Light Industries Company para Iraq (IRQ/REF/57/INV/07), para completar las actividades de proyecto relativas a la instalación y puesta en servicio de equipos en la empresa beneficiaria;</w:t>
      </w:r>
    </w:p>
    <w:p w:rsidR="000F2FFB" w:rsidRPr="00711F19" w:rsidRDefault="000F2FFB" w:rsidP="000F2FFB">
      <w:pPr>
        <w:pStyle w:val="Heading2"/>
        <w:rPr>
          <w:lang w:val="es-MX"/>
        </w:rPr>
      </w:pPr>
      <w:r w:rsidRPr="00711F19">
        <w:rPr>
          <w:lang w:val="es-MX"/>
        </w:rPr>
        <w:t>Aprobar la prórroga, hasta el 31 de diciembre de 2021, del plan de gestión de eliminación de los HCFC (PGEH) para Iraq (etapa I, segundo y tercer tramo) (sector de servicio y mantenimiento de equipos de refrigeración) (IRQ/PHA/74/INV/23 e IRQ/PHA/84/INV/29), para terminar la adquisición y la entrega del equipo de capacitación de servicio y mantenimiento y laboratorio y las actividades asociadas;</w:t>
      </w:r>
    </w:p>
    <w:p w:rsidR="000F2FFB" w:rsidRPr="00711F19" w:rsidRDefault="000F2FFB" w:rsidP="000F2FFB">
      <w:pPr>
        <w:pStyle w:val="Heading2"/>
        <w:rPr>
          <w:lang w:val="es-MX"/>
        </w:rPr>
      </w:pPr>
      <w:r w:rsidRPr="00711F19">
        <w:rPr>
          <w:lang w:val="es-MX"/>
        </w:rPr>
        <w:t xml:space="preserve">Aprobar la prórroga, hasta el 30 de junio de 2021, del PGEH para Serbia (etapa I, cuarto tramo) (YUG/PHA/84/INV/51), para terminar las actividades restantes; </w:t>
      </w:r>
    </w:p>
    <w:p w:rsidR="000F2FFB" w:rsidRPr="00711F19" w:rsidRDefault="000F2FFB" w:rsidP="000F2FFB">
      <w:pPr>
        <w:pStyle w:val="Heading2"/>
        <w:rPr>
          <w:lang w:val="es-MX"/>
        </w:rPr>
      </w:pPr>
      <w:r w:rsidRPr="00711F19">
        <w:rPr>
          <w:lang w:val="es-MX"/>
        </w:rPr>
        <w:t>Aprobar la prórroga, hasta el 31 de diciembre de 2021, de la eliminación del HCFC</w:t>
      </w:r>
      <w:r w:rsidRPr="00711F19">
        <w:rPr>
          <w:lang w:val="es-MX"/>
        </w:rPr>
        <w:noBreakHyphen/>
        <w:t>22 y el HCFC</w:t>
      </w:r>
      <w:r w:rsidRPr="00711F19">
        <w:rPr>
          <w:lang w:val="es-MX"/>
        </w:rPr>
        <w:noBreakHyphen/>
        <w:t xml:space="preserve">141b de la fabricación de equipo de aire acondicionado unitario y paneles aislantes de poliuretano rígido en Al </w:t>
      </w:r>
      <w:proofErr w:type="spellStart"/>
      <w:r w:rsidRPr="00711F19">
        <w:rPr>
          <w:lang w:val="es-MX"/>
        </w:rPr>
        <w:t>Hafez</w:t>
      </w:r>
      <w:proofErr w:type="spellEnd"/>
      <w:r w:rsidRPr="00711F19">
        <w:rPr>
          <w:lang w:val="es-MX"/>
        </w:rPr>
        <w:t xml:space="preserve"> </w:t>
      </w:r>
      <w:proofErr w:type="spellStart"/>
      <w:r w:rsidRPr="00711F19">
        <w:rPr>
          <w:lang w:val="es-MX"/>
        </w:rPr>
        <w:t>Group</w:t>
      </w:r>
      <w:proofErr w:type="spellEnd"/>
      <w:r w:rsidRPr="00711F19">
        <w:rPr>
          <w:lang w:val="es-MX"/>
        </w:rPr>
        <w:t xml:space="preserve"> para la República Árabe Siria (SYR/REF/62/INV/103), para terminar las actividades restantes relativas a la instalación y puesta en marcha de equipo; </w:t>
      </w:r>
    </w:p>
    <w:p w:rsidR="000F2FFB" w:rsidRPr="00711F19" w:rsidRDefault="000F2FFB" w:rsidP="000F2FFB">
      <w:pPr>
        <w:pStyle w:val="Heading2"/>
        <w:rPr>
          <w:lang w:val="es-MX"/>
        </w:rPr>
      </w:pPr>
      <w:r w:rsidRPr="00711F19">
        <w:rPr>
          <w:lang w:val="es-MX"/>
        </w:rPr>
        <w:t>Aprobar la prórroga, hasta el 31 de diciembre de 2021, del proyecto mundial de sustitución de enfriadores para la Argentina (GLO/REF/80/DEM/344), para completar las actividades relativas a los beneficiarios; y</w:t>
      </w:r>
    </w:p>
    <w:p w:rsidR="000F2FFB" w:rsidRPr="00711F19" w:rsidRDefault="000F2FFB" w:rsidP="000F2FFB">
      <w:pPr>
        <w:pStyle w:val="Heading2"/>
        <w:rPr>
          <w:lang w:val="es-MX"/>
        </w:rPr>
      </w:pPr>
      <w:r w:rsidRPr="00711F19">
        <w:rPr>
          <w:lang w:val="es-MX"/>
        </w:rPr>
        <w:t xml:space="preserve">Con respecto al PGEH para Arabia Saudita: </w:t>
      </w:r>
    </w:p>
    <w:p w:rsidR="000F2FFB" w:rsidRPr="00711F19" w:rsidRDefault="000F2FFB" w:rsidP="000F2FFB">
      <w:pPr>
        <w:pStyle w:val="Heading3"/>
        <w:rPr>
          <w:lang w:val="es-MX"/>
        </w:rPr>
      </w:pPr>
      <w:r w:rsidRPr="00711F19">
        <w:rPr>
          <w:lang w:val="es-MX"/>
        </w:rPr>
        <w:t>Cancelar el PGEH para Arabia Saudita (etapa I, primer, segundo y tercer tramos) (servicio y mantenimiento de equipos de refrigeración, y supervisión) (SAU/PHA/68/INV/17, SAU/PHA/72/INV/20, y SAU/PHA/75/INV/25) y (etapa I, tercer tramo) (plan sectorial de espumas de poliuretano) (SAU/PHA/75/INV/24), conforme a la decisión 84/45(b) y (c), y solicitar a la ONUDI a devolución de los saldos restantes a la 87ª reunión;</w:t>
      </w:r>
    </w:p>
    <w:p w:rsidR="000F2FFB" w:rsidRPr="00711F19" w:rsidRDefault="000F2FFB" w:rsidP="000F2FFB">
      <w:pPr>
        <w:pStyle w:val="Heading3"/>
        <w:rPr>
          <w:lang w:val="es-MX"/>
        </w:rPr>
      </w:pPr>
      <w:r w:rsidRPr="00711F19">
        <w:rPr>
          <w:lang w:val="es-MX"/>
        </w:rPr>
        <w:t xml:space="preserve">Pedir a la ONUDI que presente un informe anual sobre la marcha de las actividades relativo a la ejecución de las actividades restantes del proyecto para la eliminación de HCFC-22 y HCFC-142b de la fabricación de paneles de </w:t>
      </w:r>
      <w:proofErr w:type="spellStart"/>
      <w:r w:rsidRPr="00711F19">
        <w:rPr>
          <w:lang w:val="es-MX"/>
        </w:rPr>
        <w:t>poliestireno</w:t>
      </w:r>
      <w:proofErr w:type="spellEnd"/>
      <w:r w:rsidRPr="00711F19">
        <w:rPr>
          <w:lang w:val="es-MX"/>
        </w:rPr>
        <w:t xml:space="preserve"> extruido en Al-</w:t>
      </w:r>
      <w:proofErr w:type="spellStart"/>
      <w:r w:rsidRPr="00711F19">
        <w:rPr>
          <w:lang w:val="es-MX"/>
        </w:rPr>
        <w:t>Watania</w:t>
      </w:r>
      <w:proofErr w:type="spellEnd"/>
      <w:r w:rsidRPr="00711F19">
        <w:rPr>
          <w:lang w:val="es-MX"/>
        </w:rPr>
        <w:t xml:space="preserve"> </w:t>
      </w:r>
      <w:proofErr w:type="spellStart"/>
      <w:r w:rsidRPr="00711F19">
        <w:rPr>
          <w:lang w:val="es-MX"/>
        </w:rPr>
        <w:t>Plastics</w:t>
      </w:r>
      <w:proofErr w:type="spellEnd"/>
      <w:r w:rsidRPr="00711F19">
        <w:rPr>
          <w:lang w:val="es-MX"/>
        </w:rPr>
        <w:t xml:space="preserve"> (SAU/FOA/62/INV/13) y del PGEH para Arabia Saudita (etapa I, primer, segundo y cuarto tramos) (plan sectorial de espumas de poliuretano) (SAU/PHA/68/INV/19, SAU/PHA/72/INV/21 y SAU/PHA/77/INV/31) a la última reunión del Comité Ejecutivo de cada año hasta su terminación; y</w:t>
      </w:r>
    </w:p>
    <w:p w:rsidR="000F2FFB" w:rsidRPr="00711F19" w:rsidRDefault="000F2FFB" w:rsidP="000F2FFB">
      <w:pPr>
        <w:pStyle w:val="Heading3"/>
        <w:rPr>
          <w:lang w:val="es-MX"/>
        </w:rPr>
        <w:sectPr w:rsidR="000F2FFB" w:rsidRPr="00711F19" w:rsidSect="00D25F3D">
          <w:headerReference w:type="even" r:id="rId10"/>
          <w:headerReference w:type="default" r:id="rId11"/>
          <w:footerReference w:type="even" r:id="rId12"/>
          <w:footerReference w:type="default" r:id="rId13"/>
          <w:footerReference w:type="first" r:id="rId14"/>
          <w:pgSz w:w="12240" w:h="15840" w:code="1"/>
          <w:pgMar w:top="630" w:right="1440" w:bottom="864" w:left="1440" w:header="720" w:footer="475" w:gutter="0"/>
          <w:pgNumType w:start="1"/>
          <w:cols w:space="720"/>
          <w:titlePg/>
        </w:sectPr>
      </w:pPr>
      <w:r w:rsidRPr="00711F19">
        <w:rPr>
          <w:lang w:val="es-MX"/>
        </w:rPr>
        <w:t>Tomar nota de que la etapa II del PGEH para Arabia Saudita solo se consideraría después de que se hayan presentado el informe de terminación de proyecto y el informe de terminación financiera de la etapa I, y todos los saldos de financiación restantes se hayan devuelto al Fondo Multilateral.</w:t>
      </w:r>
    </w:p>
    <w:p w:rsidR="000F2FFB" w:rsidRPr="00711F19" w:rsidRDefault="000F2FFB" w:rsidP="000F2FFB">
      <w:pPr>
        <w:tabs>
          <w:tab w:val="left" w:pos="5560"/>
        </w:tabs>
        <w:jc w:val="center"/>
        <w:rPr>
          <w:b/>
          <w:bCs/>
          <w:lang w:val="es-MX"/>
        </w:rPr>
      </w:pPr>
      <w:r w:rsidRPr="00711F19">
        <w:rPr>
          <w:b/>
          <w:bCs/>
          <w:lang w:val="es-MX"/>
        </w:rPr>
        <w:lastRenderedPageBreak/>
        <w:t>Anexo I</w:t>
      </w:r>
    </w:p>
    <w:p w:rsidR="000F2FFB" w:rsidRPr="00711F19" w:rsidRDefault="000F2FFB" w:rsidP="000F2FFB">
      <w:pPr>
        <w:tabs>
          <w:tab w:val="left" w:pos="5560"/>
        </w:tabs>
        <w:jc w:val="center"/>
        <w:rPr>
          <w:b/>
          <w:bCs/>
          <w:lang w:val="es-MX"/>
        </w:rPr>
      </w:pPr>
    </w:p>
    <w:p w:rsidR="00D849F3" w:rsidRDefault="000F2FFB" w:rsidP="00D849F3">
      <w:pPr>
        <w:pStyle w:val="Heading2"/>
        <w:numPr>
          <w:ilvl w:val="0"/>
          <w:numId w:val="0"/>
        </w:numPr>
        <w:spacing w:after="0"/>
        <w:jc w:val="center"/>
        <w:rPr>
          <w:b/>
          <w:lang w:val="es-MX"/>
        </w:rPr>
      </w:pPr>
      <w:r w:rsidRPr="00711F19">
        <w:rPr>
          <w:b/>
          <w:lang w:val="es-MX"/>
        </w:rPr>
        <w:t xml:space="preserve">PROYECTOS EN CURSO CON CUESTIONES PENDIENTES EN EL INFORME SOBRE LA MARCHA DE LAS ACTIVIDADES </w:t>
      </w:r>
    </w:p>
    <w:p w:rsidR="000F2FFB" w:rsidRDefault="000F2FFB" w:rsidP="00D849F3">
      <w:pPr>
        <w:pStyle w:val="Heading2"/>
        <w:numPr>
          <w:ilvl w:val="0"/>
          <w:numId w:val="0"/>
        </w:numPr>
        <w:spacing w:after="0"/>
        <w:jc w:val="center"/>
        <w:rPr>
          <w:b/>
          <w:lang w:val="es-MX"/>
        </w:rPr>
      </w:pPr>
      <w:r w:rsidRPr="00711F19">
        <w:rPr>
          <w:b/>
          <w:lang w:val="es-MX"/>
        </w:rPr>
        <w:t>PARA LA ONUDI</w:t>
      </w:r>
    </w:p>
    <w:p w:rsidR="00D849F3" w:rsidRPr="00D849F3" w:rsidRDefault="00D849F3" w:rsidP="00D849F3">
      <w:pPr>
        <w:rPr>
          <w:lang w:val="es-MX"/>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371"/>
        <w:gridCol w:w="1319"/>
        <w:gridCol w:w="3407"/>
        <w:gridCol w:w="3967"/>
      </w:tblGrid>
      <w:tr w:rsidR="000F2FFB" w:rsidRPr="00711F19" w:rsidTr="00D25F3D">
        <w:trPr>
          <w:tblHeader/>
        </w:trPr>
        <w:tc>
          <w:tcPr>
            <w:tcW w:w="2248" w:type="dxa"/>
            <w:shd w:val="clear" w:color="auto" w:fill="auto"/>
            <w:tcMar>
              <w:left w:w="72" w:type="dxa"/>
              <w:right w:w="58" w:type="dxa"/>
            </w:tcMar>
            <w:vAlign w:val="center"/>
            <w:hideMark/>
          </w:tcPr>
          <w:p w:rsidR="000F2FFB" w:rsidRPr="00711F19" w:rsidRDefault="000F2FFB" w:rsidP="00D25F3D">
            <w:pPr>
              <w:jc w:val="left"/>
              <w:rPr>
                <w:b/>
                <w:bCs/>
                <w:sz w:val="20"/>
                <w:szCs w:val="20"/>
                <w:lang w:val="es-MX"/>
              </w:rPr>
            </w:pPr>
            <w:r w:rsidRPr="00711F19">
              <w:rPr>
                <w:b/>
                <w:bCs/>
                <w:sz w:val="20"/>
                <w:szCs w:val="20"/>
                <w:lang w:val="es-MX"/>
              </w:rPr>
              <w:t>País/código de proyecto</w:t>
            </w:r>
          </w:p>
        </w:tc>
        <w:tc>
          <w:tcPr>
            <w:tcW w:w="3371" w:type="dxa"/>
            <w:shd w:val="clear" w:color="auto" w:fill="auto"/>
            <w:tcMar>
              <w:left w:w="72" w:type="dxa"/>
              <w:right w:w="58"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Título del proyecto</w:t>
            </w:r>
          </w:p>
        </w:tc>
        <w:tc>
          <w:tcPr>
            <w:tcW w:w="1319" w:type="dxa"/>
            <w:shd w:val="clear" w:color="auto" w:fill="auto"/>
            <w:tcMar>
              <w:left w:w="72" w:type="dxa"/>
              <w:right w:w="58"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Nivel de desembolso (%)</w:t>
            </w:r>
          </w:p>
        </w:tc>
        <w:tc>
          <w:tcPr>
            <w:tcW w:w="3407" w:type="dxa"/>
            <w:shd w:val="clear" w:color="auto" w:fill="auto"/>
            <w:tcMar>
              <w:left w:w="72" w:type="dxa"/>
              <w:right w:w="58"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Situación/Cuestiones</w:t>
            </w:r>
          </w:p>
        </w:tc>
        <w:tc>
          <w:tcPr>
            <w:tcW w:w="3967" w:type="dxa"/>
            <w:shd w:val="clear" w:color="auto" w:fill="auto"/>
            <w:tcMar>
              <w:left w:w="72" w:type="dxa"/>
              <w:right w:w="58"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Recomendación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Argelia</w:t>
            </w:r>
          </w:p>
          <w:p w:rsidR="000F2FFB" w:rsidRPr="00711F19" w:rsidRDefault="000F2FFB" w:rsidP="00D25F3D">
            <w:pPr>
              <w:jc w:val="left"/>
              <w:rPr>
                <w:sz w:val="20"/>
                <w:szCs w:val="20"/>
                <w:lang w:val="es-MX"/>
              </w:rPr>
            </w:pPr>
            <w:r w:rsidRPr="00711F19">
              <w:rPr>
                <w:sz w:val="20"/>
                <w:szCs w:val="20"/>
                <w:lang w:val="es-MX"/>
              </w:rPr>
              <w:t>ALG/PHA/66/INV/76</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Plan de gestión de eliminación de los HCFC (etapa I, primer tramo) (conversión del HCFC-22 en la fabricación de aparatos de aire acondicionado para habitación en </w:t>
            </w:r>
            <w:proofErr w:type="spellStart"/>
            <w:r w:rsidRPr="00711F19">
              <w:rPr>
                <w:sz w:val="20"/>
                <w:szCs w:val="20"/>
                <w:lang w:val="es-MX"/>
              </w:rPr>
              <w:t>Condor</w:t>
            </w:r>
            <w:proofErr w:type="spellEnd"/>
            <w:r w:rsidRPr="00711F19">
              <w:rPr>
                <w:sz w:val="20"/>
                <w:szCs w:val="20"/>
                <w:lang w:val="es-MX"/>
              </w:rPr>
              <w:t>)</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64</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Argelia</w:t>
            </w:r>
          </w:p>
          <w:p w:rsidR="000F2FFB" w:rsidRPr="00711F19" w:rsidRDefault="000F2FFB" w:rsidP="00D25F3D">
            <w:pPr>
              <w:jc w:val="left"/>
              <w:rPr>
                <w:sz w:val="20"/>
                <w:szCs w:val="20"/>
                <w:lang w:val="es-MX"/>
              </w:rPr>
            </w:pPr>
            <w:r w:rsidRPr="00711F19">
              <w:rPr>
                <w:sz w:val="20"/>
                <w:szCs w:val="20"/>
                <w:lang w:val="es-MX"/>
              </w:rPr>
              <w:t>ALG/PHA/66/INV/77</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primer tramo) (actividades en el sector de servicio y mantenimiento de equipos de refrigeración, incluida la eliminación del HCFC-141b utilizado para el lavado de circuitos de refrigeración, y la supervisión de proyectos)</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41</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Argentina</w:t>
            </w:r>
          </w:p>
          <w:p w:rsidR="000F2FFB" w:rsidRPr="00711F19" w:rsidRDefault="000F2FFB" w:rsidP="00D25F3D">
            <w:pPr>
              <w:jc w:val="left"/>
              <w:rPr>
                <w:sz w:val="20"/>
                <w:szCs w:val="20"/>
                <w:lang w:val="es-MX"/>
              </w:rPr>
            </w:pPr>
            <w:r w:rsidRPr="00711F19">
              <w:rPr>
                <w:sz w:val="20"/>
                <w:szCs w:val="20"/>
                <w:lang w:val="es-MX"/>
              </w:rPr>
              <w:t>ARG/PHA/74/INV/174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segundo tramo) (sector de servicio y mantenimiento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58</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Argentina</w:t>
            </w:r>
          </w:p>
          <w:p w:rsidR="000F2FFB" w:rsidRPr="00711F19" w:rsidRDefault="000F2FFB" w:rsidP="00D25F3D">
            <w:pPr>
              <w:jc w:val="left"/>
              <w:rPr>
                <w:sz w:val="20"/>
                <w:szCs w:val="20"/>
                <w:lang w:val="es-MX"/>
              </w:rPr>
            </w:pPr>
            <w:r w:rsidRPr="00711F19">
              <w:rPr>
                <w:sz w:val="20"/>
                <w:szCs w:val="20"/>
                <w:lang w:val="es-MX"/>
              </w:rPr>
              <w:t>ARG/PHA/80/INV/184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 (sector de espumas)</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11</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Bahamas</w:t>
            </w:r>
          </w:p>
          <w:p w:rsidR="000F2FFB" w:rsidRPr="00711F19" w:rsidRDefault="000F2FFB" w:rsidP="00D25F3D">
            <w:pPr>
              <w:jc w:val="left"/>
              <w:rPr>
                <w:sz w:val="20"/>
                <w:szCs w:val="20"/>
                <w:lang w:val="es-MX"/>
              </w:rPr>
            </w:pPr>
            <w:r w:rsidRPr="00711F19">
              <w:rPr>
                <w:sz w:val="20"/>
                <w:szCs w:val="20"/>
                <w:lang w:val="es-MX"/>
              </w:rPr>
              <w:t>BHA/PHA/80/INV/25</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(i) 18 meses de demoras </w:t>
            </w:r>
          </w:p>
          <w:p w:rsidR="000F2FFB" w:rsidRPr="00711F19" w:rsidRDefault="000F2FFB" w:rsidP="00D25F3D">
            <w:pPr>
              <w:jc w:val="left"/>
              <w:rPr>
                <w:sz w:val="20"/>
                <w:szCs w:val="20"/>
                <w:lang w:val="es-MX"/>
              </w:rPr>
            </w:pPr>
            <w:r w:rsidRPr="00711F19">
              <w:rPr>
                <w:sz w:val="20"/>
                <w:szCs w:val="20"/>
                <w:lang w:val="es-MX"/>
              </w:rPr>
              <w:t>(ii) Sin desembolsos debido a cambios en el plan de ejecución</w:t>
            </w:r>
          </w:p>
        </w:tc>
        <w:tc>
          <w:tcPr>
            <w:tcW w:w="3967" w:type="dxa"/>
            <w:shd w:val="clear" w:color="auto" w:fill="auto"/>
            <w:tcMar>
              <w:left w:w="72" w:type="dxa"/>
              <w:right w:w="58" w:type="dxa"/>
            </w:tcMar>
            <w:hideMark/>
          </w:tcPr>
          <w:p w:rsidR="000F2FFB" w:rsidRPr="00711F19" w:rsidRDefault="000F2FFB" w:rsidP="00D25F3D">
            <w:pPr>
              <w:jc w:val="left"/>
              <w:rPr>
                <w:bCs/>
                <w:sz w:val="20"/>
                <w:szCs w:val="20"/>
                <w:lang w:val="es-MX"/>
              </w:rPr>
            </w:pPr>
            <w:r w:rsidRPr="00711F19">
              <w:rPr>
                <w:bCs/>
                <w:sz w:val="20"/>
                <w:szCs w:val="20"/>
                <w:lang w:val="es-MX"/>
              </w:rPr>
              <w:t>(i) Pedir a la ONUDI que informe en la 87ª reunión sobre este proyecto con demoras en la ejecución;</w:t>
            </w:r>
          </w:p>
          <w:p w:rsidR="000F2FFB" w:rsidRPr="00711F19" w:rsidRDefault="000F2FFB" w:rsidP="00D25F3D">
            <w:pPr>
              <w:jc w:val="left"/>
              <w:rPr>
                <w:sz w:val="20"/>
                <w:szCs w:val="20"/>
                <w:lang w:val="es-MX"/>
              </w:rPr>
            </w:pPr>
            <w:r w:rsidRPr="00711F19">
              <w:rPr>
                <w:bCs/>
                <w:sz w:val="20"/>
                <w:szCs w:val="20"/>
                <w:lang w:val="es-MX"/>
              </w:rPr>
              <w:t>(ii) Solicitar un informe de situación en la 87ª reunión sobre el avance de la ejecución y el nivel de desembolso de los fondos</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Bosnia y Herzegovina </w:t>
            </w:r>
          </w:p>
          <w:p w:rsidR="000F2FFB" w:rsidRPr="00711F19" w:rsidRDefault="000F2FFB" w:rsidP="00D25F3D">
            <w:pPr>
              <w:jc w:val="left"/>
              <w:rPr>
                <w:sz w:val="20"/>
                <w:szCs w:val="20"/>
                <w:lang w:val="es-MX"/>
              </w:rPr>
            </w:pPr>
            <w:r w:rsidRPr="00711F19">
              <w:rPr>
                <w:sz w:val="20"/>
                <w:szCs w:val="20"/>
                <w:lang w:val="es-MX"/>
              </w:rPr>
              <w:t>BHE/PHA/72/INV/29</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segundo tramo) (actividades del sector de servicio y mantenimiento de refrigeración, incluidas acciones sobre políticas)</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90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lastRenderedPageBreak/>
              <w:t xml:space="preserve">Bosnia y Herzegovina </w:t>
            </w:r>
          </w:p>
          <w:p w:rsidR="000F2FFB" w:rsidRPr="00711F19" w:rsidRDefault="000F2FFB" w:rsidP="00D25F3D">
            <w:pPr>
              <w:jc w:val="left"/>
              <w:rPr>
                <w:sz w:val="20"/>
                <w:szCs w:val="20"/>
                <w:lang w:val="es-MX"/>
              </w:rPr>
            </w:pPr>
            <w:r w:rsidRPr="00711F19">
              <w:rPr>
                <w:sz w:val="20"/>
                <w:szCs w:val="20"/>
                <w:lang w:val="es-MX"/>
              </w:rPr>
              <w:t>BHE/PHA/76/INV/33</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 (actividades del sector de servicio y mantenimiento de refrigeración, incluidas acciones sobre políticas)</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86</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Burundi</w:t>
            </w:r>
          </w:p>
          <w:p w:rsidR="000F2FFB" w:rsidRPr="00711F19" w:rsidRDefault="000F2FFB" w:rsidP="00D25F3D">
            <w:pPr>
              <w:jc w:val="left"/>
              <w:rPr>
                <w:sz w:val="20"/>
                <w:szCs w:val="20"/>
                <w:lang w:val="es-MX"/>
              </w:rPr>
            </w:pPr>
            <w:r w:rsidRPr="00711F19">
              <w:rPr>
                <w:sz w:val="20"/>
                <w:szCs w:val="20"/>
                <w:lang w:val="es-MX"/>
              </w:rPr>
              <w:t>BDI/PHA/81/INV/37</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No se prevén desembolsos dado que la entrega de los equipos está prevista en 2020</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Solicitar un informe de situación en la 87ª reunión sobre el nivel de desembolso de los fondos </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Camerún </w:t>
            </w:r>
          </w:p>
          <w:p w:rsidR="000F2FFB" w:rsidRPr="00711F19" w:rsidRDefault="000F2FFB" w:rsidP="00D25F3D">
            <w:pPr>
              <w:jc w:val="left"/>
              <w:rPr>
                <w:sz w:val="20"/>
                <w:szCs w:val="20"/>
                <w:lang w:val="es-MX"/>
              </w:rPr>
            </w:pPr>
            <w:r w:rsidRPr="00711F19">
              <w:rPr>
                <w:sz w:val="20"/>
                <w:szCs w:val="20"/>
                <w:lang w:val="es-MX"/>
              </w:rPr>
              <w:t>CMR/PHA/82/INV/45</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4</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China </w:t>
            </w:r>
          </w:p>
          <w:p w:rsidR="000F2FFB" w:rsidRPr="00711F19" w:rsidRDefault="000F2FFB" w:rsidP="00D25F3D">
            <w:pPr>
              <w:jc w:val="left"/>
              <w:rPr>
                <w:sz w:val="20"/>
                <w:szCs w:val="20"/>
                <w:lang w:val="es-MX"/>
              </w:rPr>
            </w:pPr>
            <w:r w:rsidRPr="00711F19">
              <w:rPr>
                <w:sz w:val="20"/>
                <w:szCs w:val="20"/>
                <w:lang w:val="es-MX"/>
              </w:rPr>
              <w:t>CPR/PHA/64/INV/513</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(plan sectorial de fabricación de aparatos de aire acondicionado para habitación) (etapa I, primer tramo)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90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China </w:t>
            </w:r>
          </w:p>
          <w:p w:rsidR="000F2FFB" w:rsidRPr="00711F19" w:rsidRDefault="000F2FFB" w:rsidP="00D25F3D">
            <w:pPr>
              <w:jc w:val="left"/>
              <w:rPr>
                <w:sz w:val="20"/>
                <w:szCs w:val="20"/>
                <w:lang w:val="es-MX"/>
              </w:rPr>
            </w:pPr>
            <w:r w:rsidRPr="00711F19">
              <w:rPr>
                <w:sz w:val="20"/>
                <w:szCs w:val="20"/>
                <w:lang w:val="es-MX"/>
              </w:rPr>
              <w:t>CPR/PHA/68/INV/524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segundo tramo) (plan sectorial de fabricación de aparatos de aire acondicionado para habitación)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90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China </w:t>
            </w:r>
          </w:p>
          <w:p w:rsidR="000F2FFB" w:rsidRPr="00711F19" w:rsidRDefault="000F2FFB" w:rsidP="00D25F3D">
            <w:pPr>
              <w:jc w:val="left"/>
              <w:rPr>
                <w:sz w:val="20"/>
                <w:szCs w:val="20"/>
                <w:lang w:val="es-MX"/>
              </w:rPr>
            </w:pPr>
            <w:r w:rsidRPr="00711F19">
              <w:rPr>
                <w:sz w:val="20"/>
                <w:szCs w:val="20"/>
                <w:lang w:val="es-MX"/>
              </w:rPr>
              <w:t>CPR/PHA/71/INV/536</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 (plan sectorial de fabricación de aparatos de aire acondicionado para habitación)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90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China </w:t>
            </w:r>
          </w:p>
          <w:p w:rsidR="000F2FFB" w:rsidRPr="00711F19" w:rsidRDefault="000F2FFB" w:rsidP="00D25F3D">
            <w:pPr>
              <w:jc w:val="left"/>
              <w:rPr>
                <w:sz w:val="20"/>
                <w:szCs w:val="20"/>
                <w:lang w:val="es-MX"/>
              </w:rPr>
            </w:pPr>
            <w:r w:rsidRPr="00711F19">
              <w:rPr>
                <w:sz w:val="20"/>
                <w:szCs w:val="20"/>
                <w:lang w:val="es-MX"/>
              </w:rPr>
              <w:t>CPR/PHA/73/INV/548</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cuarto tramo) (plan sectorial de fabricación de aparatos de aire acondicionado para habitación)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90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China </w:t>
            </w:r>
          </w:p>
          <w:p w:rsidR="000F2FFB" w:rsidRPr="00711F19" w:rsidRDefault="000F2FFB" w:rsidP="00D25F3D">
            <w:pPr>
              <w:jc w:val="left"/>
              <w:rPr>
                <w:sz w:val="20"/>
                <w:szCs w:val="20"/>
                <w:lang w:val="es-MX"/>
              </w:rPr>
            </w:pPr>
            <w:r w:rsidRPr="00711F19">
              <w:rPr>
                <w:sz w:val="20"/>
                <w:szCs w:val="20"/>
                <w:lang w:val="es-MX"/>
              </w:rPr>
              <w:t>CPR/PHA/75/INV/564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quinto tramo) (plan sectorial de fabricación de aparatos de aire acondicionado para habitación)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30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China </w:t>
            </w:r>
          </w:p>
          <w:p w:rsidR="000F2FFB" w:rsidRPr="00711F19" w:rsidRDefault="000F2FFB" w:rsidP="00D25F3D">
            <w:pPr>
              <w:jc w:val="left"/>
              <w:rPr>
                <w:sz w:val="20"/>
                <w:szCs w:val="20"/>
                <w:lang w:val="es-MX"/>
              </w:rPr>
            </w:pPr>
            <w:r w:rsidRPr="00711F19">
              <w:rPr>
                <w:sz w:val="20"/>
                <w:szCs w:val="20"/>
                <w:lang w:val="es-MX"/>
              </w:rPr>
              <w:t>CPR/PRO/73/INV/552</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Plan sectorial para el sector de producción de </w:t>
            </w:r>
            <w:proofErr w:type="spellStart"/>
            <w:r w:rsidRPr="00711F19">
              <w:rPr>
                <w:sz w:val="20"/>
                <w:szCs w:val="20"/>
                <w:lang w:val="es-MX"/>
              </w:rPr>
              <w:t>metilbromuro</w:t>
            </w:r>
            <w:proofErr w:type="spellEnd"/>
            <w:r w:rsidRPr="00711F19">
              <w:rPr>
                <w:sz w:val="20"/>
                <w:szCs w:val="20"/>
                <w:lang w:val="es-MX"/>
              </w:rPr>
              <w:t xml:space="preserve"> (cuarto tramo)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90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6B54F5" w:rsidRDefault="000F2FFB" w:rsidP="00D25F3D">
            <w:pPr>
              <w:jc w:val="left"/>
              <w:rPr>
                <w:sz w:val="20"/>
                <w:szCs w:val="20"/>
                <w:lang w:val="fr-CA"/>
              </w:rPr>
            </w:pPr>
            <w:r w:rsidRPr="006B54F5">
              <w:rPr>
                <w:sz w:val="20"/>
                <w:szCs w:val="20"/>
                <w:lang w:val="fr-CA"/>
              </w:rPr>
              <w:t>Côte d'Ivoire</w:t>
            </w:r>
          </w:p>
          <w:p w:rsidR="000F2FFB" w:rsidRPr="006B54F5" w:rsidRDefault="000F2FFB" w:rsidP="00D25F3D">
            <w:pPr>
              <w:jc w:val="left"/>
              <w:rPr>
                <w:sz w:val="20"/>
                <w:szCs w:val="20"/>
                <w:lang w:val="fr-CA"/>
              </w:rPr>
            </w:pPr>
            <w:r w:rsidRPr="006B54F5">
              <w:rPr>
                <w:sz w:val="20"/>
                <w:szCs w:val="20"/>
                <w:lang w:val="fr-CA"/>
              </w:rPr>
              <w:t>IVC/PHA/66/INV/36</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primer tramo)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40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keepNext/>
              <w:jc w:val="left"/>
              <w:rPr>
                <w:sz w:val="20"/>
                <w:szCs w:val="20"/>
                <w:lang w:val="es-MX"/>
              </w:rPr>
            </w:pPr>
            <w:r w:rsidRPr="00711F19">
              <w:rPr>
                <w:sz w:val="20"/>
                <w:szCs w:val="20"/>
                <w:lang w:val="es-MX"/>
              </w:rPr>
              <w:lastRenderedPageBreak/>
              <w:t xml:space="preserve">República Popular Democrática de Corea </w:t>
            </w:r>
          </w:p>
          <w:p w:rsidR="000F2FFB" w:rsidRPr="00711F19" w:rsidRDefault="000F2FFB" w:rsidP="00D25F3D">
            <w:pPr>
              <w:keepNext/>
              <w:jc w:val="left"/>
              <w:rPr>
                <w:sz w:val="20"/>
                <w:szCs w:val="20"/>
                <w:lang w:val="es-MX"/>
              </w:rPr>
            </w:pPr>
            <w:r w:rsidRPr="00711F19">
              <w:rPr>
                <w:sz w:val="20"/>
                <w:szCs w:val="20"/>
                <w:lang w:val="es-MX"/>
              </w:rPr>
              <w:t>DRK/PHA/73/INV/59</w:t>
            </w:r>
          </w:p>
        </w:tc>
        <w:tc>
          <w:tcPr>
            <w:tcW w:w="3371" w:type="dxa"/>
            <w:shd w:val="clear" w:color="auto" w:fill="auto"/>
            <w:tcMar>
              <w:left w:w="72" w:type="dxa"/>
              <w:right w:w="58" w:type="dxa"/>
            </w:tcMar>
            <w:hideMark/>
          </w:tcPr>
          <w:p w:rsidR="000F2FFB" w:rsidRPr="00711F19" w:rsidRDefault="000F2FFB" w:rsidP="00D25F3D">
            <w:pPr>
              <w:keepNext/>
              <w:jc w:val="left"/>
              <w:rPr>
                <w:sz w:val="20"/>
                <w:szCs w:val="20"/>
                <w:lang w:val="es-MX"/>
              </w:rPr>
            </w:pPr>
            <w:r w:rsidRPr="00711F19">
              <w:rPr>
                <w:sz w:val="20"/>
                <w:szCs w:val="20"/>
                <w:lang w:val="es-MX"/>
              </w:rPr>
              <w:t xml:space="preserve">Plan de gestión de eliminación de los HCFC (etapa I, primer tramo) (eliminación de HCFC-141b en el sector de espumas de poliuretano en Pyongyang </w:t>
            </w:r>
            <w:proofErr w:type="spellStart"/>
            <w:r w:rsidRPr="00711F19">
              <w:rPr>
                <w:sz w:val="20"/>
                <w:szCs w:val="20"/>
                <w:lang w:val="es-MX"/>
              </w:rPr>
              <w:t>Sonbong</w:t>
            </w:r>
            <w:proofErr w:type="spellEnd"/>
            <w:r w:rsidRPr="00711F19">
              <w:rPr>
                <w:sz w:val="20"/>
                <w:szCs w:val="20"/>
                <w:lang w:val="es-MX"/>
              </w:rPr>
              <w:t xml:space="preserve"> y </w:t>
            </w:r>
            <w:proofErr w:type="spellStart"/>
            <w:r w:rsidRPr="00711F19">
              <w:rPr>
                <w:sz w:val="20"/>
                <w:szCs w:val="20"/>
                <w:lang w:val="es-MX"/>
              </w:rPr>
              <w:t>Puhung</w:t>
            </w:r>
            <w:proofErr w:type="spellEnd"/>
            <w:r w:rsidRPr="00711F19">
              <w:rPr>
                <w:sz w:val="20"/>
                <w:szCs w:val="20"/>
                <w:lang w:val="es-MX"/>
              </w:rPr>
              <w:t xml:space="preserve"> </w:t>
            </w:r>
            <w:proofErr w:type="spellStart"/>
            <w:r w:rsidRPr="00711F19">
              <w:rPr>
                <w:sz w:val="20"/>
                <w:szCs w:val="20"/>
                <w:lang w:val="es-MX"/>
              </w:rPr>
              <w:t>Building</w:t>
            </w:r>
            <w:proofErr w:type="spellEnd"/>
            <w:r w:rsidRPr="00711F19">
              <w:rPr>
                <w:sz w:val="20"/>
                <w:szCs w:val="20"/>
                <w:lang w:val="es-MX"/>
              </w:rPr>
              <w:t xml:space="preserve"> </w:t>
            </w:r>
            <w:proofErr w:type="spellStart"/>
            <w:r w:rsidRPr="00711F19">
              <w:rPr>
                <w:sz w:val="20"/>
                <w:szCs w:val="20"/>
                <w:lang w:val="es-MX"/>
              </w:rPr>
              <w:t>Materials</w:t>
            </w:r>
            <w:proofErr w:type="spellEnd"/>
            <w:r w:rsidRPr="00711F19">
              <w:rPr>
                <w:sz w:val="20"/>
                <w:szCs w:val="20"/>
                <w:lang w:val="es-MX"/>
              </w:rPr>
              <w:t>)</w:t>
            </w:r>
          </w:p>
        </w:tc>
        <w:tc>
          <w:tcPr>
            <w:tcW w:w="1319" w:type="dxa"/>
            <w:shd w:val="clear" w:color="auto" w:fill="auto"/>
            <w:tcMar>
              <w:left w:w="72" w:type="dxa"/>
              <w:right w:w="58" w:type="dxa"/>
            </w:tcMar>
            <w:hideMark/>
          </w:tcPr>
          <w:p w:rsidR="000F2FFB" w:rsidRPr="00711F19" w:rsidRDefault="000F2FFB" w:rsidP="00D25F3D">
            <w:pPr>
              <w:keepNext/>
              <w:jc w:val="center"/>
              <w:rPr>
                <w:sz w:val="20"/>
                <w:szCs w:val="20"/>
                <w:lang w:val="es-MX"/>
              </w:rPr>
            </w:pPr>
            <w:r w:rsidRPr="00711F19">
              <w:rPr>
                <w:sz w:val="20"/>
                <w:szCs w:val="20"/>
                <w:lang w:val="es-MX"/>
              </w:rPr>
              <w:t>22</w:t>
            </w:r>
          </w:p>
        </w:tc>
        <w:tc>
          <w:tcPr>
            <w:tcW w:w="3407" w:type="dxa"/>
            <w:vMerge w:val="restart"/>
            <w:shd w:val="clear" w:color="auto" w:fill="auto"/>
            <w:tcMar>
              <w:left w:w="72" w:type="dxa"/>
              <w:right w:w="58" w:type="dxa"/>
            </w:tcMar>
            <w:vAlign w:val="center"/>
            <w:hideMark/>
          </w:tcPr>
          <w:p w:rsidR="000F2FFB" w:rsidRPr="00711F19" w:rsidRDefault="000F2FFB" w:rsidP="00D25F3D">
            <w:pPr>
              <w:keepNext/>
              <w:jc w:val="left"/>
              <w:rPr>
                <w:bCs/>
                <w:sz w:val="20"/>
                <w:szCs w:val="20"/>
                <w:lang w:val="es-MX"/>
              </w:rPr>
            </w:pPr>
            <w:r w:rsidRPr="00711F19">
              <w:rPr>
                <w:bCs/>
                <w:sz w:val="20"/>
                <w:szCs w:val="20"/>
                <w:lang w:val="es-MX"/>
              </w:rPr>
              <w:t>(i) 12 meses de demoras;</w:t>
            </w:r>
          </w:p>
          <w:p w:rsidR="000F2FFB" w:rsidRPr="00711F19" w:rsidRDefault="000F2FFB" w:rsidP="00D25F3D">
            <w:pPr>
              <w:keepNext/>
              <w:jc w:val="left"/>
              <w:rPr>
                <w:sz w:val="20"/>
                <w:szCs w:val="20"/>
                <w:lang w:val="es-MX"/>
              </w:rPr>
            </w:pPr>
            <w:r w:rsidRPr="00711F19">
              <w:rPr>
                <w:bCs/>
                <w:sz w:val="20"/>
                <w:szCs w:val="20"/>
                <w:lang w:val="es-MX"/>
              </w:rPr>
              <w:t>(ii) Ejecución sujeta a las resoluciones del Consejo de Seguridad de las Naciones Unidas (CSNU)</w:t>
            </w:r>
          </w:p>
        </w:tc>
        <w:tc>
          <w:tcPr>
            <w:tcW w:w="3967" w:type="dxa"/>
            <w:vMerge w:val="restart"/>
            <w:shd w:val="clear" w:color="auto" w:fill="auto"/>
            <w:tcMar>
              <w:left w:w="72" w:type="dxa"/>
              <w:right w:w="58" w:type="dxa"/>
            </w:tcMar>
            <w:vAlign w:val="center"/>
            <w:hideMark/>
          </w:tcPr>
          <w:p w:rsidR="000F2FFB" w:rsidRPr="00711F19" w:rsidRDefault="000F2FFB" w:rsidP="00D25F3D">
            <w:pPr>
              <w:keepNext/>
              <w:jc w:val="left"/>
              <w:rPr>
                <w:bCs/>
                <w:sz w:val="20"/>
                <w:szCs w:val="20"/>
                <w:lang w:val="es-MX"/>
              </w:rPr>
            </w:pPr>
            <w:r w:rsidRPr="00711F19">
              <w:rPr>
                <w:bCs/>
                <w:sz w:val="20"/>
                <w:szCs w:val="20"/>
                <w:lang w:val="es-MX"/>
              </w:rPr>
              <w:t>(i) Pedir a la ONUDI que informe en la 87ª reunión sobre estos proyectos con demoras en la ejecución;</w:t>
            </w:r>
          </w:p>
          <w:p w:rsidR="000F2FFB" w:rsidRPr="00711F19" w:rsidRDefault="000F2FFB" w:rsidP="00D25F3D">
            <w:pPr>
              <w:keepNext/>
              <w:jc w:val="left"/>
              <w:rPr>
                <w:sz w:val="20"/>
                <w:szCs w:val="20"/>
                <w:lang w:val="es-MX"/>
              </w:rPr>
            </w:pPr>
            <w:r w:rsidRPr="00711F19">
              <w:rPr>
                <w:bCs/>
                <w:sz w:val="20"/>
                <w:szCs w:val="20"/>
                <w:lang w:val="es-MX"/>
              </w:rPr>
              <w:t>(ii) Solicitar un informe de situación en la 87ª reunión sobre los avances en la ejecución, que incluya las novedades sobre la reanudación de las actividades</w:t>
            </w:r>
          </w:p>
        </w:tc>
      </w:tr>
      <w:tr w:rsidR="000F2FFB" w:rsidRPr="00711F19" w:rsidTr="00D25F3D">
        <w:tc>
          <w:tcPr>
            <w:tcW w:w="2248" w:type="dxa"/>
            <w:shd w:val="clear" w:color="auto" w:fill="auto"/>
            <w:tcMar>
              <w:left w:w="72" w:type="dxa"/>
              <w:right w:w="58" w:type="dxa"/>
            </w:tcMar>
            <w:hideMark/>
          </w:tcPr>
          <w:p w:rsidR="000F2FFB" w:rsidRPr="00711F19" w:rsidRDefault="000F2FFB" w:rsidP="00D25F3D">
            <w:pPr>
              <w:keepNext/>
              <w:jc w:val="left"/>
              <w:rPr>
                <w:sz w:val="20"/>
                <w:szCs w:val="20"/>
                <w:lang w:val="es-MX"/>
              </w:rPr>
            </w:pPr>
            <w:r w:rsidRPr="00711F19">
              <w:rPr>
                <w:sz w:val="20"/>
                <w:szCs w:val="20"/>
                <w:lang w:val="es-MX"/>
              </w:rPr>
              <w:t xml:space="preserve">República Popular Democrática de Corea </w:t>
            </w:r>
          </w:p>
          <w:p w:rsidR="000F2FFB" w:rsidRPr="00711F19" w:rsidRDefault="000F2FFB" w:rsidP="00D25F3D">
            <w:pPr>
              <w:keepNext/>
              <w:jc w:val="left"/>
              <w:rPr>
                <w:sz w:val="20"/>
                <w:szCs w:val="20"/>
                <w:lang w:val="es-MX"/>
              </w:rPr>
            </w:pPr>
            <w:r w:rsidRPr="00711F19">
              <w:rPr>
                <w:sz w:val="20"/>
                <w:szCs w:val="20"/>
                <w:lang w:val="es-MX"/>
              </w:rPr>
              <w:t>DRK/PHA/73/TAS/60</w:t>
            </w:r>
          </w:p>
        </w:tc>
        <w:tc>
          <w:tcPr>
            <w:tcW w:w="3371" w:type="dxa"/>
            <w:shd w:val="clear" w:color="auto" w:fill="auto"/>
            <w:tcMar>
              <w:left w:w="72" w:type="dxa"/>
              <w:right w:w="58" w:type="dxa"/>
            </w:tcMar>
            <w:hideMark/>
          </w:tcPr>
          <w:p w:rsidR="000F2FFB" w:rsidRPr="00711F19" w:rsidRDefault="000F2FFB" w:rsidP="00D25F3D">
            <w:pPr>
              <w:keepNext/>
              <w:jc w:val="left"/>
              <w:rPr>
                <w:sz w:val="20"/>
                <w:szCs w:val="20"/>
                <w:lang w:val="es-MX"/>
              </w:rPr>
            </w:pPr>
            <w:r w:rsidRPr="00711F19">
              <w:rPr>
                <w:sz w:val="20"/>
                <w:szCs w:val="20"/>
                <w:lang w:val="es-MX"/>
              </w:rPr>
              <w:t>Plan de gestión de eliminación de los HCFC (etapa I, primer tramo) (servicio y mantenimiento de equipos de refrigeración, y supervisión)</w:t>
            </w:r>
          </w:p>
        </w:tc>
        <w:tc>
          <w:tcPr>
            <w:tcW w:w="1319" w:type="dxa"/>
            <w:shd w:val="clear" w:color="auto" w:fill="auto"/>
            <w:tcMar>
              <w:left w:w="72" w:type="dxa"/>
              <w:right w:w="58" w:type="dxa"/>
            </w:tcMar>
            <w:hideMark/>
          </w:tcPr>
          <w:p w:rsidR="000F2FFB" w:rsidRPr="00711F19" w:rsidRDefault="000F2FFB" w:rsidP="00D25F3D">
            <w:pPr>
              <w:keepNext/>
              <w:jc w:val="center"/>
              <w:rPr>
                <w:sz w:val="20"/>
                <w:szCs w:val="20"/>
                <w:lang w:val="es-MX"/>
              </w:rPr>
            </w:pPr>
            <w:r w:rsidRPr="00711F19">
              <w:rPr>
                <w:sz w:val="20"/>
                <w:szCs w:val="20"/>
                <w:lang w:val="es-MX"/>
              </w:rPr>
              <w:t>89</w:t>
            </w:r>
          </w:p>
        </w:tc>
        <w:tc>
          <w:tcPr>
            <w:tcW w:w="3407" w:type="dxa"/>
            <w:vMerge/>
            <w:tcMar>
              <w:left w:w="72" w:type="dxa"/>
              <w:right w:w="58" w:type="dxa"/>
            </w:tcMar>
            <w:vAlign w:val="center"/>
            <w:hideMark/>
          </w:tcPr>
          <w:p w:rsidR="000F2FFB" w:rsidRPr="00711F19" w:rsidRDefault="000F2FFB" w:rsidP="00D25F3D">
            <w:pPr>
              <w:keepNext/>
              <w:jc w:val="left"/>
              <w:rPr>
                <w:sz w:val="20"/>
                <w:szCs w:val="20"/>
                <w:lang w:val="es-MX" w:eastAsia="en-CA"/>
              </w:rPr>
            </w:pPr>
          </w:p>
        </w:tc>
        <w:tc>
          <w:tcPr>
            <w:tcW w:w="3967" w:type="dxa"/>
            <w:vMerge/>
            <w:tcMar>
              <w:left w:w="72" w:type="dxa"/>
              <w:right w:w="58" w:type="dxa"/>
            </w:tcMar>
            <w:vAlign w:val="center"/>
            <w:hideMark/>
          </w:tcPr>
          <w:p w:rsidR="000F2FFB" w:rsidRPr="00711F19" w:rsidRDefault="000F2FFB" w:rsidP="00D25F3D">
            <w:pPr>
              <w:keepNext/>
              <w:jc w:val="left"/>
              <w:rPr>
                <w:sz w:val="20"/>
                <w:szCs w:val="20"/>
                <w:lang w:val="es-MX" w:eastAsia="en-CA"/>
              </w:rPr>
            </w:pPr>
          </w:p>
        </w:tc>
      </w:tr>
      <w:tr w:rsidR="000F2FFB" w:rsidRPr="00711F19"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República Popular Democrática de Corea </w:t>
            </w:r>
          </w:p>
          <w:p w:rsidR="000F2FFB" w:rsidRPr="00711F19" w:rsidRDefault="000F2FFB" w:rsidP="00D25F3D">
            <w:pPr>
              <w:jc w:val="left"/>
              <w:rPr>
                <w:sz w:val="20"/>
                <w:szCs w:val="20"/>
                <w:lang w:val="es-MX"/>
              </w:rPr>
            </w:pPr>
            <w:r w:rsidRPr="00711F19">
              <w:rPr>
                <w:sz w:val="20"/>
                <w:szCs w:val="20"/>
                <w:lang w:val="es-MX"/>
              </w:rPr>
              <w:t>DRK/PHA/75/INV/62</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Plan de gestión de eliminación de los HCFC (etapa I, segundo tramo) (eliminación de HCFC-141b en el sector de espumas de poliuretano en Pyongyang </w:t>
            </w:r>
            <w:proofErr w:type="spellStart"/>
            <w:r w:rsidRPr="00711F19">
              <w:rPr>
                <w:sz w:val="20"/>
                <w:szCs w:val="20"/>
                <w:lang w:val="es-MX"/>
              </w:rPr>
              <w:t>Sonbong</w:t>
            </w:r>
            <w:proofErr w:type="spellEnd"/>
            <w:r w:rsidRPr="00711F19">
              <w:rPr>
                <w:sz w:val="20"/>
                <w:szCs w:val="20"/>
                <w:lang w:val="es-MX"/>
              </w:rPr>
              <w:t xml:space="preserve"> y </w:t>
            </w:r>
            <w:proofErr w:type="spellStart"/>
            <w:r w:rsidRPr="00711F19">
              <w:rPr>
                <w:sz w:val="20"/>
                <w:szCs w:val="20"/>
                <w:lang w:val="es-MX"/>
              </w:rPr>
              <w:t>Puhung</w:t>
            </w:r>
            <w:proofErr w:type="spellEnd"/>
            <w:r w:rsidRPr="00711F19">
              <w:rPr>
                <w:sz w:val="20"/>
                <w:szCs w:val="20"/>
                <w:lang w:val="es-MX"/>
              </w:rPr>
              <w:t xml:space="preserve"> </w:t>
            </w:r>
            <w:proofErr w:type="spellStart"/>
            <w:r w:rsidRPr="00711F19">
              <w:rPr>
                <w:sz w:val="20"/>
                <w:szCs w:val="20"/>
                <w:lang w:val="es-MX"/>
              </w:rPr>
              <w:t>Building</w:t>
            </w:r>
            <w:proofErr w:type="spellEnd"/>
            <w:r w:rsidRPr="00711F19">
              <w:rPr>
                <w:sz w:val="20"/>
                <w:szCs w:val="20"/>
                <w:lang w:val="es-MX"/>
              </w:rPr>
              <w:t xml:space="preserve"> </w:t>
            </w:r>
            <w:proofErr w:type="spellStart"/>
            <w:r w:rsidRPr="00711F19">
              <w:rPr>
                <w:sz w:val="20"/>
                <w:szCs w:val="20"/>
                <w:lang w:val="es-MX"/>
              </w:rPr>
              <w:t>Materials</w:t>
            </w:r>
            <w:proofErr w:type="spellEnd"/>
            <w:r w:rsidRPr="00711F19">
              <w:rPr>
                <w:sz w:val="20"/>
                <w:szCs w:val="20"/>
                <w:lang w:val="es-MX"/>
              </w:rPr>
              <w:t>)</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24</w:t>
            </w:r>
          </w:p>
        </w:tc>
        <w:tc>
          <w:tcPr>
            <w:tcW w:w="3407" w:type="dxa"/>
            <w:vMerge/>
            <w:tcMar>
              <w:left w:w="72" w:type="dxa"/>
              <w:right w:w="58" w:type="dxa"/>
            </w:tcMar>
            <w:vAlign w:val="center"/>
            <w:hideMark/>
          </w:tcPr>
          <w:p w:rsidR="000F2FFB" w:rsidRPr="00711F19" w:rsidRDefault="000F2FFB" w:rsidP="00D25F3D">
            <w:pPr>
              <w:jc w:val="left"/>
              <w:rPr>
                <w:sz w:val="20"/>
                <w:szCs w:val="20"/>
                <w:lang w:val="es-MX" w:eastAsia="en-CA"/>
              </w:rPr>
            </w:pPr>
          </w:p>
        </w:tc>
        <w:tc>
          <w:tcPr>
            <w:tcW w:w="3967" w:type="dxa"/>
            <w:vMerge/>
            <w:tcMar>
              <w:left w:w="72" w:type="dxa"/>
              <w:right w:w="58" w:type="dxa"/>
            </w:tcMar>
            <w:vAlign w:val="center"/>
            <w:hideMark/>
          </w:tcPr>
          <w:p w:rsidR="000F2FFB" w:rsidRPr="00711F19" w:rsidRDefault="000F2FFB" w:rsidP="00D25F3D">
            <w:pPr>
              <w:jc w:val="left"/>
              <w:rPr>
                <w:sz w:val="20"/>
                <w:szCs w:val="20"/>
                <w:lang w:val="es-MX" w:eastAsia="en-CA"/>
              </w:rPr>
            </w:pPr>
          </w:p>
        </w:tc>
      </w:tr>
      <w:tr w:rsidR="000F2FFB" w:rsidRPr="00711F19"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República Popular Democrática de Corea </w:t>
            </w:r>
          </w:p>
          <w:p w:rsidR="000F2FFB" w:rsidRPr="00711F19" w:rsidRDefault="000F2FFB" w:rsidP="00D25F3D">
            <w:pPr>
              <w:jc w:val="left"/>
              <w:rPr>
                <w:sz w:val="20"/>
                <w:szCs w:val="20"/>
                <w:lang w:val="es-MX"/>
              </w:rPr>
            </w:pPr>
            <w:r w:rsidRPr="00711F19">
              <w:rPr>
                <w:sz w:val="20"/>
                <w:szCs w:val="20"/>
                <w:lang w:val="es-MX"/>
              </w:rPr>
              <w:t>DRK/PHA/77/INV/64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 (política, servicio y mantenimiento de equipos de refrigeración, y supervisión)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1</w:t>
            </w:r>
          </w:p>
        </w:tc>
        <w:tc>
          <w:tcPr>
            <w:tcW w:w="3407" w:type="dxa"/>
            <w:vMerge/>
            <w:tcMar>
              <w:left w:w="72" w:type="dxa"/>
              <w:right w:w="58" w:type="dxa"/>
            </w:tcMar>
            <w:vAlign w:val="center"/>
            <w:hideMark/>
          </w:tcPr>
          <w:p w:rsidR="000F2FFB" w:rsidRPr="00711F19" w:rsidRDefault="000F2FFB" w:rsidP="00D25F3D">
            <w:pPr>
              <w:jc w:val="left"/>
              <w:rPr>
                <w:sz w:val="20"/>
                <w:szCs w:val="20"/>
                <w:lang w:val="es-MX" w:eastAsia="en-CA"/>
              </w:rPr>
            </w:pPr>
          </w:p>
        </w:tc>
        <w:tc>
          <w:tcPr>
            <w:tcW w:w="3967" w:type="dxa"/>
            <w:vMerge/>
            <w:tcMar>
              <w:left w:w="72" w:type="dxa"/>
              <w:right w:w="58" w:type="dxa"/>
            </w:tcMar>
            <w:vAlign w:val="center"/>
            <w:hideMark/>
          </w:tcPr>
          <w:p w:rsidR="000F2FFB" w:rsidRPr="00711F19" w:rsidRDefault="000F2FFB" w:rsidP="00D25F3D">
            <w:pPr>
              <w:jc w:val="left"/>
              <w:rPr>
                <w:sz w:val="20"/>
                <w:szCs w:val="20"/>
                <w:lang w:val="es-MX" w:eastAsia="en-CA"/>
              </w:rPr>
            </w:pP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Egipto</w:t>
            </w:r>
          </w:p>
          <w:p w:rsidR="000F2FFB" w:rsidRPr="00711F19" w:rsidRDefault="000F2FFB" w:rsidP="00D25F3D">
            <w:pPr>
              <w:jc w:val="left"/>
              <w:rPr>
                <w:sz w:val="20"/>
                <w:szCs w:val="20"/>
                <w:lang w:val="es-MX"/>
              </w:rPr>
            </w:pPr>
            <w:r w:rsidRPr="00711F19">
              <w:rPr>
                <w:sz w:val="20"/>
                <w:szCs w:val="20"/>
                <w:lang w:val="es-MX"/>
              </w:rPr>
              <w:t>EGY/PHA/79/INV/133</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 (sector de espumas de poliuretano)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18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Egipto</w:t>
            </w:r>
          </w:p>
          <w:p w:rsidR="000F2FFB" w:rsidRPr="00711F19" w:rsidRDefault="000F2FFB" w:rsidP="00D25F3D">
            <w:pPr>
              <w:jc w:val="left"/>
              <w:rPr>
                <w:sz w:val="20"/>
                <w:szCs w:val="20"/>
                <w:lang w:val="es-MX"/>
              </w:rPr>
            </w:pPr>
            <w:r w:rsidRPr="00711F19">
              <w:rPr>
                <w:sz w:val="20"/>
                <w:szCs w:val="20"/>
                <w:lang w:val="es-MX"/>
              </w:rPr>
              <w:t>EGY/PHA/82/INV/140</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 (actividades de apoyo del sector de refrigeración y aire acondicionado)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37</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Eritrea </w:t>
            </w:r>
          </w:p>
          <w:p w:rsidR="000F2FFB" w:rsidRPr="00711F19" w:rsidRDefault="000F2FFB" w:rsidP="00D25F3D">
            <w:pPr>
              <w:jc w:val="left"/>
              <w:rPr>
                <w:sz w:val="20"/>
                <w:szCs w:val="20"/>
                <w:lang w:val="es-MX"/>
              </w:rPr>
            </w:pPr>
            <w:r w:rsidRPr="00711F19">
              <w:rPr>
                <w:sz w:val="20"/>
                <w:szCs w:val="20"/>
                <w:lang w:val="es-MX"/>
              </w:rPr>
              <w:t>ERI/PHA/84/PRP/18</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Preparación de un plan de gestión de eliminación de los HCFC (etapa II)</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Actividades demoradas debido a la falta de respuesta de la Dependencia Nacional del Ozono</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Solicitar un informe de situación en la 87ª reunión sobre los avances realizados en la preparación de la etapa II</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Gabón </w:t>
            </w:r>
          </w:p>
          <w:p w:rsidR="000F2FFB" w:rsidRPr="00711F19" w:rsidRDefault="000F2FFB" w:rsidP="00D25F3D">
            <w:pPr>
              <w:jc w:val="left"/>
              <w:rPr>
                <w:sz w:val="20"/>
                <w:szCs w:val="20"/>
                <w:lang w:val="es-MX"/>
              </w:rPr>
            </w:pPr>
            <w:r w:rsidRPr="00711F19">
              <w:rPr>
                <w:sz w:val="20"/>
                <w:szCs w:val="20"/>
                <w:lang w:val="es-MX"/>
              </w:rPr>
              <w:t>GAB/PHA/79/INV/34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18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Iraq</w:t>
            </w:r>
          </w:p>
          <w:p w:rsidR="000F2FFB" w:rsidRPr="00711F19" w:rsidRDefault="000F2FFB" w:rsidP="00D25F3D">
            <w:pPr>
              <w:jc w:val="left"/>
              <w:rPr>
                <w:sz w:val="20"/>
                <w:szCs w:val="20"/>
                <w:lang w:val="es-MX"/>
              </w:rPr>
            </w:pPr>
            <w:r w:rsidRPr="00711F19">
              <w:rPr>
                <w:sz w:val="20"/>
                <w:szCs w:val="20"/>
                <w:lang w:val="es-MX"/>
              </w:rPr>
              <w:t>IRQ/PHA/58/INV/09</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eliminación nacional (primer tramo)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89</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Iraq</w:t>
            </w:r>
          </w:p>
          <w:p w:rsidR="000F2FFB" w:rsidRPr="00711F19" w:rsidRDefault="000F2FFB" w:rsidP="00D25F3D">
            <w:pPr>
              <w:jc w:val="left"/>
              <w:rPr>
                <w:sz w:val="20"/>
                <w:szCs w:val="20"/>
                <w:lang w:val="es-MX"/>
              </w:rPr>
            </w:pPr>
            <w:r w:rsidRPr="00711F19">
              <w:rPr>
                <w:sz w:val="20"/>
                <w:szCs w:val="20"/>
                <w:lang w:val="es-MX"/>
              </w:rPr>
              <w:t>IRQ/PHA/73/PRP/19</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Preparación de un plan de gestión de eliminación de los HCFC (etapa II)</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48</w:t>
            </w:r>
          </w:p>
        </w:tc>
        <w:tc>
          <w:tcPr>
            <w:tcW w:w="340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bCs/>
                <w:sz w:val="20"/>
                <w:szCs w:val="20"/>
                <w:lang w:val="es-MX"/>
              </w:rPr>
              <w:t>La etapa II se presentó a la 85</w:t>
            </w:r>
            <w:r w:rsidRPr="00711F19">
              <w:rPr>
                <w:sz w:val="20"/>
                <w:szCs w:val="20"/>
                <w:lang w:val="es-MX"/>
              </w:rPr>
              <w:t>ª reunión y posteriormente se retiró para su presentación después de la terminación de la etapa I</w:t>
            </w:r>
          </w:p>
        </w:tc>
        <w:tc>
          <w:tcPr>
            <w:tcW w:w="396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 xml:space="preserve">Solicitar un informe de situación en la 87ª reunión sobre la presentación de la etapa II </w:t>
            </w:r>
          </w:p>
        </w:tc>
      </w:tr>
      <w:tr w:rsidR="000F2FFB" w:rsidRPr="00711F19"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Iraq</w:t>
            </w:r>
          </w:p>
          <w:p w:rsidR="000F2FFB" w:rsidRPr="00711F19" w:rsidRDefault="000F2FFB" w:rsidP="00D25F3D">
            <w:pPr>
              <w:jc w:val="left"/>
              <w:rPr>
                <w:sz w:val="20"/>
                <w:szCs w:val="20"/>
                <w:lang w:val="es-MX"/>
              </w:rPr>
            </w:pPr>
            <w:r w:rsidRPr="00711F19">
              <w:rPr>
                <w:sz w:val="20"/>
                <w:szCs w:val="20"/>
                <w:lang w:val="es-MX"/>
              </w:rPr>
              <w:t>IRQ/REF/73/PRP/20</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Preparación de actividades de inversión para la eliminación de HCFC (etapa II) (sector de aire acondicionado)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vMerge/>
            <w:tcMar>
              <w:left w:w="72" w:type="dxa"/>
              <w:right w:w="58" w:type="dxa"/>
            </w:tcMar>
            <w:vAlign w:val="center"/>
            <w:hideMark/>
          </w:tcPr>
          <w:p w:rsidR="000F2FFB" w:rsidRPr="00711F19" w:rsidRDefault="000F2FFB" w:rsidP="00D25F3D">
            <w:pPr>
              <w:jc w:val="left"/>
              <w:rPr>
                <w:sz w:val="20"/>
                <w:szCs w:val="20"/>
                <w:lang w:val="es-MX" w:eastAsia="en-CA"/>
              </w:rPr>
            </w:pPr>
          </w:p>
        </w:tc>
        <w:tc>
          <w:tcPr>
            <w:tcW w:w="3967" w:type="dxa"/>
            <w:vMerge/>
            <w:tcMar>
              <w:left w:w="72" w:type="dxa"/>
              <w:right w:w="58" w:type="dxa"/>
            </w:tcMar>
            <w:vAlign w:val="center"/>
            <w:hideMark/>
          </w:tcPr>
          <w:p w:rsidR="000F2FFB" w:rsidRPr="00711F19" w:rsidRDefault="000F2FFB" w:rsidP="00D25F3D">
            <w:pPr>
              <w:jc w:val="left"/>
              <w:rPr>
                <w:sz w:val="20"/>
                <w:szCs w:val="20"/>
                <w:lang w:val="es-MX" w:eastAsia="en-CA"/>
              </w:rPr>
            </w:pP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lastRenderedPageBreak/>
              <w:t>Iraq</w:t>
            </w:r>
          </w:p>
          <w:p w:rsidR="000F2FFB" w:rsidRPr="00711F19" w:rsidRDefault="000F2FFB" w:rsidP="00D25F3D">
            <w:pPr>
              <w:jc w:val="left"/>
              <w:rPr>
                <w:sz w:val="20"/>
                <w:szCs w:val="20"/>
                <w:lang w:val="es-MX"/>
              </w:rPr>
            </w:pPr>
            <w:r w:rsidRPr="00711F19">
              <w:rPr>
                <w:sz w:val="20"/>
                <w:szCs w:val="20"/>
                <w:lang w:val="es-MX"/>
              </w:rPr>
              <w:t>IRQ/PHA/74/INV/23</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segundo tramo) (sector de servicio y mantenimiento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19</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Pedir a la ONUDI que informe en la 87ª reunión sobre este proyecto con demoras en la ejecución </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Jordania</w:t>
            </w:r>
          </w:p>
          <w:p w:rsidR="000F2FFB" w:rsidRPr="00711F19" w:rsidRDefault="000F2FFB" w:rsidP="00D25F3D">
            <w:pPr>
              <w:jc w:val="left"/>
              <w:rPr>
                <w:sz w:val="20"/>
                <w:szCs w:val="20"/>
                <w:lang w:val="es-MX"/>
              </w:rPr>
            </w:pPr>
            <w:r w:rsidRPr="00711F19">
              <w:rPr>
                <w:sz w:val="20"/>
                <w:szCs w:val="20"/>
                <w:lang w:val="es-MX"/>
              </w:rPr>
              <w:t>JOR/PHA/77/INV/100</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 (sector de espumas para pulverización de poliuretano)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64</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Jordania</w:t>
            </w:r>
          </w:p>
          <w:p w:rsidR="000F2FFB" w:rsidRPr="00711F19" w:rsidRDefault="000F2FFB" w:rsidP="00D25F3D">
            <w:pPr>
              <w:jc w:val="left"/>
              <w:rPr>
                <w:sz w:val="20"/>
                <w:szCs w:val="20"/>
                <w:lang w:val="es-MX"/>
              </w:rPr>
            </w:pPr>
            <w:r w:rsidRPr="00711F19">
              <w:rPr>
                <w:sz w:val="20"/>
                <w:szCs w:val="20"/>
                <w:lang w:val="es-MX"/>
              </w:rPr>
              <w:t>JOR/PHA/77/INV/101</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 (sector de servicios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30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Kuwait</w:t>
            </w:r>
          </w:p>
          <w:p w:rsidR="000F2FFB" w:rsidRPr="00711F19" w:rsidRDefault="000F2FFB" w:rsidP="00D25F3D">
            <w:pPr>
              <w:jc w:val="left"/>
              <w:rPr>
                <w:sz w:val="20"/>
                <w:szCs w:val="20"/>
                <w:lang w:val="es-MX"/>
              </w:rPr>
            </w:pPr>
            <w:r w:rsidRPr="00711F19">
              <w:rPr>
                <w:sz w:val="20"/>
                <w:szCs w:val="20"/>
                <w:lang w:val="es-MX"/>
              </w:rPr>
              <w:t>KUW/PHA/66/INV/21</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Plan de gestión de eliminación de los HCFC (etapa I, primer tramo) (eliminación sectorial de espumas de poliuretano extruido: </w:t>
            </w:r>
            <w:proofErr w:type="spellStart"/>
            <w:r w:rsidRPr="00711F19">
              <w:rPr>
                <w:sz w:val="20"/>
                <w:szCs w:val="20"/>
                <w:lang w:val="es-MX"/>
              </w:rPr>
              <w:t>Gulf</w:t>
            </w:r>
            <w:proofErr w:type="spellEnd"/>
            <w:r w:rsidRPr="00711F19">
              <w:rPr>
                <w:sz w:val="20"/>
                <w:szCs w:val="20"/>
                <w:lang w:val="es-MX"/>
              </w:rPr>
              <w:t xml:space="preserve"> </w:t>
            </w:r>
            <w:proofErr w:type="spellStart"/>
            <w:r w:rsidRPr="00711F19">
              <w:rPr>
                <w:sz w:val="20"/>
                <w:szCs w:val="20"/>
                <w:lang w:val="es-MX"/>
              </w:rPr>
              <w:t>Insulating</w:t>
            </w:r>
            <w:proofErr w:type="spellEnd"/>
            <w:r w:rsidRPr="00711F19">
              <w:rPr>
                <w:sz w:val="20"/>
                <w:szCs w:val="20"/>
                <w:lang w:val="es-MX"/>
              </w:rPr>
              <w:t xml:space="preserve"> </w:t>
            </w:r>
            <w:proofErr w:type="spellStart"/>
            <w:r w:rsidRPr="00711F19">
              <w:rPr>
                <w:sz w:val="20"/>
                <w:szCs w:val="20"/>
                <w:lang w:val="es-MX"/>
              </w:rPr>
              <w:t>Materials</w:t>
            </w:r>
            <w:proofErr w:type="spellEnd"/>
            <w:r w:rsidRPr="00711F19">
              <w:rPr>
                <w:sz w:val="20"/>
                <w:szCs w:val="20"/>
                <w:lang w:val="es-MX"/>
              </w:rPr>
              <w:t xml:space="preserve"> </w:t>
            </w:r>
            <w:proofErr w:type="spellStart"/>
            <w:r w:rsidRPr="00711F19">
              <w:rPr>
                <w:sz w:val="20"/>
                <w:szCs w:val="20"/>
                <w:lang w:val="es-MX"/>
              </w:rPr>
              <w:t>Manufacturing</w:t>
            </w:r>
            <w:proofErr w:type="spellEnd"/>
            <w:r w:rsidRPr="00711F19">
              <w:rPr>
                <w:sz w:val="20"/>
                <w:szCs w:val="20"/>
                <w:lang w:val="es-MX"/>
              </w:rPr>
              <w:t xml:space="preserve"> and Trading, </w:t>
            </w:r>
            <w:proofErr w:type="spellStart"/>
            <w:r w:rsidRPr="00711F19">
              <w:rPr>
                <w:sz w:val="20"/>
                <w:szCs w:val="20"/>
                <w:lang w:val="es-MX"/>
              </w:rPr>
              <w:t>Isofoam</w:t>
            </w:r>
            <w:proofErr w:type="spellEnd"/>
            <w:r w:rsidRPr="00711F19">
              <w:rPr>
                <w:sz w:val="20"/>
                <w:szCs w:val="20"/>
                <w:lang w:val="es-MX"/>
              </w:rPr>
              <w:t xml:space="preserve"> </w:t>
            </w:r>
            <w:proofErr w:type="spellStart"/>
            <w:r w:rsidRPr="00711F19">
              <w:rPr>
                <w:sz w:val="20"/>
                <w:szCs w:val="20"/>
                <w:lang w:val="es-MX"/>
              </w:rPr>
              <w:t>Insulating</w:t>
            </w:r>
            <w:proofErr w:type="spellEnd"/>
            <w:r w:rsidRPr="00711F19">
              <w:rPr>
                <w:sz w:val="20"/>
                <w:szCs w:val="20"/>
                <w:lang w:val="es-MX"/>
              </w:rPr>
              <w:t xml:space="preserve"> </w:t>
            </w:r>
            <w:proofErr w:type="spellStart"/>
            <w:r w:rsidRPr="00711F19">
              <w:rPr>
                <w:sz w:val="20"/>
                <w:szCs w:val="20"/>
                <w:lang w:val="es-MX"/>
              </w:rPr>
              <w:t>Materials</w:t>
            </w:r>
            <w:proofErr w:type="spellEnd"/>
            <w:r w:rsidRPr="00711F19">
              <w:rPr>
                <w:sz w:val="20"/>
                <w:szCs w:val="20"/>
                <w:lang w:val="es-MX"/>
              </w:rPr>
              <w:t xml:space="preserve"> </w:t>
            </w:r>
            <w:proofErr w:type="spellStart"/>
            <w:r w:rsidRPr="00711F19">
              <w:rPr>
                <w:sz w:val="20"/>
                <w:szCs w:val="20"/>
                <w:lang w:val="es-MX"/>
              </w:rPr>
              <w:t>Plants</w:t>
            </w:r>
            <w:proofErr w:type="spellEnd"/>
            <w:r w:rsidRPr="00711F19">
              <w:rPr>
                <w:sz w:val="20"/>
                <w:szCs w:val="20"/>
                <w:lang w:val="es-MX"/>
              </w:rPr>
              <w:t xml:space="preserve">, y Al </w:t>
            </w:r>
            <w:proofErr w:type="spellStart"/>
            <w:r w:rsidRPr="00711F19">
              <w:rPr>
                <w:sz w:val="20"/>
                <w:szCs w:val="20"/>
                <w:lang w:val="es-MX"/>
              </w:rPr>
              <w:t>Masaha</w:t>
            </w:r>
            <w:proofErr w:type="spellEnd"/>
            <w:r w:rsidRPr="00711F19">
              <w:rPr>
                <w:sz w:val="20"/>
                <w:szCs w:val="20"/>
                <w:lang w:val="es-MX"/>
              </w:rPr>
              <w:t xml:space="preserve"> Company)</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87</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Kuwait</w:t>
            </w:r>
          </w:p>
          <w:p w:rsidR="000F2FFB" w:rsidRPr="00711F19" w:rsidRDefault="000F2FFB" w:rsidP="00D25F3D">
            <w:pPr>
              <w:jc w:val="left"/>
              <w:rPr>
                <w:sz w:val="20"/>
                <w:szCs w:val="20"/>
                <w:lang w:val="es-MX"/>
              </w:rPr>
            </w:pPr>
            <w:r w:rsidRPr="00711F19">
              <w:rPr>
                <w:sz w:val="20"/>
                <w:szCs w:val="20"/>
                <w:lang w:val="es-MX"/>
              </w:rPr>
              <w:t>KUW/PHA/74/INV/24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Plan de gestión de eliminación de los HCFC (etapa I, segundo tramo) (eliminación sectorial de espumas de poliuretano: Kuwait </w:t>
            </w:r>
            <w:proofErr w:type="spellStart"/>
            <w:r w:rsidRPr="00711F19">
              <w:rPr>
                <w:sz w:val="20"/>
                <w:szCs w:val="20"/>
                <w:lang w:val="es-MX"/>
              </w:rPr>
              <w:t>polyurethane</w:t>
            </w:r>
            <w:proofErr w:type="spellEnd"/>
            <w:r w:rsidRPr="00711F19">
              <w:rPr>
                <w:sz w:val="20"/>
                <w:szCs w:val="20"/>
                <w:lang w:val="es-MX"/>
              </w:rPr>
              <w:t xml:space="preserve"> </w:t>
            </w:r>
            <w:proofErr w:type="spellStart"/>
            <w:r w:rsidRPr="00711F19">
              <w:rPr>
                <w:sz w:val="20"/>
                <w:szCs w:val="20"/>
                <w:lang w:val="es-MX"/>
              </w:rPr>
              <w:t>Industry</w:t>
            </w:r>
            <w:proofErr w:type="spellEnd"/>
            <w:r w:rsidRPr="00711F19">
              <w:rPr>
                <w:sz w:val="20"/>
                <w:szCs w:val="20"/>
                <w:lang w:val="es-MX"/>
              </w:rPr>
              <w:t xml:space="preserve"> Co.; </w:t>
            </w:r>
            <w:proofErr w:type="spellStart"/>
            <w:r w:rsidRPr="00711F19">
              <w:rPr>
                <w:sz w:val="20"/>
                <w:szCs w:val="20"/>
                <w:lang w:val="es-MX"/>
              </w:rPr>
              <w:t>Kirby</w:t>
            </w:r>
            <w:proofErr w:type="spellEnd"/>
            <w:r w:rsidRPr="00711F19">
              <w:rPr>
                <w:sz w:val="20"/>
                <w:szCs w:val="20"/>
                <w:lang w:val="es-MX"/>
              </w:rPr>
              <w:t xml:space="preserve"> </w:t>
            </w:r>
            <w:proofErr w:type="spellStart"/>
            <w:r w:rsidRPr="00711F19">
              <w:rPr>
                <w:sz w:val="20"/>
                <w:szCs w:val="20"/>
                <w:lang w:val="es-MX"/>
              </w:rPr>
              <w:t>Building</w:t>
            </w:r>
            <w:proofErr w:type="spellEnd"/>
            <w:r w:rsidRPr="00711F19">
              <w:rPr>
                <w:sz w:val="20"/>
                <w:szCs w:val="20"/>
                <w:lang w:val="es-MX"/>
              </w:rPr>
              <w:t xml:space="preserve"> </w:t>
            </w:r>
            <w:proofErr w:type="spellStart"/>
            <w:r w:rsidRPr="00711F19">
              <w:rPr>
                <w:sz w:val="20"/>
                <w:szCs w:val="20"/>
                <w:lang w:val="es-MX"/>
              </w:rPr>
              <w:t>Systems</w:t>
            </w:r>
            <w:proofErr w:type="spellEnd"/>
            <w:r w:rsidRPr="00711F19">
              <w:rPr>
                <w:sz w:val="20"/>
                <w:szCs w:val="20"/>
                <w:lang w:val="es-MX"/>
              </w:rPr>
              <w:t>, asistencia técnica a usuarios de espumas para pulverización y otros pequeños usuarios)</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1</w:t>
            </w:r>
          </w:p>
        </w:tc>
        <w:tc>
          <w:tcPr>
            <w:tcW w:w="340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(i) 12 meses de demoras;</w:t>
            </w:r>
          </w:p>
          <w:p w:rsidR="000F2FFB" w:rsidRPr="00711F19" w:rsidRDefault="000F2FFB" w:rsidP="00D25F3D">
            <w:pPr>
              <w:jc w:val="left"/>
              <w:rPr>
                <w:sz w:val="20"/>
                <w:szCs w:val="20"/>
                <w:lang w:val="es-MX"/>
              </w:rPr>
            </w:pPr>
            <w:r w:rsidRPr="00711F19">
              <w:rPr>
                <w:sz w:val="20"/>
                <w:szCs w:val="20"/>
                <w:lang w:val="es-MX"/>
              </w:rPr>
              <w:t>(ii) Actividades relacionadas con la instalación y la puesta en marcha de equipos retrasadas debido a las restricciones del COVID-19</w:t>
            </w:r>
          </w:p>
        </w:tc>
        <w:tc>
          <w:tcPr>
            <w:tcW w:w="396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(i) Pedir a la ONUDI que informe en la 87ª reunión sobre estos proyectos con demoras en la ejecución;</w:t>
            </w:r>
          </w:p>
          <w:p w:rsidR="000F2FFB" w:rsidRPr="00711F19" w:rsidRDefault="000F2FFB" w:rsidP="00D25F3D">
            <w:pPr>
              <w:jc w:val="left"/>
              <w:rPr>
                <w:sz w:val="20"/>
                <w:szCs w:val="20"/>
                <w:lang w:val="es-MX"/>
              </w:rPr>
            </w:pPr>
            <w:r w:rsidRPr="00711F19">
              <w:rPr>
                <w:sz w:val="20"/>
                <w:szCs w:val="20"/>
                <w:lang w:val="es-MX"/>
              </w:rPr>
              <w:t>(ii) Solicitar un informe de situación en la reunión 87ª sobre el avance de la ejecución y el nivel de desembolso de los fondos</w:t>
            </w:r>
          </w:p>
        </w:tc>
      </w:tr>
      <w:tr w:rsidR="000F2FFB" w:rsidRPr="00711F19"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Kuwait</w:t>
            </w:r>
          </w:p>
          <w:p w:rsidR="000F2FFB" w:rsidRPr="00711F19" w:rsidRDefault="000F2FFB" w:rsidP="00D25F3D">
            <w:pPr>
              <w:jc w:val="left"/>
              <w:rPr>
                <w:sz w:val="20"/>
                <w:szCs w:val="20"/>
                <w:lang w:val="es-MX"/>
              </w:rPr>
            </w:pPr>
            <w:r w:rsidRPr="00711F19">
              <w:rPr>
                <w:sz w:val="20"/>
                <w:szCs w:val="20"/>
                <w:lang w:val="es-MX"/>
              </w:rPr>
              <w:t>KUW/PHA/74/INV/25</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Plan de gestión de eliminación de los HCFC (etapa I, segundo tramo) (eliminación sectorial de espumas de poliuretano extruido: </w:t>
            </w:r>
            <w:proofErr w:type="spellStart"/>
            <w:r w:rsidRPr="00711F19">
              <w:rPr>
                <w:sz w:val="20"/>
                <w:szCs w:val="20"/>
                <w:lang w:val="es-MX"/>
              </w:rPr>
              <w:t>Gulf</w:t>
            </w:r>
            <w:proofErr w:type="spellEnd"/>
            <w:r w:rsidRPr="00711F19">
              <w:rPr>
                <w:sz w:val="20"/>
                <w:szCs w:val="20"/>
                <w:lang w:val="es-MX"/>
              </w:rPr>
              <w:t xml:space="preserve"> </w:t>
            </w:r>
            <w:proofErr w:type="spellStart"/>
            <w:r w:rsidRPr="00711F19">
              <w:rPr>
                <w:sz w:val="20"/>
                <w:szCs w:val="20"/>
                <w:lang w:val="es-MX"/>
              </w:rPr>
              <w:t>Insulating</w:t>
            </w:r>
            <w:proofErr w:type="spellEnd"/>
            <w:r w:rsidRPr="00711F19">
              <w:rPr>
                <w:sz w:val="20"/>
                <w:szCs w:val="20"/>
                <w:lang w:val="es-MX"/>
              </w:rPr>
              <w:t xml:space="preserve"> </w:t>
            </w:r>
            <w:proofErr w:type="spellStart"/>
            <w:r w:rsidRPr="00711F19">
              <w:rPr>
                <w:sz w:val="20"/>
                <w:szCs w:val="20"/>
                <w:lang w:val="es-MX"/>
              </w:rPr>
              <w:t>Materials</w:t>
            </w:r>
            <w:proofErr w:type="spellEnd"/>
            <w:r w:rsidRPr="00711F19">
              <w:rPr>
                <w:sz w:val="20"/>
                <w:szCs w:val="20"/>
                <w:lang w:val="es-MX"/>
              </w:rPr>
              <w:t xml:space="preserve"> </w:t>
            </w:r>
            <w:proofErr w:type="spellStart"/>
            <w:r w:rsidRPr="00711F19">
              <w:rPr>
                <w:sz w:val="20"/>
                <w:szCs w:val="20"/>
                <w:lang w:val="es-MX"/>
              </w:rPr>
              <w:t>Manufacturing</w:t>
            </w:r>
            <w:proofErr w:type="spellEnd"/>
            <w:r w:rsidRPr="00711F19">
              <w:rPr>
                <w:sz w:val="20"/>
                <w:szCs w:val="20"/>
                <w:lang w:val="es-MX"/>
              </w:rPr>
              <w:t xml:space="preserve"> and Trading, </w:t>
            </w:r>
            <w:proofErr w:type="spellStart"/>
            <w:r w:rsidRPr="00711F19">
              <w:rPr>
                <w:sz w:val="20"/>
                <w:szCs w:val="20"/>
                <w:lang w:val="es-MX"/>
              </w:rPr>
              <w:t>Isofoam</w:t>
            </w:r>
            <w:proofErr w:type="spellEnd"/>
            <w:r w:rsidRPr="00711F19">
              <w:rPr>
                <w:sz w:val="20"/>
                <w:szCs w:val="20"/>
                <w:lang w:val="es-MX"/>
              </w:rPr>
              <w:t xml:space="preserve"> </w:t>
            </w:r>
            <w:proofErr w:type="spellStart"/>
            <w:r w:rsidRPr="00711F19">
              <w:rPr>
                <w:sz w:val="20"/>
                <w:szCs w:val="20"/>
                <w:lang w:val="es-MX"/>
              </w:rPr>
              <w:t>Insulating</w:t>
            </w:r>
            <w:proofErr w:type="spellEnd"/>
            <w:r w:rsidRPr="00711F19">
              <w:rPr>
                <w:sz w:val="20"/>
                <w:szCs w:val="20"/>
                <w:lang w:val="es-MX"/>
              </w:rPr>
              <w:t xml:space="preserve"> </w:t>
            </w:r>
            <w:proofErr w:type="spellStart"/>
            <w:r w:rsidRPr="00711F19">
              <w:rPr>
                <w:sz w:val="20"/>
                <w:szCs w:val="20"/>
                <w:lang w:val="es-MX"/>
              </w:rPr>
              <w:t>Materials</w:t>
            </w:r>
            <w:proofErr w:type="spellEnd"/>
            <w:r w:rsidRPr="00711F19">
              <w:rPr>
                <w:sz w:val="20"/>
                <w:szCs w:val="20"/>
                <w:lang w:val="es-MX"/>
              </w:rPr>
              <w:t xml:space="preserve"> </w:t>
            </w:r>
            <w:proofErr w:type="spellStart"/>
            <w:r w:rsidRPr="00711F19">
              <w:rPr>
                <w:sz w:val="20"/>
                <w:szCs w:val="20"/>
                <w:lang w:val="es-MX"/>
              </w:rPr>
              <w:t>Plants</w:t>
            </w:r>
            <w:proofErr w:type="spellEnd"/>
            <w:r w:rsidRPr="00711F19">
              <w:rPr>
                <w:sz w:val="20"/>
                <w:szCs w:val="20"/>
                <w:lang w:val="es-MX"/>
              </w:rPr>
              <w:t xml:space="preserve">, y Al </w:t>
            </w:r>
            <w:proofErr w:type="spellStart"/>
            <w:r w:rsidRPr="00711F19">
              <w:rPr>
                <w:sz w:val="20"/>
                <w:szCs w:val="20"/>
                <w:lang w:val="es-MX"/>
              </w:rPr>
              <w:t>Masaha</w:t>
            </w:r>
            <w:proofErr w:type="spellEnd"/>
            <w:r w:rsidRPr="00711F19">
              <w:rPr>
                <w:sz w:val="20"/>
                <w:szCs w:val="20"/>
                <w:lang w:val="es-MX"/>
              </w:rPr>
              <w:t xml:space="preserve"> Company)</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1</w:t>
            </w:r>
          </w:p>
        </w:tc>
        <w:tc>
          <w:tcPr>
            <w:tcW w:w="3407" w:type="dxa"/>
            <w:vMerge/>
            <w:tcMar>
              <w:left w:w="72" w:type="dxa"/>
              <w:right w:w="58" w:type="dxa"/>
            </w:tcMar>
            <w:vAlign w:val="center"/>
            <w:hideMark/>
          </w:tcPr>
          <w:p w:rsidR="000F2FFB" w:rsidRPr="00711F19" w:rsidRDefault="000F2FFB" w:rsidP="00D25F3D">
            <w:pPr>
              <w:jc w:val="left"/>
              <w:rPr>
                <w:sz w:val="20"/>
                <w:szCs w:val="20"/>
                <w:lang w:val="es-MX" w:eastAsia="en-CA"/>
              </w:rPr>
            </w:pPr>
          </w:p>
        </w:tc>
        <w:tc>
          <w:tcPr>
            <w:tcW w:w="3967" w:type="dxa"/>
            <w:vMerge/>
            <w:tcMar>
              <w:left w:w="72" w:type="dxa"/>
              <w:right w:w="58" w:type="dxa"/>
            </w:tcMar>
            <w:vAlign w:val="center"/>
            <w:hideMark/>
          </w:tcPr>
          <w:p w:rsidR="000F2FFB" w:rsidRPr="00711F19" w:rsidRDefault="000F2FFB" w:rsidP="00D25F3D">
            <w:pPr>
              <w:jc w:val="left"/>
              <w:rPr>
                <w:sz w:val="20"/>
                <w:szCs w:val="20"/>
                <w:lang w:val="es-MX" w:eastAsia="en-CA"/>
              </w:rPr>
            </w:pP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Kuwait</w:t>
            </w:r>
          </w:p>
          <w:p w:rsidR="000F2FFB" w:rsidRPr="00711F19" w:rsidRDefault="000F2FFB" w:rsidP="00D25F3D">
            <w:pPr>
              <w:jc w:val="left"/>
              <w:rPr>
                <w:sz w:val="20"/>
                <w:szCs w:val="20"/>
                <w:lang w:val="es-MX"/>
              </w:rPr>
            </w:pPr>
            <w:r w:rsidRPr="00711F19">
              <w:rPr>
                <w:sz w:val="20"/>
                <w:szCs w:val="20"/>
                <w:lang w:val="es-MX"/>
              </w:rPr>
              <w:t>KUW/PHA/83/INV/36</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 (eliminación sectorial de espumas de poliuretano)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Se retrasó la ejecución debido a las restricciones del COVID-19; se espera que comience en septiembre de 2020</w:t>
            </w:r>
          </w:p>
        </w:tc>
        <w:tc>
          <w:tcPr>
            <w:tcW w:w="396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Solicitar un informe de situación en la reunión 87ª sobre el avance de la ejecución y el nivel de desembolso de los fondos</w:t>
            </w:r>
          </w:p>
        </w:tc>
      </w:tr>
      <w:tr w:rsidR="000F2FFB" w:rsidRPr="00711F19"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lastRenderedPageBreak/>
              <w:t>Kuwait</w:t>
            </w:r>
          </w:p>
          <w:p w:rsidR="000F2FFB" w:rsidRPr="00711F19" w:rsidRDefault="000F2FFB" w:rsidP="00D25F3D">
            <w:pPr>
              <w:jc w:val="left"/>
              <w:rPr>
                <w:sz w:val="20"/>
                <w:szCs w:val="20"/>
                <w:lang w:val="es-MX"/>
              </w:rPr>
            </w:pPr>
            <w:r w:rsidRPr="00711F19">
              <w:rPr>
                <w:sz w:val="20"/>
                <w:szCs w:val="20"/>
                <w:lang w:val="es-MX"/>
              </w:rPr>
              <w:t>KUW/PHA/83/TAS/35</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 (eliminación sectorial de espumas de poliuretano extruido)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vMerge/>
            <w:tcMar>
              <w:left w:w="72" w:type="dxa"/>
              <w:right w:w="58" w:type="dxa"/>
            </w:tcMar>
            <w:vAlign w:val="center"/>
            <w:hideMark/>
          </w:tcPr>
          <w:p w:rsidR="000F2FFB" w:rsidRPr="00711F19" w:rsidRDefault="000F2FFB" w:rsidP="00D25F3D">
            <w:pPr>
              <w:jc w:val="left"/>
              <w:rPr>
                <w:sz w:val="20"/>
                <w:szCs w:val="20"/>
                <w:lang w:val="es-MX" w:eastAsia="en-CA"/>
              </w:rPr>
            </w:pPr>
          </w:p>
        </w:tc>
        <w:tc>
          <w:tcPr>
            <w:tcW w:w="3967" w:type="dxa"/>
            <w:vMerge/>
            <w:tcMar>
              <w:left w:w="72" w:type="dxa"/>
              <w:right w:w="58" w:type="dxa"/>
            </w:tcMar>
            <w:vAlign w:val="center"/>
            <w:hideMark/>
          </w:tcPr>
          <w:p w:rsidR="000F2FFB" w:rsidRPr="00711F19" w:rsidRDefault="000F2FFB" w:rsidP="00D25F3D">
            <w:pPr>
              <w:jc w:val="left"/>
              <w:rPr>
                <w:sz w:val="20"/>
                <w:szCs w:val="20"/>
                <w:lang w:val="es-MX" w:eastAsia="en-CA"/>
              </w:rPr>
            </w:pP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lastRenderedPageBreak/>
              <w:t>Kuwait</w:t>
            </w:r>
          </w:p>
          <w:p w:rsidR="000F2FFB" w:rsidRPr="00711F19" w:rsidRDefault="000F2FFB" w:rsidP="00D25F3D">
            <w:pPr>
              <w:jc w:val="left"/>
              <w:rPr>
                <w:sz w:val="20"/>
                <w:szCs w:val="20"/>
                <w:lang w:val="es-MX"/>
              </w:rPr>
            </w:pPr>
            <w:r w:rsidRPr="00711F19">
              <w:rPr>
                <w:sz w:val="20"/>
                <w:szCs w:val="20"/>
                <w:lang w:val="es-MX"/>
              </w:rPr>
              <w:t>KUW/PHA/83/TAS/37</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 (sector de servicio y mantenimiento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Actividades que incluyen el proceso de licitación para los equipos del centro de regeneración retrasadas debido a las restricciones del COVID-19</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Solicitar un informe de situación en la reunión 87ª sobre el avance de la ejecución y el nivel de desembolso de los fondos</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Libia</w:t>
            </w:r>
          </w:p>
          <w:p w:rsidR="000F2FFB" w:rsidRPr="00711F19" w:rsidRDefault="000F2FFB" w:rsidP="00D25F3D">
            <w:pPr>
              <w:jc w:val="left"/>
              <w:rPr>
                <w:sz w:val="20"/>
                <w:szCs w:val="20"/>
                <w:lang w:val="es-MX"/>
              </w:rPr>
            </w:pPr>
            <w:r w:rsidRPr="00711F19">
              <w:rPr>
                <w:sz w:val="20"/>
                <w:szCs w:val="20"/>
                <w:lang w:val="es-MX"/>
              </w:rPr>
              <w:t>LIB/FOA/82/PRP/41</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Preparación de actividades de inversión para la eliminación de los HCFC (etapa II) (sector de espumas)</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6</w:t>
            </w:r>
          </w:p>
        </w:tc>
        <w:tc>
          <w:tcPr>
            <w:tcW w:w="340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Ejecución lenta debida a la situación política del país</w:t>
            </w:r>
          </w:p>
        </w:tc>
        <w:tc>
          <w:tcPr>
            <w:tcW w:w="396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Solicitar un informe de situación en la 87ª reunión sobre la presentación de la etapa II</w:t>
            </w:r>
          </w:p>
        </w:tc>
      </w:tr>
      <w:tr w:rsidR="000F2FFB" w:rsidRPr="00711F19"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Libia</w:t>
            </w:r>
          </w:p>
          <w:p w:rsidR="000F2FFB" w:rsidRPr="00711F19" w:rsidRDefault="000F2FFB" w:rsidP="00D25F3D">
            <w:pPr>
              <w:jc w:val="left"/>
              <w:rPr>
                <w:sz w:val="20"/>
                <w:szCs w:val="20"/>
                <w:lang w:val="es-MX"/>
              </w:rPr>
            </w:pPr>
            <w:r w:rsidRPr="00711F19">
              <w:rPr>
                <w:sz w:val="20"/>
                <w:szCs w:val="20"/>
                <w:lang w:val="es-MX"/>
              </w:rPr>
              <w:t>LIB/PHA/82/PRP/43</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Preparación de un plan de gestión de eliminación de los HCFC (etapa II)</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vMerge/>
            <w:tcMar>
              <w:left w:w="72" w:type="dxa"/>
              <w:right w:w="58" w:type="dxa"/>
            </w:tcMar>
            <w:vAlign w:val="center"/>
            <w:hideMark/>
          </w:tcPr>
          <w:p w:rsidR="000F2FFB" w:rsidRPr="00711F19" w:rsidRDefault="000F2FFB" w:rsidP="00D25F3D">
            <w:pPr>
              <w:jc w:val="left"/>
              <w:rPr>
                <w:sz w:val="20"/>
                <w:szCs w:val="20"/>
                <w:lang w:val="es-MX" w:eastAsia="en-CA"/>
              </w:rPr>
            </w:pPr>
          </w:p>
        </w:tc>
        <w:tc>
          <w:tcPr>
            <w:tcW w:w="3967" w:type="dxa"/>
            <w:vMerge/>
            <w:tcMar>
              <w:left w:w="72" w:type="dxa"/>
              <w:right w:w="58" w:type="dxa"/>
            </w:tcMar>
            <w:vAlign w:val="center"/>
            <w:hideMark/>
          </w:tcPr>
          <w:p w:rsidR="000F2FFB" w:rsidRPr="00711F19" w:rsidRDefault="000F2FFB" w:rsidP="00D25F3D">
            <w:pPr>
              <w:jc w:val="left"/>
              <w:rPr>
                <w:sz w:val="20"/>
                <w:szCs w:val="20"/>
                <w:lang w:val="es-MX" w:eastAsia="en-CA"/>
              </w:rPr>
            </w:pP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Libia</w:t>
            </w:r>
          </w:p>
          <w:p w:rsidR="000F2FFB" w:rsidRPr="00711F19" w:rsidRDefault="000F2FFB" w:rsidP="00D25F3D">
            <w:pPr>
              <w:jc w:val="left"/>
              <w:rPr>
                <w:sz w:val="20"/>
                <w:szCs w:val="20"/>
                <w:lang w:val="es-MX"/>
              </w:rPr>
            </w:pPr>
            <w:r w:rsidRPr="00711F19">
              <w:rPr>
                <w:sz w:val="20"/>
                <w:szCs w:val="20"/>
                <w:lang w:val="es-MX"/>
              </w:rPr>
              <w:t>LIB/PHA/75/INV/36</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primer tramo) (sector de espumas)</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71</w:t>
            </w:r>
          </w:p>
        </w:tc>
        <w:tc>
          <w:tcPr>
            <w:tcW w:w="340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 xml:space="preserve">(i) 12 meses de demoras </w:t>
            </w:r>
          </w:p>
          <w:p w:rsidR="000F2FFB" w:rsidRPr="00711F19" w:rsidRDefault="000F2FFB" w:rsidP="00D25F3D">
            <w:pPr>
              <w:jc w:val="left"/>
              <w:rPr>
                <w:sz w:val="20"/>
                <w:szCs w:val="20"/>
                <w:lang w:val="es-MX"/>
              </w:rPr>
            </w:pPr>
            <w:r w:rsidRPr="00711F19">
              <w:rPr>
                <w:sz w:val="20"/>
                <w:szCs w:val="20"/>
                <w:lang w:val="es-MX"/>
              </w:rPr>
              <w:t>(ii) Ejecución lenta debida a la situación política del país</w:t>
            </w:r>
          </w:p>
        </w:tc>
        <w:tc>
          <w:tcPr>
            <w:tcW w:w="396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(i) Pedir a la ONUDI que informe en la 87ª reunión sobre estos proyectos con demoras en la ejecución;</w:t>
            </w:r>
          </w:p>
          <w:p w:rsidR="000F2FFB" w:rsidRPr="00711F19" w:rsidRDefault="000F2FFB" w:rsidP="00D25F3D">
            <w:pPr>
              <w:jc w:val="left"/>
              <w:rPr>
                <w:sz w:val="20"/>
                <w:szCs w:val="20"/>
                <w:lang w:val="es-MX"/>
              </w:rPr>
            </w:pPr>
            <w:r w:rsidRPr="00711F19">
              <w:rPr>
                <w:sz w:val="20"/>
                <w:szCs w:val="20"/>
                <w:lang w:val="es-MX"/>
              </w:rPr>
              <w:t>(ii) Solicitar un informe de situación en la 87ª reunión sobre el avance de la ejecución</w:t>
            </w:r>
          </w:p>
        </w:tc>
      </w:tr>
      <w:tr w:rsidR="000F2FFB" w:rsidRPr="00711F19"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Libia</w:t>
            </w:r>
          </w:p>
          <w:p w:rsidR="000F2FFB" w:rsidRPr="00711F19" w:rsidRDefault="000F2FFB" w:rsidP="00D25F3D">
            <w:pPr>
              <w:jc w:val="left"/>
              <w:rPr>
                <w:sz w:val="20"/>
                <w:szCs w:val="20"/>
                <w:lang w:val="es-MX"/>
              </w:rPr>
            </w:pPr>
            <w:r w:rsidRPr="00711F19">
              <w:rPr>
                <w:sz w:val="20"/>
                <w:szCs w:val="20"/>
                <w:lang w:val="es-MX"/>
              </w:rPr>
              <w:t>LIB/PHA/75/INV/37</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primer tramo) (sector de servicios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54</w:t>
            </w:r>
          </w:p>
        </w:tc>
        <w:tc>
          <w:tcPr>
            <w:tcW w:w="3407" w:type="dxa"/>
            <w:vMerge/>
            <w:tcMar>
              <w:left w:w="72" w:type="dxa"/>
              <w:right w:w="58" w:type="dxa"/>
            </w:tcMar>
            <w:vAlign w:val="center"/>
            <w:hideMark/>
          </w:tcPr>
          <w:p w:rsidR="000F2FFB" w:rsidRPr="00711F19" w:rsidRDefault="000F2FFB" w:rsidP="00D25F3D">
            <w:pPr>
              <w:jc w:val="left"/>
              <w:rPr>
                <w:sz w:val="20"/>
                <w:szCs w:val="20"/>
                <w:lang w:val="es-MX" w:eastAsia="en-CA"/>
              </w:rPr>
            </w:pPr>
          </w:p>
        </w:tc>
        <w:tc>
          <w:tcPr>
            <w:tcW w:w="3967" w:type="dxa"/>
            <w:vMerge/>
            <w:tcMar>
              <w:left w:w="72" w:type="dxa"/>
              <w:right w:w="58" w:type="dxa"/>
            </w:tcMar>
            <w:vAlign w:val="center"/>
            <w:hideMark/>
          </w:tcPr>
          <w:p w:rsidR="000F2FFB" w:rsidRPr="00711F19" w:rsidRDefault="000F2FFB" w:rsidP="00D25F3D">
            <w:pPr>
              <w:jc w:val="left"/>
              <w:rPr>
                <w:sz w:val="20"/>
                <w:szCs w:val="20"/>
                <w:lang w:val="es-MX" w:eastAsia="en-CA"/>
              </w:rPr>
            </w:pPr>
          </w:p>
        </w:tc>
      </w:tr>
      <w:tr w:rsidR="000F2FFB" w:rsidRPr="00711F19"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Libia</w:t>
            </w:r>
          </w:p>
          <w:p w:rsidR="000F2FFB" w:rsidRPr="00711F19" w:rsidRDefault="000F2FFB" w:rsidP="00D25F3D">
            <w:pPr>
              <w:jc w:val="left"/>
              <w:rPr>
                <w:sz w:val="20"/>
                <w:szCs w:val="20"/>
                <w:lang w:val="es-MX"/>
              </w:rPr>
            </w:pPr>
            <w:r w:rsidRPr="00711F19">
              <w:rPr>
                <w:sz w:val="20"/>
                <w:szCs w:val="20"/>
                <w:lang w:val="es-MX"/>
              </w:rPr>
              <w:t>LIB/PHA/82/INV/42</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segundo tramo) (sector de servicio y mantenimiento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vMerge/>
            <w:tcMar>
              <w:left w:w="72" w:type="dxa"/>
              <w:right w:w="58" w:type="dxa"/>
            </w:tcMar>
            <w:vAlign w:val="center"/>
            <w:hideMark/>
          </w:tcPr>
          <w:p w:rsidR="000F2FFB" w:rsidRPr="00711F19" w:rsidRDefault="000F2FFB" w:rsidP="00D25F3D">
            <w:pPr>
              <w:jc w:val="left"/>
              <w:rPr>
                <w:sz w:val="20"/>
                <w:szCs w:val="20"/>
                <w:lang w:val="es-MX" w:eastAsia="en-CA"/>
              </w:rPr>
            </w:pPr>
          </w:p>
        </w:tc>
        <w:tc>
          <w:tcPr>
            <w:tcW w:w="3967" w:type="dxa"/>
            <w:vMerge/>
            <w:tcMar>
              <w:left w:w="72" w:type="dxa"/>
              <w:right w:w="58" w:type="dxa"/>
            </w:tcMar>
            <w:vAlign w:val="center"/>
            <w:hideMark/>
          </w:tcPr>
          <w:p w:rsidR="000F2FFB" w:rsidRPr="00711F19" w:rsidRDefault="000F2FFB" w:rsidP="00D25F3D">
            <w:pPr>
              <w:jc w:val="left"/>
              <w:rPr>
                <w:sz w:val="20"/>
                <w:szCs w:val="20"/>
                <w:lang w:val="es-MX" w:eastAsia="en-CA"/>
              </w:rPr>
            </w:pP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México</w:t>
            </w:r>
          </w:p>
          <w:p w:rsidR="000F2FFB" w:rsidRPr="00711F19" w:rsidRDefault="000F2FFB" w:rsidP="00D25F3D">
            <w:pPr>
              <w:jc w:val="left"/>
              <w:rPr>
                <w:sz w:val="20"/>
                <w:szCs w:val="20"/>
                <w:lang w:val="es-MX"/>
              </w:rPr>
            </w:pPr>
            <w:r w:rsidRPr="00711F19">
              <w:rPr>
                <w:sz w:val="20"/>
                <w:szCs w:val="20"/>
                <w:lang w:val="es-MX"/>
              </w:rPr>
              <w:t>MEX/PHA/73/INV/173</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 (eliminación de HCFC-22 y HCFC-141b en disolventes)</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99</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México</w:t>
            </w:r>
          </w:p>
          <w:p w:rsidR="000F2FFB" w:rsidRPr="00711F19" w:rsidRDefault="000F2FFB" w:rsidP="00D25F3D">
            <w:pPr>
              <w:jc w:val="left"/>
              <w:rPr>
                <w:sz w:val="20"/>
                <w:szCs w:val="20"/>
                <w:lang w:val="es-MX"/>
              </w:rPr>
            </w:pPr>
            <w:r w:rsidRPr="00711F19">
              <w:rPr>
                <w:sz w:val="20"/>
                <w:szCs w:val="20"/>
                <w:lang w:val="es-MX"/>
              </w:rPr>
              <w:t>MEX/PHA/73/INV/174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 (eliminación de productos de limpieza en el sector de servicios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94</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México</w:t>
            </w:r>
          </w:p>
          <w:p w:rsidR="000F2FFB" w:rsidRPr="00711F19" w:rsidRDefault="000F2FFB" w:rsidP="00D25F3D">
            <w:pPr>
              <w:jc w:val="left"/>
              <w:rPr>
                <w:sz w:val="20"/>
                <w:szCs w:val="20"/>
                <w:lang w:val="es-MX"/>
              </w:rPr>
            </w:pPr>
            <w:r w:rsidRPr="00711F19">
              <w:rPr>
                <w:sz w:val="20"/>
                <w:szCs w:val="20"/>
                <w:lang w:val="es-MX"/>
              </w:rPr>
              <w:t>MEX/PHA/81/INV/189</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tercer tramo) (sector de servicio y mantenimiento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2</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Acuerdo no firmado </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Solicitar un informe de situación en la 87ª reunión sobre la firma del acuerdo y el avance de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Marruecos</w:t>
            </w:r>
          </w:p>
          <w:p w:rsidR="000F2FFB" w:rsidRPr="00711F19" w:rsidRDefault="000F2FFB" w:rsidP="00D25F3D">
            <w:pPr>
              <w:jc w:val="left"/>
              <w:rPr>
                <w:sz w:val="20"/>
                <w:szCs w:val="20"/>
                <w:lang w:val="es-MX"/>
              </w:rPr>
            </w:pPr>
            <w:r w:rsidRPr="00711F19">
              <w:rPr>
                <w:sz w:val="20"/>
                <w:szCs w:val="20"/>
                <w:lang w:val="es-MX"/>
              </w:rPr>
              <w:t>MOR/PHA/65/INV/68</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primer tramo) (sector de servicios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77</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lastRenderedPageBreak/>
              <w:t>Marruecos</w:t>
            </w:r>
          </w:p>
          <w:p w:rsidR="000F2FFB" w:rsidRPr="00711F19" w:rsidRDefault="000F2FFB" w:rsidP="00D25F3D">
            <w:pPr>
              <w:jc w:val="left"/>
              <w:rPr>
                <w:sz w:val="20"/>
                <w:szCs w:val="20"/>
                <w:lang w:val="es-MX"/>
              </w:rPr>
            </w:pPr>
            <w:r w:rsidRPr="00711F19">
              <w:rPr>
                <w:sz w:val="20"/>
                <w:szCs w:val="20"/>
                <w:lang w:val="es-MX"/>
              </w:rPr>
              <w:t>MOR/PHA/68/INV/69</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segundo tramo) (sector de servicio y mantenimiento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32</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Mozambique</w:t>
            </w:r>
          </w:p>
          <w:p w:rsidR="000F2FFB" w:rsidRPr="00711F19" w:rsidRDefault="000F2FFB" w:rsidP="00D25F3D">
            <w:pPr>
              <w:jc w:val="left"/>
              <w:rPr>
                <w:sz w:val="20"/>
                <w:szCs w:val="20"/>
                <w:lang w:val="es-MX"/>
              </w:rPr>
            </w:pPr>
            <w:r w:rsidRPr="00711F19">
              <w:rPr>
                <w:sz w:val="20"/>
                <w:szCs w:val="20"/>
                <w:lang w:val="es-MX"/>
              </w:rPr>
              <w:t>MOZ/PHA/66/INV/23</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primer tramo)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12</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(i) 12 meses de demoras;</w:t>
            </w:r>
          </w:p>
          <w:p w:rsidR="000F2FFB" w:rsidRPr="00711F19" w:rsidRDefault="000F2FFB" w:rsidP="00D25F3D">
            <w:pPr>
              <w:jc w:val="left"/>
              <w:rPr>
                <w:sz w:val="20"/>
                <w:szCs w:val="20"/>
                <w:lang w:val="es-MX"/>
              </w:rPr>
            </w:pPr>
            <w:r w:rsidRPr="00711F19">
              <w:rPr>
                <w:sz w:val="20"/>
                <w:szCs w:val="20"/>
                <w:lang w:val="es-MX"/>
              </w:rPr>
              <w:t>(ii) Debe recibirse la confirmación de la Dependencia Nacional del Ozono para la adquisición de equipos, que está pendiente desde hace varios meses</w:t>
            </w:r>
          </w:p>
        </w:tc>
        <w:tc>
          <w:tcPr>
            <w:tcW w:w="3967" w:type="dxa"/>
            <w:shd w:val="clear" w:color="auto" w:fill="auto"/>
            <w:tcMar>
              <w:left w:w="72" w:type="dxa"/>
              <w:right w:w="58" w:type="dxa"/>
            </w:tcMar>
            <w:hideMark/>
          </w:tcPr>
          <w:p w:rsidR="000F2FFB" w:rsidRPr="00711F19" w:rsidRDefault="000F2FFB" w:rsidP="00D25F3D">
            <w:pPr>
              <w:jc w:val="left"/>
              <w:rPr>
                <w:bCs/>
                <w:sz w:val="20"/>
                <w:szCs w:val="20"/>
                <w:lang w:val="es-MX"/>
              </w:rPr>
            </w:pPr>
            <w:r w:rsidRPr="00711F19">
              <w:rPr>
                <w:bCs/>
                <w:sz w:val="20"/>
                <w:szCs w:val="20"/>
                <w:lang w:val="es-MX"/>
              </w:rPr>
              <w:t>(i) Pedir a la ONUDI que informe en la 87ª reunión sobre este proyecto con demoras en la ejecución;</w:t>
            </w:r>
          </w:p>
          <w:p w:rsidR="000F2FFB" w:rsidRPr="00711F19" w:rsidRDefault="000F2FFB" w:rsidP="00D25F3D">
            <w:pPr>
              <w:jc w:val="left"/>
              <w:rPr>
                <w:sz w:val="20"/>
                <w:szCs w:val="20"/>
                <w:lang w:val="es-MX"/>
              </w:rPr>
            </w:pPr>
            <w:r w:rsidRPr="00711F19">
              <w:rPr>
                <w:bCs/>
                <w:sz w:val="20"/>
                <w:szCs w:val="20"/>
                <w:lang w:val="es-MX"/>
              </w:rPr>
              <w:t>(ii) Solicitar un informe de situación en la 87</w:t>
            </w:r>
            <w:r w:rsidRPr="00711F19">
              <w:rPr>
                <w:sz w:val="20"/>
                <w:szCs w:val="20"/>
                <w:lang w:val="es-MX"/>
              </w:rPr>
              <w:t>ª reunión sobre la confirmación de la recepción de los equipos por parte del Gobierno</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Mozambique</w:t>
            </w:r>
          </w:p>
          <w:p w:rsidR="000F2FFB" w:rsidRPr="00711F19" w:rsidRDefault="000F2FFB" w:rsidP="00D25F3D">
            <w:pPr>
              <w:jc w:val="left"/>
              <w:rPr>
                <w:sz w:val="20"/>
                <w:szCs w:val="20"/>
                <w:lang w:val="es-MX"/>
              </w:rPr>
            </w:pPr>
            <w:r w:rsidRPr="00711F19">
              <w:rPr>
                <w:sz w:val="20"/>
                <w:szCs w:val="20"/>
                <w:lang w:val="es-MX"/>
              </w:rPr>
              <w:t>MOZ/PHA/83/INV/31</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para la eliminación de los HCFC (etapa I, tercer y cuarto tramos)</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0</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adquisiciones sin terminar, a la espera de que se confirme la recepción de los equipos del primer tramo</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bCs/>
                <w:sz w:val="20"/>
                <w:szCs w:val="20"/>
                <w:lang w:val="es-MX"/>
              </w:rPr>
              <w:t>Solicitar un informe de situación en la 87</w:t>
            </w:r>
            <w:r w:rsidRPr="00711F19">
              <w:rPr>
                <w:sz w:val="20"/>
                <w:szCs w:val="20"/>
                <w:lang w:val="es-MX"/>
              </w:rPr>
              <w:t xml:space="preserve"> reunión sobre el plan de adquisiciones con los fondos aprobados para el tercer y cuarto tramos</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Pakistán</w:t>
            </w:r>
          </w:p>
          <w:p w:rsidR="000F2FFB" w:rsidRPr="00711F19" w:rsidRDefault="000F2FFB" w:rsidP="00D25F3D">
            <w:pPr>
              <w:jc w:val="left"/>
              <w:rPr>
                <w:sz w:val="20"/>
                <w:szCs w:val="20"/>
                <w:lang w:val="es-MX"/>
              </w:rPr>
            </w:pPr>
            <w:r w:rsidRPr="00711F19">
              <w:rPr>
                <w:sz w:val="20"/>
                <w:szCs w:val="20"/>
                <w:lang w:val="es-MX"/>
              </w:rPr>
              <w:t>PAK/PHA/76/INV/94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 (sector de espumas de poliuretano)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28</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Pakistán</w:t>
            </w:r>
          </w:p>
          <w:p w:rsidR="000F2FFB" w:rsidRPr="00711F19" w:rsidRDefault="000F2FFB" w:rsidP="00D25F3D">
            <w:pPr>
              <w:jc w:val="left"/>
              <w:rPr>
                <w:sz w:val="20"/>
                <w:szCs w:val="20"/>
                <w:lang w:val="es-MX"/>
              </w:rPr>
            </w:pPr>
            <w:r w:rsidRPr="00711F19">
              <w:rPr>
                <w:sz w:val="20"/>
                <w:szCs w:val="20"/>
                <w:lang w:val="es-MX"/>
              </w:rPr>
              <w:t>PAK/PHA/76/TAS/95</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 (sector de servicios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7</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Sudáfrica</w:t>
            </w:r>
          </w:p>
          <w:p w:rsidR="000F2FFB" w:rsidRPr="00711F19" w:rsidRDefault="000F2FFB" w:rsidP="00D25F3D">
            <w:pPr>
              <w:jc w:val="left"/>
              <w:rPr>
                <w:sz w:val="20"/>
                <w:szCs w:val="20"/>
                <w:lang w:val="es-MX"/>
              </w:rPr>
            </w:pPr>
            <w:r w:rsidRPr="00711F19">
              <w:rPr>
                <w:sz w:val="20"/>
                <w:szCs w:val="20"/>
                <w:lang w:val="es-MX"/>
              </w:rPr>
              <w:t>SOA/FOA/67/INV/03</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primer tramo) (plan sectorial de espumas de poliuretano)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98</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Sudáfrica</w:t>
            </w:r>
          </w:p>
          <w:p w:rsidR="000F2FFB" w:rsidRPr="00711F19" w:rsidRDefault="000F2FFB" w:rsidP="00D25F3D">
            <w:pPr>
              <w:jc w:val="left"/>
              <w:rPr>
                <w:sz w:val="20"/>
                <w:szCs w:val="20"/>
                <w:lang w:val="es-MX"/>
              </w:rPr>
            </w:pPr>
            <w:r w:rsidRPr="00711F19">
              <w:rPr>
                <w:sz w:val="20"/>
                <w:szCs w:val="20"/>
                <w:lang w:val="es-MX"/>
              </w:rPr>
              <w:t>SOA/PHA/67/TAS/04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primer tramo) (servicio y mantenimiento de equipos de refrigeración, capacitación de aduanas y supervisión)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77</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keepNext/>
              <w:jc w:val="left"/>
              <w:rPr>
                <w:sz w:val="20"/>
                <w:szCs w:val="20"/>
                <w:lang w:val="es-MX"/>
              </w:rPr>
            </w:pPr>
            <w:r w:rsidRPr="00711F19">
              <w:rPr>
                <w:sz w:val="20"/>
                <w:szCs w:val="20"/>
                <w:lang w:val="es-MX"/>
              </w:rPr>
              <w:t>Sudáfrica</w:t>
            </w:r>
          </w:p>
          <w:p w:rsidR="000F2FFB" w:rsidRPr="00711F19" w:rsidRDefault="000F2FFB" w:rsidP="00D25F3D">
            <w:pPr>
              <w:keepNext/>
              <w:jc w:val="left"/>
              <w:rPr>
                <w:sz w:val="20"/>
                <w:szCs w:val="20"/>
                <w:lang w:val="es-MX"/>
              </w:rPr>
            </w:pPr>
            <w:r w:rsidRPr="00711F19">
              <w:rPr>
                <w:sz w:val="20"/>
                <w:szCs w:val="20"/>
                <w:lang w:val="es-MX"/>
              </w:rPr>
              <w:t>SOA/PHA/71/INV/06</w:t>
            </w:r>
          </w:p>
        </w:tc>
        <w:tc>
          <w:tcPr>
            <w:tcW w:w="3371" w:type="dxa"/>
            <w:shd w:val="clear" w:color="auto" w:fill="auto"/>
            <w:tcMar>
              <w:left w:w="72" w:type="dxa"/>
              <w:right w:w="58" w:type="dxa"/>
            </w:tcMar>
            <w:hideMark/>
          </w:tcPr>
          <w:p w:rsidR="000F2FFB" w:rsidRPr="00711F19" w:rsidRDefault="000F2FFB" w:rsidP="00D25F3D">
            <w:pPr>
              <w:keepNext/>
              <w:jc w:val="left"/>
              <w:rPr>
                <w:sz w:val="20"/>
                <w:szCs w:val="20"/>
                <w:lang w:val="es-MX"/>
              </w:rPr>
            </w:pPr>
            <w:r w:rsidRPr="00711F19">
              <w:rPr>
                <w:sz w:val="20"/>
                <w:szCs w:val="20"/>
                <w:lang w:val="es-MX"/>
              </w:rPr>
              <w:t>Plan de gestión de eliminación de los HCFC (etapa I, segundo tramo) (servicio y mantenimiento de equipos de refrigeración, capacitación de aduanas y supervisión)</w:t>
            </w:r>
          </w:p>
        </w:tc>
        <w:tc>
          <w:tcPr>
            <w:tcW w:w="1319" w:type="dxa"/>
            <w:shd w:val="clear" w:color="auto" w:fill="auto"/>
            <w:tcMar>
              <w:left w:w="72" w:type="dxa"/>
              <w:right w:w="58" w:type="dxa"/>
            </w:tcMar>
            <w:hideMark/>
          </w:tcPr>
          <w:p w:rsidR="000F2FFB" w:rsidRPr="00711F19" w:rsidRDefault="000F2FFB" w:rsidP="00D25F3D">
            <w:pPr>
              <w:keepNext/>
              <w:jc w:val="center"/>
              <w:rPr>
                <w:sz w:val="20"/>
                <w:szCs w:val="20"/>
                <w:lang w:val="es-MX"/>
              </w:rPr>
            </w:pPr>
            <w:r w:rsidRPr="00711F19">
              <w:rPr>
                <w:sz w:val="20"/>
                <w:szCs w:val="20"/>
                <w:lang w:val="es-MX"/>
              </w:rPr>
              <w:t>92</w:t>
            </w:r>
          </w:p>
        </w:tc>
        <w:tc>
          <w:tcPr>
            <w:tcW w:w="3407" w:type="dxa"/>
            <w:shd w:val="clear" w:color="auto" w:fill="auto"/>
            <w:tcMar>
              <w:left w:w="72" w:type="dxa"/>
              <w:right w:w="58" w:type="dxa"/>
            </w:tcMar>
            <w:hideMark/>
          </w:tcPr>
          <w:p w:rsidR="000F2FFB" w:rsidRPr="00711F19" w:rsidRDefault="000F2FFB" w:rsidP="00D25F3D">
            <w:pPr>
              <w:keepNext/>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keepNext/>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Sudáfrica</w:t>
            </w:r>
          </w:p>
          <w:p w:rsidR="000F2FFB" w:rsidRPr="00711F19" w:rsidRDefault="000F2FFB" w:rsidP="00D25F3D">
            <w:pPr>
              <w:jc w:val="left"/>
              <w:rPr>
                <w:sz w:val="20"/>
                <w:szCs w:val="20"/>
                <w:lang w:val="es-MX"/>
              </w:rPr>
            </w:pPr>
            <w:r w:rsidRPr="00711F19">
              <w:rPr>
                <w:sz w:val="20"/>
                <w:szCs w:val="20"/>
                <w:lang w:val="es-MX"/>
              </w:rPr>
              <w:t>SOA/PHA/76/INV/10</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tercer tramo) (plan sectorial de espumas de poliuretano)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42</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Sudáfrica</w:t>
            </w:r>
          </w:p>
          <w:p w:rsidR="000F2FFB" w:rsidRPr="00711F19" w:rsidRDefault="000F2FFB" w:rsidP="00D25F3D">
            <w:pPr>
              <w:jc w:val="left"/>
              <w:rPr>
                <w:sz w:val="20"/>
                <w:szCs w:val="20"/>
                <w:lang w:val="es-MX"/>
              </w:rPr>
            </w:pPr>
            <w:r w:rsidRPr="00711F19">
              <w:rPr>
                <w:sz w:val="20"/>
                <w:szCs w:val="20"/>
                <w:lang w:val="es-MX"/>
              </w:rPr>
              <w:t>SOA/PHA/76/TAS/11</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 xml:space="preserve">Plan de gestión de eliminación de los HCFC (etapa I, tercer tramo) (servicio y </w:t>
            </w:r>
            <w:r w:rsidRPr="00711F19">
              <w:rPr>
                <w:sz w:val="20"/>
                <w:szCs w:val="20"/>
                <w:lang w:val="es-MX"/>
              </w:rPr>
              <w:lastRenderedPageBreak/>
              <w:t>mantenimiento de equipos de refrigeración, capacitación de aduanas y supervisión)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lastRenderedPageBreak/>
              <w:t>28</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lastRenderedPageBreak/>
              <w:t>República Árabe Siria</w:t>
            </w:r>
          </w:p>
          <w:p w:rsidR="000F2FFB" w:rsidRPr="00711F19" w:rsidRDefault="000F2FFB" w:rsidP="00D25F3D">
            <w:pPr>
              <w:jc w:val="left"/>
              <w:rPr>
                <w:sz w:val="20"/>
                <w:szCs w:val="20"/>
                <w:lang w:val="es-MX"/>
              </w:rPr>
            </w:pPr>
            <w:r w:rsidRPr="00711F19">
              <w:rPr>
                <w:sz w:val="20"/>
                <w:szCs w:val="20"/>
                <w:lang w:val="es-MX"/>
              </w:rPr>
              <w:t>SYR/SEV/73/INS/104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Prórroga de fortalecimiento institucional (fase V: 1/2015-12/2016)</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7</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Demora debida a la situación de seguridad del país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bCs/>
                <w:sz w:val="20"/>
                <w:szCs w:val="20"/>
                <w:lang w:val="es-MX"/>
              </w:rPr>
              <w:t>Solicitar un informe de situación en la reunión 87ª sobre el avance de la ejecución y el nivel de desembolso de los fondos</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Turquía</w:t>
            </w:r>
          </w:p>
          <w:p w:rsidR="000F2FFB" w:rsidRPr="00711F19" w:rsidRDefault="000F2FFB" w:rsidP="00D25F3D">
            <w:pPr>
              <w:jc w:val="left"/>
              <w:rPr>
                <w:sz w:val="20"/>
                <w:szCs w:val="20"/>
                <w:lang w:val="es-MX"/>
              </w:rPr>
            </w:pPr>
            <w:r w:rsidRPr="00711F19">
              <w:rPr>
                <w:sz w:val="20"/>
                <w:szCs w:val="20"/>
                <w:lang w:val="es-MX"/>
              </w:rPr>
              <w:t>TUR/PHA/75/INV/107</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 segundo tramo) (servicio y mantenimiento de equipos de refrigeración, y supervisión)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18</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12 meses de demoras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Pedir a la ONUDI que informe en la 87ª reunión sobre este proyecto con demoras en la ejecución</w:t>
            </w: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Venezuela (República Bolivariana de)</w:t>
            </w:r>
          </w:p>
          <w:p w:rsidR="000F2FFB" w:rsidRPr="00711F19" w:rsidRDefault="000F2FFB" w:rsidP="00D25F3D">
            <w:pPr>
              <w:jc w:val="left"/>
              <w:rPr>
                <w:sz w:val="20"/>
                <w:szCs w:val="20"/>
                <w:lang w:val="es-MX"/>
              </w:rPr>
            </w:pPr>
            <w:r w:rsidRPr="00711F19">
              <w:rPr>
                <w:sz w:val="20"/>
                <w:szCs w:val="20"/>
                <w:lang w:val="es-MX"/>
              </w:rPr>
              <w:t>VEN/PHA/76/INV/134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 (asistencia técnica en el sector de fabricación de refrigeración y aire acondicionado)</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64</w:t>
            </w:r>
          </w:p>
        </w:tc>
        <w:tc>
          <w:tcPr>
            <w:tcW w:w="340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 xml:space="preserve">(i) 12 meses de demoras </w:t>
            </w:r>
          </w:p>
          <w:p w:rsidR="000F2FFB" w:rsidRPr="00711F19" w:rsidRDefault="000F2FFB" w:rsidP="00D25F3D">
            <w:pPr>
              <w:jc w:val="left"/>
              <w:rPr>
                <w:sz w:val="20"/>
                <w:szCs w:val="20"/>
                <w:lang w:val="es-MX"/>
              </w:rPr>
            </w:pPr>
            <w:r w:rsidRPr="00711F19">
              <w:rPr>
                <w:sz w:val="20"/>
                <w:szCs w:val="20"/>
                <w:lang w:val="es-MX"/>
              </w:rPr>
              <w:t xml:space="preserve">(ii) Ejecución lenta debida a la situación política del país </w:t>
            </w:r>
          </w:p>
        </w:tc>
        <w:tc>
          <w:tcPr>
            <w:tcW w:w="3967" w:type="dxa"/>
            <w:vMerge w:val="restart"/>
            <w:shd w:val="clear" w:color="auto" w:fill="auto"/>
            <w:tcMar>
              <w:left w:w="72" w:type="dxa"/>
              <w:right w:w="58" w:type="dxa"/>
            </w:tcMar>
            <w:vAlign w:val="center"/>
            <w:hideMark/>
          </w:tcPr>
          <w:p w:rsidR="000F2FFB" w:rsidRPr="00711F19" w:rsidRDefault="000F2FFB" w:rsidP="00D25F3D">
            <w:pPr>
              <w:jc w:val="left"/>
              <w:rPr>
                <w:sz w:val="20"/>
                <w:szCs w:val="20"/>
                <w:lang w:val="es-MX"/>
              </w:rPr>
            </w:pPr>
            <w:r w:rsidRPr="00711F19">
              <w:rPr>
                <w:sz w:val="20"/>
                <w:szCs w:val="20"/>
                <w:lang w:val="es-MX"/>
              </w:rPr>
              <w:t>(i) Pedir a la ONUDI que informe en la 87ª reunión sobre estos proyectos con demoras en la ejecución;</w:t>
            </w:r>
          </w:p>
          <w:p w:rsidR="000F2FFB" w:rsidRPr="00711F19" w:rsidRDefault="000F2FFB" w:rsidP="00D25F3D">
            <w:pPr>
              <w:jc w:val="left"/>
              <w:rPr>
                <w:sz w:val="20"/>
                <w:szCs w:val="20"/>
                <w:lang w:val="es-MX"/>
              </w:rPr>
            </w:pPr>
            <w:r w:rsidRPr="00711F19">
              <w:rPr>
                <w:sz w:val="20"/>
                <w:szCs w:val="20"/>
                <w:lang w:val="es-MX"/>
              </w:rPr>
              <w:t xml:space="preserve">(ii) Solicitar un informe de situación en la 87ª reunión sobre el avance de la ejecución </w:t>
            </w:r>
          </w:p>
        </w:tc>
      </w:tr>
      <w:tr w:rsidR="000F2FFB" w:rsidRPr="00711F19"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Venezuela (República Bolivariana de)</w:t>
            </w:r>
          </w:p>
          <w:p w:rsidR="000F2FFB" w:rsidRPr="00711F19" w:rsidRDefault="000F2FFB" w:rsidP="00D25F3D">
            <w:pPr>
              <w:jc w:val="left"/>
              <w:rPr>
                <w:sz w:val="20"/>
                <w:szCs w:val="20"/>
                <w:lang w:val="es-MX"/>
              </w:rPr>
            </w:pPr>
            <w:r w:rsidRPr="00711F19">
              <w:rPr>
                <w:sz w:val="20"/>
                <w:szCs w:val="20"/>
                <w:lang w:val="es-MX"/>
              </w:rPr>
              <w:t>VEN/PHA/76/TAS/132</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Plan de gestión de eliminación de los HCFC (etapa II, primer tramo) (sector de servicios de refrigeración)</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64</w:t>
            </w:r>
          </w:p>
        </w:tc>
        <w:tc>
          <w:tcPr>
            <w:tcW w:w="3407" w:type="dxa"/>
            <w:vMerge/>
            <w:tcMar>
              <w:left w:w="72" w:type="dxa"/>
              <w:right w:w="58" w:type="dxa"/>
            </w:tcMar>
            <w:vAlign w:val="center"/>
            <w:hideMark/>
          </w:tcPr>
          <w:p w:rsidR="000F2FFB" w:rsidRPr="00711F19" w:rsidRDefault="000F2FFB" w:rsidP="00D25F3D">
            <w:pPr>
              <w:jc w:val="left"/>
              <w:rPr>
                <w:sz w:val="20"/>
                <w:szCs w:val="20"/>
                <w:lang w:val="es-MX" w:eastAsia="en-CA"/>
              </w:rPr>
            </w:pPr>
          </w:p>
        </w:tc>
        <w:tc>
          <w:tcPr>
            <w:tcW w:w="3967" w:type="dxa"/>
            <w:vMerge/>
            <w:tcMar>
              <w:left w:w="72" w:type="dxa"/>
              <w:right w:w="58" w:type="dxa"/>
            </w:tcMar>
            <w:vAlign w:val="center"/>
            <w:hideMark/>
          </w:tcPr>
          <w:p w:rsidR="000F2FFB" w:rsidRPr="00711F19" w:rsidRDefault="000F2FFB" w:rsidP="00D25F3D">
            <w:pPr>
              <w:jc w:val="left"/>
              <w:rPr>
                <w:sz w:val="20"/>
                <w:szCs w:val="20"/>
                <w:lang w:val="es-MX" w:eastAsia="en-CA"/>
              </w:rPr>
            </w:pPr>
          </w:p>
        </w:tc>
      </w:tr>
      <w:tr w:rsidR="000F2FFB" w:rsidRPr="0010622B" w:rsidTr="00D25F3D">
        <w:tc>
          <w:tcPr>
            <w:tcW w:w="2248"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Mundial</w:t>
            </w:r>
          </w:p>
          <w:p w:rsidR="000F2FFB" w:rsidRPr="00711F19" w:rsidRDefault="000F2FFB" w:rsidP="00D25F3D">
            <w:pPr>
              <w:jc w:val="left"/>
              <w:rPr>
                <w:sz w:val="20"/>
                <w:szCs w:val="20"/>
                <w:lang w:val="es-MX"/>
              </w:rPr>
            </w:pPr>
            <w:r w:rsidRPr="00711F19">
              <w:rPr>
                <w:sz w:val="20"/>
                <w:szCs w:val="20"/>
                <w:lang w:val="es-MX"/>
              </w:rPr>
              <w:t>GLO/REF/80/DEM/344</w:t>
            </w:r>
          </w:p>
        </w:tc>
        <w:tc>
          <w:tcPr>
            <w:tcW w:w="3371"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Proyecto mundial de sustitución de enfriadores (Argentina)</w:t>
            </w:r>
          </w:p>
        </w:tc>
        <w:tc>
          <w:tcPr>
            <w:tcW w:w="1319" w:type="dxa"/>
            <w:shd w:val="clear" w:color="auto" w:fill="auto"/>
            <w:tcMar>
              <w:left w:w="72" w:type="dxa"/>
              <w:right w:w="58" w:type="dxa"/>
            </w:tcMar>
            <w:hideMark/>
          </w:tcPr>
          <w:p w:rsidR="000F2FFB" w:rsidRPr="00711F19" w:rsidRDefault="000F2FFB" w:rsidP="00D25F3D">
            <w:pPr>
              <w:jc w:val="center"/>
              <w:rPr>
                <w:sz w:val="20"/>
                <w:szCs w:val="20"/>
                <w:lang w:val="es-MX"/>
              </w:rPr>
            </w:pPr>
            <w:r w:rsidRPr="00711F19">
              <w:rPr>
                <w:sz w:val="20"/>
                <w:szCs w:val="20"/>
                <w:lang w:val="es-MX"/>
              </w:rPr>
              <w:t>9 </w:t>
            </w:r>
          </w:p>
        </w:tc>
        <w:tc>
          <w:tcPr>
            <w:tcW w:w="340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sz w:val="20"/>
                <w:szCs w:val="20"/>
                <w:lang w:val="es-MX"/>
              </w:rPr>
              <w:t>Baja tasa de desembolso de los fondos aprobados; demoras debidas a la situación financiera del país y necesario tiempo adicional para la finalización de los términos financieros para la ejecución con los beneficiarios, debido a cambios en las tasas de préstamo del país</w:t>
            </w:r>
          </w:p>
        </w:tc>
        <w:tc>
          <w:tcPr>
            <w:tcW w:w="3967" w:type="dxa"/>
            <w:shd w:val="clear" w:color="auto" w:fill="auto"/>
            <w:tcMar>
              <w:left w:w="72" w:type="dxa"/>
              <w:right w:w="58" w:type="dxa"/>
            </w:tcMar>
            <w:hideMark/>
          </w:tcPr>
          <w:p w:rsidR="000F2FFB" w:rsidRPr="00711F19" w:rsidRDefault="000F2FFB" w:rsidP="00D25F3D">
            <w:pPr>
              <w:jc w:val="left"/>
              <w:rPr>
                <w:sz w:val="20"/>
                <w:szCs w:val="20"/>
                <w:lang w:val="es-MX"/>
              </w:rPr>
            </w:pPr>
            <w:r w:rsidRPr="00711F19">
              <w:rPr>
                <w:bCs/>
                <w:sz w:val="20"/>
                <w:szCs w:val="20"/>
                <w:lang w:val="es-MX"/>
              </w:rPr>
              <w:t>Solicitar un informe de situación en la 87ª reunión sobre el avance de la ejecución</w:t>
            </w:r>
          </w:p>
        </w:tc>
      </w:tr>
    </w:tbl>
    <w:p w:rsidR="000F2FFB" w:rsidRPr="00711F19" w:rsidRDefault="000F2FFB" w:rsidP="000F2FFB">
      <w:pPr>
        <w:tabs>
          <w:tab w:val="left" w:pos="5560"/>
        </w:tabs>
        <w:jc w:val="center"/>
        <w:rPr>
          <w:b/>
          <w:bCs/>
          <w:lang w:val="es-MX"/>
        </w:rPr>
      </w:pPr>
    </w:p>
    <w:p w:rsidR="000F2FFB" w:rsidRPr="00711F19" w:rsidRDefault="000F2FFB" w:rsidP="000F2FFB">
      <w:pPr>
        <w:tabs>
          <w:tab w:val="left" w:pos="5560"/>
        </w:tabs>
        <w:jc w:val="center"/>
        <w:rPr>
          <w:b/>
          <w:bCs/>
          <w:lang w:val="es-MX"/>
        </w:rPr>
        <w:sectPr w:rsidR="000F2FFB" w:rsidRPr="00711F19" w:rsidSect="00D25F3D">
          <w:headerReference w:type="even" r:id="rId15"/>
          <w:headerReference w:type="default" r:id="rId16"/>
          <w:headerReference w:type="first" r:id="rId17"/>
          <w:footerReference w:type="first" r:id="rId18"/>
          <w:pgSz w:w="15840" w:h="12240" w:orient="landscape" w:code="1"/>
          <w:pgMar w:top="1440" w:right="720" w:bottom="1170" w:left="864" w:header="720" w:footer="475" w:gutter="0"/>
          <w:pgNumType w:start="1"/>
          <w:cols w:space="720"/>
          <w:titlePg/>
          <w:docGrid w:linePitch="299"/>
        </w:sectPr>
      </w:pPr>
    </w:p>
    <w:p w:rsidR="000F2FFB" w:rsidRPr="00711F19" w:rsidRDefault="000F2FFB" w:rsidP="000F2FFB">
      <w:pPr>
        <w:pStyle w:val="Title1"/>
        <w:rPr>
          <w:caps w:val="0"/>
          <w:lang w:val="es-MX"/>
        </w:rPr>
      </w:pPr>
      <w:r w:rsidRPr="00711F19">
        <w:rPr>
          <w:caps w:val="0"/>
          <w:lang w:val="es-MX"/>
        </w:rPr>
        <w:lastRenderedPageBreak/>
        <w:t>Anexo II</w:t>
      </w:r>
    </w:p>
    <w:p w:rsidR="000F2FFB" w:rsidRPr="00711F19" w:rsidRDefault="000F2FFB" w:rsidP="000F2FFB">
      <w:pPr>
        <w:pStyle w:val="Title1"/>
        <w:rPr>
          <w:caps w:val="0"/>
          <w:lang w:val="es-MX"/>
        </w:rPr>
      </w:pPr>
    </w:p>
    <w:p w:rsidR="000F2FFB" w:rsidRPr="00711F19" w:rsidRDefault="000F2FFB" w:rsidP="000F2FFB">
      <w:pPr>
        <w:pStyle w:val="Title1"/>
        <w:rPr>
          <w:caps w:val="0"/>
          <w:lang w:val="es-MX"/>
        </w:rPr>
      </w:pPr>
      <w:r w:rsidRPr="00711F19">
        <w:rPr>
          <w:caps w:val="0"/>
          <w:lang w:val="es-MX"/>
        </w:rPr>
        <w:t>ANÁLISIS DEL INFORME SOBRE LA MARCHA DE LAS ACTIVIDADES DE LA ONUDI AL 31 DE DICIEMBRE DE 2019</w:t>
      </w:r>
    </w:p>
    <w:p w:rsidR="000F2FFB" w:rsidRPr="00711F19" w:rsidRDefault="000F2FFB" w:rsidP="000F2FFB">
      <w:pPr>
        <w:pStyle w:val="Title1"/>
        <w:rPr>
          <w:caps w:val="0"/>
          <w:lang w:val="es-MX"/>
        </w:rPr>
      </w:pPr>
    </w:p>
    <w:p w:rsidR="000F2FFB" w:rsidRPr="00711F19" w:rsidRDefault="000F2FFB" w:rsidP="000F2FFB">
      <w:pPr>
        <w:pStyle w:val="Heading1"/>
        <w:numPr>
          <w:ilvl w:val="0"/>
          <w:numId w:val="40"/>
        </w:numPr>
        <w:rPr>
          <w:lang w:val="es-MX"/>
        </w:rPr>
      </w:pPr>
      <w:r w:rsidRPr="00711F19">
        <w:rPr>
          <w:lang w:val="es-MX"/>
        </w:rPr>
        <w:t>El presente Anexo consta de las siguientes partes:</w:t>
      </w:r>
    </w:p>
    <w:p w:rsidR="000F2FFB" w:rsidRPr="00711F19" w:rsidRDefault="000F2FFB" w:rsidP="000F2FFB">
      <w:pPr>
        <w:pStyle w:val="Heading2"/>
        <w:keepNext/>
        <w:widowControl/>
        <w:numPr>
          <w:ilvl w:val="0"/>
          <w:numId w:val="0"/>
        </w:numPr>
        <w:adjustRightInd w:val="0"/>
        <w:ind w:left="2160" w:hanging="1440"/>
        <w:textAlignment w:val="baseline"/>
        <w:rPr>
          <w:szCs w:val="28"/>
          <w:lang w:val="es-MX"/>
        </w:rPr>
      </w:pPr>
      <w:r w:rsidRPr="00711F19">
        <w:rPr>
          <w:lang w:val="es-MX"/>
        </w:rPr>
        <w:t>Parte I:</w:t>
      </w:r>
      <w:r w:rsidRPr="00711F19">
        <w:rPr>
          <w:lang w:val="es-MX"/>
        </w:rPr>
        <w:tab/>
        <w:t>Proyectos aprobados en el marco de las contribuciones ordinarias al Fondo Multilateral.</w:t>
      </w:r>
    </w:p>
    <w:p w:rsidR="000F2FFB" w:rsidRPr="00711F19" w:rsidRDefault="000F2FFB" w:rsidP="000F2FFB">
      <w:pPr>
        <w:pStyle w:val="Heading2"/>
        <w:widowControl/>
        <w:numPr>
          <w:ilvl w:val="0"/>
          <w:numId w:val="0"/>
        </w:numPr>
        <w:adjustRightInd w:val="0"/>
        <w:ind w:left="2160" w:hanging="1440"/>
        <w:textAlignment w:val="baseline"/>
        <w:rPr>
          <w:szCs w:val="28"/>
          <w:lang w:val="es-MX"/>
        </w:rPr>
      </w:pPr>
      <w:r w:rsidRPr="00711F19">
        <w:rPr>
          <w:lang w:val="es-MX"/>
        </w:rPr>
        <w:t>Parte II:</w:t>
      </w:r>
      <w:r w:rsidRPr="00711F19">
        <w:rPr>
          <w:lang w:val="es-MX"/>
        </w:rPr>
        <w:tab/>
        <w:t>Proyectos aprobados en el marco de las contribuciones voluntarias adicionales destinadas a la ayuda a corto plazo para la reducción de los HFC.</w:t>
      </w:r>
    </w:p>
    <w:p w:rsidR="000F2FFB" w:rsidRPr="00711F19" w:rsidRDefault="000F2FFB" w:rsidP="000F2FFB">
      <w:pPr>
        <w:pStyle w:val="sub-title"/>
        <w:keepNext/>
        <w:keepLines/>
        <w:ind w:left="1418" w:hanging="1418"/>
        <w:rPr>
          <w:rFonts w:ascii="Times New Roman Bold" w:hAnsi="Times New Roman Bold"/>
          <w:caps/>
          <w:noProof w:val="0"/>
          <w:szCs w:val="28"/>
          <w:lang w:val="es-MX"/>
        </w:rPr>
      </w:pPr>
      <w:r w:rsidRPr="00711F19">
        <w:rPr>
          <w:rFonts w:ascii="Times New Roman Bold" w:hAnsi="Times New Roman Bold"/>
          <w:caps/>
          <w:szCs w:val="28"/>
          <w:lang w:val="es-MX"/>
        </w:rPr>
        <w:t xml:space="preserve">Parte I: </w:t>
      </w:r>
      <w:r w:rsidRPr="00711F19">
        <w:rPr>
          <w:rFonts w:ascii="Times New Roman Bold" w:hAnsi="Times New Roman Bold"/>
          <w:caps/>
          <w:szCs w:val="28"/>
          <w:lang w:val="es-MX"/>
        </w:rPr>
        <w:tab/>
        <w:t>Proyectos aprobados en el marco de las contribuciones ordinarias al Fondo Multilateral</w:t>
      </w:r>
    </w:p>
    <w:p w:rsidR="000F2FFB" w:rsidRPr="00711F19" w:rsidRDefault="000F2FFB" w:rsidP="000F2FFB">
      <w:pPr>
        <w:pStyle w:val="Title1"/>
        <w:rPr>
          <w:caps w:val="0"/>
          <w:lang w:val="es-MX"/>
        </w:rPr>
      </w:pPr>
    </w:p>
    <w:p w:rsidR="000F2FFB" w:rsidRPr="00711F19" w:rsidRDefault="000F2FFB" w:rsidP="000F2FFB">
      <w:pPr>
        <w:pStyle w:val="Heading1"/>
        <w:rPr>
          <w:lang w:val="es-MX"/>
        </w:rPr>
      </w:pPr>
      <w:r w:rsidRPr="00711F19">
        <w:rPr>
          <w:lang w:val="es-MX"/>
        </w:rPr>
        <w:t xml:space="preserve">Al 31 de diciembre de 2019, el Comité Ejecutivo había aprobado 949,52 millones de $EUA, de los cuales 839,66 millones de $EUA fueron para la ejecución de proyectos de inversión y ajenos a la inversión y 109,86 millones de $EUA para gastos de apoyo de los organismos, como se indica en el Cuadro 1. En 2019, se aprobaron 66 proyectos y actividades nuevos. Se prevé que el nivel de fondos indicados se traduzca en la eliminación de 81.941 toneladas PAO de consumo y producción de sustancias controladas. </w:t>
      </w:r>
    </w:p>
    <w:p w:rsidR="000F2FFB" w:rsidRPr="00711F19" w:rsidRDefault="000F2FFB" w:rsidP="000F2FFB">
      <w:pPr>
        <w:pStyle w:val="Heading1"/>
        <w:keepNext/>
        <w:numPr>
          <w:ilvl w:val="0"/>
          <w:numId w:val="0"/>
        </w:numPr>
        <w:suppressAutoHyphens/>
        <w:spacing w:after="0"/>
        <w:rPr>
          <w:b/>
          <w:lang w:val="es-MX"/>
        </w:rPr>
      </w:pPr>
      <w:r w:rsidRPr="00711F19">
        <w:rPr>
          <w:b/>
          <w:lang w:val="es-MX"/>
        </w:rPr>
        <w:t>Cuadro 1: Financiación aprobada por sector para la ONUDI al 31 de diciembre de 2019</w:t>
      </w:r>
    </w:p>
    <w:tbl>
      <w:tblPr>
        <w:tblW w:w="9493" w:type="dxa"/>
        <w:tblLook w:val="04A0" w:firstRow="1" w:lastRow="0" w:firstColumn="1" w:lastColumn="0" w:noHBand="0" w:noVBand="1"/>
      </w:tblPr>
      <w:tblGrid>
        <w:gridCol w:w="4673"/>
        <w:gridCol w:w="4820"/>
      </w:tblGrid>
      <w:tr w:rsidR="000F2FFB" w:rsidRPr="00711F19" w:rsidTr="00D25F3D">
        <w:trPr>
          <w:trHeight w:val="204"/>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0F2FFB" w:rsidRPr="00711F19" w:rsidRDefault="000F2FFB" w:rsidP="00D25F3D">
            <w:pPr>
              <w:jc w:val="center"/>
              <w:rPr>
                <w:b/>
                <w:bCs/>
                <w:sz w:val="21"/>
                <w:szCs w:val="21"/>
                <w:lang w:val="es-MX"/>
              </w:rPr>
            </w:pPr>
            <w:r w:rsidRPr="00711F19">
              <w:rPr>
                <w:b/>
                <w:bCs/>
                <w:sz w:val="21"/>
                <w:szCs w:val="21"/>
                <w:lang w:val="es-MX"/>
              </w:rPr>
              <w:t>Sector</w:t>
            </w:r>
          </w:p>
        </w:tc>
        <w:tc>
          <w:tcPr>
            <w:tcW w:w="4820" w:type="dxa"/>
            <w:tcBorders>
              <w:top w:val="single" w:sz="4" w:space="0" w:color="auto"/>
              <w:left w:val="nil"/>
              <w:bottom w:val="single" w:sz="4" w:space="0" w:color="auto"/>
              <w:right w:val="single" w:sz="4" w:space="0" w:color="auto"/>
            </w:tcBorders>
            <w:shd w:val="clear" w:color="auto" w:fill="auto"/>
            <w:hideMark/>
          </w:tcPr>
          <w:p w:rsidR="000F2FFB" w:rsidRPr="00711F19" w:rsidRDefault="000F2FFB" w:rsidP="00D25F3D">
            <w:pPr>
              <w:jc w:val="center"/>
              <w:rPr>
                <w:b/>
                <w:bCs/>
                <w:sz w:val="21"/>
                <w:szCs w:val="21"/>
                <w:lang w:val="es-MX"/>
              </w:rPr>
            </w:pPr>
            <w:r w:rsidRPr="00711F19">
              <w:rPr>
                <w:b/>
                <w:bCs/>
                <w:sz w:val="21"/>
                <w:szCs w:val="21"/>
                <w:lang w:val="es-MX"/>
              </w:rPr>
              <w:t>Financiación ($EUA)</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r w:rsidRPr="00711F19">
              <w:rPr>
                <w:sz w:val="21"/>
                <w:szCs w:val="21"/>
                <w:lang w:val="es-MX"/>
              </w:rPr>
              <w:t>Aerosoles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34.413.701</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r w:rsidRPr="00711F19">
              <w:rPr>
                <w:sz w:val="21"/>
                <w:szCs w:val="21"/>
                <w:lang w:val="es-MX"/>
              </w:rPr>
              <w:t>Destrucción</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3.813.216</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r w:rsidRPr="00711F19">
              <w:rPr>
                <w:sz w:val="21"/>
                <w:szCs w:val="21"/>
                <w:lang w:val="es-MX"/>
              </w:rPr>
              <w:t>Espumas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89.362.746</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proofErr w:type="spellStart"/>
            <w:r w:rsidRPr="00711F19">
              <w:rPr>
                <w:sz w:val="21"/>
                <w:szCs w:val="21"/>
                <w:lang w:val="es-MX"/>
              </w:rPr>
              <w:t>Halones</w:t>
            </w:r>
            <w:proofErr w:type="spellEnd"/>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1.780.369</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r w:rsidRPr="00711F19">
              <w:rPr>
                <w:sz w:val="21"/>
                <w:szCs w:val="21"/>
                <w:lang w:val="es-MX"/>
              </w:rPr>
              <w:t>Fumigantes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78.028.741</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1"/>
                <w:szCs w:val="21"/>
                <w:lang w:val="es-MX"/>
              </w:rPr>
            </w:pPr>
            <w:r w:rsidRPr="00711F19">
              <w:rPr>
                <w:sz w:val="21"/>
                <w:szCs w:val="21"/>
                <w:lang w:val="es-MX"/>
              </w:rPr>
              <w:t>Sectores múltiples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139.440</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r w:rsidRPr="00711F19">
              <w:rPr>
                <w:sz w:val="21"/>
                <w:szCs w:val="21"/>
                <w:lang w:val="es-MX"/>
              </w:rPr>
              <w:t>Otros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11.317.246</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r w:rsidRPr="00711F19">
              <w:rPr>
                <w:sz w:val="21"/>
                <w:szCs w:val="21"/>
                <w:lang w:val="es-MX"/>
              </w:rPr>
              <w:t>Plan de eliminación</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340.083.408</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1"/>
                <w:szCs w:val="21"/>
                <w:lang w:val="es-MX"/>
              </w:rPr>
            </w:pPr>
            <w:r w:rsidRPr="00711F19">
              <w:rPr>
                <w:sz w:val="21"/>
                <w:szCs w:val="21"/>
                <w:lang w:val="es-MX"/>
              </w:rPr>
              <w:t>Agente de procesos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6.337.359</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r w:rsidRPr="00711F19">
              <w:rPr>
                <w:sz w:val="21"/>
                <w:szCs w:val="21"/>
                <w:lang w:val="es-MX"/>
              </w:rPr>
              <w:t>Producción</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50.645.327</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r w:rsidRPr="00711F19">
              <w:rPr>
                <w:sz w:val="21"/>
                <w:szCs w:val="21"/>
                <w:lang w:val="es-MX"/>
              </w:rPr>
              <w:t>Refrigeración</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182.330.122</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r w:rsidRPr="00711F19">
              <w:rPr>
                <w:sz w:val="21"/>
                <w:szCs w:val="21"/>
                <w:lang w:val="es-MX"/>
              </w:rPr>
              <w:t>Diversos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18.165.654</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sz w:val="21"/>
                <w:szCs w:val="21"/>
                <w:lang w:val="es-MX"/>
              </w:rPr>
            </w:pPr>
            <w:r w:rsidRPr="00711F19">
              <w:rPr>
                <w:sz w:val="21"/>
                <w:szCs w:val="21"/>
                <w:lang w:val="es-MX"/>
              </w:rPr>
              <w:t>Disolventes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23.247.443</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b/>
                <w:bCs/>
                <w:sz w:val="21"/>
                <w:szCs w:val="21"/>
                <w:lang w:val="es-MX"/>
              </w:rPr>
            </w:pPr>
            <w:r w:rsidRPr="00711F19">
              <w:rPr>
                <w:b/>
                <w:bCs/>
                <w:sz w:val="21"/>
                <w:szCs w:val="21"/>
                <w:lang w:val="es-MX"/>
              </w:rPr>
              <w:t>Subtotal</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b/>
                <w:sz w:val="21"/>
                <w:szCs w:val="21"/>
                <w:lang w:val="es-MX"/>
              </w:rPr>
            </w:pPr>
            <w:r w:rsidRPr="00711F19">
              <w:rPr>
                <w:b/>
                <w:sz w:val="21"/>
                <w:szCs w:val="21"/>
                <w:lang w:val="es-MX"/>
              </w:rPr>
              <w:t>839.664.771</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1"/>
                <w:szCs w:val="21"/>
                <w:lang w:val="es-MX"/>
              </w:rPr>
            </w:pPr>
            <w:r w:rsidRPr="00711F19">
              <w:rPr>
                <w:sz w:val="21"/>
                <w:szCs w:val="21"/>
                <w:lang w:val="es-MX"/>
              </w:rPr>
              <w:t>Gastos de apoyo del organismo</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sz w:val="21"/>
                <w:szCs w:val="21"/>
                <w:lang w:val="es-MX"/>
              </w:rPr>
            </w:pPr>
            <w:r w:rsidRPr="00711F19">
              <w:rPr>
                <w:sz w:val="21"/>
                <w:szCs w:val="21"/>
                <w:lang w:val="es-MX"/>
              </w:rPr>
              <w:t>109.857.585</w:t>
            </w:r>
          </w:p>
        </w:tc>
      </w:tr>
      <w:tr w:rsidR="000F2FFB" w:rsidRPr="00711F19" w:rsidTr="00D25F3D">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0F2FFB" w:rsidRPr="00711F19" w:rsidRDefault="000F2FFB" w:rsidP="00D25F3D">
            <w:pPr>
              <w:jc w:val="left"/>
              <w:rPr>
                <w:b/>
                <w:bCs/>
                <w:sz w:val="21"/>
                <w:szCs w:val="21"/>
                <w:lang w:val="es-MX"/>
              </w:rPr>
            </w:pPr>
            <w:r w:rsidRPr="00711F19">
              <w:rPr>
                <w:b/>
                <w:bCs/>
                <w:sz w:val="21"/>
                <w:szCs w:val="21"/>
                <w:lang w:val="es-MX"/>
              </w:rPr>
              <w:t>Total</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rsidR="000F2FFB" w:rsidRPr="00711F19" w:rsidRDefault="000F2FFB" w:rsidP="00D25F3D">
            <w:pPr>
              <w:jc w:val="right"/>
              <w:rPr>
                <w:b/>
                <w:sz w:val="21"/>
                <w:szCs w:val="21"/>
                <w:lang w:val="es-MX"/>
              </w:rPr>
            </w:pPr>
            <w:r w:rsidRPr="00711F19">
              <w:rPr>
                <w:b/>
                <w:sz w:val="21"/>
                <w:szCs w:val="21"/>
                <w:lang w:val="es-MX"/>
              </w:rPr>
              <w:t>949.522.356</w:t>
            </w:r>
          </w:p>
        </w:tc>
      </w:tr>
    </w:tbl>
    <w:p w:rsidR="000F2FFB" w:rsidRPr="00711F19" w:rsidRDefault="000F2FFB" w:rsidP="000F2FFB">
      <w:pPr>
        <w:pStyle w:val="Heading1"/>
        <w:numPr>
          <w:ilvl w:val="0"/>
          <w:numId w:val="0"/>
        </w:numPr>
        <w:spacing w:after="0"/>
        <w:rPr>
          <w:lang w:val="es-MX"/>
        </w:rPr>
      </w:pPr>
    </w:p>
    <w:p w:rsidR="000F2FFB" w:rsidRPr="00711F19" w:rsidRDefault="000F2FFB" w:rsidP="000F2FFB">
      <w:pPr>
        <w:pStyle w:val="Heading1"/>
        <w:rPr>
          <w:lang w:val="es-MX"/>
        </w:rPr>
      </w:pPr>
      <w:r w:rsidRPr="00711F19">
        <w:rPr>
          <w:lang w:val="es-MX"/>
        </w:rPr>
        <w:t xml:space="preserve">En el Cuadro 2 figura un resumen del estado de la ejecución de los proyectos por categoría. </w:t>
      </w:r>
    </w:p>
    <w:p w:rsidR="000F2FFB" w:rsidRPr="00711F19" w:rsidRDefault="000F2FFB" w:rsidP="000F2FFB">
      <w:pPr>
        <w:keepNext/>
        <w:jc w:val="left"/>
        <w:rPr>
          <w:b/>
          <w:lang w:val="es-MX"/>
        </w:rPr>
      </w:pPr>
      <w:r w:rsidRPr="00711F19">
        <w:rPr>
          <w:b/>
          <w:lang w:val="es-MX"/>
        </w:rPr>
        <w:t>Cuadro 2: Estado de ejecución de proyectos, por categoría</w:t>
      </w:r>
    </w:p>
    <w:tbl>
      <w:tblPr>
        <w:tblW w:w="9483" w:type="dxa"/>
        <w:tblInd w:w="-5" w:type="dxa"/>
        <w:tblLayout w:type="fixed"/>
        <w:tblLook w:val="04A0" w:firstRow="1" w:lastRow="0" w:firstColumn="1" w:lastColumn="0" w:noHBand="0" w:noVBand="1"/>
      </w:tblPr>
      <w:tblGrid>
        <w:gridCol w:w="1853"/>
        <w:gridCol w:w="1014"/>
        <w:gridCol w:w="1015"/>
        <w:gridCol w:w="1015"/>
        <w:gridCol w:w="1217"/>
        <w:gridCol w:w="1218"/>
        <w:gridCol w:w="1218"/>
        <w:gridCol w:w="933"/>
      </w:tblGrid>
      <w:tr w:rsidR="000F2FFB" w:rsidRPr="00711F19" w:rsidTr="00D25F3D">
        <w:trPr>
          <w:tblHeader/>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0F2FFB" w:rsidRPr="00711F19" w:rsidRDefault="000F2FFB" w:rsidP="00D25F3D">
            <w:pPr>
              <w:jc w:val="left"/>
              <w:rPr>
                <w:b/>
                <w:bCs/>
                <w:sz w:val="20"/>
                <w:szCs w:val="20"/>
                <w:lang w:val="es-MX"/>
              </w:rPr>
            </w:pPr>
            <w:r w:rsidRPr="00711F19">
              <w:rPr>
                <w:b/>
                <w:bCs/>
                <w:sz w:val="20"/>
                <w:szCs w:val="20"/>
                <w:lang w:val="es-MX"/>
              </w:rPr>
              <w:t>Tipo</w:t>
            </w:r>
          </w:p>
        </w:tc>
        <w:tc>
          <w:tcPr>
            <w:tcW w:w="3044"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Número de proyectos*</w:t>
            </w:r>
          </w:p>
        </w:tc>
        <w:tc>
          <w:tcPr>
            <w:tcW w:w="4586"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Financiación ($EUA)**</w:t>
            </w:r>
          </w:p>
        </w:tc>
      </w:tr>
      <w:tr w:rsidR="000F2FFB" w:rsidRPr="00711F19" w:rsidTr="00D25F3D">
        <w:trPr>
          <w:tblHeader/>
        </w:trPr>
        <w:tc>
          <w:tcPr>
            <w:tcW w:w="1853"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rsidR="000F2FFB" w:rsidRPr="00711F19" w:rsidRDefault="000F2FFB" w:rsidP="00D25F3D">
            <w:pPr>
              <w:jc w:val="left"/>
              <w:rPr>
                <w:b/>
                <w:bCs/>
                <w:sz w:val="20"/>
                <w:szCs w:val="20"/>
                <w:lang w:val="es-MX" w:eastAsia="en-CA"/>
              </w:rPr>
            </w:pPr>
          </w:p>
        </w:tc>
        <w:tc>
          <w:tcPr>
            <w:tcW w:w="10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Aprobados</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Terminados</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 terminados</w:t>
            </w:r>
          </w:p>
        </w:tc>
        <w:tc>
          <w:tcPr>
            <w:tcW w:w="121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Aprobada</w:t>
            </w:r>
          </w:p>
        </w:tc>
        <w:tc>
          <w:tcPr>
            <w:tcW w:w="121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Desembolsada</w:t>
            </w:r>
          </w:p>
        </w:tc>
        <w:tc>
          <w:tcPr>
            <w:tcW w:w="121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Saldo</w:t>
            </w:r>
          </w:p>
        </w:tc>
        <w:tc>
          <w:tcPr>
            <w:tcW w:w="93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w:t>
            </w:r>
          </w:p>
          <w:p w:rsidR="000F2FFB" w:rsidRPr="00711F19" w:rsidRDefault="000F2FFB" w:rsidP="00D25F3D">
            <w:pPr>
              <w:jc w:val="center"/>
              <w:rPr>
                <w:b/>
                <w:bCs/>
                <w:sz w:val="20"/>
                <w:szCs w:val="20"/>
                <w:lang w:val="es-MX"/>
              </w:rPr>
            </w:pPr>
            <w:r w:rsidRPr="00711F19">
              <w:rPr>
                <w:b/>
                <w:bCs/>
                <w:sz w:val="20"/>
                <w:szCs w:val="20"/>
                <w:lang w:val="es-MX"/>
              </w:rPr>
              <w:t>desembolsado</w:t>
            </w:r>
          </w:p>
        </w:tc>
      </w:tr>
      <w:tr w:rsidR="000F2FFB" w:rsidRPr="00711F19" w:rsidTr="00D25F3D">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rsidR="000F2FFB" w:rsidRPr="00711F19" w:rsidRDefault="000F2FFB" w:rsidP="00D25F3D">
            <w:pPr>
              <w:jc w:val="left"/>
              <w:rPr>
                <w:sz w:val="20"/>
                <w:szCs w:val="20"/>
                <w:lang w:val="es-MX"/>
              </w:rPr>
            </w:pPr>
            <w:r w:rsidRPr="00711F19">
              <w:rPr>
                <w:sz w:val="20"/>
                <w:szCs w:val="20"/>
                <w:lang w:val="es-MX"/>
              </w:rPr>
              <w:t>Programa de país</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11</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11</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722.669</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722.669</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rsidR="000F2FFB" w:rsidRPr="00711F19" w:rsidRDefault="000F2FFB" w:rsidP="00D25F3D">
            <w:pPr>
              <w:jc w:val="left"/>
              <w:rPr>
                <w:sz w:val="20"/>
                <w:szCs w:val="20"/>
                <w:lang w:val="es-MX"/>
              </w:rPr>
            </w:pPr>
            <w:r w:rsidRPr="00711F19">
              <w:rPr>
                <w:sz w:val="20"/>
                <w:szCs w:val="20"/>
                <w:lang w:val="es-MX"/>
              </w:rPr>
              <w:t>Demostración</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43</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40</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93</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23.743.122</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22.109.613</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1.633.509</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93</w:t>
            </w:r>
          </w:p>
        </w:tc>
      </w:tr>
      <w:tr w:rsidR="000F2FFB" w:rsidRPr="00711F19" w:rsidTr="00D25F3D">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rsidR="000F2FFB" w:rsidRPr="00711F19" w:rsidRDefault="000F2FFB" w:rsidP="00D25F3D">
            <w:pPr>
              <w:jc w:val="left"/>
              <w:rPr>
                <w:sz w:val="20"/>
                <w:szCs w:val="20"/>
                <w:lang w:val="es-MX"/>
              </w:rPr>
            </w:pPr>
            <w:r w:rsidRPr="00711F19">
              <w:rPr>
                <w:sz w:val="20"/>
                <w:szCs w:val="20"/>
                <w:lang w:val="es-MX"/>
              </w:rPr>
              <w:t>Fortalecimiento institucional</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86</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71</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83</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13.567.705</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11.519.989</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2.047.716</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85</w:t>
            </w:r>
          </w:p>
        </w:tc>
      </w:tr>
      <w:tr w:rsidR="000F2FFB" w:rsidRPr="00711F19" w:rsidTr="00D25F3D">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rsidR="000F2FFB" w:rsidRPr="00711F19" w:rsidRDefault="000F2FFB" w:rsidP="00D25F3D">
            <w:pPr>
              <w:jc w:val="left"/>
              <w:rPr>
                <w:sz w:val="20"/>
                <w:szCs w:val="20"/>
                <w:lang w:val="es-MX"/>
              </w:rPr>
            </w:pPr>
            <w:r w:rsidRPr="00711F19">
              <w:rPr>
                <w:sz w:val="20"/>
                <w:szCs w:val="20"/>
                <w:lang w:val="es-MX"/>
              </w:rPr>
              <w:t>Inversión</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905</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775</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86</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754.270.059</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666.192.481</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88.077.578</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88</w:t>
            </w:r>
          </w:p>
        </w:tc>
      </w:tr>
      <w:tr w:rsidR="000F2FFB" w:rsidRPr="00711F19" w:rsidTr="00D25F3D">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rsidR="000F2FFB" w:rsidRPr="00711F19" w:rsidRDefault="000F2FFB" w:rsidP="00D25F3D">
            <w:pPr>
              <w:jc w:val="left"/>
              <w:rPr>
                <w:sz w:val="20"/>
                <w:szCs w:val="20"/>
                <w:lang w:val="es-MX"/>
              </w:rPr>
            </w:pPr>
            <w:r w:rsidRPr="00711F19">
              <w:rPr>
                <w:sz w:val="20"/>
                <w:szCs w:val="20"/>
                <w:lang w:val="es-MX"/>
              </w:rPr>
              <w:lastRenderedPageBreak/>
              <w:t>Preparación de proyectos</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531</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475</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89</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22.300.638</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20.873.128</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1.427.509</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94</w:t>
            </w:r>
          </w:p>
        </w:tc>
      </w:tr>
      <w:tr w:rsidR="000F2FFB" w:rsidRPr="00711F19" w:rsidTr="00D25F3D">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rsidR="000F2FFB" w:rsidRPr="00711F19" w:rsidRDefault="000F2FFB" w:rsidP="00D25F3D">
            <w:pPr>
              <w:jc w:val="left"/>
              <w:rPr>
                <w:sz w:val="20"/>
                <w:szCs w:val="20"/>
                <w:lang w:val="es-MX"/>
              </w:rPr>
            </w:pPr>
            <w:r w:rsidRPr="00711F19">
              <w:rPr>
                <w:sz w:val="20"/>
                <w:szCs w:val="20"/>
                <w:lang w:val="es-MX"/>
              </w:rPr>
              <w:t>Asistencia técnica</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194</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161</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83</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23.864.044</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18.073.266</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5.790.778</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76</w:t>
            </w:r>
          </w:p>
        </w:tc>
      </w:tr>
      <w:tr w:rsidR="000F2FFB" w:rsidRPr="00711F19" w:rsidTr="00D25F3D">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rsidR="000F2FFB" w:rsidRPr="00711F19" w:rsidRDefault="000F2FFB" w:rsidP="00D25F3D">
            <w:pPr>
              <w:jc w:val="left"/>
              <w:rPr>
                <w:sz w:val="20"/>
                <w:szCs w:val="20"/>
                <w:lang w:val="es-MX"/>
              </w:rPr>
            </w:pPr>
            <w:r w:rsidRPr="00711F19">
              <w:rPr>
                <w:sz w:val="20"/>
                <w:szCs w:val="20"/>
                <w:lang w:val="es-MX"/>
              </w:rPr>
              <w:t>Capacitación</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23</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23</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1.196.535</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1.196.535</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rsidR="000F2FFB" w:rsidRPr="00711F19" w:rsidRDefault="000F2FFB" w:rsidP="00D25F3D">
            <w:pPr>
              <w:jc w:val="left"/>
              <w:rPr>
                <w:b/>
                <w:bCs/>
                <w:sz w:val="20"/>
                <w:szCs w:val="20"/>
                <w:lang w:val="es-MX"/>
              </w:rPr>
            </w:pPr>
            <w:r w:rsidRPr="00711F19">
              <w:rPr>
                <w:b/>
                <w:bCs/>
                <w:sz w:val="20"/>
                <w:szCs w:val="20"/>
                <w:lang w:val="es-MX"/>
              </w:rPr>
              <w:t>Total</w:t>
            </w:r>
          </w:p>
        </w:tc>
        <w:tc>
          <w:tcPr>
            <w:tcW w:w="1014" w:type="dxa"/>
            <w:tcBorders>
              <w:top w:val="nil"/>
              <w:left w:val="nil"/>
              <w:bottom w:val="single" w:sz="4" w:space="0" w:color="auto"/>
              <w:right w:val="single" w:sz="4" w:space="0" w:color="auto"/>
            </w:tcBorders>
            <w:shd w:val="clear" w:color="auto" w:fill="auto"/>
            <w:tcMar>
              <w:left w:w="58"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1.793</w:t>
            </w:r>
          </w:p>
        </w:tc>
        <w:tc>
          <w:tcPr>
            <w:tcW w:w="1015" w:type="dxa"/>
            <w:tcBorders>
              <w:top w:val="nil"/>
              <w:left w:val="nil"/>
              <w:bottom w:val="single" w:sz="4" w:space="0" w:color="auto"/>
              <w:right w:val="single" w:sz="4" w:space="0" w:color="auto"/>
            </w:tcBorders>
            <w:shd w:val="clear" w:color="auto" w:fill="auto"/>
            <w:tcMar>
              <w:left w:w="58"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1.556</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87</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rsidR="000F2FFB" w:rsidRPr="00711F19" w:rsidRDefault="000F2FFB" w:rsidP="00D25F3D">
            <w:pPr>
              <w:jc w:val="right"/>
              <w:rPr>
                <w:b/>
                <w:bCs/>
                <w:sz w:val="20"/>
                <w:szCs w:val="20"/>
                <w:lang w:val="es-MX"/>
              </w:rPr>
            </w:pPr>
            <w:r w:rsidRPr="00711F19">
              <w:rPr>
                <w:b/>
                <w:bCs/>
                <w:sz w:val="20"/>
                <w:szCs w:val="20"/>
                <w:lang w:val="es-MX"/>
              </w:rPr>
              <w:t>839.664.771</w:t>
            </w:r>
          </w:p>
        </w:tc>
        <w:tc>
          <w:tcPr>
            <w:tcW w:w="1218" w:type="dxa"/>
            <w:tcBorders>
              <w:top w:val="nil"/>
              <w:left w:val="nil"/>
              <w:bottom w:val="single" w:sz="4" w:space="0" w:color="auto"/>
              <w:right w:val="single" w:sz="4" w:space="0" w:color="auto"/>
            </w:tcBorders>
            <w:shd w:val="clear" w:color="auto" w:fill="auto"/>
            <w:tcMar>
              <w:left w:w="58" w:type="dxa"/>
              <w:right w:w="58" w:type="dxa"/>
            </w:tcMar>
            <w:hideMark/>
          </w:tcPr>
          <w:p w:rsidR="000F2FFB" w:rsidRPr="00711F19" w:rsidRDefault="000F2FFB" w:rsidP="00D25F3D">
            <w:pPr>
              <w:jc w:val="right"/>
              <w:rPr>
                <w:b/>
                <w:bCs/>
                <w:sz w:val="20"/>
                <w:szCs w:val="20"/>
                <w:lang w:val="es-MX"/>
              </w:rPr>
            </w:pPr>
            <w:r w:rsidRPr="00711F19">
              <w:rPr>
                <w:b/>
                <w:bCs/>
                <w:sz w:val="20"/>
                <w:szCs w:val="20"/>
                <w:lang w:val="es-MX"/>
              </w:rPr>
              <w:t>740.687.681</w:t>
            </w:r>
          </w:p>
        </w:tc>
        <w:tc>
          <w:tcPr>
            <w:tcW w:w="1218" w:type="dxa"/>
            <w:tcBorders>
              <w:top w:val="nil"/>
              <w:left w:val="nil"/>
              <w:bottom w:val="single" w:sz="4" w:space="0" w:color="auto"/>
              <w:right w:val="single" w:sz="4" w:space="0" w:color="auto"/>
            </w:tcBorders>
            <w:shd w:val="clear" w:color="auto" w:fill="auto"/>
            <w:tcMar>
              <w:left w:w="58" w:type="dxa"/>
              <w:right w:w="58" w:type="dxa"/>
            </w:tcMar>
            <w:hideMark/>
          </w:tcPr>
          <w:p w:rsidR="000F2FFB" w:rsidRPr="00711F19" w:rsidRDefault="000F2FFB" w:rsidP="00D25F3D">
            <w:pPr>
              <w:jc w:val="right"/>
              <w:rPr>
                <w:b/>
                <w:bCs/>
                <w:sz w:val="20"/>
                <w:szCs w:val="20"/>
                <w:lang w:val="es-MX"/>
              </w:rPr>
            </w:pPr>
            <w:r w:rsidRPr="00711F19">
              <w:rPr>
                <w:b/>
                <w:bCs/>
                <w:sz w:val="20"/>
                <w:szCs w:val="20"/>
                <w:lang w:val="es-MX"/>
              </w:rPr>
              <w:t>98.977.090</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88</w:t>
            </w:r>
          </w:p>
        </w:tc>
      </w:tr>
    </w:tbl>
    <w:p w:rsidR="000F2FFB" w:rsidRPr="00711F19" w:rsidRDefault="000F2FFB" w:rsidP="000F2FFB">
      <w:pPr>
        <w:rPr>
          <w:sz w:val="18"/>
          <w:szCs w:val="18"/>
          <w:lang w:val="es-MX"/>
        </w:rPr>
      </w:pPr>
      <w:r w:rsidRPr="00711F19">
        <w:rPr>
          <w:sz w:val="18"/>
          <w:szCs w:val="18"/>
          <w:lang w:val="es-MX"/>
        </w:rPr>
        <w:t>* Excluidos los proyectos cerrados y transferidos.</w:t>
      </w:r>
    </w:p>
    <w:p w:rsidR="000F2FFB" w:rsidRPr="00711F19" w:rsidRDefault="000F2FFB" w:rsidP="000F2FFB">
      <w:pPr>
        <w:spacing w:after="240"/>
        <w:rPr>
          <w:sz w:val="18"/>
          <w:szCs w:val="18"/>
          <w:lang w:val="es-MX"/>
        </w:rPr>
      </w:pPr>
      <w:r w:rsidRPr="00711F19">
        <w:rPr>
          <w:sz w:val="18"/>
          <w:szCs w:val="18"/>
          <w:lang w:val="es-MX"/>
        </w:rPr>
        <w:t>** Excluidos los gastos de apoyo del organismo.</w:t>
      </w:r>
    </w:p>
    <w:p w:rsidR="000F2FFB" w:rsidRPr="00711F19" w:rsidRDefault="000F2FFB" w:rsidP="000F2FFB">
      <w:pPr>
        <w:pStyle w:val="Heading1"/>
        <w:rPr>
          <w:lang w:val="es-MX"/>
        </w:rPr>
      </w:pPr>
      <w:r w:rsidRPr="00711F19">
        <w:rPr>
          <w:lang w:val="es-MX"/>
        </w:rPr>
        <w:t>En el cuadro 3 se presenta un panorama de la situación de la ejecución de proyectos por año</w:t>
      </w:r>
      <w:r w:rsidRPr="00711F19">
        <w:rPr>
          <w:rStyle w:val="FootnoteReference"/>
          <w:lang w:val="es-MX"/>
        </w:rPr>
        <w:footnoteReference w:id="36"/>
      </w:r>
      <w:r w:rsidRPr="00711F19">
        <w:rPr>
          <w:lang w:val="es-MX"/>
        </w:rPr>
        <w:t xml:space="preserve">. Todos los proyectos y actividades aprobados entre 1993 y finales de 2005 así como los del año 2007 ya están terminados. </w:t>
      </w:r>
    </w:p>
    <w:p w:rsidR="000F2FFB" w:rsidRPr="00711F19" w:rsidRDefault="000F2FFB" w:rsidP="000F2FFB">
      <w:pPr>
        <w:keepNext/>
        <w:suppressAutoHyphens/>
        <w:jc w:val="left"/>
        <w:rPr>
          <w:b/>
          <w:spacing w:val="-3"/>
          <w:lang w:val="es-MX"/>
        </w:rPr>
      </w:pPr>
      <w:r w:rsidRPr="00711F19">
        <w:rPr>
          <w:b/>
          <w:lang w:val="es-MX"/>
        </w:rPr>
        <w:t>Cuadro 3: Estado de ejecución de proyectos por año</w:t>
      </w:r>
    </w:p>
    <w:tbl>
      <w:tblPr>
        <w:tblW w:w="9464" w:type="dxa"/>
        <w:tblLayout w:type="fixed"/>
        <w:tblLook w:val="04A0" w:firstRow="1" w:lastRow="0" w:firstColumn="1" w:lastColumn="0" w:noHBand="0" w:noVBand="1"/>
      </w:tblPr>
      <w:tblGrid>
        <w:gridCol w:w="988"/>
        <w:gridCol w:w="897"/>
        <w:gridCol w:w="1175"/>
        <w:gridCol w:w="1165"/>
        <w:gridCol w:w="1367"/>
        <w:gridCol w:w="1367"/>
        <w:gridCol w:w="1368"/>
        <w:gridCol w:w="1137"/>
      </w:tblGrid>
      <w:tr w:rsidR="000F2FFB" w:rsidRPr="00711F19" w:rsidTr="00D25F3D">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b/>
                <w:bCs/>
                <w:sz w:val="20"/>
                <w:szCs w:val="20"/>
                <w:lang w:val="es-MX"/>
              </w:rPr>
            </w:pPr>
            <w:r w:rsidRPr="00711F19">
              <w:rPr>
                <w:b/>
                <w:bCs/>
                <w:sz w:val="20"/>
                <w:szCs w:val="20"/>
                <w:lang w:val="es-MX"/>
              </w:rPr>
              <w:t>Año</w:t>
            </w:r>
          </w:p>
        </w:tc>
        <w:tc>
          <w:tcPr>
            <w:tcW w:w="3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0F2FFB" w:rsidRPr="00711F19" w:rsidRDefault="000F2FFB" w:rsidP="00D25F3D">
            <w:pPr>
              <w:jc w:val="center"/>
              <w:rPr>
                <w:b/>
                <w:bCs/>
                <w:sz w:val="20"/>
                <w:szCs w:val="20"/>
                <w:lang w:val="es-MX"/>
              </w:rPr>
            </w:pPr>
            <w:r w:rsidRPr="00711F19">
              <w:rPr>
                <w:b/>
                <w:bCs/>
                <w:sz w:val="20"/>
                <w:szCs w:val="20"/>
                <w:lang w:val="es-MX"/>
              </w:rPr>
              <w:t>Número de proyectos*</w:t>
            </w:r>
          </w:p>
        </w:tc>
        <w:tc>
          <w:tcPr>
            <w:tcW w:w="5239" w:type="dxa"/>
            <w:gridSpan w:val="4"/>
            <w:tcBorders>
              <w:top w:val="single" w:sz="4" w:space="0" w:color="auto"/>
              <w:left w:val="nil"/>
              <w:bottom w:val="single" w:sz="4" w:space="0" w:color="auto"/>
              <w:right w:val="single" w:sz="4" w:space="0" w:color="auto"/>
            </w:tcBorders>
            <w:shd w:val="clear" w:color="auto" w:fill="auto"/>
            <w:noWrap/>
            <w:vAlign w:val="center"/>
            <w:hideMark/>
          </w:tcPr>
          <w:p w:rsidR="000F2FFB" w:rsidRPr="00711F19" w:rsidRDefault="000F2FFB" w:rsidP="00D25F3D">
            <w:pPr>
              <w:jc w:val="center"/>
              <w:rPr>
                <w:b/>
                <w:bCs/>
                <w:sz w:val="20"/>
                <w:szCs w:val="20"/>
                <w:lang w:val="es-MX"/>
              </w:rPr>
            </w:pPr>
            <w:r w:rsidRPr="00711F19">
              <w:rPr>
                <w:b/>
                <w:bCs/>
                <w:sz w:val="20"/>
                <w:szCs w:val="20"/>
                <w:lang w:val="es-MX"/>
              </w:rPr>
              <w:t>Financiación ($EUA)**</w:t>
            </w:r>
          </w:p>
        </w:tc>
      </w:tr>
      <w:tr w:rsidR="000F2FFB" w:rsidRPr="00711F19" w:rsidTr="00D25F3D">
        <w:tc>
          <w:tcPr>
            <w:tcW w:w="988" w:type="dxa"/>
            <w:vMerge/>
            <w:tcBorders>
              <w:top w:val="single" w:sz="4" w:space="0" w:color="auto"/>
              <w:left w:val="single" w:sz="4" w:space="0" w:color="auto"/>
              <w:bottom w:val="single" w:sz="4" w:space="0" w:color="auto"/>
              <w:right w:val="single" w:sz="4" w:space="0" w:color="auto"/>
            </w:tcBorders>
            <w:vAlign w:val="center"/>
            <w:hideMark/>
          </w:tcPr>
          <w:p w:rsidR="000F2FFB" w:rsidRPr="00711F19" w:rsidRDefault="000F2FFB" w:rsidP="00D25F3D">
            <w:pPr>
              <w:jc w:val="left"/>
              <w:rPr>
                <w:b/>
                <w:bCs/>
                <w:sz w:val="20"/>
                <w:szCs w:val="20"/>
                <w:lang w:val="es-MX" w:eastAsia="en-CA"/>
              </w:rPr>
            </w:pPr>
          </w:p>
        </w:tc>
        <w:tc>
          <w:tcPr>
            <w:tcW w:w="89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Aprobados</w:t>
            </w:r>
          </w:p>
        </w:tc>
        <w:tc>
          <w:tcPr>
            <w:tcW w:w="117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Terminados</w:t>
            </w:r>
          </w:p>
        </w:tc>
        <w:tc>
          <w:tcPr>
            <w:tcW w:w="116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 terminados</w:t>
            </w:r>
          </w:p>
        </w:tc>
        <w:tc>
          <w:tcPr>
            <w:tcW w:w="136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Aprobada</w:t>
            </w:r>
          </w:p>
        </w:tc>
        <w:tc>
          <w:tcPr>
            <w:tcW w:w="136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Desembolsada</w:t>
            </w:r>
          </w:p>
        </w:tc>
        <w:tc>
          <w:tcPr>
            <w:tcW w:w="136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Saldo</w:t>
            </w:r>
          </w:p>
        </w:tc>
        <w:tc>
          <w:tcPr>
            <w:tcW w:w="11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 desembolsado</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1993</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22</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22</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11.815.540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11.815.540</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1994</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52</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52</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30.645.899</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30.645.899</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1995</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59</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59</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25.662.092</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25.662.092</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1996</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46</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19.820.493</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19.820.493</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1997</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130</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130</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42.083.037</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42.083.038</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1998</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88</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88</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23.638.291</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23.638.291</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1999</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123</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123</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34.140.324</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34.140.324</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2000</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96</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30.180.752</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30.180.752</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2001</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119</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119</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24.700.254</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24.700.254</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2002</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76</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35.992.041</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35.992.041</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2003</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49</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49</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29.997.305</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29.997.305</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2004</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44</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44</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33.105.459</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33.105.459</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2005</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74</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74</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52.035.808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52.035.807</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2006</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44</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43</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20.760.993</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20.642.655</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118.338</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99</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2007</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42</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42</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24.186.740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24.186.740</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2008</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77</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75</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97</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33.405.264</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33.103.537</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301.727</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99</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2009</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70</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68</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97</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15.409.470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14.695.886</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713.584</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95</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2010</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69</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66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96</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46.339.532</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44.462.245</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1.877.287</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96</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2011</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71</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67</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94</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76.639.775</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72.823.929</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3.815.846</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95</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2012</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52</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41</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79</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32.695.947</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30.092.576</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2.603.370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92</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2013</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37</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35</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95</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31.118.928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30.212.166</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906.762</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97</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2014</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55</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39</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71</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27.891.730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25.243.751</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2.647.979</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91</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2015</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84</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66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79</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37.430.168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19.991.332</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17.438.836</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53</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2016</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58</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45</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36.070.768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19.343.837</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16.726.931</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54</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2017</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28</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8</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29</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16.476.598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9.812.944</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6.663.654</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60</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2018</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62</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3</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27.913.186</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2.132.592</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25.780.594</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8</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sz w:val="20"/>
                <w:szCs w:val="20"/>
                <w:lang w:val="es-MX"/>
              </w:rPr>
            </w:pPr>
            <w:r w:rsidRPr="00711F19">
              <w:rPr>
                <w:sz w:val="20"/>
                <w:szCs w:val="20"/>
                <w:lang w:val="es-MX"/>
              </w:rPr>
              <w:t>2019</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66</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19.508.378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126.198</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19.382.180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sz w:val="20"/>
                <w:szCs w:val="20"/>
                <w:lang w:val="es-MX"/>
              </w:rPr>
            </w:pPr>
            <w:r w:rsidRPr="00711F19">
              <w:rPr>
                <w:sz w:val="20"/>
                <w:szCs w:val="20"/>
                <w:lang w:val="es-MX"/>
              </w:rPr>
              <w:t>1</w:t>
            </w:r>
          </w:p>
        </w:tc>
      </w:tr>
      <w:tr w:rsidR="000F2FFB" w:rsidRPr="00711F19" w:rsidTr="00D25F3D">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F2FFB" w:rsidRPr="00711F19" w:rsidRDefault="000F2FFB" w:rsidP="00D25F3D">
            <w:pPr>
              <w:jc w:val="left"/>
              <w:rPr>
                <w:b/>
                <w:bCs/>
                <w:sz w:val="20"/>
                <w:szCs w:val="20"/>
                <w:lang w:val="es-MX"/>
              </w:rPr>
            </w:pPr>
            <w:r w:rsidRPr="00711F19">
              <w:rPr>
                <w:b/>
                <w:bCs/>
                <w:sz w:val="20"/>
                <w:szCs w:val="20"/>
                <w:lang w:val="es-MX"/>
              </w:rPr>
              <w:t>Total</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b/>
                <w:bCs/>
                <w:sz w:val="20"/>
                <w:szCs w:val="20"/>
                <w:lang w:val="es-MX"/>
              </w:rPr>
            </w:pPr>
            <w:r w:rsidRPr="00711F19">
              <w:rPr>
                <w:b/>
                <w:bCs/>
                <w:sz w:val="20"/>
                <w:szCs w:val="20"/>
                <w:lang w:val="es-MX"/>
              </w:rPr>
              <w:t>1.793</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b/>
                <w:bCs/>
                <w:sz w:val="20"/>
                <w:szCs w:val="20"/>
                <w:lang w:val="es-MX"/>
              </w:rPr>
            </w:pPr>
            <w:r w:rsidRPr="00711F19">
              <w:rPr>
                <w:b/>
                <w:bCs/>
                <w:sz w:val="20"/>
                <w:szCs w:val="20"/>
                <w:lang w:val="es-MX"/>
              </w:rPr>
              <w:t>1.556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b/>
                <w:bCs/>
                <w:sz w:val="20"/>
                <w:szCs w:val="20"/>
                <w:lang w:val="es-MX"/>
              </w:rPr>
            </w:pPr>
            <w:r w:rsidRPr="00711F19">
              <w:rPr>
                <w:b/>
                <w:bCs/>
                <w:sz w:val="20"/>
                <w:szCs w:val="20"/>
                <w:lang w:val="es-MX"/>
              </w:rPr>
              <w:t>87</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b/>
                <w:bCs/>
                <w:sz w:val="20"/>
                <w:szCs w:val="20"/>
                <w:lang w:val="es-MX"/>
              </w:rPr>
            </w:pPr>
            <w:r w:rsidRPr="00711F19">
              <w:rPr>
                <w:b/>
                <w:bCs/>
                <w:sz w:val="20"/>
                <w:szCs w:val="20"/>
                <w:lang w:val="es-MX"/>
              </w:rPr>
              <w:t>839.664.771</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b/>
                <w:bCs/>
                <w:sz w:val="20"/>
                <w:szCs w:val="20"/>
                <w:lang w:val="es-MX"/>
              </w:rPr>
            </w:pPr>
            <w:r w:rsidRPr="00711F19">
              <w:rPr>
                <w:b/>
                <w:bCs/>
                <w:sz w:val="20"/>
                <w:szCs w:val="20"/>
                <w:lang w:val="es-MX"/>
              </w:rPr>
              <w:t>740.687.681</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b/>
                <w:sz w:val="20"/>
                <w:szCs w:val="20"/>
                <w:lang w:val="es-MX"/>
              </w:rPr>
            </w:pPr>
            <w:r w:rsidRPr="00711F19">
              <w:rPr>
                <w:b/>
                <w:sz w:val="20"/>
                <w:szCs w:val="20"/>
                <w:lang w:val="es-MX"/>
              </w:rPr>
              <w:t>98.977.090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rsidR="000F2FFB" w:rsidRPr="00711F19" w:rsidRDefault="000F2FFB" w:rsidP="00D25F3D">
            <w:pPr>
              <w:jc w:val="right"/>
              <w:rPr>
                <w:b/>
                <w:bCs/>
                <w:sz w:val="20"/>
                <w:szCs w:val="20"/>
                <w:lang w:val="es-MX"/>
              </w:rPr>
            </w:pPr>
            <w:r w:rsidRPr="00711F19">
              <w:rPr>
                <w:b/>
                <w:bCs/>
                <w:sz w:val="20"/>
                <w:szCs w:val="20"/>
                <w:lang w:val="es-MX"/>
              </w:rPr>
              <w:t>88</w:t>
            </w:r>
          </w:p>
        </w:tc>
      </w:tr>
    </w:tbl>
    <w:p w:rsidR="000F2FFB" w:rsidRPr="00711F19" w:rsidRDefault="000F2FFB" w:rsidP="00D849F3">
      <w:pPr>
        <w:rPr>
          <w:sz w:val="19"/>
          <w:szCs w:val="19"/>
          <w:lang w:val="es-MX"/>
        </w:rPr>
      </w:pPr>
      <w:r w:rsidRPr="00711F19">
        <w:rPr>
          <w:sz w:val="19"/>
          <w:szCs w:val="19"/>
          <w:lang w:val="es-MX"/>
        </w:rPr>
        <w:t>* Excluidos los proyectos cerrados y transferidos.</w:t>
      </w:r>
      <w:r w:rsidR="00D849F3">
        <w:rPr>
          <w:sz w:val="19"/>
          <w:szCs w:val="19"/>
          <w:lang w:val="es-MX"/>
        </w:rPr>
        <w:t xml:space="preserve">          </w:t>
      </w:r>
      <w:bookmarkStart w:id="0" w:name="_GoBack"/>
      <w:bookmarkEnd w:id="0"/>
      <w:r w:rsidRPr="00711F19">
        <w:rPr>
          <w:sz w:val="19"/>
          <w:szCs w:val="19"/>
          <w:lang w:val="es-MX"/>
        </w:rPr>
        <w:t>** Excluidos los gastos de apoyo del organismo.</w:t>
      </w:r>
    </w:p>
    <w:p w:rsidR="000F2FFB" w:rsidRPr="00711F19" w:rsidRDefault="000F2FFB" w:rsidP="000F2FFB">
      <w:pPr>
        <w:pStyle w:val="Heading1"/>
        <w:rPr>
          <w:lang w:val="es-MX"/>
        </w:rPr>
      </w:pPr>
      <w:r w:rsidRPr="00711F19">
        <w:rPr>
          <w:lang w:val="es-MX"/>
        </w:rPr>
        <w:lastRenderedPageBreak/>
        <w:t>En el Cuadro 4 se muestra la ejecución de proyectos por países durante 2019.</w:t>
      </w:r>
    </w:p>
    <w:p w:rsidR="000F2FFB" w:rsidRPr="00711F19" w:rsidRDefault="000F2FFB" w:rsidP="000F2FFB">
      <w:pPr>
        <w:pStyle w:val="Title1"/>
        <w:keepNext/>
        <w:jc w:val="both"/>
        <w:rPr>
          <w:caps w:val="0"/>
          <w:lang w:val="es-MX"/>
        </w:rPr>
      </w:pPr>
      <w:r w:rsidRPr="00711F19">
        <w:rPr>
          <w:caps w:val="0"/>
          <w:lang w:val="es-MX"/>
        </w:rPr>
        <w:t>Cuadro 4. Resumen de la ejecución de proyectos por la ONUDI para 2019</w:t>
      </w:r>
    </w:p>
    <w:tbl>
      <w:tblPr>
        <w:tblW w:w="9445" w:type="dxa"/>
        <w:tblLook w:val="04A0" w:firstRow="1" w:lastRow="0" w:firstColumn="1" w:lastColumn="0" w:noHBand="0" w:noVBand="1"/>
      </w:tblPr>
      <w:tblGrid>
        <w:gridCol w:w="2482"/>
        <w:gridCol w:w="1183"/>
        <w:gridCol w:w="1070"/>
        <w:gridCol w:w="1188"/>
        <w:gridCol w:w="1188"/>
        <w:gridCol w:w="1308"/>
        <w:gridCol w:w="1082"/>
      </w:tblGrid>
      <w:tr w:rsidR="000F2FFB" w:rsidRPr="0010622B" w:rsidTr="00D25F3D">
        <w:trPr>
          <w:tblHeader/>
        </w:trPr>
        <w:tc>
          <w:tcPr>
            <w:tcW w:w="2482"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rsidR="000F2FFB" w:rsidRPr="00711F19" w:rsidRDefault="000F2FFB" w:rsidP="00D25F3D">
            <w:pPr>
              <w:jc w:val="left"/>
              <w:rPr>
                <w:b/>
                <w:bCs/>
                <w:sz w:val="20"/>
                <w:szCs w:val="20"/>
                <w:lang w:val="es-MX"/>
              </w:rPr>
            </w:pPr>
            <w:r w:rsidRPr="00711F19">
              <w:rPr>
                <w:b/>
                <w:bCs/>
                <w:sz w:val="20"/>
                <w:szCs w:val="20"/>
                <w:lang w:val="es-MX"/>
              </w:rPr>
              <w:t>País</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0F2FFB" w:rsidRPr="00711F19" w:rsidRDefault="000F2FFB" w:rsidP="00D25F3D">
            <w:pPr>
              <w:jc w:val="center"/>
              <w:rPr>
                <w:b/>
                <w:bCs/>
                <w:sz w:val="20"/>
                <w:szCs w:val="20"/>
                <w:lang w:val="es-MX"/>
              </w:rPr>
            </w:pPr>
            <w:r w:rsidRPr="00711F19">
              <w:rPr>
                <w:b/>
                <w:bCs/>
                <w:sz w:val="20"/>
                <w:szCs w:val="20"/>
                <w:lang w:val="es-MX"/>
              </w:rPr>
              <w:t>Eliminación en 2019*</w:t>
            </w:r>
          </w:p>
          <w:p w:rsidR="000F2FFB" w:rsidRPr="00711F19" w:rsidRDefault="000F2FFB" w:rsidP="00D25F3D">
            <w:pPr>
              <w:jc w:val="center"/>
              <w:rPr>
                <w:b/>
                <w:bCs/>
                <w:sz w:val="20"/>
                <w:szCs w:val="20"/>
                <w:lang w:val="es-MX"/>
              </w:rPr>
            </w:pPr>
            <w:r w:rsidRPr="00711F19">
              <w:rPr>
                <w:b/>
                <w:bCs/>
                <w:sz w:val="20"/>
                <w:szCs w:val="20"/>
                <w:lang w:val="es-MX"/>
              </w:rPr>
              <w:t>(toneladas PAO)</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0F2FFB" w:rsidRPr="00711F19" w:rsidRDefault="000F2FFB" w:rsidP="00D25F3D">
            <w:pPr>
              <w:ind w:left="-123" w:right="-75"/>
              <w:jc w:val="center"/>
              <w:rPr>
                <w:b/>
                <w:bCs/>
                <w:sz w:val="20"/>
                <w:szCs w:val="20"/>
                <w:lang w:val="es-MX"/>
              </w:rPr>
            </w:pPr>
            <w:r w:rsidRPr="00711F19">
              <w:rPr>
                <w:b/>
                <w:bCs/>
                <w:sz w:val="20"/>
                <w:szCs w:val="20"/>
                <w:lang w:val="es-MX"/>
              </w:rPr>
              <w:t>Porcentaje de eliminación prevista lograda en 2019</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0F2FFB" w:rsidRPr="00711F19" w:rsidRDefault="000F2FFB" w:rsidP="00D25F3D">
            <w:pPr>
              <w:ind w:left="-141" w:right="-102"/>
              <w:jc w:val="center"/>
              <w:rPr>
                <w:b/>
                <w:bCs/>
                <w:sz w:val="20"/>
                <w:szCs w:val="20"/>
                <w:lang w:val="es-MX"/>
              </w:rPr>
            </w:pPr>
            <w:r w:rsidRPr="00711F19">
              <w:rPr>
                <w:b/>
                <w:bCs/>
                <w:sz w:val="20"/>
                <w:szCs w:val="20"/>
                <w:lang w:val="es-MX"/>
              </w:rPr>
              <w:t>Fondos estimados desembolsados en 2019 ($EUA)</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0F2FFB" w:rsidRPr="00711F19" w:rsidRDefault="000F2FFB" w:rsidP="00D25F3D">
            <w:pPr>
              <w:jc w:val="center"/>
              <w:rPr>
                <w:b/>
                <w:bCs/>
                <w:sz w:val="20"/>
                <w:szCs w:val="20"/>
                <w:lang w:val="es-MX"/>
              </w:rPr>
            </w:pPr>
            <w:r w:rsidRPr="00711F19">
              <w:rPr>
                <w:b/>
                <w:bCs/>
                <w:sz w:val="20"/>
                <w:szCs w:val="20"/>
                <w:lang w:val="es-MX"/>
              </w:rPr>
              <w:t>Fondos desembolsados en 2019 ($EUA)</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0F2FFB" w:rsidRPr="00711F19" w:rsidRDefault="000F2FFB" w:rsidP="00D25F3D">
            <w:pPr>
              <w:ind w:left="-110" w:right="-108"/>
              <w:jc w:val="center"/>
              <w:rPr>
                <w:b/>
                <w:bCs/>
                <w:sz w:val="20"/>
                <w:szCs w:val="20"/>
                <w:lang w:val="es-MX"/>
              </w:rPr>
            </w:pPr>
            <w:r w:rsidRPr="00711F19">
              <w:rPr>
                <w:b/>
                <w:bCs/>
                <w:sz w:val="20"/>
                <w:szCs w:val="20"/>
                <w:lang w:val="es-MX"/>
              </w:rPr>
              <w:t>Porcentaje de fondos desembolsados respecto a la estimación de 2019</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0F2FFB" w:rsidRPr="00711F19" w:rsidRDefault="000F2FFB" w:rsidP="00D25F3D">
            <w:pPr>
              <w:ind w:left="-108" w:right="-111"/>
              <w:jc w:val="center"/>
              <w:rPr>
                <w:b/>
                <w:bCs/>
                <w:sz w:val="20"/>
                <w:szCs w:val="20"/>
                <w:lang w:val="es-MX"/>
              </w:rPr>
            </w:pPr>
            <w:r w:rsidRPr="00711F19">
              <w:rPr>
                <w:b/>
                <w:bCs/>
                <w:sz w:val="20"/>
                <w:szCs w:val="20"/>
                <w:lang w:val="es-MX"/>
              </w:rPr>
              <w:t>Porcentaje de proyectos previstos terminados en 2019</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Afganistán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55.001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75.569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137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Albania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57.001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62.963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Argelia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104.000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78.344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Argentina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471.000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489.338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104</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25</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Armenia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56.776</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70.066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123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Bahamas</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proofErr w:type="spellStart"/>
            <w:r w:rsidRPr="00711F19">
              <w:rPr>
                <w:sz w:val="20"/>
                <w:szCs w:val="20"/>
                <w:lang w:val="es-MX"/>
              </w:rPr>
              <w:t>Bahrein</w:t>
            </w:r>
            <w:proofErr w:type="spellEnd"/>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94.200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96.764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proofErr w:type="spellStart"/>
            <w:r w:rsidRPr="00711F19">
              <w:rPr>
                <w:sz w:val="20"/>
                <w:szCs w:val="20"/>
                <w:lang w:val="es-MX"/>
              </w:rPr>
              <w:t>Benin</w:t>
            </w:r>
            <w:proofErr w:type="spellEnd"/>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2,4</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52.496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175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ind w:right="-104"/>
              <w:jc w:val="left"/>
              <w:rPr>
                <w:sz w:val="20"/>
                <w:szCs w:val="20"/>
                <w:lang w:val="es-MX"/>
              </w:rPr>
            </w:pPr>
            <w:r w:rsidRPr="00711F19">
              <w:rPr>
                <w:sz w:val="20"/>
                <w:szCs w:val="20"/>
                <w:lang w:val="es-MX"/>
              </w:rPr>
              <w:t>Bolivia (Estado Plurinacional de)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0,5</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38.220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21.951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Bosnia y Herzegovina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144.948</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177.620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123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proofErr w:type="spellStart"/>
            <w:r w:rsidRPr="00711F19">
              <w:rPr>
                <w:sz w:val="20"/>
                <w:szCs w:val="20"/>
                <w:lang w:val="es-MX"/>
              </w:rPr>
              <w:t>Botswana</w:t>
            </w:r>
            <w:proofErr w:type="spellEnd"/>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14.114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Brasil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932.000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818.619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Burkina Faso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25.741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51</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Burundi</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16.000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Camerún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166.886</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145.377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Chad</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Chile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115.629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China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186,5</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11.140.005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8.739.889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Congo (el)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8 000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8.936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proofErr w:type="spellStart"/>
            <w:r w:rsidRPr="00711F19">
              <w:rPr>
                <w:sz w:val="20"/>
                <w:szCs w:val="20"/>
                <w:lang w:val="es-MX"/>
              </w:rPr>
              <w:t>Côte</w:t>
            </w:r>
            <w:proofErr w:type="spellEnd"/>
            <w:r w:rsidRPr="00711F19">
              <w:rPr>
                <w:sz w:val="20"/>
                <w:szCs w:val="20"/>
                <w:lang w:val="es-MX"/>
              </w:rPr>
              <w:t xml:space="preserve"> </w:t>
            </w:r>
            <w:proofErr w:type="spellStart"/>
            <w:r w:rsidRPr="00711F19">
              <w:rPr>
                <w:sz w:val="20"/>
                <w:szCs w:val="20"/>
                <w:lang w:val="es-MX"/>
              </w:rPr>
              <w:t>d'Ivoire</w:t>
            </w:r>
            <w:proofErr w:type="spellEnd"/>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República Popular Democrática de Corea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103.150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2062992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Ecuador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246.000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144.264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Egipto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14,3</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1.610.800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561.579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Guinea Ecuatorial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0,1</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5.787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Eritrea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17.000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19.411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114</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Etiopía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Gabón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7.534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Gambia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26.922</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179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Granada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27.000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27.400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101</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Guatemala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0,4</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91.000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149.019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164</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Guinea-Bissau</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16.000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7.305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46</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Honduras</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41.848</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37.907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91</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Irán (República Islámica del)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393.600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561.395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Iraq</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228.001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28.815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Jordania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1.105.000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526.444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48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Kuwait</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71.967</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47.427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66</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Líbano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1.101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Libia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151.239</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80.995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54</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Madagascar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0,4</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16.573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Malawi</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10.744</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8.054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México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310.000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456.330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33</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Montenegro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0,2</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6.700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23.801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355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Marruecos</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285.000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221.077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Mozambique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Myanmar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51.844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173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lastRenderedPageBreak/>
              <w:t>Nicaragua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0,6</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25.029</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5.443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Níger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25.075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25.948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Nigeria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120.001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93.940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Macedonia del Norte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62.001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91.324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Omán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81.758</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62.865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Pakistán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540.000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146.226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Filipinas</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15.965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Más</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Qatar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86.002</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85.943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proofErr w:type="spellStart"/>
            <w:r w:rsidRPr="00711F19">
              <w:rPr>
                <w:sz w:val="20"/>
                <w:szCs w:val="20"/>
                <w:lang w:val="es-MX"/>
              </w:rPr>
              <w:t>Rwanda</w:t>
            </w:r>
            <w:proofErr w:type="spellEnd"/>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5.413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Santa Lucía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18 000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3.356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Arabia Saudita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743.005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1.302.351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175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25</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Senegal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55.321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Serbia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225.000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233.859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104</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Sierra Leona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0,1</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20 000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35.625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178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Somalia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6.000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14.607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243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Sudáfrica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275.001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298.762</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33</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Sudán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7,9</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455.000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424.198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93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proofErr w:type="spellStart"/>
            <w:r w:rsidRPr="00711F19">
              <w:rPr>
                <w:sz w:val="20"/>
                <w:szCs w:val="20"/>
                <w:lang w:val="es-MX"/>
              </w:rPr>
              <w:t>Suriname</w:t>
            </w:r>
            <w:proofErr w:type="spellEnd"/>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29.431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98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Siria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57.000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12.876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Togo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0,3</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29.000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20.977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Túnez</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395.712</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319.870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81</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Turquía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1.417.869</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668.743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47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Turkmenistán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88.901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115.075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129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Uganda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18 000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25.488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 xml:space="preserve">República Unida de </w:t>
            </w:r>
            <w:proofErr w:type="spellStart"/>
            <w:r w:rsidRPr="00711F19">
              <w:rPr>
                <w:sz w:val="20"/>
                <w:szCs w:val="20"/>
                <w:lang w:val="es-MX"/>
              </w:rPr>
              <w:t>Tanzanía</w:t>
            </w:r>
            <w:proofErr w:type="spellEnd"/>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35.000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2.368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Venezuela (República Bolivariana de)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68.400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65.816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96</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Yemen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160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Más</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Zambia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Mundial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146.400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258.173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176</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Región: Asia y Pacífico Sur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75.000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86.368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115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sz w:val="20"/>
                <w:szCs w:val="20"/>
                <w:lang w:val="es-MX"/>
              </w:rPr>
            </w:pPr>
            <w:r w:rsidRPr="00711F19">
              <w:rPr>
                <w:sz w:val="20"/>
                <w:szCs w:val="20"/>
                <w:lang w:val="es-MX"/>
              </w:rPr>
              <w:t>Región: EUR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2.895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2.897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sz w:val="20"/>
                <w:szCs w:val="20"/>
                <w:lang w:val="es-MX"/>
              </w:rPr>
            </w:pPr>
            <w:r w:rsidRPr="00711F19">
              <w:rPr>
                <w:sz w:val="20"/>
                <w:szCs w:val="20"/>
                <w:lang w:val="es-MX"/>
              </w:rPr>
              <w:t> </w:t>
            </w:r>
          </w:p>
        </w:tc>
      </w:tr>
      <w:tr w:rsidR="000F2FFB" w:rsidRPr="00711F19" w:rsidTr="00D25F3D">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0F2FFB" w:rsidRPr="00711F19" w:rsidRDefault="000F2FFB" w:rsidP="00D25F3D">
            <w:pPr>
              <w:jc w:val="left"/>
              <w:rPr>
                <w:b/>
                <w:bCs/>
                <w:sz w:val="20"/>
                <w:szCs w:val="20"/>
                <w:lang w:val="es-MX"/>
              </w:rPr>
            </w:pPr>
            <w:r w:rsidRPr="00711F19">
              <w:rPr>
                <w:b/>
                <w:bCs/>
                <w:sz w:val="20"/>
                <w:szCs w:val="20"/>
                <w:lang w:val="es-MX"/>
              </w:rPr>
              <w:t>Total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b/>
                <w:sz w:val="20"/>
                <w:szCs w:val="20"/>
                <w:lang w:val="es-MX"/>
              </w:rPr>
            </w:pPr>
            <w:r w:rsidRPr="00711F19">
              <w:rPr>
                <w:b/>
                <w:sz w:val="20"/>
                <w:szCs w:val="20"/>
                <w:lang w:val="es-MX"/>
              </w:rPr>
              <w:t>219,0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b/>
                <w:sz w:val="20"/>
                <w:szCs w:val="20"/>
                <w:lang w:val="es-MX"/>
              </w:rPr>
            </w:pPr>
            <w:r w:rsidRPr="00711F19">
              <w:rPr>
                <w:b/>
                <w:sz w:val="20"/>
                <w:szCs w:val="20"/>
                <w:lang w:val="es-MX"/>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b/>
                <w:sz w:val="20"/>
                <w:szCs w:val="20"/>
                <w:lang w:val="es-MX"/>
              </w:rPr>
            </w:pPr>
            <w:r w:rsidRPr="00711F19">
              <w:rPr>
                <w:b/>
                <w:sz w:val="20"/>
                <w:szCs w:val="20"/>
                <w:lang w:val="es-MX"/>
              </w:rPr>
              <w:t>23.582.315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b/>
                <w:sz w:val="20"/>
                <w:szCs w:val="20"/>
                <w:lang w:val="es-MX"/>
              </w:rPr>
            </w:pPr>
            <w:r w:rsidRPr="00711F19">
              <w:rPr>
                <w:b/>
                <w:sz w:val="20"/>
                <w:szCs w:val="20"/>
                <w:lang w:val="es-MX"/>
              </w:rPr>
              <w:t>18.561.616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b/>
                <w:sz w:val="20"/>
                <w:szCs w:val="20"/>
                <w:lang w:val="es-MX"/>
              </w:rPr>
            </w:pPr>
            <w:r w:rsidRPr="00711F19">
              <w:rPr>
                <w:b/>
                <w:sz w:val="20"/>
                <w:szCs w:val="20"/>
                <w:lang w:val="es-MX"/>
              </w:rPr>
              <w:t>79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rsidR="000F2FFB" w:rsidRPr="00711F19" w:rsidRDefault="000F2FFB" w:rsidP="00D25F3D">
            <w:pPr>
              <w:jc w:val="right"/>
              <w:rPr>
                <w:b/>
                <w:sz w:val="20"/>
                <w:szCs w:val="20"/>
                <w:lang w:val="es-MX"/>
              </w:rPr>
            </w:pPr>
            <w:r w:rsidRPr="00711F19">
              <w:rPr>
                <w:b/>
                <w:sz w:val="20"/>
                <w:szCs w:val="20"/>
                <w:lang w:val="es-MX"/>
              </w:rPr>
              <w:t>48</w:t>
            </w:r>
          </w:p>
        </w:tc>
      </w:tr>
    </w:tbl>
    <w:p w:rsidR="000F2FFB" w:rsidRPr="00711F19" w:rsidRDefault="000F2FFB" w:rsidP="000F2FFB">
      <w:pPr>
        <w:pStyle w:val="Title1"/>
        <w:keepNext/>
        <w:jc w:val="both"/>
        <w:rPr>
          <w:b w:val="0"/>
          <w:caps w:val="0"/>
          <w:sz w:val="20"/>
          <w:szCs w:val="20"/>
          <w:lang w:val="es-MX"/>
        </w:rPr>
      </w:pPr>
      <w:r w:rsidRPr="00711F19">
        <w:rPr>
          <w:b w:val="0"/>
          <w:caps w:val="0"/>
          <w:sz w:val="20"/>
          <w:szCs w:val="20"/>
          <w:lang w:val="es-MX"/>
        </w:rPr>
        <w:t>* No hay eliminación en 2019 en proyectos relacionados con los HFC.</w:t>
      </w:r>
    </w:p>
    <w:p w:rsidR="000F2FFB" w:rsidRPr="00711F19" w:rsidRDefault="000F2FFB" w:rsidP="000F2FFB">
      <w:pPr>
        <w:pStyle w:val="Title1"/>
        <w:jc w:val="both"/>
        <w:rPr>
          <w:caps w:val="0"/>
          <w:lang w:val="es-MX"/>
        </w:rPr>
      </w:pPr>
    </w:p>
    <w:p w:rsidR="000F2FFB" w:rsidRPr="00711F19" w:rsidRDefault="000F2FFB" w:rsidP="000F2FFB">
      <w:pPr>
        <w:pStyle w:val="Heading1"/>
        <w:rPr>
          <w:lang w:val="es-MX"/>
        </w:rPr>
      </w:pPr>
      <w:r w:rsidRPr="00711F19">
        <w:rPr>
          <w:lang w:val="es-MX"/>
        </w:rPr>
        <w:t>En el Cuadro 5 se presenta un resumen de los proyectos relacionados con los HFC aprobados con cargo a las contribuciones ordinarias.</w:t>
      </w:r>
    </w:p>
    <w:p w:rsidR="000F2FFB" w:rsidRPr="00711F19" w:rsidRDefault="000F2FFB" w:rsidP="000F2FFB">
      <w:pPr>
        <w:keepNext/>
        <w:rPr>
          <w:b/>
          <w:lang w:val="es-MX"/>
        </w:rPr>
      </w:pPr>
      <w:r w:rsidRPr="00711F19">
        <w:rPr>
          <w:b/>
          <w:lang w:val="es-MX"/>
        </w:rPr>
        <w:t>Cuadro 5. Proyectos relacionados con HFC aprobados en el marco de aportaciones ordinarias</w:t>
      </w:r>
    </w:p>
    <w:tbl>
      <w:tblPr>
        <w:tblW w:w="9360" w:type="dxa"/>
        <w:tblInd w:w="-5" w:type="dxa"/>
        <w:tblLook w:val="04A0" w:firstRow="1" w:lastRow="0" w:firstColumn="1" w:lastColumn="0" w:noHBand="0" w:noVBand="1"/>
      </w:tblPr>
      <w:tblGrid>
        <w:gridCol w:w="1890"/>
        <w:gridCol w:w="1000"/>
        <w:gridCol w:w="1078"/>
        <w:gridCol w:w="1162"/>
        <w:gridCol w:w="1080"/>
        <w:gridCol w:w="1011"/>
        <w:gridCol w:w="1045"/>
        <w:gridCol w:w="1170"/>
      </w:tblGrid>
      <w:tr w:rsidR="000F2FFB" w:rsidRPr="00711F19" w:rsidTr="00D25F3D">
        <w:trPr>
          <w:tblHeader/>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rsidR="000F2FFB" w:rsidRPr="00711F19" w:rsidRDefault="000F2FFB" w:rsidP="00D25F3D">
            <w:pPr>
              <w:keepNext/>
              <w:jc w:val="left"/>
              <w:rPr>
                <w:b/>
                <w:bCs/>
                <w:sz w:val="20"/>
                <w:szCs w:val="20"/>
                <w:lang w:val="es-MX"/>
              </w:rPr>
            </w:pPr>
            <w:r w:rsidRPr="00711F19">
              <w:rPr>
                <w:b/>
                <w:bCs/>
                <w:sz w:val="20"/>
                <w:szCs w:val="20"/>
                <w:lang w:val="es-MX"/>
              </w:rPr>
              <w:t>Tipo</w:t>
            </w:r>
          </w:p>
        </w:tc>
        <w:tc>
          <w:tcPr>
            <w:tcW w:w="3240"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rsidR="000F2FFB" w:rsidRPr="00711F19" w:rsidRDefault="000F2FFB" w:rsidP="00D25F3D">
            <w:pPr>
              <w:keepNext/>
              <w:jc w:val="center"/>
              <w:rPr>
                <w:b/>
                <w:bCs/>
                <w:sz w:val="20"/>
                <w:szCs w:val="20"/>
                <w:lang w:val="es-MX"/>
              </w:rPr>
            </w:pPr>
            <w:r w:rsidRPr="00711F19">
              <w:rPr>
                <w:b/>
                <w:bCs/>
                <w:sz w:val="20"/>
                <w:szCs w:val="20"/>
                <w:lang w:val="es-MX"/>
              </w:rPr>
              <w:t>Número de proyectos</w:t>
            </w:r>
          </w:p>
        </w:tc>
        <w:tc>
          <w:tcPr>
            <w:tcW w:w="4230"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rsidR="000F2FFB" w:rsidRPr="00711F19" w:rsidRDefault="000F2FFB" w:rsidP="00D25F3D">
            <w:pPr>
              <w:keepNext/>
              <w:jc w:val="center"/>
              <w:rPr>
                <w:b/>
                <w:bCs/>
                <w:sz w:val="20"/>
                <w:szCs w:val="20"/>
                <w:lang w:val="es-MX"/>
              </w:rPr>
            </w:pPr>
            <w:r w:rsidRPr="00711F19">
              <w:rPr>
                <w:b/>
                <w:bCs/>
                <w:sz w:val="20"/>
                <w:szCs w:val="20"/>
                <w:lang w:val="es-MX"/>
              </w:rPr>
              <w:t>Financiación ($EUA)*</w:t>
            </w:r>
          </w:p>
        </w:tc>
      </w:tr>
      <w:tr w:rsidR="000F2FFB" w:rsidRPr="00711F19" w:rsidTr="00D25F3D">
        <w:trPr>
          <w:tblHeader/>
        </w:trPr>
        <w:tc>
          <w:tcPr>
            <w:tcW w:w="1890"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rsidR="000F2FFB" w:rsidRPr="00711F19" w:rsidRDefault="000F2FFB" w:rsidP="00D25F3D">
            <w:pPr>
              <w:jc w:val="left"/>
              <w:rPr>
                <w:b/>
                <w:bCs/>
                <w:sz w:val="20"/>
                <w:szCs w:val="20"/>
                <w:lang w:val="es-MX" w:eastAsia="en-CA"/>
              </w:rPr>
            </w:pPr>
          </w:p>
        </w:tc>
        <w:tc>
          <w:tcPr>
            <w:tcW w:w="1000" w:type="dxa"/>
            <w:tcBorders>
              <w:top w:val="nil"/>
              <w:left w:val="nil"/>
              <w:bottom w:val="single" w:sz="4" w:space="0" w:color="auto"/>
              <w:right w:val="single" w:sz="4" w:space="0" w:color="auto"/>
            </w:tcBorders>
            <w:shd w:val="clear" w:color="auto" w:fill="auto"/>
            <w:tcMar>
              <w:left w:w="0" w:type="dxa"/>
              <w:right w:w="0" w:type="dxa"/>
            </w:tcMar>
            <w:hideMark/>
          </w:tcPr>
          <w:p w:rsidR="000F2FFB" w:rsidRPr="00711F19" w:rsidRDefault="000F2FFB" w:rsidP="00D25F3D">
            <w:pPr>
              <w:jc w:val="center"/>
              <w:rPr>
                <w:b/>
                <w:bCs/>
                <w:sz w:val="20"/>
                <w:szCs w:val="20"/>
                <w:lang w:val="es-MX"/>
              </w:rPr>
            </w:pPr>
            <w:r w:rsidRPr="00711F19">
              <w:rPr>
                <w:b/>
                <w:bCs/>
                <w:sz w:val="20"/>
                <w:szCs w:val="20"/>
                <w:lang w:val="es-MX"/>
              </w:rPr>
              <w:t>Aprobados</w:t>
            </w:r>
          </w:p>
        </w:tc>
        <w:tc>
          <w:tcPr>
            <w:tcW w:w="1078" w:type="dxa"/>
            <w:tcBorders>
              <w:top w:val="nil"/>
              <w:left w:val="nil"/>
              <w:bottom w:val="single" w:sz="4" w:space="0" w:color="auto"/>
              <w:right w:val="single" w:sz="4" w:space="0" w:color="auto"/>
            </w:tcBorders>
            <w:shd w:val="clear" w:color="auto" w:fill="auto"/>
            <w:tcMar>
              <w:left w:w="0" w:type="dxa"/>
              <w:right w:w="0" w:type="dxa"/>
            </w:tcMar>
            <w:hideMark/>
          </w:tcPr>
          <w:p w:rsidR="000F2FFB" w:rsidRPr="00711F19" w:rsidRDefault="000F2FFB" w:rsidP="00D25F3D">
            <w:pPr>
              <w:jc w:val="center"/>
              <w:rPr>
                <w:b/>
                <w:bCs/>
                <w:sz w:val="20"/>
                <w:szCs w:val="20"/>
                <w:lang w:val="es-MX"/>
              </w:rPr>
            </w:pPr>
            <w:r w:rsidRPr="00711F19">
              <w:rPr>
                <w:b/>
                <w:bCs/>
                <w:sz w:val="20"/>
                <w:szCs w:val="20"/>
                <w:lang w:val="es-MX"/>
              </w:rPr>
              <w:t>Terminados</w:t>
            </w:r>
          </w:p>
        </w:tc>
        <w:tc>
          <w:tcPr>
            <w:tcW w:w="1162" w:type="dxa"/>
            <w:tcBorders>
              <w:top w:val="nil"/>
              <w:left w:val="nil"/>
              <w:bottom w:val="single" w:sz="4" w:space="0" w:color="auto"/>
              <w:right w:val="single" w:sz="4" w:space="0" w:color="auto"/>
            </w:tcBorders>
            <w:shd w:val="clear" w:color="auto" w:fill="auto"/>
            <w:tcMar>
              <w:left w:w="0" w:type="dxa"/>
              <w:right w:w="0" w:type="dxa"/>
            </w:tcMar>
            <w:hideMark/>
          </w:tcPr>
          <w:p w:rsidR="000F2FFB" w:rsidRPr="00711F19" w:rsidRDefault="000F2FFB" w:rsidP="00D25F3D">
            <w:pPr>
              <w:jc w:val="center"/>
              <w:rPr>
                <w:b/>
                <w:bCs/>
                <w:sz w:val="20"/>
                <w:szCs w:val="20"/>
                <w:lang w:val="es-MX"/>
              </w:rPr>
            </w:pPr>
            <w:r w:rsidRPr="00711F19">
              <w:rPr>
                <w:b/>
                <w:bCs/>
                <w:sz w:val="20"/>
                <w:szCs w:val="20"/>
                <w:lang w:val="es-MX"/>
              </w:rPr>
              <w:t>% terminados</w:t>
            </w:r>
          </w:p>
        </w:tc>
        <w:tc>
          <w:tcPr>
            <w:tcW w:w="1080" w:type="dxa"/>
            <w:tcBorders>
              <w:top w:val="nil"/>
              <w:left w:val="nil"/>
              <w:bottom w:val="single" w:sz="4" w:space="0" w:color="auto"/>
              <w:right w:val="single" w:sz="4" w:space="0" w:color="auto"/>
            </w:tcBorders>
            <w:shd w:val="clear" w:color="auto" w:fill="auto"/>
            <w:tcMar>
              <w:left w:w="0" w:type="dxa"/>
              <w:right w:w="0" w:type="dxa"/>
            </w:tcMar>
            <w:hideMark/>
          </w:tcPr>
          <w:p w:rsidR="000F2FFB" w:rsidRPr="00711F19" w:rsidRDefault="000F2FFB" w:rsidP="00D25F3D">
            <w:pPr>
              <w:jc w:val="center"/>
              <w:rPr>
                <w:b/>
                <w:bCs/>
                <w:sz w:val="20"/>
                <w:szCs w:val="20"/>
                <w:lang w:val="es-MX"/>
              </w:rPr>
            </w:pPr>
            <w:r w:rsidRPr="00711F19">
              <w:rPr>
                <w:b/>
                <w:bCs/>
                <w:sz w:val="20"/>
                <w:szCs w:val="20"/>
                <w:lang w:val="es-MX"/>
              </w:rPr>
              <w:t>Aprobada</w:t>
            </w:r>
          </w:p>
        </w:tc>
        <w:tc>
          <w:tcPr>
            <w:tcW w:w="1011" w:type="dxa"/>
            <w:tcBorders>
              <w:top w:val="nil"/>
              <w:left w:val="nil"/>
              <w:bottom w:val="single" w:sz="4" w:space="0" w:color="auto"/>
              <w:right w:val="single" w:sz="4" w:space="0" w:color="auto"/>
            </w:tcBorders>
            <w:shd w:val="clear" w:color="auto" w:fill="auto"/>
            <w:tcMar>
              <w:left w:w="0" w:type="dxa"/>
              <w:right w:w="0" w:type="dxa"/>
            </w:tcMar>
            <w:hideMark/>
          </w:tcPr>
          <w:p w:rsidR="000F2FFB" w:rsidRPr="00711F19" w:rsidRDefault="000F2FFB" w:rsidP="00D25F3D">
            <w:pPr>
              <w:jc w:val="center"/>
              <w:rPr>
                <w:b/>
                <w:bCs/>
                <w:sz w:val="20"/>
                <w:szCs w:val="20"/>
                <w:lang w:val="es-MX"/>
              </w:rPr>
            </w:pPr>
            <w:r w:rsidRPr="00711F19">
              <w:rPr>
                <w:b/>
                <w:bCs/>
                <w:sz w:val="20"/>
                <w:szCs w:val="20"/>
                <w:lang w:val="es-MX"/>
              </w:rPr>
              <w:t>Desembolsada</w:t>
            </w:r>
          </w:p>
        </w:tc>
        <w:tc>
          <w:tcPr>
            <w:tcW w:w="969" w:type="dxa"/>
            <w:tcBorders>
              <w:top w:val="nil"/>
              <w:left w:val="nil"/>
              <w:bottom w:val="single" w:sz="4" w:space="0" w:color="auto"/>
              <w:right w:val="single" w:sz="4" w:space="0" w:color="auto"/>
            </w:tcBorders>
            <w:shd w:val="clear" w:color="auto" w:fill="auto"/>
            <w:tcMar>
              <w:left w:w="0" w:type="dxa"/>
              <w:right w:w="0" w:type="dxa"/>
            </w:tcMar>
            <w:hideMark/>
          </w:tcPr>
          <w:p w:rsidR="000F2FFB" w:rsidRPr="00711F19" w:rsidRDefault="000F2FFB" w:rsidP="00D25F3D">
            <w:pPr>
              <w:jc w:val="center"/>
              <w:rPr>
                <w:b/>
                <w:bCs/>
                <w:sz w:val="20"/>
                <w:szCs w:val="20"/>
                <w:lang w:val="es-MX"/>
              </w:rPr>
            </w:pPr>
            <w:r w:rsidRPr="00711F19">
              <w:rPr>
                <w:b/>
                <w:bCs/>
                <w:sz w:val="20"/>
                <w:szCs w:val="20"/>
                <w:lang w:val="es-MX"/>
              </w:rPr>
              <w:t>Saldo</w:t>
            </w:r>
          </w:p>
        </w:tc>
        <w:tc>
          <w:tcPr>
            <w:tcW w:w="1170" w:type="dxa"/>
            <w:tcBorders>
              <w:top w:val="nil"/>
              <w:left w:val="nil"/>
              <w:bottom w:val="single" w:sz="4" w:space="0" w:color="auto"/>
              <w:right w:val="single" w:sz="4" w:space="0" w:color="auto"/>
            </w:tcBorders>
            <w:shd w:val="clear" w:color="auto" w:fill="auto"/>
            <w:tcMar>
              <w:left w:w="0" w:type="dxa"/>
              <w:right w:w="0" w:type="dxa"/>
            </w:tcMar>
            <w:hideMark/>
          </w:tcPr>
          <w:p w:rsidR="000F2FFB" w:rsidRPr="00711F19" w:rsidRDefault="000F2FFB" w:rsidP="00D25F3D">
            <w:pPr>
              <w:jc w:val="center"/>
              <w:rPr>
                <w:b/>
                <w:bCs/>
                <w:sz w:val="20"/>
                <w:szCs w:val="20"/>
                <w:lang w:val="es-MX"/>
              </w:rPr>
            </w:pPr>
            <w:r w:rsidRPr="00711F19">
              <w:rPr>
                <w:b/>
                <w:bCs/>
                <w:sz w:val="20"/>
                <w:szCs w:val="20"/>
                <w:lang w:val="es-MX"/>
              </w:rPr>
              <w:t>% desembolsado</w:t>
            </w:r>
          </w:p>
        </w:tc>
      </w:tr>
      <w:tr w:rsidR="000F2FFB" w:rsidRPr="00711F19" w:rsidTr="00D25F3D">
        <w:tc>
          <w:tcPr>
            <w:tcW w:w="1890"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rsidR="000F2FFB" w:rsidRPr="00711F19" w:rsidRDefault="000F2FFB" w:rsidP="00D25F3D">
            <w:pPr>
              <w:jc w:val="left"/>
              <w:rPr>
                <w:sz w:val="20"/>
                <w:szCs w:val="20"/>
                <w:lang w:val="es-MX"/>
              </w:rPr>
            </w:pPr>
            <w:r w:rsidRPr="00711F19">
              <w:rPr>
                <w:sz w:val="20"/>
                <w:szCs w:val="20"/>
                <w:lang w:val="es-MX"/>
              </w:rPr>
              <w:t>Inversión**</w:t>
            </w:r>
          </w:p>
        </w:tc>
        <w:tc>
          <w:tcPr>
            <w:tcW w:w="100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w:t>
            </w:r>
          </w:p>
        </w:tc>
        <w:tc>
          <w:tcPr>
            <w:tcW w:w="1078"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162"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1.637.610</w:t>
            </w:r>
          </w:p>
        </w:tc>
        <w:tc>
          <w:tcPr>
            <w:tcW w:w="1011"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403.401</w:t>
            </w:r>
          </w:p>
        </w:tc>
        <w:tc>
          <w:tcPr>
            <w:tcW w:w="969"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1.234.209</w:t>
            </w:r>
          </w:p>
        </w:tc>
        <w:tc>
          <w:tcPr>
            <w:tcW w:w="117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25</w:t>
            </w:r>
          </w:p>
        </w:tc>
      </w:tr>
      <w:tr w:rsidR="000F2FFB" w:rsidRPr="00711F19" w:rsidTr="00D25F3D">
        <w:tc>
          <w:tcPr>
            <w:tcW w:w="1890"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rsidR="000F2FFB" w:rsidRPr="00711F19" w:rsidRDefault="000F2FFB" w:rsidP="00D25F3D">
            <w:pPr>
              <w:jc w:val="left"/>
              <w:rPr>
                <w:sz w:val="20"/>
                <w:szCs w:val="20"/>
                <w:lang w:val="es-MX"/>
              </w:rPr>
            </w:pPr>
            <w:r w:rsidRPr="00711F19">
              <w:rPr>
                <w:sz w:val="20"/>
                <w:szCs w:val="20"/>
                <w:lang w:val="es-MX"/>
              </w:rPr>
              <w:t>Preparación de proyectos</w:t>
            </w:r>
          </w:p>
        </w:tc>
        <w:tc>
          <w:tcPr>
            <w:tcW w:w="100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2</w:t>
            </w:r>
          </w:p>
        </w:tc>
        <w:tc>
          <w:tcPr>
            <w:tcW w:w="1078"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w:t>
            </w:r>
          </w:p>
        </w:tc>
        <w:tc>
          <w:tcPr>
            <w:tcW w:w="1162"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50</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130.000</w:t>
            </w:r>
          </w:p>
        </w:tc>
        <w:tc>
          <w:tcPr>
            <w:tcW w:w="1011"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129.598</w:t>
            </w:r>
          </w:p>
        </w:tc>
        <w:tc>
          <w:tcPr>
            <w:tcW w:w="969"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402</w:t>
            </w:r>
          </w:p>
        </w:tc>
        <w:tc>
          <w:tcPr>
            <w:tcW w:w="117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100</w:t>
            </w:r>
          </w:p>
        </w:tc>
      </w:tr>
      <w:tr w:rsidR="000F2FFB" w:rsidRPr="00711F19" w:rsidTr="00D25F3D">
        <w:tc>
          <w:tcPr>
            <w:tcW w:w="189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rsidR="000F2FFB" w:rsidRPr="00711F19" w:rsidRDefault="000F2FFB" w:rsidP="00D25F3D">
            <w:pPr>
              <w:jc w:val="left"/>
              <w:rPr>
                <w:sz w:val="20"/>
                <w:szCs w:val="20"/>
                <w:lang w:val="es-MX"/>
              </w:rPr>
            </w:pPr>
            <w:r w:rsidRPr="00711F19">
              <w:rPr>
                <w:sz w:val="20"/>
                <w:szCs w:val="20"/>
                <w:lang w:val="es-MX"/>
              </w:rPr>
              <w:t>Asistencia técnica - Actividades de apoyo</w:t>
            </w:r>
          </w:p>
        </w:tc>
        <w:tc>
          <w:tcPr>
            <w:tcW w:w="100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3</w:t>
            </w:r>
          </w:p>
        </w:tc>
        <w:tc>
          <w:tcPr>
            <w:tcW w:w="1078"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162"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400.000</w:t>
            </w:r>
          </w:p>
        </w:tc>
        <w:tc>
          <w:tcPr>
            <w:tcW w:w="1011"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22.216</w:t>
            </w:r>
          </w:p>
        </w:tc>
        <w:tc>
          <w:tcPr>
            <w:tcW w:w="969"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377.784</w:t>
            </w:r>
          </w:p>
        </w:tc>
        <w:tc>
          <w:tcPr>
            <w:tcW w:w="117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6</w:t>
            </w:r>
          </w:p>
        </w:tc>
      </w:tr>
      <w:tr w:rsidR="000F2FFB" w:rsidRPr="00711F19" w:rsidTr="00D25F3D">
        <w:tc>
          <w:tcPr>
            <w:tcW w:w="1890"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rsidR="000F2FFB" w:rsidRPr="00711F19" w:rsidRDefault="000F2FFB" w:rsidP="00D25F3D">
            <w:pPr>
              <w:jc w:val="left"/>
              <w:rPr>
                <w:b/>
                <w:bCs/>
                <w:sz w:val="20"/>
                <w:szCs w:val="20"/>
                <w:lang w:val="es-MX"/>
              </w:rPr>
            </w:pPr>
            <w:r w:rsidRPr="00711F19">
              <w:rPr>
                <w:b/>
                <w:bCs/>
                <w:sz w:val="20"/>
                <w:szCs w:val="20"/>
                <w:lang w:val="es-MX"/>
              </w:rPr>
              <w:t>Total</w:t>
            </w:r>
          </w:p>
        </w:tc>
        <w:tc>
          <w:tcPr>
            <w:tcW w:w="100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6</w:t>
            </w:r>
          </w:p>
        </w:tc>
        <w:tc>
          <w:tcPr>
            <w:tcW w:w="1078"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1</w:t>
            </w:r>
          </w:p>
        </w:tc>
        <w:tc>
          <w:tcPr>
            <w:tcW w:w="1162"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17</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2.167.610</w:t>
            </w:r>
          </w:p>
        </w:tc>
        <w:tc>
          <w:tcPr>
            <w:tcW w:w="1011"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555.215</w:t>
            </w:r>
          </w:p>
        </w:tc>
        <w:tc>
          <w:tcPr>
            <w:tcW w:w="969"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1.612.395</w:t>
            </w:r>
          </w:p>
        </w:tc>
        <w:tc>
          <w:tcPr>
            <w:tcW w:w="117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26</w:t>
            </w:r>
          </w:p>
        </w:tc>
      </w:tr>
    </w:tbl>
    <w:p w:rsidR="000F2FFB" w:rsidRPr="00711F19" w:rsidRDefault="000F2FFB" w:rsidP="000F2FFB">
      <w:pPr>
        <w:rPr>
          <w:sz w:val="19"/>
          <w:szCs w:val="19"/>
          <w:lang w:val="es-MX"/>
        </w:rPr>
      </w:pPr>
      <w:r w:rsidRPr="00711F19">
        <w:rPr>
          <w:sz w:val="19"/>
          <w:szCs w:val="19"/>
          <w:lang w:val="es-MX"/>
        </w:rPr>
        <w:t xml:space="preserve">* Excluidos los gastos de apoyo del organismo. </w:t>
      </w:r>
    </w:p>
    <w:p w:rsidR="000F2FFB" w:rsidRPr="00711F19" w:rsidRDefault="000F2FFB" w:rsidP="000F2FFB">
      <w:pPr>
        <w:rPr>
          <w:sz w:val="20"/>
          <w:szCs w:val="20"/>
          <w:lang w:val="es-MX"/>
        </w:rPr>
      </w:pPr>
      <w:r w:rsidRPr="00711F19">
        <w:rPr>
          <w:sz w:val="20"/>
          <w:szCs w:val="20"/>
          <w:lang w:val="es-MX"/>
        </w:rPr>
        <w:t xml:space="preserve">** 118,7 </w:t>
      </w:r>
      <w:proofErr w:type="spellStart"/>
      <w:r w:rsidRPr="00711F19">
        <w:rPr>
          <w:sz w:val="20"/>
          <w:szCs w:val="20"/>
          <w:lang w:val="es-MX"/>
        </w:rPr>
        <w:t>tm</w:t>
      </w:r>
      <w:proofErr w:type="spellEnd"/>
      <w:r w:rsidRPr="00711F19">
        <w:rPr>
          <w:sz w:val="20"/>
          <w:szCs w:val="20"/>
          <w:lang w:val="es-MX"/>
        </w:rPr>
        <w:t xml:space="preserve"> (211.512 </w:t>
      </w:r>
      <w:proofErr w:type="spellStart"/>
      <w:r w:rsidRPr="00711F19">
        <w:rPr>
          <w:sz w:val="20"/>
          <w:szCs w:val="20"/>
          <w:lang w:val="es-MX"/>
        </w:rPr>
        <w:t>tm</w:t>
      </w:r>
      <w:proofErr w:type="spellEnd"/>
      <w:r w:rsidRPr="00711F19">
        <w:rPr>
          <w:sz w:val="20"/>
          <w:szCs w:val="20"/>
          <w:lang w:val="es-MX"/>
        </w:rPr>
        <w:t xml:space="preserve"> de </w:t>
      </w:r>
      <w:proofErr w:type="spellStart"/>
      <w:r w:rsidRPr="00711F19">
        <w:rPr>
          <w:sz w:val="20"/>
          <w:szCs w:val="20"/>
          <w:lang w:val="es-MX"/>
        </w:rPr>
        <w:t>eq</w:t>
      </w:r>
      <w:proofErr w:type="spellEnd"/>
      <w:r w:rsidRPr="00711F19">
        <w:rPr>
          <w:sz w:val="20"/>
          <w:szCs w:val="20"/>
          <w:lang w:val="es-MX"/>
        </w:rPr>
        <w:t>. de CO</w:t>
      </w:r>
      <w:r w:rsidRPr="00711F19">
        <w:rPr>
          <w:sz w:val="20"/>
          <w:szCs w:val="20"/>
          <w:vertAlign w:val="subscript"/>
          <w:lang w:val="es-MX"/>
        </w:rPr>
        <w:t>2</w:t>
      </w:r>
      <w:r w:rsidRPr="00711F19">
        <w:rPr>
          <w:sz w:val="20"/>
          <w:szCs w:val="20"/>
          <w:lang w:val="es-MX"/>
        </w:rPr>
        <w:t>) aprobados para proyectos de inversión.</w:t>
      </w:r>
    </w:p>
    <w:p w:rsidR="000F2FFB" w:rsidRPr="00711F19" w:rsidRDefault="000F2FFB" w:rsidP="000F2FFB">
      <w:pPr>
        <w:rPr>
          <w:sz w:val="20"/>
          <w:szCs w:val="20"/>
          <w:lang w:val="es-MX"/>
        </w:rPr>
      </w:pPr>
    </w:p>
    <w:p w:rsidR="000F2FFB" w:rsidRPr="00711F19" w:rsidRDefault="000F2FFB" w:rsidP="000F2FFB">
      <w:pPr>
        <w:pStyle w:val="Heading1"/>
        <w:rPr>
          <w:lang w:val="es-MX"/>
        </w:rPr>
      </w:pPr>
      <w:r w:rsidRPr="00711F19">
        <w:rPr>
          <w:lang w:val="es-MX"/>
        </w:rPr>
        <w:t>Actualmente hay seis proyectos relacionados con los HFC (incluidos una inversión, dos preparaciones y tres actividades de apoyo). De los seis proyectos, se ha terminado una preparación de proyecto, y quedan cinco en curso. La prórroga de las fechas de terminación de dos actividades de apoyo se aprobó en la reunión 85ª; estas actividades se encuentran en diversas etapas de ejecución.</w:t>
      </w:r>
    </w:p>
    <w:p w:rsidR="000F2FFB" w:rsidRPr="00711F19" w:rsidRDefault="000F2FFB" w:rsidP="000F2FFB">
      <w:pPr>
        <w:pStyle w:val="Heading1"/>
        <w:rPr>
          <w:lang w:val="es-MX"/>
        </w:rPr>
      </w:pPr>
      <w:r w:rsidRPr="00711F19">
        <w:rPr>
          <w:lang w:val="es-MX"/>
        </w:rPr>
        <w:t xml:space="preserve">El proyecto de inversión de HFC relacionado con el sector de refrigeración en Jordania aprobado en junio de 2018 está avanzando y la ONUDI indicó que terminará a tiempo. </w:t>
      </w:r>
    </w:p>
    <w:p w:rsidR="000F2FFB" w:rsidRPr="00711F19" w:rsidRDefault="000F2FFB" w:rsidP="000F2FFB">
      <w:pPr>
        <w:pStyle w:val="Heading1"/>
        <w:tabs>
          <w:tab w:val="clear" w:pos="0"/>
        </w:tabs>
        <w:rPr>
          <w:lang w:val="es-MX"/>
        </w:rPr>
      </w:pPr>
      <w:r w:rsidRPr="00711F19">
        <w:rPr>
          <w:lang w:val="es-MX"/>
        </w:rPr>
        <w:t>De la financiación acumulada total aprobada de 2.167.610 $EUA (excluidos los gastos de apoyo del organismo), se habían desembolsado 555.215 $ EUA, lo que representa una tasa de desembolso del 26 por ciento.</w:t>
      </w:r>
    </w:p>
    <w:p w:rsidR="000F2FFB" w:rsidRPr="00711F19" w:rsidRDefault="000F2FFB" w:rsidP="000F2FFB">
      <w:pPr>
        <w:pStyle w:val="Heading1"/>
        <w:keepNext/>
        <w:keepLines/>
        <w:numPr>
          <w:ilvl w:val="0"/>
          <w:numId w:val="0"/>
        </w:numPr>
        <w:ind w:left="1418" w:hanging="1418"/>
        <w:rPr>
          <w:rFonts w:ascii="Times New Roman Bold" w:hAnsi="Times New Roman Bold"/>
          <w:b/>
          <w:caps/>
          <w:szCs w:val="28"/>
          <w:lang w:val="es-MX"/>
        </w:rPr>
      </w:pPr>
      <w:r w:rsidRPr="00711F19">
        <w:rPr>
          <w:rFonts w:ascii="Times New Roman Bold" w:hAnsi="Times New Roman Bold"/>
          <w:b/>
          <w:caps/>
          <w:szCs w:val="28"/>
          <w:lang w:val="es-MX"/>
        </w:rPr>
        <w:t>Parte II:</w:t>
      </w:r>
      <w:r w:rsidRPr="00711F19">
        <w:rPr>
          <w:rFonts w:ascii="Times New Roman Bold" w:hAnsi="Times New Roman Bold"/>
          <w:b/>
          <w:caps/>
          <w:szCs w:val="28"/>
          <w:lang w:val="es-MX"/>
        </w:rPr>
        <w:tab/>
        <w:t>Proyectos aprobados en el marco de las contribuciones voluntarias adicionales destinadas para proporcionar ayuda a corto plazo para la reducción de los HFC</w:t>
      </w:r>
    </w:p>
    <w:p w:rsidR="000F2FFB" w:rsidRPr="00711F19" w:rsidRDefault="000F2FFB" w:rsidP="000F2FFB">
      <w:pPr>
        <w:pStyle w:val="Heading1"/>
        <w:rPr>
          <w:lang w:val="es-MX"/>
        </w:rPr>
      </w:pPr>
      <w:r w:rsidRPr="00711F19">
        <w:rPr>
          <w:lang w:val="es-MX"/>
        </w:rPr>
        <w:t xml:space="preserve">Al 31 de diciembre de 2019, el Comité Ejecutivo había aprobado 35 proyectos relacionados con los HFC en el marco de las contribuciones voluntarias adicionales por la suma de 8.089.434 $EUA (excluidos los gastos de apoyo del organismo). El estado de situación de estos proyectos se resume en el Cuadro 6. </w:t>
      </w:r>
    </w:p>
    <w:p w:rsidR="000F2FFB" w:rsidRPr="00711F19" w:rsidRDefault="000F2FFB" w:rsidP="000F2FFB">
      <w:pPr>
        <w:pStyle w:val="Heading1"/>
        <w:numPr>
          <w:ilvl w:val="0"/>
          <w:numId w:val="0"/>
        </w:numPr>
        <w:spacing w:after="0"/>
        <w:rPr>
          <w:b/>
          <w:lang w:val="es-MX"/>
        </w:rPr>
      </w:pPr>
      <w:r w:rsidRPr="00711F19">
        <w:rPr>
          <w:b/>
          <w:lang w:val="es-MX"/>
        </w:rPr>
        <w:t>Cuadro 6. Estado de los proyectos aprobados relacionados con los HFC a finales de 2019</w:t>
      </w:r>
    </w:p>
    <w:tbl>
      <w:tblPr>
        <w:tblW w:w="9408" w:type="dxa"/>
        <w:tblLook w:val="04A0" w:firstRow="1" w:lastRow="0" w:firstColumn="1" w:lastColumn="0" w:noHBand="0" w:noVBand="1"/>
      </w:tblPr>
      <w:tblGrid>
        <w:gridCol w:w="1861"/>
        <w:gridCol w:w="1065"/>
        <w:gridCol w:w="1080"/>
        <w:gridCol w:w="1052"/>
        <w:gridCol w:w="1142"/>
        <w:gridCol w:w="1094"/>
        <w:gridCol w:w="1047"/>
        <w:gridCol w:w="1067"/>
      </w:tblGrid>
      <w:tr w:rsidR="000F2FFB" w:rsidRPr="00711F19" w:rsidTr="00D25F3D">
        <w:trPr>
          <w:trHeight w:val="20"/>
        </w:trPr>
        <w:tc>
          <w:tcPr>
            <w:tcW w:w="1861"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rsidR="000F2FFB" w:rsidRPr="00711F19" w:rsidRDefault="000F2FFB" w:rsidP="00D25F3D">
            <w:pPr>
              <w:jc w:val="left"/>
              <w:rPr>
                <w:b/>
                <w:bCs/>
                <w:sz w:val="20"/>
                <w:szCs w:val="20"/>
                <w:lang w:val="es-MX"/>
              </w:rPr>
            </w:pPr>
            <w:r w:rsidRPr="00711F19">
              <w:rPr>
                <w:b/>
                <w:bCs/>
                <w:sz w:val="20"/>
                <w:szCs w:val="20"/>
                <w:lang w:val="es-MX"/>
              </w:rPr>
              <w:t>Tipo</w:t>
            </w:r>
          </w:p>
        </w:tc>
        <w:tc>
          <w:tcPr>
            <w:tcW w:w="3197"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rsidR="000F2FFB" w:rsidRPr="00711F19" w:rsidRDefault="000F2FFB" w:rsidP="00D25F3D">
            <w:pPr>
              <w:jc w:val="center"/>
              <w:rPr>
                <w:b/>
                <w:bCs/>
                <w:sz w:val="20"/>
                <w:szCs w:val="20"/>
                <w:lang w:val="es-MX"/>
              </w:rPr>
            </w:pPr>
            <w:r w:rsidRPr="00711F19">
              <w:rPr>
                <w:b/>
                <w:bCs/>
                <w:sz w:val="20"/>
                <w:szCs w:val="20"/>
                <w:lang w:val="es-MX"/>
              </w:rPr>
              <w:t>Número de proyectos</w:t>
            </w:r>
          </w:p>
        </w:tc>
        <w:tc>
          <w:tcPr>
            <w:tcW w:w="4350"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rsidR="000F2FFB" w:rsidRPr="00711F19" w:rsidRDefault="000F2FFB" w:rsidP="00D25F3D">
            <w:pPr>
              <w:jc w:val="center"/>
              <w:rPr>
                <w:b/>
                <w:bCs/>
                <w:sz w:val="20"/>
                <w:szCs w:val="20"/>
                <w:lang w:val="es-MX"/>
              </w:rPr>
            </w:pPr>
            <w:r w:rsidRPr="00711F19">
              <w:rPr>
                <w:b/>
                <w:bCs/>
                <w:sz w:val="20"/>
                <w:szCs w:val="20"/>
                <w:lang w:val="es-MX"/>
              </w:rPr>
              <w:t>Financiación ($EUA)*</w:t>
            </w:r>
          </w:p>
        </w:tc>
      </w:tr>
      <w:tr w:rsidR="000F2FFB" w:rsidRPr="00711F19" w:rsidTr="00D25F3D">
        <w:trPr>
          <w:trHeight w:val="20"/>
        </w:trPr>
        <w:tc>
          <w:tcPr>
            <w:tcW w:w="1861"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rsidR="000F2FFB" w:rsidRPr="00711F19" w:rsidRDefault="000F2FFB" w:rsidP="00D25F3D">
            <w:pPr>
              <w:jc w:val="left"/>
              <w:rPr>
                <w:b/>
                <w:bCs/>
                <w:sz w:val="20"/>
                <w:szCs w:val="20"/>
                <w:lang w:val="es-MX" w:eastAsia="en-CA"/>
              </w:rPr>
            </w:pPr>
          </w:p>
        </w:tc>
        <w:tc>
          <w:tcPr>
            <w:tcW w:w="106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Aprobados</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Terminados</w:t>
            </w:r>
          </w:p>
        </w:tc>
        <w:tc>
          <w:tcPr>
            <w:tcW w:w="10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 terminados</w:t>
            </w:r>
          </w:p>
        </w:tc>
        <w:tc>
          <w:tcPr>
            <w:tcW w:w="114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Aprobada</w:t>
            </w:r>
          </w:p>
        </w:tc>
        <w:tc>
          <w:tcPr>
            <w:tcW w:w="109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Desembolsada</w:t>
            </w:r>
          </w:p>
        </w:tc>
        <w:tc>
          <w:tcPr>
            <w:tcW w:w="104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Saldo</w:t>
            </w:r>
          </w:p>
        </w:tc>
        <w:tc>
          <w:tcPr>
            <w:tcW w:w="106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0F2FFB" w:rsidRPr="00711F19" w:rsidRDefault="000F2FFB" w:rsidP="00D25F3D">
            <w:pPr>
              <w:jc w:val="center"/>
              <w:rPr>
                <w:b/>
                <w:bCs/>
                <w:sz w:val="20"/>
                <w:szCs w:val="20"/>
                <w:lang w:val="es-MX"/>
              </w:rPr>
            </w:pPr>
            <w:r w:rsidRPr="00711F19">
              <w:rPr>
                <w:b/>
                <w:bCs/>
                <w:sz w:val="20"/>
                <w:szCs w:val="20"/>
                <w:lang w:val="es-MX"/>
              </w:rPr>
              <w:t>% desembolsado</w:t>
            </w:r>
          </w:p>
        </w:tc>
      </w:tr>
      <w:tr w:rsidR="000F2FFB" w:rsidRPr="00711F19" w:rsidTr="00D25F3D">
        <w:trPr>
          <w:trHeight w:val="20"/>
        </w:trPr>
        <w:tc>
          <w:tcPr>
            <w:tcW w:w="1861"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rsidR="000F2FFB" w:rsidRPr="00711F19" w:rsidRDefault="000F2FFB" w:rsidP="00D25F3D">
            <w:pPr>
              <w:jc w:val="left"/>
              <w:rPr>
                <w:sz w:val="20"/>
                <w:szCs w:val="20"/>
                <w:lang w:val="es-MX"/>
              </w:rPr>
            </w:pPr>
            <w:r w:rsidRPr="00711F19">
              <w:rPr>
                <w:sz w:val="20"/>
                <w:szCs w:val="20"/>
                <w:lang w:val="es-MX"/>
              </w:rPr>
              <w:t>Inversión**</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3</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0</w:t>
            </w:r>
          </w:p>
        </w:tc>
        <w:tc>
          <w:tcPr>
            <w:tcW w:w="1142"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3.912.736</w:t>
            </w:r>
          </w:p>
        </w:tc>
        <w:tc>
          <w:tcPr>
            <w:tcW w:w="1094"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1.522.952</w:t>
            </w:r>
          </w:p>
        </w:tc>
        <w:tc>
          <w:tcPr>
            <w:tcW w:w="1047"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2.389.784</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39</w:t>
            </w:r>
          </w:p>
        </w:tc>
      </w:tr>
      <w:tr w:rsidR="000F2FFB" w:rsidRPr="00711F19" w:rsidTr="00D25F3D">
        <w:trPr>
          <w:trHeight w:val="20"/>
        </w:trPr>
        <w:tc>
          <w:tcPr>
            <w:tcW w:w="1861"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rsidR="000F2FFB" w:rsidRPr="00711F19" w:rsidRDefault="000F2FFB" w:rsidP="00D25F3D">
            <w:pPr>
              <w:jc w:val="left"/>
              <w:rPr>
                <w:sz w:val="20"/>
                <w:szCs w:val="20"/>
                <w:lang w:val="es-MX"/>
              </w:rPr>
            </w:pPr>
            <w:r w:rsidRPr="00711F19">
              <w:rPr>
                <w:sz w:val="20"/>
                <w:szCs w:val="20"/>
                <w:lang w:val="es-MX"/>
              </w:rPr>
              <w:t>Preparación de proyectos</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4</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3</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75</w:t>
            </w:r>
          </w:p>
        </w:tc>
        <w:tc>
          <w:tcPr>
            <w:tcW w:w="1142"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119.755</w:t>
            </w:r>
          </w:p>
        </w:tc>
        <w:tc>
          <w:tcPr>
            <w:tcW w:w="1094"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95.807</w:t>
            </w:r>
          </w:p>
        </w:tc>
        <w:tc>
          <w:tcPr>
            <w:tcW w:w="1047"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23.948</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80</w:t>
            </w:r>
          </w:p>
        </w:tc>
      </w:tr>
      <w:tr w:rsidR="000F2FFB" w:rsidRPr="00711F19" w:rsidTr="00D25F3D">
        <w:trPr>
          <w:trHeight w:val="20"/>
        </w:trPr>
        <w:tc>
          <w:tcPr>
            <w:tcW w:w="1861"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rsidR="000F2FFB" w:rsidRPr="00711F19" w:rsidRDefault="000F2FFB" w:rsidP="00D25F3D">
            <w:pPr>
              <w:jc w:val="left"/>
              <w:rPr>
                <w:sz w:val="20"/>
                <w:szCs w:val="20"/>
                <w:lang w:val="es-MX"/>
              </w:rPr>
            </w:pPr>
            <w:r w:rsidRPr="00711F19">
              <w:rPr>
                <w:sz w:val="20"/>
                <w:szCs w:val="20"/>
                <w:lang w:val="es-MX"/>
              </w:rPr>
              <w:t>Asistencia técnica - Actividades de apoyo</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28</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4</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14</w:t>
            </w:r>
          </w:p>
        </w:tc>
        <w:tc>
          <w:tcPr>
            <w:tcW w:w="1142" w:type="dxa"/>
            <w:tcBorders>
              <w:top w:val="nil"/>
              <w:left w:val="nil"/>
              <w:bottom w:val="single" w:sz="4" w:space="0" w:color="auto"/>
              <w:right w:val="single" w:sz="4" w:space="0" w:color="auto"/>
            </w:tcBorders>
            <w:shd w:val="clear" w:color="auto" w:fill="auto"/>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4.056.943</w:t>
            </w:r>
          </w:p>
        </w:tc>
        <w:tc>
          <w:tcPr>
            <w:tcW w:w="1094" w:type="dxa"/>
            <w:tcBorders>
              <w:top w:val="nil"/>
              <w:left w:val="nil"/>
              <w:bottom w:val="single" w:sz="4" w:space="0" w:color="auto"/>
              <w:right w:val="single" w:sz="4" w:space="0" w:color="auto"/>
            </w:tcBorders>
            <w:shd w:val="clear" w:color="auto" w:fill="auto"/>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2.072.872</w:t>
            </w:r>
          </w:p>
        </w:tc>
        <w:tc>
          <w:tcPr>
            <w:tcW w:w="1047" w:type="dxa"/>
            <w:tcBorders>
              <w:top w:val="nil"/>
              <w:left w:val="nil"/>
              <w:bottom w:val="single" w:sz="4" w:space="0" w:color="auto"/>
              <w:right w:val="single" w:sz="4" w:space="0" w:color="auto"/>
            </w:tcBorders>
            <w:shd w:val="clear" w:color="auto" w:fill="auto"/>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1.984.071</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sz w:val="20"/>
                <w:szCs w:val="20"/>
                <w:lang w:val="es-MX"/>
              </w:rPr>
            </w:pPr>
            <w:r w:rsidRPr="00711F19">
              <w:rPr>
                <w:sz w:val="20"/>
                <w:szCs w:val="20"/>
                <w:lang w:val="es-MX"/>
              </w:rPr>
              <w:t>51</w:t>
            </w:r>
          </w:p>
        </w:tc>
      </w:tr>
      <w:tr w:rsidR="000F2FFB" w:rsidRPr="00711F19" w:rsidTr="00D25F3D">
        <w:trPr>
          <w:trHeight w:val="20"/>
        </w:trPr>
        <w:tc>
          <w:tcPr>
            <w:tcW w:w="1861"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rsidR="000F2FFB" w:rsidRPr="00711F19" w:rsidRDefault="000F2FFB" w:rsidP="00D25F3D">
            <w:pPr>
              <w:jc w:val="left"/>
              <w:rPr>
                <w:b/>
                <w:bCs/>
                <w:sz w:val="20"/>
                <w:szCs w:val="20"/>
                <w:lang w:val="es-MX"/>
              </w:rPr>
            </w:pPr>
            <w:r w:rsidRPr="00711F19">
              <w:rPr>
                <w:b/>
                <w:bCs/>
                <w:sz w:val="20"/>
                <w:szCs w:val="20"/>
                <w:lang w:val="es-MX"/>
              </w:rPr>
              <w:t>Total</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35</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7</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sz w:val="20"/>
                <w:szCs w:val="20"/>
                <w:lang w:val="es-MX"/>
              </w:rPr>
            </w:pPr>
            <w:r w:rsidRPr="00711F19">
              <w:rPr>
                <w:b/>
                <w:sz w:val="20"/>
                <w:szCs w:val="20"/>
                <w:lang w:val="es-MX"/>
              </w:rPr>
              <w:t>20</w:t>
            </w:r>
          </w:p>
        </w:tc>
        <w:tc>
          <w:tcPr>
            <w:tcW w:w="1142"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8.089.434</w:t>
            </w:r>
          </w:p>
        </w:tc>
        <w:tc>
          <w:tcPr>
            <w:tcW w:w="1094"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3.691.631</w:t>
            </w:r>
          </w:p>
        </w:tc>
        <w:tc>
          <w:tcPr>
            <w:tcW w:w="1047"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4.397.803</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rsidR="000F2FFB" w:rsidRPr="00711F19" w:rsidRDefault="000F2FFB" w:rsidP="00D25F3D">
            <w:pPr>
              <w:jc w:val="right"/>
              <w:rPr>
                <w:b/>
                <w:bCs/>
                <w:sz w:val="20"/>
                <w:szCs w:val="20"/>
                <w:lang w:val="es-MX"/>
              </w:rPr>
            </w:pPr>
            <w:r w:rsidRPr="00711F19">
              <w:rPr>
                <w:b/>
                <w:bCs/>
                <w:sz w:val="20"/>
                <w:szCs w:val="20"/>
                <w:lang w:val="es-MX"/>
              </w:rPr>
              <w:t>46</w:t>
            </w:r>
          </w:p>
        </w:tc>
      </w:tr>
    </w:tbl>
    <w:p w:rsidR="000F2FFB" w:rsidRPr="00711F19" w:rsidRDefault="000F2FFB" w:rsidP="000F2FFB">
      <w:pPr>
        <w:rPr>
          <w:sz w:val="19"/>
          <w:szCs w:val="19"/>
          <w:lang w:val="es-MX"/>
        </w:rPr>
      </w:pPr>
      <w:r w:rsidRPr="00711F19">
        <w:rPr>
          <w:sz w:val="19"/>
          <w:szCs w:val="19"/>
          <w:lang w:val="es-MX"/>
        </w:rPr>
        <w:t>* Excluidos los gastos de apoyo del organismo.</w:t>
      </w:r>
    </w:p>
    <w:p w:rsidR="000F2FFB" w:rsidRPr="00711F19" w:rsidRDefault="000F2FFB" w:rsidP="000F2FFB">
      <w:pPr>
        <w:rPr>
          <w:sz w:val="20"/>
          <w:szCs w:val="20"/>
          <w:lang w:val="es-MX"/>
        </w:rPr>
      </w:pPr>
      <w:r w:rsidRPr="00711F19">
        <w:rPr>
          <w:sz w:val="19"/>
          <w:szCs w:val="19"/>
          <w:lang w:val="es-MX"/>
        </w:rPr>
        <w:t xml:space="preserve">** Eliminación de 265,1 </w:t>
      </w:r>
      <w:proofErr w:type="spellStart"/>
      <w:r w:rsidRPr="00711F19">
        <w:rPr>
          <w:sz w:val="19"/>
          <w:szCs w:val="19"/>
          <w:lang w:val="es-MX"/>
        </w:rPr>
        <w:t>tm</w:t>
      </w:r>
      <w:proofErr w:type="spellEnd"/>
      <w:r w:rsidRPr="00711F19">
        <w:rPr>
          <w:sz w:val="19"/>
          <w:szCs w:val="19"/>
          <w:lang w:val="es-MX"/>
        </w:rPr>
        <w:t xml:space="preserve"> (508.586 </w:t>
      </w:r>
      <w:proofErr w:type="spellStart"/>
      <w:r w:rsidRPr="00711F19">
        <w:rPr>
          <w:sz w:val="19"/>
          <w:szCs w:val="19"/>
          <w:lang w:val="es-MX"/>
        </w:rPr>
        <w:t>tm</w:t>
      </w:r>
      <w:proofErr w:type="spellEnd"/>
      <w:r w:rsidRPr="00711F19">
        <w:rPr>
          <w:sz w:val="19"/>
          <w:szCs w:val="19"/>
          <w:lang w:val="es-MX"/>
        </w:rPr>
        <w:t xml:space="preserve"> de </w:t>
      </w:r>
      <w:proofErr w:type="spellStart"/>
      <w:r w:rsidRPr="00711F19">
        <w:rPr>
          <w:sz w:val="19"/>
          <w:szCs w:val="19"/>
          <w:lang w:val="es-MX"/>
        </w:rPr>
        <w:t>eq</w:t>
      </w:r>
      <w:proofErr w:type="spellEnd"/>
      <w:r w:rsidRPr="00711F19">
        <w:rPr>
          <w:sz w:val="19"/>
          <w:szCs w:val="19"/>
          <w:lang w:val="es-MX"/>
        </w:rPr>
        <w:t>. de CO</w:t>
      </w:r>
      <w:r w:rsidRPr="00711F19">
        <w:rPr>
          <w:sz w:val="19"/>
          <w:szCs w:val="19"/>
          <w:vertAlign w:val="subscript"/>
          <w:lang w:val="es-MX"/>
        </w:rPr>
        <w:t>2</w:t>
      </w:r>
      <w:r w:rsidRPr="00711F19">
        <w:rPr>
          <w:sz w:val="19"/>
          <w:szCs w:val="19"/>
          <w:lang w:val="es-MX"/>
        </w:rPr>
        <w:t>) de HFC.</w:t>
      </w:r>
    </w:p>
    <w:p w:rsidR="000F2FFB" w:rsidRPr="00711F19" w:rsidRDefault="000F2FFB" w:rsidP="000F2FFB">
      <w:pPr>
        <w:rPr>
          <w:lang w:val="es-MX"/>
        </w:rPr>
      </w:pPr>
    </w:p>
    <w:p w:rsidR="000F2FFB" w:rsidRPr="00711F19" w:rsidRDefault="000F2FFB" w:rsidP="000F2FFB">
      <w:pPr>
        <w:pStyle w:val="Heading1"/>
        <w:rPr>
          <w:lang w:val="es-MX"/>
        </w:rPr>
      </w:pPr>
      <w:r w:rsidRPr="00711F19">
        <w:rPr>
          <w:lang w:val="es-MX"/>
        </w:rPr>
        <w:t>A finales de 2019 de los 35 proyectos aprobados, se habían terminado tres actividades de preparación y cuatro actividades de apoyo, con lo que quedan 28 en curso. La prórroga de las fechas de terminación de 22 de las 24 actividades de apoyo en curso se aprobó en la reunión 83ª (quince proyectos) y en la reunión 84ª (siete proyectos); estas actividades se encuentran en diversas fases de ejecución.</w:t>
      </w:r>
    </w:p>
    <w:p w:rsidR="000F2FFB" w:rsidRPr="00711F19" w:rsidRDefault="000F2FFB" w:rsidP="000F2FFB">
      <w:pPr>
        <w:pStyle w:val="Heading1"/>
        <w:rPr>
          <w:lang w:val="es-MX"/>
        </w:rPr>
      </w:pPr>
      <w:r w:rsidRPr="00711F19">
        <w:rPr>
          <w:lang w:val="es-MX"/>
        </w:rPr>
        <w:t>Los proyectos de inversión en curso incluyen tres proyectos sectoriales de refrigeración en Argentina, el Líbano y México, y se aprobaron en la reunión 81ª con desembolsos de fondos en dos proyectos; estos proyectos se terminarán en 2020 y 2021.</w:t>
      </w:r>
    </w:p>
    <w:p w:rsidR="0087455A" w:rsidRDefault="000F2FFB" w:rsidP="005B70E2">
      <w:pPr>
        <w:pStyle w:val="Heading1"/>
        <w:rPr>
          <w:lang w:val="es-MX"/>
        </w:rPr>
      </w:pPr>
      <w:r w:rsidRPr="00711F19">
        <w:rPr>
          <w:lang w:val="es-MX"/>
        </w:rPr>
        <w:t>De la financiación acumulada total aprobada de 8.089.434 $EUA, se habían desembolsado 3.691.631 $EUA que representan una tasa de desembolso del 46 por ciento.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B54F5" w:rsidRPr="0010622B" w:rsidTr="006B54F5">
        <w:tc>
          <w:tcPr>
            <w:tcW w:w="1871" w:type="dxa"/>
          </w:tcPr>
          <w:p w:rsidR="006B54F5" w:rsidRPr="0010622B" w:rsidRDefault="006B54F5" w:rsidP="006B54F5">
            <w:pPr>
              <w:rPr>
                <w:lang w:val="es-AR"/>
              </w:rPr>
            </w:pPr>
          </w:p>
        </w:tc>
        <w:tc>
          <w:tcPr>
            <w:tcW w:w="1872" w:type="dxa"/>
          </w:tcPr>
          <w:p w:rsidR="006B54F5" w:rsidRPr="0010622B" w:rsidRDefault="006B54F5" w:rsidP="006B54F5">
            <w:pPr>
              <w:rPr>
                <w:lang w:val="es-AR"/>
              </w:rPr>
            </w:pPr>
          </w:p>
        </w:tc>
        <w:tc>
          <w:tcPr>
            <w:tcW w:w="1872" w:type="dxa"/>
            <w:tcBorders>
              <w:bottom w:val="single" w:sz="4" w:space="0" w:color="auto"/>
            </w:tcBorders>
          </w:tcPr>
          <w:p w:rsidR="006B54F5" w:rsidRPr="0010622B" w:rsidRDefault="006B54F5" w:rsidP="006B54F5">
            <w:pPr>
              <w:rPr>
                <w:lang w:val="es-AR"/>
              </w:rPr>
            </w:pPr>
          </w:p>
        </w:tc>
        <w:tc>
          <w:tcPr>
            <w:tcW w:w="1872" w:type="dxa"/>
          </w:tcPr>
          <w:p w:rsidR="006B54F5" w:rsidRPr="0010622B" w:rsidRDefault="006B54F5" w:rsidP="006B54F5">
            <w:pPr>
              <w:rPr>
                <w:lang w:val="es-AR"/>
              </w:rPr>
            </w:pPr>
          </w:p>
        </w:tc>
        <w:tc>
          <w:tcPr>
            <w:tcW w:w="1873" w:type="dxa"/>
          </w:tcPr>
          <w:p w:rsidR="006B54F5" w:rsidRPr="0010622B" w:rsidRDefault="006B54F5" w:rsidP="006B54F5">
            <w:pPr>
              <w:rPr>
                <w:lang w:val="es-AR"/>
              </w:rPr>
            </w:pPr>
          </w:p>
        </w:tc>
      </w:tr>
    </w:tbl>
    <w:p w:rsidR="006B54F5" w:rsidRPr="006B54F5" w:rsidRDefault="006B54F5" w:rsidP="006B54F5">
      <w:pPr>
        <w:rPr>
          <w:lang w:val="es-MX"/>
        </w:rPr>
      </w:pPr>
    </w:p>
    <w:sectPr w:rsidR="006B54F5" w:rsidRPr="006B54F5" w:rsidSect="000F2FFB">
      <w:headerReference w:type="even" r:id="rId19"/>
      <w:headerReference w:type="default" r:id="rId20"/>
      <w:headerReference w:type="first" r:id="rId21"/>
      <w:footerReference w:type="first" r:id="rId22"/>
      <w:footnotePr>
        <w:numRestart w:val="eachSect"/>
      </w:footnotePr>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15" w:rsidRDefault="00D12615">
      <w:r>
        <w:separator/>
      </w:r>
    </w:p>
  </w:endnote>
  <w:endnote w:type="continuationSeparator" w:id="0">
    <w:p w:rsidR="00D12615" w:rsidRDefault="00D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Pr="0033525D" w:rsidRDefault="006B54F5">
    <w:pPr>
      <w:jc w:val="center"/>
    </w:pPr>
    <w:r>
      <w:fldChar w:fldCharType="begin"/>
    </w:r>
    <w:r>
      <w:instrText xml:space="preserve"> PAGE </w:instrText>
    </w:r>
    <w:r>
      <w:fldChar w:fldCharType="separate"/>
    </w:r>
    <w:r w:rsidR="00D849F3">
      <w:rPr>
        <w:noProof/>
      </w:rPr>
      <w:t>10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Pr="0033525D" w:rsidRDefault="006B54F5">
    <w:pPr>
      <w:jc w:val="center"/>
    </w:pPr>
    <w:r>
      <w:fldChar w:fldCharType="begin"/>
    </w:r>
    <w:r>
      <w:instrText xml:space="preserve"> PAGE </w:instrText>
    </w:r>
    <w:r>
      <w:fldChar w:fldCharType="separate"/>
    </w:r>
    <w:r w:rsidR="00D849F3">
      <w:rPr>
        <w:noProof/>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Pr="000F2FFB" w:rsidRDefault="006B54F5" w:rsidP="000F2FFB">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727164"/>
      <w:docPartObj>
        <w:docPartGallery w:val="Page Numbers (Bottom of Page)"/>
        <w:docPartUnique/>
      </w:docPartObj>
    </w:sdtPr>
    <w:sdtEndPr>
      <w:rPr>
        <w:noProof/>
      </w:rPr>
    </w:sdtEndPr>
    <w:sdtContent>
      <w:p w:rsidR="006B54F5" w:rsidRDefault="006B54F5">
        <w:pPr>
          <w:pStyle w:val="Footer"/>
          <w:jc w:val="center"/>
        </w:pPr>
        <w:r>
          <w:fldChar w:fldCharType="begin"/>
        </w:r>
        <w:r>
          <w:instrText xml:space="preserve"> PAGE   \* MERGEFORMAT </w:instrText>
        </w:r>
        <w:r>
          <w:fldChar w:fldCharType="separate"/>
        </w:r>
        <w:r w:rsidR="00D849F3">
          <w:rPr>
            <w:noProof/>
          </w:rPr>
          <w:t>1</w:t>
        </w:r>
        <w:r>
          <w:fldChar w:fldCharType="end"/>
        </w:r>
      </w:p>
    </w:sdtContent>
  </w:sdt>
  <w:p w:rsidR="006B54F5" w:rsidRPr="00830C0F" w:rsidRDefault="006B54F5" w:rsidP="00D25F3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6B54F5" w:rsidRDefault="006B54F5">
        <w:pPr>
          <w:pStyle w:val="Footer"/>
          <w:jc w:val="center"/>
        </w:pPr>
        <w:r>
          <w:fldChar w:fldCharType="begin"/>
        </w:r>
        <w:r>
          <w:instrText xml:space="preserve"> PAGE   \* MERGEFORMAT </w:instrText>
        </w:r>
        <w:r>
          <w:fldChar w:fldCharType="separate"/>
        </w:r>
        <w:r w:rsidR="00D849F3">
          <w:rPr>
            <w:noProof/>
          </w:rPr>
          <w:t>8</w:t>
        </w:r>
        <w:r>
          <w:rPr>
            <w:noProof/>
          </w:rPr>
          <w:fldChar w:fldCharType="end"/>
        </w:r>
      </w:p>
    </w:sdtContent>
  </w:sdt>
  <w:p w:rsidR="006B54F5" w:rsidRDefault="006B54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15" w:rsidRDefault="00D12615">
      <w:r>
        <w:separator/>
      </w:r>
    </w:p>
  </w:footnote>
  <w:footnote w:type="continuationSeparator" w:id="0">
    <w:p w:rsidR="00D12615" w:rsidRDefault="00D12615">
      <w:r>
        <w:continuationSeparator/>
      </w:r>
    </w:p>
  </w:footnote>
  <w:footnote w:id="1">
    <w:p w:rsidR="006B54F5" w:rsidRPr="00E03F2D" w:rsidRDefault="006B54F5" w:rsidP="00D25F3D">
      <w:pPr>
        <w:pStyle w:val="FootnoteText"/>
        <w:spacing w:after="0"/>
      </w:pPr>
      <w:r>
        <w:rPr>
          <w:rStyle w:val="FootnoteReference"/>
          <w:sz w:val="20"/>
          <w:szCs w:val="20"/>
          <w:lang w:val="en-CA"/>
        </w:rPr>
        <w:footnoteRef/>
      </w:r>
      <w:r>
        <w:t xml:space="preserve"> Debido al coronavirus (COVID-19)</w:t>
      </w:r>
    </w:p>
  </w:footnote>
  <w:footnote w:id="2">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El informe sobre la marcha de las actividades se adjunta al presente documento. Los datos se han incluido en la base de datos del informe refundido sobre la marcha de las actividades, disponible previa petición.</w:t>
      </w:r>
    </w:p>
  </w:footnote>
  <w:footnote w:id="3">
    <w:p w:rsidR="006B54F5" w:rsidRDefault="006B54F5" w:rsidP="000F2FFB">
      <w:pPr>
        <w:pStyle w:val="FootnoteText"/>
        <w:spacing w:after="0"/>
        <w:ind w:left="0" w:firstLine="0"/>
        <w:jc w:val="both"/>
      </w:pPr>
      <w:r>
        <w:rPr>
          <w:rStyle w:val="FootnoteReference"/>
          <w:sz w:val="20"/>
          <w:szCs w:val="20"/>
          <w:lang w:val="en-CA"/>
        </w:rPr>
        <w:footnoteRef/>
      </w:r>
      <w:r>
        <w:t xml:space="preserve"> De conformidad con la decisión 84/12(a)(iv), la medición de los HFC en </w:t>
      </w:r>
      <w:proofErr w:type="spellStart"/>
      <w:r>
        <w:t>tm</w:t>
      </w:r>
      <w:proofErr w:type="spellEnd"/>
      <w:r>
        <w:t xml:space="preserve"> de </w:t>
      </w:r>
      <w:proofErr w:type="spellStart"/>
      <w:r>
        <w:t>eq</w:t>
      </w:r>
      <w:proofErr w:type="spellEnd"/>
      <w:r>
        <w:t>. de CO</w:t>
      </w:r>
      <w:r>
        <w:rPr>
          <w:vertAlign w:val="subscript"/>
        </w:rPr>
        <w:t>2</w:t>
      </w:r>
      <w:r>
        <w:t xml:space="preserve"> se incluiría en los informes sobre la marcha de las actividades presentados desde la reunión 88ª. Este tema se aborda en el informe refundido sobre la marcha de las actividades (UNEP/</w:t>
      </w:r>
      <w:proofErr w:type="spellStart"/>
      <w:r>
        <w:t>OzL.Pro</w:t>
      </w:r>
      <w:proofErr w:type="spellEnd"/>
      <w:r>
        <w:t>/</w:t>
      </w:r>
      <w:proofErr w:type="spellStart"/>
      <w:r>
        <w:t>ExCom</w:t>
      </w:r>
      <w:proofErr w:type="spellEnd"/>
      <w:r>
        <w:t>/86/15).</w:t>
      </w:r>
    </w:p>
    <w:p w:rsidR="005E48C4" w:rsidRDefault="005E48C4" w:rsidP="000F2FFB">
      <w:pPr>
        <w:pStyle w:val="FootnoteText"/>
        <w:spacing w:after="0"/>
        <w:ind w:left="0" w:firstLine="0"/>
        <w:jc w:val="both"/>
      </w:pPr>
    </w:p>
    <w:p w:rsidR="005E48C4" w:rsidRPr="00E03F2D" w:rsidRDefault="005E48C4" w:rsidP="000F2FFB">
      <w:pPr>
        <w:pStyle w:val="FootnoteText"/>
        <w:spacing w:after="0"/>
        <w:ind w:left="0" w:firstLine="0"/>
        <w:jc w:val="both"/>
      </w:pPr>
    </w:p>
  </w:footnote>
  <w:footnote w:id="4">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Los proyectos en curso son todos los proyectos que estaban en curso de ejecución el 31 de diciembre de 2019. Los indicadores principales del progreso comprenden: porcentaje de fondos desembolsados y porcentaje de proyectos que han comenzado a desembolsar fondos; financiación que se prevé desembolsar para finales de año como porcentaje de la financiación aprobada; duración media de la demora prevista en la ejecución; e información proporcionada en la columna de observaciones de la base de datos del informe sobre la marcha de las actividades.</w:t>
      </w:r>
    </w:p>
  </w:footnote>
  <w:footnote w:id="5">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Conforme a la decisión 84/12(b), en el informe refundido sobre la marcha de las actividades (UNEP/</w:t>
      </w:r>
      <w:proofErr w:type="spellStart"/>
      <w:r>
        <w:t>OzL.Pro</w:t>
      </w:r>
      <w:proofErr w:type="spellEnd"/>
      <w:r>
        <w:t>/</w:t>
      </w:r>
      <w:proofErr w:type="spellStart"/>
      <w:r>
        <w:t>ExCom</w:t>
      </w:r>
      <w:proofErr w:type="spellEnd"/>
      <w:r>
        <w:t>/86/15) se presenta un informe pormenorizado sobre los objetivos, la situación de la ejecución, las conclusiones clave y las experiencias adquiridas, las cantidades de HFC eliminadas según corresponda, el nivel de fondos aprobados y desembolsados y las posibles dificultades para la terminación de los proyectos y las actividades.</w:t>
      </w:r>
    </w:p>
  </w:footnote>
  <w:footnote w:id="6">
    <w:p w:rsidR="006B54F5" w:rsidRPr="00E03F2D" w:rsidRDefault="006B54F5" w:rsidP="000F2FFB">
      <w:pPr>
        <w:pStyle w:val="FootnoteText"/>
        <w:spacing w:after="0"/>
        <w:ind w:left="0" w:firstLine="0"/>
      </w:pPr>
      <w:r>
        <w:rPr>
          <w:rStyle w:val="FootnoteReference"/>
          <w:sz w:val="20"/>
          <w:szCs w:val="20"/>
          <w:lang w:val="en-CA"/>
        </w:rPr>
        <w:footnoteRef/>
      </w:r>
      <w:r>
        <w:t xml:space="preserve"> La ONUDI se convirtió en un organismo de ejecución en 1993.</w:t>
      </w:r>
    </w:p>
  </w:footnote>
  <w:footnote w:id="7">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La eliminación incluye aprobaciones de proyectos de inversión de HFC de 118,7 </w:t>
      </w:r>
      <w:proofErr w:type="spellStart"/>
      <w:r>
        <w:t>tm</w:t>
      </w:r>
      <w:proofErr w:type="spellEnd"/>
      <w:r>
        <w:t xml:space="preserve"> (211.512 </w:t>
      </w:r>
      <w:proofErr w:type="spellStart"/>
      <w:r>
        <w:t>tm</w:t>
      </w:r>
      <w:proofErr w:type="spellEnd"/>
      <w:r>
        <w:t xml:space="preserve"> de </w:t>
      </w:r>
      <w:proofErr w:type="spellStart"/>
      <w:r>
        <w:t>eq</w:t>
      </w:r>
      <w:proofErr w:type="spellEnd"/>
      <w:r>
        <w:t>. de CO</w:t>
      </w:r>
      <w:r>
        <w:rPr>
          <w:vertAlign w:val="subscript"/>
        </w:rPr>
        <w:t>2</w:t>
      </w:r>
      <w:r>
        <w:t>).</w:t>
      </w:r>
    </w:p>
  </w:footnote>
  <w:footnote w:id="8">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Incluyendo 118,7 </w:t>
      </w:r>
      <w:proofErr w:type="spellStart"/>
      <w:r>
        <w:t>tm</w:t>
      </w:r>
      <w:proofErr w:type="spellEnd"/>
      <w:r>
        <w:t xml:space="preserve"> de proyectos de inversión de HFC.</w:t>
      </w:r>
    </w:p>
  </w:footnote>
  <w:footnote w:id="9">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El valor de relación de costo a eficacia más elevado para los proyectos en curso se debe en gran medida a los valores PAO más bajos de los HCFC, pero también a las formas de asignación de la eliminación por parte de los organismos. </w:t>
      </w:r>
    </w:p>
  </w:footnote>
  <w:footnote w:id="10">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Proyectos aprobados durante más de 18 meses con un desembolso inferior al 1 por ciento, o proyectos que no se habían terminado 12 meses después de la fecha de terminación propuesta en el informe sobre la marcha de las actividades (decisión 22/61) (los proyectos de demostración, preparación de proyectos, y fortalecimiento institucional no están sujetos a dichos procedimientos). </w:t>
      </w:r>
    </w:p>
  </w:footnote>
  <w:footnote w:id="11">
    <w:p w:rsidR="006B54F5" w:rsidRPr="00E03F2D" w:rsidRDefault="006B54F5" w:rsidP="000F2FFB">
      <w:pPr>
        <w:pStyle w:val="FootnoteText"/>
        <w:spacing w:after="0"/>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/86/39</w:t>
      </w:r>
    </w:p>
  </w:footnote>
  <w:footnote w:id="12">
    <w:p w:rsidR="006B54F5" w:rsidRPr="00E03F2D" w:rsidRDefault="006B54F5" w:rsidP="000F2FFB">
      <w:pPr>
        <w:pStyle w:val="FootnoteText"/>
        <w:spacing w:after="0"/>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/86/41</w:t>
      </w:r>
    </w:p>
  </w:footnote>
  <w:footnote w:id="13">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/86/47</w:t>
      </w:r>
    </w:p>
  </w:footnote>
  <w:footnote w:id="14">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/86/51</w:t>
      </w:r>
    </w:p>
  </w:footnote>
  <w:footnote w:id="15">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/86/52</w:t>
      </w:r>
    </w:p>
  </w:footnote>
  <w:footnote w:id="16">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/86/53</w:t>
      </w:r>
    </w:p>
  </w:footnote>
  <w:footnote w:id="17">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/86/55</w:t>
      </w:r>
    </w:p>
  </w:footnote>
  <w:footnote w:id="18">
    <w:p w:rsidR="006B54F5" w:rsidRPr="00E03F2D" w:rsidRDefault="006B54F5" w:rsidP="000F2FFB">
      <w:pPr>
        <w:pStyle w:val="FootnoteText"/>
        <w:spacing w:after="0"/>
        <w:ind w:left="431" w:hanging="431"/>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/86/62</w:t>
      </w:r>
    </w:p>
  </w:footnote>
  <w:footnote w:id="19">
    <w:p w:rsidR="006B54F5" w:rsidRPr="00E03F2D" w:rsidRDefault="006B54F5" w:rsidP="000F2FFB">
      <w:pPr>
        <w:pStyle w:val="FootnoteText"/>
        <w:spacing w:after="0"/>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/86/64</w:t>
      </w:r>
    </w:p>
  </w:footnote>
  <w:footnote w:id="20">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/86/65</w:t>
      </w:r>
    </w:p>
  </w:footnote>
  <w:footnote w:id="21">
    <w:p w:rsidR="006B54F5" w:rsidRPr="00E03F2D" w:rsidRDefault="006B54F5" w:rsidP="000F2FFB">
      <w:pPr>
        <w:pStyle w:val="FootnoteText"/>
        <w:spacing w:after="0"/>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/86/66</w:t>
      </w:r>
    </w:p>
  </w:footnote>
  <w:footnote w:id="22">
    <w:p w:rsidR="006B54F5" w:rsidRPr="00E03F2D" w:rsidRDefault="006B54F5" w:rsidP="000F2FFB">
      <w:pPr>
        <w:pStyle w:val="FootnoteText"/>
        <w:spacing w:after="0"/>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/86/70</w:t>
      </w:r>
    </w:p>
  </w:footnote>
  <w:footnote w:id="23">
    <w:p w:rsidR="006B54F5" w:rsidRPr="00E03F2D" w:rsidRDefault="006B54F5" w:rsidP="000F2FFB">
      <w:pPr>
        <w:pStyle w:val="FootnoteText"/>
        <w:spacing w:after="0"/>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/86/72</w:t>
      </w:r>
    </w:p>
  </w:footnote>
  <w:footnote w:id="24">
    <w:p w:rsidR="006B54F5" w:rsidRPr="00E03F2D" w:rsidRDefault="006B54F5" w:rsidP="000F2FFB">
      <w:pPr>
        <w:pStyle w:val="FootnoteText"/>
        <w:spacing w:after="0"/>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/86/75</w:t>
      </w:r>
    </w:p>
  </w:footnote>
  <w:footnote w:id="25">
    <w:p w:rsidR="006B54F5" w:rsidRPr="00E03F2D" w:rsidRDefault="006B54F5" w:rsidP="000F2FFB">
      <w:pPr>
        <w:pStyle w:val="FootnoteText"/>
        <w:spacing w:after="0"/>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/86/78</w:t>
      </w:r>
    </w:p>
  </w:footnote>
  <w:footnote w:id="26">
    <w:p w:rsidR="006B54F5" w:rsidRPr="00E03F2D" w:rsidRDefault="006B54F5" w:rsidP="000F2FFB">
      <w:pPr>
        <w:pStyle w:val="FootnoteText"/>
        <w:spacing w:after="0"/>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/86/79</w:t>
      </w:r>
    </w:p>
  </w:footnote>
  <w:footnote w:id="27">
    <w:p w:rsidR="006B54F5" w:rsidRPr="00E03F2D" w:rsidRDefault="006B54F5" w:rsidP="000F2FFB">
      <w:pPr>
        <w:pStyle w:val="FootnoteText"/>
        <w:spacing w:after="0"/>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/86/81</w:t>
      </w:r>
    </w:p>
  </w:footnote>
  <w:footnote w:id="28">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/86/21</w:t>
      </w:r>
    </w:p>
  </w:footnote>
  <w:footnote w:id="29">
    <w:p w:rsidR="006B54F5" w:rsidRPr="006B54F5" w:rsidRDefault="006B54F5" w:rsidP="000F2FFB">
      <w:pPr>
        <w:pStyle w:val="FootnoteText"/>
        <w:spacing w:after="0"/>
        <w:ind w:left="0" w:firstLine="0"/>
        <w:jc w:val="both"/>
        <w:rPr>
          <w:lang w:val="en-US"/>
        </w:rPr>
      </w:pPr>
      <w:r>
        <w:rPr>
          <w:rStyle w:val="FootnoteReference"/>
          <w:sz w:val="20"/>
          <w:szCs w:val="20"/>
          <w:lang w:val="en-CA"/>
        </w:rPr>
        <w:footnoteRef/>
      </w:r>
      <w:r w:rsidRPr="006B54F5">
        <w:rPr>
          <w:lang w:val="en-US"/>
        </w:rPr>
        <w:t xml:space="preserve"> UNEP/OzL.Pro/ExCom/86/21/Add.1</w:t>
      </w:r>
    </w:p>
  </w:footnote>
  <w:footnote w:id="30">
    <w:p w:rsidR="006B54F5" w:rsidRPr="00E03F2D" w:rsidRDefault="006B54F5" w:rsidP="000F2FFB">
      <w:pPr>
        <w:pStyle w:val="FootnoteText"/>
        <w:spacing w:after="0"/>
        <w:ind w:left="0" w:firstLine="0"/>
        <w:jc w:val="both"/>
        <w:rPr>
          <w:rStyle w:val="FootnoteReference"/>
          <w:sz w:val="20"/>
          <w:szCs w:val="20"/>
          <w:vertAlign w:val="baseline"/>
        </w:rPr>
      </w:pPr>
      <w:r>
        <w:rPr>
          <w:rStyle w:val="FootnoteReference"/>
          <w:sz w:val="20"/>
          <w:szCs w:val="20"/>
          <w:lang w:val="en-CA"/>
        </w:rPr>
        <w:footnoteRef/>
      </w:r>
      <w:r>
        <w:t xml:space="preserve"> UNEP/</w:t>
      </w:r>
      <w:proofErr w:type="spellStart"/>
      <w:r>
        <w:t>OzL.Pro</w:t>
      </w:r>
      <w:proofErr w:type="spellEnd"/>
      <w:r>
        <w:t>/</w:t>
      </w:r>
      <w:proofErr w:type="spellStart"/>
      <w:r>
        <w:t>ExCom</w:t>
      </w:r>
      <w:proofErr w:type="spellEnd"/>
      <w:r>
        <w:t>/86/24</w:t>
      </w:r>
    </w:p>
  </w:footnote>
  <w:footnote w:id="31">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Toda solicitud de prórroga tendría que presentarse para su aprobación por el Comité Ejecutivo antes de la fecha de terminación del proyecto, con la particularidad de que no se realizarán nuevos compromisos antes de que se apruebe la prórroga.</w:t>
      </w:r>
    </w:p>
    <w:p w:rsidR="006B54F5" w:rsidRPr="006B54F5" w:rsidRDefault="006B54F5" w:rsidP="000F2FFB">
      <w:pPr>
        <w:pStyle w:val="FootnoteText"/>
        <w:spacing w:after="0"/>
        <w:rPr>
          <w:lang w:val="es-419"/>
        </w:rPr>
      </w:pPr>
    </w:p>
  </w:footnote>
  <w:footnote w:id="32">
    <w:p w:rsidR="006B54F5" w:rsidRPr="00E03F2D" w:rsidRDefault="006B54F5" w:rsidP="000F2FFB">
      <w:pPr>
        <w:pStyle w:val="FootnoteText"/>
        <w:spacing w:after="0"/>
        <w:ind w:left="0" w:firstLine="0"/>
        <w:jc w:val="both"/>
        <w:rPr>
          <w:rStyle w:val="FootnoteReference"/>
          <w:sz w:val="20"/>
          <w:szCs w:val="20"/>
          <w:vertAlign w:val="baseline"/>
        </w:rPr>
      </w:pPr>
      <w:r>
        <w:rPr>
          <w:rStyle w:val="FootnoteReference"/>
          <w:sz w:val="20"/>
          <w:szCs w:val="20"/>
          <w:lang w:val="en-CA"/>
        </w:rPr>
        <w:footnoteRef/>
      </w:r>
      <w:r>
        <w:rPr>
          <w:rStyle w:val="FootnoteReference"/>
          <w:sz w:val="20"/>
          <w:szCs w:val="20"/>
          <w:vertAlign w:val="baseline"/>
        </w:rPr>
        <w:t xml:space="preserve"> Se aprobaron cuatro proyectos autónomos de espumas de </w:t>
      </w:r>
      <w:proofErr w:type="spellStart"/>
      <w:r>
        <w:rPr>
          <w:rStyle w:val="FootnoteReference"/>
          <w:sz w:val="20"/>
          <w:szCs w:val="20"/>
          <w:vertAlign w:val="baseline"/>
        </w:rPr>
        <w:t>poliestireno</w:t>
      </w:r>
      <w:proofErr w:type="spellEnd"/>
      <w:r>
        <w:rPr>
          <w:rStyle w:val="FootnoteReference"/>
          <w:sz w:val="20"/>
          <w:szCs w:val="20"/>
          <w:vertAlign w:val="baseline"/>
        </w:rPr>
        <w:t xml:space="preserve"> extruido en la reunión 62ª que se incorporaron posteriormente en la etapa I del PGEH.</w:t>
      </w:r>
    </w:p>
  </w:footnote>
  <w:footnote w:id="33">
    <w:p w:rsidR="006B54F5" w:rsidRPr="006B54F5" w:rsidRDefault="006B54F5" w:rsidP="000F2FFB">
      <w:pPr>
        <w:pStyle w:val="FootnoteText"/>
        <w:spacing w:after="0"/>
        <w:ind w:left="0" w:firstLine="0"/>
        <w:jc w:val="both"/>
        <w:rPr>
          <w:rStyle w:val="FootnoteReference"/>
          <w:sz w:val="20"/>
          <w:szCs w:val="20"/>
          <w:vertAlign w:val="baseline"/>
          <w:lang w:val="en-US"/>
        </w:rPr>
      </w:pPr>
      <w:r>
        <w:rPr>
          <w:rStyle w:val="FootnoteReference"/>
          <w:sz w:val="20"/>
          <w:szCs w:val="20"/>
          <w:lang w:val="en-CA"/>
        </w:rPr>
        <w:footnoteRef/>
      </w:r>
      <w:r w:rsidRPr="006B54F5">
        <w:rPr>
          <w:rStyle w:val="FootnoteReference"/>
          <w:sz w:val="20"/>
          <w:szCs w:val="20"/>
          <w:vertAlign w:val="baseline"/>
          <w:lang w:val="en-US"/>
        </w:rPr>
        <w:t xml:space="preserve"> Las condiciones especificadas en el Apéndice 8-A son las siguientes: </w:t>
      </w:r>
      <w:r w:rsidRPr="006B54F5">
        <w:rPr>
          <w:lang w:val="en-US"/>
        </w:rPr>
        <w:t xml:space="preserve">(a) </w:t>
      </w:r>
      <w:r w:rsidRPr="006B54F5">
        <w:rPr>
          <w:rStyle w:val="FootnoteReference"/>
          <w:sz w:val="20"/>
          <w:szCs w:val="20"/>
          <w:vertAlign w:val="baseline"/>
          <w:lang w:val="en-US"/>
        </w:rPr>
        <w:t xml:space="preserve">prohibición de los contenedores desechables de refrigerantes para refrigerantes de HCFC; </w:t>
      </w:r>
      <w:r w:rsidRPr="006B54F5">
        <w:rPr>
          <w:lang w:val="en-US"/>
        </w:rPr>
        <w:t xml:space="preserve">(b) </w:t>
      </w:r>
      <w:r w:rsidRPr="006B54F5">
        <w:rPr>
          <w:rStyle w:val="FootnoteReference"/>
          <w:sz w:val="20"/>
          <w:szCs w:val="20"/>
          <w:vertAlign w:val="baseline"/>
          <w:lang w:val="en-US"/>
        </w:rPr>
        <w:t xml:space="preserve">puesta en marcha de un esquema de certificación para técnicos de refrigeración, que requiere determinados estándares de capacitación y equipo; </w:t>
      </w:r>
      <w:r w:rsidRPr="006B54F5">
        <w:rPr>
          <w:lang w:val="en-US"/>
        </w:rPr>
        <w:t xml:space="preserve">(c) </w:t>
      </w:r>
      <w:r w:rsidRPr="006B54F5">
        <w:rPr>
          <w:rStyle w:val="FootnoteReference"/>
          <w:sz w:val="20"/>
          <w:szCs w:val="20"/>
          <w:vertAlign w:val="baseline"/>
          <w:lang w:val="en-US"/>
        </w:rPr>
        <w:t xml:space="preserve">puesta en marcha de un sistema que regule el acceso a los refrigerantes únicamente a las entidades en las que haya técnicos que lleven a cabo y supervisen trabajos de servicio y mantenimiento de sistemas de refrigeración y aire acondicionado, </w:t>
      </w:r>
      <w:r w:rsidRPr="006B54F5">
        <w:rPr>
          <w:lang w:val="en-US"/>
        </w:rPr>
        <w:t xml:space="preserve">(i) </w:t>
      </w:r>
      <w:r w:rsidRPr="006B54F5">
        <w:rPr>
          <w:rStyle w:val="FootnoteReference"/>
          <w:sz w:val="20"/>
          <w:szCs w:val="20"/>
          <w:vertAlign w:val="baseline"/>
          <w:lang w:val="en-US"/>
        </w:rPr>
        <w:t xml:space="preserve">teniendo en cuenta el ritmo de incremento de personal certificado, y garantizando que se llevan a cabo esfuerzos de certificación puntualmente; y </w:t>
      </w:r>
      <w:r w:rsidRPr="006B54F5">
        <w:rPr>
          <w:lang w:val="en-US"/>
        </w:rPr>
        <w:t>(ii) </w:t>
      </w:r>
      <w:r w:rsidRPr="006B54F5">
        <w:rPr>
          <w:rStyle w:val="FootnoteReference"/>
          <w:sz w:val="20"/>
          <w:szCs w:val="20"/>
          <w:vertAlign w:val="baseline"/>
          <w:lang w:val="en-US"/>
        </w:rPr>
        <w:t xml:space="preserve">con el objetivo de desincentivar que la supervisión de personal no certificado por parte de personal certificado se lleva a cabo solo de forma somera; y </w:t>
      </w:r>
      <w:r w:rsidRPr="006B54F5">
        <w:rPr>
          <w:lang w:val="en-US"/>
        </w:rPr>
        <w:t xml:space="preserve">(d) </w:t>
      </w:r>
      <w:r w:rsidRPr="006B54F5">
        <w:rPr>
          <w:rStyle w:val="FootnoteReference"/>
          <w:sz w:val="20"/>
          <w:szCs w:val="20"/>
          <w:vertAlign w:val="baseline"/>
          <w:lang w:val="en-US"/>
        </w:rPr>
        <w:t>desarrollo y presentación con la solicitud de tramo de 2015 de una estrategia para alentar firmemente a los usuarios finales de equipos de refrigeración y aire acondicionado las medidas de detección y reparación de fugas en caso de pérdida de refrigerante en los sistemas de refrigeración y aire acondicionado, con el compromiso de aplicar la estrategia durante el resto del PGEH sin costos adicionales.</w:t>
      </w:r>
    </w:p>
  </w:footnote>
  <w:footnote w:id="34">
    <w:p w:rsidR="006B54F5" w:rsidRPr="00E03F2D" w:rsidRDefault="006B54F5" w:rsidP="000F2FFB">
      <w:pPr>
        <w:pStyle w:val="FootnoteText"/>
        <w:spacing w:after="0"/>
        <w:ind w:left="0" w:firstLine="0"/>
        <w:jc w:val="both"/>
        <w:rPr>
          <w:rStyle w:val="FootnoteReference"/>
          <w:sz w:val="20"/>
          <w:szCs w:val="20"/>
          <w:vertAlign w:val="baseline"/>
        </w:rPr>
      </w:pPr>
      <w:r>
        <w:rPr>
          <w:rStyle w:val="FootnoteReference"/>
          <w:sz w:val="20"/>
          <w:szCs w:val="20"/>
          <w:lang w:val="en-CA"/>
        </w:rPr>
        <w:footnoteRef/>
      </w:r>
      <w:r>
        <w:rPr>
          <w:rStyle w:val="FootnoteReference"/>
          <w:sz w:val="20"/>
          <w:szCs w:val="20"/>
          <w:vertAlign w:val="baseline"/>
        </w:rPr>
        <w:t xml:space="preserve"> La decisión sobre la etapa I del PGEH para Arabia Saudita figura en el Anexo IX del Informe de la 84ª reunión (UNEP/</w:t>
      </w:r>
      <w:proofErr w:type="spellStart"/>
      <w:r>
        <w:rPr>
          <w:rStyle w:val="FootnoteReference"/>
          <w:sz w:val="20"/>
          <w:szCs w:val="20"/>
          <w:vertAlign w:val="baseline"/>
        </w:rPr>
        <w:t>OzL.Pro</w:t>
      </w:r>
      <w:proofErr w:type="spellEnd"/>
      <w:r>
        <w:rPr>
          <w:rStyle w:val="FootnoteReference"/>
          <w:sz w:val="20"/>
          <w:szCs w:val="20"/>
          <w:vertAlign w:val="baseline"/>
        </w:rPr>
        <w:t>/</w:t>
      </w:r>
      <w:proofErr w:type="spellStart"/>
      <w:r>
        <w:rPr>
          <w:rStyle w:val="FootnoteReference"/>
          <w:sz w:val="20"/>
          <w:szCs w:val="20"/>
          <w:vertAlign w:val="baseline"/>
        </w:rPr>
        <w:t>ExCom</w:t>
      </w:r>
      <w:proofErr w:type="spellEnd"/>
      <w:r>
        <w:rPr>
          <w:rStyle w:val="FootnoteReference"/>
          <w:sz w:val="20"/>
          <w:szCs w:val="20"/>
          <w:vertAlign w:val="baseline"/>
        </w:rPr>
        <w:t>/84/75).</w:t>
      </w:r>
    </w:p>
  </w:footnote>
  <w:footnote w:id="35">
    <w:p w:rsidR="006B54F5" w:rsidRPr="00E03F2D" w:rsidRDefault="006B54F5" w:rsidP="000F2FFB">
      <w:pPr>
        <w:pStyle w:val="FootnoteText"/>
        <w:spacing w:after="0"/>
        <w:ind w:left="0" w:firstLine="0"/>
        <w:jc w:val="both"/>
        <w:rPr>
          <w:rStyle w:val="FootnoteReference"/>
          <w:sz w:val="20"/>
          <w:szCs w:val="20"/>
          <w:vertAlign w:val="baseline"/>
        </w:rPr>
      </w:pPr>
      <w:r>
        <w:rPr>
          <w:rStyle w:val="FootnoteReference"/>
          <w:sz w:val="20"/>
          <w:szCs w:val="20"/>
          <w:lang w:val="en-CA"/>
        </w:rPr>
        <w:footnoteRef/>
      </w:r>
      <w:r>
        <w:rPr>
          <w:rStyle w:val="FootnoteReference"/>
          <w:sz w:val="20"/>
          <w:szCs w:val="20"/>
          <w:vertAlign w:val="baseline"/>
        </w:rPr>
        <w:t xml:space="preserve"> En el documento UNEP/</w:t>
      </w:r>
      <w:proofErr w:type="spellStart"/>
      <w:r>
        <w:rPr>
          <w:rStyle w:val="FootnoteReference"/>
          <w:sz w:val="20"/>
          <w:szCs w:val="20"/>
          <w:vertAlign w:val="baseline"/>
        </w:rPr>
        <w:t>OzL.Pro</w:t>
      </w:r>
      <w:proofErr w:type="spellEnd"/>
      <w:r>
        <w:rPr>
          <w:rStyle w:val="FootnoteReference"/>
          <w:sz w:val="20"/>
          <w:szCs w:val="20"/>
          <w:vertAlign w:val="baseline"/>
        </w:rPr>
        <w:t>/</w:t>
      </w:r>
      <w:proofErr w:type="spellStart"/>
      <w:r>
        <w:rPr>
          <w:rStyle w:val="FootnoteReference"/>
          <w:sz w:val="20"/>
          <w:szCs w:val="20"/>
          <w:vertAlign w:val="baseline"/>
        </w:rPr>
        <w:t>ExCom</w:t>
      </w:r>
      <w:proofErr w:type="spellEnd"/>
      <w:r>
        <w:rPr>
          <w:rStyle w:val="FootnoteReference"/>
          <w:sz w:val="20"/>
          <w:szCs w:val="20"/>
          <w:vertAlign w:val="baseline"/>
        </w:rPr>
        <w:t>/86/18 se presentan cuestiones relativas a los tres componentes ejecutados por el PNUMA</w:t>
      </w:r>
      <w:r>
        <w:t>.</w:t>
      </w:r>
    </w:p>
  </w:footnote>
  <w:footnote w:id="36">
    <w:p w:rsidR="006B54F5" w:rsidRPr="00E03F2D" w:rsidRDefault="006B54F5" w:rsidP="000F2FFB">
      <w:pPr>
        <w:pStyle w:val="FootnoteText"/>
        <w:spacing w:after="0"/>
        <w:ind w:left="0" w:firstLine="0"/>
        <w:jc w:val="both"/>
      </w:pPr>
      <w:r>
        <w:rPr>
          <w:rStyle w:val="FootnoteReference"/>
          <w:sz w:val="20"/>
          <w:szCs w:val="20"/>
          <w:lang w:val="en-CA"/>
        </w:rPr>
        <w:footnoteRef/>
      </w:r>
      <w:r>
        <w:t xml:space="preserve"> Los datos se presentan según el año en que el Comité Ejecutivo aprobó el proyecto. Todas las aprobaciones (proyectos de inversión y proyectos ajenos a la inversión) se tratan de igual manera (por ejemplo, un proyecto de inversión o un tramo de financiación de un acuerdo plurianual de 1 millón de $EUA se considera un proyecto, al igual que la preparación de un programa de país por 30.000 $EUA). Los indicadores principales del resumen anual son: el porcentaje de proyectos terminados, el PAO eliminado, y el porcentaje de fondos desembolsados. Hay tres tipos de desembolsos: durante la ejecución, después de la ejecución y para proyectos con financiación retroactiva.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Pr="0033525D" w:rsidRDefault="006B54F5">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rsidR="006B54F5" w:rsidRPr="0033525D" w:rsidRDefault="006B54F5"/>
  <w:p w:rsidR="006B54F5" w:rsidRPr="0033525D" w:rsidRDefault="006B54F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Pr="0033525D" w:rsidRDefault="006B54F5">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rsidR="006B54F5" w:rsidRPr="0033525D" w:rsidRDefault="006B54F5" w:rsidP="00D25F3D">
    <w:pPr>
      <w:jc w:val="right"/>
    </w:pPr>
  </w:p>
  <w:p w:rsidR="006B54F5" w:rsidRPr="0033525D" w:rsidRDefault="006B54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Pr="0033525D" w:rsidRDefault="006B54F5">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rsidR="006B54F5" w:rsidRPr="0033525D" w:rsidRDefault="006B54F5">
    <w:proofErr w:type="spellStart"/>
    <w:r>
      <w:t>Anexo</w:t>
    </w:r>
    <w:proofErr w:type="spellEnd"/>
    <w:r>
      <w:t xml:space="preserve"> I</w:t>
    </w:r>
  </w:p>
  <w:p w:rsidR="006B54F5" w:rsidRPr="0033525D" w:rsidRDefault="006B54F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Pr="0033525D" w:rsidRDefault="006B54F5">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rsidR="006B54F5" w:rsidRPr="0033525D" w:rsidRDefault="006B54F5" w:rsidP="006B54F5">
    <w:pPr>
      <w:jc w:val="right"/>
    </w:pPr>
    <w:proofErr w:type="spellStart"/>
    <w:r>
      <w:t>Anexo</w:t>
    </w:r>
    <w:proofErr w:type="spellEnd"/>
    <w:r>
      <w:t xml:space="preserve"> I</w:t>
    </w:r>
  </w:p>
  <w:p w:rsidR="006B54F5" w:rsidRPr="0033525D" w:rsidRDefault="006B54F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Pr="0033525D" w:rsidRDefault="006B54F5" w:rsidP="00D25F3D">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rsidR="006B54F5" w:rsidRPr="0033525D" w:rsidRDefault="006B54F5" w:rsidP="00D25F3D">
    <w:pPr>
      <w:jc w:val="right"/>
    </w:pPr>
    <w:proofErr w:type="spellStart"/>
    <w:r>
      <w:t>Anexo</w:t>
    </w:r>
    <w:proofErr w:type="spellEnd"/>
    <w:r>
      <w:t xml:space="preserve"> I</w:t>
    </w:r>
  </w:p>
  <w:p w:rsidR="006B54F5" w:rsidRDefault="006B54F5" w:rsidP="00D25F3D">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Pr="0033525D" w:rsidRDefault="006B54F5" w:rsidP="00D25F3D">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rsidR="006B54F5" w:rsidRPr="0033525D" w:rsidRDefault="006B54F5" w:rsidP="00D25F3D">
    <w:pPr>
      <w:jc w:val="right"/>
    </w:pPr>
    <w:proofErr w:type="spellStart"/>
    <w:r>
      <w:t>Anexo</w:t>
    </w:r>
    <w:proofErr w:type="spellEnd"/>
    <w:r>
      <w:t xml:space="preserve"> II</w:t>
    </w:r>
  </w:p>
  <w:p w:rsidR="006B54F5" w:rsidRPr="0033525D" w:rsidRDefault="006B54F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Pr="0033525D" w:rsidRDefault="006B54F5" w:rsidP="00D25F3D">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rsidR="006B54F5" w:rsidRPr="0033525D" w:rsidRDefault="006B54F5" w:rsidP="00D25F3D">
    <w:pPr>
      <w:jc w:val="left"/>
    </w:pPr>
    <w:proofErr w:type="spellStart"/>
    <w:r>
      <w:t>Anexo</w:t>
    </w:r>
    <w:proofErr w:type="spellEnd"/>
    <w:r>
      <w:t xml:space="preserve"> II</w:t>
    </w:r>
  </w:p>
  <w:p w:rsidR="006B54F5" w:rsidRPr="0033525D" w:rsidRDefault="006B54F5">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5" w:rsidRDefault="006B54F5">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r>
      <w:t>9</w:t>
    </w:r>
  </w:p>
  <w:p w:rsidR="006B54F5" w:rsidRDefault="006B54F5" w:rsidP="00D25F3D">
    <w:pPr>
      <w:jc w:val="right"/>
    </w:pPr>
    <w:proofErr w:type="spellStart"/>
    <w:r>
      <w:t>Anexo</w:t>
    </w:r>
    <w:proofErr w:type="spellEnd"/>
    <w:r>
      <w:t xml:space="preserve"> II</w:t>
    </w:r>
  </w:p>
  <w:p w:rsidR="006B54F5" w:rsidRDefault="006B54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3489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06B3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945A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F007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327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4C6C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68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3465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E8F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AE3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DBAAFA6"/>
    <w:lvl w:ilvl="0">
      <w:start w:val="1"/>
      <w:numFmt w:val="decimal"/>
      <w:pStyle w:val="Heading1"/>
      <w:lvlText w:val="%1."/>
      <w:lvlJc w:val="left"/>
      <w:pPr>
        <w:tabs>
          <w:tab w:val="num" w:pos="0"/>
        </w:tabs>
        <w:ind w:left="0" w:firstLine="0"/>
      </w:pPr>
      <w:rPr>
        <w:b w:val="0"/>
        <w:bCs/>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F7659A0"/>
    <w:multiLevelType w:val="hybridMultilevel"/>
    <w:tmpl w:val="364C6D04"/>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97A67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5258F2"/>
    <w:multiLevelType w:val="multilevel"/>
    <w:tmpl w:val="F4F26F74"/>
    <w:lvl w:ilvl="0">
      <w:start w:val="1"/>
      <w:numFmt w:val="bullet"/>
      <w:lvlText w:val=""/>
      <w:lvlJc w:val="left"/>
      <w:pPr>
        <w:tabs>
          <w:tab w:val="num" w:pos="0"/>
        </w:tabs>
        <w:ind w:left="0" w:firstLine="0"/>
      </w:pPr>
      <w:rPr>
        <w:rFonts w:ascii="Symbol" w:hAnsi="Symbol" w:hint="default"/>
        <w:strike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6481901"/>
    <w:multiLevelType w:val="multilevel"/>
    <w:tmpl w:val="F4F26F74"/>
    <w:lvl w:ilvl="0">
      <w:start w:val="1"/>
      <w:numFmt w:val="bullet"/>
      <w:lvlText w:val=""/>
      <w:lvlJc w:val="left"/>
      <w:pPr>
        <w:tabs>
          <w:tab w:val="num" w:pos="0"/>
        </w:tabs>
        <w:ind w:left="0" w:firstLine="0"/>
      </w:pPr>
      <w:rPr>
        <w:rFonts w:ascii="Symbol" w:hAnsi="Symbol" w:hint="default"/>
        <w:strike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38AC57AE"/>
    <w:multiLevelType w:val="hybridMultilevel"/>
    <w:tmpl w:val="CB9EE472"/>
    <w:lvl w:ilvl="0" w:tplc="AF4EB31A">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14F23EA"/>
    <w:multiLevelType w:val="hybridMultilevel"/>
    <w:tmpl w:val="26804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C15EE6"/>
    <w:multiLevelType w:val="hybridMultilevel"/>
    <w:tmpl w:val="D9763666"/>
    <w:lvl w:ilvl="0" w:tplc="6832E58A">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E06D9F"/>
    <w:multiLevelType w:val="hybridMultilevel"/>
    <w:tmpl w:val="6A0471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FFA4157"/>
    <w:multiLevelType w:val="hybridMultilevel"/>
    <w:tmpl w:val="B3D6CE9C"/>
    <w:lvl w:ilvl="0" w:tplc="1B086A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D4ADA"/>
    <w:multiLevelType w:val="hybridMultilevel"/>
    <w:tmpl w:val="325092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F27CE2"/>
    <w:multiLevelType w:val="hybridMultilevel"/>
    <w:tmpl w:val="CB9EE472"/>
    <w:lvl w:ilvl="0" w:tplc="AF4EB31A">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7B6B0342"/>
    <w:multiLevelType w:val="hybridMultilevel"/>
    <w:tmpl w:val="4E1278A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1"/>
  </w:num>
  <w:num w:numId="19">
    <w:abstractNumId w:val="27"/>
  </w:num>
  <w:num w:numId="20">
    <w:abstractNumId w:val="15"/>
  </w:num>
  <w:num w:numId="21">
    <w:abstractNumId w:val="20"/>
  </w:num>
  <w:num w:numId="22">
    <w:abstractNumId w:val="12"/>
  </w:num>
  <w:num w:numId="23">
    <w:abstractNumId w:val="22"/>
  </w:num>
  <w:num w:numId="24">
    <w:abstractNumId w:val="26"/>
  </w:num>
  <w:num w:numId="25">
    <w:abstractNumId w:val="23"/>
  </w:num>
  <w:num w:numId="26">
    <w:abstractNumId w:val="15"/>
    <w:lvlOverride w:ilvl="0">
      <w:startOverride w:val="1"/>
    </w:lvlOverride>
  </w:num>
  <w:num w:numId="27">
    <w:abstractNumId w:val="16"/>
  </w:num>
  <w:num w:numId="28">
    <w:abstractNumId w:val="14"/>
  </w:num>
  <w:num w:numId="29">
    <w:abstractNumId w:val="11"/>
  </w:num>
  <w:num w:numId="30">
    <w:abstractNumId w:val="25"/>
  </w:num>
  <w:num w:numId="31">
    <w:abstractNumId w:val="17"/>
  </w:num>
  <w:num w:numId="3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FB"/>
    <w:rsid w:val="000F2FFB"/>
    <w:rsid w:val="0010622B"/>
    <w:rsid w:val="00106F6E"/>
    <w:rsid w:val="00114CAA"/>
    <w:rsid w:val="001C2D22"/>
    <w:rsid w:val="001F4047"/>
    <w:rsid w:val="00235D4C"/>
    <w:rsid w:val="0024162E"/>
    <w:rsid w:val="003863A4"/>
    <w:rsid w:val="003B7115"/>
    <w:rsid w:val="00455352"/>
    <w:rsid w:val="00476E28"/>
    <w:rsid w:val="005A6CB8"/>
    <w:rsid w:val="005B70E2"/>
    <w:rsid w:val="005E48C4"/>
    <w:rsid w:val="006915A5"/>
    <w:rsid w:val="006B54F5"/>
    <w:rsid w:val="00711F19"/>
    <w:rsid w:val="00831BC5"/>
    <w:rsid w:val="0087455A"/>
    <w:rsid w:val="0092685B"/>
    <w:rsid w:val="0096594D"/>
    <w:rsid w:val="00A30886"/>
    <w:rsid w:val="00AB56E5"/>
    <w:rsid w:val="00AC4195"/>
    <w:rsid w:val="00B83FFA"/>
    <w:rsid w:val="00C14E67"/>
    <w:rsid w:val="00C40E04"/>
    <w:rsid w:val="00D12615"/>
    <w:rsid w:val="00D25F3D"/>
    <w:rsid w:val="00D849F3"/>
    <w:rsid w:val="00DB795B"/>
    <w:rsid w:val="00E17F97"/>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4EEBB"/>
  <w15:docId w15:val="{0D371455-15AC-4590-9C7F-745F9771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uiPriority w:val="99"/>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uiPriority w:val="99"/>
    <w:pPr>
      <w:jc w:val="center"/>
      <w:outlineLvl w:val="0"/>
    </w:pPr>
    <w:rPr>
      <w:b/>
      <w:caps/>
      <w:sz w:val="22"/>
      <w:szCs w:val="22"/>
      <w:lang w:val="en-GB"/>
    </w:rPr>
  </w:style>
  <w:style w:type="paragraph" w:customStyle="1" w:styleId="Decision">
    <w:name w:val="Decision"/>
    <w:basedOn w:val="Normal"/>
    <w:uiPriority w:val="99"/>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uiPriority w:val="99"/>
    <w:semiHidden/>
    <w:pPr>
      <w:numPr>
        <w:numId w:val="17"/>
      </w:numPr>
    </w:pPr>
  </w:style>
  <w:style w:type="numbering" w:styleId="ArticleSection">
    <w:name w:val="Outline List 3"/>
    <w:basedOn w:val="NoList"/>
    <w:uiPriority w:val="99"/>
    <w:semiHidden/>
    <w:pPr>
      <w:numPr>
        <w:numId w:val="18"/>
      </w:numPr>
    </w:p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paragraph" w:styleId="BodyTextIndent3">
    <w:name w:val="Body Text Indent 3"/>
    <w:basedOn w:val="Normal"/>
    <w:link w:val="BodyTextIndent3Char"/>
    <w:uiPriority w:val="99"/>
    <w:semiHidden/>
    <w:pPr>
      <w:spacing w:after="120"/>
      <w:ind w:left="360"/>
    </w:pPr>
    <w:rPr>
      <w:sz w:val="16"/>
      <w:szCs w:val="16"/>
    </w:rPr>
  </w:style>
  <w:style w:type="paragraph" w:styleId="PlainText">
    <w:name w:val="Plain Text"/>
    <w:basedOn w:val="Normal"/>
    <w:link w:val="PlainTextChar"/>
    <w:uiPriority w:val="99"/>
    <w:semiHidden/>
    <w:rPr>
      <w:rFonts w:ascii="Courier New" w:hAnsi="Courier New" w:cs="Courier New"/>
      <w:sz w:val="20"/>
    </w:rPr>
  </w:style>
  <w:style w:type="table" w:styleId="Table3Deffects1">
    <w:name w:val="Table 3D effects 1"/>
    <w:basedOn w:val="TableNormal"/>
    <w:uiPriority w:val="99"/>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paragraph" w:styleId="Date">
    <w:name w:val="Date"/>
    <w:basedOn w:val="Normal"/>
    <w:next w:val="Normal"/>
    <w:link w:val="DateCha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styleId="PageNumber">
    <w:name w:val="page number"/>
    <w:basedOn w:val="DefaultParagraphFont"/>
    <w:uiPriority w:val="99"/>
    <w:rsid w:val="000F2FFB"/>
    <w:rPr>
      <w:sz w:val="22"/>
      <w:szCs w:val="22"/>
    </w:rPr>
  </w:style>
  <w:style w:type="paragraph" w:styleId="BodyText">
    <w:name w:val="Body Text"/>
    <w:basedOn w:val="Normal"/>
    <w:link w:val="BodyTextChar"/>
    <w:uiPriority w:val="99"/>
    <w:semiHidden/>
    <w:rsid w:val="000F2FFB"/>
    <w:pPr>
      <w:spacing w:after="120"/>
    </w:pPr>
    <w:rPr>
      <w:lang w:val="es-ES"/>
    </w:rPr>
  </w:style>
  <w:style w:type="character" w:customStyle="1" w:styleId="BodyTextChar">
    <w:name w:val="Body Text Char"/>
    <w:basedOn w:val="DefaultParagraphFont"/>
    <w:link w:val="BodyText"/>
    <w:uiPriority w:val="99"/>
    <w:semiHidden/>
    <w:rsid w:val="000F2FFB"/>
    <w:rPr>
      <w:sz w:val="22"/>
      <w:szCs w:val="22"/>
      <w:lang w:val="es-ES"/>
    </w:rPr>
  </w:style>
  <w:style w:type="paragraph" w:styleId="BodyText2">
    <w:name w:val="Body Text 2"/>
    <w:basedOn w:val="Normal"/>
    <w:link w:val="BodyText2Char"/>
    <w:uiPriority w:val="99"/>
    <w:semiHidden/>
    <w:rsid w:val="000F2FFB"/>
    <w:pPr>
      <w:spacing w:after="120" w:line="480" w:lineRule="auto"/>
    </w:pPr>
    <w:rPr>
      <w:lang w:val="es-ES"/>
    </w:rPr>
  </w:style>
  <w:style w:type="character" w:customStyle="1" w:styleId="BodyText2Char">
    <w:name w:val="Body Text 2 Char"/>
    <w:basedOn w:val="DefaultParagraphFont"/>
    <w:link w:val="BodyText2"/>
    <w:uiPriority w:val="99"/>
    <w:semiHidden/>
    <w:rsid w:val="000F2FFB"/>
    <w:rPr>
      <w:sz w:val="22"/>
      <w:szCs w:val="22"/>
      <w:lang w:val="es-ES"/>
    </w:rPr>
  </w:style>
  <w:style w:type="paragraph" w:styleId="BodyTextFirstIndent">
    <w:name w:val="Body Text First Indent"/>
    <w:basedOn w:val="BodyText"/>
    <w:link w:val="BodyTextFirstIndentChar"/>
    <w:uiPriority w:val="99"/>
    <w:semiHidden/>
    <w:rsid w:val="000F2FFB"/>
    <w:pPr>
      <w:ind w:firstLine="210"/>
    </w:pPr>
  </w:style>
  <w:style w:type="character" w:customStyle="1" w:styleId="BodyTextFirstIndentChar">
    <w:name w:val="Body Text First Indent Char"/>
    <w:basedOn w:val="BodyTextChar"/>
    <w:link w:val="BodyTextFirstIndent"/>
    <w:uiPriority w:val="99"/>
    <w:semiHidden/>
    <w:rsid w:val="000F2FFB"/>
    <w:rPr>
      <w:sz w:val="22"/>
      <w:szCs w:val="22"/>
      <w:lang w:val="es-ES"/>
    </w:rPr>
  </w:style>
  <w:style w:type="paragraph" w:styleId="BodyTextIndent">
    <w:name w:val="Body Text Indent"/>
    <w:basedOn w:val="Normal"/>
    <w:link w:val="BodyTextIndentChar"/>
    <w:uiPriority w:val="99"/>
    <w:semiHidden/>
    <w:rsid w:val="000F2FFB"/>
    <w:pPr>
      <w:spacing w:after="120"/>
      <w:ind w:left="360"/>
    </w:pPr>
    <w:rPr>
      <w:lang w:val="es-ES"/>
    </w:rPr>
  </w:style>
  <w:style w:type="character" w:customStyle="1" w:styleId="BodyTextIndentChar">
    <w:name w:val="Body Text Indent Char"/>
    <w:basedOn w:val="DefaultParagraphFont"/>
    <w:link w:val="BodyTextIndent"/>
    <w:uiPriority w:val="99"/>
    <w:semiHidden/>
    <w:rsid w:val="000F2FFB"/>
    <w:rPr>
      <w:sz w:val="22"/>
      <w:szCs w:val="22"/>
      <w:lang w:val="es-ES"/>
    </w:rPr>
  </w:style>
  <w:style w:type="paragraph" w:styleId="BodyTextFirstIndent2">
    <w:name w:val="Body Text First Indent 2"/>
    <w:basedOn w:val="BodyTextIndent"/>
    <w:link w:val="BodyTextFirstIndent2Char"/>
    <w:uiPriority w:val="99"/>
    <w:semiHidden/>
    <w:rsid w:val="000F2FFB"/>
    <w:pPr>
      <w:ind w:firstLine="210"/>
    </w:pPr>
  </w:style>
  <w:style w:type="character" w:customStyle="1" w:styleId="BodyTextFirstIndent2Char">
    <w:name w:val="Body Text First Indent 2 Char"/>
    <w:basedOn w:val="BodyTextIndentChar"/>
    <w:link w:val="BodyTextFirstIndent2"/>
    <w:uiPriority w:val="99"/>
    <w:semiHidden/>
    <w:rsid w:val="000F2FFB"/>
    <w:rPr>
      <w:sz w:val="22"/>
      <w:szCs w:val="22"/>
      <w:lang w:val="es-ES"/>
    </w:rPr>
  </w:style>
  <w:style w:type="paragraph" w:styleId="BodyTextIndent2">
    <w:name w:val="Body Text Indent 2"/>
    <w:basedOn w:val="Normal"/>
    <w:link w:val="BodyTextIndent2Char"/>
    <w:uiPriority w:val="99"/>
    <w:semiHidden/>
    <w:rsid w:val="000F2FFB"/>
    <w:pPr>
      <w:spacing w:after="120" w:line="480" w:lineRule="auto"/>
      <w:ind w:left="360"/>
    </w:pPr>
    <w:rPr>
      <w:lang w:val="es-ES"/>
    </w:rPr>
  </w:style>
  <w:style w:type="character" w:customStyle="1" w:styleId="BodyTextIndent2Char">
    <w:name w:val="Body Text Indent 2 Char"/>
    <w:basedOn w:val="DefaultParagraphFont"/>
    <w:link w:val="BodyTextIndent2"/>
    <w:uiPriority w:val="99"/>
    <w:semiHidden/>
    <w:rsid w:val="000F2FFB"/>
    <w:rPr>
      <w:sz w:val="22"/>
      <w:szCs w:val="22"/>
      <w:lang w:val="es-ES"/>
    </w:rPr>
  </w:style>
  <w:style w:type="paragraph" w:styleId="Closing">
    <w:name w:val="Closing"/>
    <w:basedOn w:val="Normal"/>
    <w:link w:val="ClosingChar"/>
    <w:uiPriority w:val="99"/>
    <w:semiHidden/>
    <w:rsid w:val="000F2FFB"/>
    <w:pPr>
      <w:ind w:left="4320"/>
    </w:pPr>
    <w:rPr>
      <w:lang w:val="es-ES"/>
    </w:rPr>
  </w:style>
  <w:style w:type="character" w:customStyle="1" w:styleId="ClosingChar">
    <w:name w:val="Closing Char"/>
    <w:basedOn w:val="DefaultParagraphFont"/>
    <w:link w:val="Closing"/>
    <w:uiPriority w:val="99"/>
    <w:semiHidden/>
    <w:rsid w:val="000F2FFB"/>
    <w:rPr>
      <w:sz w:val="22"/>
      <w:szCs w:val="22"/>
      <w:lang w:val="es-ES"/>
    </w:rPr>
  </w:style>
  <w:style w:type="paragraph" w:styleId="E-mailSignature">
    <w:name w:val="E-mail Signature"/>
    <w:basedOn w:val="Normal"/>
    <w:link w:val="E-mailSignatureChar"/>
    <w:uiPriority w:val="99"/>
    <w:semiHidden/>
    <w:rsid w:val="000F2FFB"/>
    <w:rPr>
      <w:lang w:val="es-ES"/>
    </w:rPr>
  </w:style>
  <w:style w:type="character" w:customStyle="1" w:styleId="E-mailSignatureChar">
    <w:name w:val="E-mail Signature Char"/>
    <w:basedOn w:val="DefaultParagraphFont"/>
    <w:link w:val="E-mailSignature"/>
    <w:uiPriority w:val="99"/>
    <w:semiHidden/>
    <w:rsid w:val="000F2FFB"/>
    <w:rPr>
      <w:sz w:val="22"/>
      <w:szCs w:val="22"/>
      <w:lang w:val="es-ES"/>
    </w:rPr>
  </w:style>
  <w:style w:type="character" w:styleId="Emphasis">
    <w:name w:val="Emphasis"/>
    <w:basedOn w:val="DefaultParagraphFont"/>
    <w:uiPriority w:val="99"/>
    <w:qFormat/>
    <w:rsid w:val="000F2FFB"/>
    <w:rPr>
      <w:i/>
      <w:iCs/>
    </w:rPr>
  </w:style>
  <w:style w:type="paragraph" w:styleId="EnvelopeAddress">
    <w:name w:val="envelope address"/>
    <w:basedOn w:val="Normal"/>
    <w:uiPriority w:val="99"/>
    <w:semiHidden/>
    <w:rsid w:val="000F2FFB"/>
    <w:pPr>
      <w:framePr w:w="7920" w:h="1980" w:hRule="exact" w:hSpace="180" w:wrap="auto" w:hAnchor="page" w:xAlign="center" w:yAlign="bottom"/>
      <w:ind w:left="2880"/>
    </w:pPr>
    <w:rPr>
      <w:rFonts w:ascii="Arial" w:hAnsi="Arial" w:cs="Arial"/>
      <w:szCs w:val="24"/>
      <w:lang w:val="es-ES"/>
    </w:rPr>
  </w:style>
  <w:style w:type="paragraph" w:styleId="EnvelopeReturn">
    <w:name w:val="envelope return"/>
    <w:basedOn w:val="Normal"/>
    <w:uiPriority w:val="99"/>
    <w:semiHidden/>
    <w:rsid w:val="000F2FFB"/>
    <w:rPr>
      <w:rFonts w:ascii="Arial" w:hAnsi="Arial" w:cs="Arial"/>
      <w:sz w:val="20"/>
      <w:lang w:val="es-ES"/>
    </w:rPr>
  </w:style>
  <w:style w:type="character" w:styleId="FollowedHyperlink">
    <w:name w:val="FollowedHyperlink"/>
    <w:basedOn w:val="DefaultParagraphFont"/>
    <w:uiPriority w:val="99"/>
    <w:semiHidden/>
    <w:rsid w:val="000F2FFB"/>
    <w:rPr>
      <w:color w:val="800080"/>
      <w:u w:val="single"/>
    </w:rPr>
  </w:style>
  <w:style w:type="character" w:styleId="HTMLAcronym">
    <w:name w:val="HTML Acronym"/>
    <w:basedOn w:val="DefaultParagraphFont"/>
    <w:uiPriority w:val="99"/>
    <w:semiHidden/>
    <w:rsid w:val="000F2FFB"/>
  </w:style>
  <w:style w:type="paragraph" w:styleId="HTMLAddress">
    <w:name w:val="HTML Address"/>
    <w:basedOn w:val="Normal"/>
    <w:link w:val="HTMLAddressChar"/>
    <w:uiPriority w:val="99"/>
    <w:semiHidden/>
    <w:rsid w:val="000F2FFB"/>
    <w:rPr>
      <w:i/>
      <w:iCs/>
      <w:lang w:val="es-ES"/>
    </w:rPr>
  </w:style>
  <w:style w:type="character" w:customStyle="1" w:styleId="HTMLAddressChar">
    <w:name w:val="HTML Address Char"/>
    <w:basedOn w:val="DefaultParagraphFont"/>
    <w:link w:val="HTMLAddress"/>
    <w:uiPriority w:val="99"/>
    <w:semiHidden/>
    <w:rsid w:val="000F2FFB"/>
    <w:rPr>
      <w:i/>
      <w:iCs/>
      <w:sz w:val="22"/>
      <w:szCs w:val="22"/>
      <w:lang w:val="es-ES"/>
    </w:rPr>
  </w:style>
  <w:style w:type="character" w:styleId="HTMLCite">
    <w:name w:val="HTML Cite"/>
    <w:basedOn w:val="DefaultParagraphFont"/>
    <w:uiPriority w:val="99"/>
    <w:semiHidden/>
    <w:rsid w:val="000F2FFB"/>
    <w:rPr>
      <w:i/>
      <w:iCs/>
    </w:rPr>
  </w:style>
  <w:style w:type="character" w:styleId="HTMLCode">
    <w:name w:val="HTML Code"/>
    <w:basedOn w:val="DefaultParagraphFont"/>
    <w:uiPriority w:val="99"/>
    <w:semiHidden/>
    <w:rsid w:val="000F2FFB"/>
    <w:rPr>
      <w:rFonts w:ascii="Courier New" w:hAnsi="Courier New" w:cs="Courier New"/>
      <w:sz w:val="20"/>
      <w:szCs w:val="20"/>
    </w:rPr>
  </w:style>
  <w:style w:type="character" w:styleId="HTMLDefinition">
    <w:name w:val="HTML Definition"/>
    <w:basedOn w:val="DefaultParagraphFont"/>
    <w:uiPriority w:val="99"/>
    <w:semiHidden/>
    <w:rsid w:val="000F2FFB"/>
    <w:rPr>
      <w:i/>
      <w:iCs/>
    </w:rPr>
  </w:style>
  <w:style w:type="character" w:styleId="HTMLKeyboard">
    <w:name w:val="HTML Keyboard"/>
    <w:basedOn w:val="DefaultParagraphFont"/>
    <w:uiPriority w:val="99"/>
    <w:semiHidden/>
    <w:rsid w:val="000F2FFB"/>
    <w:rPr>
      <w:rFonts w:ascii="Courier New" w:hAnsi="Courier New" w:cs="Courier New"/>
      <w:sz w:val="20"/>
      <w:szCs w:val="20"/>
    </w:rPr>
  </w:style>
  <w:style w:type="paragraph" w:styleId="HTMLPreformatted">
    <w:name w:val="HTML Preformatted"/>
    <w:basedOn w:val="Normal"/>
    <w:link w:val="HTMLPreformattedChar"/>
    <w:uiPriority w:val="99"/>
    <w:semiHidden/>
    <w:rsid w:val="000F2FFB"/>
    <w:rPr>
      <w:rFonts w:ascii="Courier New" w:hAnsi="Courier New" w:cs="Courier New"/>
      <w:sz w:val="20"/>
      <w:lang w:val="es-ES"/>
    </w:rPr>
  </w:style>
  <w:style w:type="character" w:customStyle="1" w:styleId="HTMLPreformattedChar">
    <w:name w:val="HTML Preformatted Char"/>
    <w:basedOn w:val="DefaultParagraphFont"/>
    <w:link w:val="HTMLPreformatted"/>
    <w:uiPriority w:val="99"/>
    <w:semiHidden/>
    <w:rsid w:val="000F2FFB"/>
    <w:rPr>
      <w:rFonts w:ascii="Courier New" w:hAnsi="Courier New" w:cs="Courier New"/>
      <w:szCs w:val="22"/>
      <w:lang w:val="es-ES"/>
    </w:rPr>
  </w:style>
  <w:style w:type="character" w:styleId="HTMLSample">
    <w:name w:val="HTML Sample"/>
    <w:basedOn w:val="DefaultParagraphFont"/>
    <w:uiPriority w:val="99"/>
    <w:semiHidden/>
    <w:rsid w:val="000F2FFB"/>
    <w:rPr>
      <w:rFonts w:ascii="Courier New" w:hAnsi="Courier New" w:cs="Courier New"/>
    </w:rPr>
  </w:style>
  <w:style w:type="character" w:styleId="HTMLTypewriter">
    <w:name w:val="HTML Typewriter"/>
    <w:basedOn w:val="DefaultParagraphFont"/>
    <w:uiPriority w:val="99"/>
    <w:semiHidden/>
    <w:rsid w:val="000F2FFB"/>
    <w:rPr>
      <w:rFonts w:ascii="Courier New" w:hAnsi="Courier New" w:cs="Courier New"/>
      <w:sz w:val="20"/>
      <w:szCs w:val="20"/>
    </w:rPr>
  </w:style>
  <w:style w:type="character" w:styleId="HTMLVariable">
    <w:name w:val="HTML Variable"/>
    <w:basedOn w:val="DefaultParagraphFont"/>
    <w:uiPriority w:val="99"/>
    <w:semiHidden/>
    <w:rsid w:val="000F2FFB"/>
    <w:rPr>
      <w:i/>
      <w:iCs/>
    </w:rPr>
  </w:style>
  <w:style w:type="character" w:styleId="Hyperlink">
    <w:name w:val="Hyperlink"/>
    <w:basedOn w:val="DefaultParagraphFont"/>
    <w:uiPriority w:val="99"/>
    <w:semiHidden/>
    <w:rsid w:val="000F2FFB"/>
    <w:rPr>
      <w:color w:val="0000FF"/>
      <w:u w:val="single"/>
    </w:rPr>
  </w:style>
  <w:style w:type="character" w:styleId="LineNumber">
    <w:name w:val="line number"/>
    <w:basedOn w:val="DefaultParagraphFont"/>
    <w:uiPriority w:val="99"/>
    <w:semiHidden/>
    <w:rsid w:val="000F2FFB"/>
  </w:style>
  <w:style w:type="paragraph" w:styleId="List">
    <w:name w:val="List"/>
    <w:basedOn w:val="Normal"/>
    <w:uiPriority w:val="99"/>
    <w:semiHidden/>
    <w:rsid w:val="000F2FFB"/>
    <w:pPr>
      <w:ind w:left="360" w:hanging="360"/>
    </w:pPr>
    <w:rPr>
      <w:lang w:val="es-ES"/>
    </w:rPr>
  </w:style>
  <w:style w:type="paragraph" w:styleId="List2">
    <w:name w:val="List 2"/>
    <w:basedOn w:val="Normal"/>
    <w:uiPriority w:val="99"/>
    <w:semiHidden/>
    <w:rsid w:val="000F2FFB"/>
    <w:pPr>
      <w:ind w:left="720" w:hanging="360"/>
    </w:pPr>
    <w:rPr>
      <w:lang w:val="es-ES"/>
    </w:rPr>
  </w:style>
  <w:style w:type="paragraph" w:styleId="List3">
    <w:name w:val="List 3"/>
    <w:basedOn w:val="Normal"/>
    <w:uiPriority w:val="99"/>
    <w:semiHidden/>
    <w:rsid w:val="000F2FFB"/>
    <w:pPr>
      <w:ind w:left="1080" w:hanging="360"/>
    </w:pPr>
    <w:rPr>
      <w:lang w:val="es-ES"/>
    </w:rPr>
  </w:style>
  <w:style w:type="paragraph" w:styleId="List4">
    <w:name w:val="List 4"/>
    <w:basedOn w:val="Normal"/>
    <w:uiPriority w:val="99"/>
    <w:semiHidden/>
    <w:rsid w:val="000F2FFB"/>
    <w:pPr>
      <w:ind w:left="1440" w:hanging="360"/>
    </w:pPr>
    <w:rPr>
      <w:lang w:val="es-ES"/>
    </w:rPr>
  </w:style>
  <w:style w:type="paragraph" w:styleId="List5">
    <w:name w:val="List 5"/>
    <w:basedOn w:val="Normal"/>
    <w:uiPriority w:val="99"/>
    <w:semiHidden/>
    <w:rsid w:val="000F2FFB"/>
    <w:pPr>
      <w:ind w:left="1800" w:hanging="360"/>
    </w:pPr>
    <w:rPr>
      <w:lang w:val="es-ES"/>
    </w:rPr>
  </w:style>
  <w:style w:type="paragraph" w:styleId="ListBullet">
    <w:name w:val="List Bullet"/>
    <w:basedOn w:val="Normal"/>
    <w:autoRedefine/>
    <w:uiPriority w:val="99"/>
    <w:semiHidden/>
    <w:rsid w:val="000F2FFB"/>
    <w:pPr>
      <w:tabs>
        <w:tab w:val="num" w:pos="360"/>
      </w:tabs>
      <w:ind w:left="360" w:hanging="360"/>
    </w:pPr>
    <w:rPr>
      <w:lang w:val="es-ES"/>
    </w:rPr>
  </w:style>
  <w:style w:type="paragraph" w:styleId="ListBullet2">
    <w:name w:val="List Bullet 2"/>
    <w:basedOn w:val="Normal"/>
    <w:autoRedefine/>
    <w:semiHidden/>
    <w:rsid w:val="000F2FFB"/>
    <w:pPr>
      <w:tabs>
        <w:tab w:val="num" w:pos="720"/>
      </w:tabs>
      <w:ind w:left="720" w:hanging="360"/>
    </w:pPr>
    <w:rPr>
      <w:lang w:val="es-ES"/>
    </w:rPr>
  </w:style>
  <w:style w:type="paragraph" w:styleId="ListBullet3">
    <w:name w:val="List Bullet 3"/>
    <w:basedOn w:val="Normal"/>
    <w:autoRedefine/>
    <w:uiPriority w:val="99"/>
    <w:semiHidden/>
    <w:rsid w:val="000F2FFB"/>
    <w:pPr>
      <w:tabs>
        <w:tab w:val="num" w:pos="1080"/>
      </w:tabs>
      <w:ind w:left="1080" w:hanging="360"/>
    </w:pPr>
    <w:rPr>
      <w:lang w:val="es-ES"/>
    </w:rPr>
  </w:style>
  <w:style w:type="paragraph" w:styleId="ListBullet4">
    <w:name w:val="List Bullet 4"/>
    <w:basedOn w:val="Normal"/>
    <w:autoRedefine/>
    <w:uiPriority w:val="99"/>
    <w:semiHidden/>
    <w:rsid w:val="000F2FFB"/>
    <w:pPr>
      <w:tabs>
        <w:tab w:val="num" w:pos="1440"/>
      </w:tabs>
      <w:ind w:left="1440" w:hanging="360"/>
    </w:pPr>
    <w:rPr>
      <w:lang w:val="es-ES"/>
    </w:rPr>
  </w:style>
  <w:style w:type="paragraph" w:styleId="ListBullet5">
    <w:name w:val="List Bullet 5"/>
    <w:basedOn w:val="Normal"/>
    <w:autoRedefine/>
    <w:uiPriority w:val="99"/>
    <w:semiHidden/>
    <w:rsid w:val="000F2FFB"/>
    <w:pPr>
      <w:tabs>
        <w:tab w:val="num" w:pos="1800"/>
      </w:tabs>
      <w:ind w:left="1800" w:hanging="360"/>
    </w:pPr>
    <w:rPr>
      <w:lang w:val="es-ES"/>
    </w:rPr>
  </w:style>
  <w:style w:type="paragraph" w:styleId="ListContinue">
    <w:name w:val="List Continue"/>
    <w:basedOn w:val="Normal"/>
    <w:uiPriority w:val="99"/>
    <w:semiHidden/>
    <w:rsid w:val="000F2FFB"/>
    <w:pPr>
      <w:spacing w:after="120"/>
      <w:ind w:left="360"/>
    </w:pPr>
    <w:rPr>
      <w:lang w:val="es-ES"/>
    </w:rPr>
  </w:style>
  <w:style w:type="paragraph" w:styleId="ListContinue2">
    <w:name w:val="List Continue 2"/>
    <w:basedOn w:val="Normal"/>
    <w:uiPriority w:val="99"/>
    <w:semiHidden/>
    <w:rsid w:val="000F2FFB"/>
    <w:pPr>
      <w:spacing w:after="120"/>
      <w:ind w:left="720"/>
    </w:pPr>
    <w:rPr>
      <w:lang w:val="es-ES"/>
    </w:rPr>
  </w:style>
  <w:style w:type="paragraph" w:styleId="ListContinue3">
    <w:name w:val="List Continue 3"/>
    <w:basedOn w:val="Normal"/>
    <w:uiPriority w:val="99"/>
    <w:semiHidden/>
    <w:rsid w:val="000F2FFB"/>
    <w:pPr>
      <w:spacing w:after="120"/>
      <w:ind w:left="1080"/>
    </w:pPr>
    <w:rPr>
      <w:lang w:val="es-ES"/>
    </w:rPr>
  </w:style>
  <w:style w:type="paragraph" w:styleId="ListContinue4">
    <w:name w:val="List Continue 4"/>
    <w:basedOn w:val="Normal"/>
    <w:uiPriority w:val="99"/>
    <w:semiHidden/>
    <w:rsid w:val="000F2FFB"/>
    <w:pPr>
      <w:spacing w:after="120"/>
      <w:ind w:left="1440"/>
    </w:pPr>
    <w:rPr>
      <w:lang w:val="es-ES"/>
    </w:rPr>
  </w:style>
  <w:style w:type="paragraph" w:styleId="ListContinue5">
    <w:name w:val="List Continue 5"/>
    <w:basedOn w:val="Normal"/>
    <w:uiPriority w:val="99"/>
    <w:semiHidden/>
    <w:rsid w:val="000F2FFB"/>
    <w:pPr>
      <w:spacing w:after="120"/>
      <w:ind w:left="1800"/>
    </w:pPr>
    <w:rPr>
      <w:lang w:val="es-ES"/>
    </w:rPr>
  </w:style>
  <w:style w:type="paragraph" w:styleId="ListNumber">
    <w:name w:val="List Number"/>
    <w:basedOn w:val="Normal"/>
    <w:uiPriority w:val="99"/>
    <w:semiHidden/>
    <w:rsid w:val="000F2FFB"/>
    <w:pPr>
      <w:tabs>
        <w:tab w:val="num" w:pos="360"/>
      </w:tabs>
      <w:ind w:left="360" w:hanging="360"/>
    </w:pPr>
    <w:rPr>
      <w:lang w:val="es-ES"/>
    </w:rPr>
  </w:style>
  <w:style w:type="paragraph" w:styleId="ListNumber2">
    <w:name w:val="List Number 2"/>
    <w:basedOn w:val="Normal"/>
    <w:uiPriority w:val="99"/>
    <w:semiHidden/>
    <w:rsid w:val="000F2FFB"/>
    <w:pPr>
      <w:tabs>
        <w:tab w:val="num" w:pos="720"/>
      </w:tabs>
      <w:ind w:left="720" w:hanging="360"/>
    </w:pPr>
    <w:rPr>
      <w:lang w:val="es-ES"/>
    </w:rPr>
  </w:style>
  <w:style w:type="paragraph" w:styleId="ListNumber3">
    <w:name w:val="List Number 3"/>
    <w:basedOn w:val="Normal"/>
    <w:uiPriority w:val="99"/>
    <w:semiHidden/>
    <w:rsid w:val="000F2FFB"/>
    <w:pPr>
      <w:tabs>
        <w:tab w:val="num" w:pos="1080"/>
      </w:tabs>
      <w:ind w:left="1080" w:hanging="360"/>
    </w:pPr>
    <w:rPr>
      <w:lang w:val="es-ES"/>
    </w:rPr>
  </w:style>
  <w:style w:type="paragraph" w:styleId="ListNumber4">
    <w:name w:val="List Number 4"/>
    <w:basedOn w:val="Normal"/>
    <w:uiPriority w:val="99"/>
    <w:semiHidden/>
    <w:rsid w:val="000F2FFB"/>
    <w:pPr>
      <w:tabs>
        <w:tab w:val="num" w:pos="1440"/>
      </w:tabs>
      <w:ind w:left="1440" w:hanging="360"/>
    </w:pPr>
    <w:rPr>
      <w:lang w:val="es-ES"/>
    </w:rPr>
  </w:style>
  <w:style w:type="paragraph" w:styleId="ListNumber5">
    <w:name w:val="List Number 5"/>
    <w:basedOn w:val="Normal"/>
    <w:uiPriority w:val="99"/>
    <w:semiHidden/>
    <w:rsid w:val="000F2FFB"/>
    <w:pPr>
      <w:tabs>
        <w:tab w:val="num" w:pos="1800"/>
      </w:tabs>
      <w:ind w:left="1800" w:hanging="360"/>
    </w:pPr>
    <w:rPr>
      <w:lang w:val="es-ES"/>
    </w:rPr>
  </w:style>
  <w:style w:type="paragraph" w:styleId="MessageHeader">
    <w:name w:val="Message Header"/>
    <w:basedOn w:val="Normal"/>
    <w:link w:val="MessageHeaderChar"/>
    <w:uiPriority w:val="99"/>
    <w:semiHidden/>
    <w:rsid w:val="000F2F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s-ES"/>
    </w:rPr>
  </w:style>
  <w:style w:type="character" w:customStyle="1" w:styleId="MessageHeaderChar">
    <w:name w:val="Message Header Char"/>
    <w:basedOn w:val="DefaultParagraphFont"/>
    <w:link w:val="MessageHeader"/>
    <w:uiPriority w:val="99"/>
    <w:semiHidden/>
    <w:rsid w:val="000F2FFB"/>
    <w:rPr>
      <w:rFonts w:ascii="Arial" w:hAnsi="Arial" w:cs="Arial"/>
      <w:sz w:val="22"/>
      <w:szCs w:val="24"/>
      <w:shd w:val="pct20" w:color="auto" w:fill="auto"/>
      <w:lang w:val="es-ES"/>
    </w:rPr>
  </w:style>
  <w:style w:type="paragraph" w:styleId="NormalWeb">
    <w:name w:val="Normal (Web)"/>
    <w:basedOn w:val="Normal"/>
    <w:uiPriority w:val="99"/>
    <w:semiHidden/>
    <w:rsid w:val="000F2FFB"/>
    <w:rPr>
      <w:szCs w:val="24"/>
      <w:lang w:val="es-ES"/>
    </w:rPr>
  </w:style>
  <w:style w:type="paragraph" w:styleId="NormalIndent">
    <w:name w:val="Normal Indent"/>
    <w:basedOn w:val="Normal"/>
    <w:uiPriority w:val="99"/>
    <w:semiHidden/>
    <w:rsid w:val="000F2FFB"/>
    <w:pPr>
      <w:ind w:left="720"/>
    </w:pPr>
    <w:rPr>
      <w:lang w:val="es-ES"/>
    </w:rPr>
  </w:style>
  <w:style w:type="paragraph" w:styleId="NoteHeading">
    <w:name w:val="Note Heading"/>
    <w:basedOn w:val="Normal"/>
    <w:next w:val="Normal"/>
    <w:link w:val="NoteHeadingChar"/>
    <w:uiPriority w:val="99"/>
    <w:semiHidden/>
    <w:rsid w:val="000F2FFB"/>
    <w:rPr>
      <w:lang w:val="es-ES"/>
    </w:rPr>
  </w:style>
  <w:style w:type="character" w:customStyle="1" w:styleId="NoteHeadingChar">
    <w:name w:val="Note Heading Char"/>
    <w:basedOn w:val="DefaultParagraphFont"/>
    <w:link w:val="NoteHeading"/>
    <w:uiPriority w:val="99"/>
    <w:semiHidden/>
    <w:rsid w:val="000F2FFB"/>
    <w:rPr>
      <w:sz w:val="22"/>
      <w:szCs w:val="22"/>
      <w:lang w:val="es-ES"/>
    </w:rPr>
  </w:style>
  <w:style w:type="paragraph" w:styleId="Salutation">
    <w:name w:val="Salutation"/>
    <w:basedOn w:val="Normal"/>
    <w:next w:val="Normal"/>
    <w:link w:val="SalutationChar"/>
    <w:uiPriority w:val="99"/>
    <w:semiHidden/>
    <w:rsid w:val="000F2FFB"/>
    <w:rPr>
      <w:lang w:val="es-ES"/>
    </w:rPr>
  </w:style>
  <w:style w:type="character" w:customStyle="1" w:styleId="SalutationChar">
    <w:name w:val="Salutation Char"/>
    <w:basedOn w:val="DefaultParagraphFont"/>
    <w:link w:val="Salutation"/>
    <w:uiPriority w:val="99"/>
    <w:semiHidden/>
    <w:rsid w:val="000F2FFB"/>
    <w:rPr>
      <w:sz w:val="22"/>
      <w:szCs w:val="22"/>
      <w:lang w:val="es-ES"/>
    </w:rPr>
  </w:style>
  <w:style w:type="paragraph" w:styleId="Signature">
    <w:name w:val="Signature"/>
    <w:basedOn w:val="Normal"/>
    <w:link w:val="SignatureChar"/>
    <w:uiPriority w:val="99"/>
    <w:semiHidden/>
    <w:rsid w:val="000F2FFB"/>
    <w:pPr>
      <w:ind w:left="4320"/>
    </w:pPr>
    <w:rPr>
      <w:lang w:val="es-ES"/>
    </w:rPr>
  </w:style>
  <w:style w:type="character" w:customStyle="1" w:styleId="SignatureChar">
    <w:name w:val="Signature Char"/>
    <w:basedOn w:val="DefaultParagraphFont"/>
    <w:link w:val="Signature"/>
    <w:uiPriority w:val="99"/>
    <w:semiHidden/>
    <w:rsid w:val="000F2FFB"/>
    <w:rPr>
      <w:sz w:val="22"/>
      <w:szCs w:val="22"/>
      <w:lang w:val="es-ES"/>
    </w:rPr>
  </w:style>
  <w:style w:type="character" w:styleId="Strong">
    <w:name w:val="Strong"/>
    <w:basedOn w:val="DefaultParagraphFont"/>
    <w:uiPriority w:val="99"/>
    <w:qFormat/>
    <w:rsid w:val="000F2FFB"/>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F2FFB"/>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rsid w:val="000F2FFB"/>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0F2FFB"/>
    <w:rPr>
      <w:sz w:val="22"/>
      <w:szCs w:val="22"/>
      <w:lang w:val="en-GB"/>
    </w:rPr>
  </w:style>
  <w:style w:type="character" w:customStyle="1" w:styleId="Heading5Char">
    <w:name w:val="Heading 5 Char"/>
    <w:basedOn w:val="DefaultParagraphFont"/>
    <w:link w:val="Heading5"/>
    <w:uiPriority w:val="99"/>
    <w:rsid w:val="000F2FFB"/>
    <w:rPr>
      <w:sz w:val="22"/>
      <w:szCs w:val="22"/>
      <w:lang w:val="en-GB"/>
    </w:rPr>
  </w:style>
  <w:style w:type="character" w:customStyle="1" w:styleId="Heading6Char">
    <w:name w:val="Heading 6 Char"/>
    <w:basedOn w:val="DefaultParagraphFont"/>
    <w:link w:val="Heading6"/>
    <w:rsid w:val="000F2FFB"/>
    <w:rPr>
      <w:rFonts w:ascii="Arial" w:hAnsi="Arial"/>
      <w:i/>
      <w:sz w:val="22"/>
      <w:szCs w:val="22"/>
      <w:lang w:val="en-GB"/>
    </w:rPr>
  </w:style>
  <w:style w:type="character" w:customStyle="1" w:styleId="Heading7Char">
    <w:name w:val="Heading 7 Char"/>
    <w:basedOn w:val="DefaultParagraphFont"/>
    <w:link w:val="Heading7"/>
    <w:rsid w:val="000F2FFB"/>
    <w:rPr>
      <w:rFonts w:ascii="Arial" w:hAnsi="Arial"/>
      <w:sz w:val="22"/>
      <w:szCs w:val="22"/>
      <w:lang w:val="en-GB"/>
    </w:rPr>
  </w:style>
  <w:style w:type="character" w:customStyle="1" w:styleId="Heading8Char">
    <w:name w:val="Heading 8 Char"/>
    <w:basedOn w:val="DefaultParagraphFont"/>
    <w:link w:val="Heading8"/>
    <w:uiPriority w:val="99"/>
    <w:rsid w:val="000F2FFB"/>
    <w:rPr>
      <w:b/>
      <w:sz w:val="22"/>
      <w:szCs w:val="22"/>
      <w:lang w:val="en-GB"/>
    </w:rPr>
  </w:style>
  <w:style w:type="character" w:customStyle="1" w:styleId="Heading9Char">
    <w:name w:val="Heading 9 Char"/>
    <w:basedOn w:val="DefaultParagraphFont"/>
    <w:link w:val="Heading9"/>
    <w:rsid w:val="000F2FFB"/>
    <w:rPr>
      <w:rFonts w:ascii="Arial" w:hAnsi="Arial"/>
      <w:i/>
      <w:sz w:val="18"/>
      <w:szCs w:val="22"/>
      <w:lang w:val="en-GB"/>
    </w:rPr>
  </w:style>
  <w:style w:type="character" w:customStyle="1" w:styleId="HeaderChar">
    <w:name w:val="Header Char"/>
    <w:basedOn w:val="DefaultParagraphFont"/>
    <w:link w:val="Header"/>
    <w:rsid w:val="000F2FFB"/>
    <w:rPr>
      <w:sz w:val="22"/>
      <w:szCs w:val="22"/>
      <w:lang w:val="en-GB"/>
    </w:rPr>
  </w:style>
  <w:style w:type="character" w:customStyle="1" w:styleId="BodyText3Char">
    <w:name w:val="Body Text 3 Char"/>
    <w:basedOn w:val="DefaultParagraphFont"/>
    <w:link w:val="BodyText3"/>
    <w:uiPriority w:val="99"/>
    <w:semiHidden/>
    <w:rsid w:val="000F2FFB"/>
    <w:rPr>
      <w:sz w:val="16"/>
      <w:szCs w:val="16"/>
      <w:lang w:val="en-GB"/>
    </w:rPr>
  </w:style>
  <w:style w:type="character" w:customStyle="1" w:styleId="BodyText2Char1">
    <w:name w:val="Body Text 2 Char1"/>
    <w:basedOn w:val="DefaultParagraphFont"/>
    <w:uiPriority w:val="99"/>
    <w:semiHidden/>
    <w:rsid w:val="000F2FFB"/>
    <w:rPr>
      <w:lang w:val="es-ES"/>
    </w:rPr>
  </w:style>
  <w:style w:type="character" w:customStyle="1" w:styleId="BodyText2Char2">
    <w:name w:val="Body Text 2 Char2"/>
    <w:basedOn w:val="DefaultParagraphFont"/>
    <w:uiPriority w:val="99"/>
    <w:semiHidden/>
    <w:rsid w:val="000F2FFB"/>
    <w:rPr>
      <w:lang w:val="es-ES"/>
    </w:rPr>
  </w:style>
  <w:style w:type="character" w:customStyle="1" w:styleId="BodyTextIndent3Char">
    <w:name w:val="Body Text Indent 3 Char"/>
    <w:basedOn w:val="DefaultParagraphFont"/>
    <w:link w:val="BodyTextIndent3"/>
    <w:uiPriority w:val="99"/>
    <w:semiHidden/>
    <w:rsid w:val="000F2FFB"/>
    <w:rPr>
      <w:sz w:val="16"/>
      <w:szCs w:val="16"/>
      <w:lang w:val="en-GB"/>
    </w:rPr>
  </w:style>
  <w:style w:type="character" w:customStyle="1" w:styleId="PlainTextChar">
    <w:name w:val="Plain Text Char"/>
    <w:basedOn w:val="DefaultParagraphFont"/>
    <w:link w:val="PlainText"/>
    <w:uiPriority w:val="99"/>
    <w:semiHidden/>
    <w:rsid w:val="000F2FFB"/>
    <w:rPr>
      <w:rFonts w:ascii="Courier New" w:hAnsi="Courier New" w:cs="Courier New"/>
      <w:szCs w:val="22"/>
      <w:lang w:val="en-GB"/>
    </w:rPr>
  </w:style>
  <w:style w:type="character" w:customStyle="1" w:styleId="SubtitleChar">
    <w:name w:val="Subtitle Char"/>
    <w:basedOn w:val="DefaultParagraphFont"/>
    <w:link w:val="Subtitle"/>
    <w:uiPriority w:val="99"/>
    <w:rsid w:val="000F2FFB"/>
    <w:rPr>
      <w:rFonts w:ascii="Arial" w:hAnsi="Arial" w:cs="Arial"/>
      <w:sz w:val="22"/>
      <w:szCs w:val="22"/>
      <w:lang w:val="en-GB"/>
    </w:rPr>
  </w:style>
  <w:style w:type="character" w:customStyle="1" w:styleId="TitleChar">
    <w:name w:val="Title Char"/>
    <w:basedOn w:val="DefaultParagraphFont"/>
    <w:link w:val="Title"/>
    <w:uiPriority w:val="99"/>
    <w:rsid w:val="000F2FFB"/>
    <w:rPr>
      <w:rFonts w:ascii="Arial" w:hAnsi="Arial" w:cs="Arial"/>
      <w:b/>
      <w:bCs/>
      <w:kern w:val="28"/>
      <w:sz w:val="22"/>
      <w:szCs w:val="22"/>
      <w:lang w:val="en-GB"/>
    </w:rPr>
  </w:style>
  <w:style w:type="character" w:customStyle="1" w:styleId="DateChar">
    <w:name w:val="Date Char"/>
    <w:basedOn w:val="DefaultParagraphFont"/>
    <w:link w:val="Date"/>
    <w:uiPriority w:val="99"/>
    <w:rsid w:val="000F2FFB"/>
    <w:rPr>
      <w:sz w:val="22"/>
      <w:szCs w:val="22"/>
      <w:lang w:val="en-GB"/>
    </w:rPr>
  </w:style>
  <w:style w:type="paragraph" w:styleId="ListParagraph">
    <w:name w:val="List Paragraph"/>
    <w:basedOn w:val="Normal"/>
    <w:uiPriority w:val="34"/>
    <w:qFormat/>
    <w:rsid w:val="000F2FFB"/>
    <w:pPr>
      <w:spacing w:after="200" w:line="276" w:lineRule="auto"/>
      <w:ind w:left="720"/>
      <w:contextualSpacing/>
      <w:jc w:val="left"/>
    </w:pPr>
    <w:rPr>
      <w:rFonts w:ascii="Calibri" w:eastAsia="Calibri" w:hAnsi="Calibri"/>
      <w:lang w:val="es-ES"/>
    </w:rPr>
  </w:style>
  <w:style w:type="paragraph" w:customStyle="1" w:styleId="xl74">
    <w:name w:val="xl74"/>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75">
    <w:name w:val="xl75"/>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76">
    <w:name w:val="xl76"/>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77">
    <w:name w:val="xl77"/>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78">
    <w:name w:val="xl78"/>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79">
    <w:name w:val="xl79"/>
    <w:basedOn w:val="Normal"/>
    <w:rsid w:val="000F2FFB"/>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80">
    <w:name w:val="xl80"/>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81">
    <w:name w:val="xl81"/>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82">
    <w:name w:val="xl82"/>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83">
    <w:name w:val="xl83"/>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84">
    <w:name w:val="xl84"/>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s-ES"/>
    </w:rPr>
  </w:style>
  <w:style w:type="paragraph" w:customStyle="1" w:styleId="xl85">
    <w:name w:val="xl85"/>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s-ES"/>
    </w:rPr>
  </w:style>
  <w:style w:type="paragraph" w:customStyle="1" w:styleId="xl86">
    <w:name w:val="xl86"/>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87">
    <w:name w:val="xl87"/>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88">
    <w:name w:val="xl88"/>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89">
    <w:name w:val="xl89"/>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90">
    <w:name w:val="xl90"/>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0000"/>
      <w:sz w:val="16"/>
      <w:szCs w:val="16"/>
      <w:lang w:val="es-ES"/>
    </w:rPr>
  </w:style>
  <w:style w:type="paragraph" w:customStyle="1" w:styleId="xl73">
    <w:name w:val="xl73"/>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91">
    <w:name w:val="xl91"/>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s-ES"/>
    </w:rPr>
  </w:style>
  <w:style w:type="paragraph" w:customStyle="1" w:styleId="xl92">
    <w:name w:val="xl92"/>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s-ES"/>
    </w:rPr>
  </w:style>
  <w:style w:type="paragraph" w:customStyle="1" w:styleId="xl71">
    <w:name w:val="xl71"/>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eastAsia="en-CA"/>
    </w:rPr>
  </w:style>
  <w:style w:type="paragraph" w:customStyle="1" w:styleId="xl72">
    <w:name w:val="xl72"/>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eastAsia="en-CA"/>
    </w:rPr>
  </w:style>
  <w:style w:type="paragraph" w:customStyle="1" w:styleId="xl93">
    <w:name w:val="xl93"/>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s-ES" w:eastAsia="en-CA"/>
    </w:rPr>
  </w:style>
  <w:style w:type="paragraph" w:customStyle="1" w:styleId="xl94">
    <w:name w:val="xl94"/>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s-ES" w:eastAsia="en-CA"/>
    </w:rPr>
  </w:style>
  <w:style w:type="paragraph" w:customStyle="1" w:styleId="xl95">
    <w:name w:val="xl95"/>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s-ES" w:eastAsia="en-CA"/>
    </w:rPr>
  </w:style>
  <w:style w:type="paragraph" w:customStyle="1" w:styleId="xl96">
    <w:name w:val="xl96"/>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s-ES" w:eastAsia="en-CA"/>
    </w:rPr>
  </w:style>
  <w:style w:type="paragraph" w:customStyle="1" w:styleId="xl97">
    <w:name w:val="xl97"/>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s-ES" w:eastAsia="en-CA"/>
    </w:rPr>
  </w:style>
  <w:style w:type="paragraph" w:customStyle="1" w:styleId="xl98">
    <w:name w:val="xl98"/>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s-ES" w:eastAsia="en-CA"/>
    </w:rPr>
  </w:style>
  <w:style w:type="paragraph" w:customStyle="1" w:styleId="xl99">
    <w:name w:val="xl99"/>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s-ES" w:eastAsia="en-CA"/>
    </w:rPr>
  </w:style>
  <w:style w:type="paragraph" w:customStyle="1" w:styleId="xl100">
    <w:name w:val="xl100"/>
    <w:basedOn w:val="Normal"/>
    <w:rsid w:val="000F2F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s-ES" w:eastAsia="en-CA"/>
    </w:rPr>
  </w:style>
  <w:style w:type="character" w:styleId="FootnoteReference">
    <w:name w:val="footnote reference"/>
    <w:aliases w:val="Footnote text,16 Point,Superscript 6 Point,Footnote Text1,Footnote Text2"/>
    <w:rsid w:val="000F2FFB"/>
    <w:rPr>
      <w:rFonts w:ascii="Times New Roman" w:hAnsi="Times New Roman" w:cs="Times New Roman"/>
      <w:position w:val="0"/>
      <w:sz w:val="24"/>
      <w:szCs w:val="24"/>
      <w:vertAlign w:val="superscript"/>
    </w:rPr>
  </w:style>
  <w:style w:type="paragraph" w:styleId="FootnoteText">
    <w:name w:val="footnote text"/>
    <w:aliases w:val="Fußnotentextf, Char1, Char1 Char Char,Char1,Char1 Char Char"/>
    <w:basedOn w:val="Normal"/>
    <w:link w:val="FootnoteTextChar"/>
    <w:qFormat/>
    <w:rsid w:val="000F2FFB"/>
    <w:pPr>
      <w:spacing w:after="120"/>
      <w:ind w:left="432" w:hanging="432"/>
      <w:jc w:val="left"/>
    </w:pPr>
    <w:rPr>
      <w:sz w:val="20"/>
      <w:szCs w:val="20"/>
      <w:lang w:val="es-ES" w:eastAsia="fr-FR"/>
    </w:rPr>
  </w:style>
  <w:style w:type="character" w:customStyle="1" w:styleId="FootnoteTextChar">
    <w:name w:val="Footnote Text Char"/>
    <w:aliases w:val="Fußnotentextf Char, Char1 Char, Char1 Char Char Char,Char1 Char,Char1 Char Char Char"/>
    <w:basedOn w:val="DefaultParagraphFont"/>
    <w:link w:val="FootnoteText"/>
    <w:rsid w:val="000F2FFB"/>
    <w:rPr>
      <w:lang w:val="es-ES" w:eastAsia="fr-FR"/>
    </w:rPr>
  </w:style>
  <w:style w:type="paragraph" w:customStyle="1" w:styleId="Heading">
    <w:name w:val="Heading"/>
    <w:basedOn w:val="Header"/>
    <w:next w:val="Header"/>
    <w:rsid w:val="000F2FFB"/>
    <w:pPr>
      <w:tabs>
        <w:tab w:val="clear" w:pos="4320"/>
        <w:tab w:val="clear" w:pos="8640"/>
      </w:tabs>
    </w:pPr>
    <w:rPr>
      <w:b/>
      <w:bCs/>
      <w:sz w:val="24"/>
      <w:szCs w:val="24"/>
      <w:u w:val="single"/>
      <w:lang w:val="es-ES"/>
    </w:rPr>
  </w:style>
  <w:style w:type="paragraph" w:customStyle="1" w:styleId="a--">
    <w:name w:val="a-(-)"/>
    <w:basedOn w:val="Normal"/>
    <w:rsid w:val="000F2FFB"/>
    <w:pPr>
      <w:tabs>
        <w:tab w:val="left" w:pos="-720"/>
        <w:tab w:val="left" w:pos="0"/>
        <w:tab w:val="left" w:pos="720"/>
        <w:tab w:val="left" w:pos="1440"/>
        <w:tab w:val="left" w:pos="2160"/>
        <w:tab w:val="left" w:pos="2880"/>
        <w:tab w:val="left" w:pos="3600"/>
      </w:tabs>
      <w:suppressAutoHyphens/>
    </w:pPr>
    <w:rPr>
      <w:b/>
      <w:bCs/>
      <w:sz w:val="24"/>
      <w:szCs w:val="24"/>
      <w:lang w:val="es-ES" w:eastAsia="fr-FR"/>
    </w:rPr>
  </w:style>
  <w:style w:type="paragraph" w:styleId="Revision">
    <w:name w:val="Revision"/>
    <w:hidden/>
    <w:uiPriority w:val="99"/>
    <w:semiHidden/>
    <w:rsid w:val="000F2FFB"/>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ive\Google%20Drive\Traducciones\202010%20ONU\plantillas\S86-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e6e1f9e0-8f48-4721-871b-80b3d7694360">UNEP/OzL.Pro/ExCom/86/19</Document_x0020_Number>
    <Posted_x0020_after_x0020_IAP xmlns="4aeb65a0-cd8f-45aa-a04d-ad1384b86dfc">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0763EF-E500-4366-A906-A58ECF5F6316}"/>
</file>

<file path=customXml/itemProps2.xml><?xml version="1.0" encoding="utf-8"?>
<ds:datastoreItem xmlns:ds="http://schemas.openxmlformats.org/officeDocument/2006/customXml" ds:itemID="{91E19598-BAAD-4A17-8397-35E38BB41CDA}"/>
</file>

<file path=customXml/itemProps3.xml><?xml version="1.0" encoding="utf-8"?>
<ds:datastoreItem xmlns:ds="http://schemas.openxmlformats.org/officeDocument/2006/customXml" ds:itemID="{FD3DF95E-B4BD-42AA-AA9E-E53BEA9E85DE}"/>
</file>

<file path=customXml/itemProps4.xml><?xml version="1.0" encoding="utf-8"?>
<ds:datastoreItem xmlns:ds="http://schemas.openxmlformats.org/officeDocument/2006/customXml" ds:itemID="{262CAB84-D1D4-4106-8D5E-D625B7C21253}"/>
</file>

<file path=docProps/app.xml><?xml version="1.0" encoding="utf-8"?>
<Properties xmlns="http://schemas.openxmlformats.org/officeDocument/2006/extended-properties" xmlns:vt="http://schemas.openxmlformats.org/officeDocument/2006/docPropsVTypes">
  <Template>S86-template</Template>
  <TotalTime>17</TotalTime>
  <Pages>22</Pages>
  <Words>8089</Words>
  <Characters>46112</Characters>
  <Application>Microsoft Office Word</Application>
  <DocSecurity>0</DocSecurity>
  <Lines>384</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sobre la marcha de las actividades de la ONUDI al 31 de diciembre de 2019</vt:lpstr>
      <vt:lpstr>Orden del dia provisional</vt:lpstr>
    </vt:vector>
  </TitlesOfParts>
  <Company>UNMFS</Company>
  <LinksUpToDate>false</LinksUpToDate>
  <CharactersWithSpaces>54093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marcha de las actividades de la ONUDI al 31 de diciembre de 2019</dc:title>
  <dc:creator>Alejandro Moreno-Ramos</dc:creator>
  <cp:lastModifiedBy>HB</cp:lastModifiedBy>
  <cp:revision>7</cp:revision>
  <cp:lastPrinted>2001-05-26T16:40:00Z</cp:lastPrinted>
  <dcterms:created xsi:type="dcterms:W3CDTF">2020-11-07T08:41:00Z</dcterms:created>
  <dcterms:modified xsi:type="dcterms:W3CDTF">2020-11-17T22:28:00Z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UNEP/OzL.Pro/ExCom/86/19</vt:lpwstr>
  </property>
  <property fmtid="{D5CDD505-2E9C-101B-9397-08002B2CF9AE}" pid="3" name="Revision date">
    <vt:lpwstr>10/23/2020</vt:lpwstr>
  </property>
  <property fmtid="{D5CDD505-2E9C-101B-9397-08002B2CF9AE}" pid="4" name="ContentTypeId">
    <vt:lpwstr>0x0101009701D9FFF1782646B282AA80F917E68F</vt:lpwstr>
  </property>
</Properties>
</file>